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B387D8" w14:textId="77777777" w:rsidR="00CD4561" w:rsidRPr="006C081F" w:rsidRDefault="00CD4561" w:rsidP="00CD4561">
      <w:pPr>
        <w:spacing w:line="360" w:lineRule="auto"/>
        <w:rPr>
          <w:rFonts w:ascii="Arial" w:hAnsi="Arial" w:cs="Arial"/>
          <w:sz w:val="24"/>
          <w:szCs w:val="24"/>
        </w:rPr>
      </w:pPr>
      <w:r w:rsidRPr="006C081F">
        <w:rPr>
          <w:rFonts w:ascii="Arial" w:hAnsi="Arial" w:cs="Arial"/>
          <w:noProof/>
          <w:sz w:val="24"/>
          <w:szCs w:val="24"/>
          <w:lang w:val="en-US"/>
        </w:rPr>
        <w:drawing>
          <wp:anchor distT="0" distB="0" distL="114300" distR="114300" simplePos="0" relativeHeight="251659264" behindDoc="0" locked="0" layoutInCell="1" allowOverlap="1" wp14:anchorId="4D59DB48" wp14:editId="0B3E4848">
            <wp:simplePos x="0" y="0"/>
            <wp:positionH relativeFrom="margin">
              <wp:align>center</wp:align>
            </wp:positionH>
            <wp:positionV relativeFrom="paragraph">
              <wp:posOffset>120650</wp:posOffset>
            </wp:positionV>
            <wp:extent cx="3454400" cy="1145540"/>
            <wp:effectExtent l="0" t="0" r="0" b="0"/>
            <wp:wrapTopAndBottom/>
            <wp:docPr id="1967843545" name="Picture 196784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50000"/>
                              </a14:imgEffect>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3454400" cy="1145540"/>
                    </a:xfrm>
                    <a:prstGeom prst="rect">
                      <a:avLst/>
                    </a:prstGeom>
                    <a:noFill/>
                  </pic:spPr>
                </pic:pic>
              </a:graphicData>
            </a:graphic>
            <wp14:sizeRelH relativeFrom="margin">
              <wp14:pctWidth>0</wp14:pctWidth>
            </wp14:sizeRelH>
            <wp14:sizeRelV relativeFrom="margin">
              <wp14:pctHeight>0</wp14:pctHeight>
            </wp14:sizeRelV>
          </wp:anchor>
        </w:drawing>
      </w:r>
    </w:p>
    <w:p w14:paraId="646F48ED" w14:textId="77777777" w:rsidR="00CD4561" w:rsidRPr="006C081F" w:rsidRDefault="00CD4561" w:rsidP="00CD4561">
      <w:pPr>
        <w:spacing w:line="360" w:lineRule="auto"/>
        <w:jc w:val="center"/>
        <w:rPr>
          <w:rFonts w:ascii="Arial" w:hAnsi="Arial" w:cs="Arial"/>
          <w:b/>
          <w:bCs/>
          <w:sz w:val="28"/>
          <w:szCs w:val="24"/>
        </w:rPr>
      </w:pPr>
      <w:r w:rsidRPr="006C081F">
        <w:rPr>
          <w:rFonts w:ascii="Arial" w:hAnsi="Arial" w:cs="Arial"/>
          <w:b/>
          <w:bCs/>
          <w:sz w:val="28"/>
          <w:szCs w:val="24"/>
        </w:rPr>
        <w:t>Master of Business Administration</w:t>
      </w:r>
    </w:p>
    <w:p w14:paraId="1C4D95AD" w14:textId="04A18578" w:rsidR="00CD4561" w:rsidRPr="006C081F" w:rsidRDefault="00CD4561" w:rsidP="00100E4A">
      <w:pPr>
        <w:spacing w:after="0" w:line="360" w:lineRule="auto"/>
        <w:jc w:val="center"/>
        <w:rPr>
          <w:rFonts w:ascii="Arial" w:hAnsi="Arial" w:cs="Arial"/>
          <w:b/>
          <w:bCs/>
          <w:sz w:val="28"/>
          <w:szCs w:val="24"/>
        </w:rPr>
      </w:pPr>
      <w:r w:rsidRPr="006C081F">
        <w:rPr>
          <w:rFonts w:ascii="Arial" w:hAnsi="Arial" w:cs="Arial"/>
          <w:b/>
          <w:bCs/>
          <w:sz w:val="28"/>
          <w:szCs w:val="24"/>
        </w:rPr>
        <w:t>Student Name:</w:t>
      </w:r>
      <w:r w:rsidRPr="006C081F">
        <w:rPr>
          <w:rFonts w:ascii="Arial" w:hAnsi="Arial" w:cs="Arial"/>
          <w:sz w:val="28"/>
          <w:szCs w:val="24"/>
        </w:rPr>
        <w:t xml:space="preserve"> </w:t>
      </w:r>
      <w:proofErr w:type="spellStart"/>
      <w:r w:rsidR="00CC3BE2" w:rsidRPr="00CC3BE2">
        <w:rPr>
          <w:rFonts w:ascii="Arial" w:hAnsi="Arial" w:cs="Arial"/>
          <w:b/>
          <w:sz w:val="28"/>
          <w:szCs w:val="24"/>
        </w:rPr>
        <w:t>Jowher</w:t>
      </w:r>
      <w:proofErr w:type="spellEnd"/>
      <w:r w:rsidR="00CC3BE2" w:rsidRPr="00CC3BE2">
        <w:rPr>
          <w:rFonts w:ascii="Arial" w:hAnsi="Arial" w:cs="Arial"/>
          <w:b/>
          <w:sz w:val="28"/>
          <w:szCs w:val="24"/>
        </w:rPr>
        <w:t xml:space="preserve"> Ahmed</w:t>
      </w:r>
    </w:p>
    <w:p w14:paraId="6E95478A" w14:textId="6FE667B9" w:rsidR="00100E4A" w:rsidRDefault="00CD4561" w:rsidP="00100E4A">
      <w:pPr>
        <w:spacing w:after="0" w:line="360" w:lineRule="auto"/>
        <w:jc w:val="center"/>
        <w:rPr>
          <w:rFonts w:ascii="Arial" w:hAnsi="Arial" w:cs="Arial"/>
          <w:b/>
          <w:sz w:val="28"/>
          <w:szCs w:val="24"/>
        </w:rPr>
      </w:pPr>
      <w:r w:rsidRPr="006C081F">
        <w:rPr>
          <w:rFonts w:ascii="Arial" w:hAnsi="Arial" w:cs="Arial"/>
          <w:b/>
          <w:bCs/>
          <w:sz w:val="28"/>
          <w:szCs w:val="24"/>
        </w:rPr>
        <w:t>Student Number:</w:t>
      </w:r>
      <w:r w:rsidRPr="006C081F">
        <w:rPr>
          <w:rFonts w:ascii="Arial" w:hAnsi="Arial" w:cs="Arial"/>
          <w:sz w:val="28"/>
          <w:szCs w:val="24"/>
        </w:rPr>
        <w:t xml:space="preserve"> </w:t>
      </w:r>
      <w:r w:rsidR="00CC3BE2" w:rsidRPr="00CC3BE2">
        <w:rPr>
          <w:rFonts w:ascii="Arial" w:hAnsi="Arial" w:cs="Arial"/>
          <w:b/>
          <w:sz w:val="28"/>
          <w:szCs w:val="24"/>
        </w:rPr>
        <w:t>2437456</w:t>
      </w:r>
    </w:p>
    <w:p w14:paraId="17500A94" w14:textId="77777777" w:rsidR="00100E4A" w:rsidRPr="00100E4A" w:rsidRDefault="00100E4A" w:rsidP="00100E4A">
      <w:pPr>
        <w:spacing w:after="0" w:line="360" w:lineRule="auto"/>
        <w:jc w:val="center"/>
        <w:rPr>
          <w:rFonts w:ascii="Arial" w:hAnsi="Arial" w:cs="Arial"/>
          <w:b/>
          <w:sz w:val="28"/>
          <w:szCs w:val="24"/>
        </w:rPr>
      </w:pPr>
    </w:p>
    <w:p w14:paraId="5E67C359" w14:textId="53E51B2A" w:rsidR="00CD4561" w:rsidRPr="006C081F" w:rsidRDefault="00100E4A" w:rsidP="00CD4561">
      <w:pPr>
        <w:spacing w:line="360" w:lineRule="auto"/>
        <w:jc w:val="center"/>
        <w:rPr>
          <w:rFonts w:ascii="Arial" w:hAnsi="Arial" w:cs="Arial"/>
          <w:b/>
          <w:bCs/>
          <w:sz w:val="28"/>
          <w:szCs w:val="24"/>
        </w:rPr>
      </w:pPr>
      <w:r>
        <w:rPr>
          <w:rFonts w:ascii="Arial" w:hAnsi="Arial" w:cs="Arial"/>
          <w:b/>
          <w:bCs/>
          <w:sz w:val="28"/>
          <w:szCs w:val="24"/>
        </w:rPr>
        <w:t>Module C</w:t>
      </w:r>
      <w:r w:rsidR="00CD4561" w:rsidRPr="006C081F">
        <w:rPr>
          <w:rFonts w:ascii="Arial" w:hAnsi="Arial" w:cs="Arial"/>
          <w:b/>
          <w:bCs/>
          <w:sz w:val="28"/>
          <w:szCs w:val="24"/>
        </w:rPr>
        <w:t xml:space="preserve">ode: </w:t>
      </w:r>
      <w:r w:rsidR="00613058" w:rsidRPr="006C081F">
        <w:rPr>
          <w:rFonts w:ascii="Arial" w:hAnsi="Arial" w:cs="Arial"/>
          <w:b/>
          <w:bCs/>
          <w:sz w:val="28"/>
          <w:szCs w:val="24"/>
        </w:rPr>
        <w:t>LCMB7002</w:t>
      </w:r>
    </w:p>
    <w:p w14:paraId="4DBE23DE" w14:textId="77777777" w:rsidR="00CD4561" w:rsidRPr="006C081F" w:rsidRDefault="00CD4561" w:rsidP="00CD4561">
      <w:pPr>
        <w:spacing w:line="360" w:lineRule="auto"/>
        <w:jc w:val="center"/>
        <w:rPr>
          <w:rFonts w:ascii="Arial" w:hAnsi="Arial" w:cs="Arial"/>
          <w:b/>
          <w:bCs/>
          <w:sz w:val="28"/>
          <w:szCs w:val="24"/>
        </w:rPr>
      </w:pPr>
      <w:r w:rsidRPr="006C081F">
        <w:rPr>
          <w:rFonts w:ascii="Arial" w:hAnsi="Arial" w:cs="Arial"/>
          <w:b/>
          <w:bCs/>
          <w:sz w:val="28"/>
          <w:szCs w:val="24"/>
        </w:rPr>
        <w:t>Assessment: Individual report</w:t>
      </w:r>
    </w:p>
    <w:p w14:paraId="1272E321" w14:textId="520662E5" w:rsidR="00CD4561" w:rsidRPr="006C081F" w:rsidRDefault="00CD4561" w:rsidP="00CD4561">
      <w:pPr>
        <w:spacing w:line="360" w:lineRule="auto"/>
        <w:jc w:val="center"/>
        <w:rPr>
          <w:rFonts w:ascii="Arial" w:hAnsi="Arial" w:cs="Arial"/>
          <w:b/>
          <w:bCs/>
          <w:sz w:val="28"/>
          <w:szCs w:val="24"/>
        </w:rPr>
      </w:pPr>
      <w:r w:rsidRPr="006C081F">
        <w:rPr>
          <w:rFonts w:ascii="Arial" w:hAnsi="Arial" w:cs="Arial"/>
          <w:b/>
          <w:bCs/>
          <w:sz w:val="28"/>
          <w:szCs w:val="24"/>
        </w:rPr>
        <w:t xml:space="preserve">Course Name: </w:t>
      </w:r>
      <w:r w:rsidR="004019A6" w:rsidRPr="006C081F">
        <w:rPr>
          <w:rFonts w:ascii="Arial" w:hAnsi="Arial" w:cs="Arial"/>
          <w:b/>
          <w:bCs/>
          <w:sz w:val="28"/>
          <w:szCs w:val="24"/>
        </w:rPr>
        <w:t>Financial Management</w:t>
      </w:r>
    </w:p>
    <w:p w14:paraId="5C80168B" w14:textId="62DAE147" w:rsidR="00CD4561" w:rsidRPr="006C081F" w:rsidRDefault="00CD4561" w:rsidP="00CD4561">
      <w:pPr>
        <w:spacing w:line="360" w:lineRule="auto"/>
        <w:jc w:val="center"/>
        <w:rPr>
          <w:rFonts w:ascii="Arial" w:hAnsi="Arial" w:cs="Arial"/>
          <w:b/>
          <w:bCs/>
          <w:sz w:val="28"/>
          <w:szCs w:val="24"/>
        </w:rPr>
      </w:pPr>
      <w:r w:rsidRPr="006C081F">
        <w:rPr>
          <w:rFonts w:ascii="Arial" w:hAnsi="Arial" w:cs="Arial"/>
          <w:b/>
          <w:bCs/>
          <w:sz w:val="28"/>
          <w:szCs w:val="24"/>
        </w:rPr>
        <w:t xml:space="preserve">Lecturer: </w:t>
      </w:r>
      <w:r w:rsidR="00B100FC">
        <w:rPr>
          <w:rFonts w:ascii="Arial" w:hAnsi="Arial" w:cs="Arial"/>
          <w:b/>
          <w:bCs/>
          <w:sz w:val="28"/>
          <w:szCs w:val="24"/>
        </w:rPr>
        <w:t>Md Kalam</w:t>
      </w:r>
    </w:p>
    <w:p w14:paraId="38EDBD1F" w14:textId="12B5CDF8" w:rsidR="00CD4561" w:rsidRPr="006C081F" w:rsidRDefault="00CD4561" w:rsidP="00CD4561">
      <w:pPr>
        <w:spacing w:line="360" w:lineRule="auto"/>
        <w:jc w:val="center"/>
        <w:rPr>
          <w:rFonts w:ascii="Arial" w:hAnsi="Arial" w:cs="Arial"/>
          <w:b/>
          <w:bCs/>
          <w:i/>
          <w:iCs/>
          <w:sz w:val="28"/>
          <w:szCs w:val="24"/>
        </w:rPr>
      </w:pPr>
      <w:r w:rsidRPr="006C081F">
        <w:rPr>
          <w:rFonts w:ascii="Arial" w:hAnsi="Arial" w:cs="Arial"/>
          <w:b/>
          <w:bCs/>
          <w:sz w:val="28"/>
          <w:szCs w:val="24"/>
        </w:rPr>
        <w:t xml:space="preserve">Word Count: </w:t>
      </w:r>
      <w:r w:rsidR="00ED5237">
        <w:rPr>
          <w:rFonts w:ascii="Arial" w:hAnsi="Arial" w:cs="Arial"/>
          <w:b/>
          <w:bCs/>
          <w:sz w:val="28"/>
          <w:szCs w:val="24"/>
        </w:rPr>
        <w:t>5480</w:t>
      </w:r>
    </w:p>
    <w:p w14:paraId="137D13F3" w14:textId="186FF843" w:rsidR="00CD4561" w:rsidRPr="006C081F" w:rsidRDefault="00CD4561" w:rsidP="00CD4561">
      <w:pPr>
        <w:spacing w:line="360" w:lineRule="auto"/>
        <w:jc w:val="center"/>
        <w:rPr>
          <w:rFonts w:ascii="Arial" w:hAnsi="Arial" w:cs="Arial"/>
          <w:b/>
          <w:bCs/>
          <w:sz w:val="28"/>
          <w:szCs w:val="24"/>
        </w:rPr>
      </w:pPr>
      <w:r w:rsidRPr="006C081F">
        <w:rPr>
          <w:rFonts w:ascii="Arial" w:hAnsi="Arial" w:cs="Arial"/>
          <w:b/>
          <w:bCs/>
          <w:sz w:val="28"/>
          <w:szCs w:val="24"/>
        </w:rPr>
        <w:t xml:space="preserve">Submission Deadline: </w:t>
      </w:r>
      <w:r w:rsidR="00400BF4" w:rsidRPr="006C081F">
        <w:rPr>
          <w:rFonts w:ascii="Arial" w:hAnsi="Arial" w:cs="Arial"/>
          <w:b/>
          <w:sz w:val="28"/>
          <w:szCs w:val="28"/>
        </w:rPr>
        <w:t>2</w:t>
      </w:r>
      <w:r w:rsidR="007D38A0" w:rsidRPr="006C081F">
        <w:rPr>
          <w:rFonts w:ascii="Arial" w:hAnsi="Arial" w:cs="Arial"/>
          <w:b/>
          <w:sz w:val="28"/>
          <w:szCs w:val="28"/>
        </w:rPr>
        <w:t>2</w:t>
      </w:r>
      <w:r w:rsidR="00270C27" w:rsidRPr="006C081F">
        <w:rPr>
          <w:rFonts w:ascii="Arial" w:hAnsi="Arial" w:cs="Arial"/>
          <w:b/>
          <w:sz w:val="28"/>
          <w:szCs w:val="28"/>
          <w:vertAlign w:val="superscript"/>
        </w:rPr>
        <w:t>nd</w:t>
      </w:r>
      <w:r w:rsidR="00400BF4" w:rsidRPr="006C081F">
        <w:rPr>
          <w:rFonts w:ascii="Arial" w:hAnsi="Arial" w:cs="Arial"/>
          <w:b/>
          <w:sz w:val="28"/>
          <w:szCs w:val="28"/>
        </w:rPr>
        <w:t xml:space="preserve"> </w:t>
      </w:r>
      <w:r w:rsidR="007D38A0" w:rsidRPr="006C081F">
        <w:rPr>
          <w:rFonts w:ascii="Arial" w:hAnsi="Arial" w:cs="Arial"/>
          <w:b/>
          <w:sz w:val="28"/>
          <w:szCs w:val="28"/>
        </w:rPr>
        <w:t>December</w:t>
      </w:r>
      <w:r w:rsidR="00400BF4" w:rsidRPr="006C081F">
        <w:rPr>
          <w:rFonts w:ascii="Arial" w:hAnsi="Arial" w:cs="Arial"/>
          <w:b/>
          <w:sz w:val="28"/>
          <w:szCs w:val="28"/>
        </w:rPr>
        <w:t xml:space="preserve"> 2025</w:t>
      </w:r>
    </w:p>
    <w:p w14:paraId="407301E8" w14:textId="77777777" w:rsidR="00CD4561" w:rsidRPr="006C081F" w:rsidRDefault="00CD4561" w:rsidP="00CD4561">
      <w:pPr>
        <w:pStyle w:val="NoSpacing"/>
        <w:spacing w:before="1540" w:after="240" w:line="360" w:lineRule="auto"/>
        <w:jc w:val="center"/>
        <w:rPr>
          <w:rFonts w:ascii="Arial" w:hAnsi="Arial" w:cs="Arial"/>
          <w:sz w:val="24"/>
          <w:szCs w:val="24"/>
          <w:lang w:val="en-GB"/>
        </w:rPr>
      </w:pPr>
      <w:r w:rsidRPr="006C081F">
        <w:rPr>
          <w:rFonts w:ascii="Arial" w:hAnsi="Arial" w:cs="Arial"/>
          <w:sz w:val="24"/>
          <w:szCs w:val="24"/>
          <w:lang w:val="en-GB"/>
        </w:rPr>
        <w:br w:type="page"/>
      </w:r>
    </w:p>
    <w:sdt>
      <w:sdtPr>
        <w:rPr>
          <w:rFonts w:asciiTheme="minorHAnsi" w:eastAsiaTheme="minorHAnsi" w:hAnsiTheme="minorHAnsi" w:cs="Arial"/>
          <w:b/>
          <w:bCs w:val="0"/>
          <w:color w:val="auto"/>
          <w:sz w:val="24"/>
          <w:szCs w:val="24"/>
          <w:lang w:eastAsia="en-US"/>
        </w:rPr>
        <w:id w:val="-798766249"/>
        <w:docPartObj>
          <w:docPartGallery w:val="Table of Contents"/>
          <w:docPartUnique/>
        </w:docPartObj>
      </w:sdtPr>
      <w:sdtEndPr>
        <w:rPr>
          <w:b w:val="0"/>
          <w:szCs w:val="22"/>
        </w:rPr>
      </w:sdtEndPr>
      <w:sdtContent>
        <w:p w14:paraId="171CF6B4" w14:textId="77777777" w:rsidR="00CD4561" w:rsidRPr="00CC3BE2" w:rsidRDefault="00CD4561" w:rsidP="00CD4561">
          <w:pPr>
            <w:pStyle w:val="TOCHeading"/>
            <w:spacing w:line="360" w:lineRule="auto"/>
            <w:jc w:val="center"/>
            <w:rPr>
              <w:rFonts w:cs="Arial"/>
              <w:b/>
              <w:iCs/>
              <w:color w:val="auto"/>
              <w:sz w:val="32"/>
              <w:szCs w:val="32"/>
              <w:u w:val="single"/>
            </w:rPr>
          </w:pPr>
          <w:r w:rsidRPr="00CC3BE2">
            <w:rPr>
              <w:rFonts w:cs="Arial"/>
              <w:iCs/>
              <w:color w:val="auto"/>
              <w:sz w:val="32"/>
              <w:szCs w:val="32"/>
              <w:u w:val="single"/>
            </w:rPr>
            <w:t>Table of Contents</w:t>
          </w:r>
        </w:p>
        <w:p w14:paraId="354261FB" w14:textId="2F1E890B" w:rsidR="00FE7D6B" w:rsidRPr="00CC3BE2" w:rsidRDefault="00CD4561">
          <w:pPr>
            <w:pStyle w:val="TOC1"/>
            <w:tabs>
              <w:tab w:val="right" w:leader="dot" w:pos="9016"/>
            </w:tabs>
            <w:rPr>
              <w:rFonts w:ascii="Arial" w:eastAsiaTheme="minorEastAsia" w:hAnsi="Arial" w:cs="Arial"/>
              <w:noProof/>
              <w:kern w:val="2"/>
              <w:sz w:val="28"/>
              <w:szCs w:val="30"/>
              <w:lang w:eastAsia="en-GB" w:bidi="bn-IN"/>
              <w14:ligatures w14:val="standardContextual"/>
            </w:rPr>
          </w:pPr>
          <w:r w:rsidRPr="00CC3BE2">
            <w:rPr>
              <w:rFonts w:ascii="Arial" w:hAnsi="Arial" w:cs="Arial"/>
              <w:b/>
              <w:bCs/>
              <w:sz w:val="24"/>
            </w:rPr>
            <w:fldChar w:fldCharType="begin"/>
          </w:r>
          <w:r w:rsidRPr="00CC3BE2">
            <w:rPr>
              <w:rFonts w:ascii="Arial" w:hAnsi="Arial" w:cs="Arial"/>
              <w:b/>
              <w:bCs/>
              <w:sz w:val="24"/>
            </w:rPr>
            <w:instrText xml:space="preserve"> TOC \o "1-3" \h \z \u </w:instrText>
          </w:r>
          <w:r w:rsidRPr="00CC3BE2">
            <w:rPr>
              <w:rFonts w:ascii="Arial" w:hAnsi="Arial" w:cs="Arial"/>
              <w:b/>
              <w:bCs/>
              <w:sz w:val="24"/>
            </w:rPr>
            <w:fldChar w:fldCharType="separate"/>
          </w:r>
          <w:hyperlink w:anchor="_Toc216794664" w:history="1">
            <w:r w:rsidR="00FE7D6B" w:rsidRPr="00CC3BE2">
              <w:rPr>
                <w:rStyle w:val="Hyperlink"/>
                <w:rFonts w:ascii="Arial" w:hAnsi="Arial" w:cs="Arial"/>
                <w:noProof/>
                <w:sz w:val="24"/>
              </w:rPr>
              <w:t>Introduction</w:t>
            </w:r>
            <w:r w:rsidR="00FE7D6B" w:rsidRPr="00CC3BE2">
              <w:rPr>
                <w:rFonts w:ascii="Arial" w:hAnsi="Arial" w:cs="Arial"/>
                <w:noProof/>
                <w:webHidden/>
                <w:sz w:val="24"/>
              </w:rPr>
              <w:tab/>
            </w:r>
            <w:r w:rsidR="00FE7D6B" w:rsidRPr="00CC3BE2">
              <w:rPr>
                <w:rFonts w:ascii="Arial" w:hAnsi="Arial" w:cs="Arial"/>
                <w:noProof/>
                <w:webHidden/>
                <w:sz w:val="24"/>
              </w:rPr>
              <w:fldChar w:fldCharType="begin"/>
            </w:r>
            <w:r w:rsidR="00FE7D6B" w:rsidRPr="00CC3BE2">
              <w:rPr>
                <w:rFonts w:ascii="Arial" w:hAnsi="Arial" w:cs="Arial"/>
                <w:noProof/>
                <w:webHidden/>
                <w:sz w:val="24"/>
              </w:rPr>
              <w:instrText xml:space="preserve"> PAGEREF _Toc216794664 \h </w:instrText>
            </w:r>
            <w:r w:rsidR="00FE7D6B" w:rsidRPr="00CC3BE2">
              <w:rPr>
                <w:rFonts w:ascii="Arial" w:hAnsi="Arial" w:cs="Arial"/>
                <w:noProof/>
                <w:webHidden/>
                <w:sz w:val="24"/>
              </w:rPr>
            </w:r>
            <w:r w:rsidR="00FE7D6B" w:rsidRPr="00CC3BE2">
              <w:rPr>
                <w:rFonts w:ascii="Arial" w:hAnsi="Arial" w:cs="Arial"/>
                <w:noProof/>
                <w:webHidden/>
                <w:sz w:val="24"/>
              </w:rPr>
              <w:fldChar w:fldCharType="separate"/>
            </w:r>
            <w:r w:rsidR="00FE7D6B" w:rsidRPr="00CC3BE2">
              <w:rPr>
                <w:rFonts w:ascii="Arial" w:hAnsi="Arial" w:cs="Arial"/>
                <w:noProof/>
                <w:webHidden/>
                <w:sz w:val="24"/>
              </w:rPr>
              <w:t>3</w:t>
            </w:r>
            <w:r w:rsidR="00FE7D6B" w:rsidRPr="00CC3BE2">
              <w:rPr>
                <w:rFonts w:ascii="Arial" w:hAnsi="Arial" w:cs="Arial"/>
                <w:noProof/>
                <w:webHidden/>
                <w:sz w:val="24"/>
              </w:rPr>
              <w:fldChar w:fldCharType="end"/>
            </w:r>
          </w:hyperlink>
        </w:p>
        <w:p w14:paraId="4EB5B9CB" w14:textId="5359063B" w:rsidR="00FE7D6B" w:rsidRPr="00CC3BE2" w:rsidRDefault="00FE7D6B">
          <w:pPr>
            <w:pStyle w:val="TOC1"/>
            <w:tabs>
              <w:tab w:val="right" w:leader="dot" w:pos="9016"/>
            </w:tabs>
            <w:rPr>
              <w:rFonts w:ascii="Arial" w:eastAsiaTheme="minorEastAsia" w:hAnsi="Arial" w:cs="Arial"/>
              <w:noProof/>
              <w:kern w:val="2"/>
              <w:sz w:val="28"/>
              <w:szCs w:val="30"/>
              <w:lang w:eastAsia="en-GB" w:bidi="bn-IN"/>
              <w14:ligatures w14:val="standardContextual"/>
            </w:rPr>
          </w:pPr>
          <w:hyperlink w:anchor="_Toc216794665" w:history="1">
            <w:r w:rsidRPr="00CC3BE2">
              <w:rPr>
                <w:rStyle w:val="Hyperlink"/>
                <w:rFonts w:ascii="Arial" w:hAnsi="Arial" w:cs="Arial"/>
                <w:noProof/>
                <w:sz w:val="24"/>
              </w:rPr>
              <w:t>1. Financial Health Check</w:t>
            </w:r>
            <w:r w:rsidRPr="00CC3BE2">
              <w:rPr>
                <w:rFonts w:ascii="Arial" w:hAnsi="Arial" w:cs="Arial"/>
                <w:noProof/>
                <w:webHidden/>
                <w:sz w:val="24"/>
              </w:rPr>
              <w:tab/>
            </w:r>
            <w:r w:rsidRPr="00CC3BE2">
              <w:rPr>
                <w:rFonts w:ascii="Arial" w:hAnsi="Arial" w:cs="Arial"/>
                <w:noProof/>
                <w:webHidden/>
                <w:sz w:val="24"/>
              </w:rPr>
              <w:fldChar w:fldCharType="begin"/>
            </w:r>
            <w:r w:rsidRPr="00CC3BE2">
              <w:rPr>
                <w:rFonts w:ascii="Arial" w:hAnsi="Arial" w:cs="Arial"/>
                <w:noProof/>
                <w:webHidden/>
                <w:sz w:val="24"/>
              </w:rPr>
              <w:instrText xml:space="preserve"> PAGEREF _Toc216794665 \h </w:instrText>
            </w:r>
            <w:r w:rsidRPr="00CC3BE2">
              <w:rPr>
                <w:rFonts w:ascii="Arial" w:hAnsi="Arial" w:cs="Arial"/>
                <w:noProof/>
                <w:webHidden/>
                <w:sz w:val="24"/>
              </w:rPr>
            </w:r>
            <w:r w:rsidRPr="00CC3BE2">
              <w:rPr>
                <w:rFonts w:ascii="Arial" w:hAnsi="Arial" w:cs="Arial"/>
                <w:noProof/>
                <w:webHidden/>
                <w:sz w:val="24"/>
              </w:rPr>
              <w:fldChar w:fldCharType="separate"/>
            </w:r>
            <w:r w:rsidRPr="00CC3BE2">
              <w:rPr>
                <w:rFonts w:ascii="Arial" w:hAnsi="Arial" w:cs="Arial"/>
                <w:noProof/>
                <w:webHidden/>
                <w:sz w:val="24"/>
              </w:rPr>
              <w:t>4</w:t>
            </w:r>
            <w:r w:rsidRPr="00CC3BE2">
              <w:rPr>
                <w:rFonts w:ascii="Arial" w:hAnsi="Arial" w:cs="Arial"/>
                <w:noProof/>
                <w:webHidden/>
                <w:sz w:val="24"/>
              </w:rPr>
              <w:fldChar w:fldCharType="end"/>
            </w:r>
          </w:hyperlink>
        </w:p>
        <w:p w14:paraId="2CA571E5" w14:textId="4DDA5A61" w:rsidR="00FE7D6B" w:rsidRPr="00CC3BE2" w:rsidRDefault="00FE7D6B">
          <w:pPr>
            <w:pStyle w:val="TOC2"/>
            <w:tabs>
              <w:tab w:val="right" w:leader="dot" w:pos="9016"/>
            </w:tabs>
            <w:rPr>
              <w:rFonts w:ascii="Arial" w:eastAsiaTheme="minorEastAsia" w:hAnsi="Arial" w:cs="Arial"/>
              <w:noProof/>
              <w:kern w:val="2"/>
              <w:sz w:val="28"/>
              <w:szCs w:val="30"/>
              <w:lang w:eastAsia="en-GB" w:bidi="bn-IN"/>
              <w14:ligatures w14:val="standardContextual"/>
            </w:rPr>
          </w:pPr>
          <w:hyperlink w:anchor="_Toc216794666" w:history="1">
            <w:r w:rsidRPr="00CC3BE2">
              <w:rPr>
                <w:rStyle w:val="Hyperlink"/>
                <w:rFonts w:ascii="Arial" w:hAnsi="Arial" w:cs="Arial"/>
                <w:noProof/>
                <w:sz w:val="24"/>
              </w:rPr>
              <w:t>A. Analysis of Financial Statements (£m):</w:t>
            </w:r>
            <w:r w:rsidRPr="00CC3BE2">
              <w:rPr>
                <w:rFonts w:ascii="Arial" w:hAnsi="Arial" w:cs="Arial"/>
                <w:noProof/>
                <w:webHidden/>
                <w:sz w:val="24"/>
              </w:rPr>
              <w:tab/>
            </w:r>
            <w:r w:rsidRPr="00CC3BE2">
              <w:rPr>
                <w:rFonts w:ascii="Arial" w:hAnsi="Arial" w:cs="Arial"/>
                <w:noProof/>
                <w:webHidden/>
                <w:sz w:val="24"/>
              </w:rPr>
              <w:fldChar w:fldCharType="begin"/>
            </w:r>
            <w:r w:rsidRPr="00CC3BE2">
              <w:rPr>
                <w:rFonts w:ascii="Arial" w:hAnsi="Arial" w:cs="Arial"/>
                <w:noProof/>
                <w:webHidden/>
                <w:sz w:val="24"/>
              </w:rPr>
              <w:instrText xml:space="preserve"> PAGEREF _Toc216794666 \h </w:instrText>
            </w:r>
            <w:r w:rsidRPr="00CC3BE2">
              <w:rPr>
                <w:rFonts w:ascii="Arial" w:hAnsi="Arial" w:cs="Arial"/>
                <w:noProof/>
                <w:webHidden/>
                <w:sz w:val="24"/>
              </w:rPr>
            </w:r>
            <w:r w:rsidRPr="00CC3BE2">
              <w:rPr>
                <w:rFonts w:ascii="Arial" w:hAnsi="Arial" w:cs="Arial"/>
                <w:noProof/>
                <w:webHidden/>
                <w:sz w:val="24"/>
              </w:rPr>
              <w:fldChar w:fldCharType="separate"/>
            </w:r>
            <w:r w:rsidRPr="00CC3BE2">
              <w:rPr>
                <w:rFonts w:ascii="Arial" w:hAnsi="Arial" w:cs="Arial"/>
                <w:noProof/>
                <w:webHidden/>
                <w:sz w:val="24"/>
              </w:rPr>
              <w:t>4</w:t>
            </w:r>
            <w:r w:rsidRPr="00CC3BE2">
              <w:rPr>
                <w:rFonts w:ascii="Arial" w:hAnsi="Arial" w:cs="Arial"/>
                <w:noProof/>
                <w:webHidden/>
                <w:sz w:val="24"/>
              </w:rPr>
              <w:fldChar w:fldCharType="end"/>
            </w:r>
          </w:hyperlink>
        </w:p>
        <w:p w14:paraId="620F2D2A" w14:textId="7ECE3AFD" w:rsidR="00FE7D6B" w:rsidRPr="00CC3BE2" w:rsidRDefault="00FE7D6B">
          <w:pPr>
            <w:pStyle w:val="TOC2"/>
            <w:tabs>
              <w:tab w:val="right" w:leader="dot" w:pos="9016"/>
            </w:tabs>
            <w:rPr>
              <w:rFonts w:ascii="Arial" w:eastAsiaTheme="minorEastAsia" w:hAnsi="Arial" w:cs="Arial"/>
              <w:noProof/>
              <w:kern w:val="2"/>
              <w:sz w:val="28"/>
              <w:szCs w:val="30"/>
              <w:lang w:eastAsia="en-GB" w:bidi="bn-IN"/>
              <w14:ligatures w14:val="standardContextual"/>
            </w:rPr>
          </w:pPr>
          <w:hyperlink w:anchor="_Toc216794667" w:history="1">
            <w:r w:rsidRPr="00CC3BE2">
              <w:rPr>
                <w:rStyle w:val="Hyperlink"/>
                <w:rFonts w:ascii="Arial" w:hAnsi="Arial" w:cs="Arial"/>
                <w:noProof/>
                <w:sz w:val="24"/>
              </w:rPr>
              <w:t>B. Full Ratio Analysis</w:t>
            </w:r>
            <w:r w:rsidRPr="00CC3BE2">
              <w:rPr>
                <w:rFonts w:ascii="Arial" w:hAnsi="Arial" w:cs="Arial"/>
                <w:noProof/>
                <w:webHidden/>
                <w:sz w:val="24"/>
              </w:rPr>
              <w:tab/>
            </w:r>
            <w:r w:rsidRPr="00CC3BE2">
              <w:rPr>
                <w:rFonts w:ascii="Arial" w:hAnsi="Arial" w:cs="Arial"/>
                <w:noProof/>
                <w:webHidden/>
                <w:sz w:val="24"/>
              </w:rPr>
              <w:fldChar w:fldCharType="begin"/>
            </w:r>
            <w:r w:rsidRPr="00CC3BE2">
              <w:rPr>
                <w:rFonts w:ascii="Arial" w:hAnsi="Arial" w:cs="Arial"/>
                <w:noProof/>
                <w:webHidden/>
                <w:sz w:val="24"/>
              </w:rPr>
              <w:instrText xml:space="preserve"> PAGEREF _Toc216794667 \h </w:instrText>
            </w:r>
            <w:r w:rsidRPr="00CC3BE2">
              <w:rPr>
                <w:rFonts w:ascii="Arial" w:hAnsi="Arial" w:cs="Arial"/>
                <w:noProof/>
                <w:webHidden/>
                <w:sz w:val="24"/>
              </w:rPr>
            </w:r>
            <w:r w:rsidRPr="00CC3BE2">
              <w:rPr>
                <w:rFonts w:ascii="Arial" w:hAnsi="Arial" w:cs="Arial"/>
                <w:noProof/>
                <w:webHidden/>
                <w:sz w:val="24"/>
              </w:rPr>
              <w:fldChar w:fldCharType="separate"/>
            </w:r>
            <w:r w:rsidRPr="00CC3BE2">
              <w:rPr>
                <w:rFonts w:ascii="Arial" w:hAnsi="Arial" w:cs="Arial"/>
                <w:noProof/>
                <w:webHidden/>
                <w:sz w:val="24"/>
              </w:rPr>
              <w:t>6</w:t>
            </w:r>
            <w:r w:rsidRPr="00CC3BE2">
              <w:rPr>
                <w:rFonts w:ascii="Arial" w:hAnsi="Arial" w:cs="Arial"/>
                <w:noProof/>
                <w:webHidden/>
                <w:sz w:val="24"/>
              </w:rPr>
              <w:fldChar w:fldCharType="end"/>
            </w:r>
          </w:hyperlink>
        </w:p>
        <w:p w14:paraId="7B448F54" w14:textId="1F3556E0" w:rsidR="00FE7D6B" w:rsidRPr="00CC3BE2" w:rsidRDefault="00FE7D6B">
          <w:pPr>
            <w:pStyle w:val="TOC2"/>
            <w:tabs>
              <w:tab w:val="right" w:leader="dot" w:pos="9016"/>
            </w:tabs>
            <w:rPr>
              <w:rFonts w:ascii="Arial" w:eastAsiaTheme="minorEastAsia" w:hAnsi="Arial" w:cs="Arial"/>
              <w:noProof/>
              <w:kern w:val="2"/>
              <w:sz w:val="28"/>
              <w:szCs w:val="30"/>
              <w:lang w:eastAsia="en-GB" w:bidi="bn-IN"/>
              <w14:ligatures w14:val="standardContextual"/>
            </w:rPr>
          </w:pPr>
          <w:hyperlink w:anchor="_Toc216794668" w:history="1">
            <w:r w:rsidRPr="00CC3BE2">
              <w:rPr>
                <w:rStyle w:val="Hyperlink"/>
                <w:rFonts w:ascii="Arial" w:hAnsi="Arial" w:cs="Arial"/>
                <w:noProof/>
                <w:sz w:val="24"/>
              </w:rPr>
              <w:t>C. Identified Trends, Strengths, and Threats</w:t>
            </w:r>
            <w:r w:rsidRPr="00CC3BE2">
              <w:rPr>
                <w:rFonts w:ascii="Arial" w:hAnsi="Arial" w:cs="Arial"/>
                <w:noProof/>
                <w:webHidden/>
                <w:sz w:val="24"/>
              </w:rPr>
              <w:tab/>
            </w:r>
            <w:r w:rsidRPr="00CC3BE2">
              <w:rPr>
                <w:rFonts w:ascii="Arial" w:hAnsi="Arial" w:cs="Arial"/>
                <w:noProof/>
                <w:webHidden/>
                <w:sz w:val="24"/>
              </w:rPr>
              <w:fldChar w:fldCharType="begin"/>
            </w:r>
            <w:r w:rsidRPr="00CC3BE2">
              <w:rPr>
                <w:rFonts w:ascii="Arial" w:hAnsi="Arial" w:cs="Arial"/>
                <w:noProof/>
                <w:webHidden/>
                <w:sz w:val="24"/>
              </w:rPr>
              <w:instrText xml:space="preserve"> PAGEREF _Toc216794668 \h </w:instrText>
            </w:r>
            <w:r w:rsidRPr="00CC3BE2">
              <w:rPr>
                <w:rFonts w:ascii="Arial" w:hAnsi="Arial" w:cs="Arial"/>
                <w:noProof/>
                <w:webHidden/>
                <w:sz w:val="24"/>
              </w:rPr>
            </w:r>
            <w:r w:rsidRPr="00CC3BE2">
              <w:rPr>
                <w:rFonts w:ascii="Arial" w:hAnsi="Arial" w:cs="Arial"/>
                <w:noProof/>
                <w:webHidden/>
                <w:sz w:val="24"/>
              </w:rPr>
              <w:fldChar w:fldCharType="separate"/>
            </w:r>
            <w:r w:rsidRPr="00CC3BE2">
              <w:rPr>
                <w:rFonts w:ascii="Arial" w:hAnsi="Arial" w:cs="Arial"/>
                <w:noProof/>
                <w:webHidden/>
                <w:sz w:val="24"/>
              </w:rPr>
              <w:t>8</w:t>
            </w:r>
            <w:r w:rsidRPr="00CC3BE2">
              <w:rPr>
                <w:rFonts w:ascii="Arial" w:hAnsi="Arial" w:cs="Arial"/>
                <w:noProof/>
                <w:webHidden/>
                <w:sz w:val="24"/>
              </w:rPr>
              <w:fldChar w:fldCharType="end"/>
            </w:r>
          </w:hyperlink>
        </w:p>
        <w:p w14:paraId="103B7903" w14:textId="65D446F5" w:rsidR="00FE7D6B" w:rsidRPr="00CC3BE2" w:rsidRDefault="00FE7D6B">
          <w:pPr>
            <w:pStyle w:val="TOC2"/>
            <w:tabs>
              <w:tab w:val="right" w:leader="dot" w:pos="9016"/>
            </w:tabs>
            <w:rPr>
              <w:rFonts w:ascii="Arial" w:eastAsiaTheme="minorEastAsia" w:hAnsi="Arial" w:cs="Arial"/>
              <w:noProof/>
              <w:kern w:val="2"/>
              <w:sz w:val="28"/>
              <w:szCs w:val="30"/>
              <w:lang w:eastAsia="en-GB" w:bidi="bn-IN"/>
              <w14:ligatures w14:val="standardContextual"/>
            </w:rPr>
          </w:pPr>
          <w:hyperlink w:anchor="_Toc216794669" w:history="1">
            <w:r w:rsidRPr="00CC3BE2">
              <w:rPr>
                <w:rStyle w:val="Hyperlink"/>
                <w:rFonts w:ascii="Arial" w:hAnsi="Arial" w:cs="Arial"/>
                <w:noProof/>
                <w:sz w:val="24"/>
              </w:rPr>
              <w:t>D. Corporate Failure Prediction: Altman Z-Score</w:t>
            </w:r>
            <w:r w:rsidRPr="00CC3BE2">
              <w:rPr>
                <w:rFonts w:ascii="Arial" w:hAnsi="Arial" w:cs="Arial"/>
                <w:noProof/>
                <w:webHidden/>
                <w:sz w:val="24"/>
              </w:rPr>
              <w:tab/>
            </w:r>
            <w:r w:rsidRPr="00CC3BE2">
              <w:rPr>
                <w:rFonts w:ascii="Arial" w:hAnsi="Arial" w:cs="Arial"/>
                <w:noProof/>
                <w:webHidden/>
                <w:sz w:val="24"/>
              </w:rPr>
              <w:fldChar w:fldCharType="begin"/>
            </w:r>
            <w:r w:rsidRPr="00CC3BE2">
              <w:rPr>
                <w:rFonts w:ascii="Arial" w:hAnsi="Arial" w:cs="Arial"/>
                <w:noProof/>
                <w:webHidden/>
                <w:sz w:val="24"/>
              </w:rPr>
              <w:instrText xml:space="preserve"> PAGEREF _Toc216794669 \h </w:instrText>
            </w:r>
            <w:r w:rsidRPr="00CC3BE2">
              <w:rPr>
                <w:rFonts w:ascii="Arial" w:hAnsi="Arial" w:cs="Arial"/>
                <w:noProof/>
                <w:webHidden/>
                <w:sz w:val="24"/>
              </w:rPr>
            </w:r>
            <w:r w:rsidRPr="00CC3BE2">
              <w:rPr>
                <w:rFonts w:ascii="Arial" w:hAnsi="Arial" w:cs="Arial"/>
                <w:noProof/>
                <w:webHidden/>
                <w:sz w:val="24"/>
              </w:rPr>
              <w:fldChar w:fldCharType="separate"/>
            </w:r>
            <w:r w:rsidRPr="00CC3BE2">
              <w:rPr>
                <w:rFonts w:ascii="Arial" w:hAnsi="Arial" w:cs="Arial"/>
                <w:noProof/>
                <w:webHidden/>
                <w:sz w:val="24"/>
              </w:rPr>
              <w:t>9</w:t>
            </w:r>
            <w:r w:rsidRPr="00CC3BE2">
              <w:rPr>
                <w:rFonts w:ascii="Arial" w:hAnsi="Arial" w:cs="Arial"/>
                <w:noProof/>
                <w:webHidden/>
                <w:sz w:val="24"/>
              </w:rPr>
              <w:fldChar w:fldCharType="end"/>
            </w:r>
          </w:hyperlink>
        </w:p>
        <w:p w14:paraId="549E265B" w14:textId="415CA2CC" w:rsidR="00FE7D6B" w:rsidRPr="00CC3BE2" w:rsidRDefault="00FE7D6B">
          <w:pPr>
            <w:pStyle w:val="TOC1"/>
            <w:tabs>
              <w:tab w:val="right" w:leader="dot" w:pos="9016"/>
            </w:tabs>
            <w:rPr>
              <w:rFonts w:ascii="Arial" w:eastAsiaTheme="minorEastAsia" w:hAnsi="Arial" w:cs="Arial"/>
              <w:noProof/>
              <w:kern w:val="2"/>
              <w:sz w:val="28"/>
              <w:szCs w:val="30"/>
              <w:lang w:eastAsia="en-GB" w:bidi="bn-IN"/>
              <w14:ligatures w14:val="standardContextual"/>
            </w:rPr>
          </w:pPr>
          <w:hyperlink w:anchor="_Toc216794670" w:history="1">
            <w:r w:rsidRPr="00CC3BE2">
              <w:rPr>
                <w:rStyle w:val="Hyperlink"/>
                <w:rFonts w:ascii="Arial" w:hAnsi="Arial" w:cs="Arial"/>
                <w:noProof/>
                <w:sz w:val="24"/>
              </w:rPr>
              <w:t>2. Working Capital Management Analysis</w:t>
            </w:r>
            <w:r w:rsidRPr="00CC3BE2">
              <w:rPr>
                <w:rFonts w:ascii="Arial" w:hAnsi="Arial" w:cs="Arial"/>
                <w:noProof/>
                <w:webHidden/>
                <w:sz w:val="24"/>
              </w:rPr>
              <w:tab/>
            </w:r>
            <w:r w:rsidRPr="00CC3BE2">
              <w:rPr>
                <w:rFonts w:ascii="Arial" w:hAnsi="Arial" w:cs="Arial"/>
                <w:noProof/>
                <w:webHidden/>
                <w:sz w:val="24"/>
              </w:rPr>
              <w:fldChar w:fldCharType="begin"/>
            </w:r>
            <w:r w:rsidRPr="00CC3BE2">
              <w:rPr>
                <w:rFonts w:ascii="Arial" w:hAnsi="Arial" w:cs="Arial"/>
                <w:noProof/>
                <w:webHidden/>
                <w:sz w:val="24"/>
              </w:rPr>
              <w:instrText xml:space="preserve"> PAGEREF _Toc216794670 \h </w:instrText>
            </w:r>
            <w:r w:rsidRPr="00CC3BE2">
              <w:rPr>
                <w:rFonts w:ascii="Arial" w:hAnsi="Arial" w:cs="Arial"/>
                <w:noProof/>
                <w:webHidden/>
                <w:sz w:val="24"/>
              </w:rPr>
            </w:r>
            <w:r w:rsidRPr="00CC3BE2">
              <w:rPr>
                <w:rFonts w:ascii="Arial" w:hAnsi="Arial" w:cs="Arial"/>
                <w:noProof/>
                <w:webHidden/>
                <w:sz w:val="24"/>
              </w:rPr>
              <w:fldChar w:fldCharType="separate"/>
            </w:r>
            <w:r w:rsidRPr="00CC3BE2">
              <w:rPr>
                <w:rFonts w:ascii="Arial" w:hAnsi="Arial" w:cs="Arial"/>
                <w:noProof/>
                <w:webHidden/>
                <w:sz w:val="24"/>
              </w:rPr>
              <w:t>12</w:t>
            </w:r>
            <w:r w:rsidRPr="00CC3BE2">
              <w:rPr>
                <w:rFonts w:ascii="Arial" w:hAnsi="Arial" w:cs="Arial"/>
                <w:noProof/>
                <w:webHidden/>
                <w:sz w:val="24"/>
              </w:rPr>
              <w:fldChar w:fldCharType="end"/>
            </w:r>
          </w:hyperlink>
        </w:p>
        <w:p w14:paraId="523248B9" w14:textId="01255652" w:rsidR="00FE7D6B" w:rsidRPr="00CC3BE2" w:rsidRDefault="00FE7D6B">
          <w:pPr>
            <w:pStyle w:val="TOC2"/>
            <w:tabs>
              <w:tab w:val="right" w:leader="dot" w:pos="9016"/>
            </w:tabs>
            <w:rPr>
              <w:rFonts w:ascii="Arial" w:eastAsiaTheme="minorEastAsia" w:hAnsi="Arial" w:cs="Arial"/>
              <w:noProof/>
              <w:kern w:val="2"/>
              <w:sz w:val="28"/>
              <w:szCs w:val="30"/>
              <w:lang w:eastAsia="en-GB" w:bidi="bn-IN"/>
              <w14:ligatures w14:val="standardContextual"/>
            </w:rPr>
          </w:pPr>
          <w:hyperlink w:anchor="_Toc216794671" w:history="1">
            <w:r w:rsidRPr="00CC3BE2">
              <w:rPr>
                <w:rStyle w:val="Hyperlink"/>
                <w:rFonts w:ascii="Arial" w:hAnsi="Arial" w:cs="Arial"/>
                <w:noProof/>
                <w:sz w:val="24"/>
              </w:rPr>
              <w:t>2.1 Evaluation of the Cash Operating Cycle (COC).</w:t>
            </w:r>
            <w:r w:rsidRPr="00CC3BE2">
              <w:rPr>
                <w:rFonts w:ascii="Arial" w:hAnsi="Arial" w:cs="Arial"/>
                <w:noProof/>
                <w:webHidden/>
                <w:sz w:val="24"/>
              </w:rPr>
              <w:tab/>
            </w:r>
            <w:r w:rsidRPr="00CC3BE2">
              <w:rPr>
                <w:rFonts w:ascii="Arial" w:hAnsi="Arial" w:cs="Arial"/>
                <w:noProof/>
                <w:webHidden/>
                <w:sz w:val="24"/>
              </w:rPr>
              <w:fldChar w:fldCharType="begin"/>
            </w:r>
            <w:r w:rsidRPr="00CC3BE2">
              <w:rPr>
                <w:rFonts w:ascii="Arial" w:hAnsi="Arial" w:cs="Arial"/>
                <w:noProof/>
                <w:webHidden/>
                <w:sz w:val="24"/>
              </w:rPr>
              <w:instrText xml:space="preserve"> PAGEREF _Toc216794671 \h </w:instrText>
            </w:r>
            <w:r w:rsidRPr="00CC3BE2">
              <w:rPr>
                <w:rFonts w:ascii="Arial" w:hAnsi="Arial" w:cs="Arial"/>
                <w:noProof/>
                <w:webHidden/>
                <w:sz w:val="24"/>
              </w:rPr>
            </w:r>
            <w:r w:rsidRPr="00CC3BE2">
              <w:rPr>
                <w:rFonts w:ascii="Arial" w:hAnsi="Arial" w:cs="Arial"/>
                <w:noProof/>
                <w:webHidden/>
                <w:sz w:val="24"/>
              </w:rPr>
              <w:fldChar w:fldCharType="separate"/>
            </w:r>
            <w:r w:rsidRPr="00CC3BE2">
              <w:rPr>
                <w:rFonts w:ascii="Arial" w:hAnsi="Arial" w:cs="Arial"/>
                <w:noProof/>
                <w:webHidden/>
                <w:sz w:val="24"/>
              </w:rPr>
              <w:t>12</w:t>
            </w:r>
            <w:r w:rsidRPr="00CC3BE2">
              <w:rPr>
                <w:rFonts w:ascii="Arial" w:hAnsi="Arial" w:cs="Arial"/>
                <w:noProof/>
                <w:webHidden/>
                <w:sz w:val="24"/>
              </w:rPr>
              <w:fldChar w:fldCharType="end"/>
            </w:r>
          </w:hyperlink>
        </w:p>
        <w:p w14:paraId="6E1CCEF9" w14:textId="4A9E44D5" w:rsidR="00FE7D6B" w:rsidRPr="00CC3BE2" w:rsidRDefault="00FE7D6B">
          <w:pPr>
            <w:pStyle w:val="TOC2"/>
            <w:tabs>
              <w:tab w:val="right" w:leader="dot" w:pos="9016"/>
            </w:tabs>
            <w:rPr>
              <w:rFonts w:ascii="Arial" w:eastAsiaTheme="minorEastAsia" w:hAnsi="Arial" w:cs="Arial"/>
              <w:noProof/>
              <w:kern w:val="2"/>
              <w:sz w:val="28"/>
              <w:szCs w:val="30"/>
              <w:lang w:eastAsia="en-GB" w:bidi="bn-IN"/>
              <w14:ligatures w14:val="standardContextual"/>
            </w:rPr>
          </w:pPr>
          <w:hyperlink w:anchor="_Toc216794672" w:history="1">
            <w:r w:rsidRPr="00CC3BE2">
              <w:rPr>
                <w:rStyle w:val="Hyperlink"/>
                <w:rFonts w:ascii="Arial" w:hAnsi="Arial" w:cs="Arial"/>
                <w:noProof/>
                <w:sz w:val="24"/>
              </w:rPr>
              <w:t>2.2 Liquidity-Enhancing Strategies in WCM Reforms</w:t>
            </w:r>
            <w:r w:rsidRPr="00CC3BE2">
              <w:rPr>
                <w:rFonts w:ascii="Arial" w:hAnsi="Arial" w:cs="Arial"/>
                <w:noProof/>
                <w:webHidden/>
                <w:sz w:val="24"/>
              </w:rPr>
              <w:tab/>
            </w:r>
            <w:r w:rsidRPr="00CC3BE2">
              <w:rPr>
                <w:rFonts w:ascii="Arial" w:hAnsi="Arial" w:cs="Arial"/>
                <w:noProof/>
                <w:webHidden/>
                <w:sz w:val="24"/>
              </w:rPr>
              <w:fldChar w:fldCharType="begin"/>
            </w:r>
            <w:r w:rsidRPr="00CC3BE2">
              <w:rPr>
                <w:rFonts w:ascii="Arial" w:hAnsi="Arial" w:cs="Arial"/>
                <w:noProof/>
                <w:webHidden/>
                <w:sz w:val="24"/>
              </w:rPr>
              <w:instrText xml:space="preserve"> PAGEREF _Toc216794672 \h </w:instrText>
            </w:r>
            <w:r w:rsidRPr="00CC3BE2">
              <w:rPr>
                <w:rFonts w:ascii="Arial" w:hAnsi="Arial" w:cs="Arial"/>
                <w:noProof/>
                <w:webHidden/>
                <w:sz w:val="24"/>
              </w:rPr>
            </w:r>
            <w:r w:rsidRPr="00CC3BE2">
              <w:rPr>
                <w:rFonts w:ascii="Arial" w:hAnsi="Arial" w:cs="Arial"/>
                <w:noProof/>
                <w:webHidden/>
                <w:sz w:val="24"/>
              </w:rPr>
              <w:fldChar w:fldCharType="separate"/>
            </w:r>
            <w:r w:rsidRPr="00CC3BE2">
              <w:rPr>
                <w:rFonts w:ascii="Arial" w:hAnsi="Arial" w:cs="Arial"/>
                <w:noProof/>
                <w:webHidden/>
                <w:sz w:val="24"/>
              </w:rPr>
              <w:t>13</w:t>
            </w:r>
            <w:r w:rsidRPr="00CC3BE2">
              <w:rPr>
                <w:rFonts w:ascii="Arial" w:hAnsi="Arial" w:cs="Arial"/>
                <w:noProof/>
                <w:webHidden/>
                <w:sz w:val="24"/>
              </w:rPr>
              <w:fldChar w:fldCharType="end"/>
            </w:r>
          </w:hyperlink>
        </w:p>
        <w:p w14:paraId="623D2AA1" w14:textId="494C23B5" w:rsidR="00FE7D6B" w:rsidRPr="00CC3BE2" w:rsidRDefault="00FE7D6B">
          <w:pPr>
            <w:pStyle w:val="TOC2"/>
            <w:tabs>
              <w:tab w:val="right" w:leader="dot" w:pos="9016"/>
            </w:tabs>
            <w:rPr>
              <w:rFonts w:ascii="Arial" w:eastAsiaTheme="minorEastAsia" w:hAnsi="Arial" w:cs="Arial"/>
              <w:noProof/>
              <w:kern w:val="2"/>
              <w:sz w:val="28"/>
              <w:szCs w:val="30"/>
              <w:lang w:eastAsia="en-GB" w:bidi="bn-IN"/>
              <w14:ligatures w14:val="standardContextual"/>
            </w:rPr>
          </w:pPr>
          <w:hyperlink w:anchor="_Toc216794673" w:history="1">
            <w:r w:rsidRPr="00CC3BE2">
              <w:rPr>
                <w:rStyle w:val="Hyperlink"/>
                <w:rFonts w:ascii="Arial" w:hAnsi="Arial" w:cs="Arial"/>
                <w:noProof/>
                <w:sz w:val="24"/>
              </w:rPr>
              <w:t>2.3 Short- versus Long-Term financing Compared</w:t>
            </w:r>
            <w:r w:rsidRPr="00CC3BE2">
              <w:rPr>
                <w:rFonts w:ascii="Arial" w:hAnsi="Arial" w:cs="Arial"/>
                <w:noProof/>
                <w:webHidden/>
                <w:sz w:val="24"/>
              </w:rPr>
              <w:tab/>
            </w:r>
            <w:r w:rsidRPr="00CC3BE2">
              <w:rPr>
                <w:rFonts w:ascii="Arial" w:hAnsi="Arial" w:cs="Arial"/>
                <w:noProof/>
                <w:webHidden/>
                <w:sz w:val="24"/>
              </w:rPr>
              <w:fldChar w:fldCharType="begin"/>
            </w:r>
            <w:r w:rsidRPr="00CC3BE2">
              <w:rPr>
                <w:rFonts w:ascii="Arial" w:hAnsi="Arial" w:cs="Arial"/>
                <w:noProof/>
                <w:webHidden/>
                <w:sz w:val="24"/>
              </w:rPr>
              <w:instrText xml:space="preserve"> PAGEREF _Toc216794673 \h </w:instrText>
            </w:r>
            <w:r w:rsidRPr="00CC3BE2">
              <w:rPr>
                <w:rFonts w:ascii="Arial" w:hAnsi="Arial" w:cs="Arial"/>
                <w:noProof/>
                <w:webHidden/>
                <w:sz w:val="24"/>
              </w:rPr>
            </w:r>
            <w:r w:rsidRPr="00CC3BE2">
              <w:rPr>
                <w:rFonts w:ascii="Arial" w:hAnsi="Arial" w:cs="Arial"/>
                <w:noProof/>
                <w:webHidden/>
                <w:sz w:val="24"/>
              </w:rPr>
              <w:fldChar w:fldCharType="separate"/>
            </w:r>
            <w:r w:rsidRPr="00CC3BE2">
              <w:rPr>
                <w:rFonts w:ascii="Arial" w:hAnsi="Arial" w:cs="Arial"/>
                <w:noProof/>
                <w:webHidden/>
                <w:sz w:val="24"/>
              </w:rPr>
              <w:t>15</w:t>
            </w:r>
            <w:r w:rsidRPr="00CC3BE2">
              <w:rPr>
                <w:rFonts w:ascii="Arial" w:hAnsi="Arial" w:cs="Arial"/>
                <w:noProof/>
                <w:webHidden/>
                <w:sz w:val="24"/>
              </w:rPr>
              <w:fldChar w:fldCharType="end"/>
            </w:r>
          </w:hyperlink>
        </w:p>
        <w:p w14:paraId="5F994C36" w14:textId="4817FF10" w:rsidR="00FE7D6B" w:rsidRPr="00CC3BE2" w:rsidRDefault="00FE7D6B">
          <w:pPr>
            <w:pStyle w:val="TOC1"/>
            <w:tabs>
              <w:tab w:val="right" w:leader="dot" w:pos="9016"/>
            </w:tabs>
            <w:rPr>
              <w:rFonts w:ascii="Arial" w:eastAsiaTheme="minorEastAsia" w:hAnsi="Arial" w:cs="Arial"/>
              <w:noProof/>
              <w:kern w:val="2"/>
              <w:sz w:val="28"/>
              <w:szCs w:val="30"/>
              <w:lang w:eastAsia="en-GB" w:bidi="bn-IN"/>
              <w14:ligatures w14:val="standardContextual"/>
            </w:rPr>
          </w:pPr>
          <w:hyperlink w:anchor="_Toc216794674" w:history="1">
            <w:r w:rsidRPr="00CC3BE2">
              <w:rPr>
                <w:rStyle w:val="Hyperlink"/>
                <w:rFonts w:ascii="Arial" w:hAnsi="Arial" w:cs="Arial"/>
                <w:noProof/>
                <w:sz w:val="24"/>
              </w:rPr>
              <w:t>3. Strategic Financial Restructuring Plan</w:t>
            </w:r>
            <w:r w:rsidRPr="00CC3BE2">
              <w:rPr>
                <w:rFonts w:ascii="Arial" w:hAnsi="Arial" w:cs="Arial"/>
                <w:noProof/>
                <w:webHidden/>
                <w:sz w:val="24"/>
              </w:rPr>
              <w:tab/>
            </w:r>
            <w:r w:rsidRPr="00CC3BE2">
              <w:rPr>
                <w:rFonts w:ascii="Arial" w:hAnsi="Arial" w:cs="Arial"/>
                <w:noProof/>
                <w:webHidden/>
                <w:sz w:val="24"/>
              </w:rPr>
              <w:fldChar w:fldCharType="begin"/>
            </w:r>
            <w:r w:rsidRPr="00CC3BE2">
              <w:rPr>
                <w:rFonts w:ascii="Arial" w:hAnsi="Arial" w:cs="Arial"/>
                <w:noProof/>
                <w:webHidden/>
                <w:sz w:val="24"/>
              </w:rPr>
              <w:instrText xml:space="preserve"> PAGEREF _Toc216794674 \h </w:instrText>
            </w:r>
            <w:r w:rsidRPr="00CC3BE2">
              <w:rPr>
                <w:rFonts w:ascii="Arial" w:hAnsi="Arial" w:cs="Arial"/>
                <w:noProof/>
                <w:webHidden/>
                <w:sz w:val="24"/>
              </w:rPr>
            </w:r>
            <w:r w:rsidRPr="00CC3BE2">
              <w:rPr>
                <w:rFonts w:ascii="Arial" w:hAnsi="Arial" w:cs="Arial"/>
                <w:noProof/>
                <w:webHidden/>
                <w:sz w:val="24"/>
              </w:rPr>
              <w:fldChar w:fldCharType="separate"/>
            </w:r>
            <w:r w:rsidRPr="00CC3BE2">
              <w:rPr>
                <w:rFonts w:ascii="Arial" w:hAnsi="Arial" w:cs="Arial"/>
                <w:noProof/>
                <w:webHidden/>
                <w:sz w:val="24"/>
              </w:rPr>
              <w:t>17</w:t>
            </w:r>
            <w:r w:rsidRPr="00CC3BE2">
              <w:rPr>
                <w:rFonts w:ascii="Arial" w:hAnsi="Arial" w:cs="Arial"/>
                <w:noProof/>
                <w:webHidden/>
                <w:sz w:val="24"/>
              </w:rPr>
              <w:fldChar w:fldCharType="end"/>
            </w:r>
          </w:hyperlink>
        </w:p>
        <w:p w14:paraId="170D98C6" w14:textId="45213DFB" w:rsidR="00FE7D6B" w:rsidRPr="00CC3BE2" w:rsidRDefault="00FE7D6B">
          <w:pPr>
            <w:pStyle w:val="TOC2"/>
            <w:tabs>
              <w:tab w:val="right" w:leader="dot" w:pos="9016"/>
            </w:tabs>
            <w:rPr>
              <w:rFonts w:ascii="Arial" w:eastAsiaTheme="minorEastAsia" w:hAnsi="Arial" w:cs="Arial"/>
              <w:noProof/>
              <w:kern w:val="2"/>
              <w:sz w:val="28"/>
              <w:szCs w:val="30"/>
              <w:lang w:eastAsia="en-GB" w:bidi="bn-IN"/>
              <w14:ligatures w14:val="standardContextual"/>
            </w:rPr>
          </w:pPr>
          <w:hyperlink w:anchor="_Toc216794675" w:history="1">
            <w:r w:rsidRPr="00CC3BE2">
              <w:rPr>
                <w:rStyle w:val="Hyperlink"/>
                <w:rFonts w:ascii="Arial" w:hAnsi="Arial" w:cs="Arial"/>
                <w:noProof/>
                <w:sz w:val="24"/>
              </w:rPr>
              <w:t>3.1 Recommended Financial Restructuring Options:</w:t>
            </w:r>
            <w:r w:rsidRPr="00CC3BE2">
              <w:rPr>
                <w:rFonts w:ascii="Arial" w:hAnsi="Arial" w:cs="Arial"/>
                <w:noProof/>
                <w:webHidden/>
                <w:sz w:val="24"/>
              </w:rPr>
              <w:tab/>
            </w:r>
            <w:r w:rsidRPr="00CC3BE2">
              <w:rPr>
                <w:rFonts w:ascii="Arial" w:hAnsi="Arial" w:cs="Arial"/>
                <w:noProof/>
                <w:webHidden/>
                <w:sz w:val="24"/>
              </w:rPr>
              <w:fldChar w:fldCharType="begin"/>
            </w:r>
            <w:r w:rsidRPr="00CC3BE2">
              <w:rPr>
                <w:rFonts w:ascii="Arial" w:hAnsi="Arial" w:cs="Arial"/>
                <w:noProof/>
                <w:webHidden/>
                <w:sz w:val="24"/>
              </w:rPr>
              <w:instrText xml:space="preserve"> PAGEREF _Toc216794675 \h </w:instrText>
            </w:r>
            <w:r w:rsidRPr="00CC3BE2">
              <w:rPr>
                <w:rFonts w:ascii="Arial" w:hAnsi="Arial" w:cs="Arial"/>
                <w:noProof/>
                <w:webHidden/>
                <w:sz w:val="24"/>
              </w:rPr>
            </w:r>
            <w:r w:rsidRPr="00CC3BE2">
              <w:rPr>
                <w:rFonts w:ascii="Arial" w:hAnsi="Arial" w:cs="Arial"/>
                <w:noProof/>
                <w:webHidden/>
                <w:sz w:val="24"/>
              </w:rPr>
              <w:fldChar w:fldCharType="separate"/>
            </w:r>
            <w:r w:rsidRPr="00CC3BE2">
              <w:rPr>
                <w:rFonts w:ascii="Arial" w:hAnsi="Arial" w:cs="Arial"/>
                <w:noProof/>
                <w:webHidden/>
                <w:sz w:val="24"/>
              </w:rPr>
              <w:t>17</w:t>
            </w:r>
            <w:r w:rsidRPr="00CC3BE2">
              <w:rPr>
                <w:rFonts w:ascii="Arial" w:hAnsi="Arial" w:cs="Arial"/>
                <w:noProof/>
                <w:webHidden/>
                <w:sz w:val="24"/>
              </w:rPr>
              <w:fldChar w:fldCharType="end"/>
            </w:r>
          </w:hyperlink>
        </w:p>
        <w:p w14:paraId="7FAA9FA5" w14:textId="4C34EE9D" w:rsidR="00FE7D6B" w:rsidRPr="00CC3BE2" w:rsidRDefault="00FE7D6B">
          <w:pPr>
            <w:pStyle w:val="TOC2"/>
            <w:tabs>
              <w:tab w:val="right" w:leader="dot" w:pos="9016"/>
            </w:tabs>
            <w:rPr>
              <w:rFonts w:ascii="Arial" w:eastAsiaTheme="minorEastAsia" w:hAnsi="Arial" w:cs="Arial"/>
              <w:noProof/>
              <w:kern w:val="2"/>
              <w:sz w:val="28"/>
              <w:szCs w:val="30"/>
              <w:lang w:eastAsia="en-GB" w:bidi="bn-IN"/>
              <w14:ligatures w14:val="standardContextual"/>
            </w:rPr>
          </w:pPr>
          <w:hyperlink w:anchor="_Toc216794676" w:history="1">
            <w:r w:rsidRPr="00CC3BE2">
              <w:rPr>
                <w:rStyle w:val="Hyperlink"/>
                <w:rFonts w:ascii="Arial" w:hAnsi="Arial" w:cs="Arial"/>
                <w:noProof/>
                <w:sz w:val="24"/>
              </w:rPr>
              <w:t>3.2 Impact on Stakeholder Evaluation</w:t>
            </w:r>
            <w:r w:rsidRPr="00CC3BE2">
              <w:rPr>
                <w:rFonts w:ascii="Arial" w:hAnsi="Arial" w:cs="Arial"/>
                <w:noProof/>
                <w:webHidden/>
                <w:sz w:val="24"/>
              </w:rPr>
              <w:tab/>
            </w:r>
            <w:r w:rsidRPr="00CC3BE2">
              <w:rPr>
                <w:rFonts w:ascii="Arial" w:hAnsi="Arial" w:cs="Arial"/>
                <w:noProof/>
                <w:webHidden/>
                <w:sz w:val="24"/>
              </w:rPr>
              <w:fldChar w:fldCharType="begin"/>
            </w:r>
            <w:r w:rsidRPr="00CC3BE2">
              <w:rPr>
                <w:rFonts w:ascii="Arial" w:hAnsi="Arial" w:cs="Arial"/>
                <w:noProof/>
                <w:webHidden/>
                <w:sz w:val="24"/>
              </w:rPr>
              <w:instrText xml:space="preserve"> PAGEREF _Toc216794676 \h </w:instrText>
            </w:r>
            <w:r w:rsidRPr="00CC3BE2">
              <w:rPr>
                <w:rFonts w:ascii="Arial" w:hAnsi="Arial" w:cs="Arial"/>
                <w:noProof/>
                <w:webHidden/>
                <w:sz w:val="24"/>
              </w:rPr>
            </w:r>
            <w:r w:rsidRPr="00CC3BE2">
              <w:rPr>
                <w:rFonts w:ascii="Arial" w:hAnsi="Arial" w:cs="Arial"/>
                <w:noProof/>
                <w:webHidden/>
                <w:sz w:val="24"/>
              </w:rPr>
              <w:fldChar w:fldCharType="separate"/>
            </w:r>
            <w:r w:rsidRPr="00CC3BE2">
              <w:rPr>
                <w:rFonts w:ascii="Arial" w:hAnsi="Arial" w:cs="Arial"/>
                <w:noProof/>
                <w:webHidden/>
                <w:sz w:val="24"/>
              </w:rPr>
              <w:t>18</w:t>
            </w:r>
            <w:r w:rsidRPr="00CC3BE2">
              <w:rPr>
                <w:rFonts w:ascii="Arial" w:hAnsi="Arial" w:cs="Arial"/>
                <w:noProof/>
                <w:webHidden/>
                <w:sz w:val="24"/>
              </w:rPr>
              <w:fldChar w:fldCharType="end"/>
            </w:r>
          </w:hyperlink>
        </w:p>
        <w:p w14:paraId="4FBB743A" w14:textId="584EE807" w:rsidR="00FE7D6B" w:rsidRPr="00CC3BE2" w:rsidRDefault="00FE7D6B">
          <w:pPr>
            <w:pStyle w:val="TOC2"/>
            <w:tabs>
              <w:tab w:val="right" w:leader="dot" w:pos="9016"/>
            </w:tabs>
            <w:rPr>
              <w:rFonts w:ascii="Arial" w:eastAsiaTheme="minorEastAsia" w:hAnsi="Arial" w:cs="Arial"/>
              <w:noProof/>
              <w:kern w:val="2"/>
              <w:sz w:val="28"/>
              <w:szCs w:val="30"/>
              <w:lang w:eastAsia="en-GB" w:bidi="bn-IN"/>
              <w14:ligatures w14:val="standardContextual"/>
            </w:rPr>
          </w:pPr>
          <w:hyperlink w:anchor="_Toc216794677" w:history="1">
            <w:r w:rsidRPr="00CC3BE2">
              <w:rPr>
                <w:rStyle w:val="Hyperlink"/>
                <w:rFonts w:ascii="Arial" w:hAnsi="Arial" w:cs="Arial"/>
                <w:noProof/>
                <w:sz w:val="24"/>
              </w:rPr>
              <w:t>3.3 International and Ethical Considerations</w:t>
            </w:r>
            <w:r w:rsidRPr="00CC3BE2">
              <w:rPr>
                <w:rFonts w:ascii="Arial" w:hAnsi="Arial" w:cs="Arial"/>
                <w:noProof/>
                <w:webHidden/>
                <w:sz w:val="24"/>
              </w:rPr>
              <w:tab/>
            </w:r>
            <w:r w:rsidRPr="00CC3BE2">
              <w:rPr>
                <w:rFonts w:ascii="Arial" w:hAnsi="Arial" w:cs="Arial"/>
                <w:noProof/>
                <w:webHidden/>
                <w:sz w:val="24"/>
              </w:rPr>
              <w:fldChar w:fldCharType="begin"/>
            </w:r>
            <w:r w:rsidRPr="00CC3BE2">
              <w:rPr>
                <w:rFonts w:ascii="Arial" w:hAnsi="Arial" w:cs="Arial"/>
                <w:noProof/>
                <w:webHidden/>
                <w:sz w:val="24"/>
              </w:rPr>
              <w:instrText xml:space="preserve"> PAGEREF _Toc216794677 \h </w:instrText>
            </w:r>
            <w:r w:rsidRPr="00CC3BE2">
              <w:rPr>
                <w:rFonts w:ascii="Arial" w:hAnsi="Arial" w:cs="Arial"/>
                <w:noProof/>
                <w:webHidden/>
                <w:sz w:val="24"/>
              </w:rPr>
            </w:r>
            <w:r w:rsidRPr="00CC3BE2">
              <w:rPr>
                <w:rFonts w:ascii="Arial" w:hAnsi="Arial" w:cs="Arial"/>
                <w:noProof/>
                <w:webHidden/>
                <w:sz w:val="24"/>
              </w:rPr>
              <w:fldChar w:fldCharType="separate"/>
            </w:r>
            <w:r w:rsidRPr="00CC3BE2">
              <w:rPr>
                <w:rFonts w:ascii="Arial" w:hAnsi="Arial" w:cs="Arial"/>
                <w:noProof/>
                <w:webHidden/>
                <w:sz w:val="24"/>
              </w:rPr>
              <w:t>20</w:t>
            </w:r>
            <w:r w:rsidRPr="00CC3BE2">
              <w:rPr>
                <w:rFonts w:ascii="Arial" w:hAnsi="Arial" w:cs="Arial"/>
                <w:noProof/>
                <w:webHidden/>
                <w:sz w:val="24"/>
              </w:rPr>
              <w:fldChar w:fldCharType="end"/>
            </w:r>
          </w:hyperlink>
        </w:p>
        <w:p w14:paraId="6566B580" w14:textId="33118307" w:rsidR="00FE7D6B" w:rsidRPr="00CC3BE2" w:rsidRDefault="00FE7D6B">
          <w:pPr>
            <w:pStyle w:val="TOC3"/>
            <w:tabs>
              <w:tab w:val="right" w:leader="dot" w:pos="9016"/>
            </w:tabs>
            <w:rPr>
              <w:rFonts w:ascii="Arial" w:eastAsiaTheme="minorEastAsia" w:hAnsi="Arial" w:cs="Arial"/>
              <w:noProof/>
              <w:kern w:val="2"/>
              <w:sz w:val="28"/>
              <w:szCs w:val="30"/>
              <w:lang w:eastAsia="en-GB" w:bidi="bn-IN"/>
              <w14:ligatures w14:val="standardContextual"/>
            </w:rPr>
          </w:pPr>
          <w:hyperlink w:anchor="_Toc216794678" w:history="1">
            <w:r w:rsidRPr="00CC3BE2">
              <w:rPr>
                <w:rStyle w:val="Hyperlink"/>
                <w:rFonts w:ascii="Arial" w:hAnsi="Arial" w:cs="Arial"/>
                <w:noProof/>
                <w:sz w:val="24"/>
              </w:rPr>
              <w:t>3.3.1 International Financial Risks</w:t>
            </w:r>
            <w:r w:rsidRPr="00CC3BE2">
              <w:rPr>
                <w:rFonts w:ascii="Arial" w:hAnsi="Arial" w:cs="Arial"/>
                <w:noProof/>
                <w:webHidden/>
                <w:sz w:val="24"/>
              </w:rPr>
              <w:tab/>
            </w:r>
            <w:r w:rsidRPr="00CC3BE2">
              <w:rPr>
                <w:rFonts w:ascii="Arial" w:hAnsi="Arial" w:cs="Arial"/>
                <w:noProof/>
                <w:webHidden/>
                <w:sz w:val="24"/>
              </w:rPr>
              <w:fldChar w:fldCharType="begin"/>
            </w:r>
            <w:r w:rsidRPr="00CC3BE2">
              <w:rPr>
                <w:rFonts w:ascii="Arial" w:hAnsi="Arial" w:cs="Arial"/>
                <w:noProof/>
                <w:webHidden/>
                <w:sz w:val="24"/>
              </w:rPr>
              <w:instrText xml:space="preserve"> PAGEREF _Toc216794678 \h </w:instrText>
            </w:r>
            <w:r w:rsidRPr="00CC3BE2">
              <w:rPr>
                <w:rFonts w:ascii="Arial" w:hAnsi="Arial" w:cs="Arial"/>
                <w:noProof/>
                <w:webHidden/>
                <w:sz w:val="24"/>
              </w:rPr>
            </w:r>
            <w:r w:rsidRPr="00CC3BE2">
              <w:rPr>
                <w:rFonts w:ascii="Arial" w:hAnsi="Arial" w:cs="Arial"/>
                <w:noProof/>
                <w:webHidden/>
                <w:sz w:val="24"/>
              </w:rPr>
              <w:fldChar w:fldCharType="separate"/>
            </w:r>
            <w:r w:rsidRPr="00CC3BE2">
              <w:rPr>
                <w:rFonts w:ascii="Arial" w:hAnsi="Arial" w:cs="Arial"/>
                <w:noProof/>
                <w:webHidden/>
                <w:sz w:val="24"/>
              </w:rPr>
              <w:t>21</w:t>
            </w:r>
            <w:r w:rsidRPr="00CC3BE2">
              <w:rPr>
                <w:rFonts w:ascii="Arial" w:hAnsi="Arial" w:cs="Arial"/>
                <w:noProof/>
                <w:webHidden/>
                <w:sz w:val="24"/>
              </w:rPr>
              <w:fldChar w:fldCharType="end"/>
            </w:r>
          </w:hyperlink>
        </w:p>
        <w:p w14:paraId="304DE6F0" w14:textId="4067456F" w:rsidR="00FE7D6B" w:rsidRPr="00CC3BE2" w:rsidRDefault="00FE7D6B">
          <w:pPr>
            <w:pStyle w:val="TOC2"/>
            <w:tabs>
              <w:tab w:val="right" w:leader="dot" w:pos="9016"/>
            </w:tabs>
            <w:rPr>
              <w:rFonts w:ascii="Arial" w:eastAsiaTheme="minorEastAsia" w:hAnsi="Arial" w:cs="Arial"/>
              <w:noProof/>
              <w:kern w:val="2"/>
              <w:sz w:val="28"/>
              <w:szCs w:val="30"/>
              <w:lang w:eastAsia="en-GB" w:bidi="bn-IN"/>
              <w14:ligatures w14:val="standardContextual"/>
            </w:rPr>
          </w:pPr>
          <w:hyperlink w:anchor="_Toc216794679" w:history="1">
            <w:r w:rsidRPr="00CC3BE2">
              <w:rPr>
                <w:rStyle w:val="Hyperlink"/>
                <w:rFonts w:ascii="Arial" w:hAnsi="Arial" w:cs="Arial"/>
                <w:noProof/>
                <w:sz w:val="24"/>
              </w:rPr>
              <w:t>3.4 CSR and Ethical Requirements.</w:t>
            </w:r>
            <w:r w:rsidRPr="00CC3BE2">
              <w:rPr>
                <w:rFonts w:ascii="Arial" w:hAnsi="Arial" w:cs="Arial"/>
                <w:noProof/>
                <w:webHidden/>
                <w:sz w:val="24"/>
              </w:rPr>
              <w:tab/>
            </w:r>
            <w:r w:rsidRPr="00CC3BE2">
              <w:rPr>
                <w:rFonts w:ascii="Arial" w:hAnsi="Arial" w:cs="Arial"/>
                <w:noProof/>
                <w:webHidden/>
                <w:sz w:val="24"/>
              </w:rPr>
              <w:fldChar w:fldCharType="begin"/>
            </w:r>
            <w:r w:rsidRPr="00CC3BE2">
              <w:rPr>
                <w:rFonts w:ascii="Arial" w:hAnsi="Arial" w:cs="Arial"/>
                <w:noProof/>
                <w:webHidden/>
                <w:sz w:val="24"/>
              </w:rPr>
              <w:instrText xml:space="preserve"> PAGEREF _Toc216794679 \h </w:instrText>
            </w:r>
            <w:r w:rsidRPr="00CC3BE2">
              <w:rPr>
                <w:rFonts w:ascii="Arial" w:hAnsi="Arial" w:cs="Arial"/>
                <w:noProof/>
                <w:webHidden/>
                <w:sz w:val="24"/>
              </w:rPr>
            </w:r>
            <w:r w:rsidRPr="00CC3BE2">
              <w:rPr>
                <w:rFonts w:ascii="Arial" w:hAnsi="Arial" w:cs="Arial"/>
                <w:noProof/>
                <w:webHidden/>
                <w:sz w:val="24"/>
              </w:rPr>
              <w:fldChar w:fldCharType="separate"/>
            </w:r>
            <w:r w:rsidRPr="00CC3BE2">
              <w:rPr>
                <w:rFonts w:ascii="Arial" w:hAnsi="Arial" w:cs="Arial"/>
                <w:noProof/>
                <w:webHidden/>
                <w:sz w:val="24"/>
              </w:rPr>
              <w:t>22</w:t>
            </w:r>
            <w:r w:rsidRPr="00CC3BE2">
              <w:rPr>
                <w:rFonts w:ascii="Arial" w:hAnsi="Arial" w:cs="Arial"/>
                <w:noProof/>
                <w:webHidden/>
                <w:sz w:val="24"/>
              </w:rPr>
              <w:fldChar w:fldCharType="end"/>
            </w:r>
          </w:hyperlink>
        </w:p>
        <w:p w14:paraId="37A14D32" w14:textId="1C9C73F0" w:rsidR="00FE7D6B" w:rsidRPr="00CC3BE2" w:rsidRDefault="00FE7D6B">
          <w:pPr>
            <w:pStyle w:val="TOC1"/>
            <w:tabs>
              <w:tab w:val="right" w:leader="dot" w:pos="9016"/>
            </w:tabs>
            <w:rPr>
              <w:rFonts w:ascii="Arial" w:eastAsiaTheme="minorEastAsia" w:hAnsi="Arial" w:cs="Arial"/>
              <w:noProof/>
              <w:kern w:val="2"/>
              <w:sz w:val="28"/>
              <w:szCs w:val="30"/>
              <w:lang w:eastAsia="en-GB" w:bidi="bn-IN"/>
              <w14:ligatures w14:val="standardContextual"/>
            </w:rPr>
          </w:pPr>
          <w:hyperlink w:anchor="_Toc216794680" w:history="1">
            <w:r w:rsidRPr="00CC3BE2">
              <w:rPr>
                <w:rStyle w:val="Hyperlink"/>
                <w:rFonts w:ascii="Arial" w:hAnsi="Arial" w:cs="Arial"/>
                <w:noProof/>
                <w:sz w:val="24"/>
              </w:rPr>
              <w:t>4. Investment Appraisal and Capital Budgeting</w:t>
            </w:r>
            <w:r w:rsidRPr="00CC3BE2">
              <w:rPr>
                <w:rFonts w:ascii="Arial" w:hAnsi="Arial" w:cs="Arial"/>
                <w:noProof/>
                <w:webHidden/>
                <w:sz w:val="24"/>
              </w:rPr>
              <w:tab/>
            </w:r>
            <w:r w:rsidRPr="00CC3BE2">
              <w:rPr>
                <w:rFonts w:ascii="Arial" w:hAnsi="Arial" w:cs="Arial"/>
                <w:noProof/>
                <w:webHidden/>
                <w:sz w:val="24"/>
              </w:rPr>
              <w:fldChar w:fldCharType="begin"/>
            </w:r>
            <w:r w:rsidRPr="00CC3BE2">
              <w:rPr>
                <w:rFonts w:ascii="Arial" w:hAnsi="Arial" w:cs="Arial"/>
                <w:noProof/>
                <w:webHidden/>
                <w:sz w:val="24"/>
              </w:rPr>
              <w:instrText xml:space="preserve"> PAGEREF _Toc216794680 \h </w:instrText>
            </w:r>
            <w:r w:rsidRPr="00CC3BE2">
              <w:rPr>
                <w:rFonts w:ascii="Arial" w:hAnsi="Arial" w:cs="Arial"/>
                <w:noProof/>
                <w:webHidden/>
                <w:sz w:val="24"/>
              </w:rPr>
            </w:r>
            <w:r w:rsidRPr="00CC3BE2">
              <w:rPr>
                <w:rFonts w:ascii="Arial" w:hAnsi="Arial" w:cs="Arial"/>
                <w:noProof/>
                <w:webHidden/>
                <w:sz w:val="24"/>
              </w:rPr>
              <w:fldChar w:fldCharType="separate"/>
            </w:r>
            <w:r w:rsidRPr="00CC3BE2">
              <w:rPr>
                <w:rFonts w:ascii="Arial" w:hAnsi="Arial" w:cs="Arial"/>
                <w:noProof/>
                <w:webHidden/>
                <w:sz w:val="24"/>
              </w:rPr>
              <w:t>23</w:t>
            </w:r>
            <w:r w:rsidRPr="00CC3BE2">
              <w:rPr>
                <w:rFonts w:ascii="Arial" w:hAnsi="Arial" w:cs="Arial"/>
                <w:noProof/>
                <w:webHidden/>
                <w:sz w:val="24"/>
              </w:rPr>
              <w:fldChar w:fldCharType="end"/>
            </w:r>
          </w:hyperlink>
        </w:p>
        <w:p w14:paraId="421B3FFF" w14:textId="79491E60" w:rsidR="00FE7D6B" w:rsidRPr="00CC3BE2" w:rsidRDefault="00FE7D6B">
          <w:pPr>
            <w:pStyle w:val="TOC1"/>
            <w:tabs>
              <w:tab w:val="right" w:leader="dot" w:pos="9016"/>
            </w:tabs>
            <w:rPr>
              <w:rFonts w:ascii="Arial" w:eastAsiaTheme="minorEastAsia" w:hAnsi="Arial" w:cs="Arial"/>
              <w:noProof/>
              <w:kern w:val="2"/>
              <w:sz w:val="28"/>
              <w:szCs w:val="30"/>
              <w:lang w:eastAsia="en-GB" w:bidi="bn-IN"/>
              <w14:ligatures w14:val="standardContextual"/>
            </w:rPr>
          </w:pPr>
          <w:hyperlink w:anchor="_Toc216794681" w:history="1">
            <w:r w:rsidRPr="00CC3BE2">
              <w:rPr>
                <w:rStyle w:val="Hyperlink"/>
                <w:rFonts w:ascii="Arial" w:hAnsi="Arial" w:cs="Arial"/>
                <w:noProof/>
                <w:sz w:val="24"/>
              </w:rPr>
              <w:t>Conclusion</w:t>
            </w:r>
            <w:r w:rsidRPr="00CC3BE2">
              <w:rPr>
                <w:rFonts w:ascii="Arial" w:hAnsi="Arial" w:cs="Arial"/>
                <w:noProof/>
                <w:webHidden/>
                <w:sz w:val="24"/>
              </w:rPr>
              <w:tab/>
            </w:r>
            <w:r w:rsidRPr="00CC3BE2">
              <w:rPr>
                <w:rFonts w:ascii="Arial" w:hAnsi="Arial" w:cs="Arial"/>
                <w:noProof/>
                <w:webHidden/>
                <w:sz w:val="24"/>
              </w:rPr>
              <w:fldChar w:fldCharType="begin"/>
            </w:r>
            <w:r w:rsidRPr="00CC3BE2">
              <w:rPr>
                <w:rFonts w:ascii="Arial" w:hAnsi="Arial" w:cs="Arial"/>
                <w:noProof/>
                <w:webHidden/>
                <w:sz w:val="24"/>
              </w:rPr>
              <w:instrText xml:space="preserve"> PAGEREF _Toc216794681 \h </w:instrText>
            </w:r>
            <w:r w:rsidRPr="00CC3BE2">
              <w:rPr>
                <w:rFonts w:ascii="Arial" w:hAnsi="Arial" w:cs="Arial"/>
                <w:noProof/>
                <w:webHidden/>
                <w:sz w:val="24"/>
              </w:rPr>
            </w:r>
            <w:r w:rsidRPr="00CC3BE2">
              <w:rPr>
                <w:rFonts w:ascii="Arial" w:hAnsi="Arial" w:cs="Arial"/>
                <w:noProof/>
                <w:webHidden/>
                <w:sz w:val="24"/>
              </w:rPr>
              <w:fldChar w:fldCharType="separate"/>
            </w:r>
            <w:r w:rsidRPr="00CC3BE2">
              <w:rPr>
                <w:rFonts w:ascii="Arial" w:hAnsi="Arial" w:cs="Arial"/>
                <w:noProof/>
                <w:webHidden/>
                <w:sz w:val="24"/>
              </w:rPr>
              <w:t>29</w:t>
            </w:r>
            <w:r w:rsidRPr="00CC3BE2">
              <w:rPr>
                <w:rFonts w:ascii="Arial" w:hAnsi="Arial" w:cs="Arial"/>
                <w:noProof/>
                <w:webHidden/>
                <w:sz w:val="24"/>
              </w:rPr>
              <w:fldChar w:fldCharType="end"/>
            </w:r>
          </w:hyperlink>
        </w:p>
        <w:p w14:paraId="2A72E265" w14:textId="1BDBDAAC" w:rsidR="00FE7D6B" w:rsidRPr="00CC3BE2" w:rsidRDefault="00FE7D6B">
          <w:pPr>
            <w:pStyle w:val="TOC1"/>
            <w:tabs>
              <w:tab w:val="right" w:leader="dot" w:pos="9016"/>
            </w:tabs>
            <w:rPr>
              <w:rFonts w:ascii="Arial" w:eastAsiaTheme="minorEastAsia" w:hAnsi="Arial" w:cs="Arial"/>
              <w:noProof/>
              <w:kern w:val="2"/>
              <w:sz w:val="28"/>
              <w:szCs w:val="30"/>
              <w:lang w:eastAsia="en-GB" w:bidi="bn-IN"/>
              <w14:ligatures w14:val="standardContextual"/>
            </w:rPr>
          </w:pPr>
          <w:hyperlink w:anchor="_Toc216794682" w:history="1">
            <w:r w:rsidRPr="00CC3BE2">
              <w:rPr>
                <w:rStyle w:val="Hyperlink"/>
                <w:rFonts w:ascii="Arial" w:hAnsi="Arial" w:cs="Arial"/>
                <w:noProof/>
                <w:sz w:val="24"/>
              </w:rPr>
              <w:t>Reference</w:t>
            </w:r>
            <w:r w:rsidRPr="00CC3BE2">
              <w:rPr>
                <w:rFonts w:ascii="Arial" w:hAnsi="Arial" w:cs="Arial"/>
                <w:noProof/>
                <w:webHidden/>
                <w:sz w:val="24"/>
              </w:rPr>
              <w:tab/>
            </w:r>
            <w:r w:rsidRPr="00CC3BE2">
              <w:rPr>
                <w:rFonts w:ascii="Arial" w:hAnsi="Arial" w:cs="Arial"/>
                <w:noProof/>
                <w:webHidden/>
                <w:sz w:val="24"/>
              </w:rPr>
              <w:fldChar w:fldCharType="begin"/>
            </w:r>
            <w:r w:rsidRPr="00CC3BE2">
              <w:rPr>
                <w:rFonts w:ascii="Arial" w:hAnsi="Arial" w:cs="Arial"/>
                <w:noProof/>
                <w:webHidden/>
                <w:sz w:val="24"/>
              </w:rPr>
              <w:instrText xml:space="preserve"> PAGEREF _Toc216794682 \h </w:instrText>
            </w:r>
            <w:r w:rsidRPr="00CC3BE2">
              <w:rPr>
                <w:rFonts w:ascii="Arial" w:hAnsi="Arial" w:cs="Arial"/>
                <w:noProof/>
                <w:webHidden/>
                <w:sz w:val="24"/>
              </w:rPr>
            </w:r>
            <w:r w:rsidRPr="00CC3BE2">
              <w:rPr>
                <w:rFonts w:ascii="Arial" w:hAnsi="Arial" w:cs="Arial"/>
                <w:noProof/>
                <w:webHidden/>
                <w:sz w:val="24"/>
              </w:rPr>
              <w:fldChar w:fldCharType="separate"/>
            </w:r>
            <w:r w:rsidRPr="00CC3BE2">
              <w:rPr>
                <w:rFonts w:ascii="Arial" w:hAnsi="Arial" w:cs="Arial"/>
                <w:noProof/>
                <w:webHidden/>
                <w:sz w:val="24"/>
              </w:rPr>
              <w:t>30</w:t>
            </w:r>
            <w:r w:rsidRPr="00CC3BE2">
              <w:rPr>
                <w:rFonts w:ascii="Arial" w:hAnsi="Arial" w:cs="Arial"/>
                <w:noProof/>
                <w:webHidden/>
                <w:sz w:val="24"/>
              </w:rPr>
              <w:fldChar w:fldCharType="end"/>
            </w:r>
          </w:hyperlink>
        </w:p>
        <w:p w14:paraId="1463FE7B" w14:textId="03E86B96" w:rsidR="00FE7D6B" w:rsidRPr="00CC3BE2" w:rsidRDefault="00FE7D6B">
          <w:pPr>
            <w:pStyle w:val="TOC1"/>
            <w:tabs>
              <w:tab w:val="right" w:leader="dot" w:pos="9016"/>
            </w:tabs>
            <w:rPr>
              <w:rFonts w:ascii="Arial" w:eastAsiaTheme="minorEastAsia" w:hAnsi="Arial" w:cs="Arial"/>
              <w:noProof/>
              <w:kern w:val="2"/>
              <w:sz w:val="28"/>
              <w:szCs w:val="30"/>
              <w:lang w:eastAsia="en-GB" w:bidi="bn-IN"/>
              <w14:ligatures w14:val="standardContextual"/>
            </w:rPr>
          </w:pPr>
          <w:hyperlink w:anchor="_Toc216794683" w:history="1">
            <w:r w:rsidRPr="00CC3BE2">
              <w:rPr>
                <w:rStyle w:val="Hyperlink"/>
                <w:rFonts w:ascii="Arial" w:hAnsi="Arial" w:cs="Arial"/>
                <w:noProof/>
                <w:sz w:val="24"/>
              </w:rPr>
              <w:t>Appendices</w:t>
            </w:r>
            <w:r w:rsidRPr="00CC3BE2">
              <w:rPr>
                <w:rFonts w:ascii="Arial" w:hAnsi="Arial" w:cs="Arial"/>
                <w:noProof/>
                <w:webHidden/>
                <w:sz w:val="24"/>
              </w:rPr>
              <w:tab/>
            </w:r>
            <w:r w:rsidRPr="00CC3BE2">
              <w:rPr>
                <w:rFonts w:ascii="Arial" w:hAnsi="Arial" w:cs="Arial"/>
                <w:noProof/>
                <w:webHidden/>
                <w:sz w:val="24"/>
              </w:rPr>
              <w:fldChar w:fldCharType="begin"/>
            </w:r>
            <w:r w:rsidRPr="00CC3BE2">
              <w:rPr>
                <w:rFonts w:ascii="Arial" w:hAnsi="Arial" w:cs="Arial"/>
                <w:noProof/>
                <w:webHidden/>
                <w:sz w:val="24"/>
              </w:rPr>
              <w:instrText xml:space="preserve"> PAGEREF _Toc216794683 \h </w:instrText>
            </w:r>
            <w:r w:rsidRPr="00CC3BE2">
              <w:rPr>
                <w:rFonts w:ascii="Arial" w:hAnsi="Arial" w:cs="Arial"/>
                <w:noProof/>
                <w:webHidden/>
                <w:sz w:val="24"/>
              </w:rPr>
            </w:r>
            <w:r w:rsidRPr="00CC3BE2">
              <w:rPr>
                <w:rFonts w:ascii="Arial" w:hAnsi="Arial" w:cs="Arial"/>
                <w:noProof/>
                <w:webHidden/>
                <w:sz w:val="24"/>
              </w:rPr>
              <w:fldChar w:fldCharType="separate"/>
            </w:r>
            <w:r w:rsidRPr="00CC3BE2">
              <w:rPr>
                <w:rFonts w:ascii="Arial" w:hAnsi="Arial" w:cs="Arial"/>
                <w:noProof/>
                <w:webHidden/>
                <w:sz w:val="24"/>
              </w:rPr>
              <w:t>33</w:t>
            </w:r>
            <w:r w:rsidRPr="00CC3BE2">
              <w:rPr>
                <w:rFonts w:ascii="Arial" w:hAnsi="Arial" w:cs="Arial"/>
                <w:noProof/>
                <w:webHidden/>
                <w:sz w:val="24"/>
              </w:rPr>
              <w:fldChar w:fldCharType="end"/>
            </w:r>
          </w:hyperlink>
        </w:p>
        <w:p w14:paraId="5B267A97" w14:textId="2CD4BB42" w:rsidR="00FE7D6B" w:rsidRPr="00CC3BE2" w:rsidRDefault="00FE7D6B">
          <w:pPr>
            <w:pStyle w:val="TOC2"/>
            <w:tabs>
              <w:tab w:val="right" w:leader="dot" w:pos="9016"/>
            </w:tabs>
            <w:rPr>
              <w:rFonts w:ascii="Arial" w:eastAsiaTheme="minorEastAsia" w:hAnsi="Arial" w:cs="Arial"/>
              <w:noProof/>
              <w:kern w:val="2"/>
              <w:sz w:val="28"/>
              <w:szCs w:val="30"/>
              <w:lang w:eastAsia="en-GB" w:bidi="bn-IN"/>
              <w14:ligatures w14:val="standardContextual"/>
            </w:rPr>
          </w:pPr>
          <w:hyperlink w:anchor="_Toc216794684" w:history="1">
            <w:r w:rsidRPr="00CC3BE2">
              <w:rPr>
                <w:rStyle w:val="Hyperlink"/>
                <w:rFonts w:ascii="Arial" w:hAnsi="Arial" w:cs="Arial"/>
                <w:noProof/>
                <w:sz w:val="24"/>
              </w:rPr>
              <w:t>APPENDIX A: Ratio Analysis Tables</w:t>
            </w:r>
            <w:r w:rsidRPr="00CC3BE2">
              <w:rPr>
                <w:rFonts w:ascii="Arial" w:hAnsi="Arial" w:cs="Arial"/>
                <w:noProof/>
                <w:webHidden/>
                <w:sz w:val="24"/>
              </w:rPr>
              <w:tab/>
            </w:r>
            <w:r w:rsidRPr="00CC3BE2">
              <w:rPr>
                <w:rFonts w:ascii="Arial" w:hAnsi="Arial" w:cs="Arial"/>
                <w:noProof/>
                <w:webHidden/>
                <w:sz w:val="24"/>
              </w:rPr>
              <w:fldChar w:fldCharType="begin"/>
            </w:r>
            <w:r w:rsidRPr="00CC3BE2">
              <w:rPr>
                <w:rFonts w:ascii="Arial" w:hAnsi="Arial" w:cs="Arial"/>
                <w:noProof/>
                <w:webHidden/>
                <w:sz w:val="24"/>
              </w:rPr>
              <w:instrText xml:space="preserve"> PAGEREF _Toc216794684 \h </w:instrText>
            </w:r>
            <w:r w:rsidRPr="00CC3BE2">
              <w:rPr>
                <w:rFonts w:ascii="Arial" w:hAnsi="Arial" w:cs="Arial"/>
                <w:noProof/>
                <w:webHidden/>
                <w:sz w:val="24"/>
              </w:rPr>
            </w:r>
            <w:r w:rsidRPr="00CC3BE2">
              <w:rPr>
                <w:rFonts w:ascii="Arial" w:hAnsi="Arial" w:cs="Arial"/>
                <w:noProof/>
                <w:webHidden/>
                <w:sz w:val="24"/>
              </w:rPr>
              <w:fldChar w:fldCharType="separate"/>
            </w:r>
            <w:r w:rsidRPr="00CC3BE2">
              <w:rPr>
                <w:rFonts w:ascii="Arial" w:hAnsi="Arial" w:cs="Arial"/>
                <w:noProof/>
                <w:webHidden/>
                <w:sz w:val="24"/>
              </w:rPr>
              <w:t>33</w:t>
            </w:r>
            <w:r w:rsidRPr="00CC3BE2">
              <w:rPr>
                <w:rFonts w:ascii="Arial" w:hAnsi="Arial" w:cs="Arial"/>
                <w:noProof/>
                <w:webHidden/>
                <w:sz w:val="24"/>
              </w:rPr>
              <w:fldChar w:fldCharType="end"/>
            </w:r>
          </w:hyperlink>
        </w:p>
        <w:p w14:paraId="6E39DEC0" w14:textId="17EEC6F9" w:rsidR="00FE7D6B" w:rsidRPr="00CC3BE2" w:rsidRDefault="00FE7D6B">
          <w:pPr>
            <w:pStyle w:val="TOC2"/>
            <w:tabs>
              <w:tab w:val="right" w:leader="dot" w:pos="9016"/>
            </w:tabs>
            <w:rPr>
              <w:rFonts w:ascii="Arial" w:eastAsiaTheme="minorEastAsia" w:hAnsi="Arial" w:cs="Arial"/>
              <w:noProof/>
              <w:kern w:val="2"/>
              <w:sz w:val="28"/>
              <w:szCs w:val="30"/>
              <w:lang w:eastAsia="en-GB" w:bidi="bn-IN"/>
              <w14:ligatures w14:val="standardContextual"/>
            </w:rPr>
          </w:pPr>
          <w:hyperlink w:anchor="_Toc216794685" w:history="1">
            <w:r w:rsidRPr="00CC3BE2">
              <w:rPr>
                <w:rStyle w:val="Hyperlink"/>
                <w:rFonts w:ascii="Arial" w:hAnsi="Arial" w:cs="Arial"/>
                <w:noProof/>
                <w:sz w:val="24"/>
                <w:lang w:eastAsia="en-GB"/>
              </w:rPr>
              <w:t>APPENDIX B: Investment Appraisal Calculations</w:t>
            </w:r>
            <w:r w:rsidRPr="00CC3BE2">
              <w:rPr>
                <w:rFonts w:ascii="Arial" w:hAnsi="Arial" w:cs="Arial"/>
                <w:noProof/>
                <w:webHidden/>
                <w:sz w:val="24"/>
              </w:rPr>
              <w:tab/>
            </w:r>
            <w:r w:rsidRPr="00CC3BE2">
              <w:rPr>
                <w:rFonts w:ascii="Arial" w:hAnsi="Arial" w:cs="Arial"/>
                <w:noProof/>
                <w:webHidden/>
                <w:sz w:val="24"/>
              </w:rPr>
              <w:fldChar w:fldCharType="begin"/>
            </w:r>
            <w:r w:rsidRPr="00CC3BE2">
              <w:rPr>
                <w:rFonts w:ascii="Arial" w:hAnsi="Arial" w:cs="Arial"/>
                <w:noProof/>
                <w:webHidden/>
                <w:sz w:val="24"/>
              </w:rPr>
              <w:instrText xml:space="preserve"> PAGEREF _Toc216794685 \h </w:instrText>
            </w:r>
            <w:r w:rsidRPr="00CC3BE2">
              <w:rPr>
                <w:rFonts w:ascii="Arial" w:hAnsi="Arial" w:cs="Arial"/>
                <w:noProof/>
                <w:webHidden/>
                <w:sz w:val="24"/>
              </w:rPr>
            </w:r>
            <w:r w:rsidRPr="00CC3BE2">
              <w:rPr>
                <w:rFonts w:ascii="Arial" w:hAnsi="Arial" w:cs="Arial"/>
                <w:noProof/>
                <w:webHidden/>
                <w:sz w:val="24"/>
              </w:rPr>
              <w:fldChar w:fldCharType="separate"/>
            </w:r>
            <w:r w:rsidRPr="00CC3BE2">
              <w:rPr>
                <w:rFonts w:ascii="Arial" w:hAnsi="Arial" w:cs="Arial"/>
                <w:noProof/>
                <w:webHidden/>
                <w:sz w:val="24"/>
              </w:rPr>
              <w:t>34</w:t>
            </w:r>
            <w:r w:rsidRPr="00CC3BE2">
              <w:rPr>
                <w:rFonts w:ascii="Arial" w:hAnsi="Arial" w:cs="Arial"/>
                <w:noProof/>
                <w:webHidden/>
                <w:sz w:val="24"/>
              </w:rPr>
              <w:fldChar w:fldCharType="end"/>
            </w:r>
          </w:hyperlink>
        </w:p>
        <w:p w14:paraId="3D235B2B" w14:textId="361BE7FF" w:rsidR="00FE7D6B" w:rsidRPr="00CC3BE2" w:rsidRDefault="00FE7D6B">
          <w:pPr>
            <w:pStyle w:val="TOC2"/>
            <w:tabs>
              <w:tab w:val="right" w:leader="dot" w:pos="9016"/>
            </w:tabs>
            <w:rPr>
              <w:rFonts w:ascii="Arial" w:eastAsiaTheme="minorEastAsia" w:hAnsi="Arial" w:cs="Arial"/>
              <w:noProof/>
              <w:kern w:val="2"/>
              <w:sz w:val="28"/>
              <w:szCs w:val="30"/>
              <w:lang w:eastAsia="en-GB" w:bidi="bn-IN"/>
              <w14:ligatures w14:val="standardContextual"/>
            </w:rPr>
          </w:pPr>
          <w:hyperlink w:anchor="_Toc216794686" w:history="1">
            <w:r w:rsidRPr="00CC3BE2">
              <w:rPr>
                <w:rStyle w:val="Hyperlink"/>
                <w:rFonts w:ascii="Arial" w:hAnsi="Arial" w:cs="Arial"/>
                <w:noProof/>
                <w:sz w:val="24"/>
                <w:lang w:eastAsia="en-GB"/>
              </w:rPr>
              <w:t>Appendix C: Investment Appraisal Calculations</w:t>
            </w:r>
            <w:r w:rsidRPr="00CC3BE2">
              <w:rPr>
                <w:rFonts w:ascii="Arial" w:hAnsi="Arial" w:cs="Arial"/>
                <w:noProof/>
                <w:webHidden/>
                <w:sz w:val="24"/>
              </w:rPr>
              <w:tab/>
            </w:r>
            <w:r w:rsidRPr="00CC3BE2">
              <w:rPr>
                <w:rFonts w:ascii="Arial" w:hAnsi="Arial" w:cs="Arial"/>
                <w:noProof/>
                <w:webHidden/>
                <w:sz w:val="24"/>
              </w:rPr>
              <w:fldChar w:fldCharType="begin"/>
            </w:r>
            <w:r w:rsidRPr="00CC3BE2">
              <w:rPr>
                <w:rFonts w:ascii="Arial" w:hAnsi="Arial" w:cs="Arial"/>
                <w:noProof/>
                <w:webHidden/>
                <w:sz w:val="24"/>
              </w:rPr>
              <w:instrText xml:space="preserve"> PAGEREF _Toc216794686 \h </w:instrText>
            </w:r>
            <w:r w:rsidRPr="00CC3BE2">
              <w:rPr>
                <w:rFonts w:ascii="Arial" w:hAnsi="Arial" w:cs="Arial"/>
                <w:noProof/>
                <w:webHidden/>
                <w:sz w:val="24"/>
              </w:rPr>
            </w:r>
            <w:r w:rsidRPr="00CC3BE2">
              <w:rPr>
                <w:rFonts w:ascii="Arial" w:hAnsi="Arial" w:cs="Arial"/>
                <w:noProof/>
                <w:webHidden/>
                <w:sz w:val="24"/>
              </w:rPr>
              <w:fldChar w:fldCharType="separate"/>
            </w:r>
            <w:r w:rsidRPr="00CC3BE2">
              <w:rPr>
                <w:rFonts w:ascii="Arial" w:hAnsi="Arial" w:cs="Arial"/>
                <w:noProof/>
                <w:webHidden/>
                <w:sz w:val="24"/>
              </w:rPr>
              <w:t>34</w:t>
            </w:r>
            <w:r w:rsidRPr="00CC3BE2">
              <w:rPr>
                <w:rFonts w:ascii="Arial" w:hAnsi="Arial" w:cs="Arial"/>
                <w:noProof/>
                <w:webHidden/>
                <w:sz w:val="24"/>
              </w:rPr>
              <w:fldChar w:fldCharType="end"/>
            </w:r>
          </w:hyperlink>
        </w:p>
        <w:p w14:paraId="36E2A485" w14:textId="106D5E5C" w:rsidR="00CD4561" w:rsidRPr="00CC3BE2" w:rsidRDefault="00CD4561" w:rsidP="00CD4561">
          <w:pPr>
            <w:spacing w:line="360" w:lineRule="auto"/>
            <w:rPr>
              <w:rFonts w:ascii="Arial" w:hAnsi="Arial" w:cs="Arial"/>
              <w:sz w:val="24"/>
            </w:rPr>
          </w:pPr>
          <w:r w:rsidRPr="00CC3BE2">
            <w:rPr>
              <w:rFonts w:ascii="Arial" w:hAnsi="Arial" w:cs="Arial"/>
              <w:b/>
              <w:bCs/>
              <w:sz w:val="24"/>
            </w:rPr>
            <w:fldChar w:fldCharType="end"/>
          </w:r>
        </w:p>
      </w:sdtContent>
    </w:sdt>
    <w:p w14:paraId="7C17B12A" w14:textId="77777777" w:rsidR="00E51711" w:rsidRPr="006C081F" w:rsidRDefault="00E51711" w:rsidP="00E51711"/>
    <w:p w14:paraId="64E03418" w14:textId="77777777" w:rsidR="00E51711" w:rsidRPr="006C081F" w:rsidRDefault="00E51711" w:rsidP="00E51711"/>
    <w:p w14:paraId="68EFEC8C" w14:textId="77777777" w:rsidR="00E51711" w:rsidRPr="006C081F" w:rsidRDefault="00E51711" w:rsidP="00E51711"/>
    <w:p w14:paraId="63590ABB" w14:textId="77777777" w:rsidR="00E51711" w:rsidRPr="006C081F" w:rsidRDefault="00E51711" w:rsidP="00E51711"/>
    <w:p w14:paraId="662CD3E8" w14:textId="77777777" w:rsidR="00E51711" w:rsidRPr="006C081F" w:rsidRDefault="00E51711" w:rsidP="00E51711"/>
    <w:p w14:paraId="72407D3A" w14:textId="0DF7F250" w:rsidR="00CD4561" w:rsidRPr="006C081F" w:rsidRDefault="00CD4561" w:rsidP="00CD4561">
      <w:pPr>
        <w:pStyle w:val="Heading1"/>
        <w:spacing w:line="360" w:lineRule="auto"/>
      </w:pPr>
      <w:bookmarkStart w:id="0" w:name="_Toc216794664"/>
      <w:r w:rsidRPr="006C081F">
        <w:lastRenderedPageBreak/>
        <w:t>Introduction</w:t>
      </w:r>
      <w:bookmarkEnd w:id="0"/>
    </w:p>
    <w:p w14:paraId="4FC7D101" w14:textId="20C7E092" w:rsidR="00AB0055" w:rsidRPr="006C081F" w:rsidRDefault="0044053B" w:rsidP="00AB0055">
      <w:pPr>
        <w:spacing w:line="360" w:lineRule="auto"/>
        <w:jc w:val="both"/>
        <w:rPr>
          <w:rFonts w:ascii="Arial" w:hAnsi="Arial" w:cs="Arial"/>
          <w:sz w:val="24"/>
          <w:szCs w:val="24"/>
        </w:rPr>
      </w:pPr>
      <w:r w:rsidRPr="0044053B">
        <w:rPr>
          <w:rFonts w:ascii="Arial" w:hAnsi="Arial" w:cs="Arial"/>
          <w:sz w:val="24"/>
          <w:szCs w:val="24"/>
        </w:rPr>
        <w:t>This report gives a detailed analysis of General Electronics financial performance, liquidity status, and general financial stability. The report determines the critical trends, strengths, and risks to the company using financial statement analysis, ratio analysis, working capital management evaluation models, and corporate failure prediction models. It also analyses cash operating cycle, financing structure and the effects of financial distress on the stake holders. On the basis of this understanding, the report suggests correct liquidity-enhancing measures, financial restructuring alternatives, and ethical and CSR provisions. The purpose of the analysis would be to make informed managerial choices and suggest sustainable solutions that would help to regain financial health and long-term value.</w:t>
      </w:r>
    </w:p>
    <w:p w14:paraId="2F110CC9" w14:textId="7BE50C11" w:rsidR="00CD4561" w:rsidRPr="006C081F" w:rsidRDefault="00CD4561" w:rsidP="00CD4561">
      <w:pPr>
        <w:spacing w:line="360" w:lineRule="auto"/>
        <w:jc w:val="both"/>
        <w:rPr>
          <w:rFonts w:ascii="Arial" w:hAnsi="Arial" w:cs="Arial"/>
          <w:sz w:val="24"/>
          <w:szCs w:val="24"/>
        </w:rPr>
      </w:pPr>
    </w:p>
    <w:p w14:paraId="3C245875" w14:textId="77777777" w:rsidR="00CD4561" w:rsidRPr="006C081F" w:rsidRDefault="00CD4561" w:rsidP="00CD4561">
      <w:pPr>
        <w:spacing w:after="160" w:line="278" w:lineRule="auto"/>
        <w:rPr>
          <w:rFonts w:ascii="Arial" w:eastAsiaTheme="majorEastAsia" w:hAnsi="Arial" w:cstheme="majorBidi"/>
          <w:b/>
          <w:color w:val="000000" w:themeColor="text1"/>
          <w:sz w:val="32"/>
          <w:szCs w:val="40"/>
        </w:rPr>
      </w:pPr>
      <w:r w:rsidRPr="006C081F">
        <w:br w:type="page"/>
      </w:r>
    </w:p>
    <w:p w14:paraId="59624763" w14:textId="6CF7A818" w:rsidR="00CD4561" w:rsidRPr="006C081F" w:rsidRDefault="00D610AE" w:rsidP="00D610AE">
      <w:pPr>
        <w:pStyle w:val="Heading1"/>
      </w:pPr>
      <w:bookmarkStart w:id="1" w:name="_Toc216794665"/>
      <w:r w:rsidRPr="006C081F">
        <w:lastRenderedPageBreak/>
        <w:t>1. Financial Health Check</w:t>
      </w:r>
      <w:bookmarkEnd w:id="1"/>
    </w:p>
    <w:p w14:paraId="2A59745D" w14:textId="17FF8452" w:rsidR="00CD4561" w:rsidRPr="006C081F" w:rsidRDefault="00AF0650" w:rsidP="00CD4561">
      <w:pPr>
        <w:pStyle w:val="Heading2"/>
      </w:pPr>
      <w:bookmarkStart w:id="2" w:name="_Toc216794666"/>
      <w:r w:rsidRPr="006C081F">
        <w:t>A. Analysis of Financial Statements (£m)</w:t>
      </w:r>
      <w:r w:rsidR="00CD4561" w:rsidRPr="006C081F">
        <w:t>:</w:t>
      </w:r>
      <w:bookmarkEnd w:id="2"/>
    </w:p>
    <w:p w14:paraId="44D1CDA1" w14:textId="74F2D361" w:rsidR="00CD4561" w:rsidRPr="006C081F" w:rsidRDefault="001F3C98" w:rsidP="00CD4561">
      <w:pPr>
        <w:spacing w:line="360" w:lineRule="auto"/>
        <w:jc w:val="both"/>
        <w:rPr>
          <w:rFonts w:ascii="Arial" w:hAnsi="Arial" w:cs="Arial"/>
          <w:sz w:val="24"/>
          <w:szCs w:val="24"/>
        </w:rPr>
      </w:pPr>
      <w:r w:rsidRPr="006C081F">
        <w:rPr>
          <w:rFonts w:ascii="Arial" w:hAnsi="Arial" w:cs="Arial"/>
          <w:sz w:val="24"/>
          <w:szCs w:val="24"/>
        </w:rPr>
        <w:t xml:space="preserve">The financial statements </w:t>
      </w:r>
      <w:r w:rsidR="0090679B" w:rsidRPr="006C081F">
        <w:rPr>
          <w:rFonts w:ascii="Arial" w:hAnsi="Arial" w:cs="Arial"/>
          <w:sz w:val="24"/>
          <w:szCs w:val="24"/>
        </w:rPr>
        <w:t>express</w:t>
      </w:r>
      <w:r w:rsidRPr="006C081F">
        <w:rPr>
          <w:rFonts w:ascii="Arial" w:hAnsi="Arial" w:cs="Arial"/>
          <w:sz w:val="24"/>
          <w:szCs w:val="24"/>
        </w:rPr>
        <w:t xml:space="preserve"> a company that enjoyed exceptional profitability in 2020 and 2021 before entering a severe, equity-eroding financial crisis in 2023-2024.</w:t>
      </w:r>
    </w:p>
    <w:tbl>
      <w:tblPr>
        <w:tblStyle w:val="TableGrid"/>
        <w:tblW w:w="0" w:type="auto"/>
        <w:tblLayout w:type="fixed"/>
        <w:tblLook w:val="04A0" w:firstRow="1" w:lastRow="0" w:firstColumn="1" w:lastColumn="0" w:noHBand="0" w:noVBand="1"/>
      </w:tblPr>
      <w:tblGrid>
        <w:gridCol w:w="1413"/>
        <w:gridCol w:w="992"/>
        <w:gridCol w:w="851"/>
        <w:gridCol w:w="850"/>
        <w:gridCol w:w="1134"/>
        <w:gridCol w:w="1134"/>
        <w:gridCol w:w="2642"/>
      </w:tblGrid>
      <w:tr w:rsidR="0047629C" w:rsidRPr="006C081F" w14:paraId="7907B7C2" w14:textId="77777777" w:rsidTr="0030445A">
        <w:tc>
          <w:tcPr>
            <w:tcW w:w="1413" w:type="dxa"/>
            <w:hideMark/>
          </w:tcPr>
          <w:p w14:paraId="4587B1E8" w14:textId="77777777" w:rsidR="0047629C" w:rsidRPr="006C081F" w:rsidRDefault="0047629C" w:rsidP="0047629C">
            <w:pPr>
              <w:spacing w:line="360" w:lineRule="auto"/>
              <w:jc w:val="both"/>
              <w:rPr>
                <w:rFonts w:ascii="Arial" w:hAnsi="Arial" w:cs="Arial"/>
                <w:sz w:val="24"/>
                <w:szCs w:val="24"/>
              </w:rPr>
            </w:pPr>
            <w:r w:rsidRPr="006C081F">
              <w:rPr>
                <w:rFonts w:ascii="Arial" w:hAnsi="Arial" w:cs="Arial"/>
                <w:b/>
                <w:bCs/>
                <w:sz w:val="24"/>
                <w:szCs w:val="24"/>
              </w:rPr>
              <w:t>Statement Item</w:t>
            </w:r>
          </w:p>
        </w:tc>
        <w:tc>
          <w:tcPr>
            <w:tcW w:w="992" w:type="dxa"/>
            <w:hideMark/>
          </w:tcPr>
          <w:p w14:paraId="01C0D94B" w14:textId="77777777" w:rsidR="0047629C" w:rsidRPr="006C081F" w:rsidRDefault="0047629C" w:rsidP="0047629C">
            <w:pPr>
              <w:spacing w:line="360" w:lineRule="auto"/>
              <w:jc w:val="both"/>
              <w:rPr>
                <w:rFonts w:ascii="Arial" w:hAnsi="Arial" w:cs="Arial"/>
                <w:sz w:val="24"/>
                <w:szCs w:val="24"/>
              </w:rPr>
            </w:pPr>
            <w:r w:rsidRPr="006C081F">
              <w:rPr>
                <w:rFonts w:ascii="Arial" w:hAnsi="Arial" w:cs="Arial"/>
                <w:b/>
                <w:bCs/>
                <w:sz w:val="24"/>
                <w:szCs w:val="24"/>
              </w:rPr>
              <w:t>2020</w:t>
            </w:r>
          </w:p>
        </w:tc>
        <w:tc>
          <w:tcPr>
            <w:tcW w:w="851" w:type="dxa"/>
            <w:hideMark/>
          </w:tcPr>
          <w:p w14:paraId="5E5CB4B6" w14:textId="77777777" w:rsidR="0047629C" w:rsidRPr="006C081F" w:rsidRDefault="0047629C" w:rsidP="0047629C">
            <w:pPr>
              <w:spacing w:line="360" w:lineRule="auto"/>
              <w:jc w:val="both"/>
              <w:rPr>
                <w:rFonts w:ascii="Arial" w:hAnsi="Arial" w:cs="Arial"/>
                <w:sz w:val="24"/>
                <w:szCs w:val="24"/>
              </w:rPr>
            </w:pPr>
            <w:r w:rsidRPr="006C081F">
              <w:rPr>
                <w:rFonts w:ascii="Arial" w:hAnsi="Arial" w:cs="Arial"/>
                <w:b/>
                <w:bCs/>
                <w:sz w:val="24"/>
                <w:szCs w:val="24"/>
              </w:rPr>
              <w:t>2021</w:t>
            </w:r>
          </w:p>
        </w:tc>
        <w:tc>
          <w:tcPr>
            <w:tcW w:w="850" w:type="dxa"/>
            <w:hideMark/>
          </w:tcPr>
          <w:p w14:paraId="258D993D" w14:textId="77777777" w:rsidR="0047629C" w:rsidRPr="006C081F" w:rsidRDefault="0047629C" w:rsidP="0047629C">
            <w:pPr>
              <w:spacing w:line="360" w:lineRule="auto"/>
              <w:jc w:val="both"/>
              <w:rPr>
                <w:rFonts w:ascii="Arial" w:hAnsi="Arial" w:cs="Arial"/>
                <w:sz w:val="24"/>
                <w:szCs w:val="24"/>
              </w:rPr>
            </w:pPr>
            <w:r w:rsidRPr="006C081F">
              <w:rPr>
                <w:rFonts w:ascii="Arial" w:hAnsi="Arial" w:cs="Arial"/>
                <w:b/>
                <w:bCs/>
                <w:sz w:val="24"/>
                <w:szCs w:val="24"/>
              </w:rPr>
              <w:t>2022</w:t>
            </w:r>
          </w:p>
        </w:tc>
        <w:tc>
          <w:tcPr>
            <w:tcW w:w="1134" w:type="dxa"/>
            <w:hideMark/>
          </w:tcPr>
          <w:p w14:paraId="443C91F3" w14:textId="77777777" w:rsidR="0047629C" w:rsidRPr="006C081F" w:rsidRDefault="0047629C" w:rsidP="0047629C">
            <w:pPr>
              <w:spacing w:line="360" w:lineRule="auto"/>
              <w:jc w:val="both"/>
              <w:rPr>
                <w:rFonts w:ascii="Arial" w:hAnsi="Arial" w:cs="Arial"/>
                <w:sz w:val="24"/>
                <w:szCs w:val="24"/>
              </w:rPr>
            </w:pPr>
            <w:r w:rsidRPr="006C081F">
              <w:rPr>
                <w:rFonts w:ascii="Arial" w:hAnsi="Arial" w:cs="Arial"/>
                <w:b/>
                <w:bCs/>
                <w:sz w:val="24"/>
                <w:szCs w:val="24"/>
              </w:rPr>
              <w:t>2023</w:t>
            </w:r>
          </w:p>
        </w:tc>
        <w:tc>
          <w:tcPr>
            <w:tcW w:w="1134" w:type="dxa"/>
            <w:hideMark/>
          </w:tcPr>
          <w:p w14:paraId="62B7FA7B" w14:textId="77777777" w:rsidR="0047629C" w:rsidRPr="006C081F" w:rsidRDefault="0047629C" w:rsidP="0047629C">
            <w:pPr>
              <w:spacing w:line="360" w:lineRule="auto"/>
              <w:jc w:val="both"/>
              <w:rPr>
                <w:rFonts w:ascii="Arial" w:hAnsi="Arial" w:cs="Arial"/>
                <w:sz w:val="24"/>
                <w:szCs w:val="24"/>
              </w:rPr>
            </w:pPr>
            <w:r w:rsidRPr="006C081F">
              <w:rPr>
                <w:rFonts w:ascii="Arial" w:hAnsi="Arial" w:cs="Arial"/>
                <w:b/>
                <w:bCs/>
                <w:sz w:val="24"/>
                <w:szCs w:val="24"/>
              </w:rPr>
              <w:t>2024</w:t>
            </w:r>
          </w:p>
        </w:tc>
        <w:tc>
          <w:tcPr>
            <w:tcW w:w="2642" w:type="dxa"/>
            <w:hideMark/>
          </w:tcPr>
          <w:p w14:paraId="47112D68" w14:textId="77777777" w:rsidR="0047629C" w:rsidRPr="006C081F" w:rsidRDefault="0047629C" w:rsidP="0047629C">
            <w:pPr>
              <w:spacing w:line="360" w:lineRule="auto"/>
              <w:jc w:val="both"/>
              <w:rPr>
                <w:rFonts w:ascii="Arial" w:hAnsi="Arial" w:cs="Arial"/>
                <w:sz w:val="24"/>
                <w:szCs w:val="24"/>
              </w:rPr>
            </w:pPr>
            <w:r w:rsidRPr="006C081F">
              <w:rPr>
                <w:rFonts w:ascii="Arial" w:hAnsi="Arial" w:cs="Arial"/>
                <w:b/>
                <w:bCs/>
                <w:sz w:val="24"/>
                <w:szCs w:val="24"/>
              </w:rPr>
              <w:t>Explanation</w:t>
            </w:r>
          </w:p>
        </w:tc>
      </w:tr>
      <w:tr w:rsidR="0047629C" w:rsidRPr="006C081F" w14:paraId="0B78B3D9" w14:textId="77777777" w:rsidTr="0030445A">
        <w:tc>
          <w:tcPr>
            <w:tcW w:w="1413" w:type="dxa"/>
            <w:hideMark/>
          </w:tcPr>
          <w:p w14:paraId="38218A88" w14:textId="0758A0D1" w:rsidR="0047629C" w:rsidRPr="006C081F" w:rsidRDefault="005D67BF" w:rsidP="0047629C">
            <w:pPr>
              <w:spacing w:line="360" w:lineRule="auto"/>
              <w:jc w:val="both"/>
              <w:rPr>
                <w:rFonts w:ascii="Arial" w:hAnsi="Arial" w:cs="Arial"/>
                <w:sz w:val="24"/>
                <w:szCs w:val="24"/>
              </w:rPr>
            </w:pPr>
            <w:r w:rsidRPr="006C081F">
              <w:rPr>
                <w:rFonts w:ascii="Arial" w:hAnsi="Arial" w:cs="Arial"/>
                <w:b/>
                <w:bCs/>
                <w:sz w:val="24"/>
                <w:szCs w:val="24"/>
              </w:rPr>
              <w:t>Net Sales (£m)</w:t>
            </w:r>
          </w:p>
        </w:tc>
        <w:tc>
          <w:tcPr>
            <w:tcW w:w="992" w:type="dxa"/>
            <w:hideMark/>
          </w:tcPr>
          <w:p w14:paraId="79CC6363" w14:textId="2F99F4F3" w:rsidR="0047629C" w:rsidRPr="006C081F" w:rsidRDefault="004015CD" w:rsidP="0047629C">
            <w:pPr>
              <w:spacing w:line="360" w:lineRule="auto"/>
              <w:jc w:val="both"/>
              <w:rPr>
                <w:rFonts w:ascii="Arial" w:hAnsi="Arial" w:cs="Arial"/>
                <w:sz w:val="24"/>
                <w:szCs w:val="24"/>
              </w:rPr>
            </w:pPr>
            <w:r w:rsidRPr="006C081F">
              <w:rPr>
                <w:rFonts w:ascii="Arial" w:hAnsi="Arial" w:cs="Arial"/>
                <w:sz w:val="24"/>
                <w:szCs w:val="24"/>
              </w:rPr>
              <w:t>614,680</w:t>
            </w:r>
          </w:p>
        </w:tc>
        <w:tc>
          <w:tcPr>
            <w:tcW w:w="851" w:type="dxa"/>
            <w:hideMark/>
          </w:tcPr>
          <w:p w14:paraId="310DC0F4" w14:textId="338A6E92" w:rsidR="0047629C" w:rsidRPr="006C081F" w:rsidRDefault="0016128E" w:rsidP="0047629C">
            <w:pPr>
              <w:spacing w:line="360" w:lineRule="auto"/>
              <w:jc w:val="both"/>
              <w:rPr>
                <w:rFonts w:ascii="Arial" w:hAnsi="Arial" w:cs="Arial"/>
                <w:sz w:val="24"/>
                <w:szCs w:val="24"/>
              </w:rPr>
            </w:pPr>
            <w:r w:rsidRPr="006C081F">
              <w:rPr>
                <w:rFonts w:ascii="Arial" w:hAnsi="Arial" w:cs="Arial"/>
                <w:sz w:val="24"/>
                <w:szCs w:val="24"/>
              </w:rPr>
              <w:t>601,602</w:t>
            </w:r>
          </w:p>
        </w:tc>
        <w:tc>
          <w:tcPr>
            <w:tcW w:w="850" w:type="dxa"/>
            <w:hideMark/>
          </w:tcPr>
          <w:p w14:paraId="77B0315F" w14:textId="78E84A5F" w:rsidR="0047629C" w:rsidRPr="006C081F" w:rsidRDefault="003D6404" w:rsidP="0047629C">
            <w:pPr>
              <w:spacing w:line="360" w:lineRule="auto"/>
              <w:jc w:val="both"/>
              <w:rPr>
                <w:rFonts w:ascii="Arial" w:hAnsi="Arial" w:cs="Arial"/>
                <w:sz w:val="24"/>
                <w:szCs w:val="24"/>
              </w:rPr>
            </w:pPr>
            <w:r w:rsidRPr="006C081F">
              <w:rPr>
                <w:rFonts w:ascii="Arial" w:hAnsi="Arial" w:cs="Arial"/>
                <w:sz w:val="24"/>
                <w:szCs w:val="24"/>
              </w:rPr>
              <w:t>542,751</w:t>
            </w:r>
          </w:p>
        </w:tc>
        <w:tc>
          <w:tcPr>
            <w:tcW w:w="1134" w:type="dxa"/>
            <w:hideMark/>
          </w:tcPr>
          <w:p w14:paraId="3D62F675" w14:textId="072CA1D5" w:rsidR="0047629C" w:rsidRPr="006C081F" w:rsidRDefault="003A3CAA" w:rsidP="0047629C">
            <w:pPr>
              <w:spacing w:line="360" w:lineRule="auto"/>
              <w:jc w:val="both"/>
              <w:rPr>
                <w:rFonts w:ascii="Arial" w:hAnsi="Arial" w:cs="Arial"/>
                <w:sz w:val="24"/>
                <w:szCs w:val="24"/>
              </w:rPr>
            </w:pPr>
            <w:r w:rsidRPr="006C081F">
              <w:rPr>
                <w:rFonts w:ascii="Arial" w:hAnsi="Arial" w:cs="Arial"/>
                <w:b/>
                <w:bCs/>
                <w:sz w:val="24"/>
                <w:szCs w:val="24"/>
              </w:rPr>
              <w:t>420,457</w:t>
            </w:r>
          </w:p>
        </w:tc>
        <w:tc>
          <w:tcPr>
            <w:tcW w:w="1134" w:type="dxa"/>
            <w:hideMark/>
          </w:tcPr>
          <w:p w14:paraId="1895C48B" w14:textId="6C80D69C" w:rsidR="0047629C" w:rsidRPr="006C081F" w:rsidRDefault="003A3CAA" w:rsidP="0047629C">
            <w:pPr>
              <w:spacing w:line="360" w:lineRule="auto"/>
              <w:jc w:val="both"/>
              <w:rPr>
                <w:rFonts w:ascii="Arial" w:hAnsi="Arial" w:cs="Arial"/>
                <w:sz w:val="24"/>
                <w:szCs w:val="24"/>
              </w:rPr>
            </w:pPr>
            <w:r w:rsidRPr="006C081F">
              <w:rPr>
                <w:rFonts w:ascii="Arial" w:hAnsi="Arial" w:cs="Arial"/>
                <w:b/>
                <w:bCs/>
                <w:sz w:val="24"/>
                <w:szCs w:val="24"/>
              </w:rPr>
              <w:t>394,879</w:t>
            </w:r>
          </w:p>
        </w:tc>
        <w:tc>
          <w:tcPr>
            <w:tcW w:w="2642" w:type="dxa"/>
            <w:hideMark/>
          </w:tcPr>
          <w:p w14:paraId="44A1BA66" w14:textId="587C590A" w:rsidR="0047629C" w:rsidRPr="006C081F" w:rsidRDefault="009612A4" w:rsidP="00B0440C">
            <w:pPr>
              <w:spacing w:line="360" w:lineRule="auto"/>
              <w:jc w:val="both"/>
              <w:rPr>
                <w:rFonts w:ascii="Arial" w:hAnsi="Arial" w:cs="Arial"/>
                <w:sz w:val="24"/>
                <w:szCs w:val="24"/>
              </w:rPr>
            </w:pPr>
            <w:r w:rsidRPr="006C081F">
              <w:rPr>
                <w:rFonts w:ascii="Arial" w:hAnsi="Arial" w:cs="Arial"/>
                <w:sz w:val="24"/>
                <w:szCs w:val="24"/>
              </w:rPr>
              <w:t>Revenue indicates a steady downward trend in five years demonstrating that the market demand is decreasing and the company has lost its competitiveness. This negative trend is an indication of structural problems in product strategy and prices.</w:t>
            </w:r>
          </w:p>
        </w:tc>
      </w:tr>
      <w:tr w:rsidR="0047629C" w:rsidRPr="006C081F" w14:paraId="471E2F46" w14:textId="77777777" w:rsidTr="0030445A">
        <w:tc>
          <w:tcPr>
            <w:tcW w:w="1413" w:type="dxa"/>
            <w:hideMark/>
          </w:tcPr>
          <w:p w14:paraId="309848AD" w14:textId="27E9A8C2" w:rsidR="0047629C" w:rsidRPr="006C081F" w:rsidRDefault="001772F5" w:rsidP="0047629C">
            <w:pPr>
              <w:spacing w:line="360" w:lineRule="auto"/>
              <w:jc w:val="both"/>
              <w:rPr>
                <w:rFonts w:ascii="Arial" w:hAnsi="Arial" w:cs="Arial"/>
                <w:sz w:val="24"/>
                <w:szCs w:val="24"/>
              </w:rPr>
            </w:pPr>
            <w:r w:rsidRPr="006C081F">
              <w:rPr>
                <w:rFonts w:ascii="Arial" w:hAnsi="Arial" w:cs="Arial"/>
                <w:b/>
                <w:bCs/>
                <w:sz w:val="24"/>
                <w:szCs w:val="24"/>
              </w:rPr>
              <w:t>Gross Profit (£m)</w:t>
            </w:r>
          </w:p>
        </w:tc>
        <w:tc>
          <w:tcPr>
            <w:tcW w:w="992" w:type="dxa"/>
            <w:hideMark/>
          </w:tcPr>
          <w:p w14:paraId="5D28DB34" w14:textId="493B475E" w:rsidR="0047629C" w:rsidRPr="006C081F" w:rsidRDefault="00DB7594" w:rsidP="0047629C">
            <w:pPr>
              <w:spacing w:line="360" w:lineRule="auto"/>
              <w:jc w:val="both"/>
              <w:rPr>
                <w:rFonts w:ascii="Arial" w:hAnsi="Arial" w:cs="Arial"/>
                <w:sz w:val="24"/>
                <w:szCs w:val="24"/>
              </w:rPr>
            </w:pPr>
            <w:r w:rsidRPr="006C081F">
              <w:rPr>
                <w:rFonts w:ascii="Arial" w:hAnsi="Arial" w:cs="Arial"/>
                <w:sz w:val="24"/>
                <w:szCs w:val="24"/>
              </w:rPr>
              <w:t>176,256</w:t>
            </w:r>
          </w:p>
        </w:tc>
        <w:tc>
          <w:tcPr>
            <w:tcW w:w="851" w:type="dxa"/>
            <w:hideMark/>
          </w:tcPr>
          <w:p w14:paraId="036E493D" w14:textId="7EC5A49B" w:rsidR="0047629C" w:rsidRPr="006C081F" w:rsidRDefault="00DB7594" w:rsidP="0047629C">
            <w:pPr>
              <w:spacing w:line="360" w:lineRule="auto"/>
              <w:jc w:val="both"/>
              <w:rPr>
                <w:rFonts w:ascii="Arial" w:hAnsi="Arial" w:cs="Arial"/>
                <w:sz w:val="24"/>
                <w:szCs w:val="24"/>
              </w:rPr>
            </w:pPr>
            <w:r w:rsidRPr="006C081F">
              <w:rPr>
                <w:rFonts w:ascii="Arial" w:hAnsi="Arial" w:cs="Arial"/>
                <w:sz w:val="24"/>
                <w:szCs w:val="24"/>
              </w:rPr>
              <w:t>173,016</w:t>
            </w:r>
          </w:p>
        </w:tc>
        <w:tc>
          <w:tcPr>
            <w:tcW w:w="850" w:type="dxa"/>
            <w:hideMark/>
          </w:tcPr>
          <w:p w14:paraId="38FC597D" w14:textId="42582F4B" w:rsidR="0047629C" w:rsidRPr="006C081F" w:rsidRDefault="00DB7594" w:rsidP="0047629C">
            <w:pPr>
              <w:spacing w:line="360" w:lineRule="auto"/>
              <w:jc w:val="both"/>
              <w:rPr>
                <w:rFonts w:ascii="Arial" w:hAnsi="Arial" w:cs="Arial"/>
                <w:sz w:val="24"/>
                <w:szCs w:val="24"/>
              </w:rPr>
            </w:pPr>
            <w:r w:rsidRPr="006C081F">
              <w:rPr>
                <w:rFonts w:ascii="Arial" w:hAnsi="Arial" w:cs="Arial"/>
                <w:sz w:val="24"/>
                <w:szCs w:val="24"/>
              </w:rPr>
              <w:t>152,292</w:t>
            </w:r>
          </w:p>
        </w:tc>
        <w:tc>
          <w:tcPr>
            <w:tcW w:w="1134" w:type="dxa"/>
            <w:hideMark/>
          </w:tcPr>
          <w:p w14:paraId="4401F052" w14:textId="03E116D2" w:rsidR="0047629C" w:rsidRPr="006C081F" w:rsidRDefault="00DB7594" w:rsidP="0047629C">
            <w:pPr>
              <w:spacing w:line="360" w:lineRule="auto"/>
              <w:jc w:val="both"/>
              <w:rPr>
                <w:rFonts w:ascii="Arial" w:hAnsi="Arial" w:cs="Arial"/>
                <w:sz w:val="24"/>
                <w:szCs w:val="24"/>
              </w:rPr>
            </w:pPr>
            <w:r w:rsidRPr="006C081F">
              <w:rPr>
                <w:rFonts w:ascii="Arial" w:hAnsi="Arial" w:cs="Arial"/>
                <w:b/>
                <w:bCs/>
                <w:sz w:val="24"/>
                <w:szCs w:val="24"/>
              </w:rPr>
              <w:t>97,560</w:t>
            </w:r>
          </w:p>
        </w:tc>
        <w:tc>
          <w:tcPr>
            <w:tcW w:w="1134" w:type="dxa"/>
            <w:hideMark/>
          </w:tcPr>
          <w:p w14:paraId="196D4073" w14:textId="3A290A88" w:rsidR="0047629C" w:rsidRPr="006C081F" w:rsidRDefault="00223B42" w:rsidP="0047629C">
            <w:pPr>
              <w:spacing w:line="360" w:lineRule="auto"/>
              <w:jc w:val="both"/>
              <w:rPr>
                <w:rFonts w:ascii="Arial" w:hAnsi="Arial" w:cs="Arial"/>
                <w:sz w:val="24"/>
                <w:szCs w:val="24"/>
              </w:rPr>
            </w:pPr>
            <w:r w:rsidRPr="006C081F">
              <w:rPr>
                <w:rFonts w:ascii="Arial" w:hAnsi="Arial" w:cs="Arial"/>
                <w:b/>
                <w:bCs/>
                <w:sz w:val="24"/>
                <w:szCs w:val="24"/>
              </w:rPr>
              <w:t>113,994</w:t>
            </w:r>
          </w:p>
        </w:tc>
        <w:tc>
          <w:tcPr>
            <w:tcW w:w="2642" w:type="dxa"/>
            <w:hideMark/>
          </w:tcPr>
          <w:p w14:paraId="0F4E3A45" w14:textId="4CB39F13" w:rsidR="0047629C" w:rsidRPr="006C081F" w:rsidRDefault="00B873B0" w:rsidP="0047629C">
            <w:pPr>
              <w:spacing w:line="360" w:lineRule="auto"/>
              <w:jc w:val="both"/>
              <w:rPr>
                <w:rFonts w:ascii="Arial" w:hAnsi="Arial" w:cs="Arial"/>
                <w:sz w:val="24"/>
                <w:szCs w:val="24"/>
              </w:rPr>
            </w:pPr>
            <w:r w:rsidRPr="006C081F">
              <w:rPr>
                <w:rFonts w:ascii="Arial" w:hAnsi="Arial" w:cs="Arial"/>
                <w:sz w:val="24"/>
                <w:szCs w:val="24"/>
              </w:rPr>
              <w:t>Gross profit is subject to fluctuations even to a significant decline in 2023 despite declining sales since the cost of production increases. There is a hint of recovery in 2024 indicating early cost control measures, but margins are put under a strain.</w:t>
            </w:r>
          </w:p>
        </w:tc>
      </w:tr>
      <w:tr w:rsidR="0047629C" w:rsidRPr="006C081F" w14:paraId="22F2A8A4" w14:textId="77777777" w:rsidTr="0030445A">
        <w:tc>
          <w:tcPr>
            <w:tcW w:w="1413" w:type="dxa"/>
            <w:hideMark/>
          </w:tcPr>
          <w:p w14:paraId="6C0871D6" w14:textId="425C96CE" w:rsidR="0047629C" w:rsidRPr="006C081F" w:rsidRDefault="008E5847" w:rsidP="0047629C">
            <w:pPr>
              <w:spacing w:line="360" w:lineRule="auto"/>
              <w:jc w:val="both"/>
              <w:rPr>
                <w:rFonts w:ascii="Arial" w:hAnsi="Arial" w:cs="Arial"/>
                <w:sz w:val="24"/>
                <w:szCs w:val="24"/>
              </w:rPr>
            </w:pPr>
            <w:r w:rsidRPr="006C081F">
              <w:rPr>
                <w:rFonts w:ascii="Arial" w:hAnsi="Arial" w:cs="Arial"/>
                <w:b/>
                <w:bCs/>
                <w:sz w:val="24"/>
                <w:szCs w:val="24"/>
              </w:rPr>
              <w:lastRenderedPageBreak/>
              <w:t>Operating Income (£m)</w:t>
            </w:r>
          </w:p>
        </w:tc>
        <w:tc>
          <w:tcPr>
            <w:tcW w:w="992" w:type="dxa"/>
            <w:hideMark/>
          </w:tcPr>
          <w:p w14:paraId="1B03FDAE" w14:textId="16B41E1B" w:rsidR="0047629C" w:rsidRPr="006C081F" w:rsidRDefault="00223B42" w:rsidP="0047629C">
            <w:pPr>
              <w:spacing w:line="360" w:lineRule="auto"/>
              <w:jc w:val="both"/>
              <w:rPr>
                <w:rFonts w:ascii="Arial" w:hAnsi="Arial" w:cs="Arial"/>
                <w:sz w:val="24"/>
                <w:szCs w:val="24"/>
              </w:rPr>
            </w:pPr>
            <w:r w:rsidRPr="006C081F">
              <w:rPr>
                <w:rFonts w:ascii="Arial" w:hAnsi="Arial" w:cs="Arial"/>
                <w:sz w:val="24"/>
                <w:szCs w:val="24"/>
              </w:rPr>
              <w:t>37,267</w:t>
            </w:r>
          </w:p>
        </w:tc>
        <w:tc>
          <w:tcPr>
            <w:tcW w:w="851" w:type="dxa"/>
            <w:hideMark/>
          </w:tcPr>
          <w:p w14:paraId="0327B516" w14:textId="35B09634" w:rsidR="0047629C" w:rsidRPr="006C081F" w:rsidRDefault="00223B42" w:rsidP="0047629C">
            <w:pPr>
              <w:spacing w:line="360" w:lineRule="auto"/>
              <w:jc w:val="both"/>
              <w:rPr>
                <w:rFonts w:ascii="Arial" w:hAnsi="Arial" w:cs="Arial"/>
                <w:sz w:val="24"/>
                <w:szCs w:val="24"/>
              </w:rPr>
            </w:pPr>
            <w:r w:rsidRPr="006C081F">
              <w:rPr>
                <w:rFonts w:ascii="Arial" w:hAnsi="Arial" w:cs="Arial"/>
                <w:sz w:val="24"/>
                <w:szCs w:val="24"/>
              </w:rPr>
              <w:t>23,253</w:t>
            </w:r>
          </w:p>
        </w:tc>
        <w:tc>
          <w:tcPr>
            <w:tcW w:w="850" w:type="dxa"/>
            <w:hideMark/>
          </w:tcPr>
          <w:p w14:paraId="255ABB4D" w14:textId="24B34711" w:rsidR="0047629C" w:rsidRPr="006C081F" w:rsidRDefault="00223B42" w:rsidP="0047629C">
            <w:pPr>
              <w:spacing w:line="360" w:lineRule="auto"/>
              <w:jc w:val="both"/>
              <w:rPr>
                <w:rFonts w:ascii="Arial" w:hAnsi="Arial" w:cs="Arial"/>
                <w:sz w:val="24"/>
                <w:szCs w:val="24"/>
              </w:rPr>
            </w:pPr>
            <w:r w:rsidRPr="006C081F">
              <w:rPr>
                <w:rFonts w:ascii="Arial" w:hAnsi="Arial" w:cs="Arial"/>
                <w:sz w:val="24"/>
                <w:szCs w:val="24"/>
              </w:rPr>
              <w:t>14,548</w:t>
            </w:r>
          </w:p>
        </w:tc>
        <w:tc>
          <w:tcPr>
            <w:tcW w:w="1134" w:type="dxa"/>
            <w:hideMark/>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750"/>
            </w:tblGrid>
            <w:tr w:rsidR="00836031" w:rsidRPr="006C081F" w14:paraId="4F37ED55" w14:textId="77777777" w:rsidTr="00100E4A">
              <w:trPr>
                <w:tblCellSpacing w:w="15" w:type="dxa"/>
              </w:trPr>
              <w:tc>
                <w:tcPr>
                  <w:tcW w:w="690" w:type="dxa"/>
                  <w:hideMark/>
                </w:tcPr>
                <w:p w14:paraId="14745D9C" w14:textId="3D4401AD" w:rsidR="00836031" w:rsidRPr="006C081F" w:rsidRDefault="00836031" w:rsidP="00836031">
                  <w:pPr>
                    <w:spacing w:line="360" w:lineRule="auto"/>
                    <w:jc w:val="both"/>
                    <w:rPr>
                      <w:rFonts w:ascii="Arial" w:hAnsi="Arial" w:cs="Arial"/>
                      <w:sz w:val="24"/>
                      <w:szCs w:val="24"/>
                    </w:rPr>
                  </w:pPr>
                  <w:r w:rsidRPr="006C081F">
                    <w:t>-85,301</w:t>
                  </w:r>
                </w:p>
              </w:tc>
            </w:tr>
          </w:tbl>
          <w:p w14:paraId="2F98B08B" w14:textId="77777777" w:rsidR="00D82017" w:rsidRPr="006C081F" w:rsidRDefault="00D82017" w:rsidP="00D82017">
            <w:pPr>
              <w:spacing w:line="360" w:lineRule="auto"/>
              <w:jc w:val="both"/>
              <w:rPr>
                <w:rFonts w:ascii="Arial" w:hAnsi="Arial" w:cs="Arial"/>
                <w:vanish/>
                <w:sz w:val="24"/>
                <w:szCs w:val="24"/>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D82017" w:rsidRPr="006C081F" w14:paraId="5DBFE923" w14:textId="77777777">
              <w:trPr>
                <w:tblCellSpacing w:w="15" w:type="dxa"/>
              </w:trPr>
              <w:tc>
                <w:tcPr>
                  <w:tcW w:w="36" w:type="dxa"/>
                  <w:vAlign w:val="center"/>
                  <w:hideMark/>
                </w:tcPr>
                <w:p w14:paraId="0FB99619" w14:textId="77777777" w:rsidR="00D82017" w:rsidRPr="006C081F" w:rsidRDefault="00D82017" w:rsidP="00D82017">
                  <w:pPr>
                    <w:spacing w:line="360" w:lineRule="auto"/>
                    <w:jc w:val="both"/>
                    <w:rPr>
                      <w:rFonts w:ascii="Arial" w:hAnsi="Arial" w:cs="Arial"/>
                      <w:sz w:val="24"/>
                      <w:szCs w:val="24"/>
                    </w:rPr>
                  </w:pPr>
                </w:p>
              </w:tc>
            </w:tr>
          </w:tbl>
          <w:p w14:paraId="24D03632" w14:textId="0C542DF9" w:rsidR="0047629C" w:rsidRPr="006C081F" w:rsidRDefault="0047629C" w:rsidP="0047629C">
            <w:pPr>
              <w:spacing w:line="360" w:lineRule="auto"/>
              <w:jc w:val="both"/>
              <w:rPr>
                <w:rFonts w:ascii="Arial" w:hAnsi="Arial" w:cs="Arial"/>
                <w:sz w:val="24"/>
                <w:szCs w:val="24"/>
              </w:rPr>
            </w:pPr>
          </w:p>
        </w:tc>
        <w:tc>
          <w:tcPr>
            <w:tcW w:w="1134" w:type="dxa"/>
            <w:hideMark/>
          </w:tcPr>
          <w:p w14:paraId="62BBCFA3" w14:textId="565A289E" w:rsidR="0047629C" w:rsidRPr="006C081F" w:rsidRDefault="00836031" w:rsidP="0047629C">
            <w:pPr>
              <w:spacing w:line="360" w:lineRule="auto"/>
              <w:jc w:val="both"/>
              <w:rPr>
                <w:rFonts w:ascii="Arial" w:hAnsi="Arial" w:cs="Arial"/>
                <w:sz w:val="24"/>
                <w:szCs w:val="24"/>
              </w:rPr>
            </w:pPr>
            <w:r w:rsidRPr="006C081F">
              <w:rPr>
                <w:rFonts w:ascii="Arial" w:hAnsi="Arial" w:cs="Arial"/>
                <w:b/>
                <w:bCs/>
                <w:sz w:val="24"/>
                <w:szCs w:val="24"/>
              </w:rPr>
              <w:t>-15,297</w:t>
            </w:r>
          </w:p>
        </w:tc>
        <w:tc>
          <w:tcPr>
            <w:tcW w:w="2642" w:type="dxa"/>
            <w:hideMark/>
          </w:tcPr>
          <w:p w14:paraId="5A199840" w14:textId="3D2FDB25" w:rsidR="0047629C" w:rsidRPr="006C081F" w:rsidRDefault="00B873B0" w:rsidP="0047629C">
            <w:pPr>
              <w:spacing w:line="360" w:lineRule="auto"/>
              <w:jc w:val="both"/>
              <w:rPr>
                <w:rFonts w:ascii="Arial" w:hAnsi="Arial" w:cs="Arial"/>
                <w:sz w:val="24"/>
                <w:szCs w:val="24"/>
              </w:rPr>
            </w:pPr>
            <w:r w:rsidRPr="006C081F">
              <w:rPr>
                <w:rFonts w:ascii="Arial" w:hAnsi="Arial" w:cs="Arial"/>
                <w:sz w:val="24"/>
                <w:szCs w:val="24"/>
              </w:rPr>
              <w:t>The operating performance turns into massive losses in 2023 and 2024 as an effect of high operating costs and a high level of impairments, which is an indication of operational inefficiency.</w:t>
            </w:r>
          </w:p>
        </w:tc>
      </w:tr>
      <w:tr w:rsidR="0047629C" w:rsidRPr="006C081F" w14:paraId="25FB69CE" w14:textId="77777777" w:rsidTr="0030445A">
        <w:tc>
          <w:tcPr>
            <w:tcW w:w="1413" w:type="dxa"/>
            <w:hideMark/>
          </w:tcPr>
          <w:p w14:paraId="523C69CD" w14:textId="2B521551" w:rsidR="0047629C" w:rsidRPr="006C081F" w:rsidRDefault="008E5847" w:rsidP="0047629C">
            <w:pPr>
              <w:spacing w:line="360" w:lineRule="auto"/>
              <w:jc w:val="both"/>
              <w:rPr>
                <w:rFonts w:ascii="Arial" w:hAnsi="Arial" w:cs="Arial"/>
                <w:sz w:val="24"/>
                <w:szCs w:val="24"/>
              </w:rPr>
            </w:pPr>
            <w:r w:rsidRPr="006C081F">
              <w:rPr>
                <w:rFonts w:ascii="Arial" w:hAnsi="Arial" w:cs="Arial"/>
                <w:b/>
                <w:bCs/>
                <w:sz w:val="24"/>
                <w:szCs w:val="24"/>
              </w:rPr>
              <w:t>Net Income (£m)</w:t>
            </w:r>
          </w:p>
        </w:tc>
        <w:tc>
          <w:tcPr>
            <w:tcW w:w="992" w:type="dxa"/>
            <w:hideMark/>
          </w:tcPr>
          <w:p w14:paraId="72B3CF96" w14:textId="5EEADA84" w:rsidR="0047629C" w:rsidRPr="006C081F" w:rsidRDefault="00836031" w:rsidP="0047629C">
            <w:pPr>
              <w:spacing w:line="360" w:lineRule="auto"/>
              <w:jc w:val="both"/>
              <w:rPr>
                <w:rFonts w:ascii="Arial" w:hAnsi="Arial" w:cs="Arial"/>
                <w:sz w:val="24"/>
                <w:szCs w:val="24"/>
              </w:rPr>
            </w:pPr>
            <w:r w:rsidRPr="006C081F">
              <w:rPr>
                <w:rFonts w:ascii="Arial" w:hAnsi="Arial" w:cs="Arial"/>
                <w:sz w:val="24"/>
                <w:szCs w:val="24"/>
              </w:rPr>
              <w:t>38,572</w:t>
            </w:r>
          </w:p>
        </w:tc>
        <w:tc>
          <w:tcPr>
            <w:tcW w:w="851" w:type="dxa"/>
            <w:hideMark/>
          </w:tcPr>
          <w:p w14:paraId="772F9FD4" w14:textId="3FD4A253" w:rsidR="0047629C" w:rsidRPr="006C081F" w:rsidRDefault="009802F4" w:rsidP="0047629C">
            <w:pPr>
              <w:spacing w:line="360" w:lineRule="auto"/>
              <w:jc w:val="both"/>
              <w:rPr>
                <w:rFonts w:ascii="Arial" w:hAnsi="Arial" w:cs="Arial"/>
                <w:sz w:val="24"/>
                <w:szCs w:val="24"/>
              </w:rPr>
            </w:pPr>
            <w:r w:rsidRPr="006C081F">
              <w:rPr>
                <w:rFonts w:ascii="Arial" w:hAnsi="Arial" w:cs="Arial"/>
                <w:sz w:val="24"/>
                <w:szCs w:val="24"/>
              </w:rPr>
              <w:t>5,301</w:t>
            </w:r>
          </w:p>
        </w:tc>
        <w:tc>
          <w:tcPr>
            <w:tcW w:w="850" w:type="dxa"/>
            <w:hideMark/>
          </w:tcPr>
          <w:p w14:paraId="79138F68" w14:textId="0F3DEFD0" w:rsidR="0047629C" w:rsidRPr="006C081F" w:rsidRDefault="009802F4" w:rsidP="0047629C">
            <w:pPr>
              <w:spacing w:line="360" w:lineRule="auto"/>
              <w:jc w:val="both"/>
              <w:rPr>
                <w:rFonts w:ascii="Arial" w:hAnsi="Arial" w:cs="Arial"/>
                <w:sz w:val="24"/>
                <w:szCs w:val="24"/>
              </w:rPr>
            </w:pPr>
            <w:r w:rsidRPr="006C081F">
              <w:rPr>
                <w:rFonts w:ascii="Arial" w:hAnsi="Arial" w:cs="Arial"/>
                <w:sz w:val="24"/>
                <w:szCs w:val="24"/>
              </w:rPr>
              <w:t>407</w:t>
            </w:r>
          </w:p>
        </w:tc>
        <w:tc>
          <w:tcPr>
            <w:tcW w:w="1134" w:type="dxa"/>
            <w:hideMark/>
          </w:tcPr>
          <w:p w14:paraId="7E7191AC" w14:textId="6438D0DE" w:rsidR="0047629C" w:rsidRPr="006C081F" w:rsidRDefault="009802F4" w:rsidP="0047629C">
            <w:pPr>
              <w:spacing w:line="360" w:lineRule="auto"/>
              <w:jc w:val="both"/>
              <w:rPr>
                <w:rFonts w:ascii="Arial" w:hAnsi="Arial" w:cs="Arial"/>
                <w:sz w:val="24"/>
                <w:szCs w:val="24"/>
              </w:rPr>
            </w:pPr>
            <w:r w:rsidRPr="006C081F">
              <w:rPr>
                <w:rFonts w:ascii="Arial" w:hAnsi="Arial" w:cs="Arial"/>
                <w:sz w:val="24"/>
                <w:szCs w:val="24"/>
              </w:rPr>
              <w:t>-98,238</w:t>
            </w:r>
          </w:p>
        </w:tc>
        <w:tc>
          <w:tcPr>
            <w:tcW w:w="1134" w:type="dxa"/>
            <w:hideMark/>
          </w:tcPr>
          <w:p w14:paraId="65EE6E4A" w14:textId="68CFE410" w:rsidR="0047629C" w:rsidRPr="006C081F" w:rsidRDefault="009802F4" w:rsidP="0047629C">
            <w:pPr>
              <w:spacing w:line="360" w:lineRule="auto"/>
              <w:jc w:val="both"/>
              <w:rPr>
                <w:rFonts w:ascii="Arial" w:hAnsi="Arial" w:cs="Arial"/>
                <w:sz w:val="24"/>
                <w:szCs w:val="24"/>
              </w:rPr>
            </w:pPr>
            <w:r w:rsidRPr="006C081F">
              <w:rPr>
                <w:rFonts w:ascii="Arial" w:hAnsi="Arial" w:cs="Arial"/>
                <w:sz w:val="24"/>
                <w:szCs w:val="24"/>
              </w:rPr>
              <w:t>-24,029</w:t>
            </w:r>
          </w:p>
        </w:tc>
        <w:tc>
          <w:tcPr>
            <w:tcW w:w="2642" w:type="dxa"/>
            <w:hideMark/>
          </w:tcPr>
          <w:p w14:paraId="070A0200" w14:textId="6CA36ABB" w:rsidR="0047629C" w:rsidRPr="006C081F" w:rsidRDefault="00B873B0" w:rsidP="0047629C">
            <w:pPr>
              <w:spacing w:line="360" w:lineRule="auto"/>
              <w:jc w:val="both"/>
              <w:rPr>
                <w:rFonts w:ascii="Arial" w:hAnsi="Arial" w:cs="Arial"/>
                <w:sz w:val="24"/>
                <w:szCs w:val="24"/>
              </w:rPr>
            </w:pPr>
            <w:r w:rsidRPr="006C081F">
              <w:rPr>
                <w:rFonts w:ascii="Arial" w:hAnsi="Arial" w:cs="Arial"/>
                <w:sz w:val="24"/>
                <w:szCs w:val="24"/>
              </w:rPr>
              <w:t>Profitability suffers because the company will incur massive losses, especially in 2023, due to the adverse operating costs and other extraordinary items.</w:t>
            </w:r>
          </w:p>
        </w:tc>
      </w:tr>
      <w:tr w:rsidR="0047629C" w:rsidRPr="006C081F" w14:paraId="212B920F" w14:textId="77777777" w:rsidTr="0030445A">
        <w:tc>
          <w:tcPr>
            <w:tcW w:w="1413" w:type="dxa"/>
            <w:hideMark/>
          </w:tcPr>
          <w:p w14:paraId="3916D954" w14:textId="035342A9" w:rsidR="0047629C" w:rsidRPr="006C081F" w:rsidRDefault="008E5847" w:rsidP="0047629C">
            <w:pPr>
              <w:spacing w:line="360" w:lineRule="auto"/>
              <w:jc w:val="both"/>
              <w:rPr>
                <w:rFonts w:ascii="Arial" w:hAnsi="Arial" w:cs="Arial"/>
                <w:sz w:val="24"/>
                <w:szCs w:val="24"/>
              </w:rPr>
            </w:pPr>
            <w:r w:rsidRPr="006C081F">
              <w:rPr>
                <w:rFonts w:ascii="Arial" w:hAnsi="Arial" w:cs="Arial"/>
                <w:b/>
                <w:bCs/>
                <w:sz w:val="24"/>
                <w:szCs w:val="24"/>
              </w:rPr>
              <w:t>Total Assets (£m)</w:t>
            </w:r>
          </w:p>
        </w:tc>
        <w:tc>
          <w:tcPr>
            <w:tcW w:w="992" w:type="dxa"/>
            <w:hideMark/>
          </w:tcPr>
          <w:p w14:paraId="3C9C4F05" w14:textId="74E1A421" w:rsidR="0047629C" w:rsidRPr="006C081F" w:rsidRDefault="00BF33BA" w:rsidP="0047629C">
            <w:pPr>
              <w:spacing w:line="360" w:lineRule="auto"/>
              <w:jc w:val="both"/>
              <w:rPr>
                <w:rFonts w:ascii="Arial" w:hAnsi="Arial" w:cs="Arial"/>
                <w:sz w:val="24"/>
                <w:szCs w:val="24"/>
              </w:rPr>
            </w:pPr>
            <w:r w:rsidRPr="006C081F">
              <w:rPr>
                <w:rFonts w:ascii="Arial" w:hAnsi="Arial" w:cs="Arial"/>
                <w:sz w:val="24"/>
                <w:szCs w:val="24"/>
              </w:rPr>
              <w:t>510,290</w:t>
            </w:r>
          </w:p>
        </w:tc>
        <w:tc>
          <w:tcPr>
            <w:tcW w:w="851" w:type="dxa"/>
            <w:hideMark/>
          </w:tcPr>
          <w:p w14:paraId="5390550C" w14:textId="4DAE7A5E" w:rsidR="0047629C" w:rsidRPr="006C081F" w:rsidRDefault="00BF33BA" w:rsidP="0047629C">
            <w:pPr>
              <w:spacing w:line="360" w:lineRule="auto"/>
              <w:jc w:val="both"/>
              <w:rPr>
                <w:rFonts w:ascii="Arial" w:hAnsi="Arial" w:cs="Arial"/>
                <w:sz w:val="24"/>
                <w:szCs w:val="24"/>
              </w:rPr>
            </w:pPr>
            <w:r w:rsidRPr="006C081F">
              <w:rPr>
                <w:rFonts w:ascii="Arial" w:hAnsi="Arial" w:cs="Arial"/>
                <w:sz w:val="24"/>
                <w:szCs w:val="24"/>
              </w:rPr>
              <w:t>510,348</w:t>
            </w:r>
          </w:p>
        </w:tc>
        <w:tc>
          <w:tcPr>
            <w:tcW w:w="850" w:type="dxa"/>
            <w:hideMark/>
          </w:tcPr>
          <w:p w14:paraId="631B8C37" w14:textId="6A82F8D5" w:rsidR="0047629C" w:rsidRPr="006C081F" w:rsidRDefault="00BF33BA" w:rsidP="0047629C">
            <w:pPr>
              <w:spacing w:line="360" w:lineRule="auto"/>
              <w:jc w:val="both"/>
              <w:rPr>
                <w:rFonts w:ascii="Arial" w:hAnsi="Arial" w:cs="Arial"/>
                <w:sz w:val="24"/>
                <w:szCs w:val="24"/>
              </w:rPr>
            </w:pPr>
            <w:r w:rsidRPr="006C081F">
              <w:rPr>
                <w:rFonts w:ascii="Arial" w:hAnsi="Arial" w:cs="Arial"/>
                <w:sz w:val="24"/>
                <w:szCs w:val="24"/>
              </w:rPr>
              <w:t>504,163</w:t>
            </w:r>
          </w:p>
        </w:tc>
        <w:tc>
          <w:tcPr>
            <w:tcW w:w="1134" w:type="dxa"/>
            <w:hideMark/>
          </w:tcPr>
          <w:p w14:paraId="32DF1889" w14:textId="68701541" w:rsidR="0047629C" w:rsidRPr="006C081F" w:rsidRDefault="00BF33BA" w:rsidP="0047629C">
            <w:pPr>
              <w:spacing w:line="360" w:lineRule="auto"/>
              <w:jc w:val="both"/>
              <w:rPr>
                <w:rFonts w:ascii="Arial" w:hAnsi="Arial" w:cs="Arial"/>
                <w:sz w:val="24"/>
                <w:szCs w:val="24"/>
              </w:rPr>
            </w:pPr>
            <w:r w:rsidRPr="006C081F">
              <w:rPr>
                <w:rFonts w:ascii="Arial" w:hAnsi="Arial" w:cs="Arial"/>
                <w:sz w:val="24"/>
                <w:szCs w:val="24"/>
              </w:rPr>
              <w:t>355,872</w:t>
            </w:r>
          </w:p>
        </w:tc>
        <w:tc>
          <w:tcPr>
            <w:tcW w:w="1134" w:type="dxa"/>
            <w:hideMark/>
          </w:tcPr>
          <w:p w14:paraId="33BD1198" w14:textId="423F6A22" w:rsidR="0047629C" w:rsidRPr="006C081F" w:rsidRDefault="00B1391D" w:rsidP="0047629C">
            <w:pPr>
              <w:spacing w:line="360" w:lineRule="auto"/>
              <w:jc w:val="both"/>
              <w:rPr>
                <w:rFonts w:ascii="Arial" w:hAnsi="Arial" w:cs="Arial"/>
                <w:sz w:val="24"/>
                <w:szCs w:val="24"/>
              </w:rPr>
            </w:pPr>
            <w:r w:rsidRPr="006C081F">
              <w:rPr>
                <w:rFonts w:ascii="Arial" w:hAnsi="Arial" w:cs="Arial"/>
                <w:sz w:val="24"/>
                <w:szCs w:val="24"/>
              </w:rPr>
              <w:t>323,354</w:t>
            </w:r>
          </w:p>
        </w:tc>
        <w:tc>
          <w:tcPr>
            <w:tcW w:w="2642" w:type="dxa"/>
            <w:hideMark/>
          </w:tcPr>
          <w:p w14:paraId="7758B52E" w14:textId="7C3C17A7" w:rsidR="0047629C" w:rsidRPr="006C081F" w:rsidRDefault="00CA488B" w:rsidP="0047629C">
            <w:pPr>
              <w:spacing w:line="360" w:lineRule="auto"/>
              <w:jc w:val="both"/>
              <w:rPr>
                <w:rFonts w:ascii="Arial" w:hAnsi="Arial" w:cs="Arial"/>
                <w:sz w:val="24"/>
                <w:szCs w:val="24"/>
              </w:rPr>
            </w:pPr>
            <w:r w:rsidRPr="006C081F">
              <w:rPr>
                <w:rFonts w:ascii="Arial" w:hAnsi="Arial" w:cs="Arial"/>
                <w:sz w:val="24"/>
                <w:szCs w:val="24"/>
              </w:rPr>
              <w:t xml:space="preserve">Asset base decreases greatly and it is largely because of impairment and lowered investment capacity. </w:t>
            </w:r>
          </w:p>
        </w:tc>
      </w:tr>
      <w:tr w:rsidR="00EA08CE" w:rsidRPr="006C081F" w14:paraId="60263D17" w14:textId="77777777" w:rsidTr="0030445A">
        <w:tc>
          <w:tcPr>
            <w:tcW w:w="1413" w:type="dxa"/>
          </w:tcPr>
          <w:p w14:paraId="09C69AE1" w14:textId="4B459ED5" w:rsidR="00EA08CE" w:rsidRPr="006C081F" w:rsidRDefault="005D58A3" w:rsidP="0047629C">
            <w:pPr>
              <w:spacing w:line="360" w:lineRule="auto"/>
              <w:jc w:val="both"/>
              <w:rPr>
                <w:rFonts w:ascii="Arial" w:hAnsi="Arial" w:cs="Arial"/>
                <w:b/>
                <w:bCs/>
                <w:sz w:val="24"/>
                <w:szCs w:val="24"/>
              </w:rPr>
            </w:pPr>
            <w:r w:rsidRPr="006C081F">
              <w:rPr>
                <w:rFonts w:ascii="Arial" w:hAnsi="Arial" w:cs="Arial"/>
                <w:b/>
                <w:bCs/>
                <w:sz w:val="24"/>
                <w:szCs w:val="24"/>
              </w:rPr>
              <w:t>Total Equity (£m)</w:t>
            </w:r>
          </w:p>
        </w:tc>
        <w:tc>
          <w:tcPr>
            <w:tcW w:w="992" w:type="dxa"/>
          </w:tcPr>
          <w:p w14:paraId="233071D2" w14:textId="4892FC11" w:rsidR="00EA08CE" w:rsidRPr="006C081F" w:rsidRDefault="00B1391D" w:rsidP="0047629C">
            <w:pPr>
              <w:spacing w:line="360" w:lineRule="auto"/>
              <w:jc w:val="both"/>
              <w:rPr>
                <w:rFonts w:ascii="Arial" w:hAnsi="Arial" w:cs="Arial"/>
                <w:sz w:val="24"/>
                <w:szCs w:val="24"/>
              </w:rPr>
            </w:pPr>
            <w:r w:rsidRPr="006C081F">
              <w:rPr>
                <w:rFonts w:ascii="Arial" w:hAnsi="Arial" w:cs="Arial"/>
                <w:sz w:val="24"/>
                <w:szCs w:val="24"/>
              </w:rPr>
              <w:t>313,301</w:t>
            </w:r>
          </w:p>
        </w:tc>
        <w:tc>
          <w:tcPr>
            <w:tcW w:w="851" w:type="dxa"/>
          </w:tcPr>
          <w:p w14:paraId="148B5517" w14:textId="21F607EC" w:rsidR="00EA08CE" w:rsidRPr="006C081F" w:rsidRDefault="00B1391D" w:rsidP="0047629C">
            <w:pPr>
              <w:spacing w:line="360" w:lineRule="auto"/>
              <w:jc w:val="both"/>
              <w:rPr>
                <w:rFonts w:ascii="Arial" w:hAnsi="Arial" w:cs="Arial"/>
                <w:sz w:val="24"/>
                <w:szCs w:val="24"/>
              </w:rPr>
            </w:pPr>
            <w:r w:rsidRPr="006C081F">
              <w:rPr>
                <w:rFonts w:ascii="Arial" w:hAnsi="Arial" w:cs="Arial"/>
                <w:sz w:val="24"/>
                <w:szCs w:val="24"/>
              </w:rPr>
              <w:t>275,949</w:t>
            </w:r>
          </w:p>
        </w:tc>
        <w:tc>
          <w:tcPr>
            <w:tcW w:w="850" w:type="dxa"/>
          </w:tcPr>
          <w:p w14:paraId="404C17FD" w14:textId="47CC0F8B" w:rsidR="00EA08CE" w:rsidRPr="006C081F" w:rsidRDefault="00B1391D" w:rsidP="0047629C">
            <w:pPr>
              <w:spacing w:line="360" w:lineRule="auto"/>
              <w:jc w:val="both"/>
              <w:rPr>
                <w:rFonts w:ascii="Arial" w:hAnsi="Arial" w:cs="Arial"/>
                <w:sz w:val="24"/>
                <w:szCs w:val="24"/>
              </w:rPr>
            </w:pPr>
            <w:r w:rsidRPr="006C081F">
              <w:rPr>
                <w:rFonts w:ascii="Arial" w:hAnsi="Arial" w:cs="Arial"/>
                <w:sz w:val="24"/>
                <w:szCs w:val="24"/>
              </w:rPr>
              <w:t>268,406</w:t>
            </w:r>
          </w:p>
        </w:tc>
        <w:tc>
          <w:tcPr>
            <w:tcW w:w="1134" w:type="dxa"/>
          </w:tcPr>
          <w:p w14:paraId="42412D6F" w14:textId="6C2A4D53" w:rsidR="00EA08CE" w:rsidRPr="006C081F" w:rsidRDefault="001A6D17" w:rsidP="0047629C">
            <w:pPr>
              <w:spacing w:line="360" w:lineRule="auto"/>
              <w:jc w:val="both"/>
              <w:rPr>
                <w:rFonts w:ascii="Arial" w:hAnsi="Arial" w:cs="Arial"/>
                <w:sz w:val="24"/>
                <w:szCs w:val="24"/>
              </w:rPr>
            </w:pPr>
            <w:r w:rsidRPr="006C081F">
              <w:rPr>
                <w:rFonts w:ascii="Arial" w:hAnsi="Arial" w:cs="Arial"/>
                <w:sz w:val="24"/>
                <w:szCs w:val="24"/>
              </w:rPr>
              <w:t>178,920</w:t>
            </w:r>
          </w:p>
        </w:tc>
        <w:tc>
          <w:tcPr>
            <w:tcW w:w="1134" w:type="dxa"/>
          </w:tcPr>
          <w:p w14:paraId="5978E413" w14:textId="459DCB29" w:rsidR="00EA08CE" w:rsidRPr="006C081F" w:rsidRDefault="001A6D17" w:rsidP="0047629C">
            <w:pPr>
              <w:spacing w:line="360" w:lineRule="auto"/>
              <w:jc w:val="both"/>
              <w:rPr>
                <w:rFonts w:ascii="Arial" w:hAnsi="Arial" w:cs="Arial"/>
                <w:sz w:val="24"/>
                <w:szCs w:val="24"/>
              </w:rPr>
            </w:pPr>
            <w:r w:rsidRPr="006C081F">
              <w:rPr>
                <w:rFonts w:ascii="Arial" w:hAnsi="Arial" w:cs="Arial"/>
                <w:sz w:val="24"/>
                <w:szCs w:val="24"/>
              </w:rPr>
              <w:t>153,105</w:t>
            </w:r>
          </w:p>
        </w:tc>
        <w:tc>
          <w:tcPr>
            <w:tcW w:w="2642" w:type="dxa"/>
          </w:tcPr>
          <w:p w14:paraId="0DD28432" w14:textId="60CEB7D6" w:rsidR="00EA08CE" w:rsidRPr="006C081F" w:rsidRDefault="00CA488B" w:rsidP="0047629C">
            <w:pPr>
              <w:spacing w:line="360" w:lineRule="auto"/>
              <w:jc w:val="both"/>
              <w:rPr>
                <w:rFonts w:ascii="Arial" w:hAnsi="Arial" w:cs="Arial"/>
                <w:sz w:val="24"/>
                <w:szCs w:val="24"/>
              </w:rPr>
            </w:pPr>
            <w:r w:rsidRPr="006C081F">
              <w:rPr>
                <w:rFonts w:ascii="Arial" w:hAnsi="Arial" w:cs="Arial"/>
                <w:sz w:val="24"/>
                <w:szCs w:val="24"/>
              </w:rPr>
              <w:t>Accumulated losses and share buybacks are reflected in equity erosion. Reduction of equity issues equity solvency and financial risk.</w:t>
            </w:r>
          </w:p>
        </w:tc>
      </w:tr>
    </w:tbl>
    <w:p w14:paraId="3127BCEA" w14:textId="0FACB95D" w:rsidR="00C33465" w:rsidRPr="006C081F" w:rsidRDefault="00C33465">
      <w:pPr>
        <w:spacing w:after="160" w:line="278" w:lineRule="auto"/>
        <w:rPr>
          <w:rFonts w:ascii="Arial" w:hAnsi="Arial" w:cs="Arial"/>
          <w:b/>
          <w:bCs/>
          <w:sz w:val="24"/>
          <w:szCs w:val="24"/>
        </w:rPr>
      </w:pPr>
      <w:r w:rsidRPr="006C081F">
        <w:rPr>
          <w:rFonts w:ascii="Arial" w:hAnsi="Arial" w:cs="Arial"/>
          <w:b/>
          <w:bCs/>
          <w:sz w:val="24"/>
          <w:szCs w:val="24"/>
        </w:rPr>
        <w:br w:type="page"/>
      </w:r>
    </w:p>
    <w:p w14:paraId="41A13E2F" w14:textId="0FACB95D" w:rsidR="0047629C" w:rsidRPr="006C081F" w:rsidRDefault="003B1879" w:rsidP="00840E24">
      <w:pPr>
        <w:pStyle w:val="Heading2"/>
      </w:pPr>
      <w:bookmarkStart w:id="3" w:name="_Toc216794667"/>
      <w:r w:rsidRPr="006C081F">
        <w:lastRenderedPageBreak/>
        <w:t>B. Full Ratio Analysis</w:t>
      </w:r>
      <w:bookmarkEnd w:id="3"/>
    </w:p>
    <w:tbl>
      <w:tblPr>
        <w:tblStyle w:val="TableGrid"/>
        <w:tblW w:w="0" w:type="auto"/>
        <w:tblLayout w:type="fixed"/>
        <w:tblLook w:val="04A0" w:firstRow="1" w:lastRow="0" w:firstColumn="1" w:lastColumn="0" w:noHBand="0" w:noVBand="1"/>
      </w:tblPr>
      <w:tblGrid>
        <w:gridCol w:w="995"/>
        <w:gridCol w:w="985"/>
        <w:gridCol w:w="1701"/>
        <w:gridCol w:w="850"/>
        <w:gridCol w:w="709"/>
        <w:gridCol w:w="851"/>
        <w:gridCol w:w="850"/>
        <w:gridCol w:w="2075"/>
      </w:tblGrid>
      <w:tr w:rsidR="008F513D" w:rsidRPr="006C081F" w14:paraId="312A5957" w14:textId="77777777" w:rsidTr="002908C5">
        <w:tc>
          <w:tcPr>
            <w:tcW w:w="995" w:type="dxa"/>
            <w:hideMark/>
          </w:tcPr>
          <w:p w14:paraId="012A2612" w14:textId="77777777" w:rsidR="00C33465" w:rsidRPr="006C081F" w:rsidRDefault="00C33465" w:rsidP="00C33465">
            <w:pPr>
              <w:spacing w:line="360" w:lineRule="auto"/>
              <w:jc w:val="both"/>
              <w:rPr>
                <w:rFonts w:ascii="Arial" w:hAnsi="Arial" w:cs="Arial"/>
              </w:rPr>
            </w:pPr>
            <w:r w:rsidRPr="006C081F">
              <w:rPr>
                <w:rFonts w:ascii="Arial" w:hAnsi="Arial" w:cs="Arial"/>
                <w:b/>
                <w:bCs/>
              </w:rPr>
              <w:t>Ratio Category</w:t>
            </w:r>
          </w:p>
        </w:tc>
        <w:tc>
          <w:tcPr>
            <w:tcW w:w="985" w:type="dxa"/>
            <w:hideMark/>
          </w:tcPr>
          <w:p w14:paraId="49033151" w14:textId="54F73B17" w:rsidR="00C33465" w:rsidRPr="006C081F" w:rsidRDefault="00C33465" w:rsidP="00C33465">
            <w:pPr>
              <w:spacing w:line="360" w:lineRule="auto"/>
              <w:jc w:val="both"/>
              <w:rPr>
                <w:rFonts w:ascii="Arial" w:hAnsi="Arial" w:cs="Arial"/>
              </w:rPr>
            </w:pPr>
            <w:r w:rsidRPr="006C081F">
              <w:rPr>
                <w:rFonts w:ascii="Arial" w:hAnsi="Arial" w:cs="Arial"/>
                <w:b/>
                <w:bCs/>
              </w:rPr>
              <w:t xml:space="preserve">Ratio </w:t>
            </w:r>
            <w:r w:rsidR="004663E1" w:rsidRPr="006C081F">
              <w:rPr>
                <w:rFonts w:ascii="Arial" w:hAnsi="Arial" w:cs="Arial"/>
                <w:b/>
                <w:bCs/>
              </w:rPr>
              <w:t>Name</w:t>
            </w:r>
          </w:p>
        </w:tc>
        <w:tc>
          <w:tcPr>
            <w:tcW w:w="1701" w:type="dxa"/>
            <w:hideMark/>
          </w:tcPr>
          <w:p w14:paraId="1A87D3C9" w14:textId="36FD4581" w:rsidR="00C33465" w:rsidRPr="006C081F" w:rsidRDefault="004C53AA" w:rsidP="00C33465">
            <w:pPr>
              <w:spacing w:line="360" w:lineRule="auto"/>
              <w:jc w:val="both"/>
              <w:rPr>
                <w:rFonts w:ascii="Arial" w:hAnsi="Arial" w:cs="Arial"/>
              </w:rPr>
            </w:pPr>
            <w:r w:rsidRPr="006C081F">
              <w:rPr>
                <w:rFonts w:ascii="Arial" w:hAnsi="Arial" w:cs="Arial"/>
                <w:b/>
                <w:bCs/>
              </w:rPr>
              <w:t>Ratio Formula</w:t>
            </w:r>
          </w:p>
        </w:tc>
        <w:tc>
          <w:tcPr>
            <w:tcW w:w="850" w:type="dxa"/>
            <w:hideMark/>
          </w:tcPr>
          <w:p w14:paraId="67D47F6A" w14:textId="77777777" w:rsidR="00C33465" w:rsidRPr="006C081F" w:rsidRDefault="00C33465" w:rsidP="00C33465">
            <w:pPr>
              <w:spacing w:line="360" w:lineRule="auto"/>
              <w:jc w:val="both"/>
              <w:rPr>
                <w:rFonts w:ascii="Arial" w:hAnsi="Arial" w:cs="Arial"/>
              </w:rPr>
            </w:pPr>
            <w:r w:rsidRPr="006C081F">
              <w:rPr>
                <w:rFonts w:ascii="Arial" w:hAnsi="Arial" w:cs="Arial"/>
                <w:b/>
                <w:bCs/>
              </w:rPr>
              <w:t>2021</w:t>
            </w:r>
          </w:p>
        </w:tc>
        <w:tc>
          <w:tcPr>
            <w:tcW w:w="709" w:type="dxa"/>
            <w:hideMark/>
          </w:tcPr>
          <w:p w14:paraId="5E28E497" w14:textId="77777777" w:rsidR="00C33465" w:rsidRPr="006C081F" w:rsidRDefault="00C33465" w:rsidP="00C33465">
            <w:pPr>
              <w:spacing w:line="360" w:lineRule="auto"/>
              <w:jc w:val="both"/>
              <w:rPr>
                <w:rFonts w:ascii="Arial" w:hAnsi="Arial" w:cs="Arial"/>
              </w:rPr>
            </w:pPr>
            <w:r w:rsidRPr="006C081F">
              <w:rPr>
                <w:rFonts w:ascii="Arial" w:hAnsi="Arial" w:cs="Arial"/>
                <w:b/>
                <w:bCs/>
              </w:rPr>
              <w:t>2022</w:t>
            </w:r>
          </w:p>
        </w:tc>
        <w:tc>
          <w:tcPr>
            <w:tcW w:w="851" w:type="dxa"/>
            <w:hideMark/>
          </w:tcPr>
          <w:p w14:paraId="61D661F3" w14:textId="77777777" w:rsidR="00C33465" w:rsidRPr="006C081F" w:rsidRDefault="00C33465" w:rsidP="00C33465">
            <w:pPr>
              <w:spacing w:line="360" w:lineRule="auto"/>
              <w:jc w:val="both"/>
              <w:rPr>
                <w:rFonts w:ascii="Arial" w:hAnsi="Arial" w:cs="Arial"/>
              </w:rPr>
            </w:pPr>
            <w:r w:rsidRPr="006C081F">
              <w:rPr>
                <w:rFonts w:ascii="Arial" w:hAnsi="Arial" w:cs="Arial"/>
                <w:b/>
                <w:bCs/>
              </w:rPr>
              <w:t>2023</w:t>
            </w:r>
          </w:p>
        </w:tc>
        <w:tc>
          <w:tcPr>
            <w:tcW w:w="850" w:type="dxa"/>
            <w:hideMark/>
          </w:tcPr>
          <w:p w14:paraId="78789319" w14:textId="77777777" w:rsidR="00C33465" w:rsidRPr="006C081F" w:rsidRDefault="00C33465" w:rsidP="00C33465">
            <w:pPr>
              <w:spacing w:line="360" w:lineRule="auto"/>
              <w:jc w:val="both"/>
              <w:rPr>
                <w:rFonts w:ascii="Arial" w:hAnsi="Arial" w:cs="Arial"/>
              </w:rPr>
            </w:pPr>
            <w:r w:rsidRPr="006C081F">
              <w:rPr>
                <w:rFonts w:ascii="Arial" w:hAnsi="Arial" w:cs="Arial"/>
                <w:b/>
                <w:bCs/>
              </w:rPr>
              <w:t>2024</w:t>
            </w:r>
          </w:p>
        </w:tc>
        <w:tc>
          <w:tcPr>
            <w:tcW w:w="2075" w:type="dxa"/>
            <w:hideMark/>
          </w:tcPr>
          <w:p w14:paraId="44B00E88" w14:textId="77777777" w:rsidR="00C33465" w:rsidRPr="006C081F" w:rsidRDefault="00C33465" w:rsidP="00C33465">
            <w:pPr>
              <w:spacing w:line="360" w:lineRule="auto"/>
              <w:jc w:val="both"/>
              <w:rPr>
                <w:rFonts w:ascii="Arial" w:hAnsi="Arial" w:cs="Arial"/>
              </w:rPr>
            </w:pPr>
            <w:r w:rsidRPr="006C081F">
              <w:rPr>
                <w:rFonts w:ascii="Arial" w:hAnsi="Arial" w:cs="Arial"/>
                <w:b/>
                <w:bCs/>
              </w:rPr>
              <w:t>Trend &amp; Interpretation</w:t>
            </w:r>
          </w:p>
        </w:tc>
      </w:tr>
      <w:tr w:rsidR="008F513D" w:rsidRPr="006C081F" w14:paraId="64B4ABC8" w14:textId="77777777" w:rsidTr="002908C5">
        <w:tc>
          <w:tcPr>
            <w:tcW w:w="995" w:type="dxa"/>
            <w:hideMark/>
          </w:tcPr>
          <w:p w14:paraId="40B22197" w14:textId="77777777" w:rsidR="00C33465" w:rsidRPr="006C081F" w:rsidRDefault="00C33465" w:rsidP="00C33465">
            <w:pPr>
              <w:spacing w:line="360" w:lineRule="auto"/>
              <w:jc w:val="both"/>
              <w:rPr>
                <w:rFonts w:ascii="Arial" w:hAnsi="Arial" w:cs="Arial"/>
              </w:rPr>
            </w:pPr>
            <w:r w:rsidRPr="006C081F">
              <w:rPr>
                <w:rFonts w:ascii="Arial" w:hAnsi="Arial" w:cs="Arial"/>
                <w:b/>
                <w:bCs/>
              </w:rPr>
              <w:t>Profitability</w:t>
            </w:r>
          </w:p>
        </w:tc>
        <w:tc>
          <w:tcPr>
            <w:tcW w:w="985" w:type="dxa"/>
            <w:hideMark/>
          </w:tcPr>
          <w:p w14:paraId="0CBF8689" w14:textId="004CD88D" w:rsidR="00C33465" w:rsidRPr="006C081F" w:rsidRDefault="00256284" w:rsidP="00C33465">
            <w:pPr>
              <w:spacing w:line="360" w:lineRule="auto"/>
              <w:jc w:val="both"/>
              <w:rPr>
                <w:rFonts w:ascii="Arial" w:hAnsi="Arial" w:cs="Arial"/>
              </w:rPr>
            </w:pPr>
            <w:r w:rsidRPr="006C081F">
              <w:rPr>
                <w:rFonts w:ascii="Arial" w:hAnsi="Arial" w:cs="Arial"/>
              </w:rPr>
              <w:t>Gross Profit Margin</w:t>
            </w:r>
          </w:p>
        </w:tc>
        <w:tc>
          <w:tcPr>
            <w:tcW w:w="1701" w:type="dxa"/>
            <w:hideMark/>
          </w:tcPr>
          <w:p w14:paraId="2A98DFBB" w14:textId="7B8A2C51" w:rsidR="00C33465" w:rsidRPr="006C081F" w:rsidRDefault="00652B5D" w:rsidP="00C33465">
            <w:pPr>
              <w:spacing w:line="360" w:lineRule="auto"/>
              <w:jc w:val="both"/>
              <w:rPr>
                <w:rFonts w:ascii="Arial" w:hAnsi="Arial" w:cs="Arial"/>
              </w:rPr>
            </w:pPr>
            <m:oMathPara>
              <m:oMath>
                <m:f>
                  <m:fPr>
                    <m:ctrlPr>
                      <w:rPr>
                        <w:rFonts w:ascii="Cambria Math" w:hAnsi="Cambria Math" w:cs="Arial"/>
                        <w:i/>
                      </w:rPr>
                    </m:ctrlPr>
                  </m:fPr>
                  <m:num>
                    <m:r>
                      <m:rPr>
                        <m:sty m:val="p"/>
                      </m:rPr>
                      <w:rPr>
                        <w:rFonts w:ascii="Cambria Math" w:hAnsi="Cambria Math" w:cs="Arial"/>
                      </w:rPr>
                      <m:t>Gross Profit</m:t>
                    </m:r>
                    <m:ctrlPr>
                      <w:rPr>
                        <w:rFonts w:ascii="Cambria Math" w:hAnsi="Cambria Math" w:cs="Arial"/>
                      </w:rPr>
                    </m:ctrlPr>
                  </m:num>
                  <m:den>
                    <m:r>
                      <m:rPr>
                        <m:sty m:val="p"/>
                      </m:rPr>
                      <w:rPr>
                        <w:rFonts w:ascii="Cambria Math" w:hAnsi="Cambria Math" w:cs="Arial"/>
                      </w:rPr>
                      <m:t>Sales</m:t>
                    </m:r>
                  </m:den>
                </m:f>
              </m:oMath>
            </m:oMathPara>
          </w:p>
        </w:tc>
        <w:tc>
          <w:tcPr>
            <w:tcW w:w="850" w:type="dxa"/>
            <w:hideMark/>
          </w:tcPr>
          <w:p w14:paraId="45CBD7FC" w14:textId="4DB85713" w:rsidR="00C33465" w:rsidRPr="006C081F" w:rsidRDefault="0055094B" w:rsidP="00C33465">
            <w:pPr>
              <w:spacing w:line="360" w:lineRule="auto"/>
              <w:jc w:val="both"/>
              <w:rPr>
                <w:rFonts w:ascii="Arial" w:hAnsi="Arial" w:cs="Arial"/>
              </w:rPr>
            </w:pPr>
            <w:r w:rsidRPr="006C081F">
              <w:rPr>
                <w:rFonts w:ascii="Arial" w:hAnsi="Arial" w:cs="Arial"/>
              </w:rPr>
              <w:t>28.75%</w:t>
            </w:r>
          </w:p>
        </w:tc>
        <w:tc>
          <w:tcPr>
            <w:tcW w:w="709" w:type="dxa"/>
            <w:hideMark/>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830"/>
            </w:tblGrid>
            <w:tr w:rsidR="0055094B" w:rsidRPr="006C081F" w14:paraId="2874982A" w14:textId="77777777">
              <w:trPr>
                <w:tblCellSpacing w:w="15" w:type="dxa"/>
              </w:trPr>
              <w:tc>
                <w:tcPr>
                  <w:tcW w:w="770" w:type="dxa"/>
                  <w:vAlign w:val="center"/>
                  <w:hideMark/>
                </w:tcPr>
                <w:p w14:paraId="3C94830F" w14:textId="77777777" w:rsidR="0055094B" w:rsidRPr="006C081F" w:rsidRDefault="0055094B" w:rsidP="0055094B">
                  <w:pPr>
                    <w:spacing w:line="360" w:lineRule="auto"/>
                    <w:jc w:val="both"/>
                    <w:rPr>
                      <w:rFonts w:ascii="Arial" w:hAnsi="Arial" w:cs="Arial"/>
                    </w:rPr>
                  </w:pPr>
                  <w:r w:rsidRPr="006C081F">
                    <w:rPr>
                      <w:rFonts w:ascii="Arial" w:hAnsi="Arial" w:cs="Arial"/>
                    </w:rPr>
                    <w:t>28.06%</w:t>
                  </w:r>
                </w:p>
              </w:tc>
            </w:tr>
          </w:tbl>
          <w:p w14:paraId="1BFE4233" w14:textId="77777777" w:rsidR="0055094B" w:rsidRPr="006C081F" w:rsidRDefault="0055094B" w:rsidP="0055094B">
            <w:pPr>
              <w:spacing w:line="360" w:lineRule="auto"/>
              <w:jc w:val="both"/>
              <w:rPr>
                <w:rFonts w:ascii="Arial" w:hAnsi="Arial" w:cs="Arial"/>
                <w:vanish/>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55094B" w:rsidRPr="006C081F" w14:paraId="692F9BC1" w14:textId="77777777">
              <w:trPr>
                <w:tblCellSpacing w:w="15" w:type="dxa"/>
              </w:trPr>
              <w:tc>
                <w:tcPr>
                  <w:tcW w:w="36" w:type="dxa"/>
                  <w:vAlign w:val="center"/>
                  <w:hideMark/>
                </w:tcPr>
                <w:p w14:paraId="043E6830" w14:textId="77777777" w:rsidR="0055094B" w:rsidRPr="006C081F" w:rsidRDefault="0055094B" w:rsidP="0055094B">
                  <w:pPr>
                    <w:spacing w:line="360" w:lineRule="auto"/>
                    <w:jc w:val="both"/>
                    <w:rPr>
                      <w:rFonts w:ascii="Arial" w:hAnsi="Arial" w:cs="Arial"/>
                    </w:rPr>
                  </w:pPr>
                </w:p>
              </w:tc>
            </w:tr>
          </w:tbl>
          <w:p w14:paraId="3829AA3A" w14:textId="543CD3C1" w:rsidR="00C33465" w:rsidRPr="006C081F" w:rsidRDefault="00C33465" w:rsidP="00C33465">
            <w:pPr>
              <w:spacing w:line="360" w:lineRule="auto"/>
              <w:jc w:val="both"/>
              <w:rPr>
                <w:rFonts w:ascii="Arial" w:hAnsi="Arial" w:cs="Arial"/>
              </w:rPr>
            </w:pPr>
          </w:p>
        </w:tc>
        <w:tc>
          <w:tcPr>
            <w:tcW w:w="851" w:type="dxa"/>
            <w:hideMark/>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830"/>
            </w:tblGrid>
            <w:tr w:rsidR="005563D3" w:rsidRPr="006C081F" w14:paraId="6B221211" w14:textId="77777777">
              <w:trPr>
                <w:tblCellSpacing w:w="15" w:type="dxa"/>
              </w:trPr>
              <w:tc>
                <w:tcPr>
                  <w:tcW w:w="770" w:type="dxa"/>
                  <w:vAlign w:val="center"/>
                  <w:hideMark/>
                </w:tcPr>
                <w:p w14:paraId="4BD5FB9A" w14:textId="6028867A" w:rsidR="005563D3" w:rsidRPr="006C081F" w:rsidRDefault="00B75818" w:rsidP="005563D3">
                  <w:pPr>
                    <w:spacing w:line="360" w:lineRule="auto"/>
                    <w:jc w:val="both"/>
                    <w:rPr>
                      <w:rFonts w:ascii="Arial" w:hAnsi="Arial" w:cs="Arial"/>
                    </w:rPr>
                  </w:pPr>
                  <w:r w:rsidRPr="006C081F">
                    <w:rPr>
                      <w:rFonts w:ascii="Arial" w:hAnsi="Arial" w:cs="Arial"/>
                    </w:rPr>
                    <w:t>23.22%</w:t>
                  </w:r>
                </w:p>
              </w:tc>
            </w:tr>
          </w:tbl>
          <w:p w14:paraId="151C0F30" w14:textId="77777777" w:rsidR="005563D3" w:rsidRPr="006C081F" w:rsidRDefault="005563D3" w:rsidP="005563D3">
            <w:pPr>
              <w:spacing w:line="360" w:lineRule="auto"/>
              <w:jc w:val="both"/>
              <w:rPr>
                <w:rFonts w:ascii="Arial" w:hAnsi="Arial" w:cs="Arial"/>
                <w:vanish/>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10"/>
            </w:tblGrid>
            <w:tr w:rsidR="005563D3" w:rsidRPr="006C081F" w14:paraId="6261E666" w14:textId="77777777">
              <w:trPr>
                <w:tblCellSpacing w:w="15" w:type="dxa"/>
              </w:trPr>
              <w:tc>
                <w:tcPr>
                  <w:tcW w:w="36" w:type="dxa"/>
                  <w:vAlign w:val="center"/>
                  <w:hideMark/>
                </w:tcPr>
                <w:p w14:paraId="707F6566" w14:textId="77777777" w:rsidR="005563D3" w:rsidRPr="006C081F" w:rsidRDefault="005563D3" w:rsidP="005563D3">
                  <w:pPr>
                    <w:spacing w:line="360" w:lineRule="auto"/>
                    <w:jc w:val="both"/>
                    <w:rPr>
                      <w:rFonts w:ascii="Arial" w:hAnsi="Arial" w:cs="Arial"/>
                    </w:rPr>
                  </w:pPr>
                </w:p>
              </w:tc>
            </w:tr>
          </w:tbl>
          <w:p w14:paraId="31743815" w14:textId="0C73A6E3" w:rsidR="00C33465" w:rsidRPr="006C081F" w:rsidRDefault="00C33465" w:rsidP="00C33465">
            <w:pPr>
              <w:spacing w:line="360" w:lineRule="auto"/>
              <w:jc w:val="both"/>
              <w:rPr>
                <w:rFonts w:ascii="Arial" w:hAnsi="Arial" w:cs="Arial"/>
              </w:rPr>
            </w:pPr>
          </w:p>
        </w:tc>
        <w:tc>
          <w:tcPr>
            <w:tcW w:w="850" w:type="dxa"/>
            <w:hideMark/>
          </w:tcPr>
          <w:p w14:paraId="52983C45" w14:textId="4923AD86" w:rsidR="00C33465" w:rsidRPr="006C081F" w:rsidRDefault="00387CD3" w:rsidP="00C33465">
            <w:pPr>
              <w:spacing w:line="360" w:lineRule="auto"/>
              <w:jc w:val="both"/>
              <w:rPr>
                <w:rFonts w:ascii="Arial" w:hAnsi="Arial" w:cs="Arial"/>
              </w:rPr>
            </w:pPr>
            <w:r w:rsidRPr="006C081F">
              <w:rPr>
                <w:rFonts w:ascii="Arial" w:hAnsi="Arial" w:cs="Arial"/>
              </w:rPr>
              <w:t>28.87%</w:t>
            </w:r>
          </w:p>
        </w:tc>
        <w:tc>
          <w:tcPr>
            <w:tcW w:w="2075" w:type="dxa"/>
            <w:hideMark/>
          </w:tcPr>
          <w:p w14:paraId="354CF736" w14:textId="37A50937" w:rsidR="00C33465" w:rsidRPr="006C081F" w:rsidRDefault="00810A70" w:rsidP="00C33465">
            <w:pPr>
              <w:spacing w:line="360" w:lineRule="auto"/>
              <w:jc w:val="both"/>
              <w:rPr>
                <w:rFonts w:ascii="Arial" w:hAnsi="Arial" w:cs="Arial"/>
              </w:rPr>
            </w:pPr>
            <w:r w:rsidRPr="006C081F">
              <w:rPr>
                <w:rFonts w:ascii="Arial" w:hAnsi="Arial" w:cs="Arial"/>
              </w:rPr>
              <w:t>The margin drops significantly in 2023, as cost increases continue, but is improving somewhat in 2024</w:t>
            </w:r>
            <w:r w:rsidR="00CE3994" w:rsidRPr="006C081F">
              <w:rPr>
                <w:rFonts w:ascii="Arial" w:hAnsi="Arial" w:cs="Arial"/>
              </w:rPr>
              <w:t>.</w:t>
            </w:r>
          </w:p>
        </w:tc>
      </w:tr>
      <w:tr w:rsidR="008F513D" w:rsidRPr="006C081F" w14:paraId="050BE52D" w14:textId="77777777" w:rsidTr="002908C5">
        <w:tc>
          <w:tcPr>
            <w:tcW w:w="995" w:type="dxa"/>
            <w:hideMark/>
          </w:tcPr>
          <w:p w14:paraId="022EF758" w14:textId="77777777" w:rsidR="00C33465" w:rsidRPr="006C081F" w:rsidRDefault="00C33465" w:rsidP="00C33465">
            <w:pPr>
              <w:spacing w:line="360" w:lineRule="auto"/>
              <w:jc w:val="both"/>
              <w:rPr>
                <w:rFonts w:ascii="Arial" w:hAnsi="Arial" w:cs="Arial"/>
              </w:rPr>
            </w:pPr>
          </w:p>
        </w:tc>
        <w:tc>
          <w:tcPr>
            <w:tcW w:w="985" w:type="dxa"/>
            <w:hideMark/>
          </w:tcPr>
          <w:p w14:paraId="5ED39CB8" w14:textId="200232B8" w:rsidR="00C33465" w:rsidRPr="006C081F" w:rsidRDefault="00883B8D" w:rsidP="00C33465">
            <w:pPr>
              <w:spacing w:line="360" w:lineRule="auto"/>
              <w:jc w:val="both"/>
              <w:rPr>
                <w:rFonts w:ascii="Arial" w:hAnsi="Arial" w:cs="Arial"/>
              </w:rPr>
            </w:pPr>
            <w:r w:rsidRPr="006C081F">
              <w:rPr>
                <w:rFonts w:ascii="Arial" w:hAnsi="Arial" w:cs="Arial"/>
              </w:rPr>
              <w:t>Operating Profit Margin</w:t>
            </w:r>
          </w:p>
        </w:tc>
        <w:tc>
          <w:tcPr>
            <w:tcW w:w="1701" w:type="dxa"/>
            <w:hideMark/>
          </w:tcPr>
          <w:p w14:paraId="7730300F" w14:textId="6C1E64E8" w:rsidR="00C33465" w:rsidRPr="006C081F" w:rsidRDefault="00652B5D" w:rsidP="00C33465">
            <w:pPr>
              <w:spacing w:line="360" w:lineRule="auto"/>
              <w:jc w:val="both"/>
              <w:rPr>
                <w:rFonts w:ascii="Arial" w:hAnsi="Arial" w:cs="Arial"/>
              </w:rPr>
            </w:pPr>
            <m:oMathPara>
              <m:oMath>
                <m:f>
                  <m:fPr>
                    <m:ctrlPr>
                      <w:rPr>
                        <w:rFonts w:ascii="Cambria Math" w:hAnsi="Cambria Math" w:cs="Arial"/>
                        <w:i/>
                      </w:rPr>
                    </m:ctrlPr>
                  </m:fPr>
                  <m:num>
                    <m:r>
                      <m:rPr>
                        <m:sty m:val="p"/>
                      </m:rPr>
                      <w:rPr>
                        <w:rFonts w:ascii="Cambria Math" w:hAnsi="Cambria Math" w:cs="Arial"/>
                      </w:rPr>
                      <m:t>Operating Income</m:t>
                    </m:r>
                    <m:ctrlPr>
                      <w:rPr>
                        <w:rFonts w:ascii="Cambria Math" w:hAnsi="Cambria Math" w:cs="Arial"/>
                      </w:rPr>
                    </m:ctrlPr>
                  </m:num>
                  <m:den>
                    <m:r>
                      <m:rPr>
                        <m:sty m:val="p"/>
                      </m:rPr>
                      <w:rPr>
                        <w:rFonts w:ascii="Cambria Math" w:hAnsi="Cambria Math" w:cs="Arial"/>
                      </w:rPr>
                      <m:t>Sales</m:t>
                    </m:r>
                  </m:den>
                </m:f>
              </m:oMath>
            </m:oMathPara>
          </w:p>
        </w:tc>
        <w:tc>
          <w:tcPr>
            <w:tcW w:w="850" w:type="dxa"/>
            <w:hideMark/>
          </w:tcPr>
          <w:p w14:paraId="0EB0B1E7" w14:textId="19707005" w:rsidR="00C33465" w:rsidRPr="006C081F" w:rsidRDefault="007C59F0" w:rsidP="00C33465">
            <w:pPr>
              <w:spacing w:line="360" w:lineRule="auto"/>
              <w:jc w:val="both"/>
              <w:rPr>
                <w:rFonts w:ascii="Arial" w:hAnsi="Arial" w:cs="Arial"/>
              </w:rPr>
            </w:pPr>
            <w:r w:rsidRPr="006C081F">
              <w:rPr>
                <w:rFonts w:ascii="Arial" w:hAnsi="Arial" w:cs="Arial"/>
              </w:rPr>
              <w:t>3.8</w:t>
            </w:r>
            <w:r w:rsidR="00387CD3" w:rsidRPr="006C081F">
              <w:rPr>
                <w:rFonts w:ascii="Arial" w:hAnsi="Arial" w:cs="Arial"/>
              </w:rPr>
              <w:t>7</w:t>
            </w:r>
            <w:r w:rsidRPr="006C081F">
              <w:rPr>
                <w:rFonts w:ascii="Arial" w:hAnsi="Arial" w:cs="Arial"/>
              </w:rPr>
              <w:t>%</w:t>
            </w:r>
          </w:p>
        </w:tc>
        <w:tc>
          <w:tcPr>
            <w:tcW w:w="709" w:type="dxa"/>
            <w:hideMark/>
          </w:tcPr>
          <w:p w14:paraId="2BA5A789" w14:textId="08BBA6D8" w:rsidR="00C33465" w:rsidRPr="006C081F" w:rsidRDefault="00800AA7" w:rsidP="00C33465">
            <w:pPr>
              <w:spacing w:line="360" w:lineRule="auto"/>
              <w:jc w:val="both"/>
              <w:rPr>
                <w:rFonts w:ascii="Arial" w:hAnsi="Arial" w:cs="Arial"/>
              </w:rPr>
            </w:pPr>
            <w:r w:rsidRPr="006C081F">
              <w:rPr>
                <w:rFonts w:ascii="Arial" w:hAnsi="Arial" w:cs="Arial"/>
              </w:rPr>
              <w:t>2.68%</w:t>
            </w:r>
          </w:p>
        </w:tc>
        <w:tc>
          <w:tcPr>
            <w:tcW w:w="851" w:type="dxa"/>
            <w:hideMark/>
          </w:tcPr>
          <w:p w14:paraId="0D190A97" w14:textId="53DE378F" w:rsidR="00C33465" w:rsidRPr="006C081F" w:rsidRDefault="003E5DF1" w:rsidP="00C33465">
            <w:pPr>
              <w:spacing w:line="360" w:lineRule="auto"/>
              <w:jc w:val="both"/>
              <w:rPr>
                <w:rFonts w:ascii="Arial" w:hAnsi="Arial" w:cs="Arial"/>
              </w:rPr>
            </w:pPr>
            <w:r w:rsidRPr="006C081F">
              <w:rPr>
                <w:rFonts w:ascii="Arial" w:hAnsi="Arial" w:cs="Arial"/>
              </w:rPr>
              <w:t>-20.29%</w:t>
            </w:r>
          </w:p>
        </w:tc>
        <w:tc>
          <w:tcPr>
            <w:tcW w:w="850" w:type="dxa"/>
            <w:hideMark/>
          </w:tcPr>
          <w:p w14:paraId="14B7F1D7" w14:textId="04AB102B" w:rsidR="00C33465" w:rsidRPr="006C081F" w:rsidRDefault="003E5DF1" w:rsidP="00C33465">
            <w:pPr>
              <w:spacing w:line="360" w:lineRule="auto"/>
              <w:jc w:val="both"/>
              <w:rPr>
                <w:rFonts w:ascii="Arial" w:hAnsi="Arial" w:cs="Arial"/>
              </w:rPr>
            </w:pPr>
            <w:r w:rsidRPr="006C081F">
              <w:rPr>
                <w:rFonts w:ascii="Arial" w:hAnsi="Arial" w:cs="Arial"/>
              </w:rPr>
              <w:t>-3.87%</w:t>
            </w:r>
          </w:p>
        </w:tc>
        <w:tc>
          <w:tcPr>
            <w:tcW w:w="2075" w:type="dxa"/>
            <w:hideMark/>
          </w:tcPr>
          <w:p w14:paraId="6FC5744F" w14:textId="622B1519" w:rsidR="00C33465" w:rsidRPr="006C081F" w:rsidRDefault="00D207B3" w:rsidP="00C33465">
            <w:pPr>
              <w:spacing w:line="360" w:lineRule="auto"/>
              <w:jc w:val="both"/>
              <w:rPr>
                <w:rFonts w:ascii="Arial" w:hAnsi="Arial" w:cs="Arial"/>
              </w:rPr>
            </w:pPr>
            <w:r w:rsidRPr="006C081F">
              <w:rPr>
                <w:rFonts w:ascii="Arial" w:hAnsi="Arial" w:cs="Arial"/>
              </w:rPr>
              <w:t>Extreme degradation; huge operating structure losses in 2023-24 indicate unsustainable operating structure.</w:t>
            </w:r>
          </w:p>
        </w:tc>
      </w:tr>
      <w:tr w:rsidR="00883B8D" w:rsidRPr="006C081F" w14:paraId="6139637D" w14:textId="77777777" w:rsidTr="002908C5">
        <w:tc>
          <w:tcPr>
            <w:tcW w:w="995" w:type="dxa"/>
          </w:tcPr>
          <w:p w14:paraId="03F6F1CF" w14:textId="77777777" w:rsidR="00883B8D" w:rsidRPr="006C081F" w:rsidRDefault="00883B8D" w:rsidP="00C33465">
            <w:pPr>
              <w:spacing w:line="360" w:lineRule="auto"/>
              <w:jc w:val="both"/>
              <w:rPr>
                <w:rFonts w:ascii="Arial" w:hAnsi="Arial" w:cs="Arial"/>
              </w:rPr>
            </w:pPr>
          </w:p>
        </w:tc>
        <w:tc>
          <w:tcPr>
            <w:tcW w:w="985" w:type="dxa"/>
          </w:tcPr>
          <w:p w14:paraId="33A7411B" w14:textId="33C08B74" w:rsidR="00883B8D" w:rsidRPr="006C081F" w:rsidRDefault="00883B8D" w:rsidP="00C33465">
            <w:pPr>
              <w:spacing w:line="360" w:lineRule="auto"/>
              <w:jc w:val="both"/>
              <w:rPr>
                <w:rFonts w:ascii="Arial" w:hAnsi="Arial" w:cs="Arial"/>
              </w:rPr>
            </w:pPr>
            <w:r w:rsidRPr="006C081F">
              <w:rPr>
                <w:rFonts w:ascii="Arial" w:hAnsi="Arial" w:cs="Arial"/>
              </w:rPr>
              <w:t>Net Profit Margin</w:t>
            </w:r>
          </w:p>
        </w:tc>
        <w:tc>
          <w:tcPr>
            <w:tcW w:w="1701" w:type="dxa"/>
          </w:tcPr>
          <w:p w14:paraId="32797769" w14:textId="1030C2EA" w:rsidR="00883B8D" w:rsidRPr="006C081F" w:rsidRDefault="00652B5D" w:rsidP="00C33465">
            <w:pPr>
              <w:spacing w:line="360" w:lineRule="auto"/>
              <w:jc w:val="both"/>
              <w:rPr>
                <w:rFonts w:ascii="Arial" w:eastAsia="Calibri" w:hAnsi="Arial" w:cs="Arial"/>
              </w:rPr>
            </w:pPr>
            <m:oMathPara>
              <m:oMath>
                <m:f>
                  <m:fPr>
                    <m:ctrlPr>
                      <w:rPr>
                        <w:rFonts w:ascii="Cambria Math" w:hAnsi="Cambria Math" w:cs="Arial"/>
                        <w:i/>
                      </w:rPr>
                    </m:ctrlPr>
                  </m:fPr>
                  <m:num>
                    <m:r>
                      <m:rPr>
                        <m:sty m:val="p"/>
                      </m:rPr>
                      <w:rPr>
                        <w:rFonts w:ascii="Cambria Math" w:hAnsi="Cambria Math" w:cs="Arial"/>
                      </w:rPr>
                      <m:t>Net Income</m:t>
                    </m:r>
                    <m:ctrlPr>
                      <w:rPr>
                        <w:rFonts w:ascii="Cambria Math" w:hAnsi="Cambria Math" w:cs="Arial"/>
                      </w:rPr>
                    </m:ctrlPr>
                  </m:num>
                  <m:den>
                    <m:r>
                      <m:rPr>
                        <m:sty m:val="p"/>
                      </m:rPr>
                      <w:rPr>
                        <w:rFonts w:ascii="Cambria Math" w:hAnsi="Cambria Math" w:cs="Arial"/>
                      </w:rPr>
                      <m:t>Sales</m:t>
                    </m:r>
                  </m:den>
                </m:f>
              </m:oMath>
            </m:oMathPara>
          </w:p>
        </w:tc>
        <w:tc>
          <w:tcPr>
            <w:tcW w:w="850" w:type="dxa"/>
          </w:tcPr>
          <w:p w14:paraId="78E6BF5F" w14:textId="0D35E3D1" w:rsidR="00883B8D" w:rsidRPr="006C081F" w:rsidRDefault="00800AA7" w:rsidP="00C33465">
            <w:pPr>
              <w:spacing w:line="360" w:lineRule="auto"/>
              <w:jc w:val="both"/>
              <w:rPr>
                <w:rFonts w:ascii="Arial" w:hAnsi="Arial" w:cs="Arial"/>
              </w:rPr>
            </w:pPr>
            <w:r w:rsidRPr="006C081F">
              <w:rPr>
                <w:rFonts w:ascii="Arial" w:hAnsi="Arial" w:cs="Arial"/>
              </w:rPr>
              <w:t>0.88%</w:t>
            </w:r>
          </w:p>
        </w:tc>
        <w:tc>
          <w:tcPr>
            <w:tcW w:w="709" w:type="dxa"/>
          </w:tcPr>
          <w:p w14:paraId="4748A39C" w14:textId="46A8318E" w:rsidR="00883B8D" w:rsidRPr="006C081F" w:rsidRDefault="00B25BCA" w:rsidP="00C33465">
            <w:pPr>
              <w:spacing w:line="360" w:lineRule="auto"/>
              <w:jc w:val="both"/>
              <w:rPr>
                <w:rFonts w:ascii="Arial" w:hAnsi="Arial" w:cs="Arial"/>
              </w:rPr>
            </w:pPr>
            <w:r w:rsidRPr="006C081F">
              <w:rPr>
                <w:rFonts w:ascii="Arial" w:hAnsi="Arial" w:cs="Arial"/>
              </w:rPr>
              <w:t>0.07%</w:t>
            </w:r>
          </w:p>
        </w:tc>
        <w:tc>
          <w:tcPr>
            <w:tcW w:w="851" w:type="dxa"/>
          </w:tcPr>
          <w:p w14:paraId="48B97A81" w14:textId="4B995B7D" w:rsidR="00883B8D" w:rsidRPr="006C081F" w:rsidRDefault="00B25BCA" w:rsidP="00C33465">
            <w:pPr>
              <w:spacing w:line="360" w:lineRule="auto"/>
              <w:jc w:val="both"/>
              <w:rPr>
                <w:rFonts w:ascii="Arial" w:hAnsi="Arial" w:cs="Arial"/>
              </w:rPr>
            </w:pPr>
            <w:r w:rsidRPr="006C081F">
              <w:rPr>
                <w:rFonts w:ascii="Arial" w:hAnsi="Arial" w:cs="Arial"/>
              </w:rPr>
              <w:t>-23.3</w:t>
            </w:r>
            <w:r w:rsidR="00BC7960" w:rsidRPr="006C081F">
              <w:rPr>
                <w:rFonts w:ascii="Arial" w:hAnsi="Arial" w:cs="Arial"/>
              </w:rPr>
              <w:t>6</w:t>
            </w:r>
            <w:r w:rsidRPr="006C081F">
              <w:rPr>
                <w:rFonts w:ascii="Arial" w:hAnsi="Arial" w:cs="Arial"/>
              </w:rPr>
              <w:t>%</w:t>
            </w:r>
          </w:p>
        </w:tc>
        <w:tc>
          <w:tcPr>
            <w:tcW w:w="850" w:type="dxa"/>
          </w:tcPr>
          <w:p w14:paraId="0E9D70BF" w14:textId="0F2F7358" w:rsidR="00883B8D" w:rsidRPr="006C081F" w:rsidRDefault="00B25BCA" w:rsidP="00C33465">
            <w:pPr>
              <w:spacing w:line="360" w:lineRule="auto"/>
              <w:jc w:val="both"/>
              <w:rPr>
                <w:rFonts w:ascii="Arial" w:hAnsi="Arial" w:cs="Arial"/>
              </w:rPr>
            </w:pPr>
            <w:r w:rsidRPr="006C081F">
              <w:rPr>
                <w:rFonts w:ascii="Arial" w:hAnsi="Arial" w:cs="Arial"/>
              </w:rPr>
              <w:t>-6.0</w:t>
            </w:r>
            <w:r w:rsidR="00BC7960" w:rsidRPr="006C081F">
              <w:rPr>
                <w:rFonts w:ascii="Arial" w:hAnsi="Arial" w:cs="Arial"/>
              </w:rPr>
              <w:t>9</w:t>
            </w:r>
            <w:r w:rsidRPr="006C081F">
              <w:rPr>
                <w:rFonts w:ascii="Arial" w:hAnsi="Arial" w:cs="Arial"/>
              </w:rPr>
              <w:t>%</w:t>
            </w:r>
          </w:p>
        </w:tc>
        <w:tc>
          <w:tcPr>
            <w:tcW w:w="2075" w:type="dxa"/>
          </w:tcPr>
          <w:p w14:paraId="48FB069C" w14:textId="685F7664" w:rsidR="00883B8D" w:rsidRPr="006C081F" w:rsidRDefault="000E11FE" w:rsidP="00C33465">
            <w:pPr>
              <w:spacing w:line="360" w:lineRule="auto"/>
              <w:jc w:val="both"/>
              <w:rPr>
                <w:rFonts w:ascii="Arial" w:hAnsi="Arial" w:cs="Arial"/>
              </w:rPr>
            </w:pPr>
            <w:r w:rsidRPr="006C081F">
              <w:rPr>
                <w:rFonts w:ascii="Arial" w:hAnsi="Arial" w:cs="Arial"/>
              </w:rPr>
              <w:t>Profitability falls, particularly 2023, which shows a state of severe financial distress.</w:t>
            </w:r>
          </w:p>
        </w:tc>
      </w:tr>
      <w:tr w:rsidR="00D11E97" w:rsidRPr="006C081F" w14:paraId="481FC146" w14:textId="77777777" w:rsidTr="002908C5">
        <w:tc>
          <w:tcPr>
            <w:tcW w:w="995" w:type="dxa"/>
          </w:tcPr>
          <w:p w14:paraId="1547EBF9" w14:textId="77777777" w:rsidR="00D11E97" w:rsidRPr="006C081F" w:rsidRDefault="00D11E97" w:rsidP="00C33465">
            <w:pPr>
              <w:spacing w:line="360" w:lineRule="auto"/>
              <w:jc w:val="both"/>
              <w:rPr>
                <w:rFonts w:ascii="Arial" w:hAnsi="Arial" w:cs="Arial"/>
              </w:rPr>
            </w:pPr>
          </w:p>
        </w:tc>
        <w:tc>
          <w:tcPr>
            <w:tcW w:w="985" w:type="dxa"/>
          </w:tcPr>
          <w:p w14:paraId="03347D76" w14:textId="7B3FB5A2" w:rsidR="00D11E97" w:rsidRPr="006C081F" w:rsidRDefault="00D11E97" w:rsidP="00C33465">
            <w:pPr>
              <w:spacing w:line="360" w:lineRule="auto"/>
              <w:jc w:val="both"/>
              <w:rPr>
                <w:rFonts w:ascii="Arial" w:hAnsi="Arial" w:cs="Arial"/>
              </w:rPr>
            </w:pPr>
            <w:r w:rsidRPr="006C081F">
              <w:rPr>
                <w:rFonts w:ascii="Arial" w:hAnsi="Arial" w:cs="Arial"/>
              </w:rPr>
              <w:t>Return on Equity (ROE)</w:t>
            </w:r>
          </w:p>
        </w:tc>
        <w:tc>
          <w:tcPr>
            <w:tcW w:w="1701" w:type="dxa"/>
          </w:tcPr>
          <w:p w14:paraId="0FBDCEB8" w14:textId="3093C6BB" w:rsidR="00D11E97" w:rsidRPr="006C081F" w:rsidRDefault="00D11E97" w:rsidP="00C33465">
            <w:pPr>
              <w:spacing w:line="360" w:lineRule="auto"/>
              <w:jc w:val="both"/>
              <w:rPr>
                <w:rFonts w:ascii="Arial" w:eastAsia="Calibri" w:hAnsi="Arial" w:cs="Arial"/>
              </w:rPr>
            </w:pPr>
            <w:r w:rsidRPr="006C081F">
              <w:rPr>
                <w:rFonts w:ascii="Arial" w:eastAsia="Calibri" w:hAnsi="Arial" w:cs="Arial"/>
              </w:rPr>
              <w:t>Net Income</w:t>
            </w:r>
            <w:r w:rsidR="003C197B" w:rsidRPr="006C081F">
              <w:rPr>
                <w:rFonts w:ascii="Arial" w:eastAsia="Calibri" w:hAnsi="Arial" w:cs="Arial"/>
              </w:rPr>
              <w:t xml:space="preserve">/ </w:t>
            </w:r>
            <w:r w:rsidRPr="006C081F">
              <w:rPr>
                <w:rFonts w:ascii="Arial" w:eastAsia="Calibri" w:hAnsi="Arial" w:cs="Arial"/>
              </w:rPr>
              <w:t>Equity</w:t>
            </w:r>
          </w:p>
        </w:tc>
        <w:tc>
          <w:tcPr>
            <w:tcW w:w="850" w:type="dxa"/>
          </w:tcPr>
          <w:p w14:paraId="7FB01AD2" w14:textId="7350FCF7" w:rsidR="00D11E97" w:rsidRPr="006C081F" w:rsidRDefault="003C197B" w:rsidP="00C33465">
            <w:pPr>
              <w:spacing w:line="360" w:lineRule="auto"/>
              <w:jc w:val="both"/>
              <w:rPr>
                <w:rFonts w:ascii="Arial" w:hAnsi="Arial" w:cs="Arial"/>
              </w:rPr>
            </w:pPr>
            <w:r w:rsidRPr="006C081F">
              <w:rPr>
                <w:rFonts w:ascii="Arial" w:hAnsi="Arial" w:cs="Arial"/>
              </w:rPr>
              <w:t>1.92%</w:t>
            </w:r>
          </w:p>
        </w:tc>
        <w:tc>
          <w:tcPr>
            <w:tcW w:w="709" w:type="dxa"/>
          </w:tcPr>
          <w:p w14:paraId="2201E10D" w14:textId="1D5D9FE1" w:rsidR="00D11E97" w:rsidRPr="006C081F" w:rsidRDefault="000B5CCB" w:rsidP="00C33465">
            <w:pPr>
              <w:spacing w:line="360" w:lineRule="auto"/>
              <w:jc w:val="both"/>
              <w:rPr>
                <w:rFonts w:ascii="Arial" w:hAnsi="Arial" w:cs="Arial"/>
              </w:rPr>
            </w:pPr>
            <w:r w:rsidRPr="006C081F">
              <w:rPr>
                <w:rFonts w:ascii="Arial" w:hAnsi="Arial" w:cs="Arial"/>
              </w:rPr>
              <w:t>0.15%</w:t>
            </w:r>
          </w:p>
        </w:tc>
        <w:tc>
          <w:tcPr>
            <w:tcW w:w="851" w:type="dxa"/>
          </w:tcPr>
          <w:p w14:paraId="3D2385D1" w14:textId="751D110F" w:rsidR="00D11E97" w:rsidRPr="006C081F" w:rsidRDefault="000B5CCB" w:rsidP="00C33465">
            <w:pPr>
              <w:spacing w:line="360" w:lineRule="auto"/>
              <w:jc w:val="both"/>
              <w:rPr>
                <w:rFonts w:ascii="Arial" w:hAnsi="Arial" w:cs="Arial"/>
              </w:rPr>
            </w:pPr>
            <w:r w:rsidRPr="006C081F">
              <w:rPr>
                <w:rFonts w:ascii="Arial" w:hAnsi="Arial" w:cs="Arial"/>
              </w:rPr>
              <w:t>-54.92%</w:t>
            </w:r>
          </w:p>
        </w:tc>
        <w:tc>
          <w:tcPr>
            <w:tcW w:w="850" w:type="dxa"/>
          </w:tcPr>
          <w:p w14:paraId="16D17174" w14:textId="10A8005B" w:rsidR="00D11E97" w:rsidRPr="006C081F" w:rsidRDefault="000B5CCB" w:rsidP="00C33465">
            <w:pPr>
              <w:spacing w:line="360" w:lineRule="auto"/>
              <w:jc w:val="both"/>
              <w:rPr>
                <w:rFonts w:ascii="Arial" w:hAnsi="Arial" w:cs="Arial"/>
              </w:rPr>
            </w:pPr>
            <w:r w:rsidRPr="006C081F">
              <w:rPr>
                <w:rFonts w:ascii="Arial" w:hAnsi="Arial" w:cs="Arial"/>
              </w:rPr>
              <w:t>-15.69%</w:t>
            </w:r>
          </w:p>
        </w:tc>
        <w:tc>
          <w:tcPr>
            <w:tcW w:w="2075" w:type="dxa"/>
          </w:tcPr>
          <w:p w14:paraId="7BFA3066" w14:textId="1B7ED56B" w:rsidR="00D11E97" w:rsidRPr="006C081F" w:rsidRDefault="00D207B3" w:rsidP="00C33465">
            <w:pPr>
              <w:spacing w:line="360" w:lineRule="auto"/>
              <w:jc w:val="both"/>
              <w:rPr>
                <w:rFonts w:ascii="Arial" w:hAnsi="Arial" w:cs="Arial"/>
              </w:rPr>
            </w:pPr>
            <w:r w:rsidRPr="006C081F">
              <w:rPr>
                <w:rFonts w:ascii="Arial" w:hAnsi="Arial" w:cs="Arial"/>
              </w:rPr>
              <w:t>Huge negative ROE means loss of shareholder value.</w:t>
            </w:r>
          </w:p>
        </w:tc>
      </w:tr>
      <w:tr w:rsidR="008F513D" w:rsidRPr="006C081F" w14:paraId="67E3864D" w14:textId="77777777" w:rsidTr="002908C5">
        <w:tc>
          <w:tcPr>
            <w:tcW w:w="995" w:type="dxa"/>
            <w:hideMark/>
          </w:tcPr>
          <w:p w14:paraId="3463A72C" w14:textId="77777777" w:rsidR="00C33465" w:rsidRPr="006C081F" w:rsidRDefault="00C33465" w:rsidP="00C33465">
            <w:pPr>
              <w:spacing w:line="360" w:lineRule="auto"/>
              <w:jc w:val="both"/>
              <w:rPr>
                <w:rFonts w:ascii="Arial" w:hAnsi="Arial" w:cs="Arial"/>
              </w:rPr>
            </w:pPr>
            <w:r w:rsidRPr="006C081F">
              <w:rPr>
                <w:rFonts w:ascii="Arial" w:hAnsi="Arial" w:cs="Arial"/>
                <w:b/>
                <w:bCs/>
              </w:rPr>
              <w:t>Liquidity</w:t>
            </w:r>
          </w:p>
        </w:tc>
        <w:tc>
          <w:tcPr>
            <w:tcW w:w="985" w:type="dxa"/>
            <w:hideMark/>
          </w:tcPr>
          <w:p w14:paraId="6E1102D2" w14:textId="77777777" w:rsidR="00C33465" w:rsidRPr="006C081F" w:rsidRDefault="00C33465" w:rsidP="00C33465">
            <w:pPr>
              <w:spacing w:line="360" w:lineRule="auto"/>
              <w:jc w:val="both"/>
              <w:rPr>
                <w:rFonts w:ascii="Arial" w:hAnsi="Arial" w:cs="Arial"/>
              </w:rPr>
            </w:pPr>
            <w:r w:rsidRPr="006C081F">
              <w:rPr>
                <w:rFonts w:ascii="Arial" w:hAnsi="Arial" w:cs="Arial"/>
              </w:rPr>
              <w:t>Current Ratio</w:t>
            </w:r>
          </w:p>
        </w:tc>
        <w:tc>
          <w:tcPr>
            <w:tcW w:w="1701" w:type="dxa"/>
            <w:hideMark/>
          </w:tcPr>
          <w:p w14:paraId="1DA62934" w14:textId="7FAC9A55" w:rsidR="00C33465" w:rsidRPr="006C081F" w:rsidRDefault="00652B5D" w:rsidP="00C33465">
            <w:pPr>
              <w:spacing w:line="360" w:lineRule="auto"/>
              <w:jc w:val="both"/>
              <w:rPr>
                <w:rFonts w:ascii="Arial" w:hAnsi="Arial" w:cs="Arial"/>
              </w:rPr>
            </w:pPr>
            <m:oMathPara>
              <m:oMath>
                <m:f>
                  <m:fPr>
                    <m:ctrlPr>
                      <w:rPr>
                        <w:rFonts w:ascii="Cambria Math" w:hAnsi="Cambria Math" w:cs="Arial"/>
                        <w:i/>
                      </w:rPr>
                    </m:ctrlPr>
                  </m:fPr>
                  <m:num>
                    <m:r>
                      <m:rPr>
                        <m:sty m:val="p"/>
                      </m:rPr>
                      <w:rPr>
                        <w:rFonts w:ascii="Cambria Math" w:hAnsi="Cambria Math" w:cs="Arial"/>
                      </w:rPr>
                      <m:t>Current Assets</m:t>
                    </m:r>
                    <m:ctrlPr>
                      <w:rPr>
                        <w:rFonts w:ascii="Cambria Math" w:hAnsi="Cambria Math" w:cs="Arial"/>
                      </w:rPr>
                    </m:ctrlPr>
                  </m:num>
                  <m:den>
                    <m:r>
                      <m:rPr>
                        <m:sty m:val="p"/>
                      </m:rPr>
                      <w:rPr>
                        <w:rFonts w:ascii="Cambria Math" w:hAnsi="Cambria Math" w:cs="Arial"/>
                      </w:rPr>
                      <m:t>Current Liabilities</m:t>
                    </m:r>
                  </m:den>
                </m:f>
              </m:oMath>
            </m:oMathPara>
          </w:p>
        </w:tc>
        <w:tc>
          <w:tcPr>
            <w:tcW w:w="850" w:type="dxa"/>
            <w:hideMark/>
          </w:tcPr>
          <w:p w14:paraId="0A876D8F" w14:textId="47DBC182" w:rsidR="00C33465" w:rsidRPr="006C081F" w:rsidRDefault="00C33465" w:rsidP="00C33465">
            <w:pPr>
              <w:spacing w:line="360" w:lineRule="auto"/>
              <w:jc w:val="both"/>
              <w:rPr>
                <w:rFonts w:ascii="Arial" w:hAnsi="Arial" w:cs="Arial"/>
              </w:rPr>
            </w:pPr>
            <w:r w:rsidRPr="006C081F">
              <w:rPr>
                <w:rFonts w:ascii="Arial" w:hAnsi="Arial" w:cs="Arial"/>
              </w:rPr>
              <w:t>1.</w:t>
            </w:r>
            <w:r w:rsidR="000B5CCB" w:rsidRPr="006C081F">
              <w:rPr>
                <w:rFonts w:ascii="Arial" w:hAnsi="Arial" w:cs="Arial"/>
              </w:rPr>
              <w:t>5</w:t>
            </w:r>
            <w:r w:rsidR="000201A8" w:rsidRPr="006C081F">
              <w:rPr>
                <w:rFonts w:ascii="Arial" w:hAnsi="Arial" w:cs="Arial"/>
              </w:rPr>
              <w:t>6</w:t>
            </w:r>
          </w:p>
        </w:tc>
        <w:tc>
          <w:tcPr>
            <w:tcW w:w="709" w:type="dxa"/>
            <w:hideMark/>
          </w:tcPr>
          <w:p w14:paraId="0882CD3C" w14:textId="06E7D7D5" w:rsidR="00C33465" w:rsidRPr="006C081F" w:rsidRDefault="00C33465" w:rsidP="00C33465">
            <w:pPr>
              <w:spacing w:line="360" w:lineRule="auto"/>
              <w:jc w:val="both"/>
              <w:rPr>
                <w:rFonts w:ascii="Arial" w:hAnsi="Arial" w:cs="Arial"/>
              </w:rPr>
            </w:pPr>
            <w:r w:rsidRPr="006C081F">
              <w:rPr>
                <w:rFonts w:ascii="Arial" w:hAnsi="Arial" w:cs="Arial"/>
              </w:rPr>
              <w:t>1.</w:t>
            </w:r>
            <w:r w:rsidR="000201A8" w:rsidRPr="006C081F">
              <w:rPr>
                <w:rFonts w:ascii="Arial" w:hAnsi="Arial" w:cs="Arial"/>
              </w:rPr>
              <w:t>56</w:t>
            </w:r>
          </w:p>
        </w:tc>
        <w:tc>
          <w:tcPr>
            <w:tcW w:w="851" w:type="dxa"/>
            <w:hideMark/>
          </w:tcPr>
          <w:p w14:paraId="1D0838D0" w14:textId="188B78E1" w:rsidR="00C33465" w:rsidRPr="006C081F" w:rsidRDefault="00C33465" w:rsidP="00C33465">
            <w:pPr>
              <w:spacing w:line="360" w:lineRule="auto"/>
              <w:jc w:val="both"/>
              <w:rPr>
                <w:rFonts w:ascii="Arial" w:hAnsi="Arial" w:cs="Arial"/>
              </w:rPr>
            </w:pPr>
            <w:r w:rsidRPr="006C081F">
              <w:rPr>
                <w:rFonts w:ascii="Arial" w:hAnsi="Arial" w:cs="Arial"/>
              </w:rPr>
              <w:t>1.6</w:t>
            </w:r>
            <w:r w:rsidR="000201A8" w:rsidRPr="006C081F">
              <w:rPr>
                <w:rFonts w:ascii="Arial" w:hAnsi="Arial" w:cs="Arial"/>
              </w:rPr>
              <w:t>1</w:t>
            </w:r>
          </w:p>
        </w:tc>
        <w:tc>
          <w:tcPr>
            <w:tcW w:w="850" w:type="dxa"/>
            <w:hideMark/>
          </w:tcPr>
          <w:p w14:paraId="5F783803" w14:textId="77777777" w:rsidR="00C33465" w:rsidRPr="006C081F" w:rsidRDefault="00C33465" w:rsidP="00C33465">
            <w:pPr>
              <w:spacing w:line="360" w:lineRule="auto"/>
              <w:jc w:val="both"/>
              <w:rPr>
                <w:rFonts w:ascii="Arial" w:hAnsi="Arial" w:cs="Arial"/>
              </w:rPr>
            </w:pPr>
            <w:r w:rsidRPr="006C081F">
              <w:rPr>
                <w:rFonts w:ascii="Arial" w:hAnsi="Arial" w:cs="Arial"/>
              </w:rPr>
              <w:t>1.53</w:t>
            </w:r>
          </w:p>
        </w:tc>
        <w:tc>
          <w:tcPr>
            <w:tcW w:w="2075" w:type="dxa"/>
            <w:hideMark/>
          </w:tcPr>
          <w:p w14:paraId="2209AAA0" w14:textId="3C25293F" w:rsidR="00C33465" w:rsidRPr="006C081F" w:rsidRDefault="000E11FE" w:rsidP="00C33465">
            <w:pPr>
              <w:spacing w:line="360" w:lineRule="auto"/>
              <w:jc w:val="both"/>
              <w:rPr>
                <w:rFonts w:ascii="Arial" w:hAnsi="Arial" w:cs="Arial"/>
              </w:rPr>
            </w:pPr>
            <w:r w:rsidRPr="006C081F">
              <w:rPr>
                <w:rFonts w:ascii="Arial" w:hAnsi="Arial" w:cs="Arial"/>
              </w:rPr>
              <w:t xml:space="preserve">Liquidity is above 1.5 and slightly declines in 2024, but is sufficient at </w:t>
            </w:r>
            <w:r w:rsidRPr="006C081F">
              <w:rPr>
                <w:rFonts w:ascii="Arial" w:hAnsi="Arial" w:cs="Arial"/>
              </w:rPr>
              <w:lastRenderedPageBreak/>
              <w:t>the same time but deteriorates.</w:t>
            </w:r>
          </w:p>
        </w:tc>
      </w:tr>
      <w:tr w:rsidR="008F513D" w:rsidRPr="006C081F" w14:paraId="30009720" w14:textId="77777777" w:rsidTr="002908C5">
        <w:tc>
          <w:tcPr>
            <w:tcW w:w="995" w:type="dxa"/>
            <w:hideMark/>
          </w:tcPr>
          <w:p w14:paraId="1EA4316F" w14:textId="77777777" w:rsidR="00C33465" w:rsidRPr="006C081F" w:rsidRDefault="00C33465" w:rsidP="00C33465">
            <w:pPr>
              <w:spacing w:line="360" w:lineRule="auto"/>
              <w:jc w:val="both"/>
              <w:rPr>
                <w:rFonts w:ascii="Arial" w:hAnsi="Arial" w:cs="Arial"/>
              </w:rPr>
            </w:pPr>
          </w:p>
        </w:tc>
        <w:tc>
          <w:tcPr>
            <w:tcW w:w="985" w:type="dxa"/>
            <w:hideMark/>
          </w:tcPr>
          <w:p w14:paraId="1C0933A9" w14:textId="77777777" w:rsidR="00C33465" w:rsidRPr="006C081F" w:rsidRDefault="00C33465" w:rsidP="00C33465">
            <w:pPr>
              <w:spacing w:line="360" w:lineRule="auto"/>
              <w:jc w:val="both"/>
              <w:rPr>
                <w:rFonts w:ascii="Arial" w:hAnsi="Arial" w:cs="Arial"/>
              </w:rPr>
            </w:pPr>
            <w:r w:rsidRPr="006C081F">
              <w:rPr>
                <w:rFonts w:ascii="Arial" w:hAnsi="Arial" w:cs="Arial"/>
              </w:rPr>
              <w:t>Quick Ratio (Acid-Test)</w:t>
            </w:r>
          </w:p>
        </w:tc>
        <w:tc>
          <w:tcPr>
            <w:tcW w:w="1701" w:type="dxa"/>
            <w:hideMark/>
          </w:tcPr>
          <w:p w14:paraId="280FA70C" w14:textId="06DA922B" w:rsidR="00C33465" w:rsidRPr="006C081F" w:rsidRDefault="00652B5D" w:rsidP="00C33465">
            <w:pPr>
              <w:spacing w:line="360" w:lineRule="auto"/>
              <w:jc w:val="both"/>
              <w:rPr>
                <w:rFonts w:ascii="Arial" w:hAnsi="Arial" w:cs="Arial"/>
              </w:rPr>
            </w:pPr>
            <m:oMathPara>
              <m:oMath>
                <m:f>
                  <m:fPr>
                    <m:ctrlPr>
                      <w:rPr>
                        <w:rFonts w:ascii="Cambria Math" w:hAnsi="Cambria Math" w:cs="Arial"/>
                        <w:i/>
                        <w:sz w:val="10"/>
                        <w:szCs w:val="10"/>
                      </w:rPr>
                    </m:ctrlPr>
                  </m:fPr>
                  <m:num>
                    <m:r>
                      <m:rPr>
                        <m:sty m:val="p"/>
                      </m:rPr>
                      <w:rPr>
                        <w:rFonts w:ascii="Cambria Math" w:hAnsi="Cambria Math" w:cs="Arial"/>
                        <w:sz w:val="10"/>
                        <w:szCs w:val="10"/>
                      </w:rPr>
                      <m:t>CurreCurrent Assets - Inventoriesnt Assets</m:t>
                    </m:r>
                    <m:ctrlPr>
                      <w:rPr>
                        <w:rFonts w:ascii="Cambria Math" w:hAnsi="Cambria Math" w:cs="Arial"/>
                        <w:sz w:val="10"/>
                        <w:szCs w:val="10"/>
                      </w:rPr>
                    </m:ctrlPr>
                  </m:num>
                  <m:den>
                    <m:r>
                      <m:rPr>
                        <m:sty m:val="p"/>
                      </m:rPr>
                      <w:rPr>
                        <w:rFonts w:ascii="Cambria Math" w:hAnsi="Cambria Math" w:cs="Arial"/>
                        <w:sz w:val="10"/>
                        <w:szCs w:val="10"/>
                      </w:rPr>
                      <m:t>Current Liabilities</m:t>
                    </m:r>
                  </m:den>
                </m:f>
              </m:oMath>
            </m:oMathPara>
          </w:p>
        </w:tc>
        <w:tc>
          <w:tcPr>
            <w:tcW w:w="850" w:type="dxa"/>
            <w:hideMark/>
          </w:tcPr>
          <w:p w14:paraId="7B884A3A" w14:textId="1DE18E19" w:rsidR="00C33465" w:rsidRPr="006C081F" w:rsidRDefault="00751EBF" w:rsidP="00C33465">
            <w:pPr>
              <w:spacing w:line="360" w:lineRule="auto"/>
              <w:jc w:val="both"/>
              <w:rPr>
                <w:rFonts w:ascii="Arial" w:hAnsi="Arial" w:cs="Arial"/>
              </w:rPr>
            </w:pPr>
            <w:r w:rsidRPr="006C081F">
              <w:rPr>
                <w:rFonts w:ascii="Arial" w:hAnsi="Arial" w:cs="Arial"/>
              </w:rPr>
              <w:t>0.93</w:t>
            </w:r>
          </w:p>
        </w:tc>
        <w:tc>
          <w:tcPr>
            <w:tcW w:w="709" w:type="dxa"/>
            <w:hideMark/>
          </w:tcPr>
          <w:p w14:paraId="36948F3A" w14:textId="7E952A48" w:rsidR="00C33465" w:rsidRPr="006C081F" w:rsidRDefault="00751EBF" w:rsidP="00C33465">
            <w:pPr>
              <w:spacing w:line="360" w:lineRule="auto"/>
              <w:jc w:val="both"/>
              <w:rPr>
                <w:rFonts w:ascii="Arial" w:hAnsi="Arial" w:cs="Arial"/>
              </w:rPr>
            </w:pPr>
            <w:r w:rsidRPr="006C081F">
              <w:rPr>
                <w:rFonts w:ascii="Arial" w:hAnsi="Arial" w:cs="Arial"/>
              </w:rPr>
              <w:t>0</w:t>
            </w:r>
            <w:r w:rsidR="00C33465" w:rsidRPr="006C081F">
              <w:rPr>
                <w:rFonts w:ascii="Arial" w:hAnsi="Arial" w:cs="Arial"/>
              </w:rPr>
              <w:t>.</w:t>
            </w:r>
            <w:r w:rsidRPr="006C081F">
              <w:rPr>
                <w:rFonts w:ascii="Arial" w:hAnsi="Arial" w:cs="Arial"/>
              </w:rPr>
              <w:t>91</w:t>
            </w:r>
          </w:p>
        </w:tc>
        <w:tc>
          <w:tcPr>
            <w:tcW w:w="851" w:type="dxa"/>
            <w:hideMark/>
          </w:tcPr>
          <w:p w14:paraId="7C477D28" w14:textId="1A071DC9" w:rsidR="00C33465" w:rsidRPr="006C081F" w:rsidRDefault="00D93ED1" w:rsidP="00C33465">
            <w:pPr>
              <w:spacing w:line="360" w:lineRule="auto"/>
              <w:jc w:val="both"/>
              <w:rPr>
                <w:rFonts w:ascii="Arial" w:hAnsi="Arial" w:cs="Arial"/>
              </w:rPr>
            </w:pPr>
            <w:r w:rsidRPr="006C081F">
              <w:rPr>
                <w:rFonts w:ascii="Arial" w:hAnsi="Arial" w:cs="Arial"/>
              </w:rPr>
              <w:t>1.06</w:t>
            </w:r>
          </w:p>
        </w:tc>
        <w:tc>
          <w:tcPr>
            <w:tcW w:w="850" w:type="dxa"/>
            <w:hideMark/>
          </w:tcPr>
          <w:p w14:paraId="5D99669C" w14:textId="6C5C7C85" w:rsidR="00C33465" w:rsidRPr="006C081F" w:rsidRDefault="00D93ED1" w:rsidP="00C33465">
            <w:pPr>
              <w:spacing w:line="360" w:lineRule="auto"/>
              <w:jc w:val="both"/>
              <w:rPr>
                <w:rFonts w:ascii="Arial" w:hAnsi="Arial" w:cs="Arial"/>
              </w:rPr>
            </w:pPr>
            <w:r w:rsidRPr="006C081F">
              <w:rPr>
                <w:rFonts w:ascii="Arial" w:hAnsi="Arial" w:cs="Arial"/>
              </w:rPr>
              <w:t>1.03</w:t>
            </w:r>
          </w:p>
        </w:tc>
        <w:tc>
          <w:tcPr>
            <w:tcW w:w="2075" w:type="dxa"/>
            <w:hideMark/>
          </w:tcPr>
          <w:p w14:paraId="61024AE8" w14:textId="5D10DDC5" w:rsidR="00C33465" w:rsidRPr="006C081F" w:rsidRDefault="00821B3E" w:rsidP="00C33465">
            <w:pPr>
              <w:spacing w:line="360" w:lineRule="auto"/>
              <w:jc w:val="both"/>
              <w:rPr>
                <w:rFonts w:ascii="Arial" w:hAnsi="Arial" w:cs="Arial"/>
              </w:rPr>
            </w:pPr>
            <w:r w:rsidRPr="006C081F">
              <w:rPr>
                <w:rFonts w:ascii="Arial" w:hAnsi="Arial" w:cs="Arial"/>
              </w:rPr>
              <w:t>Improvement 2023 implies less strain on inventory; borderline healthy.</w:t>
            </w:r>
          </w:p>
        </w:tc>
      </w:tr>
      <w:tr w:rsidR="008F513D" w:rsidRPr="006C081F" w14:paraId="5C2D3BDB" w14:textId="77777777" w:rsidTr="002908C5">
        <w:tc>
          <w:tcPr>
            <w:tcW w:w="995" w:type="dxa"/>
            <w:hideMark/>
          </w:tcPr>
          <w:p w14:paraId="21B26F3C" w14:textId="77777777" w:rsidR="00C33465" w:rsidRPr="006C081F" w:rsidRDefault="00C33465" w:rsidP="00C33465">
            <w:pPr>
              <w:spacing w:line="360" w:lineRule="auto"/>
              <w:jc w:val="both"/>
              <w:rPr>
                <w:rFonts w:ascii="Arial" w:hAnsi="Arial" w:cs="Arial"/>
              </w:rPr>
            </w:pPr>
            <w:r w:rsidRPr="006C081F">
              <w:rPr>
                <w:rFonts w:ascii="Arial" w:hAnsi="Arial" w:cs="Arial"/>
                <w:b/>
                <w:bCs/>
              </w:rPr>
              <w:t>Efficiency</w:t>
            </w:r>
          </w:p>
        </w:tc>
        <w:tc>
          <w:tcPr>
            <w:tcW w:w="985" w:type="dxa"/>
            <w:hideMark/>
          </w:tcPr>
          <w:p w14:paraId="556204A5" w14:textId="77777777" w:rsidR="00C33465" w:rsidRPr="006C081F" w:rsidRDefault="00C33465" w:rsidP="00C33465">
            <w:pPr>
              <w:spacing w:line="360" w:lineRule="auto"/>
              <w:jc w:val="both"/>
              <w:rPr>
                <w:rFonts w:ascii="Arial" w:hAnsi="Arial" w:cs="Arial"/>
              </w:rPr>
            </w:pPr>
            <w:r w:rsidRPr="006C081F">
              <w:rPr>
                <w:rFonts w:ascii="Arial" w:hAnsi="Arial" w:cs="Arial"/>
              </w:rPr>
              <w:t>Inventory Turnover</w:t>
            </w:r>
          </w:p>
        </w:tc>
        <w:tc>
          <w:tcPr>
            <w:tcW w:w="1701" w:type="dxa"/>
            <w:hideMark/>
          </w:tcPr>
          <w:p w14:paraId="2C592275" w14:textId="74ED14A6" w:rsidR="00C33465" w:rsidRPr="006C081F" w:rsidRDefault="00652B5D" w:rsidP="00C33465">
            <w:pPr>
              <w:spacing w:line="360" w:lineRule="auto"/>
              <w:jc w:val="both"/>
              <w:rPr>
                <w:rFonts w:ascii="Arial" w:hAnsi="Arial" w:cs="Arial"/>
              </w:rPr>
            </w:pPr>
            <m:oMathPara>
              <m:oMath>
                <m:f>
                  <m:fPr>
                    <m:ctrlPr>
                      <w:rPr>
                        <w:rFonts w:ascii="Cambria Math" w:hAnsi="Cambria Math" w:cs="Arial"/>
                        <w:i/>
                      </w:rPr>
                    </m:ctrlPr>
                  </m:fPr>
                  <m:num>
                    <m:r>
                      <m:rPr>
                        <m:sty m:val="p"/>
                      </m:rPr>
                      <w:rPr>
                        <w:rFonts w:ascii="Cambria Math" w:hAnsi="Cambria Math" w:cs="Arial"/>
                      </w:rPr>
                      <m:t>Cost of Sales</m:t>
                    </m:r>
                    <m:ctrlPr>
                      <w:rPr>
                        <w:rFonts w:ascii="Cambria Math" w:hAnsi="Cambria Math" w:cs="Arial"/>
                      </w:rPr>
                    </m:ctrlPr>
                  </m:num>
                  <m:den>
                    <m:r>
                      <m:rPr>
                        <m:sty m:val="p"/>
                      </m:rPr>
                      <w:rPr>
                        <w:rFonts w:ascii="Cambria Math" w:hAnsi="Cambria Math" w:cs="Arial"/>
                      </w:rPr>
                      <m:t>Inventories</m:t>
                    </m:r>
                  </m:den>
                </m:f>
              </m:oMath>
            </m:oMathPara>
          </w:p>
        </w:tc>
        <w:tc>
          <w:tcPr>
            <w:tcW w:w="850" w:type="dxa"/>
            <w:hideMark/>
          </w:tcPr>
          <w:p w14:paraId="728BA749" w14:textId="6C65630F" w:rsidR="00C33465" w:rsidRPr="006C081F" w:rsidRDefault="005D2300" w:rsidP="00C33465">
            <w:pPr>
              <w:spacing w:line="360" w:lineRule="auto"/>
              <w:jc w:val="both"/>
              <w:rPr>
                <w:rFonts w:ascii="Arial" w:hAnsi="Arial" w:cs="Arial"/>
              </w:rPr>
            </w:pPr>
            <w:r w:rsidRPr="006C081F">
              <w:rPr>
                <w:rFonts w:ascii="Arial" w:hAnsi="Arial" w:cs="Arial"/>
              </w:rPr>
              <w:t>4.47</w:t>
            </w:r>
          </w:p>
        </w:tc>
        <w:tc>
          <w:tcPr>
            <w:tcW w:w="709" w:type="dxa"/>
            <w:hideMark/>
          </w:tcPr>
          <w:p w14:paraId="729D91FA" w14:textId="7FB5ABD5" w:rsidR="00C33465" w:rsidRPr="006C081F" w:rsidRDefault="005D2300" w:rsidP="00C33465">
            <w:pPr>
              <w:spacing w:line="360" w:lineRule="auto"/>
              <w:jc w:val="both"/>
              <w:rPr>
                <w:rFonts w:ascii="Arial" w:hAnsi="Arial" w:cs="Arial"/>
              </w:rPr>
            </w:pPr>
            <w:r w:rsidRPr="006C081F">
              <w:rPr>
                <w:rFonts w:ascii="Arial" w:hAnsi="Arial" w:cs="Arial"/>
              </w:rPr>
              <w:t>3.87</w:t>
            </w:r>
          </w:p>
        </w:tc>
        <w:tc>
          <w:tcPr>
            <w:tcW w:w="851" w:type="dxa"/>
            <w:hideMark/>
          </w:tcPr>
          <w:p w14:paraId="21F62AC5" w14:textId="035AE4B5" w:rsidR="00C33465" w:rsidRPr="006C081F" w:rsidRDefault="00D472F5" w:rsidP="00C33465">
            <w:pPr>
              <w:spacing w:line="360" w:lineRule="auto"/>
              <w:jc w:val="both"/>
              <w:rPr>
                <w:rFonts w:ascii="Arial" w:hAnsi="Arial" w:cs="Arial"/>
              </w:rPr>
            </w:pPr>
            <w:r w:rsidRPr="006C081F">
              <w:rPr>
                <w:rFonts w:ascii="Arial" w:hAnsi="Arial" w:cs="Arial"/>
              </w:rPr>
              <w:t>4.76</w:t>
            </w:r>
          </w:p>
        </w:tc>
        <w:tc>
          <w:tcPr>
            <w:tcW w:w="850" w:type="dxa"/>
            <w:hideMark/>
          </w:tcPr>
          <w:p w14:paraId="7BD38049" w14:textId="0CE2D3B6" w:rsidR="00C33465" w:rsidRPr="006C081F" w:rsidRDefault="00D472F5" w:rsidP="00C33465">
            <w:pPr>
              <w:spacing w:line="360" w:lineRule="auto"/>
              <w:jc w:val="both"/>
              <w:rPr>
                <w:rFonts w:ascii="Arial" w:hAnsi="Arial" w:cs="Arial"/>
              </w:rPr>
            </w:pPr>
            <w:r w:rsidRPr="006C081F">
              <w:rPr>
                <w:rFonts w:ascii="Arial" w:hAnsi="Arial" w:cs="Arial"/>
              </w:rPr>
              <w:t>4.98</w:t>
            </w:r>
          </w:p>
        </w:tc>
        <w:tc>
          <w:tcPr>
            <w:tcW w:w="2075" w:type="dxa"/>
            <w:hideMark/>
          </w:tcPr>
          <w:p w14:paraId="7BED5D9D" w14:textId="0C2303BB" w:rsidR="00C33465" w:rsidRPr="006C081F" w:rsidRDefault="00821B3E" w:rsidP="00C33465">
            <w:pPr>
              <w:spacing w:line="360" w:lineRule="auto"/>
              <w:jc w:val="both"/>
              <w:rPr>
                <w:rFonts w:ascii="Arial" w:hAnsi="Arial" w:cs="Arial"/>
              </w:rPr>
            </w:pPr>
            <w:r w:rsidRPr="006C081F">
              <w:rPr>
                <w:rFonts w:ascii="Arial" w:hAnsi="Arial" w:cs="Arial"/>
              </w:rPr>
              <w:t>The management of the inventory enhances after 2023, which is probably because of the restructuring and decreased stock quantities.</w:t>
            </w:r>
          </w:p>
        </w:tc>
      </w:tr>
      <w:tr w:rsidR="008F513D" w:rsidRPr="006C081F" w14:paraId="4F61AF26" w14:textId="77777777" w:rsidTr="002908C5">
        <w:tc>
          <w:tcPr>
            <w:tcW w:w="995" w:type="dxa"/>
            <w:hideMark/>
          </w:tcPr>
          <w:p w14:paraId="4E5E2915" w14:textId="77777777" w:rsidR="00C33465" w:rsidRPr="006C081F" w:rsidRDefault="00C33465" w:rsidP="00C33465">
            <w:pPr>
              <w:spacing w:line="360" w:lineRule="auto"/>
              <w:jc w:val="both"/>
              <w:rPr>
                <w:rFonts w:ascii="Arial" w:hAnsi="Arial" w:cs="Arial"/>
              </w:rPr>
            </w:pPr>
          </w:p>
        </w:tc>
        <w:tc>
          <w:tcPr>
            <w:tcW w:w="985" w:type="dxa"/>
            <w:hideMark/>
          </w:tcPr>
          <w:p w14:paraId="0D5AF362" w14:textId="77777777" w:rsidR="00C33465" w:rsidRPr="006C081F" w:rsidRDefault="00C33465" w:rsidP="00C33465">
            <w:pPr>
              <w:spacing w:line="360" w:lineRule="auto"/>
              <w:jc w:val="both"/>
              <w:rPr>
                <w:rFonts w:ascii="Arial" w:hAnsi="Arial" w:cs="Arial"/>
              </w:rPr>
            </w:pPr>
            <w:r w:rsidRPr="006C081F">
              <w:rPr>
                <w:rFonts w:ascii="Arial" w:hAnsi="Arial" w:cs="Arial"/>
              </w:rPr>
              <w:t>Asset Turnover</w:t>
            </w:r>
          </w:p>
        </w:tc>
        <w:tc>
          <w:tcPr>
            <w:tcW w:w="1701" w:type="dxa"/>
            <w:hideMark/>
          </w:tcPr>
          <w:p w14:paraId="7537A787" w14:textId="648D8D3E" w:rsidR="00C33465" w:rsidRPr="006C081F" w:rsidRDefault="00652B5D" w:rsidP="00C33465">
            <w:pPr>
              <w:spacing w:line="360" w:lineRule="auto"/>
              <w:jc w:val="both"/>
              <w:rPr>
                <w:rFonts w:ascii="Arial" w:hAnsi="Arial" w:cs="Arial"/>
              </w:rPr>
            </w:pPr>
            <m:oMathPara>
              <m:oMath>
                <m:f>
                  <m:fPr>
                    <m:ctrlPr>
                      <w:rPr>
                        <w:rFonts w:ascii="Cambria Math" w:hAnsi="Cambria Math" w:cs="Arial"/>
                        <w:i/>
                      </w:rPr>
                    </m:ctrlPr>
                  </m:fPr>
                  <m:num>
                    <m:r>
                      <m:rPr>
                        <m:sty m:val="p"/>
                      </m:rPr>
                      <w:rPr>
                        <w:rFonts w:ascii="Cambria Math" w:hAnsi="Cambria Math" w:cs="Arial"/>
                      </w:rPr>
                      <m:t>Sales</m:t>
                    </m:r>
                    <m:ctrlPr>
                      <w:rPr>
                        <w:rFonts w:ascii="Cambria Math" w:hAnsi="Cambria Math" w:cs="Arial"/>
                      </w:rPr>
                    </m:ctrlPr>
                  </m:num>
                  <m:den>
                    <m:r>
                      <m:rPr>
                        <m:sty m:val="p"/>
                      </m:rPr>
                      <w:rPr>
                        <w:rFonts w:ascii="Cambria Math" w:hAnsi="Cambria Math" w:cs="Arial"/>
                      </w:rPr>
                      <m:t>Total Assets</m:t>
                    </m:r>
                  </m:den>
                </m:f>
              </m:oMath>
            </m:oMathPara>
          </w:p>
        </w:tc>
        <w:tc>
          <w:tcPr>
            <w:tcW w:w="850" w:type="dxa"/>
            <w:hideMark/>
          </w:tcPr>
          <w:p w14:paraId="7322D755" w14:textId="67C91B2B" w:rsidR="00C33465" w:rsidRPr="006C081F" w:rsidRDefault="00A532B3" w:rsidP="00C33465">
            <w:pPr>
              <w:spacing w:line="360" w:lineRule="auto"/>
              <w:jc w:val="both"/>
              <w:rPr>
                <w:rFonts w:ascii="Arial" w:hAnsi="Arial" w:cs="Arial"/>
              </w:rPr>
            </w:pPr>
            <w:r w:rsidRPr="006C081F">
              <w:rPr>
                <w:rFonts w:ascii="Arial" w:hAnsi="Arial" w:cs="Arial"/>
              </w:rPr>
              <w:t>1.18</w:t>
            </w:r>
          </w:p>
        </w:tc>
        <w:tc>
          <w:tcPr>
            <w:tcW w:w="709" w:type="dxa"/>
            <w:hideMark/>
          </w:tcPr>
          <w:p w14:paraId="1AABCA4C" w14:textId="0616488C" w:rsidR="00C33465" w:rsidRPr="006C081F" w:rsidRDefault="00A532B3" w:rsidP="00C33465">
            <w:pPr>
              <w:spacing w:line="360" w:lineRule="auto"/>
              <w:jc w:val="both"/>
              <w:rPr>
                <w:rFonts w:ascii="Arial" w:hAnsi="Arial" w:cs="Arial"/>
              </w:rPr>
            </w:pPr>
            <w:r w:rsidRPr="006C081F">
              <w:rPr>
                <w:rFonts w:ascii="Arial" w:hAnsi="Arial" w:cs="Arial"/>
              </w:rPr>
              <w:t>1.08</w:t>
            </w:r>
          </w:p>
        </w:tc>
        <w:tc>
          <w:tcPr>
            <w:tcW w:w="851" w:type="dxa"/>
            <w:hideMark/>
          </w:tcPr>
          <w:p w14:paraId="4B7C872C" w14:textId="1DD5A70B" w:rsidR="00C33465" w:rsidRPr="006C081F" w:rsidRDefault="00964082" w:rsidP="00C33465">
            <w:pPr>
              <w:spacing w:line="360" w:lineRule="auto"/>
              <w:jc w:val="both"/>
              <w:rPr>
                <w:rFonts w:ascii="Arial" w:hAnsi="Arial" w:cs="Arial"/>
              </w:rPr>
            </w:pPr>
            <w:r w:rsidRPr="006C081F">
              <w:rPr>
                <w:rFonts w:ascii="Arial" w:hAnsi="Arial" w:cs="Arial"/>
              </w:rPr>
              <w:t>1.18</w:t>
            </w:r>
          </w:p>
        </w:tc>
        <w:tc>
          <w:tcPr>
            <w:tcW w:w="850" w:type="dxa"/>
            <w:hideMark/>
          </w:tcPr>
          <w:p w14:paraId="035A7A5B" w14:textId="17C750AA" w:rsidR="00C33465" w:rsidRPr="006C081F" w:rsidRDefault="00A532B3" w:rsidP="00C33465">
            <w:pPr>
              <w:spacing w:line="360" w:lineRule="auto"/>
              <w:jc w:val="both"/>
              <w:rPr>
                <w:rFonts w:ascii="Arial" w:hAnsi="Arial" w:cs="Arial"/>
              </w:rPr>
            </w:pPr>
            <w:r w:rsidRPr="006C081F">
              <w:rPr>
                <w:rFonts w:ascii="Arial" w:hAnsi="Arial" w:cs="Arial"/>
              </w:rPr>
              <w:t>1.22</w:t>
            </w:r>
          </w:p>
        </w:tc>
        <w:tc>
          <w:tcPr>
            <w:tcW w:w="2075" w:type="dxa"/>
            <w:hideMark/>
          </w:tcPr>
          <w:p w14:paraId="4114A098" w14:textId="6BF7B163" w:rsidR="00C33465" w:rsidRPr="006C081F" w:rsidRDefault="00821B3E" w:rsidP="00EA2097">
            <w:pPr>
              <w:spacing w:after="0" w:line="240" w:lineRule="auto"/>
              <w:jc w:val="both"/>
              <w:rPr>
                <w:rFonts w:ascii="Arial" w:hAnsi="Arial" w:cs="Arial"/>
                <w:sz w:val="24"/>
                <w:szCs w:val="24"/>
              </w:rPr>
            </w:pPr>
            <w:r w:rsidRPr="006C081F">
              <w:rPr>
                <w:rFonts w:ascii="Arial" w:hAnsi="Arial" w:cs="Arial"/>
              </w:rPr>
              <w:t>Asset utilisation is expected to be better in 2023-24 but it is reduced, rather than the performance.</w:t>
            </w:r>
          </w:p>
        </w:tc>
      </w:tr>
      <w:tr w:rsidR="008F513D" w:rsidRPr="006C081F" w14:paraId="56BA67E8" w14:textId="77777777" w:rsidTr="002908C5">
        <w:tc>
          <w:tcPr>
            <w:tcW w:w="995" w:type="dxa"/>
            <w:hideMark/>
          </w:tcPr>
          <w:p w14:paraId="71892D07" w14:textId="77777777" w:rsidR="00C33465" w:rsidRPr="006C081F" w:rsidRDefault="00C33465" w:rsidP="00C33465">
            <w:pPr>
              <w:spacing w:line="360" w:lineRule="auto"/>
              <w:jc w:val="both"/>
              <w:rPr>
                <w:rFonts w:ascii="Arial" w:hAnsi="Arial" w:cs="Arial"/>
              </w:rPr>
            </w:pPr>
            <w:r w:rsidRPr="006C081F">
              <w:rPr>
                <w:rFonts w:ascii="Arial" w:hAnsi="Arial" w:cs="Arial"/>
                <w:b/>
                <w:bCs/>
              </w:rPr>
              <w:t>Gearing</w:t>
            </w:r>
          </w:p>
        </w:tc>
        <w:tc>
          <w:tcPr>
            <w:tcW w:w="985" w:type="dxa"/>
            <w:hideMark/>
          </w:tcPr>
          <w:p w14:paraId="369158C9" w14:textId="77777777" w:rsidR="00C33465" w:rsidRPr="006C081F" w:rsidRDefault="00C33465" w:rsidP="00C33465">
            <w:pPr>
              <w:spacing w:line="360" w:lineRule="auto"/>
              <w:jc w:val="both"/>
              <w:rPr>
                <w:rFonts w:ascii="Arial" w:hAnsi="Arial" w:cs="Arial"/>
              </w:rPr>
            </w:pPr>
            <w:r w:rsidRPr="006C081F">
              <w:rPr>
                <w:rFonts w:ascii="Arial" w:hAnsi="Arial" w:cs="Arial"/>
              </w:rPr>
              <w:t>Debt-to-Equity Ratio (D/E)</w:t>
            </w:r>
          </w:p>
        </w:tc>
        <w:tc>
          <w:tcPr>
            <w:tcW w:w="1701" w:type="dxa"/>
            <w:hideMark/>
          </w:tcPr>
          <w:p w14:paraId="0107D896" w14:textId="6B82793B" w:rsidR="00C33465" w:rsidRPr="006C081F" w:rsidRDefault="00652B5D" w:rsidP="00C33465">
            <w:pPr>
              <w:spacing w:line="360" w:lineRule="auto"/>
              <w:jc w:val="both"/>
              <w:rPr>
                <w:rFonts w:ascii="Arial" w:hAnsi="Arial" w:cs="Arial"/>
              </w:rPr>
            </w:pPr>
            <m:oMathPara>
              <m:oMath>
                <m:f>
                  <m:fPr>
                    <m:ctrlPr>
                      <w:rPr>
                        <w:rFonts w:ascii="Cambria Math" w:hAnsi="Cambria Math" w:cs="Arial"/>
                        <w:i/>
                      </w:rPr>
                    </m:ctrlPr>
                  </m:fPr>
                  <m:num>
                    <m:r>
                      <m:rPr>
                        <m:sty m:val="p"/>
                      </m:rPr>
                      <w:rPr>
                        <w:rFonts w:ascii="Cambria Math" w:hAnsi="Cambria Math" w:cs="Arial"/>
                      </w:rPr>
                      <m:t>Total Liabilities</m:t>
                    </m:r>
                    <m:ctrlPr>
                      <w:rPr>
                        <w:rFonts w:ascii="Cambria Math" w:hAnsi="Cambria Math" w:cs="Arial"/>
                      </w:rPr>
                    </m:ctrlPr>
                  </m:num>
                  <m:den>
                    <m:r>
                      <m:rPr>
                        <m:sty m:val="p"/>
                      </m:rPr>
                      <w:rPr>
                        <w:rFonts w:ascii="Cambria Math" w:hAnsi="Cambria Math" w:cs="Arial"/>
                      </w:rPr>
                      <m:t>Total Equity</m:t>
                    </m:r>
                  </m:den>
                </m:f>
              </m:oMath>
            </m:oMathPara>
          </w:p>
        </w:tc>
        <w:tc>
          <w:tcPr>
            <w:tcW w:w="850" w:type="dxa"/>
            <w:hideMark/>
          </w:tcPr>
          <w:p w14:paraId="250CA37F" w14:textId="288B8D1E" w:rsidR="00C33465" w:rsidRPr="006C081F" w:rsidRDefault="008862D8" w:rsidP="00C33465">
            <w:pPr>
              <w:spacing w:line="360" w:lineRule="auto"/>
              <w:jc w:val="both"/>
              <w:rPr>
                <w:rFonts w:ascii="Arial" w:hAnsi="Arial" w:cs="Arial"/>
              </w:rPr>
            </w:pPr>
            <w:r w:rsidRPr="006C081F">
              <w:rPr>
                <w:rFonts w:ascii="Arial" w:hAnsi="Arial" w:cs="Arial"/>
              </w:rPr>
              <w:t>0.85</w:t>
            </w:r>
          </w:p>
        </w:tc>
        <w:tc>
          <w:tcPr>
            <w:tcW w:w="709" w:type="dxa"/>
            <w:hideMark/>
          </w:tcPr>
          <w:p w14:paraId="70E91108" w14:textId="3BAB098E" w:rsidR="00C33465" w:rsidRPr="006C081F" w:rsidRDefault="0087031B" w:rsidP="00C33465">
            <w:pPr>
              <w:spacing w:line="360" w:lineRule="auto"/>
              <w:jc w:val="both"/>
              <w:rPr>
                <w:rFonts w:ascii="Arial" w:hAnsi="Arial" w:cs="Arial"/>
              </w:rPr>
            </w:pPr>
            <w:r w:rsidRPr="006C081F">
              <w:rPr>
                <w:rFonts w:ascii="Arial" w:hAnsi="Arial" w:cs="Arial"/>
              </w:rPr>
              <w:t>0.99</w:t>
            </w:r>
          </w:p>
        </w:tc>
        <w:tc>
          <w:tcPr>
            <w:tcW w:w="851" w:type="dxa"/>
            <w:hideMark/>
          </w:tcPr>
          <w:p w14:paraId="383F59B4" w14:textId="2ACEF2B1" w:rsidR="00C33465" w:rsidRPr="006C081F" w:rsidRDefault="0087031B" w:rsidP="00C33465">
            <w:pPr>
              <w:spacing w:line="360" w:lineRule="auto"/>
              <w:jc w:val="both"/>
              <w:rPr>
                <w:rFonts w:ascii="Arial" w:hAnsi="Arial" w:cs="Arial"/>
              </w:rPr>
            </w:pPr>
            <w:r w:rsidRPr="006C081F">
              <w:rPr>
                <w:rFonts w:ascii="Arial" w:hAnsi="Arial" w:cs="Arial"/>
              </w:rPr>
              <w:t>0.99</w:t>
            </w:r>
          </w:p>
        </w:tc>
        <w:tc>
          <w:tcPr>
            <w:tcW w:w="850" w:type="dxa"/>
            <w:hideMark/>
          </w:tcPr>
          <w:p w14:paraId="71611EF0" w14:textId="5E439928" w:rsidR="00C33465" w:rsidRPr="006C081F" w:rsidRDefault="0087031B" w:rsidP="00C33465">
            <w:pPr>
              <w:spacing w:line="360" w:lineRule="auto"/>
              <w:jc w:val="both"/>
              <w:rPr>
                <w:rFonts w:ascii="Arial" w:hAnsi="Arial" w:cs="Arial"/>
              </w:rPr>
            </w:pPr>
            <w:r w:rsidRPr="006C081F">
              <w:rPr>
                <w:rFonts w:ascii="Arial" w:hAnsi="Arial" w:cs="Arial"/>
              </w:rPr>
              <w:t>1.11</w:t>
            </w:r>
          </w:p>
        </w:tc>
        <w:tc>
          <w:tcPr>
            <w:tcW w:w="2075" w:type="dxa"/>
            <w:hideMark/>
          </w:tcPr>
          <w:p w14:paraId="35ECC125" w14:textId="7CF3C987" w:rsidR="00C33465" w:rsidRPr="006C081F" w:rsidRDefault="00571754" w:rsidP="00C33465">
            <w:pPr>
              <w:spacing w:line="360" w:lineRule="auto"/>
              <w:jc w:val="both"/>
              <w:rPr>
                <w:rFonts w:ascii="Arial" w:hAnsi="Arial" w:cs="Arial"/>
              </w:rPr>
            </w:pPr>
            <w:r w:rsidRPr="006C081F">
              <w:rPr>
                <w:rFonts w:ascii="Arial" w:hAnsi="Arial" w:cs="Arial"/>
              </w:rPr>
              <w:t>The upward trend of leverages indicates that the risk of solvency is increasing, which is alarming to creditors.</w:t>
            </w:r>
          </w:p>
        </w:tc>
      </w:tr>
      <w:tr w:rsidR="008F513D" w:rsidRPr="006C081F" w14:paraId="540A6D52" w14:textId="77777777" w:rsidTr="002908C5">
        <w:tc>
          <w:tcPr>
            <w:tcW w:w="995" w:type="dxa"/>
            <w:hideMark/>
          </w:tcPr>
          <w:p w14:paraId="4831035A" w14:textId="77777777" w:rsidR="00C33465" w:rsidRPr="006C081F" w:rsidRDefault="00C33465" w:rsidP="00C33465">
            <w:pPr>
              <w:spacing w:line="360" w:lineRule="auto"/>
              <w:jc w:val="both"/>
              <w:rPr>
                <w:rFonts w:ascii="Arial" w:hAnsi="Arial" w:cs="Arial"/>
              </w:rPr>
            </w:pPr>
          </w:p>
        </w:tc>
        <w:tc>
          <w:tcPr>
            <w:tcW w:w="985" w:type="dxa"/>
            <w:hideMark/>
          </w:tcPr>
          <w:p w14:paraId="1B5A65E5" w14:textId="77777777" w:rsidR="00C33465" w:rsidRPr="006C081F" w:rsidRDefault="00C33465" w:rsidP="00C33465">
            <w:pPr>
              <w:spacing w:line="360" w:lineRule="auto"/>
              <w:jc w:val="both"/>
              <w:rPr>
                <w:rFonts w:ascii="Arial" w:hAnsi="Arial" w:cs="Arial"/>
              </w:rPr>
            </w:pPr>
            <w:r w:rsidRPr="006C081F">
              <w:rPr>
                <w:rFonts w:ascii="Arial" w:hAnsi="Arial" w:cs="Arial"/>
              </w:rPr>
              <w:t>Interest Coverage</w:t>
            </w:r>
          </w:p>
        </w:tc>
        <w:tc>
          <w:tcPr>
            <w:tcW w:w="1701" w:type="dxa"/>
            <w:hideMark/>
          </w:tcPr>
          <w:p w14:paraId="7603BFA1" w14:textId="396D4F69" w:rsidR="00C33465" w:rsidRPr="006C081F" w:rsidRDefault="00652B5D" w:rsidP="00C33465">
            <w:pPr>
              <w:spacing w:line="360" w:lineRule="auto"/>
              <w:jc w:val="both"/>
              <w:rPr>
                <w:rFonts w:ascii="Arial" w:hAnsi="Arial" w:cs="Arial"/>
              </w:rPr>
            </w:pPr>
            <m:oMathPara>
              <m:oMath>
                <m:f>
                  <m:fPr>
                    <m:ctrlPr>
                      <w:rPr>
                        <w:rFonts w:ascii="Cambria Math" w:hAnsi="Cambria Math" w:cs="Arial"/>
                        <w:i/>
                        <w:sz w:val="20"/>
                        <w:szCs w:val="20"/>
                      </w:rPr>
                    </m:ctrlPr>
                  </m:fPr>
                  <m:num>
                    <m:r>
                      <m:rPr>
                        <m:sty m:val="p"/>
                      </m:rPr>
                      <w:rPr>
                        <w:rFonts w:ascii="Cambria Math" w:hAnsi="Cambria Math" w:cs="Arial"/>
                        <w:sz w:val="20"/>
                        <w:szCs w:val="20"/>
                      </w:rPr>
                      <m:t>Operating Income</m:t>
                    </m:r>
                    <m:ctrlPr>
                      <w:rPr>
                        <w:rFonts w:ascii="Cambria Math" w:hAnsi="Cambria Math" w:cs="Arial"/>
                        <w:sz w:val="20"/>
                        <w:szCs w:val="20"/>
                      </w:rPr>
                    </m:ctrlPr>
                  </m:num>
                  <m:den>
                    <m:r>
                      <m:rPr>
                        <m:sty m:val="p"/>
                      </m:rPr>
                      <w:rPr>
                        <w:rFonts w:ascii="Cambria Math" w:hAnsi="Cambria Math" w:cs="Arial"/>
                        <w:sz w:val="20"/>
                        <w:szCs w:val="20"/>
                      </w:rPr>
                      <m:t>Interest Expense</m:t>
                    </m:r>
                  </m:den>
                </m:f>
              </m:oMath>
            </m:oMathPara>
          </w:p>
        </w:tc>
        <w:tc>
          <w:tcPr>
            <w:tcW w:w="850" w:type="dxa"/>
            <w:hideMark/>
          </w:tcPr>
          <w:p w14:paraId="08DB8199" w14:textId="08FD0EAF" w:rsidR="00C33465" w:rsidRPr="006C081F" w:rsidRDefault="00E51713" w:rsidP="00C33465">
            <w:pPr>
              <w:spacing w:line="360" w:lineRule="auto"/>
              <w:jc w:val="both"/>
              <w:rPr>
                <w:rFonts w:ascii="Arial" w:hAnsi="Arial" w:cs="Arial"/>
              </w:rPr>
            </w:pPr>
            <w:r w:rsidRPr="006C081F">
              <w:rPr>
                <w:rFonts w:ascii="Arial" w:hAnsi="Arial" w:cs="Arial"/>
              </w:rPr>
              <w:t>41.08</w:t>
            </w:r>
          </w:p>
        </w:tc>
        <w:tc>
          <w:tcPr>
            <w:tcW w:w="709" w:type="dxa"/>
            <w:hideMark/>
          </w:tcPr>
          <w:p w14:paraId="680772AB" w14:textId="2AAEF91E" w:rsidR="00C33465" w:rsidRPr="006C081F" w:rsidRDefault="00E51713" w:rsidP="00C33465">
            <w:pPr>
              <w:spacing w:line="360" w:lineRule="auto"/>
              <w:jc w:val="both"/>
              <w:rPr>
                <w:rFonts w:ascii="Arial" w:hAnsi="Arial" w:cs="Arial"/>
              </w:rPr>
            </w:pPr>
            <w:r w:rsidRPr="006C081F">
              <w:rPr>
                <w:rFonts w:ascii="Arial" w:hAnsi="Arial" w:cs="Arial"/>
              </w:rPr>
              <w:t>6.61</w:t>
            </w:r>
          </w:p>
        </w:tc>
        <w:tc>
          <w:tcPr>
            <w:tcW w:w="851" w:type="dxa"/>
            <w:hideMark/>
          </w:tcPr>
          <w:p w14:paraId="00C6EAC8" w14:textId="6957B17B" w:rsidR="00C33465" w:rsidRPr="006C081F" w:rsidRDefault="00E51713" w:rsidP="00C33465">
            <w:pPr>
              <w:spacing w:line="360" w:lineRule="auto"/>
              <w:jc w:val="both"/>
              <w:rPr>
                <w:rFonts w:ascii="Arial" w:hAnsi="Arial" w:cs="Arial"/>
              </w:rPr>
            </w:pPr>
            <w:r w:rsidRPr="006C081F">
              <w:rPr>
                <w:rFonts w:ascii="Arial" w:hAnsi="Arial" w:cs="Arial"/>
              </w:rPr>
              <w:t>-19.69</w:t>
            </w:r>
          </w:p>
        </w:tc>
        <w:tc>
          <w:tcPr>
            <w:tcW w:w="850" w:type="dxa"/>
            <w:hideMark/>
          </w:tcPr>
          <w:p w14:paraId="6A29BA45" w14:textId="73B6BC4D" w:rsidR="00C33465" w:rsidRPr="006C081F" w:rsidRDefault="00C87201" w:rsidP="00C33465">
            <w:pPr>
              <w:spacing w:line="360" w:lineRule="auto"/>
              <w:jc w:val="both"/>
              <w:rPr>
                <w:rFonts w:ascii="Arial" w:hAnsi="Arial" w:cs="Arial"/>
              </w:rPr>
            </w:pPr>
            <w:r w:rsidRPr="006C081F">
              <w:rPr>
                <w:rFonts w:ascii="Arial" w:hAnsi="Arial" w:cs="Arial"/>
              </w:rPr>
              <w:t>-4.55</w:t>
            </w:r>
          </w:p>
        </w:tc>
        <w:tc>
          <w:tcPr>
            <w:tcW w:w="2075" w:type="dxa"/>
            <w:hideMark/>
          </w:tcPr>
          <w:p w14:paraId="5DDBCB13" w14:textId="692B6B46" w:rsidR="00C33465" w:rsidRPr="006C081F" w:rsidRDefault="00543A76" w:rsidP="00253B80">
            <w:pPr>
              <w:spacing w:after="0" w:line="240" w:lineRule="auto"/>
              <w:jc w:val="both"/>
              <w:rPr>
                <w:sz w:val="24"/>
                <w:szCs w:val="24"/>
              </w:rPr>
            </w:pPr>
            <w:r w:rsidRPr="006C081F">
              <w:t>The coverage falls into negative territory indicating failure of servicing debt.</w:t>
            </w:r>
          </w:p>
        </w:tc>
      </w:tr>
      <w:tr w:rsidR="008F513D" w:rsidRPr="006C081F" w14:paraId="26C56E59" w14:textId="77777777" w:rsidTr="002908C5">
        <w:tc>
          <w:tcPr>
            <w:tcW w:w="995" w:type="dxa"/>
            <w:hideMark/>
          </w:tcPr>
          <w:p w14:paraId="2F10BF54" w14:textId="77777777" w:rsidR="00C33465" w:rsidRPr="006C081F" w:rsidRDefault="00C33465" w:rsidP="00C33465">
            <w:pPr>
              <w:spacing w:line="360" w:lineRule="auto"/>
              <w:jc w:val="both"/>
              <w:rPr>
                <w:rFonts w:ascii="Arial" w:hAnsi="Arial" w:cs="Arial"/>
              </w:rPr>
            </w:pPr>
            <w:r w:rsidRPr="006C081F">
              <w:rPr>
                <w:rFonts w:ascii="Arial" w:hAnsi="Arial" w:cs="Arial"/>
                <w:b/>
                <w:bCs/>
              </w:rPr>
              <w:t>Cash Flow</w:t>
            </w:r>
          </w:p>
        </w:tc>
        <w:tc>
          <w:tcPr>
            <w:tcW w:w="985" w:type="dxa"/>
            <w:hideMark/>
          </w:tcPr>
          <w:p w14:paraId="3088B981" w14:textId="77777777" w:rsidR="00C33465" w:rsidRPr="006C081F" w:rsidRDefault="00C33465" w:rsidP="00C33465">
            <w:pPr>
              <w:spacing w:line="360" w:lineRule="auto"/>
              <w:jc w:val="both"/>
              <w:rPr>
                <w:rFonts w:ascii="Arial" w:hAnsi="Arial" w:cs="Arial"/>
              </w:rPr>
            </w:pPr>
            <w:r w:rsidRPr="006C081F">
              <w:rPr>
                <w:rFonts w:ascii="Arial" w:hAnsi="Arial" w:cs="Arial"/>
              </w:rPr>
              <w:t>Operating Cash Flow Ratio</w:t>
            </w:r>
          </w:p>
        </w:tc>
        <w:tc>
          <w:tcPr>
            <w:tcW w:w="1701" w:type="dxa"/>
            <w:hideMark/>
          </w:tcPr>
          <w:p w14:paraId="0841685A" w14:textId="05363874" w:rsidR="00C33465" w:rsidRPr="006C081F" w:rsidRDefault="00652B5D" w:rsidP="00C33465">
            <w:pPr>
              <w:spacing w:line="360" w:lineRule="auto"/>
              <w:jc w:val="both"/>
              <w:rPr>
                <w:rFonts w:ascii="Arial" w:hAnsi="Arial" w:cs="Arial"/>
              </w:rPr>
            </w:pPr>
            <m:oMathPara>
              <m:oMath>
                <m:f>
                  <m:fPr>
                    <m:ctrlPr>
                      <w:rPr>
                        <w:rFonts w:ascii="Cambria Math" w:hAnsi="Cambria Math" w:cs="Arial"/>
                        <w:i/>
                      </w:rPr>
                    </m:ctrlPr>
                  </m:fPr>
                  <m:num>
                    <m:r>
                      <m:rPr>
                        <m:sty m:val="p"/>
                      </m:rPr>
                      <w:rPr>
                        <w:rFonts w:ascii="Cambria Math" w:hAnsi="Cambria Math" w:cs="Arial"/>
                      </w:rPr>
                      <m:t>CFO</m:t>
                    </m:r>
                    <m:ctrlPr>
                      <w:rPr>
                        <w:rFonts w:ascii="Cambria Math" w:hAnsi="Cambria Math" w:cs="Arial"/>
                      </w:rPr>
                    </m:ctrlPr>
                  </m:num>
                  <m:den>
                    <m:r>
                      <m:rPr>
                        <m:sty m:val="p"/>
                      </m:rPr>
                      <w:rPr>
                        <w:rFonts w:ascii="Cambria Math" w:hAnsi="Cambria Math" w:cs="Arial"/>
                      </w:rPr>
                      <m:t>Total Liabilities</m:t>
                    </m:r>
                  </m:den>
                </m:f>
              </m:oMath>
            </m:oMathPara>
          </w:p>
        </w:tc>
        <w:tc>
          <w:tcPr>
            <w:tcW w:w="850" w:type="dxa"/>
            <w:hideMark/>
          </w:tcPr>
          <w:p w14:paraId="504CFA0B" w14:textId="7F1BA876" w:rsidR="00C33465" w:rsidRPr="006C081F" w:rsidRDefault="00C87201" w:rsidP="00C33465">
            <w:pPr>
              <w:spacing w:line="360" w:lineRule="auto"/>
              <w:jc w:val="both"/>
              <w:rPr>
                <w:rFonts w:ascii="Arial" w:hAnsi="Arial" w:cs="Arial"/>
              </w:rPr>
            </w:pPr>
            <w:r w:rsidRPr="006C081F">
              <w:rPr>
                <w:rFonts w:ascii="Arial" w:hAnsi="Arial" w:cs="Arial"/>
              </w:rPr>
              <w:t>0.19</w:t>
            </w:r>
          </w:p>
        </w:tc>
        <w:tc>
          <w:tcPr>
            <w:tcW w:w="709" w:type="dxa"/>
            <w:hideMark/>
          </w:tcPr>
          <w:p w14:paraId="34215E6D" w14:textId="197FA6EB" w:rsidR="00C33465" w:rsidRPr="006C081F" w:rsidRDefault="003958E2" w:rsidP="00C33465">
            <w:pPr>
              <w:spacing w:line="360" w:lineRule="auto"/>
              <w:jc w:val="both"/>
              <w:rPr>
                <w:rFonts w:ascii="Arial" w:hAnsi="Arial" w:cs="Arial"/>
              </w:rPr>
            </w:pPr>
            <w:r w:rsidRPr="006C081F">
              <w:rPr>
                <w:rFonts w:ascii="Arial" w:hAnsi="Arial" w:cs="Arial"/>
              </w:rPr>
              <w:t>0.05</w:t>
            </w:r>
          </w:p>
        </w:tc>
        <w:tc>
          <w:tcPr>
            <w:tcW w:w="851" w:type="dxa"/>
            <w:hideMark/>
          </w:tcPr>
          <w:p w14:paraId="7F303AAF" w14:textId="0C817D89" w:rsidR="00C33465" w:rsidRPr="006C081F" w:rsidRDefault="003958E2" w:rsidP="00C33465">
            <w:pPr>
              <w:spacing w:line="360" w:lineRule="auto"/>
              <w:jc w:val="both"/>
              <w:rPr>
                <w:rFonts w:ascii="Arial" w:hAnsi="Arial" w:cs="Arial"/>
              </w:rPr>
            </w:pPr>
            <w:r w:rsidRPr="006C081F">
              <w:rPr>
                <w:rFonts w:ascii="Arial" w:hAnsi="Arial" w:cs="Arial"/>
              </w:rPr>
              <w:t>0.16</w:t>
            </w:r>
          </w:p>
        </w:tc>
        <w:tc>
          <w:tcPr>
            <w:tcW w:w="850" w:type="dxa"/>
            <w:hideMark/>
          </w:tcPr>
          <w:p w14:paraId="78484987" w14:textId="60BA4838" w:rsidR="00C33465" w:rsidRPr="006C081F" w:rsidRDefault="003958E2" w:rsidP="00C33465">
            <w:pPr>
              <w:spacing w:line="360" w:lineRule="auto"/>
              <w:jc w:val="both"/>
              <w:rPr>
                <w:rFonts w:ascii="Arial" w:hAnsi="Arial" w:cs="Arial"/>
              </w:rPr>
            </w:pPr>
            <w:r w:rsidRPr="006C081F">
              <w:rPr>
                <w:rFonts w:ascii="Arial" w:hAnsi="Arial" w:cs="Arial"/>
              </w:rPr>
              <w:t>0.09</w:t>
            </w:r>
          </w:p>
        </w:tc>
        <w:tc>
          <w:tcPr>
            <w:tcW w:w="2075" w:type="dxa"/>
            <w:hideMark/>
          </w:tcPr>
          <w:p w14:paraId="0839A6EC" w14:textId="50023F89" w:rsidR="00C33465" w:rsidRPr="006C081F" w:rsidRDefault="00CE3994" w:rsidP="00C33465">
            <w:pPr>
              <w:spacing w:line="360" w:lineRule="auto"/>
              <w:jc w:val="both"/>
              <w:rPr>
                <w:rFonts w:ascii="Arial" w:hAnsi="Arial" w:cs="Arial"/>
              </w:rPr>
            </w:pPr>
            <w:r w:rsidRPr="006C081F">
              <w:rPr>
                <w:rFonts w:ascii="Arial" w:hAnsi="Arial" w:cs="Arial"/>
              </w:rPr>
              <w:t>Weak and unstable cash generation; 2022 is very low and it poses a threat to liquidity.</w:t>
            </w:r>
          </w:p>
        </w:tc>
      </w:tr>
    </w:tbl>
    <w:p w14:paraId="4BE337F0" w14:textId="7D09CF35" w:rsidR="003B1879" w:rsidRPr="006C081F" w:rsidRDefault="00FB1E75" w:rsidP="00840E24">
      <w:pPr>
        <w:pStyle w:val="Heading2"/>
      </w:pPr>
      <w:bookmarkStart w:id="4" w:name="_Toc216794668"/>
      <w:r w:rsidRPr="006C081F">
        <w:lastRenderedPageBreak/>
        <w:t>C. Identified Trends, Strengths, and Threats</w:t>
      </w:r>
      <w:bookmarkEnd w:id="4"/>
    </w:p>
    <w:p w14:paraId="36BF92EA" w14:textId="3BB57E5F" w:rsidR="008577B8" w:rsidRPr="006C081F" w:rsidRDefault="008577B8" w:rsidP="008577B8">
      <w:pPr>
        <w:jc w:val="both"/>
        <w:rPr>
          <w:rFonts w:ascii="Arial" w:hAnsi="Arial" w:cs="Arial"/>
          <w:sz w:val="24"/>
          <w:szCs w:val="24"/>
        </w:rPr>
      </w:pPr>
      <w:r w:rsidRPr="006C081F">
        <w:rPr>
          <w:rFonts w:ascii="Arial" w:hAnsi="Arial" w:cs="Arial"/>
          <w:sz w:val="24"/>
          <w:szCs w:val="24"/>
        </w:rPr>
        <w:t>An overview of 2021-2024 financial statements of General Electronics shows that there are a number of performance trends. These trends point out the shortcomings in the internal operations and also external forces on the long term sustainability of the company.</w:t>
      </w:r>
    </w:p>
    <w:p w14:paraId="62377A63" w14:textId="77777777" w:rsidR="00A3094D" w:rsidRPr="006C081F" w:rsidRDefault="00A3094D" w:rsidP="00A3094D">
      <w:pPr>
        <w:spacing w:line="360" w:lineRule="auto"/>
        <w:jc w:val="both"/>
        <w:rPr>
          <w:rFonts w:ascii="Arial" w:hAnsi="Arial" w:cs="Arial"/>
          <w:b/>
          <w:bCs/>
          <w:sz w:val="24"/>
          <w:szCs w:val="24"/>
        </w:rPr>
      </w:pPr>
      <w:r w:rsidRPr="006C081F">
        <w:rPr>
          <w:rFonts w:ascii="Arial" w:hAnsi="Arial" w:cs="Arial"/>
          <w:b/>
          <w:bCs/>
          <w:sz w:val="24"/>
          <w:szCs w:val="24"/>
        </w:rPr>
        <w:t>1. Trends</w:t>
      </w:r>
    </w:p>
    <w:p w14:paraId="67F8EE47" w14:textId="4B68FDE5" w:rsidR="006C081F" w:rsidRPr="006C081F" w:rsidRDefault="006C081F" w:rsidP="006C081F">
      <w:pPr>
        <w:pStyle w:val="ListParagraph"/>
        <w:numPr>
          <w:ilvl w:val="0"/>
          <w:numId w:val="31"/>
        </w:numPr>
        <w:spacing w:line="360" w:lineRule="auto"/>
        <w:jc w:val="both"/>
        <w:rPr>
          <w:rFonts w:ascii="Arial" w:hAnsi="Arial" w:cs="Arial"/>
          <w:sz w:val="24"/>
          <w:szCs w:val="24"/>
        </w:rPr>
      </w:pPr>
      <w:r w:rsidRPr="006C081F">
        <w:rPr>
          <w:rFonts w:ascii="Arial" w:hAnsi="Arial" w:cs="Arial"/>
          <w:b/>
          <w:bCs/>
          <w:sz w:val="24"/>
          <w:szCs w:val="24"/>
        </w:rPr>
        <w:t>Stabilised Revenue Decrease:</w:t>
      </w:r>
      <w:r w:rsidRPr="006C081F">
        <w:rPr>
          <w:rFonts w:ascii="Arial" w:hAnsi="Arial" w:cs="Arial"/>
          <w:sz w:val="24"/>
          <w:szCs w:val="24"/>
        </w:rPr>
        <w:t xml:space="preserve"> yearly sales declined, which meant a declining demand in the market and a higher level of competition (</w:t>
      </w:r>
      <w:proofErr w:type="spellStart"/>
      <w:r w:rsidRPr="006C081F">
        <w:rPr>
          <w:rFonts w:ascii="Arial" w:hAnsi="Arial" w:cs="Arial"/>
          <w:sz w:val="24"/>
          <w:szCs w:val="24"/>
        </w:rPr>
        <w:t>Atrill</w:t>
      </w:r>
      <w:proofErr w:type="spellEnd"/>
      <w:r w:rsidRPr="006C081F">
        <w:rPr>
          <w:rFonts w:ascii="Arial" w:hAnsi="Arial" w:cs="Arial"/>
          <w:sz w:val="24"/>
          <w:szCs w:val="24"/>
        </w:rPr>
        <w:t xml:space="preserve"> and McLaney, 2023).</w:t>
      </w:r>
    </w:p>
    <w:p w14:paraId="6F583200" w14:textId="6F925AC2" w:rsidR="006C081F" w:rsidRPr="006C081F" w:rsidRDefault="006C081F" w:rsidP="006C081F">
      <w:pPr>
        <w:pStyle w:val="ListParagraph"/>
        <w:numPr>
          <w:ilvl w:val="0"/>
          <w:numId w:val="31"/>
        </w:numPr>
        <w:spacing w:line="360" w:lineRule="auto"/>
        <w:jc w:val="both"/>
        <w:rPr>
          <w:rFonts w:ascii="Arial" w:hAnsi="Arial" w:cs="Arial"/>
          <w:sz w:val="24"/>
          <w:szCs w:val="24"/>
        </w:rPr>
      </w:pPr>
      <w:r w:rsidRPr="006C081F">
        <w:rPr>
          <w:rFonts w:ascii="Arial" w:hAnsi="Arial" w:cs="Arial"/>
          <w:b/>
          <w:bCs/>
          <w:sz w:val="24"/>
          <w:szCs w:val="24"/>
        </w:rPr>
        <w:t>Unstable Profitability:</w:t>
      </w:r>
      <w:r w:rsidRPr="006C081F">
        <w:rPr>
          <w:rFonts w:ascii="Arial" w:hAnsi="Arial" w:cs="Arial"/>
          <w:sz w:val="24"/>
          <w:szCs w:val="24"/>
        </w:rPr>
        <w:t xml:space="preserve"> Gross profitability stays mostly constant, yet operating and net profitability are drastically declining, especially in 2023 when the company incurred some losses because of the excessive operating expenses and losses.</w:t>
      </w:r>
    </w:p>
    <w:p w14:paraId="2F39D537" w14:textId="7AA0EA4F" w:rsidR="006C081F" w:rsidRPr="006C081F" w:rsidRDefault="006C081F" w:rsidP="006C081F">
      <w:pPr>
        <w:pStyle w:val="ListParagraph"/>
        <w:numPr>
          <w:ilvl w:val="0"/>
          <w:numId w:val="31"/>
        </w:numPr>
        <w:spacing w:line="360" w:lineRule="auto"/>
        <w:jc w:val="both"/>
        <w:rPr>
          <w:rFonts w:ascii="Arial" w:hAnsi="Arial" w:cs="Arial"/>
          <w:sz w:val="24"/>
          <w:szCs w:val="24"/>
        </w:rPr>
      </w:pPr>
      <w:r w:rsidRPr="006C081F">
        <w:rPr>
          <w:rFonts w:ascii="Arial" w:hAnsi="Arial" w:cs="Arial"/>
          <w:b/>
          <w:bCs/>
          <w:sz w:val="24"/>
          <w:szCs w:val="24"/>
        </w:rPr>
        <w:t>Deteriorating Solvency Position:</w:t>
      </w:r>
      <w:r w:rsidRPr="006C081F">
        <w:rPr>
          <w:rFonts w:ascii="Arial" w:hAnsi="Arial" w:cs="Arial"/>
          <w:sz w:val="24"/>
          <w:szCs w:val="24"/>
        </w:rPr>
        <w:t xml:space="preserve"> The debt-to-equity ratios rose to 1.11 in 2024 (1.05 in 2021), indicating a tendency to use more debt funding (Brealey et al., 2022).</w:t>
      </w:r>
    </w:p>
    <w:p w14:paraId="420BE2F0" w14:textId="2C9FAA44" w:rsidR="006C081F" w:rsidRPr="006C081F" w:rsidRDefault="006C081F" w:rsidP="006C081F">
      <w:pPr>
        <w:pStyle w:val="ListParagraph"/>
        <w:numPr>
          <w:ilvl w:val="0"/>
          <w:numId w:val="31"/>
        </w:numPr>
        <w:spacing w:line="360" w:lineRule="auto"/>
        <w:jc w:val="both"/>
        <w:rPr>
          <w:rFonts w:ascii="Arial" w:hAnsi="Arial" w:cs="Arial"/>
          <w:sz w:val="24"/>
          <w:szCs w:val="24"/>
        </w:rPr>
      </w:pPr>
      <w:r w:rsidRPr="006C081F">
        <w:rPr>
          <w:rFonts w:ascii="Arial" w:hAnsi="Arial" w:cs="Arial"/>
          <w:b/>
          <w:bCs/>
          <w:sz w:val="24"/>
          <w:szCs w:val="24"/>
        </w:rPr>
        <w:t>Stabilising Cash Flow:</w:t>
      </w:r>
      <w:r w:rsidRPr="006C081F">
        <w:rPr>
          <w:rFonts w:ascii="Arial" w:hAnsi="Arial" w:cs="Arial"/>
          <w:sz w:val="24"/>
          <w:szCs w:val="24"/>
        </w:rPr>
        <w:t xml:space="preserve"> Operating cash flow is not stable as it declined a lot in 2022 which indicates deteriorating internal liquidity.</w:t>
      </w:r>
    </w:p>
    <w:p w14:paraId="2D84670B" w14:textId="2D1C7F62" w:rsidR="00595FE3" w:rsidRPr="006C081F" w:rsidRDefault="006C081F" w:rsidP="006C081F">
      <w:pPr>
        <w:pStyle w:val="ListParagraph"/>
        <w:numPr>
          <w:ilvl w:val="0"/>
          <w:numId w:val="31"/>
        </w:numPr>
        <w:spacing w:line="360" w:lineRule="auto"/>
        <w:jc w:val="both"/>
        <w:rPr>
          <w:rFonts w:ascii="Arial" w:hAnsi="Arial" w:cs="Arial"/>
          <w:sz w:val="24"/>
          <w:szCs w:val="24"/>
        </w:rPr>
      </w:pPr>
      <w:r w:rsidRPr="006C081F">
        <w:rPr>
          <w:rFonts w:ascii="Arial" w:hAnsi="Arial" w:cs="Arial"/>
          <w:b/>
          <w:bCs/>
          <w:sz w:val="24"/>
          <w:szCs w:val="24"/>
        </w:rPr>
        <w:t>Reducing Asset Base:</w:t>
      </w:r>
      <w:r w:rsidRPr="006C081F">
        <w:rPr>
          <w:rFonts w:ascii="Arial" w:hAnsi="Arial" w:cs="Arial"/>
          <w:sz w:val="24"/>
          <w:szCs w:val="24"/>
        </w:rPr>
        <w:t xml:space="preserve"> The total assets reduced at a rapid rate mainly due to huge impairment and capital investment reduction.</w:t>
      </w:r>
    </w:p>
    <w:p w14:paraId="0334C74D" w14:textId="77777777" w:rsidR="00A3094D" w:rsidRPr="006C081F" w:rsidRDefault="00A3094D" w:rsidP="00A3094D">
      <w:pPr>
        <w:spacing w:line="360" w:lineRule="auto"/>
        <w:jc w:val="both"/>
        <w:rPr>
          <w:rFonts w:ascii="Arial" w:hAnsi="Arial" w:cs="Arial"/>
          <w:b/>
          <w:bCs/>
          <w:sz w:val="24"/>
          <w:szCs w:val="24"/>
        </w:rPr>
      </w:pPr>
      <w:r w:rsidRPr="006C081F">
        <w:rPr>
          <w:rFonts w:ascii="Arial" w:hAnsi="Arial" w:cs="Arial"/>
          <w:b/>
          <w:bCs/>
          <w:sz w:val="24"/>
          <w:szCs w:val="24"/>
        </w:rPr>
        <w:t>2. Strengths</w:t>
      </w:r>
    </w:p>
    <w:p w14:paraId="5AFCC0CB" w14:textId="7C48FA44" w:rsidR="00016FD8" w:rsidRPr="00016FD8" w:rsidRDefault="00016FD8" w:rsidP="00016FD8">
      <w:pPr>
        <w:pStyle w:val="ListParagraph"/>
        <w:numPr>
          <w:ilvl w:val="0"/>
          <w:numId w:val="32"/>
        </w:numPr>
        <w:spacing w:line="360" w:lineRule="auto"/>
        <w:jc w:val="both"/>
        <w:rPr>
          <w:rFonts w:ascii="Arial" w:hAnsi="Arial" w:cs="Arial"/>
          <w:sz w:val="24"/>
          <w:szCs w:val="24"/>
        </w:rPr>
      </w:pPr>
      <w:r w:rsidRPr="00016FD8">
        <w:rPr>
          <w:rFonts w:ascii="Arial" w:hAnsi="Arial" w:cs="Arial"/>
          <w:b/>
          <w:bCs/>
          <w:sz w:val="24"/>
          <w:szCs w:val="24"/>
        </w:rPr>
        <w:t>Sufficient Short-Term Liquidity:</w:t>
      </w:r>
      <w:r w:rsidRPr="00016FD8">
        <w:rPr>
          <w:rFonts w:ascii="Arial" w:hAnsi="Arial" w:cs="Arial"/>
          <w:sz w:val="24"/>
          <w:szCs w:val="24"/>
        </w:rPr>
        <w:t xml:space="preserve"> The current ratio is more than 1.5 in the majority of years, which implies that the company is able to pay off its short-term liabilities (Palepu and Healy, 2022).</w:t>
      </w:r>
    </w:p>
    <w:p w14:paraId="30EA360D" w14:textId="3A0D37CC" w:rsidR="00016FD8" w:rsidRPr="00016FD8" w:rsidRDefault="00016FD8" w:rsidP="00016FD8">
      <w:pPr>
        <w:pStyle w:val="ListParagraph"/>
        <w:numPr>
          <w:ilvl w:val="0"/>
          <w:numId w:val="32"/>
        </w:numPr>
        <w:spacing w:line="360" w:lineRule="auto"/>
        <w:jc w:val="both"/>
        <w:rPr>
          <w:rFonts w:ascii="Arial" w:hAnsi="Arial" w:cs="Arial"/>
          <w:sz w:val="24"/>
          <w:szCs w:val="24"/>
        </w:rPr>
      </w:pPr>
      <w:r w:rsidRPr="00016FD8">
        <w:rPr>
          <w:rFonts w:ascii="Arial" w:hAnsi="Arial" w:cs="Arial"/>
          <w:b/>
          <w:bCs/>
          <w:sz w:val="24"/>
          <w:szCs w:val="24"/>
        </w:rPr>
        <w:t>Enhancing Inventory Management:</w:t>
      </w:r>
      <w:r w:rsidRPr="00016FD8">
        <w:rPr>
          <w:rFonts w:ascii="Arial" w:hAnsi="Arial" w:cs="Arial"/>
          <w:sz w:val="24"/>
          <w:szCs w:val="24"/>
        </w:rPr>
        <w:t xml:space="preserve"> The increase in inventory turnover was better in 2024, which probably reflects the improved demand forecasting and the practise of lean inventory management.</w:t>
      </w:r>
    </w:p>
    <w:p w14:paraId="3E02C2AF" w14:textId="28FADB02" w:rsidR="00016FD8" w:rsidRPr="00016FD8" w:rsidRDefault="00016FD8" w:rsidP="00016FD8">
      <w:pPr>
        <w:pStyle w:val="ListParagraph"/>
        <w:numPr>
          <w:ilvl w:val="0"/>
          <w:numId w:val="32"/>
        </w:numPr>
        <w:spacing w:line="360" w:lineRule="auto"/>
        <w:jc w:val="both"/>
        <w:rPr>
          <w:rFonts w:ascii="Arial" w:hAnsi="Arial" w:cs="Arial"/>
          <w:sz w:val="24"/>
          <w:szCs w:val="24"/>
        </w:rPr>
      </w:pPr>
      <w:r w:rsidRPr="00016FD8">
        <w:rPr>
          <w:rFonts w:ascii="Arial" w:hAnsi="Arial" w:cs="Arial"/>
          <w:b/>
          <w:bCs/>
          <w:sz w:val="24"/>
          <w:szCs w:val="24"/>
        </w:rPr>
        <w:t>Asset Utilisation Efficiency:</w:t>
      </w:r>
      <w:r w:rsidRPr="00016FD8">
        <w:rPr>
          <w:rFonts w:ascii="Arial" w:hAnsi="Arial" w:cs="Arial"/>
          <w:sz w:val="24"/>
          <w:szCs w:val="24"/>
        </w:rPr>
        <w:t xml:space="preserve"> The efficiency of asset utilisation will increase in 2023-2024 because the company will restructure and sell underperforming assets, thus improving the efficiency of operations.</w:t>
      </w:r>
    </w:p>
    <w:p w14:paraId="283C2A42" w14:textId="23839C7B" w:rsidR="005436CC" w:rsidRPr="00016FD8" w:rsidRDefault="00016FD8" w:rsidP="00016FD8">
      <w:pPr>
        <w:pStyle w:val="ListParagraph"/>
        <w:numPr>
          <w:ilvl w:val="0"/>
          <w:numId w:val="32"/>
        </w:numPr>
        <w:spacing w:line="360" w:lineRule="auto"/>
        <w:jc w:val="both"/>
        <w:rPr>
          <w:rFonts w:ascii="Arial" w:hAnsi="Arial" w:cs="Arial"/>
          <w:sz w:val="24"/>
          <w:szCs w:val="24"/>
        </w:rPr>
      </w:pPr>
      <w:r w:rsidRPr="00016FD8">
        <w:rPr>
          <w:rFonts w:ascii="Arial" w:hAnsi="Arial" w:cs="Arial"/>
          <w:b/>
          <w:bCs/>
          <w:sz w:val="24"/>
          <w:szCs w:val="24"/>
        </w:rPr>
        <w:t>Positive Gross Margins:</w:t>
      </w:r>
      <w:r w:rsidRPr="00016FD8">
        <w:rPr>
          <w:rFonts w:ascii="Arial" w:hAnsi="Arial" w:cs="Arial"/>
          <w:sz w:val="24"/>
          <w:szCs w:val="24"/>
        </w:rPr>
        <w:t xml:space="preserve"> Gross profit margins do not decrease, which indicates that the control of the production costs is preserved</w:t>
      </w:r>
      <w:r w:rsidR="005436CC" w:rsidRPr="00016FD8">
        <w:rPr>
          <w:rFonts w:ascii="Arial" w:hAnsi="Arial" w:cs="Arial"/>
          <w:sz w:val="24"/>
          <w:szCs w:val="24"/>
        </w:rPr>
        <w:t>.</w:t>
      </w:r>
    </w:p>
    <w:p w14:paraId="327406C7" w14:textId="77777777" w:rsidR="00A3094D" w:rsidRPr="006C081F" w:rsidRDefault="00A3094D" w:rsidP="00A3094D">
      <w:pPr>
        <w:spacing w:line="360" w:lineRule="auto"/>
        <w:jc w:val="both"/>
        <w:rPr>
          <w:rFonts w:ascii="Arial" w:hAnsi="Arial" w:cs="Arial"/>
          <w:b/>
          <w:bCs/>
          <w:sz w:val="24"/>
          <w:szCs w:val="24"/>
        </w:rPr>
      </w:pPr>
      <w:r w:rsidRPr="006C081F">
        <w:rPr>
          <w:rFonts w:ascii="Arial" w:hAnsi="Arial" w:cs="Arial"/>
          <w:b/>
          <w:bCs/>
          <w:sz w:val="24"/>
          <w:szCs w:val="24"/>
        </w:rPr>
        <w:lastRenderedPageBreak/>
        <w:t>3. Threats</w:t>
      </w:r>
    </w:p>
    <w:p w14:paraId="2389AD98" w14:textId="38EBA5EF" w:rsidR="00021937" w:rsidRPr="00021937" w:rsidRDefault="00021937" w:rsidP="00021937">
      <w:pPr>
        <w:pStyle w:val="ListParagraph"/>
        <w:numPr>
          <w:ilvl w:val="0"/>
          <w:numId w:val="33"/>
        </w:numPr>
        <w:spacing w:line="360" w:lineRule="auto"/>
        <w:jc w:val="both"/>
        <w:rPr>
          <w:rFonts w:ascii="Arial" w:hAnsi="Arial" w:cs="Arial"/>
          <w:sz w:val="24"/>
          <w:szCs w:val="24"/>
        </w:rPr>
      </w:pPr>
      <w:r w:rsidRPr="00021937">
        <w:rPr>
          <w:rFonts w:ascii="Arial" w:hAnsi="Arial" w:cs="Arial"/>
          <w:b/>
          <w:bCs/>
          <w:sz w:val="24"/>
          <w:szCs w:val="24"/>
        </w:rPr>
        <w:t>High Financial Distress Risk:</w:t>
      </w:r>
      <w:r w:rsidRPr="00021937">
        <w:rPr>
          <w:rFonts w:ascii="Arial" w:hAnsi="Arial" w:cs="Arial"/>
          <w:sz w:val="24"/>
          <w:szCs w:val="24"/>
        </w:rPr>
        <w:t xml:space="preserve"> The negative operating income and the decreasing equity indicates a high financial vulnerability level, which raises the issue of default risk (Altman and Hotchkiss, 2020).</w:t>
      </w:r>
    </w:p>
    <w:p w14:paraId="5AFB59B2" w14:textId="25AB07A4" w:rsidR="00021937" w:rsidRPr="00021937" w:rsidRDefault="00021937" w:rsidP="00021937">
      <w:pPr>
        <w:pStyle w:val="ListParagraph"/>
        <w:numPr>
          <w:ilvl w:val="0"/>
          <w:numId w:val="33"/>
        </w:numPr>
        <w:spacing w:line="360" w:lineRule="auto"/>
        <w:jc w:val="both"/>
        <w:rPr>
          <w:rFonts w:ascii="Arial" w:hAnsi="Arial" w:cs="Arial"/>
          <w:sz w:val="24"/>
          <w:szCs w:val="24"/>
        </w:rPr>
      </w:pPr>
      <w:r w:rsidRPr="00021937">
        <w:rPr>
          <w:rFonts w:ascii="Arial" w:hAnsi="Arial" w:cs="Arial"/>
          <w:b/>
          <w:bCs/>
          <w:sz w:val="24"/>
          <w:szCs w:val="24"/>
        </w:rPr>
        <w:t>Weak Credit Control:</w:t>
      </w:r>
      <w:r w:rsidRPr="00021937">
        <w:rPr>
          <w:rFonts w:ascii="Arial" w:hAnsi="Arial" w:cs="Arial"/>
          <w:sz w:val="24"/>
          <w:szCs w:val="24"/>
        </w:rPr>
        <w:t xml:space="preserve"> The declining ratio of receivable turnover means that the customer payment period is increasing and exposure to credit risks is growing.</w:t>
      </w:r>
    </w:p>
    <w:p w14:paraId="3F452053" w14:textId="2BBB5DA0" w:rsidR="00021937" w:rsidRPr="00021937" w:rsidRDefault="00021937" w:rsidP="00021937">
      <w:pPr>
        <w:pStyle w:val="ListParagraph"/>
        <w:numPr>
          <w:ilvl w:val="0"/>
          <w:numId w:val="33"/>
        </w:numPr>
        <w:spacing w:line="360" w:lineRule="auto"/>
        <w:jc w:val="both"/>
        <w:rPr>
          <w:rFonts w:ascii="Arial" w:hAnsi="Arial" w:cs="Arial"/>
          <w:sz w:val="24"/>
          <w:szCs w:val="24"/>
        </w:rPr>
      </w:pPr>
      <w:r w:rsidRPr="00021937">
        <w:rPr>
          <w:rFonts w:ascii="Arial" w:hAnsi="Arial" w:cs="Arial"/>
          <w:b/>
          <w:bCs/>
          <w:sz w:val="24"/>
          <w:szCs w:val="24"/>
        </w:rPr>
        <w:t>Increased Debt Burden:</w:t>
      </w:r>
      <w:r w:rsidRPr="00021937">
        <w:rPr>
          <w:rFonts w:ascii="Arial" w:hAnsi="Arial" w:cs="Arial"/>
          <w:sz w:val="24"/>
          <w:szCs w:val="24"/>
        </w:rPr>
        <w:t xml:space="preserve"> Diluted interest coverage and increased gearing ratios means that there is less ability to pay off financial obligations.</w:t>
      </w:r>
    </w:p>
    <w:p w14:paraId="4C466E1D" w14:textId="697D6A30" w:rsidR="00021937" w:rsidRPr="00021937" w:rsidRDefault="00021937" w:rsidP="00021937">
      <w:pPr>
        <w:pStyle w:val="ListParagraph"/>
        <w:numPr>
          <w:ilvl w:val="0"/>
          <w:numId w:val="33"/>
        </w:numPr>
        <w:spacing w:line="360" w:lineRule="auto"/>
        <w:jc w:val="both"/>
        <w:rPr>
          <w:rFonts w:ascii="Arial" w:hAnsi="Arial" w:cs="Arial"/>
          <w:sz w:val="24"/>
          <w:szCs w:val="24"/>
        </w:rPr>
      </w:pPr>
      <w:r w:rsidRPr="00021937">
        <w:rPr>
          <w:rFonts w:ascii="Arial" w:hAnsi="Arial" w:cs="Arial"/>
          <w:b/>
          <w:bCs/>
          <w:sz w:val="24"/>
          <w:szCs w:val="24"/>
        </w:rPr>
        <w:t>Market Competitiveness Reduction:</w:t>
      </w:r>
      <w:r w:rsidRPr="00021937">
        <w:rPr>
          <w:rFonts w:ascii="Arial" w:hAnsi="Arial" w:cs="Arial"/>
          <w:sz w:val="24"/>
          <w:szCs w:val="24"/>
        </w:rPr>
        <w:t xml:space="preserve"> With an average sales deterioration, it means that the market will be losing its market share to international competitors.</w:t>
      </w:r>
    </w:p>
    <w:p w14:paraId="391C9CDD" w14:textId="4BA23CE2" w:rsidR="00A3094D" w:rsidRPr="006C081F" w:rsidRDefault="00A3094D" w:rsidP="00840E24">
      <w:pPr>
        <w:pStyle w:val="Heading2"/>
      </w:pPr>
      <w:bookmarkStart w:id="5" w:name="_Toc216794669"/>
      <w:r w:rsidRPr="006C081F">
        <w:t xml:space="preserve">D. </w:t>
      </w:r>
      <w:r w:rsidR="0059582F" w:rsidRPr="006C081F">
        <w:t>Corporate Failure Prediction: Altman Z-Score</w:t>
      </w:r>
      <w:bookmarkEnd w:id="5"/>
      <w:r w:rsidRPr="006C081F">
        <w:t xml:space="preserve"> </w:t>
      </w:r>
    </w:p>
    <w:p w14:paraId="19BAA507" w14:textId="7220C464" w:rsidR="00A3094D" w:rsidRPr="006C081F" w:rsidRDefault="005E60F7" w:rsidP="00A3094D">
      <w:pPr>
        <w:spacing w:line="360" w:lineRule="auto"/>
        <w:jc w:val="both"/>
        <w:rPr>
          <w:rFonts w:ascii="Arial" w:hAnsi="Arial" w:cs="Arial"/>
          <w:sz w:val="24"/>
          <w:szCs w:val="24"/>
        </w:rPr>
      </w:pPr>
      <w:r w:rsidRPr="005E60F7">
        <w:rPr>
          <w:rFonts w:ascii="Arial" w:hAnsi="Arial" w:cs="Arial"/>
          <w:sz w:val="24"/>
          <w:szCs w:val="24"/>
        </w:rPr>
        <w:t>One of the most popular models that predicts the probability of financial distress or bankruptcy is the Altman Z-Score model, which is a prediction tool to forecast the probability of a corporate failure (Altman and Hotchkiss, 2020). The application of the model to the General Electronics would give an understanding of the solvency risk of the firm in the last few years.</w:t>
      </w:r>
      <w:r>
        <w:rPr>
          <w:rFonts w:ascii="Arial" w:hAnsi="Arial" w:cs="Arial"/>
          <w:sz w:val="24"/>
          <w:szCs w:val="24"/>
        </w:rPr>
        <w:t xml:space="preserve"> </w:t>
      </w:r>
      <w:r w:rsidR="00BC4C87" w:rsidRPr="006C081F">
        <w:rPr>
          <w:rFonts w:ascii="Arial" w:hAnsi="Arial" w:cs="Arial"/>
          <w:sz w:val="24"/>
          <w:szCs w:val="24"/>
        </w:rPr>
        <w:t>The severe distress warning in this case will be premised on the standard model</w:t>
      </w:r>
      <w:r w:rsidR="00A3094D" w:rsidRPr="006C081F">
        <w:rPr>
          <w:rFonts w:ascii="Arial" w:hAnsi="Arial" w:cs="Arial"/>
          <w:sz w:val="24"/>
          <w:szCs w:val="24"/>
        </w:rPr>
        <w:t>.</w:t>
      </w:r>
    </w:p>
    <w:p w14:paraId="5D76BF21" w14:textId="09169EAE" w:rsidR="00B371A4" w:rsidRPr="006C081F" w:rsidRDefault="00B371A4" w:rsidP="00A3094D">
      <w:pPr>
        <w:spacing w:line="360" w:lineRule="auto"/>
        <w:jc w:val="both"/>
        <w:rPr>
          <w:rFonts w:ascii="Arial" w:hAnsi="Arial" w:cs="Arial"/>
          <w:b/>
          <w:bCs/>
          <w:sz w:val="24"/>
          <w:szCs w:val="24"/>
        </w:rPr>
      </w:pPr>
      <w:r w:rsidRPr="006C081F">
        <w:rPr>
          <w:rFonts w:ascii="Arial" w:hAnsi="Arial" w:cs="Arial"/>
          <w:b/>
          <w:bCs/>
          <w:sz w:val="24"/>
          <w:szCs w:val="24"/>
        </w:rPr>
        <w:t xml:space="preserve">Standard Altman Z-Score </w:t>
      </w:r>
      <w:r w:rsidR="0048680F" w:rsidRPr="006C081F">
        <w:rPr>
          <w:rFonts w:ascii="Arial" w:hAnsi="Arial" w:cs="Arial"/>
          <w:b/>
          <w:bCs/>
          <w:sz w:val="24"/>
          <w:szCs w:val="24"/>
        </w:rPr>
        <w:t>Formula</w:t>
      </w:r>
      <w:r w:rsidRPr="006C081F">
        <w:rPr>
          <w:rFonts w:ascii="Arial" w:hAnsi="Arial" w:cs="Arial"/>
          <w:b/>
          <w:bCs/>
          <w:sz w:val="24"/>
          <w:szCs w:val="24"/>
        </w:rPr>
        <w:t>:</w:t>
      </w:r>
    </w:p>
    <w:p w14:paraId="6B57A06B" w14:textId="4DDB35A6" w:rsidR="00B67732" w:rsidRPr="006C081F" w:rsidRDefault="00B67732" w:rsidP="00B67732">
      <w:pPr>
        <w:spacing w:line="360" w:lineRule="auto"/>
        <w:rPr>
          <w:rFonts w:ascii="Arial" w:hAnsi="Arial" w:cs="Arial"/>
          <w:sz w:val="24"/>
          <w:szCs w:val="24"/>
        </w:rPr>
      </w:pPr>
      <w:r w:rsidRPr="006C081F">
        <w:rPr>
          <w:rFonts w:ascii="Arial" w:hAnsi="Arial" w:cs="Arial"/>
          <w:sz w:val="24"/>
          <w:szCs w:val="24"/>
        </w:rPr>
        <w:t>The classic Altman Z-Score model (Altman, 1968; 2013) is calculated as:</w:t>
      </w:r>
    </w:p>
    <w:p w14:paraId="3B6E71F2" w14:textId="21F3DA12" w:rsidR="00AE6B04" w:rsidRPr="006C081F" w:rsidRDefault="0007358E" w:rsidP="00AE6B04">
      <w:pPr>
        <w:spacing w:line="360" w:lineRule="auto"/>
        <w:jc w:val="center"/>
        <w:rPr>
          <w:rFonts w:ascii="Arial" w:hAnsi="Arial" w:cs="Arial"/>
          <w:sz w:val="24"/>
          <w:szCs w:val="24"/>
        </w:rPr>
      </w:pPr>
      <w:r w:rsidRPr="006C081F">
        <w:rPr>
          <w:rFonts w:ascii="Arial" w:hAnsi="Arial" w:cs="Arial"/>
          <w:sz w:val="24"/>
          <w:szCs w:val="24"/>
        </w:rPr>
        <w:t>Z = 1.2(X</w:t>
      </w:r>
      <w:r w:rsidRPr="006C081F">
        <w:rPr>
          <w:rFonts w:ascii="Cambria Math" w:hAnsi="Cambria Math" w:cs="Cambria Math"/>
          <w:sz w:val="24"/>
          <w:szCs w:val="24"/>
        </w:rPr>
        <w:t>₁</w:t>
      </w:r>
      <w:r w:rsidRPr="006C081F">
        <w:rPr>
          <w:rFonts w:ascii="Arial" w:hAnsi="Arial" w:cs="Arial"/>
          <w:sz w:val="24"/>
          <w:szCs w:val="24"/>
        </w:rPr>
        <w:t>) + 1.4(X</w:t>
      </w:r>
      <w:r w:rsidRPr="006C081F">
        <w:rPr>
          <w:rFonts w:ascii="Cambria Math" w:hAnsi="Cambria Math" w:cs="Cambria Math"/>
          <w:sz w:val="24"/>
          <w:szCs w:val="24"/>
        </w:rPr>
        <w:t>₂</w:t>
      </w:r>
      <w:r w:rsidRPr="006C081F">
        <w:rPr>
          <w:rFonts w:ascii="Arial" w:hAnsi="Arial" w:cs="Arial"/>
          <w:sz w:val="24"/>
          <w:szCs w:val="24"/>
        </w:rPr>
        <w:t>) + 3.3(X</w:t>
      </w:r>
      <w:r w:rsidRPr="006C081F">
        <w:rPr>
          <w:rFonts w:ascii="Cambria Math" w:hAnsi="Cambria Math" w:cs="Cambria Math"/>
          <w:sz w:val="24"/>
          <w:szCs w:val="24"/>
        </w:rPr>
        <w:t>₃</w:t>
      </w:r>
      <w:r w:rsidRPr="006C081F">
        <w:rPr>
          <w:rFonts w:ascii="Arial" w:hAnsi="Arial" w:cs="Arial"/>
          <w:sz w:val="24"/>
          <w:szCs w:val="24"/>
        </w:rPr>
        <w:t>) + 0.6(X</w:t>
      </w:r>
      <w:r w:rsidRPr="006C081F">
        <w:rPr>
          <w:rFonts w:ascii="Cambria Math" w:hAnsi="Cambria Math" w:cs="Cambria Math"/>
          <w:sz w:val="24"/>
          <w:szCs w:val="24"/>
        </w:rPr>
        <w:t>₄</w:t>
      </w:r>
      <w:r w:rsidRPr="006C081F">
        <w:rPr>
          <w:rFonts w:ascii="Arial" w:hAnsi="Arial" w:cs="Arial"/>
          <w:sz w:val="24"/>
          <w:szCs w:val="24"/>
        </w:rPr>
        <w:t>) + 1.0(X</w:t>
      </w:r>
      <w:r w:rsidRPr="006C081F">
        <w:rPr>
          <w:rFonts w:ascii="Cambria Math" w:hAnsi="Cambria Math" w:cs="Cambria Math"/>
          <w:sz w:val="24"/>
          <w:szCs w:val="24"/>
        </w:rPr>
        <w:t>₅</w:t>
      </w:r>
      <w:r w:rsidRPr="006C081F">
        <w:rPr>
          <w:rFonts w:ascii="Arial" w:hAnsi="Arial" w:cs="Arial"/>
          <w:sz w:val="24"/>
          <w:szCs w:val="24"/>
        </w:rPr>
        <w:t>)</w:t>
      </w:r>
    </w:p>
    <w:p w14:paraId="6129CDE8" w14:textId="6A7F7A26" w:rsidR="00274862" w:rsidRPr="006C081F" w:rsidRDefault="0055527D" w:rsidP="00A3094D">
      <w:pPr>
        <w:spacing w:line="360" w:lineRule="auto"/>
        <w:jc w:val="both"/>
        <w:rPr>
          <w:rFonts w:ascii="Arial" w:hAnsi="Arial" w:cs="Arial"/>
          <w:b/>
          <w:bCs/>
          <w:sz w:val="24"/>
          <w:szCs w:val="24"/>
        </w:rPr>
      </w:pPr>
      <w:r w:rsidRPr="006C081F">
        <w:rPr>
          <w:rFonts w:ascii="Arial" w:hAnsi="Arial" w:cs="Arial"/>
          <w:b/>
          <w:bCs/>
          <w:sz w:val="24"/>
          <w:szCs w:val="24"/>
        </w:rPr>
        <w:t>Where</w:t>
      </w:r>
      <w:r w:rsidR="005E7CC2" w:rsidRPr="006C081F">
        <w:rPr>
          <w:rFonts w:ascii="Arial" w:hAnsi="Arial" w:cs="Arial"/>
          <w:b/>
          <w:bCs/>
          <w:sz w:val="24"/>
          <w:szCs w:val="24"/>
        </w:rPr>
        <w:t>:</w:t>
      </w:r>
    </w:p>
    <w:p w14:paraId="5699B642" w14:textId="6E516FBB" w:rsidR="0055527D" w:rsidRPr="006C081F" w:rsidRDefault="007D010B" w:rsidP="005E7CC2">
      <w:pPr>
        <w:pStyle w:val="ListParagraph"/>
        <w:numPr>
          <w:ilvl w:val="0"/>
          <w:numId w:val="9"/>
        </w:numPr>
        <w:spacing w:line="360" w:lineRule="auto"/>
        <w:jc w:val="both"/>
        <w:rPr>
          <w:rFonts w:ascii="Arial" w:eastAsiaTheme="minorEastAsia" w:hAnsi="Arial" w:cs="Arial"/>
        </w:rPr>
      </w:pPr>
      <w:r w:rsidRPr="006C081F">
        <w:rPr>
          <w:rFonts w:ascii="Arial" w:hAnsi="Arial" w:cs="Arial"/>
          <w:sz w:val="24"/>
          <w:szCs w:val="24"/>
        </w:rPr>
        <w:t>X</w:t>
      </w:r>
      <w:r w:rsidRPr="006C081F">
        <w:rPr>
          <w:rFonts w:ascii="Cambria Math" w:hAnsi="Cambria Math" w:cs="Cambria Math"/>
          <w:sz w:val="24"/>
          <w:szCs w:val="24"/>
        </w:rPr>
        <w:t>₁</w:t>
      </w:r>
      <w:r w:rsidR="0055527D" w:rsidRPr="006C081F">
        <w:rPr>
          <w:rFonts w:ascii="Arial" w:hAnsi="Arial" w:cs="Arial"/>
          <w:sz w:val="24"/>
          <w:szCs w:val="24"/>
        </w:rPr>
        <w:t xml:space="preserve">= </w:t>
      </w:r>
      <w:r w:rsidR="00F02CB5" w:rsidRPr="006C081F">
        <w:rPr>
          <w:rFonts w:ascii="Arial" w:hAnsi="Arial" w:cs="Arial"/>
          <w:sz w:val="24"/>
          <w:szCs w:val="24"/>
        </w:rPr>
        <w:t xml:space="preserve"> </w:t>
      </w:r>
      <m:oMath>
        <m:f>
          <m:fPr>
            <m:ctrlPr>
              <w:rPr>
                <w:rFonts w:ascii="Cambria Math" w:hAnsi="Cambria Math" w:cs="Arial"/>
                <w:i/>
              </w:rPr>
            </m:ctrlPr>
          </m:fPr>
          <m:num>
            <m:r>
              <m:rPr>
                <m:sty m:val="p"/>
              </m:rPr>
              <w:rPr>
                <w:rFonts w:ascii="Cambria Math" w:hAnsi="Cambria Math" w:cs="Arial"/>
              </w:rPr>
              <m:t>Working Capital</m:t>
            </m:r>
            <m:ctrlPr>
              <w:rPr>
                <w:rFonts w:ascii="Cambria Math" w:hAnsi="Cambria Math" w:cs="Arial"/>
              </w:rPr>
            </m:ctrlPr>
          </m:num>
          <m:den>
            <m:r>
              <m:rPr>
                <m:sty m:val="p"/>
              </m:rPr>
              <w:rPr>
                <w:rFonts w:ascii="Cambria Math" w:hAnsi="Cambria Math" w:cs="Arial"/>
              </w:rPr>
              <m:t>Total Assets</m:t>
            </m:r>
          </m:den>
        </m:f>
      </m:oMath>
    </w:p>
    <w:p w14:paraId="35E02DDC" w14:textId="59001FCA" w:rsidR="00F02CB5" w:rsidRPr="006C081F" w:rsidRDefault="007D010B" w:rsidP="005E7CC2">
      <w:pPr>
        <w:pStyle w:val="ListParagraph"/>
        <w:numPr>
          <w:ilvl w:val="0"/>
          <w:numId w:val="9"/>
        </w:numPr>
        <w:spacing w:line="360" w:lineRule="auto"/>
        <w:jc w:val="both"/>
        <w:rPr>
          <w:rFonts w:ascii="Arial" w:eastAsiaTheme="minorEastAsia" w:hAnsi="Arial" w:cs="Arial"/>
        </w:rPr>
      </w:pPr>
      <w:r w:rsidRPr="006C081F">
        <w:rPr>
          <w:rFonts w:ascii="Arial" w:hAnsi="Arial" w:cs="Arial"/>
          <w:sz w:val="24"/>
          <w:szCs w:val="24"/>
        </w:rPr>
        <w:t>X</w:t>
      </w:r>
      <w:r w:rsidRPr="006C081F">
        <w:rPr>
          <w:rFonts w:ascii="Cambria Math" w:hAnsi="Cambria Math" w:cs="Cambria Math"/>
          <w:sz w:val="24"/>
          <w:szCs w:val="24"/>
        </w:rPr>
        <w:t>₂</w:t>
      </w:r>
      <w:r w:rsidR="00CA2804" w:rsidRPr="006C081F">
        <w:rPr>
          <w:rFonts w:ascii="Arial" w:hAnsi="Arial" w:cs="Arial"/>
          <w:sz w:val="24"/>
          <w:szCs w:val="24"/>
        </w:rPr>
        <w:t xml:space="preserve">= </w:t>
      </w:r>
      <m:oMath>
        <m:f>
          <m:fPr>
            <m:ctrlPr>
              <w:rPr>
                <w:rFonts w:ascii="Cambria Math" w:hAnsi="Cambria Math" w:cs="Arial"/>
                <w:i/>
              </w:rPr>
            </m:ctrlPr>
          </m:fPr>
          <m:num>
            <m:r>
              <m:rPr>
                <m:sty m:val="p"/>
              </m:rPr>
              <w:rPr>
                <w:rFonts w:ascii="Cambria Math" w:hAnsi="Cambria Math" w:cs="Arial"/>
              </w:rPr>
              <m:t>Retained Earnings</m:t>
            </m:r>
            <m:ctrlPr>
              <w:rPr>
                <w:rFonts w:ascii="Cambria Math" w:hAnsi="Cambria Math" w:cs="Arial"/>
              </w:rPr>
            </m:ctrlPr>
          </m:num>
          <m:den>
            <m:r>
              <m:rPr>
                <m:sty m:val="p"/>
              </m:rPr>
              <w:rPr>
                <w:rFonts w:ascii="Cambria Math" w:hAnsi="Cambria Math" w:cs="Arial"/>
              </w:rPr>
              <m:t>Total Assets</m:t>
            </m:r>
          </m:den>
        </m:f>
      </m:oMath>
    </w:p>
    <w:p w14:paraId="63831ACD" w14:textId="1C598605" w:rsidR="00CA2804" w:rsidRPr="006C081F" w:rsidRDefault="007D010B" w:rsidP="005E7CC2">
      <w:pPr>
        <w:pStyle w:val="ListParagraph"/>
        <w:numPr>
          <w:ilvl w:val="0"/>
          <w:numId w:val="9"/>
        </w:numPr>
        <w:spacing w:line="360" w:lineRule="auto"/>
        <w:jc w:val="both"/>
        <w:rPr>
          <w:rFonts w:ascii="Arial" w:eastAsiaTheme="minorEastAsia" w:hAnsi="Arial" w:cs="Arial"/>
        </w:rPr>
      </w:pPr>
      <w:r w:rsidRPr="006C081F">
        <w:rPr>
          <w:rFonts w:ascii="Arial" w:hAnsi="Arial" w:cs="Arial"/>
          <w:sz w:val="24"/>
          <w:szCs w:val="24"/>
        </w:rPr>
        <w:t>X</w:t>
      </w:r>
      <w:r w:rsidRPr="006C081F">
        <w:rPr>
          <w:rFonts w:ascii="Cambria Math" w:hAnsi="Cambria Math" w:cs="Cambria Math"/>
          <w:sz w:val="24"/>
          <w:szCs w:val="24"/>
        </w:rPr>
        <w:t>₃</w:t>
      </w:r>
      <w:r w:rsidR="002D0261" w:rsidRPr="006C081F">
        <w:rPr>
          <w:rFonts w:ascii="Arial" w:hAnsi="Arial" w:cs="Arial"/>
          <w:sz w:val="24"/>
          <w:szCs w:val="24"/>
        </w:rPr>
        <w:t>=</w:t>
      </w:r>
      <m:oMath>
        <m:r>
          <w:rPr>
            <w:rFonts w:ascii="Cambria Math" w:hAnsi="Cambria Math" w:cs="Arial"/>
            <w:sz w:val="24"/>
            <w:szCs w:val="24"/>
          </w:rPr>
          <m:t xml:space="preserve"> </m:t>
        </m:r>
        <m:f>
          <m:fPr>
            <m:ctrlPr>
              <w:rPr>
                <w:rFonts w:ascii="Cambria Math" w:hAnsi="Cambria Math" w:cs="Arial"/>
                <w:i/>
              </w:rPr>
            </m:ctrlPr>
          </m:fPr>
          <m:num>
            <m:r>
              <m:rPr>
                <m:sty m:val="p"/>
              </m:rPr>
              <w:rPr>
                <w:rFonts w:ascii="Cambria Math" w:hAnsi="Cambria Math" w:cs="Arial"/>
              </w:rPr>
              <m:t>EBIT</m:t>
            </m:r>
            <m:ctrlPr>
              <w:rPr>
                <w:rFonts w:ascii="Cambria Math" w:hAnsi="Cambria Math" w:cs="Arial"/>
              </w:rPr>
            </m:ctrlPr>
          </m:num>
          <m:den>
            <m:r>
              <m:rPr>
                <m:sty m:val="p"/>
              </m:rPr>
              <w:rPr>
                <w:rFonts w:ascii="Cambria Math" w:hAnsi="Cambria Math" w:cs="Arial"/>
              </w:rPr>
              <m:t>Total Assets</m:t>
            </m:r>
          </m:den>
        </m:f>
      </m:oMath>
    </w:p>
    <w:p w14:paraId="2C105077" w14:textId="53C3994F" w:rsidR="002D0261" w:rsidRPr="006C081F" w:rsidRDefault="007D010B" w:rsidP="005E7CC2">
      <w:pPr>
        <w:pStyle w:val="ListParagraph"/>
        <w:numPr>
          <w:ilvl w:val="0"/>
          <w:numId w:val="9"/>
        </w:numPr>
        <w:spacing w:line="360" w:lineRule="auto"/>
        <w:jc w:val="both"/>
        <w:rPr>
          <w:rFonts w:ascii="Arial" w:eastAsiaTheme="minorEastAsia" w:hAnsi="Arial" w:cs="Arial"/>
        </w:rPr>
      </w:pPr>
      <w:r w:rsidRPr="006C081F">
        <w:rPr>
          <w:rFonts w:ascii="Arial" w:hAnsi="Arial" w:cs="Arial"/>
          <w:sz w:val="24"/>
          <w:szCs w:val="24"/>
        </w:rPr>
        <w:t>X</w:t>
      </w:r>
      <w:r w:rsidRPr="006C081F">
        <w:rPr>
          <w:rFonts w:ascii="Cambria Math" w:hAnsi="Cambria Math" w:cs="Cambria Math"/>
          <w:sz w:val="24"/>
          <w:szCs w:val="24"/>
        </w:rPr>
        <w:t>₄</w:t>
      </w:r>
      <w:r w:rsidR="00927D75" w:rsidRPr="006C081F">
        <w:rPr>
          <w:rFonts w:ascii="Arial" w:eastAsiaTheme="minorEastAsia" w:hAnsi="Arial" w:cs="Arial"/>
        </w:rPr>
        <w:t xml:space="preserve">= </w:t>
      </w:r>
      <m:oMath>
        <m:r>
          <w:rPr>
            <w:rFonts w:ascii="Cambria Math" w:hAnsi="Cambria Math" w:cs="Arial"/>
            <w:sz w:val="24"/>
            <w:szCs w:val="24"/>
          </w:rPr>
          <m:t xml:space="preserve"> </m:t>
        </m:r>
        <m:f>
          <m:fPr>
            <m:ctrlPr>
              <w:rPr>
                <w:rFonts w:ascii="Cambria Math" w:hAnsi="Cambria Math" w:cs="Arial"/>
                <w:i/>
              </w:rPr>
            </m:ctrlPr>
          </m:fPr>
          <m:num>
            <m:r>
              <m:rPr>
                <m:sty m:val="p"/>
              </m:rPr>
              <w:rPr>
                <w:rFonts w:ascii="Cambria Math" w:hAnsi="Cambria Math" w:cs="Arial"/>
              </w:rPr>
              <m:t>Market Value of Equity</m:t>
            </m:r>
            <m:ctrlPr>
              <w:rPr>
                <w:rFonts w:ascii="Cambria Math" w:hAnsi="Cambria Math" w:cs="Arial"/>
              </w:rPr>
            </m:ctrlPr>
          </m:num>
          <m:den>
            <m:r>
              <m:rPr>
                <m:sty m:val="p"/>
              </m:rPr>
              <w:rPr>
                <w:rFonts w:ascii="Cambria Math" w:hAnsi="Cambria Math" w:cs="Arial"/>
              </w:rPr>
              <m:t>Total Liability</m:t>
            </m:r>
          </m:den>
        </m:f>
      </m:oMath>
    </w:p>
    <w:p w14:paraId="6CE4CE8D" w14:textId="0D172E4C" w:rsidR="00C361EB" w:rsidRPr="006C081F" w:rsidRDefault="007D010B" w:rsidP="005E7CC2">
      <w:pPr>
        <w:pStyle w:val="ListParagraph"/>
        <w:numPr>
          <w:ilvl w:val="0"/>
          <w:numId w:val="9"/>
        </w:numPr>
        <w:spacing w:line="360" w:lineRule="auto"/>
        <w:jc w:val="both"/>
        <w:rPr>
          <w:rFonts w:ascii="Arial" w:hAnsi="Arial" w:cs="Arial"/>
          <w:sz w:val="24"/>
          <w:szCs w:val="24"/>
        </w:rPr>
      </w:pPr>
      <w:r w:rsidRPr="006C081F">
        <w:rPr>
          <w:rFonts w:ascii="Arial" w:hAnsi="Arial" w:cs="Arial"/>
          <w:sz w:val="24"/>
          <w:szCs w:val="24"/>
        </w:rPr>
        <w:t>X</w:t>
      </w:r>
      <w:r w:rsidRPr="006C081F">
        <w:rPr>
          <w:rFonts w:ascii="Cambria Math" w:hAnsi="Cambria Math" w:cs="Cambria Math"/>
          <w:sz w:val="24"/>
          <w:szCs w:val="24"/>
        </w:rPr>
        <w:t>₅</w:t>
      </w:r>
      <w:r w:rsidR="00C361EB" w:rsidRPr="006C081F">
        <w:rPr>
          <w:rFonts w:ascii="Arial" w:eastAsiaTheme="minorEastAsia" w:hAnsi="Arial" w:cs="Arial"/>
        </w:rPr>
        <w:t xml:space="preserve">= </w:t>
      </w:r>
      <m:oMath>
        <m:r>
          <w:rPr>
            <w:rFonts w:ascii="Cambria Math" w:hAnsi="Cambria Math" w:cs="Arial"/>
            <w:sz w:val="24"/>
            <w:szCs w:val="24"/>
          </w:rPr>
          <m:t xml:space="preserve"> </m:t>
        </m:r>
        <m:f>
          <m:fPr>
            <m:ctrlPr>
              <w:rPr>
                <w:rFonts w:ascii="Cambria Math" w:hAnsi="Cambria Math" w:cs="Arial"/>
                <w:i/>
              </w:rPr>
            </m:ctrlPr>
          </m:fPr>
          <m:num>
            <m:r>
              <m:rPr>
                <m:sty m:val="p"/>
              </m:rPr>
              <w:rPr>
                <w:rFonts w:ascii="Cambria Math" w:hAnsi="Cambria Math" w:cs="Arial"/>
              </w:rPr>
              <m:t>Sales</m:t>
            </m:r>
            <m:ctrlPr>
              <w:rPr>
                <w:rFonts w:ascii="Cambria Math" w:hAnsi="Cambria Math" w:cs="Arial"/>
              </w:rPr>
            </m:ctrlPr>
          </m:num>
          <m:den>
            <m:r>
              <m:rPr>
                <m:sty m:val="p"/>
              </m:rPr>
              <w:rPr>
                <w:rFonts w:ascii="Cambria Math" w:hAnsi="Cambria Math" w:cs="Arial"/>
              </w:rPr>
              <m:t>Total Assets</m:t>
            </m:r>
          </m:den>
        </m:f>
      </m:oMath>
    </w:p>
    <w:p w14:paraId="104E239B" w14:textId="77777777" w:rsidR="00CC3BE2" w:rsidRDefault="00CC3BE2" w:rsidP="00AE6B04">
      <w:pPr>
        <w:spacing w:line="360" w:lineRule="auto"/>
        <w:jc w:val="both"/>
        <w:rPr>
          <w:rFonts w:ascii="Arial" w:hAnsi="Arial" w:cs="Arial"/>
          <w:sz w:val="24"/>
          <w:szCs w:val="24"/>
        </w:rPr>
      </w:pPr>
    </w:p>
    <w:p w14:paraId="55036DBF" w14:textId="77777777" w:rsidR="00AE6B04" w:rsidRPr="006C081F" w:rsidRDefault="00AE6B04" w:rsidP="00AE6B04">
      <w:pPr>
        <w:spacing w:line="360" w:lineRule="auto"/>
        <w:jc w:val="both"/>
        <w:rPr>
          <w:rFonts w:ascii="Arial" w:hAnsi="Arial" w:cs="Arial"/>
          <w:sz w:val="24"/>
          <w:szCs w:val="24"/>
        </w:rPr>
      </w:pPr>
      <w:r w:rsidRPr="006C081F">
        <w:rPr>
          <w:rFonts w:ascii="Arial" w:hAnsi="Arial" w:cs="Arial"/>
          <w:sz w:val="24"/>
          <w:szCs w:val="24"/>
        </w:rPr>
        <w:lastRenderedPageBreak/>
        <w:t>Interpretation thresholds:</w:t>
      </w:r>
    </w:p>
    <w:p w14:paraId="7F9615D2" w14:textId="77777777" w:rsidR="00AE6B04" w:rsidRPr="006C081F" w:rsidRDefault="00AE6B04" w:rsidP="00AE6B04">
      <w:pPr>
        <w:numPr>
          <w:ilvl w:val="0"/>
          <w:numId w:val="23"/>
        </w:numPr>
        <w:spacing w:line="360" w:lineRule="auto"/>
        <w:jc w:val="both"/>
        <w:rPr>
          <w:rFonts w:ascii="Arial" w:hAnsi="Arial" w:cs="Arial"/>
          <w:sz w:val="24"/>
          <w:szCs w:val="24"/>
        </w:rPr>
      </w:pPr>
      <w:r w:rsidRPr="006C081F">
        <w:rPr>
          <w:rFonts w:ascii="Arial" w:hAnsi="Arial" w:cs="Arial"/>
          <w:b/>
          <w:bCs/>
          <w:sz w:val="24"/>
          <w:szCs w:val="24"/>
        </w:rPr>
        <w:t>Z &lt; 1.8</w:t>
      </w:r>
      <w:r w:rsidRPr="006C081F">
        <w:rPr>
          <w:rFonts w:ascii="Arial" w:hAnsi="Arial" w:cs="Arial"/>
          <w:sz w:val="24"/>
          <w:szCs w:val="24"/>
        </w:rPr>
        <w:t xml:space="preserve"> → Distress Zone (high bankruptcy risk)</w:t>
      </w:r>
    </w:p>
    <w:p w14:paraId="3BD00689" w14:textId="77777777" w:rsidR="00AE6B04" w:rsidRPr="006C081F" w:rsidRDefault="00AE6B04" w:rsidP="00AE6B04">
      <w:pPr>
        <w:numPr>
          <w:ilvl w:val="0"/>
          <w:numId w:val="23"/>
        </w:numPr>
        <w:spacing w:line="360" w:lineRule="auto"/>
        <w:jc w:val="both"/>
        <w:rPr>
          <w:rFonts w:ascii="Arial" w:hAnsi="Arial" w:cs="Arial"/>
          <w:sz w:val="24"/>
          <w:szCs w:val="24"/>
        </w:rPr>
      </w:pPr>
      <w:r w:rsidRPr="006C081F">
        <w:rPr>
          <w:rFonts w:ascii="Arial" w:hAnsi="Arial" w:cs="Arial"/>
          <w:b/>
          <w:bCs/>
          <w:sz w:val="24"/>
          <w:szCs w:val="24"/>
        </w:rPr>
        <w:t>1.8–3.0</w:t>
      </w:r>
      <w:r w:rsidRPr="006C081F">
        <w:rPr>
          <w:rFonts w:ascii="Arial" w:hAnsi="Arial" w:cs="Arial"/>
          <w:sz w:val="24"/>
          <w:szCs w:val="24"/>
        </w:rPr>
        <w:t xml:space="preserve"> → Grey Zone (uncertain)</w:t>
      </w:r>
    </w:p>
    <w:p w14:paraId="12481F90" w14:textId="42697F08" w:rsidR="00AE6B04" w:rsidRPr="006C081F" w:rsidRDefault="00AE6B04" w:rsidP="00CD4561">
      <w:pPr>
        <w:numPr>
          <w:ilvl w:val="0"/>
          <w:numId w:val="23"/>
        </w:numPr>
        <w:spacing w:line="360" w:lineRule="auto"/>
        <w:jc w:val="both"/>
        <w:rPr>
          <w:rFonts w:ascii="Arial" w:hAnsi="Arial" w:cs="Arial"/>
          <w:sz w:val="24"/>
          <w:szCs w:val="24"/>
        </w:rPr>
      </w:pPr>
      <w:r w:rsidRPr="006C081F">
        <w:rPr>
          <w:rFonts w:ascii="Arial" w:hAnsi="Arial" w:cs="Arial"/>
          <w:b/>
          <w:bCs/>
          <w:sz w:val="24"/>
          <w:szCs w:val="24"/>
        </w:rPr>
        <w:t>Z &gt; 3.0</w:t>
      </w:r>
      <w:r w:rsidRPr="006C081F">
        <w:rPr>
          <w:rFonts w:ascii="Arial" w:hAnsi="Arial" w:cs="Arial"/>
          <w:sz w:val="24"/>
          <w:szCs w:val="24"/>
        </w:rPr>
        <w:t xml:space="preserve"> → Safe Zone</w:t>
      </w:r>
    </w:p>
    <w:p w14:paraId="04579D5F" w14:textId="2301AC9F" w:rsidR="00CD4561" w:rsidRPr="006C081F" w:rsidRDefault="0089479C" w:rsidP="00CD4561">
      <w:pPr>
        <w:spacing w:line="360" w:lineRule="auto"/>
        <w:jc w:val="both"/>
        <w:rPr>
          <w:rFonts w:ascii="Arial" w:hAnsi="Arial" w:cs="Arial"/>
          <w:b/>
          <w:bCs/>
          <w:sz w:val="24"/>
          <w:szCs w:val="24"/>
        </w:rPr>
      </w:pPr>
      <w:r w:rsidRPr="006C081F">
        <w:rPr>
          <w:rFonts w:ascii="Arial" w:hAnsi="Arial" w:cs="Arial"/>
          <w:b/>
          <w:bCs/>
          <w:sz w:val="24"/>
          <w:szCs w:val="24"/>
        </w:rPr>
        <w:t>Required Proxies &amp; Assumptions:</w:t>
      </w:r>
    </w:p>
    <w:p w14:paraId="53566490" w14:textId="2C773003" w:rsidR="0089479C" w:rsidRPr="006C081F" w:rsidRDefault="00A86D67" w:rsidP="00CD4561">
      <w:pPr>
        <w:spacing w:line="360" w:lineRule="auto"/>
        <w:jc w:val="both"/>
        <w:rPr>
          <w:rFonts w:ascii="Arial" w:hAnsi="Arial" w:cs="Arial"/>
          <w:sz w:val="24"/>
          <w:szCs w:val="24"/>
        </w:rPr>
      </w:pPr>
      <w:r w:rsidRPr="006C081F">
        <w:rPr>
          <w:rFonts w:ascii="Arial" w:hAnsi="Arial" w:cs="Arial"/>
          <w:b/>
          <w:bCs/>
          <w:sz w:val="24"/>
          <w:szCs w:val="24"/>
        </w:rPr>
        <w:t xml:space="preserve">1. </w:t>
      </w:r>
      <w:r w:rsidR="009B4396" w:rsidRPr="006C081F">
        <w:rPr>
          <w:rFonts w:ascii="Arial" w:hAnsi="Arial" w:cs="Arial"/>
          <w:b/>
          <w:bCs/>
          <w:sz w:val="24"/>
          <w:szCs w:val="24"/>
        </w:rPr>
        <w:t>EBIT:</w:t>
      </w:r>
      <w:r w:rsidR="009B4396" w:rsidRPr="006C081F">
        <w:rPr>
          <w:rFonts w:ascii="Arial" w:hAnsi="Arial" w:cs="Arial"/>
          <w:sz w:val="24"/>
          <w:szCs w:val="24"/>
        </w:rPr>
        <w:t xml:space="preserve"> Assumed to be Net Income (Loss) - Interest Expense + Tax Expense + Adjustments. Due to lack of full income statement data, we use a conservative proxy:</w:t>
      </w:r>
    </w:p>
    <w:p w14:paraId="2FB7E13B" w14:textId="118D5DE9" w:rsidR="00B96F81" w:rsidRPr="006C081F" w:rsidRDefault="00B96F81" w:rsidP="005A26AE">
      <w:pPr>
        <w:spacing w:line="360" w:lineRule="auto"/>
        <w:jc w:val="center"/>
        <w:rPr>
          <w:rFonts w:ascii="Arial" w:hAnsi="Arial" w:cs="Arial"/>
          <w:sz w:val="24"/>
          <w:szCs w:val="24"/>
        </w:rPr>
      </w:pPr>
      <w:r w:rsidRPr="006C081F">
        <w:rPr>
          <w:rFonts w:ascii="Arial" w:hAnsi="Arial" w:cs="Arial"/>
          <w:b/>
          <w:bCs/>
          <w:sz w:val="24"/>
          <w:szCs w:val="24"/>
        </w:rPr>
        <w:t xml:space="preserve">EBIT: </w:t>
      </w:r>
      <m:oMath>
        <m:r>
          <m:rPr>
            <m:sty m:val="bi"/>
          </m:rPr>
          <w:rPr>
            <w:rFonts w:ascii="Cambria Math" w:hAnsi="Cambria Math" w:cs="Arial"/>
            <w:sz w:val="24"/>
            <w:szCs w:val="24"/>
          </w:rPr>
          <m:t>≈</m:t>
        </m:r>
      </m:oMath>
      <w:r w:rsidRPr="006C081F">
        <w:rPr>
          <w:rFonts w:ascii="Arial" w:hAnsi="Arial" w:cs="Arial"/>
          <w:sz w:val="24"/>
          <w:szCs w:val="24"/>
        </w:rPr>
        <w:t>Net Income – Deferred Tax – Accrued Income Tax</w:t>
      </w:r>
    </w:p>
    <w:p w14:paraId="43169D32" w14:textId="46A7CC8F" w:rsidR="009B4396" w:rsidRPr="006C081F" w:rsidRDefault="00A86D67" w:rsidP="00CD4561">
      <w:pPr>
        <w:spacing w:line="360" w:lineRule="auto"/>
        <w:jc w:val="both"/>
        <w:rPr>
          <w:rFonts w:ascii="Arial" w:hAnsi="Arial" w:cs="Arial"/>
          <w:sz w:val="24"/>
          <w:szCs w:val="24"/>
        </w:rPr>
      </w:pPr>
      <w:r w:rsidRPr="006C081F">
        <w:rPr>
          <w:rFonts w:ascii="Arial" w:hAnsi="Arial" w:cs="Arial"/>
          <w:b/>
          <w:bCs/>
          <w:sz w:val="24"/>
          <w:szCs w:val="24"/>
        </w:rPr>
        <w:t>2. Working Capital:</w:t>
      </w:r>
      <w:r w:rsidRPr="006C081F">
        <w:rPr>
          <w:rFonts w:ascii="Arial" w:hAnsi="Arial" w:cs="Arial"/>
          <w:sz w:val="24"/>
          <w:szCs w:val="24"/>
        </w:rPr>
        <w:t xml:space="preserve"> Calculated as Current Assets - Current Liabilities.</w:t>
      </w:r>
    </w:p>
    <w:tbl>
      <w:tblPr>
        <w:tblStyle w:val="TableGrid"/>
        <w:tblW w:w="0" w:type="auto"/>
        <w:tblLook w:val="04A0" w:firstRow="1" w:lastRow="0" w:firstColumn="1" w:lastColumn="0" w:noHBand="0" w:noVBand="1"/>
      </w:tblPr>
      <w:tblGrid>
        <w:gridCol w:w="706"/>
        <w:gridCol w:w="1093"/>
        <w:gridCol w:w="1032"/>
        <w:gridCol w:w="1228"/>
        <w:gridCol w:w="1374"/>
        <w:gridCol w:w="1300"/>
        <w:gridCol w:w="1175"/>
        <w:gridCol w:w="1108"/>
      </w:tblGrid>
      <w:tr w:rsidR="00D670CC" w:rsidRPr="006C081F" w14:paraId="2926C4C0" w14:textId="77777777" w:rsidTr="00D670CC">
        <w:tc>
          <w:tcPr>
            <w:tcW w:w="0" w:type="auto"/>
            <w:hideMark/>
          </w:tcPr>
          <w:p w14:paraId="196820FC" w14:textId="77777777" w:rsidR="00D670CC" w:rsidRPr="006C081F" w:rsidRDefault="00D670CC" w:rsidP="00D670CC">
            <w:pPr>
              <w:spacing w:line="360" w:lineRule="auto"/>
              <w:jc w:val="both"/>
              <w:rPr>
                <w:rFonts w:ascii="Arial" w:hAnsi="Arial" w:cs="Arial"/>
              </w:rPr>
            </w:pPr>
            <w:r w:rsidRPr="006C081F">
              <w:rPr>
                <w:rFonts w:ascii="Arial" w:hAnsi="Arial" w:cs="Arial"/>
                <w:b/>
                <w:bCs/>
              </w:rPr>
              <w:t>Year</w:t>
            </w:r>
          </w:p>
        </w:tc>
        <w:tc>
          <w:tcPr>
            <w:tcW w:w="0" w:type="auto"/>
            <w:hideMark/>
          </w:tcPr>
          <w:p w14:paraId="4AC626C2" w14:textId="77777777" w:rsidR="00D670CC" w:rsidRPr="006C081F" w:rsidRDefault="00D670CC" w:rsidP="00D670CC">
            <w:pPr>
              <w:spacing w:line="360" w:lineRule="auto"/>
              <w:jc w:val="both"/>
              <w:rPr>
                <w:rFonts w:ascii="Arial" w:hAnsi="Arial" w:cs="Arial"/>
              </w:rPr>
            </w:pPr>
            <w:r w:rsidRPr="006C081F">
              <w:rPr>
                <w:rFonts w:ascii="Arial" w:hAnsi="Arial" w:cs="Arial"/>
                <w:b/>
                <w:bCs/>
              </w:rPr>
              <w:t>A (WC/TA)</w:t>
            </w:r>
          </w:p>
        </w:tc>
        <w:tc>
          <w:tcPr>
            <w:tcW w:w="0" w:type="auto"/>
            <w:hideMark/>
          </w:tcPr>
          <w:p w14:paraId="2EC9B7B2" w14:textId="77777777" w:rsidR="00D670CC" w:rsidRPr="006C081F" w:rsidRDefault="00D670CC" w:rsidP="00D670CC">
            <w:pPr>
              <w:spacing w:line="360" w:lineRule="auto"/>
              <w:jc w:val="both"/>
              <w:rPr>
                <w:rFonts w:ascii="Arial" w:hAnsi="Arial" w:cs="Arial"/>
              </w:rPr>
            </w:pPr>
            <w:r w:rsidRPr="006C081F">
              <w:rPr>
                <w:rFonts w:ascii="Arial" w:hAnsi="Arial" w:cs="Arial"/>
                <w:b/>
                <w:bCs/>
              </w:rPr>
              <w:t>B (RE/TA)</w:t>
            </w:r>
          </w:p>
        </w:tc>
        <w:tc>
          <w:tcPr>
            <w:tcW w:w="0" w:type="auto"/>
            <w:hideMark/>
          </w:tcPr>
          <w:p w14:paraId="0B98EBA1" w14:textId="77777777" w:rsidR="00D670CC" w:rsidRPr="006C081F" w:rsidRDefault="00D670CC" w:rsidP="00D670CC">
            <w:pPr>
              <w:spacing w:line="360" w:lineRule="auto"/>
              <w:jc w:val="both"/>
              <w:rPr>
                <w:rFonts w:ascii="Arial" w:hAnsi="Arial" w:cs="Arial"/>
              </w:rPr>
            </w:pPr>
            <w:r w:rsidRPr="006C081F">
              <w:rPr>
                <w:rFonts w:ascii="Arial" w:hAnsi="Arial" w:cs="Arial"/>
                <w:b/>
                <w:bCs/>
              </w:rPr>
              <w:t>C (EBIT/TA)</w:t>
            </w:r>
          </w:p>
        </w:tc>
        <w:tc>
          <w:tcPr>
            <w:tcW w:w="0" w:type="auto"/>
            <w:hideMark/>
          </w:tcPr>
          <w:p w14:paraId="0494294D" w14:textId="77777777" w:rsidR="00D670CC" w:rsidRPr="006C081F" w:rsidRDefault="00D670CC" w:rsidP="00D670CC">
            <w:pPr>
              <w:spacing w:line="360" w:lineRule="auto"/>
              <w:jc w:val="both"/>
              <w:rPr>
                <w:rFonts w:ascii="Arial" w:hAnsi="Arial" w:cs="Arial"/>
              </w:rPr>
            </w:pPr>
            <w:r w:rsidRPr="006C081F">
              <w:rPr>
                <w:rFonts w:ascii="Arial" w:hAnsi="Arial" w:cs="Arial"/>
                <w:b/>
                <w:bCs/>
              </w:rPr>
              <w:t>D (Equity/TL)</w:t>
            </w:r>
          </w:p>
        </w:tc>
        <w:tc>
          <w:tcPr>
            <w:tcW w:w="0" w:type="auto"/>
            <w:hideMark/>
          </w:tcPr>
          <w:p w14:paraId="43013016" w14:textId="77777777" w:rsidR="00D670CC" w:rsidRPr="006C081F" w:rsidRDefault="00D670CC" w:rsidP="00D670CC">
            <w:pPr>
              <w:spacing w:line="360" w:lineRule="auto"/>
              <w:jc w:val="both"/>
              <w:rPr>
                <w:rFonts w:ascii="Arial" w:hAnsi="Arial" w:cs="Arial"/>
              </w:rPr>
            </w:pPr>
            <w:r w:rsidRPr="006C081F">
              <w:rPr>
                <w:rFonts w:ascii="Arial" w:hAnsi="Arial" w:cs="Arial"/>
                <w:b/>
                <w:bCs/>
              </w:rPr>
              <w:t>E (Sales/TA)</w:t>
            </w:r>
          </w:p>
        </w:tc>
        <w:tc>
          <w:tcPr>
            <w:tcW w:w="0" w:type="auto"/>
            <w:hideMark/>
          </w:tcPr>
          <w:p w14:paraId="1F9E8FEA" w14:textId="77777777" w:rsidR="00D670CC" w:rsidRPr="006C081F" w:rsidRDefault="00D670CC" w:rsidP="00D670CC">
            <w:pPr>
              <w:spacing w:line="360" w:lineRule="auto"/>
              <w:jc w:val="both"/>
              <w:rPr>
                <w:rFonts w:ascii="Arial" w:hAnsi="Arial" w:cs="Arial"/>
              </w:rPr>
            </w:pPr>
            <w:r w:rsidRPr="006C081F">
              <w:rPr>
                <w:rFonts w:ascii="Arial" w:hAnsi="Arial" w:cs="Arial"/>
                <w:b/>
                <w:bCs/>
              </w:rPr>
              <w:t>Z-Score (1.2A+...)</w:t>
            </w:r>
          </w:p>
        </w:tc>
        <w:tc>
          <w:tcPr>
            <w:tcW w:w="0" w:type="auto"/>
            <w:hideMark/>
          </w:tcPr>
          <w:p w14:paraId="2103C845" w14:textId="77777777" w:rsidR="00D670CC" w:rsidRPr="006C081F" w:rsidRDefault="00D670CC" w:rsidP="00D670CC">
            <w:pPr>
              <w:spacing w:line="360" w:lineRule="auto"/>
              <w:jc w:val="both"/>
              <w:rPr>
                <w:rFonts w:ascii="Arial" w:hAnsi="Arial" w:cs="Arial"/>
              </w:rPr>
            </w:pPr>
            <w:r w:rsidRPr="006C081F">
              <w:rPr>
                <w:rFonts w:ascii="Arial" w:hAnsi="Arial" w:cs="Arial"/>
                <w:b/>
                <w:bCs/>
              </w:rPr>
              <w:t>Distress Zone</w:t>
            </w:r>
          </w:p>
        </w:tc>
      </w:tr>
      <w:tr w:rsidR="00D670CC" w:rsidRPr="006C081F" w14:paraId="50E50204" w14:textId="77777777" w:rsidTr="00D670CC">
        <w:tc>
          <w:tcPr>
            <w:tcW w:w="0" w:type="auto"/>
            <w:hideMark/>
          </w:tcPr>
          <w:p w14:paraId="4F56D0BE" w14:textId="77777777" w:rsidR="00D670CC" w:rsidRPr="006C081F" w:rsidRDefault="00D670CC" w:rsidP="00D670CC">
            <w:pPr>
              <w:spacing w:line="360" w:lineRule="auto"/>
              <w:jc w:val="both"/>
              <w:rPr>
                <w:rFonts w:ascii="Arial" w:hAnsi="Arial" w:cs="Arial"/>
              </w:rPr>
            </w:pPr>
            <w:r w:rsidRPr="006C081F">
              <w:rPr>
                <w:rFonts w:ascii="Arial" w:hAnsi="Arial" w:cs="Arial"/>
                <w:b/>
                <w:bCs/>
              </w:rPr>
              <w:t>2024</w:t>
            </w:r>
          </w:p>
        </w:tc>
        <w:tc>
          <w:tcPr>
            <w:tcW w:w="0" w:type="auto"/>
            <w:hideMark/>
          </w:tcPr>
          <w:p w14:paraId="5092DE71" w14:textId="77777777" w:rsidR="00D670CC" w:rsidRPr="006C081F" w:rsidRDefault="00D670CC" w:rsidP="00D670CC">
            <w:pPr>
              <w:spacing w:line="360" w:lineRule="auto"/>
              <w:jc w:val="both"/>
              <w:rPr>
                <w:rFonts w:ascii="Arial" w:hAnsi="Arial" w:cs="Arial"/>
              </w:rPr>
            </w:pPr>
            <w:r w:rsidRPr="006C081F">
              <w:rPr>
                <w:rFonts w:ascii="Arial" w:hAnsi="Arial" w:cs="Arial"/>
              </w:rPr>
              <w:t>0.20</w:t>
            </w:r>
          </w:p>
        </w:tc>
        <w:tc>
          <w:tcPr>
            <w:tcW w:w="0" w:type="auto"/>
            <w:hideMark/>
          </w:tcPr>
          <w:p w14:paraId="2D6C7197" w14:textId="77777777" w:rsidR="00D670CC" w:rsidRPr="006C081F" w:rsidRDefault="00D670CC" w:rsidP="00D670CC">
            <w:pPr>
              <w:spacing w:line="360" w:lineRule="auto"/>
              <w:jc w:val="both"/>
              <w:rPr>
                <w:rFonts w:ascii="Arial" w:hAnsi="Arial" w:cs="Arial"/>
              </w:rPr>
            </w:pPr>
            <w:r w:rsidRPr="006C081F">
              <w:rPr>
                <w:rFonts w:ascii="Arial" w:hAnsi="Arial" w:cs="Arial"/>
              </w:rPr>
              <w:t>0.64</w:t>
            </w:r>
          </w:p>
        </w:tc>
        <w:tc>
          <w:tcPr>
            <w:tcW w:w="0" w:type="auto"/>
            <w:hideMark/>
          </w:tcPr>
          <w:p w14:paraId="344E6DD8" w14:textId="49C8A77F" w:rsidR="00D670CC" w:rsidRPr="006C081F" w:rsidRDefault="00D670CC" w:rsidP="00D670CC">
            <w:pPr>
              <w:spacing w:line="360" w:lineRule="auto"/>
              <w:jc w:val="both"/>
              <w:rPr>
                <w:rFonts w:ascii="Arial" w:hAnsi="Arial" w:cs="Arial"/>
              </w:rPr>
            </w:pPr>
            <w:r w:rsidRPr="006C081F">
              <w:rPr>
                <w:rFonts w:ascii="Arial" w:hAnsi="Arial" w:cs="Arial"/>
                <w:b/>
                <w:bCs/>
              </w:rPr>
              <w:t>-0.09</w:t>
            </w:r>
          </w:p>
        </w:tc>
        <w:tc>
          <w:tcPr>
            <w:tcW w:w="0" w:type="auto"/>
            <w:hideMark/>
          </w:tcPr>
          <w:p w14:paraId="3FD8D5F4" w14:textId="77777777" w:rsidR="00D670CC" w:rsidRPr="006C081F" w:rsidRDefault="00D670CC" w:rsidP="00D670CC">
            <w:pPr>
              <w:spacing w:line="360" w:lineRule="auto"/>
              <w:jc w:val="both"/>
              <w:rPr>
                <w:rFonts w:ascii="Arial" w:hAnsi="Arial" w:cs="Arial"/>
              </w:rPr>
            </w:pPr>
            <w:r w:rsidRPr="006C081F">
              <w:rPr>
                <w:rFonts w:ascii="Arial" w:hAnsi="Arial" w:cs="Arial"/>
              </w:rPr>
              <w:t>0.46</w:t>
            </w:r>
          </w:p>
        </w:tc>
        <w:tc>
          <w:tcPr>
            <w:tcW w:w="0" w:type="auto"/>
            <w:hideMark/>
          </w:tcPr>
          <w:p w14:paraId="7C94CD59" w14:textId="77777777" w:rsidR="00D670CC" w:rsidRPr="006C081F" w:rsidRDefault="00D670CC" w:rsidP="00D670CC">
            <w:pPr>
              <w:spacing w:line="360" w:lineRule="auto"/>
              <w:jc w:val="both"/>
              <w:rPr>
                <w:rFonts w:ascii="Arial" w:hAnsi="Arial" w:cs="Arial"/>
              </w:rPr>
            </w:pPr>
            <w:r w:rsidRPr="006C081F">
              <w:rPr>
                <w:rFonts w:ascii="Arial" w:hAnsi="Arial" w:cs="Arial"/>
              </w:rPr>
              <w:t>N/A</w:t>
            </w:r>
          </w:p>
        </w:tc>
        <w:tc>
          <w:tcPr>
            <w:tcW w:w="0" w:type="auto"/>
            <w:hideMark/>
          </w:tcPr>
          <w:p w14:paraId="7396DC1F" w14:textId="77777777" w:rsidR="00D670CC" w:rsidRPr="006C081F" w:rsidRDefault="00D670CC" w:rsidP="00D670CC">
            <w:pPr>
              <w:spacing w:line="360" w:lineRule="auto"/>
              <w:jc w:val="both"/>
              <w:rPr>
                <w:rFonts w:ascii="Arial" w:hAnsi="Arial" w:cs="Arial"/>
              </w:rPr>
            </w:pPr>
            <w:r w:rsidRPr="006C081F">
              <w:rPr>
                <w:rFonts w:ascii="Arial" w:hAnsi="Arial" w:cs="Arial"/>
                <w:b/>
                <w:bCs/>
              </w:rPr>
              <w:t>N/A</w:t>
            </w:r>
          </w:p>
        </w:tc>
        <w:tc>
          <w:tcPr>
            <w:tcW w:w="0" w:type="auto"/>
            <w:hideMark/>
          </w:tcPr>
          <w:p w14:paraId="7D8776C9" w14:textId="77777777" w:rsidR="00D670CC" w:rsidRPr="006C081F" w:rsidRDefault="00D670CC" w:rsidP="00D670CC">
            <w:pPr>
              <w:spacing w:line="360" w:lineRule="auto"/>
              <w:jc w:val="both"/>
              <w:rPr>
                <w:rFonts w:ascii="Arial" w:hAnsi="Arial" w:cs="Arial"/>
              </w:rPr>
            </w:pPr>
            <w:r w:rsidRPr="006C081F">
              <w:rPr>
                <w:rFonts w:ascii="Arial" w:hAnsi="Arial" w:cs="Arial"/>
              </w:rPr>
              <w:t>N/A</w:t>
            </w:r>
          </w:p>
        </w:tc>
      </w:tr>
      <w:tr w:rsidR="00D670CC" w:rsidRPr="006C081F" w14:paraId="10C2D890" w14:textId="77777777" w:rsidTr="00D670CC">
        <w:tc>
          <w:tcPr>
            <w:tcW w:w="0" w:type="auto"/>
            <w:hideMark/>
          </w:tcPr>
          <w:p w14:paraId="7C8B3D2C" w14:textId="77777777" w:rsidR="00D670CC" w:rsidRPr="006C081F" w:rsidRDefault="00D670CC" w:rsidP="00D670CC">
            <w:pPr>
              <w:spacing w:line="360" w:lineRule="auto"/>
              <w:jc w:val="both"/>
              <w:rPr>
                <w:rFonts w:ascii="Arial" w:hAnsi="Arial" w:cs="Arial"/>
              </w:rPr>
            </w:pPr>
            <w:r w:rsidRPr="006C081F">
              <w:rPr>
                <w:rFonts w:ascii="Arial" w:hAnsi="Arial" w:cs="Arial"/>
                <w:b/>
                <w:bCs/>
              </w:rPr>
              <w:t>2023</w:t>
            </w:r>
          </w:p>
        </w:tc>
        <w:tc>
          <w:tcPr>
            <w:tcW w:w="0" w:type="auto"/>
            <w:hideMark/>
          </w:tcPr>
          <w:p w14:paraId="04B6CC81" w14:textId="77777777" w:rsidR="00D670CC" w:rsidRPr="006C081F" w:rsidRDefault="00D670CC" w:rsidP="00D670CC">
            <w:pPr>
              <w:spacing w:line="360" w:lineRule="auto"/>
              <w:jc w:val="both"/>
              <w:rPr>
                <w:rFonts w:ascii="Arial" w:hAnsi="Arial" w:cs="Arial"/>
              </w:rPr>
            </w:pPr>
            <w:r w:rsidRPr="006C081F">
              <w:rPr>
                <w:rFonts w:ascii="Arial" w:hAnsi="Arial" w:cs="Arial"/>
              </w:rPr>
              <w:t>0.15</w:t>
            </w:r>
          </w:p>
        </w:tc>
        <w:tc>
          <w:tcPr>
            <w:tcW w:w="0" w:type="auto"/>
            <w:hideMark/>
          </w:tcPr>
          <w:p w14:paraId="73D02CBA" w14:textId="77777777" w:rsidR="00D670CC" w:rsidRPr="006C081F" w:rsidRDefault="00D670CC" w:rsidP="00D670CC">
            <w:pPr>
              <w:spacing w:line="360" w:lineRule="auto"/>
              <w:jc w:val="both"/>
              <w:rPr>
                <w:rFonts w:ascii="Arial" w:hAnsi="Arial" w:cs="Arial"/>
              </w:rPr>
            </w:pPr>
            <w:r w:rsidRPr="006C081F">
              <w:rPr>
                <w:rFonts w:ascii="Arial" w:hAnsi="Arial" w:cs="Arial"/>
              </w:rPr>
              <w:t>0.77</w:t>
            </w:r>
          </w:p>
        </w:tc>
        <w:tc>
          <w:tcPr>
            <w:tcW w:w="0" w:type="auto"/>
            <w:hideMark/>
          </w:tcPr>
          <w:p w14:paraId="1450E0CC" w14:textId="5987E112" w:rsidR="00D670CC" w:rsidRPr="006C081F" w:rsidRDefault="00D670CC" w:rsidP="00D670CC">
            <w:pPr>
              <w:spacing w:line="360" w:lineRule="auto"/>
              <w:jc w:val="both"/>
              <w:rPr>
                <w:rFonts w:ascii="Arial" w:hAnsi="Arial" w:cs="Arial"/>
              </w:rPr>
            </w:pPr>
            <w:r w:rsidRPr="006C081F">
              <w:rPr>
                <w:rFonts w:ascii="Arial" w:hAnsi="Arial" w:cs="Arial"/>
                <w:b/>
                <w:bCs/>
              </w:rPr>
              <w:t>-0.31</w:t>
            </w:r>
          </w:p>
        </w:tc>
        <w:tc>
          <w:tcPr>
            <w:tcW w:w="0" w:type="auto"/>
            <w:hideMark/>
          </w:tcPr>
          <w:p w14:paraId="7DCCA415" w14:textId="77777777" w:rsidR="00D670CC" w:rsidRPr="006C081F" w:rsidRDefault="00D670CC" w:rsidP="00D670CC">
            <w:pPr>
              <w:spacing w:line="360" w:lineRule="auto"/>
              <w:jc w:val="both"/>
              <w:rPr>
                <w:rFonts w:ascii="Arial" w:hAnsi="Arial" w:cs="Arial"/>
              </w:rPr>
            </w:pPr>
            <w:r w:rsidRPr="006C081F">
              <w:rPr>
                <w:rFonts w:ascii="Arial" w:hAnsi="Arial" w:cs="Arial"/>
              </w:rPr>
              <w:t>0.48</w:t>
            </w:r>
          </w:p>
        </w:tc>
        <w:tc>
          <w:tcPr>
            <w:tcW w:w="0" w:type="auto"/>
            <w:hideMark/>
          </w:tcPr>
          <w:p w14:paraId="2EBFBFC0" w14:textId="77777777" w:rsidR="00D670CC" w:rsidRPr="006C081F" w:rsidRDefault="00D670CC" w:rsidP="00D670CC">
            <w:pPr>
              <w:spacing w:line="360" w:lineRule="auto"/>
              <w:jc w:val="both"/>
              <w:rPr>
                <w:rFonts w:ascii="Arial" w:hAnsi="Arial" w:cs="Arial"/>
              </w:rPr>
            </w:pPr>
            <w:r w:rsidRPr="006C081F">
              <w:rPr>
                <w:rFonts w:ascii="Arial" w:hAnsi="Arial" w:cs="Arial"/>
              </w:rPr>
              <w:t>N/A</w:t>
            </w:r>
          </w:p>
        </w:tc>
        <w:tc>
          <w:tcPr>
            <w:tcW w:w="0" w:type="auto"/>
            <w:hideMark/>
          </w:tcPr>
          <w:p w14:paraId="0D2C07FD" w14:textId="77777777" w:rsidR="00D670CC" w:rsidRPr="006C081F" w:rsidRDefault="00D670CC" w:rsidP="00D670CC">
            <w:pPr>
              <w:spacing w:line="360" w:lineRule="auto"/>
              <w:jc w:val="both"/>
              <w:rPr>
                <w:rFonts w:ascii="Arial" w:hAnsi="Arial" w:cs="Arial"/>
              </w:rPr>
            </w:pPr>
            <w:r w:rsidRPr="006C081F">
              <w:rPr>
                <w:rFonts w:ascii="Arial" w:hAnsi="Arial" w:cs="Arial"/>
                <w:b/>
                <w:bCs/>
              </w:rPr>
              <w:t>N/A</w:t>
            </w:r>
          </w:p>
        </w:tc>
        <w:tc>
          <w:tcPr>
            <w:tcW w:w="0" w:type="auto"/>
            <w:hideMark/>
          </w:tcPr>
          <w:p w14:paraId="6D3B2337" w14:textId="77777777" w:rsidR="00D670CC" w:rsidRPr="006C081F" w:rsidRDefault="00D670CC" w:rsidP="00D670CC">
            <w:pPr>
              <w:spacing w:line="360" w:lineRule="auto"/>
              <w:jc w:val="both"/>
              <w:rPr>
                <w:rFonts w:ascii="Arial" w:hAnsi="Arial" w:cs="Arial"/>
              </w:rPr>
            </w:pPr>
            <w:r w:rsidRPr="006C081F">
              <w:rPr>
                <w:rFonts w:ascii="Arial" w:hAnsi="Arial" w:cs="Arial"/>
              </w:rPr>
              <w:t>N/A</w:t>
            </w:r>
          </w:p>
        </w:tc>
      </w:tr>
    </w:tbl>
    <w:p w14:paraId="74F094B0" w14:textId="77777777" w:rsidR="00D05EAC" w:rsidRPr="006C081F" w:rsidRDefault="00D05EAC" w:rsidP="00E818EE">
      <w:pPr>
        <w:spacing w:line="360" w:lineRule="auto"/>
        <w:jc w:val="both"/>
        <w:rPr>
          <w:rFonts w:ascii="Arial" w:hAnsi="Arial" w:cs="Arial"/>
          <w:b/>
          <w:bCs/>
          <w:sz w:val="24"/>
          <w:szCs w:val="24"/>
        </w:rPr>
      </w:pPr>
    </w:p>
    <w:p w14:paraId="4A51D382" w14:textId="3961B885" w:rsidR="00E818EE" w:rsidRPr="006C081F" w:rsidRDefault="00EE7478" w:rsidP="00E818EE">
      <w:pPr>
        <w:spacing w:line="360" w:lineRule="auto"/>
        <w:jc w:val="both"/>
        <w:rPr>
          <w:rFonts w:ascii="Arial" w:hAnsi="Arial" w:cs="Arial"/>
          <w:b/>
          <w:bCs/>
          <w:sz w:val="24"/>
          <w:szCs w:val="24"/>
        </w:rPr>
      </w:pPr>
      <w:r w:rsidRPr="006C081F">
        <w:rPr>
          <w:rFonts w:ascii="Arial" w:hAnsi="Arial" w:cs="Arial"/>
          <w:b/>
          <w:bCs/>
          <w:sz w:val="24"/>
          <w:szCs w:val="24"/>
        </w:rPr>
        <w:t>Qualitative Altman Analysis (Focus on B &amp; C):</w:t>
      </w:r>
    </w:p>
    <w:p w14:paraId="59F2F97D" w14:textId="798FDB8C" w:rsidR="00BD6727" w:rsidRPr="00BD6727" w:rsidRDefault="00BD6727" w:rsidP="00BD6727">
      <w:pPr>
        <w:pStyle w:val="ListParagraph"/>
        <w:numPr>
          <w:ilvl w:val="0"/>
          <w:numId w:val="10"/>
        </w:numPr>
        <w:spacing w:line="360" w:lineRule="auto"/>
        <w:jc w:val="both"/>
        <w:rPr>
          <w:rFonts w:ascii="Arial" w:hAnsi="Arial" w:cs="Arial"/>
          <w:sz w:val="24"/>
          <w:szCs w:val="24"/>
        </w:rPr>
      </w:pPr>
      <w:r w:rsidRPr="00BD6727">
        <w:rPr>
          <w:rFonts w:ascii="Arial" w:hAnsi="Arial" w:cs="Arial"/>
          <w:b/>
          <w:bCs/>
          <w:sz w:val="24"/>
          <w:szCs w:val="24"/>
        </w:rPr>
        <w:t xml:space="preserve">Liquidity Weaknesses: </w:t>
      </w:r>
      <w:r w:rsidRPr="00BD6727">
        <w:rPr>
          <w:rFonts w:ascii="Arial" w:hAnsi="Arial" w:cs="Arial"/>
          <w:sz w:val="24"/>
          <w:szCs w:val="24"/>
        </w:rPr>
        <w:t>Despite current ratios exceeding 1.5, the current working capital will decrease over 2023-24, and this indicator decreases X1, indicating limited liquidity in the short term (</w:t>
      </w:r>
      <w:proofErr w:type="spellStart"/>
      <w:r w:rsidRPr="00BD6727">
        <w:rPr>
          <w:rFonts w:ascii="Arial" w:hAnsi="Arial" w:cs="Arial"/>
          <w:sz w:val="24"/>
          <w:szCs w:val="24"/>
        </w:rPr>
        <w:t>Atrill</w:t>
      </w:r>
      <w:proofErr w:type="spellEnd"/>
      <w:r w:rsidRPr="00BD6727">
        <w:rPr>
          <w:rFonts w:ascii="Arial" w:hAnsi="Arial" w:cs="Arial"/>
          <w:sz w:val="24"/>
          <w:szCs w:val="24"/>
        </w:rPr>
        <w:t xml:space="preserve"> &amp; McLaney, 2023).</w:t>
      </w:r>
    </w:p>
    <w:p w14:paraId="704A93C5" w14:textId="4F056A1D" w:rsidR="00BD6727" w:rsidRPr="00BD6727" w:rsidRDefault="00BD6727" w:rsidP="00BD6727">
      <w:pPr>
        <w:pStyle w:val="ListParagraph"/>
        <w:numPr>
          <w:ilvl w:val="0"/>
          <w:numId w:val="10"/>
        </w:numPr>
        <w:spacing w:line="360" w:lineRule="auto"/>
        <w:jc w:val="both"/>
        <w:rPr>
          <w:rFonts w:ascii="Arial" w:hAnsi="Arial" w:cs="Arial"/>
          <w:sz w:val="24"/>
          <w:szCs w:val="24"/>
        </w:rPr>
      </w:pPr>
      <w:r w:rsidRPr="00BD6727">
        <w:rPr>
          <w:rFonts w:ascii="Arial" w:hAnsi="Arial" w:cs="Arial"/>
          <w:b/>
          <w:bCs/>
          <w:sz w:val="24"/>
          <w:szCs w:val="24"/>
        </w:rPr>
        <w:t xml:space="preserve">Depreciation of Retained Earnings: </w:t>
      </w:r>
      <w:r w:rsidRPr="00BD6727">
        <w:rPr>
          <w:rFonts w:ascii="Arial" w:hAnsi="Arial" w:cs="Arial"/>
          <w:sz w:val="24"/>
          <w:szCs w:val="24"/>
        </w:rPr>
        <w:t>Retained earnings decrease due to huge losses in 2023 and 2024, which decrease X2 and shift the firm to the distress zone.</w:t>
      </w:r>
    </w:p>
    <w:p w14:paraId="2E0D8326" w14:textId="2AEB4F17" w:rsidR="00BD6727" w:rsidRPr="00BD6727" w:rsidRDefault="00BD6727" w:rsidP="00BD6727">
      <w:pPr>
        <w:pStyle w:val="ListParagraph"/>
        <w:numPr>
          <w:ilvl w:val="0"/>
          <w:numId w:val="10"/>
        </w:numPr>
        <w:spacing w:line="360" w:lineRule="auto"/>
        <w:jc w:val="both"/>
        <w:rPr>
          <w:rFonts w:ascii="Arial" w:hAnsi="Arial" w:cs="Arial"/>
          <w:sz w:val="24"/>
          <w:szCs w:val="24"/>
        </w:rPr>
      </w:pPr>
      <w:r w:rsidRPr="00BD6727">
        <w:rPr>
          <w:rFonts w:ascii="Arial" w:hAnsi="Arial" w:cs="Arial"/>
          <w:b/>
          <w:bCs/>
          <w:sz w:val="24"/>
          <w:szCs w:val="24"/>
        </w:rPr>
        <w:t xml:space="preserve">There has been a drastic reduction in EBIT: </w:t>
      </w:r>
      <w:r>
        <w:rPr>
          <w:rFonts w:ascii="Arial" w:hAnsi="Arial" w:cs="Arial"/>
          <w:sz w:val="24"/>
          <w:szCs w:val="24"/>
        </w:rPr>
        <w:t>O</w:t>
      </w:r>
      <w:r w:rsidRPr="00BD6727">
        <w:rPr>
          <w:rFonts w:ascii="Arial" w:hAnsi="Arial" w:cs="Arial"/>
          <w:sz w:val="24"/>
          <w:szCs w:val="24"/>
        </w:rPr>
        <w:t>perating losses in 2023-24 bring down X3, a variable with a significant weight in the Z-Score. This is in line with previous results of crashing operating margins.</w:t>
      </w:r>
    </w:p>
    <w:p w14:paraId="0C421A62" w14:textId="5E9D05CE" w:rsidR="00BD6727" w:rsidRPr="00BD6727" w:rsidRDefault="00BD6727" w:rsidP="00BD6727">
      <w:pPr>
        <w:pStyle w:val="ListParagraph"/>
        <w:numPr>
          <w:ilvl w:val="0"/>
          <w:numId w:val="10"/>
        </w:numPr>
        <w:spacing w:line="360" w:lineRule="auto"/>
        <w:jc w:val="both"/>
        <w:rPr>
          <w:rFonts w:ascii="Arial" w:hAnsi="Arial" w:cs="Arial"/>
          <w:sz w:val="24"/>
          <w:szCs w:val="24"/>
        </w:rPr>
      </w:pPr>
      <w:r w:rsidRPr="00BD6727">
        <w:rPr>
          <w:rFonts w:ascii="Arial" w:hAnsi="Arial" w:cs="Arial"/>
          <w:b/>
          <w:bCs/>
          <w:sz w:val="24"/>
          <w:szCs w:val="24"/>
        </w:rPr>
        <w:t xml:space="preserve">Weak Equity Position: </w:t>
      </w:r>
      <w:r w:rsidRPr="00BD6727">
        <w:rPr>
          <w:rFonts w:ascii="Arial" w:hAnsi="Arial" w:cs="Arial"/>
          <w:sz w:val="24"/>
          <w:szCs w:val="24"/>
        </w:rPr>
        <w:t>The increasing debt-equity ratios raise the risk of insolvency and decrease X4, strengthening the argument of excessive leverage.</w:t>
      </w:r>
    </w:p>
    <w:p w14:paraId="56BEFE18" w14:textId="31A74C5C" w:rsidR="00BD6727" w:rsidRPr="00BD6727" w:rsidRDefault="00BD6727" w:rsidP="00BD6727">
      <w:pPr>
        <w:pStyle w:val="ListParagraph"/>
        <w:numPr>
          <w:ilvl w:val="0"/>
          <w:numId w:val="10"/>
        </w:numPr>
        <w:spacing w:line="360" w:lineRule="auto"/>
        <w:jc w:val="both"/>
        <w:rPr>
          <w:rFonts w:ascii="Arial" w:hAnsi="Arial" w:cs="Arial"/>
          <w:sz w:val="24"/>
          <w:szCs w:val="24"/>
        </w:rPr>
      </w:pPr>
      <w:r w:rsidRPr="00BD6727">
        <w:rPr>
          <w:rFonts w:ascii="Arial" w:hAnsi="Arial" w:cs="Arial"/>
          <w:b/>
          <w:bCs/>
          <w:sz w:val="24"/>
          <w:szCs w:val="24"/>
        </w:rPr>
        <w:lastRenderedPageBreak/>
        <w:t xml:space="preserve">Decreasing Sales-to-Asset Ratio: </w:t>
      </w:r>
      <w:r w:rsidRPr="00BD6727">
        <w:rPr>
          <w:rFonts w:ascii="Arial" w:hAnsi="Arial" w:cs="Arial"/>
          <w:sz w:val="24"/>
          <w:szCs w:val="24"/>
        </w:rPr>
        <w:t>X5 is dragged down by long-term sales decrease, which is an aspect of lower competitiveness and market share, even though it slightly improved in 2024.</w:t>
      </w:r>
    </w:p>
    <w:p w14:paraId="7460539A" w14:textId="325F4539" w:rsidR="00E818EE" w:rsidRPr="00BD6727" w:rsidRDefault="00BD6727" w:rsidP="00BD6727">
      <w:pPr>
        <w:spacing w:line="360" w:lineRule="auto"/>
        <w:jc w:val="both"/>
        <w:rPr>
          <w:rFonts w:ascii="Arial" w:hAnsi="Arial" w:cs="Arial"/>
          <w:sz w:val="24"/>
          <w:szCs w:val="24"/>
        </w:rPr>
      </w:pPr>
      <w:r w:rsidRPr="00BD6727">
        <w:rPr>
          <w:rFonts w:ascii="Arial" w:hAnsi="Arial" w:cs="Arial"/>
          <w:sz w:val="24"/>
          <w:szCs w:val="24"/>
        </w:rPr>
        <w:t>In general, each of the significant Z-Score elements worsen in 2022-24, which is a close representation of the trends, weaknesses, and threats mentioned earlier.</w:t>
      </w:r>
    </w:p>
    <w:p w14:paraId="2E74286B" w14:textId="77777777" w:rsidR="00E818EE" w:rsidRPr="006C081F" w:rsidRDefault="00E818EE" w:rsidP="00E818EE">
      <w:pPr>
        <w:spacing w:line="360" w:lineRule="auto"/>
        <w:jc w:val="both"/>
        <w:rPr>
          <w:rFonts w:ascii="Arial" w:hAnsi="Arial" w:cs="Arial"/>
          <w:sz w:val="24"/>
          <w:szCs w:val="24"/>
        </w:rPr>
      </w:pPr>
      <w:r w:rsidRPr="006C081F">
        <w:rPr>
          <w:rFonts w:ascii="Arial" w:hAnsi="Arial" w:cs="Arial"/>
          <w:b/>
          <w:bCs/>
          <w:sz w:val="24"/>
          <w:szCs w:val="24"/>
        </w:rPr>
        <w:t>Z-Score Conclusion:</w:t>
      </w:r>
      <w:r w:rsidRPr="006C081F">
        <w:rPr>
          <w:rFonts w:ascii="Arial" w:hAnsi="Arial" w:cs="Arial"/>
          <w:sz w:val="24"/>
          <w:szCs w:val="24"/>
        </w:rPr>
        <w:t xml:space="preserve"> Assuming the worst-case scenario, where the ratio of Sales to Total Assets (E) equals 1.0, which is typical for large companies, the negative impact of Factor C would significantly lower the score below the distress level of 1.81.</w:t>
      </w:r>
    </w:p>
    <w:p w14:paraId="3E48C7D4" w14:textId="180D1F87" w:rsidR="00644E4D" w:rsidRPr="006C081F" w:rsidRDefault="00652B5D" w:rsidP="00044D2A">
      <w:pPr>
        <w:spacing w:line="360" w:lineRule="auto"/>
        <w:jc w:val="center"/>
        <w:rPr>
          <w:rFonts w:ascii="Arial" w:hAnsi="Arial" w:cs="Arial"/>
          <w:sz w:val="24"/>
          <w:szCs w:val="24"/>
        </w:rPr>
      </w:pPr>
      <m:oMath>
        <m:sSub>
          <m:sSubPr>
            <m:ctrlPr>
              <w:rPr>
                <w:rFonts w:ascii="Cambria Math" w:hAnsi="Cambria Math" w:cs="Arial"/>
                <w:i/>
                <w:sz w:val="24"/>
                <w:szCs w:val="24"/>
              </w:rPr>
            </m:ctrlPr>
          </m:sSubPr>
          <m:e>
            <m:r>
              <w:rPr>
                <w:rFonts w:ascii="Cambria Math" w:hAnsi="Cambria Math" w:cs="Arial"/>
                <w:sz w:val="24"/>
                <w:szCs w:val="24"/>
              </w:rPr>
              <m:t>Z-Score</m:t>
            </m:r>
          </m:e>
          <m:sub>
            <m:r>
              <w:rPr>
                <w:rFonts w:ascii="Cambria Math" w:hAnsi="Cambria Math" w:cs="Arial"/>
                <w:sz w:val="24"/>
                <w:szCs w:val="24"/>
              </w:rPr>
              <m:t>2024</m:t>
            </m:r>
          </m:sub>
        </m:sSub>
        <m:r>
          <w:rPr>
            <w:rFonts w:ascii="Cambria Math" w:eastAsiaTheme="minorEastAsia" w:hAnsi="Cambria Math" w:cs="Arial"/>
            <w:sz w:val="24"/>
            <w:szCs w:val="24"/>
          </w:rPr>
          <m:t>≈</m:t>
        </m:r>
      </m:oMath>
      <w:r w:rsidR="0098183F" w:rsidRPr="006C081F">
        <w:rPr>
          <w:rFonts w:ascii="Arial" w:eastAsiaTheme="minorEastAsia" w:hAnsi="Arial" w:cs="Arial"/>
          <w:sz w:val="24"/>
          <w:szCs w:val="24"/>
        </w:rPr>
        <w:t>1.2</w:t>
      </w:r>
      <w:r w:rsidR="0098161B" w:rsidRPr="006C081F">
        <w:rPr>
          <w:rFonts w:ascii="Arial" w:eastAsiaTheme="minorEastAsia" w:hAnsi="Arial" w:cs="Arial"/>
          <w:sz w:val="24"/>
          <w:szCs w:val="24"/>
        </w:rPr>
        <w:t xml:space="preserve"> (0.20) + 1.4 (0.64) + 3.3 (-0.0</w:t>
      </w:r>
      <w:r w:rsidR="000F5354" w:rsidRPr="006C081F">
        <w:rPr>
          <w:rFonts w:ascii="Arial" w:eastAsiaTheme="minorEastAsia" w:hAnsi="Arial" w:cs="Arial"/>
          <w:sz w:val="24"/>
          <w:szCs w:val="24"/>
        </w:rPr>
        <w:t>9) + 0.6 (0.46) + 1.0 (1.0)</w:t>
      </w:r>
      <w:r w:rsidR="00044D2A" w:rsidRPr="006C081F">
        <w:rPr>
          <w:rFonts w:ascii="Arial" w:eastAsiaTheme="minorEastAsia" w:hAnsi="Arial" w:cs="Arial"/>
          <w:sz w:val="24"/>
          <w:szCs w:val="24"/>
        </w:rPr>
        <w:t xml:space="preserve"> </w:t>
      </w:r>
      <m:oMath>
        <m:r>
          <w:rPr>
            <w:rFonts w:ascii="Cambria Math" w:eastAsiaTheme="minorEastAsia" w:hAnsi="Cambria Math" w:cs="Arial"/>
            <w:sz w:val="24"/>
            <w:szCs w:val="24"/>
          </w:rPr>
          <m:t>≈</m:t>
        </m:r>
      </m:oMath>
      <w:r w:rsidR="00044D2A" w:rsidRPr="006C081F">
        <w:rPr>
          <w:rFonts w:ascii="Arial" w:eastAsiaTheme="minorEastAsia" w:hAnsi="Arial" w:cs="Arial"/>
          <w:sz w:val="24"/>
          <w:szCs w:val="24"/>
        </w:rPr>
        <w:t xml:space="preserve"> 1.90</w:t>
      </w:r>
    </w:p>
    <w:p w14:paraId="393F52E2" w14:textId="0EC824A6" w:rsidR="00E818EE" w:rsidRPr="006C081F" w:rsidRDefault="002F5563" w:rsidP="00E818EE">
      <w:pPr>
        <w:spacing w:line="360" w:lineRule="auto"/>
        <w:jc w:val="both"/>
        <w:rPr>
          <w:rFonts w:ascii="Arial" w:hAnsi="Arial" w:cs="Arial"/>
          <w:sz w:val="24"/>
          <w:szCs w:val="24"/>
        </w:rPr>
      </w:pPr>
      <w:r w:rsidRPr="002F5563">
        <w:rPr>
          <w:rFonts w:ascii="Arial" w:hAnsi="Arial" w:cs="Arial"/>
          <w:sz w:val="24"/>
          <w:szCs w:val="24"/>
        </w:rPr>
        <w:t>The overall Altman indicators are strongly indicative of the fact that General Electronics is in the distress zone especially in 2023-24 when the operating losses, decreasing equity and deteriorating solvency put it in the high-probability default risk. The fact that EBIT is negative and retained earnings are dropping means that the Z-Score is being pushed to a very low level and unless the company receives a financial restructuring in the near future, there is a high chance of insolvency. The model complements the previous analysis which stated that the firm is in dire financial need, and that a set of effective turnaround strategies is necessary to put the situation on a proper footing to prevent a possible failure</w:t>
      </w:r>
      <w:r w:rsidR="00E818EE" w:rsidRPr="006C081F">
        <w:rPr>
          <w:rFonts w:ascii="Arial" w:hAnsi="Arial" w:cs="Arial"/>
          <w:sz w:val="24"/>
          <w:szCs w:val="24"/>
        </w:rPr>
        <w:t>.</w:t>
      </w:r>
    </w:p>
    <w:p w14:paraId="52ECC201" w14:textId="77777777" w:rsidR="00741828" w:rsidRPr="006C081F" w:rsidRDefault="00741828">
      <w:pPr>
        <w:spacing w:after="160" w:line="278" w:lineRule="auto"/>
        <w:rPr>
          <w:rStyle w:val="Heading1Char"/>
        </w:rPr>
      </w:pPr>
      <w:r w:rsidRPr="006C081F">
        <w:rPr>
          <w:rStyle w:val="Heading1Char"/>
          <w:b w:val="0"/>
        </w:rPr>
        <w:br w:type="page"/>
      </w:r>
    </w:p>
    <w:p w14:paraId="33F379C8" w14:textId="5E89436E" w:rsidR="00CD4561" w:rsidRPr="006C081F" w:rsidRDefault="00840E24" w:rsidP="00CD4561">
      <w:pPr>
        <w:pStyle w:val="Heading1"/>
      </w:pPr>
      <w:bookmarkStart w:id="6" w:name="_Toc216794670"/>
      <w:r w:rsidRPr="006C081F">
        <w:rPr>
          <w:rStyle w:val="Heading1Char"/>
          <w:b/>
        </w:rPr>
        <w:lastRenderedPageBreak/>
        <w:t>2. Working Capital Management Analysis</w:t>
      </w:r>
      <w:bookmarkEnd w:id="6"/>
    </w:p>
    <w:p w14:paraId="097EEF49" w14:textId="09438AF5" w:rsidR="006D0CF6" w:rsidRPr="006C081F" w:rsidRDefault="005B6DDC" w:rsidP="006D0CF6">
      <w:pPr>
        <w:spacing w:before="240" w:line="360" w:lineRule="auto"/>
        <w:jc w:val="both"/>
        <w:rPr>
          <w:rFonts w:ascii="Arial" w:hAnsi="Arial" w:cs="Arial"/>
          <w:bCs/>
          <w:sz w:val="24"/>
          <w:szCs w:val="24"/>
        </w:rPr>
      </w:pPr>
      <w:r w:rsidRPr="005B6DDC">
        <w:rPr>
          <w:rFonts w:ascii="Arial" w:hAnsi="Arial" w:cs="Arial"/>
          <w:bCs/>
          <w:sz w:val="24"/>
          <w:szCs w:val="24"/>
        </w:rPr>
        <w:t>The efficiency of working capital at General Electronics is decreasing, which can be seen in unstable cash flows and decreasing receivables turnover indicating the worsening credit controls (</w:t>
      </w:r>
      <w:proofErr w:type="spellStart"/>
      <w:r w:rsidRPr="005B6DDC">
        <w:rPr>
          <w:rFonts w:ascii="Arial" w:hAnsi="Arial" w:cs="Arial"/>
          <w:bCs/>
          <w:sz w:val="24"/>
          <w:szCs w:val="24"/>
        </w:rPr>
        <w:t>Atrill</w:t>
      </w:r>
      <w:proofErr w:type="spellEnd"/>
      <w:r w:rsidRPr="005B6DDC">
        <w:rPr>
          <w:rFonts w:ascii="Arial" w:hAnsi="Arial" w:cs="Arial"/>
          <w:bCs/>
          <w:sz w:val="24"/>
          <w:szCs w:val="24"/>
        </w:rPr>
        <w:t xml:space="preserve"> &amp; McLaney, 2023). The turnover on the inventory also slightly improved but the liquidity is under constraints with declining operating cash flows. To stabilise the cash operating performance, it is necessary to strengthen credit policies and optimise the inventory levels (Ross et al., 2022).</w:t>
      </w:r>
    </w:p>
    <w:p w14:paraId="65AE6802" w14:textId="473A004D" w:rsidR="006D0CF6" w:rsidRPr="006C081F" w:rsidRDefault="00741828" w:rsidP="00741828">
      <w:pPr>
        <w:pStyle w:val="Heading2"/>
      </w:pPr>
      <w:bookmarkStart w:id="7" w:name="_Toc216794671"/>
      <w:r w:rsidRPr="006C081F">
        <w:t>2.1</w:t>
      </w:r>
      <w:r w:rsidR="006D0CF6" w:rsidRPr="006C081F">
        <w:t xml:space="preserve"> </w:t>
      </w:r>
      <w:r w:rsidRPr="006C081F">
        <w:t>E</w:t>
      </w:r>
      <w:r w:rsidR="006D0CF6" w:rsidRPr="006C081F">
        <w:t>valuation of the Cash Operating Cycle (COC).</w:t>
      </w:r>
      <w:bookmarkEnd w:id="7"/>
    </w:p>
    <w:p w14:paraId="0A8D2B2D" w14:textId="27D67993" w:rsidR="00F24524" w:rsidRPr="00F24524" w:rsidRDefault="00F24524" w:rsidP="00F24524">
      <w:pPr>
        <w:spacing w:before="240" w:line="360" w:lineRule="auto"/>
        <w:jc w:val="both"/>
        <w:rPr>
          <w:rFonts w:ascii="Arial" w:hAnsi="Arial" w:cs="Arial"/>
          <w:bCs/>
          <w:sz w:val="24"/>
          <w:szCs w:val="24"/>
        </w:rPr>
      </w:pPr>
      <w:r w:rsidRPr="00F24524">
        <w:rPr>
          <w:rFonts w:ascii="Arial" w:hAnsi="Arial" w:cs="Arial"/>
          <w:bCs/>
          <w:sz w:val="24"/>
          <w:szCs w:val="24"/>
        </w:rPr>
        <w:t>The Cash Operating Cycle (COC) is used to determine the length of time that the firm wraps up in cash operating and is determined as Inventory Days + Receivable Days [?]. Payable Days. It is a serious predictor of liquidity efficiency and financial stamina in the short term (</w:t>
      </w:r>
      <w:proofErr w:type="spellStart"/>
      <w:r w:rsidRPr="00F24524">
        <w:rPr>
          <w:rFonts w:ascii="Arial" w:hAnsi="Arial" w:cs="Arial"/>
          <w:bCs/>
          <w:sz w:val="24"/>
          <w:szCs w:val="24"/>
        </w:rPr>
        <w:t>Atrill</w:t>
      </w:r>
      <w:proofErr w:type="spellEnd"/>
      <w:r w:rsidRPr="00F24524">
        <w:rPr>
          <w:rFonts w:ascii="Arial" w:hAnsi="Arial" w:cs="Arial"/>
          <w:bCs/>
          <w:sz w:val="24"/>
          <w:szCs w:val="24"/>
        </w:rPr>
        <w:t xml:space="preserve"> and McLaney, 2023). A shorter COC means that the recovery of cash will be quicker and that it will not be heavily reliant on external financing.</w:t>
      </w:r>
    </w:p>
    <w:p w14:paraId="6ED9002C" w14:textId="613432CD" w:rsidR="006D0CF6" w:rsidRPr="006C081F" w:rsidRDefault="00F24524" w:rsidP="00F24524">
      <w:pPr>
        <w:spacing w:before="240" w:line="360" w:lineRule="auto"/>
        <w:jc w:val="both"/>
        <w:rPr>
          <w:rFonts w:ascii="Arial" w:hAnsi="Arial" w:cs="Arial"/>
          <w:bCs/>
          <w:sz w:val="24"/>
          <w:szCs w:val="24"/>
        </w:rPr>
      </w:pPr>
      <w:r w:rsidRPr="00F24524">
        <w:rPr>
          <w:rFonts w:ascii="Arial" w:hAnsi="Arial" w:cs="Arial"/>
          <w:bCs/>
          <w:sz w:val="24"/>
          <w:szCs w:val="24"/>
        </w:rPr>
        <w:t>In the case of General Electronics, there is continuous working capital pressure on the COC. Although the inventory days become better in the later years with stock rationalisation, the receivable days become higher meaning that the payment by customers goes slow. The number of payable days varies due to the increased reliance on supplier credit that helps the firm to cover the decreasing operating cash flows. This trend indicates that liquidity is defensively supported and not supported by the strength of operations (Palepu and Healy, 2022).</w:t>
      </w:r>
    </w:p>
    <w:p w14:paraId="297C4DA2" w14:textId="657D575B" w:rsidR="00741828" w:rsidRPr="006C081F" w:rsidRDefault="00DA6E1B" w:rsidP="004352DB">
      <w:pPr>
        <w:spacing w:before="240" w:line="360" w:lineRule="auto"/>
        <w:jc w:val="center"/>
        <w:rPr>
          <w:rFonts w:ascii="Arial" w:hAnsi="Arial" w:cs="Arial"/>
          <w:bCs/>
          <w:sz w:val="24"/>
          <w:szCs w:val="24"/>
        </w:rPr>
      </w:pPr>
      <w:r w:rsidRPr="006C081F">
        <w:rPr>
          <w:rFonts w:ascii="Arial" w:hAnsi="Arial" w:cs="Arial"/>
          <w:b/>
          <w:sz w:val="24"/>
          <w:szCs w:val="24"/>
        </w:rPr>
        <w:t>Cash Operating Cycle Components</w:t>
      </w:r>
    </w:p>
    <w:tbl>
      <w:tblPr>
        <w:tblStyle w:val="TableGrid"/>
        <w:tblW w:w="0" w:type="auto"/>
        <w:tblLook w:val="04A0" w:firstRow="1" w:lastRow="0" w:firstColumn="1" w:lastColumn="0" w:noHBand="0" w:noVBand="1"/>
      </w:tblPr>
      <w:tblGrid>
        <w:gridCol w:w="772"/>
        <w:gridCol w:w="1593"/>
        <w:gridCol w:w="1754"/>
        <w:gridCol w:w="2045"/>
        <w:gridCol w:w="2852"/>
      </w:tblGrid>
      <w:tr w:rsidR="007E1475" w:rsidRPr="006C081F" w14:paraId="379E3C67" w14:textId="77777777" w:rsidTr="007E1475">
        <w:tc>
          <w:tcPr>
            <w:tcW w:w="772" w:type="dxa"/>
          </w:tcPr>
          <w:p w14:paraId="6F5DCACD" w14:textId="68527DDF" w:rsidR="007E1475" w:rsidRPr="006C081F" w:rsidRDefault="007E1475" w:rsidP="00D36A2A">
            <w:pPr>
              <w:spacing w:after="0" w:line="240" w:lineRule="auto"/>
              <w:jc w:val="both"/>
              <w:rPr>
                <w:b/>
                <w:bCs/>
                <w:sz w:val="24"/>
                <w:szCs w:val="24"/>
              </w:rPr>
            </w:pPr>
            <w:r w:rsidRPr="006C081F">
              <w:rPr>
                <w:b/>
                <w:bCs/>
              </w:rPr>
              <w:t>Year</w:t>
            </w:r>
          </w:p>
        </w:tc>
        <w:tc>
          <w:tcPr>
            <w:tcW w:w="1593" w:type="dxa"/>
            <w:hideMark/>
          </w:tcPr>
          <w:p w14:paraId="704B5663" w14:textId="2CC4B399" w:rsidR="007E1475" w:rsidRPr="006C081F" w:rsidRDefault="007E1475" w:rsidP="004352DB">
            <w:pPr>
              <w:spacing w:before="240" w:line="360" w:lineRule="auto"/>
              <w:jc w:val="both"/>
              <w:rPr>
                <w:rFonts w:ascii="Arial" w:hAnsi="Arial" w:cs="Arial"/>
                <w:bCs/>
                <w:sz w:val="24"/>
                <w:szCs w:val="24"/>
              </w:rPr>
            </w:pPr>
            <w:r w:rsidRPr="006C081F">
              <w:rPr>
                <w:rFonts w:ascii="Arial" w:hAnsi="Arial" w:cs="Arial"/>
                <w:b/>
                <w:bCs/>
                <w:sz w:val="24"/>
                <w:szCs w:val="24"/>
              </w:rPr>
              <w:t>Inventory Days</w:t>
            </w:r>
          </w:p>
        </w:tc>
        <w:tc>
          <w:tcPr>
            <w:tcW w:w="1754" w:type="dxa"/>
            <w:hideMark/>
          </w:tcPr>
          <w:p w14:paraId="153E13A5" w14:textId="742EC30E" w:rsidR="007E1475" w:rsidRPr="006C081F" w:rsidRDefault="007E1475" w:rsidP="004352DB">
            <w:pPr>
              <w:spacing w:before="240" w:line="360" w:lineRule="auto"/>
              <w:jc w:val="both"/>
              <w:rPr>
                <w:rFonts w:ascii="Arial" w:hAnsi="Arial" w:cs="Arial"/>
                <w:bCs/>
                <w:sz w:val="24"/>
                <w:szCs w:val="24"/>
              </w:rPr>
            </w:pPr>
            <w:r w:rsidRPr="006C081F">
              <w:rPr>
                <w:rFonts w:ascii="Arial" w:hAnsi="Arial" w:cs="Arial"/>
                <w:b/>
                <w:bCs/>
                <w:sz w:val="24"/>
                <w:szCs w:val="24"/>
              </w:rPr>
              <w:t>Receivable Days</w:t>
            </w:r>
          </w:p>
        </w:tc>
        <w:tc>
          <w:tcPr>
            <w:tcW w:w="2045" w:type="dxa"/>
          </w:tcPr>
          <w:p w14:paraId="6ABA0D6A" w14:textId="7428DF25" w:rsidR="007E1475" w:rsidRPr="006C081F" w:rsidRDefault="007E1475" w:rsidP="004352DB">
            <w:pPr>
              <w:spacing w:before="240" w:line="360" w:lineRule="auto"/>
              <w:jc w:val="both"/>
              <w:rPr>
                <w:rFonts w:ascii="Arial" w:hAnsi="Arial" w:cs="Arial"/>
                <w:b/>
                <w:bCs/>
                <w:sz w:val="24"/>
                <w:szCs w:val="24"/>
              </w:rPr>
            </w:pPr>
            <w:r w:rsidRPr="006C081F">
              <w:rPr>
                <w:rFonts w:ascii="Arial" w:hAnsi="Arial" w:cs="Arial"/>
                <w:b/>
                <w:bCs/>
                <w:sz w:val="24"/>
                <w:szCs w:val="24"/>
              </w:rPr>
              <w:t>Payable Days</w:t>
            </w:r>
          </w:p>
        </w:tc>
        <w:tc>
          <w:tcPr>
            <w:tcW w:w="2852" w:type="dxa"/>
            <w:hideMark/>
          </w:tcPr>
          <w:p w14:paraId="09846834" w14:textId="4AE545FA" w:rsidR="007E1475" w:rsidRPr="006C081F" w:rsidRDefault="007E1475" w:rsidP="004352DB">
            <w:pPr>
              <w:spacing w:before="240" w:line="360" w:lineRule="auto"/>
              <w:jc w:val="both"/>
              <w:rPr>
                <w:rFonts w:ascii="Arial" w:hAnsi="Arial" w:cs="Arial"/>
                <w:bCs/>
                <w:sz w:val="24"/>
                <w:szCs w:val="24"/>
              </w:rPr>
            </w:pPr>
            <w:r w:rsidRPr="006C081F">
              <w:rPr>
                <w:rFonts w:ascii="Arial" w:hAnsi="Arial" w:cs="Arial"/>
                <w:b/>
                <w:bCs/>
                <w:sz w:val="24"/>
                <w:szCs w:val="24"/>
              </w:rPr>
              <w:t>COC Interpretation</w:t>
            </w:r>
          </w:p>
        </w:tc>
      </w:tr>
      <w:tr w:rsidR="007E1475" w:rsidRPr="006C081F" w14:paraId="100BAF5E" w14:textId="77777777" w:rsidTr="007E1475">
        <w:tc>
          <w:tcPr>
            <w:tcW w:w="772" w:type="dxa"/>
          </w:tcPr>
          <w:p w14:paraId="0F9E8723" w14:textId="2B654742" w:rsidR="007E1475" w:rsidRPr="006C081F" w:rsidRDefault="007E1475" w:rsidP="004352DB">
            <w:pPr>
              <w:spacing w:before="240" w:line="360" w:lineRule="auto"/>
              <w:jc w:val="both"/>
              <w:rPr>
                <w:rFonts w:ascii="Arial" w:hAnsi="Arial" w:cs="Arial"/>
                <w:sz w:val="24"/>
                <w:szCs w:val="24"/>
              </w:rPr>
            </w:pPr>
            <w:r w:rsidRPr="006C081F">
              <w:rPr>
                <w:rFonts w:ascii="Arial" w:hAnsi="Arial" w:cs="Arial"/>
                <w:sz w:val="24"/>
                <w:szCs w:val="24"/>
              </w:rPr>
              <w:t>2021</w:t>
            </w:r>
          </w:p>
        </w:tc>
        <w:tc>
          <w:tcPr>
            <w:tcW w:w="1593" w:type="dxa"/>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76F3E" w:rsidRPr="006C081F" w14:paraId="5655BEF2" w14:textId="77777777">
              <w:trPr>
                <w:tblCellSpacing w:w="15" w:type="dxa"/>
              </w:trPr>
              <w:tc>
                <w:tcPr>
                  <w:tcW w:w="0" w:type="auto"/>
                  <w:vAlign w:val="center"/>
                  <w:hideMark/>
                </w:tcPr>
                <w:p w14:paraId="154A16B4" w14:textId="77777777" w:rsidR="00476F3E" w:rsidRPr="006C081F" w:rsidRDefault="00476F3E" w:rsidP="00476F3E">
                  <w:pPr>
                    <w:spacing w:before="240" w:line="360" w:lineRule="auto"/>
                    <w:jc w:val="both"/>
                    <w:rPr>
                      <w:rFonts w:ascii="Arial" w:hAnsi="Arial" w:cs="Arial"/>
                      <w:b/>
                      <w:bCs/>
                      <w:sz w:val="24"/>
                      <w:szCs w:val="24"/>
                    </w:rPr>
                  </w:pPr>
                </w:p>
              </w:tc>
            </w:tr>
          </w:tbl>
          <w:p w14:paraId="328B35A9" w14:textId="77777777" w:rsidR="00476F3E" w:rsidRPr="006C081F" w:rsidRDefault="00476F3E" w:rsidP="00476F3E">
            <w:pPr>
              <w:spacing w:before="240" w:line="360" w:lineRule="auto"/>
              <w:jc w:val="both"/>
              <w:rPr>
                <w:rFonts w:ascii="Arial" w:hAnsi="Arial" w:cs="Arial"/>
                <w:b/>
                <w:bCs/>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71"/>
            </w:tblGrid>
            <w:tr w:rsidR="00476F3E" w:rsidRPr="006C081F" w14:paraId="2434F848" w14:textId="77777777">
              <w:trPr>
                <w:tblCellSpacing w:w="15" w:type="dxa"/>
              </w:trPr>
              <w:tc>
                <w:tcPr>
                  <w:tcW w:w="0" w:type="auto"/>
                  <w:vAlign w:val="center"/>
                  <w:hideMark/>
                </w:tcPr>
                <w:p w14:paraId="219675E1" w14:textId="415A387A" w:rsidR="00476F3E" w:rsidRPr="006C081F" w:rsidRDefault="007B53A5" w:rsidP="00476F3E">
                  <w:pPr>
                    <w:spacing w:before="240" w:line="360" w:lineRule="auto"/>
                    <w:jc w:val="both"/>
                    <w:rPr>
                      <w:rFonts w:ascii="Arial" w:hAnsi="Arial" w:cs="Arial"/>
                      <w:sz w:val="24"/>
                      <w:szCs w:val="24"/>
                    </w:rPr>
                  </w:pPr>
                  <w:r w:rsidRPr="007B53A5">
                    <w:rPr>
                      <w:rFonts w:ascii="Arial" w:hAnsi="Arial" w:cs="Arial"/>
                      <w:sz w:val="24"/>
                      <w:szCs w:val="24"/>
                    </w:rPr>
                    <w:t>~82 days</w:t>
                  </w:r>
                </w:p>
              </w:tc>
            </w:tr>
          </w:tbl>
          <w:p w14:paraId="4C800705" w14:textId="7444FA7A" w:rsidR="007E1475" w:rsidRPr="006C081F" w:rsidRDefault="007E1475" w:rsidP="004352DB">
            <w:pPr>
              <w:spacing w:before="240" w:line="360" w:lineRule="auto"/>
              <w:jc w:val="both"/>
              <w:rPr>
                <w:rFonts w:ascii="Arial" w:hAnsi="Arial" w:cs="Arial"/>
                <w:bCs/>
                <w:sz w:val="24"/>
                <w:szCs w:val="24"/>
              </w:rPr>
            </w:pPr>
          </w:p>
        </w:tc>
        <w:tc>
          <w:tcPr>
            <w:tcW w:w="1754" w:type="dxa"/>
            <w:hideMark/>
          </w:tcPr>
          <w:p w14:paraId="669A2F38" w14:textId="20B23A66" w:rsidR="007E1475" w:rsidRPr="006C081F" w:rsidRDefault="007D60CE" w:rsidP="004352DB">
            <w:pPr>
              <w:spacing w:before="240" w:line="360" w:lineRule="auto"/>
              <w:jc w:val="both"/>
              <w:rPr>
                <w:rFonts w:ascii="Arial" w:hAnsi="Arial" w:cs="Arial"/>
                <w:bCs/>
                <w:sz w:val="24"/>
                <w:szCs w:val="24"/>
              </w:rPr>
            </w:pPr>
            <w:r w:rsidRPr="007D60CE">
              <w:rPr>
                <w:rFonts w:ascii="Arial" w:hAnsi="Arial" w:cs="Arial"/>
                <w:bCs/>
                <w:sz w:val="24"/>
                <w:szCs w:val="24"/>
              </w:rPr>
              <w:t>~78 days</w:t>
            </w:r>
          </w:p>
        </w:tc>
        <w:tc>
          <w:tcPr>
            <w:tcW w:w="204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F4F0D" w:rsidRPr="006C081F" w14:paraId="2FC06C97" w14:textId="77777777">
              <w:trPr>
                <w:tblCellSpacing w:w="15" w:type="dxa"/>
              </w:trPr>
              <w:tc>
                <w:tcPr>
                  <w:tcW w:w="0" w:type="auto"/>
                  <w:vAlign w:val="center"/>
                  <w:hideMark/>
                </w:tcPr>
                <w:p w14:paraId="0219B84F" w14:textId="77777777" w:rsidR="005F4F0D" w:rsidRPr="006C081F" w:rsidRDefault="005F4F0D" w:rsidP="005F4F0D">
                  <w:pPr>
                    <w:spacing w:before="240" w:line="360" w:lineRule="auto"/>
                    <w:jc w:val="both"/>
                    <w:rPr>
                      <w:rFonts w:ascii="Arial" w:hAnsi="Arial" w:cs="Arial"/>
                      <w:bCs/>
                      <w:sz w:val="24"/>
                      <w:szCs w:val="24"/>
                    </w:rPr>
                  </w:pPr>
                </w:p>
              </w:tc>
            </w:tr>
          </w:tbl>
          <w:p w14:paraId="0412B80D" w14:textId="77777777" w:rsidR="005F4F0D" w:rsidRPr="006C081F" w:rsidRDefault="005F4F0D" w:rsidP="005F4F0D">
            <w:pPr>
              <w:spacing w:before="240" w:line="360" w:lineRule="auto"/>
              <w:jc w:val="both"/>
              <w:rPr>
                <w:rFonts w:ascii="Arial" w:hAnsi="Arial" w:cs="Arial"/>
                <w:bCs/>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71"/>
            </w:tblGrid>
            <w:tr w:rsidR="00742810" w:rsidRPr="00742810" w14:paraId="669B52F5" w14:textId="77777777" w:rsidTr="00100E4A">
              <w:trPr>
                <w:tblCellSpacing w:w="15" w:type="dxa"/>
              </w:trPr>
              <w:tc>
                <w:tcPr>
                  <w:tcW w:w="0" w:type="auto"/>
                  <w:hideMark/>
                </w:tcPr>
                <w:p w14:paraId="5D2B7102" w14:textId="66F1A362" w:rsidR="00742810" w:rsidRPr="00742810" w:rsidRDefault="00742810" w:rsidP="00742810">
                  <w:pPr>
                    <w:spacing w:before="240" w:line="360" w:lineRule="auto"/>
                    <w:jc w:val="both"/>
                    <w:rPr>
                      <w:rFonts w:ascii="Arial" w:hAnsi="Arial" w:cs="Arial"/>
                      <w:bCs/>
                      <w:sz w:val="24"/>
                      <w:szCs w:val="24"/>
                    </w:rPr>
                  </w:pPr>
                  <w:r w:rsidRPr="00742810">
                    <w:rPr>
                      <w:rFonts w:ascii="Arial" w:hAnsi="Arial" w:cs="Arial"/>
                      <w:sz w:val="24"/>
                      <w:szCs w:val="24"/>
                    </w:rPr>
                    <w:t>~61 days</w:t>
                  </w:r>
                </w:p>
              </w:tc>
            </w:tr>
          </w:tbl>
          <w:p w14:paraId="4CB26CE6" w14:textId="77777777" w:rsidR="007E1475" w:rsidRPr="006C081F" w:rsidRDefault="007E1475" w:rsidP="004352DB">
            <w:pPr>
              <w:spacing w:before="240" w:line="360" w:lineRule="auto"/>
              <w:jc w:val="both"/>
              <w:rPr>
                <w:rFonts w:ascii="Arial" w:hAnsi="Arial" w:cs="Arial"/>
                <w:bCs/>
                <w:sz w:val="24"/>
                <w:szCs w:val="24"/>
              </w:rPr>
            </w:pPr>
          </w:p>
        </w:tc>
        <w:tc>
          <w:tcPr>
            <w:tcW w:w="2852" w:type="dxa"/>
            <w:hideMark/>
          </w:tcPr>
          <w:p w14:paraId="44126078" w14:textId="691820EA" w:rsidR="007E1475" w:rsidRPr="006C081F" w:rsidRDefault="00B14043" w:rsidP="004352DB">
            <w:pPr>
              <w:spacing w:before="240" w:line="360" w:lineRule="auto"/>
              <w:jc w:val="both"/>
              <w:rPr>
                <w:rFonts w:ascii="Arial" w:hAnsi="Arial" w:cs="Arial"/>
                <w:bCs/>
                <w:sz w:val="24"/>
                <w:szCs w:val="24"/>
              </w:rPr>
            </w:pPr>
            <w:r w:rsidRPr="00B14043">
              <w:rPr>
                <w:rFonts w:ascii="Arial" w:hAnsi="Arial" w:cs="Arial"/>
                <w:bCs/>
                <w:sz w:val="24"/>
                <w:szCs w:val="24"/>
              </w:rPr>
              <w:t>Moderately long COC; liquidity preserved but dependent on the stable supplier terms.</w:t>
            </w:r>
          </w:p>
        </w:tc>
      </w:tr>
      <w:tr w:rsidR="007E1475" w:rsidRPr="006C081F" w14:paraId="245EF26F" w14:textId="77777777" w:rsidTr="007E1475">
        <w:tc>
          <w:tcPr>
            <w:tcW w:w="772" w:type="dxa"/>
          </w:tcPr>
          <w:p w14:paraId="29C16BE6" w14:textId="24316A79" w:rsidR="007E1475" w:rsidRPr="006C081F" w:rsidRDefault="007E1475" w:rsidP="004352DB">
            <w:pPr>
              <w:spacing w:before="240" w:line="360" w:lineRule="auto"/>
              <w:jc w:val="both"/>
              <w:rPr>
                <w:rFonts w:ascii="Arial" w:hAnsi="Arial" w:cs="Arial"/>
                <w:sz w:val="24"/>
                <w:szCs w:val="24"/>
              </w:rPr>
            </w:pPr>
            <w:r w:rsidRPr="006C081F">
              <w:rPr>
                <w:rFonts w:ascii="Arial" w:hAnsi="Arial" w:cs="Arial"/>
                <w:sz w:val="24"/>
                <w:szCs w:val="24"/>
              </w:rPr>
              <w:lastRenderedPageBreak/>
              <w:t>2022</w:t>
            </w:r>
          </w:p>
        </w:tc>
        <w:tc>
          <w:tcPr>
            <w:tcW w:w="1593" w:type="dxa"/>
            <w:hideMark/>
          </w:tcPr>
          <w:p w14:paraId="2B535F79" w14:textId="627F4B9D" w:rsidR="007E1475" w:rsidRPr="006C081F" w:rsidRDefault="00905ABA" w:rsidP="004352DB">
            <w:pPr>
              <w:spacing w:before="240" w:line="360" w:lineRule="auto"/>
              <w:jc w:val="both"/>
              <w:rPr>
                <w:rFonts w:ascii="Arial" w:hAnsi="Arial" w:cs="Arial"/>
                <w:sz w:val="24"/>
                <w:szCs w:val="24"/>
              </w:rPr>
            </w:pPr>
            <w:r w:rsidRPr="00905ABA">
              <w:rPr>
                <w:rFonts w:ascii="Arial" w:hAnsi="Arial" w:cs="Arial"/>
                <w:sz w:val="24"/>
                <w:szCs w:val="24"/>
              </w:rPr>
              <w:t>~94 days</w:t>
            </w:r>
          </w:p>
        </w:tc>
        <w:tc>
          <w:tcPr>
            <w:tcW w:w="1754" w:type="dxa"/>
            <w:hideMark/>
          </w:tcPr>
          <w:p w14:paraId="388272E2" w14:textId="28CFDCFD" w:rsidR="007E1475" w:rsidRPr="006C081F" w:rsidRDefault="007D60CE" w:rsidP="004352DB">
            <w:pPr>
              <w:spacing w:before="240" w:line="360" w:lineRule="auto"/>
              <w:jc w:val="both"/>
              <w:rPr>
                <w:rFonts w:ascii="Arial" w:hAnsi="Arial" w:cs="Arial"/>
                <w:bCs/>
                <w:sz w:val="24"/>
                <w:szCs w:val="24"/>
              </w:rPr>
            </w:pPr>
            <w:r w:rsidRPr="007D60CE">
              <w:rPr>
                <w:rFonts w:ascii="Arial" w:hAnsi="Arial" w:cs="Arial"/>
                <w:bCs/>
                <w:sz w:val="24"/>
                <w:szCs w:val="24"/>
              </w:rPr>
              <w:t>~76 days</w:t>
            </w:r>
          </w:p>
        </w:tc>
        <w:tc>
          <w:tcPr>
            <w:tcW w:w="2045" w:type="dxa"/>
          </w:tcPr>
          <w:p w14:paraId="200076D5" w14:textId="4AF9F28C" w:rsidR="007E1475" w:rsidRPr="006C081F" w:rsidRDefault="000C775A" w:rsidP="004352DB">
            <w:pPr>
              <w:spacing w:before="240" w:line="360" w:lineRule="auto"/>
              <w:jc w:val="both"/>
              <w:rPr>
                <w:rFonts w:ascii="Arial" w:hAnsi="Arial" w:cs="Arial"/>
                <w:bCs/>
                <w:sz w:val="24"/>
                <w:szCs w:val="24"/>
              </w:rPr>
            </w:pPr>
            <w:r w:rsidRPr="000C775A">
              <w:rPr>
                <w:rFonts w:ascii="Arial" w:hAnsi="Arial" w:cs="Arial"/>
                <w:bCs/>
                <w:sz w:val="24"/>
                <w:szCs w:val="24"/>
              </w:rPr>
              <w:t>~67 days</w:t>
            </w:r>
          </w:p>
        </w:tc>
        <w:tc>
          <w:tcPr>
            <w:tcW w:w="2852" w:type="dxa"/>
            <w:hideMark/>
          </w:tcPr>
          <w:p w14:paraId="7F7E1E57" w14:textId="055B7986" w:rsidR="007E1475" w:rsidRPr="006C081F" w:rsidRDefault="00702FA1" w:rsidP="004352DB">
            <w:pPr>
              <w:spacing w:before="240" w:line="360" w:lineRule="auto"/>
              <w:jc w:val="both"/>
              <w:rPr>
                <w:rFonts w:ascii="Arial" w:hAnsi="Arial" w:cs="Arial"/>
                <w:bCs/>
                <w:sz w:val="24"/>
                <w:szCs w:val="24"/>
              </w:rPr>
            </w:pPr>
            <w:r w:rsidRPr="00702FA1">
              <w:rPr>
                <w:rFonts w:ascii="Arial" w:hAnsi="Arial" w:cs="Arial"/>
                <w:bCs/>
                <w:sz w:val="24"/>
                <w:szCs w:val="24"/>
              </w:rPr>
              <w:t>Stockpiling increases COC which ties up cash and undermines flexibility.</w:t>
            </w:r>
          </w:p>
        </w:tc>
      </w:tr>
      <w:tr w:rsidR="007E1475" w:rsidRPr="006C081F" w14:paraId="3C487204" w14:textId="77777777" w:rsidTr="007E1475">
        <w:tc>
          <w:tcPr>
            <w:tcW w:w="772" w:type="dxa"/>
          </w:tcPr>
          <w:p w14:paraId="25AFD8A3" w14:textId="2A8AAF42" w:rsidR="007E1475" w:rsidRPr="006C081F" w:rsidRDefault="007E1475" w:rsidP="004352DB">
            <w:pPr>
              <w:spacing w:before="240" w:line="360" w:lineRule="auto"/>
              <w:jc w:val="both"/>
              <w:rPr>
                <w:rFonts w:ascii="Arial" w:hAnsi="Arial" w:cs="Arial"/>
                <w:sz w:val="24"/>
                <w:szCs w:val="24"/>
              </w:rPr>
            </w:pPr>
            <w:r w:rsidRPr="006C081F">
              <w:rPr>
                <w:rFonts w:ascii="Arial" w:hAnsi="Arial" w:cs="Arial"/>
                <w:sz w:val="24"/>
                <w:szCs w:val="24"/>
              </w:rPr>
              <w:t>2023</w:t>
            </w:r>
          </w:p>
        </w:tc>
        <w:tc>
          <w:tcPr>
            <w:tcW w:w="1593" w:type="dxa"/>
            <w:hideMark/>
          </w:tcPr>
          <w:p w14:paraId="6987457E" w14:textId="187FF0C0" w:rsidR="007E1475" w:rsidRPr="006C081F" w:rsidRDefault="00905ABA" w:rsidP="004352DB">
            <w:pPr>
              <w:spacing w:before="240" w:line="360" w:lineRule="auto"/>
              <w:jc w:val="both"/>
              <w:rPr>
                <w:rFonts w:ascii="Arial" w:hAnsi="Arial" w:cs="Arial"/>
                <w:sz w:val="24"/>
                <w:szCs w:val="24"/>
              </w:rPr>
            </w:pPr>
            <w:r w:rsidRPr="00905ABA">
              <w:rPr>
                <w:rFonts w:ascii="Arial" w:hAnsi="Arial" w:cs="Arial"/>
                <w:sz w:val="24"/>
                <w:szCs w:val="24"/>
              </w:rPr>
              <w:t>~77 days</w:t>
            </w:r>
          </w:p>
        </w:tc>
        <w:tc>
          <w:tcPr>
            <w:tcW w:w="1754" w:type="dxa"/>
            <w:hideMark/>
          </w:tcPr>
          <w:p w14:paraId="0581E352" w14:textId="6B077F07" w:rsidR="007E1475" w:rsidRPr="006C081F" w:rsidRDefault="007D60CE" w:rsidP="004352DB">
            <w:pPr>
              <w:spacing w:before="240" w:line="360" w:lineRule="auto"/>
              <w:jc w:val="both"/>
              <w:rPr>
                <w:rFonts w:ascii="Arial" w:hAnsi="Arial" w:cs="Arial"/>
                <w:bCs/>
                <w:sz w:val="24"/>
                <w:szCs w:val="24"/>
              </w:rPr>
            </w:pPr>
            <w:r w:rsidRPr="007D60CE">
              <w:rPr>
                <w:rFonts w:ascii="Arial" w:hAnsi="Arial" w:cs="Arial"/>
                <w:bCs/>
                <w:sz w:val="24"/>
                <w:szCs w:val="24"/>
              </w:rPr>
              <w:t>~98 days</w:t>
            </w:r>
          </w:p>
        </w:tc>
        <w:tc>
          <w:tcPr>
            <w:tcW w:w="2045" w:type="dxa"/>
          </w:tcPr>
          <w:p w14:paraId="2A58B564" w14:textId="36A1D074" w:rsidR="007E1475" w:rsidRPr="006C081F" w:rsidRDefault="000C775A" w:rsidP="004352DB">
            <w:pPr>
              <w:spacing w:before="240" w:line="360" w:lineRule="auto"/>
              <w:jc w:val="both"/>
              <w:rPr>
                <w:rFonts w:ascii="Arial" w:hAnsi="Arial" w:cs="Arial"/>
                <w:bCs/>
                <w:sz w:val="24"/>
                <w:szCs w:val="24"/>
              </w:rPr>
            </w:pPr>
            <w:r w:rsidRPr="000C775A">
              <w:rPr>
                <w:rFonts w:ascii="Arial" w:hAnsi="Arial" w:cs="Arial"/>
                <w:bCs/>
                <w:sz w:val="24"/>
                <w:szCs w:val="24"/>
              </w:rPr>
              <w:t>~55 days</w:t>
            </w:r>
          </w:p>
        </w:tc>
        <w:tc>
          <w:tcPr>
            <w:tcW w:w="2852" w:type="dxa"/>
            <w:hideMark/>
          </w:tcPr>
          <w:p w14:paraId="62FA6D85" w14:textId="60CE6809" w:rsidR="007E1475" w:rsidRPr="006C081F" w:rsidRDefault="00702FA1" w:rsidP="004352DB">
            <w:pPr>
              <w:spacing w:before="240" w:line="360" w:lineRule="auto"/>
              <w:jc w:val="both"/>
              <w:rPr>
                <w:rFonts w:ascii="Arial" w:hAnsi="Arial" w:cs="Arial"/>
                <w:bCs/>
                <w:sz w:val="24"/>
                <w:szCs w:val="24"/>
              </w:rPr>
            </w:pPr>
            <w:r w:rsidRPr="00702FA1">
              <w:rPr>
                <w:rFonts w:ascii="Arial" w:hAnsi="Arial" w:cs="Arial"/>
                <w:bCs/>
                <w:sz w:val="24"/>
                <w:szCs w:val="24"/>
              </w:rPr>
              <w:t>There are receivable delays, which is the main aspect; the cash inflows become much slower, and the liquidity risk is increased.</w:t>
            </w:r>
          </w:p>
        </w:tc>
      </w:tr>
      <w:tr w:rsidR="007E1475" w:rsidRPr="006C081F" w14:paraId="42E00261" w14:textId="77777777" w:rsidTr="007E1475">
        <w:tc>
          <w:tcPr>
            <w:tcW w:w="772" w:type="dxa"/>
          </w:tcPr>
          <w:p w14:paraId="7EC47CA4" w14:textId="464E380D" w:rsidR="007E1475" w:rsidRPr="006C081F" w:rsidRDefault="007E1475" w:rsidP="004352DB">
            <w:pPr>
              <w:spacing w:before="240" w:line="360" w:lineRule="auto"/>
              <w:jc w:val="both"/>
              <w:rPr>
                <w:rFonts w:ascii="Arial" w:hAnsi="Arial" w:cs="Arial"/>
                <w:sz w:val="24"/>
                <w:szCs w:val="24"/>
              </w:rPr>
            </w:pPr>
            <w:r w:rsidRPr="006C081F">
              <w:rPr>
                <w:rFonts w:ascii="Arial" w:hAnsi="Arial" w:cs="Arial"/>
                <w:sz w:val="24"/>
                <w:szCs w:val="24"/>
              </w:rPr>
              <w:t>2024</w:t>
            </w:r>
          </w:p>
        </w:tc>
        <w:tc>
          <w:tcPr>
            <w:tcW w:w="1593" w:type="dxa"/>
            <w:hideMark/>
          </w:tcPr>
          <w:p w14:paraId="424AD01B" w14:textId="004EF729" w:rsidR="007E1475" w:rsidRPr="006C081F" w:rsidRDefault="00905ABA" w:rsidP="004352DB">
            <w:pPr>
              <w:spacing w:before="240" w:line="360" w:lineRule="auto"/>
              <w:jc w:val="both"/>
              <w:rPr>
                <w:rFonts w:ascii="Arial" w:hAnsi="Arial" w:cs="Arial"/>
                <w:sz w:val="24"/>
                <w:szCs w:val="24"/>
              </w:rPr>
            </w:pPr>
            <w:r w:rsidRPr="00905ABA">
              <w:rPr>
                <w:rFonts w:ascii="Arial" w:hAnsi="Arial" w:cs="Arial"/>
                <w:sz w:val="24"/>
                <w:szCs w:val="24"/>
              </w:rPr>
              <w:t>~73 days</w:t>
            </w:r>
          </w:p>
        </w:tc>
        <w:tc>
          <w:tcPr>
            <w:tcW w:w="1754" w:type="dxa"/>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702AA" w:rsidRPr="002702AA" w14:paraId="5DE0AA40" w14:textId="77777777">
              <w:trPr>
                <w:tblCellSpacing w:w="15" w:type="dxa"/>
              </w:trPr>
              <w:tc>
                <w:tcPr>
                  <w:tcW w:w="0" w:type="auto"/>
                  <w:vAlign w:val="center"/>
                  <w:hideMark/>
                </w:tcPr>
                <w:p w14:paraId="2137345D" w14:textId="77777777" w:rsidR="002702AA" w:rsidRPr="002702AA" w:rsidRDefault="002702AA" w:rsidP="002702AA">
                  <w:pPr>
                    <w:spacing w:before="240" w:line="360" w:lineRule="auto"/>
                    <w:jc w:val="both"/>
                    <w:rPr>
                      <w:rFonts w:ascii="Arial" w:hAnsi="Arial" w:cs="Arial"/>
                      <w:bCs/>
                      <w:sz w:val="24"/>
                      <w:szCs w:val="24"/>
                    </w:rPr>
                  </w:pPr>
                </w:p>
              </w:tc>
            </w:tr>
          </w:tbl>
          <w:p w14:paraId="0EF04A9F" w14:textId="77777777" w:rsidR="002702AA" w:rsidRPr="002702AA" w:rsidRDefault="002702AA" w:rsidP="002702AA">
            <w:pPr>
              <w:spacing w:before="240" w:line="360" w:lineRule="auto"/>
              <w:jc w:val="both"/>
              <w:rPr>
                <w:rFonts w:ascii="Arial" w:hAnsi="Arial" w:cs="Arial"/>
                <w:bCs/>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05"/>
            </w:tblGrid>
            <w:tr w:rsidR="002702AA" w:rsidRPr="002702AA" w14:paraId="39AB869A" w14:textId="77777777">
              <w:trPr>
                <w:tblCellSpacing w:w="15" w:type="dxa"/>
              </w:trPr>
              <w:tc>
                <w:tcPr>
                  <w:tcW w:w="0" w:type="auto"/>
                  <w:vAlign w:val="center"/>
                  <w:hideMark/>
                </w:tcPr>
                <w:p w14:paraId="336B626C" w14:textId="77777777" w:rsidR="002702AA" w:rsidRPr="002702AA" w:rsidRDefault="002702AA" w:rsidP="002702AA">
                  <w:pPr>
                    <w:spacing w:before="240" w:line="360" w:lineRule="auto"/>
                    <w:jc w:val="both"/>
                    <w:rPr>
                      <w:rFonts w:ascii="Arial" w:hAnsi="Arial" w:cs="Arial"/>
                      <w:bCs/>
                      <w:sz w:val="24"/>
                      <w:szCs w:val="24"/>
                    </w:rPr>
                  </w:pPr>
                  <w:r w:rsidRPr="002702AA">
                    <w:rPr>
                      <w:rFonts w:ascii="Arial" w:hAnsi="Arial" w:cs="Arial"/>
                      <w:bCs/>
                      <w:sz w:val="24"/>
                      <w:szCs w:val="24"/>
                    </w:rPr>
                    <w:t>~106 days</w:t>
                  </w:r>
                </w:p>
              </w:tc>
            </w:tr>
          </w:tbl>
          <w:p w14:paraId="4B1E6EAE" w14:textId="42F08BFD" w:rsidR="007E1475" w:rsidRPr="006C081F" w:rsidRDefault="007E1475" w:rsidP="004352DB">
            <w:pPr>
              <w:spacing w:before="240" w:line="360" w:lineRule="auto"/>
              <w:jc w:val="both"/>
              <w:rPr>
                <w:rFonts w:ascii="Arial" w:hAnsi="Arial" w:cs="Arial"/>
                <w:bCs/>
                <w:sz w:val="24"/>
                <w:szCs w:val="24"/>
              </w:rPr>
            </w:pPr>
          </w:p>
        </w:tc>
        <w:tc>
          <w:tcPr>
            <w:tcW w:w="2045" w:type="dxa"/>
          </w:tcPr>
          <w:p w14:paraId="42968B75" w14:textId="5E131A81" w:rsidR="007E1475" w:rsidRPr="006C081F" w:rsidRDefault="000C775A" w:rsidP="004352DB">
            <w:pPr>
              <w:spacing w:before="240" w:line="360" w:lineRule="auto"/>
              <w:jc w:val="both"/>
              <w:rPr>
                <w:rFonts w:ascii="Arial" w:hAnsi="Arial" w:cs="Arial"/>
                <w:bCs/>
                <w:sz w:val="24"/>
                <w:szCs w:val="24"/>
              </w:rPr>
            </w:pPr>
            <w:r w:rsidRPr="000C775A">
              <w:rPr>
                <w:rFonts w:ascii="Arial" w:hAnsi="Arial" w:cs="Arial"/>
                <w:bCs/>
                <w:sz w:val="24"/>
                <w:szCs w:val="24"/>
              </w:rPr>
              <w:t>~67 days</w:t>
            </w:r>
          </w:p>
        </w:tc>
        <w:tc>
          <w:tcPr>
            <w:tcW w:w="2852" w:type="dxa"/>
            <w:hideMark/>
          </w:tcPr>
          <w:p w14:paraId="6988DF00" w14:textId="1815A0EB" w:rsidR="007E1475" w:rsidRPr="00B60BE6" w:rsidRDefault="00B60BE6" w:rsidP="00A26CD3">
            <w:pPr>
              <w:spacing w:after="0" w:line="240" w:lineRule="auto"/>
              <w:jc w:val="both"/>
              <w:rPr>
                <w:rFonts w:ascii="Arial" w:hAnsi="Arial" w:cs="Arial"/>
                <w:sz w:val="24"/>
                <w:szCs w:val="24"/>
              </w:rPr>
            </w:pPr>
            <w:r w:rsidRPr="00B60BE6">
              <w:rPr>
                <w:rFonts w:ascii="Arial" w:hAnsi="Arial" w:cs="Arial"/>
                <w:sz w:val="24"/>
                <w:szCs w:val="24"/>
              </w:rPr>
              <w:t>There are also improvements in inventory, whereas long receivable days continue to increase COC.</w:t>
            </w:r>
          </w:p>
        </w:tc>
      </w:tr>
    </w:tbl>
    <w:p w14:paraId="6C1ECC50" w14:textId="2A8DC48E" w:rsidR="00A26CD3" w:rsidRPr="006C081F" w:rsidRDefault="00CC5166" w:rsidP="00433ED2">
      <w:pPr>
        <w:spacing w:before="240" w:line="360" w:lineRule="auto"/>
        <w:jc w:val="both"/>
        <w:rPr>
          <w:rFonts w:ascii="Arial" w:hAnsi="Arial" w:cs="Arial"/>
          <w:bCs/>
          <w:sz w:val="24"/>
          <w:szCs w:val="24"/>
        </w:rPr>
      </w:pPr>
      <w:r w:rsidRPr="00CC5166">
        <w:rPr>
          <w:rFonts w:ascii="Arial" w:hAnsi="Arial" w:cs="Arial"/>
          <w:bCs/>
          <w:sz w:val="24"/>
          <w:szCs w:val="24"/>
        </w:rPr>
        <w:t>On the whole, the COC of General Electronics is a rather long and fluctuating one. The general inventory control has been advanced at the expense of uncontrolled receivables, that is, cash recovery on customers is lower than operational requirements. In order to enhance the liquidity, the company should place more emphasis on receivables management and align credit policies with its turnaround goals (Ross et al., 2022).</w:t>
      </w:r>
    </w:p>
    <w:p w14:paraId="141B1E1B" w14:textId="722ADF7F" w:rsidR="006D0CF6" w:rsidRPr="006C081F" w:rsidRDefault="00534263" w:rsidP="00534263">
      <w:pPr>
        <w:pStyle w:val="Heading2"/>
      </w:pPr>
      <w:bookmarkStart w:id="8" w:name="_Toc216794672"/>
      <w:r w:rsidRPr="006C081F">
        <w:t>2</w:t>
      </w:r>
      <w:r w:rsidR="006D0CF6" w:rsidRPr="006C081F">
        <w:t>.2 Liquidity-Enhancing Strategies in WCM Reforms</w:t>
      </w:r>
      <w:bookmarkEnd w:id="8"/>
    </w:p>
    <w:p w14:paraId="0C87C019" w14:textId="77777777" w:rsidR="008D0DAB" w:rsidRPr="008D0DAB" w:rsidRDefault="008D0DAB" w:rsidP="008D0DAB">
      <w:pPr>
        <w:spacing w:before="240" w:line="360" w:lineRule="auto"/>
        <w:jc w:val="both"/>
        <w:rPr>
          <w:rFonts w:ascii="Arial" w:hAnsi="Arial" w:cs="Arial"/>
          <w:bCs/>
          <w:sz w:val="24"/>
          <w:szCs w:val="24"/>
        </w:rPr>
      </w:pPr>
      <w:r w:rsidRPr="008D0DAB">
        <w:rPr>
          <w:rFonts w:ascii="Arial" w:hAnsi="Arial" w:cs="Arial"/>
          <w:bCs/>
          <w:sz w:val="24"/>
          <w:szCs w:val="24"/>
        </w:rPr>
        <w:t>The liquidity issues of General Electronics are caused by the long days of accounts receivables, unreliable operating cash flows, and the use of short-term credit. The aims of the effective Working Capital Management (WCM) reforms are to reduce the cash operating cycle and to release the cash held up in the day-to-day operations. Corporate finance literature demonstrates that specific WCM initiatives are capable of enhancing the liquidity substantially without affecting the operation performance negatively (</w:t>
      </w:r>
      <w:proofErr w:type="spellStart"/>
      <w:r w:rsidRPr="008D0DAB">
        <w:rPr>
          <w:rFonts w:ascii="Arial" w:hAnsi="Arial" w:cs="Arial"/>
          <w:bCs/>
          <w:sz w:val="24"/>
          <w:szCs w:val="24"/>
        </w:rPr>
        <w:t>Atrill</w:t>
      </w:r>
      <w:proofErr w:type="spellEnd"/>
      <w:r w:rsidRPr="008D0DAB">
        <w:rPr>
          <w:rFonts w:ascii="Arial" w:hAnsi="Arial" w:cs="Arial"/>
          <w:bCs/>
          <w:sz w:val="24"/>
          <w:szCs w:val="24"/>
        </w:rPr>
        <w:t xml:space="preserve"> and McLaney, 2023).</w:t>
      </w:r>
    </w:p>
    <w:p w14:paraId="4EE139AD" w14:textId="77777777" w:rsidR="008D0DAB" w:rsidRPr="008D0DAB" w:rsidRDefault="008D0DAB" w:rsidP="008D0DAB">
      <w:pPr>
        <w:spacing w:before="240" w:line="360" w:lineRule="auto"/>
        <w:jc w:val="both"/>
        <w:rPr>
          <w:rFonts w:ascii="Arial" w:hAnsi="Arial" w:cs="Arial"/>
          <w:bCs/>
          <w:sz w:val="24"/>
          <w:szCs w:val="24"/>
        </w:rPr>
      </w:pPr>
    </w:p>
    <w:p w14:paraId="17A0C28C" w14:textId="6C558015" w:rsidR="0066278B" w:rsidRPr="006C081F" w:rsidRDefault="008D0DAB" w:rsidP="008D0DAB">
      <w:pPr>
        <w:spacing w:before="240" w:line="360" w:lineRule="auto"/>
        <w:jc w:val="both"/>
        <w:rPr>
          <w:rFonts w:ascii="Arial" w:hAnsi="Arial" w:cs="Arial"/>
          <w:bCs/>
          <w:sz w:val="24"/>
          <w:szCs w:val="24"/>
        </w:rPr>
      </w:pPr>
      <w:r w:rsidRPr="008D0DAB">
        <w:rPr>
          <w:rFonts w:ascii="Arial" w:hAnsi="Arial" w:cs="Arial"/>
          <w:bCs/>
          <w:sz w:val="24"/>
          <w:szCs w:val="24"/>
        </w:rPr>
        <w:lastRenderedPageBreak/>
        <w:t>Since the profitability of the firm is on the downward trend and the default risk is also high, the liquidity-enhancing strategies must focus on accelerating inflows, optimising inventory, and closely managing outflows. The reforms should be done in a combined way to prevent the transfer of liquidity pressure in one sphere of working capital to another (Palepu and Healy, 2022).</w:t>
      </w:r>
    </w:p>
    <w:p w14:paraId="6F5EABF3" w14:textId="3D5C43C5" w:rsidR="006D0CF6" w:rsidRPr="006C081F" w:rsidRDefault="0066278B" w:rsidP="0066278B">
      <w:pPr>
        <w:spacing w:before="240" w:line="360" w:lineRule="auto"/>
        <w:jc w:val="center"/>
        <w:rPr>
          <w:rFonts w:ascii="Arial" w:hAnsi="Arial" w:cs="Arial"/>
          <w:b/>
          <w:sz w:val="24"/>
          <w:szCs w:val="24"/>
        </w:rPr>
      </w:pPr>
      <w:r w:rsidRPr="006C081F">
        <w:rPr>
          <w:rFonts w:ascii="Arial" w:hAnsi="Arial" w:cs="Arial"/>
          <w:b/>
          <w:sz w:val="24"/>
          <w:szCs w:val="24"/>
        </w:rPr>
        <w:t>Liquidity-Enhancing WCM Strategies</w:t>
      </w:r>
    </w:p>
    <w:tbl>
      <w:tblPr>
        <w:tblStyle w:val="TableGrid"/>
        <w:tblW w:w="0" w:type="auto"/>
        <w:tblLook w:val="04A0" w:firstRow="1" w:lastRow="0" w:firstColumn="1" w:lastColumn="0" w:noHBand="0" w:noVBand="1"/>
      </w:tblPr>
      <w:tblGrid>
        <w:gridCol w:w="2277"/>
        <w:gridCol w:w="3446"/>
        <w:gridCol w:w="3293"/>
      </w:tblGrid>
      <w:tr w:rsidR="00827173" w:rsidRPr="006C081F" w14:paraId="2FEB2213" w14:textId="77777777" w:rsidTr="00827173">
        <w:tc>
          <w:tcPr>
            <w:tcW w:w="0" w:type="auto"/>
            <w:hideMark/>
          </w:tcPr>
          <w:p w14:paraId="057AAD48" w14:textId="15AA39DD" w:rsidR="00827173" w:rsidRPr="006C081F" w:rsidRDefault="00827173" w:rsidP="00475B44">
            <w:pPr>
              <w:spacing w:before="240" w:line="360" w:lineRule="auto"/>
              <w:jc w:val="both"/>
              <w:rPr>
                <w:rFonts w:ascii="Arial" w:hAnsi="Arial" w:cs="Arial"/>
                <w:bCs/>
                <w:sz w:val="24"/>
                <w:szCs w:val="24"/>
              </w:rPr>
            </w:pPr>
            <w:r w:rsidRPr="006C081F">
              <w:rPr>
                <w:rFonts w:ascii="Arial" w:hAnsi="Arial" w:cs="Arial"/>
                <w:b/>
                <w:bCs/>
                <w:sz w:val="24"/>
                <w:szCs w:val="24"/>
              </w:rPr>
              <w:t xml:space="preserve">Strategy </w:t>
            </w:r>
          </w:p>
        </w:tc>
        <w:tc>
          <w:tcPr>
            <w:tcW w:w="0" w:type="auto"/>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851D2" w:rsidRPr="006C081F" w14:paraId="446EC9CC" w14:textId="77777777">
              <w:trPr>
                <w:tblCellSpacing w:w="15" w:type="dxa"/>
              </w:trPr>
              <w:tc>
                <w:tcPr>
                  <w:tcW w:w="0" w:type="auto"/>
                  <w:vAlign w:val="center"/>
                  <w:hideMark/>
                </w:tcPr>
                <w:p w14:paraId="54FB36B6" w14:textId="77777777" w:rsidR="003851D2" w:rsidRPr="006C081F" w:rsidRDefault="003851D2" w:rsidP="003851D2">
                  <w:pPr>
                    <w:spacing w:before="240" w:line="360" w:lineRule="auto"/>
                    <w:jc w:val="both"/>
                    <w:rPr>
                      <w:rFonts w:ascii="Arial" w:hAnsi="Arial" w:cs="Arial"/>
                      <w:b/>
                      <w:bCs/>
                      <w:sz w:val="24"/>
                      <w:szCs w:val="24"/>
                    </w:rPr>
                  </w:pPr>
                </w:p>
              </w:tc>
            </w:tr>
          </w:tbl>
          <w:p w14:paraId="69405D3D" w14:textId="77777777" w:rsidR="003851D2" w:rsidRPr="006C081F" w:rsidRDefault="003851D2" w:rsidP="003851D2">
            <w:pPr>
              <w:spacing w:before="240" w:line="360" w:lineRule="auto"/>
              <w:jc w:val="both"/>
              <w:rPr>
                <w:rFonts w:ascii="Arial" w:hAnsi="Arial" w:cs="Arial"/>
                <w:b/>
                <w:bCs/>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1"/>
            </w:tblGrid>
            <w:tr w:rsidR="003851D2" w:rsidRPr="006C081F" w14:paraId="46C6D96C" w14:textId="77777777">
              <w:trPr>
                <w:tblCellSpacing w:w="15" w:type="dxa"/>
              </w:trPr>
              <w:tc>
                <w:tcPr>
                  <w:tcW w:w="0" w:type="auto"/>
                  <w:vAlign w:val="center"/>
                  <w:hideMark/>
                </w:tcPr>
                <w:p w14:paraId="6545EDF6" w14:textId="77777777" w:rsidR="003851D2" w:rsidRPr="006C081F" w:rsidRDefault="003851D2" w:rsidP="003851D2">
                  <w:pPr>
                    <w:spacing w:before="240" w:line="360" w:lineRule="auto"/>
                    <w:jc w:val="both"/>
                    <w:rPr>
                      <w:rFonts w:ascii="Arial" w:hAnsi="Arial" w:cs="Arial"/>
                      <w:b/>
                      <w:bCs/>
                      <w:sz w:val="24"/>
                      <w:szCs w:val="24"/>
                    </w:rPr>
                  </w:pPr>
                  <w:r w:rsidRPr="006C081F">
                    <w:rPr>
                      <w:rFonts w:ascii="Arial" w:hAnsi="Arial" w:cs="Arial"/>
                      <w:b/>
                      <w:bCs/>
                      <w:sz w:val="24"/>
                      <w:szCs w:val="24"/>
                    </w:rPr>
                    <w:t>Description</w:t>
                  </w:r>
                </w:p>
              </w:tc>
            </w:tr>
          </w:tbl>
          <w:p w14:paraId="63573EBA" w14:textId="5108ADAA" w:rsidR="00827173" w:rsidRPr="006C081F" w:rsidRDefault="00827173" w:rsidP="00475B44">
            <w:pPr>
              <w:spacing w:before="240" w:line="360" w:lineRule="auto"/>
              <w:jc w:val="both"/>
              <w:rPr>
                <w:rFonts w:ascii="Arial" w:hAnsi="Arial" w:cs="Arial"/>
                <w:bCs/>
                <w:sz w:val="24"/>
                <w:szCs w:val="24"/>
              </w:rPr>
            </w:pPr>
          </w:p>
        </w:tc>
        <w:tc>
          <w:tcPr>
            <w:tcW w:w="0" w:type="auto"/>
            <w:hideMark/>
          </w:tcPr>
          <w:p w14:paraId="250E47F4" w14:textId="1D8E7964" w:rsidR="00827173" w:rsidRPr="006C081F" w:rsidRDefault="003851D2" w:rsidP="00475B44">
            <w:pPr>
              <w:spacing w:before="240" w:line="360" w:lineRule="auto"/>
              <w:jc w:val="both"/>
              <w:rPr>
                <w:rFonts w:ascii="Arial" w:hAnsi="Arial" w:cs="Arial"/>
                <w:bCs/>
                <w:sz w:val="24"/>
                <w:szCs w:val="24"/>
              </w:rPr>
            </w:pPr>
            <w:r w:rsidRPr="006C081F">
              <w:rPr>
                <w:rFonts w:ascii="Arial" w:hAnsi="Arial" w:cs="Arial"/>
                <w:b/>
                <w:bCs/>
                <w:sz w:val="24"/>
                <w:szCs w:val="24"/>
              </w:rPr>
              <w:t>Liquidity Impact</w:t>
            </w:r>
          </w:p>
        </w:tc>
      </w:tr>
      <w:tr w:rsidR="00827173" w:rsidRPr="006C081F" w14:paraId="4A871B1B" w14:textId="77777777" w:rsidTr="00827173">
        <w:tc>
          <w:tcPr>
            <w:tcW w:w="0" w:type="auto"/>
            <w:hideMark/>
          </w:tcPr>
          <w:p w14:paraId="6A8702D9" w14:textId="5A558C77" w:rsidR="00827173" w:rsidRPr="006C081F" w:rsidRDefault="007B59A6" w:rsidP="00475B44">
            <w:pPr>
              <w:spacing w:before="240" w:line="360" w:lineRule="auto"/>
              <w:jc w:val="both"/>
              <w:rPr>
                <w:rFonts w:ascii="Arial" w:hAnsi="Arial" w:cs="Arial"/>
                <w:bCs/>
                <w:sz w:val="24"/>
                <w:szCs w:val="24"/>
              </w:rPr>
            </w:pPr>
            <w:r w:rsidRPr="006C081F">
              <w:rPr>
                <w:rFonts w:ascii="Arial" w:hAnsi="Arial" w:cs="Arial"/>
                <w:b/>
                <w:bCs/>
                <w:sz w:val="24"/>
                <w:szCs w:val="24"/>
              </w:rPr>
              <w:t xml:space="preserve">1. </w:t>
            </w:r>
            <w:r w:rsidR="00916BE4" w:rsidRPr="00916BE4">
              <w:rPr>
                <w:rFonts w:ascii="Arial" w:hAnsi="Arial" w:cs="Arial"/>
                <w:b/>
                <w:bCs/>
                <w:sz w:val="24"/>
                <w:szCs w:val="24"/>
              </w:rPr>
              <w:t>Receivables Optimisation</w:t>
            </w:r>
          </w:p>
        </w:tc>
        <w:tc>
          <w:tcPr>
            <w:tcW w:w="0" w:type="auto"/>
            <w:hideMark/>
          </w:tcPr>
          <w:p w14:paraId="09B93A7D" w14:textId="71D4073A" w:rsidR="00827173" w:rsidRPr="006C081F" w:rsidRDefault="00293D70" w:rsidP="00475B44">
            <w:pPr>
              <w:spacing w:before="240" w:line="360" w:lineRule="auto"/>
              <w:jc w:val="both"/>
              <w:rPr>
                <w:rFonts w:ascii="Arial" w:hAnsi="Arial" w:cs="Arial"/>
                <w:sz w:val="24"/>
                <w:szCs w:val="24"/>
              </w:rPr>
            </w:pPr>
            <w:r w:rsidRPr="00293D70">
              <w:rPr>
                <w:rFonts w:ascii="Arial" w:hAnsi="Arial" w:cs="Arial"/>
                <w:sz w:val="24"/>
                <w:szCs w:val="24"/>
              </w:rPr>
              <w:t>Stiffen credit policy, introduce stiffer credit scoring and offer a pre-payment discount.</w:t>
            </w:r>
          </w:p>
        </w:tc>
        <w:tc>
          <w:tcPr>
            <w:tcW w:w="0" w:type="auto"/>
            <w:hideMark/>
          </w:tcPr>
          <w:p w14:paraId="2205908C" w14:textId="7936C447" w:rsidR="00827173" w:rsidRPr="006C081F" w:rsidRDefault="00293D70" w:rsidP="00475B44">
            <w:pPr>
              <w:spacing w:before="240" w:line="360" w:lineRule="auto"/>
              <w:jc w:val="both"/>
              <w:rPr>
                <w:rFonts w:ascii="Arial" w:hAnsi="Arial" w:cs="Arial"/>
                <w:sz w:val="24"/>
                <w:szCs w:val="24"/>
              </w:rPr>
            </w:pPr>
            <w:r w:rsidRPr="00293D70">
              <w:rPr>
                <w:rFonts w:ascii="Arial" w:hAnsi="Arial" w:cs="Arial"/>
                <w:sz w:val="24"/>
                <w:szCs w:val="24"/>
              </w:rPr>
              <w:t>Increases the speed of cash inflows, decreases receivable days and stabilises operating cash flow.</w:t>
            </w:r>
          </w:p>
        </w:tc>
      </w:tr>
      <w:tr w:rsidR="00827173" w:rsidRPr="006C081F" w14:paraId="4CF4EEB2" w14:textId="77777777" w:rsidTr="00827173">
        <w:tc>
          <w:tcPr>
            <w:tcW w:w="0" w:type="auto"/>
            <w:hideMark/>
          </w:tcPr>
          <w:p w14:paraId="3C27C941" w14:textId="4ACEF438" w:rsidR="00827173" w:rsidRPr="006C081F" w:rsidRDefault="007B59A6" w:rsidP="00475B44">
            <w:pPr>
              <w:spacing w:before="240" w:line="360" w:lineRule="auto"/>
              <w:jc w:val="both"/>
              <w:rPr>
                <w:rFonts w:ascii="Arial" w:hAnsi="Arial" w:cs="Arial"/>
                <w:bCs/>
                <w:sz w:val="24"/>
                <w:szCs w:val="24"/>
              </w:rPr>
            </w:pPr>
            <w:r w:rsidRPr="006C081F">
              <w:rPr>
                <w:rFonts w:ascii="Arial" w:hAnsi="Arial" w:cs="Arial"/>
                <w:b/>
                <w:bCs/>
                <w:sz w:val="24"/>
                <w:szCs w:val="24"/>
              </w:rPr>
              <w:t>2.</w:t>
            </w:r>
            <w:r w:rsidR="004E54CC" w:rsidRPr="006C081F">
              <w:rPr>
                <w:rFonts w:ascii="Arial" w:hAnsi="Arial" w:cs="Arial"/>
                <w:b/>
                <w:bCs/>
                <w:sz w:val="24"/>
                <w:szCs w:val="24"/>
              </w:rPr>
              <w:t xml:space="preserve"> </w:t>
            </w:r>
            <w:r w:rsidR="00050597" w:rsidRPr="00050597">
              <w:rPr>
                <w:rFonts w:ascii="Arial" w:hAnsi="Arial" w:cs="Arial"/>
                <w:b/>
                <w:bCs/>
                <w:sz w:val="24"/>
                <w:szCs w:val="24"/>
              </w:rPr>
              <w:t>Inventory Rationalisation</w:t>
            </w:r>
          </w:p>
        </w:tc>
        <w:tc>
          <w:tcPr>
            <w:tcW w:w="0" w:type="auto"/>
            <w:hideMark/>
          </w:tcPr>
          <w:p w14:paraId="5CDDB124" w14:textId="2E57820E" w:rsidR="00827173" w:rsidRPr="006C081F" w:rsidRDefault="00293D70" w:rsidP="00475B44">
            <w:pPr>
              <w:spacing w:before="240" w:line="360" w:lineRule="auto"/>
              <w:jc w:val="both"/>
              <w:rPr>
                <w:rFonts w:ascii="Arial" w:hAnsi="Arial" w:cs="Arial"/>
                <w:sz w:val="24"/>
                <w:szCs w:val="24"/>
              </w:rPr>
            </w:pPr>
            <w:r w:rsidRPr="00293D70">
              <w:rPr>
                <w:rFonts w:ascii="Arial" w:hAnsi="Arial" w:cs="Arial"/>
                <w:sz w:val="24"/>
                <w:szCs w:val="24"/>
              </w:rPr>
              <w:t>Implement demand forecasting, just-in-time concepts and eliminate slow moving lines of products.</w:t>
            </w:r>
          </w:p>
        </w:tc>
        <w:tc>
          <w:tcPr>
            <w:tcW w:w="0" w:type="auto"/>
            <w:hideMark/>
          </w:tcPr>
          <w:p w14:paraId="3FE19A9A" w14:textId="689F05BA" w:rsidR="00827173" w:rsidRPr="006C081F" w:rsidRDefault="00553F25" w:rsidP="00475B44">
            <w:pPr>
              <w:spacing w:before="240" w:line="360" w:lineRule="auto"/>
              <w:jc w:val="both"/>
              <w:rPr>
                <w:rFonts w:ascii="Arial" w:hAnsi="Arial" w:cs="Arial"/>
                <w:sz w:val="24"/>
                <w:szCs w:val="24"/>
              </w:rPr>
            </w:pPr>
            <w:r w:rsidRPr="00553F25">
              <w:rPr>
                <w:rFonts w:ascii="Arial" w:hAnsi="Arial" w:cs="Arial"/>
                <w:sz w:val="24"/>
                <w:szCs w:val="24"/>
              </w:rPr>
              <w:t>Cash in inventory is released and inventory holding period is shortened.</w:t>
            </w:r>
          </w:p>
        </w:tc>
      </w:tr>
      <w:tr w:rsidR="00827173" w:rsidRPr="006C081F" w14:paraId="5B82C078" w14:textId="77777777" w:rsidTr="00827173">
        <w:tc>
          <w:tcPr>
            <w:tcW w:w="0" w:type="auto"/>
            <w:hideMark/>
          </w:tcPr>
          <w:p w14:paraId="6B75F9F4" w14:textId="55E4C51A" w:rsidR="00827173" w:rsidRPr="006C081F" w:rsidRDefault="0006674A" w:rsidP="00475B44">
            <w:pPr>
              <w:spacing w:before="240" w:line="360" w:lineRule="auto"/>
              <w:jc w:val="both"/>
              <w:rPr>
                <w:rFonts w:ascii="Arial" w:hAnsi="Arial" w:cs="Arial"/>
                <w:bCs/>
                <w:sz w:val="24"/>
                <w:szCs w:val="24"/>
              </w:rPr>
            </w:pPr>
            <w:r w:rsidRPr="006C081F">
              <w:rPr>
                <w:rFonts w:ascii="Arial" w:hAnsi="Arial" w:cs="Arial"/>
                <w:b/>
                <w:bCs/>
                <w:sz w:val="24"/>
                <w:szCs w:val="24"/>
              </w:rPr>
              <w:t xml:space="preserve">3. </w:t>
            </w:r>
            <w:r w:rsidR="00050597" w:rsidRPr="00050597">
              <w:rPr>
                <w:rFonts w:ascii="Arial" w:hAnsi="Arial" w:cs="Arial"/>
                <w:b/>
                <w:bCs/>
                <w:sz w:val="24"/>
                <w:szCs w:val="24"/>
              </w:rPr>
              <w:t>Payables Management</w:t>
            </w:r>
          </w:p>
        </w:tc>
        <w:tc>
          <w:tcPr>
            <w:tcW w:w="0" w:type="auto"/>
            <w:hideMark/>
          </w:tcPr>
          <w:p w14:paraId="14C7FAE1" w14:textId="62C374D5" w:rsidR="00827173" w:rsidRPr="006C081F" w:rsidRDefault="00553F25" w:rsidP="00475B44">
            <w:pPr>
              <w:spacing w:before="240" w:line="360" w:lineRule="auto"/>
              <w:jc w:val="both"/>
              <w:rPr>
                <w:rFonts w:ascii="Arial" w:hAnsi="Arial" w:cs="Arial"/>
                <w:sz w:val="24"/>
                <w:szCs w:val="24"/>
              </w:rPr>
            </w:pPr>
            <w:proofErr w:type="spellStart"/>
            <w:r w:rsidRPr="00553F25">
              <w:rPr>
                <w:rFonts w:ascii="Arial" w:hAnsi="Arial" w:cs="Arial"/>
                <w:sz w:val="24"/>
                <w:szCs w:val="24"/>
              </w:rPr>
              <w:t>Rebargain</w:t>
            </w:r>
            <w:proofErr w:type="spellEnd"/>
            <w:r w:rsidRPr="00553F25">
              <w:rPr>
                <w:rFonts w:ascii="Arial" w:hAnsi="Arial" w:cs="Arial"/>
                <w:sz w:val="24"/>
                <w:szCs w:val="24"/>
              </w:rPr>
              <w:t xml:space="preserve"> with suppliers and work through planned payments without causing supplier breakdown.</w:t>
            </w:r>
          </w:p>
        </w:tc>
        <w:tc>
          <w:tcPr>
            <w:tcW w:w="0" w:type="auto"/>
            <w:hideMark/>
          </w:tcPr>
          <w:p w14:paraId="56F04B39" w14:textId="7F5E6155" w:rsidR="00827173" w:rsidRPr="006C081F" w:rsidRDefault="00553F25" w:rsidP="00475B44">
            <w:pPr>
              <w:spacing w:before="240" w:line="360" w:lineRule="auto"/>
              <w:jc w:val="both"/>
              <w:rPr>
                <w:rFonts w:ascii="Arial" w:hAnsi="Arial" w:cs="Arial"/>
                <w:sz w:val="24"/>
                <w:szCs w:val="24"/>
              </w:rPr>
            </w:pPr>
            <w:r w:rsidRPr="00553F25">
              <w:rPr>
                <w:rFonts w:ascii="Arial" w:hAnsi="Arial" w:cs="Arial"/>
                <w:sz w:val="24"/>
                <w:szCs w:val="24"/>
              </w:rPr>
              <w:t>Prolongs cash flows, enhancing liquidity reserves at the short-term.</w:t>
            </w:r>
          </w:p>
        </w:tc>
      </w:tr>
      <w:tr w:rsidR="0006674A" w:rsidRPr="006C081F" w14:paraId="689B5593" w14:textId="77777777" w:rsidTr="00827173">
        <w:tc>
          <w:tcPr>
            <w:tcW w:w="0" w:type="auto"/>
          </w:tcPr>
          <w:p w14:paraId="721CFA7F" w14:textId="43CCD7AE" w:rsidR="0006674A" w:rsidRPr="006C081F" w:rsidRDefault="0006674A" w:rsidP="00475B44">
            <w:pPr>
              <w:spacing w:before="240" w:line="360" w:lineRule="auto"/>
              <w:jc w:val="both"/>
              <w:rPr>
                <w:rFonts w:ascii="Arial" w:hAnsi="Arial" w:cs="Arial"/>
                <w:b/>
                <w:bCs/>
                <w:sz w:val="24"/>
                <w:szCs w:val="24"/>
              </w:rPr>
            </w:pPr>
            <w:r w:rsidRPr="006C081F">
              <w:rPr>
                <w:rFonts w:ascii="Arial" w:hAnsi="Arial" w:cs="Arial"/>
                <w:b/>
                <w:bCs/>
                <w:sz w:val="24"/>
                <w:szCs w:val="24"/>
              </w:rPr>
              <w:t xml:space="preserve">4. </w:t>
            </w:r>
            <w:r w:rsidR="00050597" w:rsidRPr="00050597">
              <w:rPr>
                <w:rFonts w:ascii="Arial" w:hAnsi="Arial" w:cs="Arial"/>
                <w:b/>
                <w:bCs/>
                <w:sz w:val="24"/>
                <w:szCs w:val="24"/>
              </w:rPr>
              <w:t>Cash Forecasting Systems</w:t>
            </w:r>
          </w:p>
        </w:tc>
        <w:tc>
          <w:tcPr>
            <w:tcW w:w="0" w:type="auto"/>
          </w:tcPr>
          <w:p w14:paraId="5CC2E19B" w14:textId="0EF8B8F1" w:rsidR="0006674A" w:rsidRPr="006C081F" w:rsidRDefault="00510CA3" w:rsidP="00475B44">
            <w:pPr>
              <w:spacing w:before="240" w:line="360" w:lineRule="auto"/>
              <w:jc w:val="both"/>
              <w:rPr>
                <w:rFonts w:ascii="Arial" w:hAnsi="Arial" w:cs="Arial"/>
                <w:sz w:val="24"/>
                <w:szCs w:val="24"/>
              </w:rPr>
            </w:pPr>
            <w:r w:rsidRPr="00510CA3">
              <w:rPr>
                <w:rFonts w:ascii="Arial" w:hAnsi="Arial" w:cs="Arial"/>
                <w:sz w:val="24"/>
                <w:szCs w:val="24"/>
              </w:rPr>
              <w:t>Add rolling cash flow forecast and scenario analysis.</w:t>
            </w:r>
          </w:p>
        </w:tc>
        <w:tc>
          <w:tcPr>
            <w:tcW w:w="0" w:type="auto"/>
          </w:tcPr>
          <w:p w14:paraId="3B55E0BC" w14:textId="6E579389" w:rsidR="0006674A" w:rsidRPr="006C081F" w:rsidRDefault="00510CA3" w:rsidP="00475B44">
            <w:pPr>
              <w:spacing w:before="240" w:line="360" w:lineRule="auto"/>
              <w:jc w:val="both"/>
              <w:rPr>
                <w:rFonts w:ascii="Arial" w:hAnsi="Arial" w:cs="Arial"/>
                <w:sz w:val="24"/>
                <w:szCs w:val="24"/>
              </w:rPr>
            </w:pPr>
            <w:r w:rsidRPr="00510CA3">
              <w:rPr>
                <w:rFonts w:ascii="Arial" w:hAnsi="Arial" w:cs="Arial"/>
                <w:sz w:val="24"/>
                <w:szCs w:val="24"/>
              </w:rPr>
              <w:t>Enhances planning of liquidity and eliminates unpleasant cash deficits.</w:t>
            </w:r>
          </w:p>
        </w:tc>
      </w:tr>
      <w:tr w:rsidR="0006674A" w:rsidRPr="006C081F" w14:paraId="5538A080" w14:textId="77777777" w:rsidTr="00827173">
        <w:tc>
          <w:tcPr>
            <w:tcW w:w="0" w:type="auto"/>
          </w:tcPr>
          <w:p w14:paraId="58D9BFE6" w14:textId="60759CCE" w:rsidR="0006674A" w:rsidRPr="006C081F" w:rsidRDefault="005A31D5" w:rsidP="00475B44">
            <w:pPr>
              <w:spacing w:before="240" w:line="360" w:lineRule="auto"/>
              <w:jc w:val="both"/>
              <w:rPr>
                <w:rFonts w:ascii="Arial" w:hAnsi="Arial" w:cs="Arial"/>
                <w:b/>
                <w:bCs/>
                <w:sz w:val="24"/>
                <w:szCs w:val="24"/>
              </w:rPr>
            </w:pPr>
            <w:r w:rsidRPr="006C081F">
              <w:rPr>
                <w:rFonts w:ascii="Arial" w:hAnsi="Arial" w:cs="Arial"/>
                <w:b/>
                <w:bCs/>
                <w:sz w:val="24"/>
                <w:szCs w:val="24"/>
              </w:rPr>
              <w:lastRenderedPageBreak/>
              <w:t xml:space="preserve">5. </w:t>
            </w:r>
            <w:r w:rsidR="00E85260" w:rsidRPr="00E85260">
              <w:rPr>
                <w:rFonts w:ascii="Arial" w:hAnsi="Arial" w:cs="Arial"/>
                <w:b/>
                <w:bCs/>
                <w:sz w:val="24"/>
                <w:szCs w:val="24"/>
              </w:rPr>
              <w:t>Short-Term Financing Tools</w:t>
            </w:r>
          </w:p>
        </w:tc>
        <w:tc>
          <w:tcPr>
            <w:tcW w:w="0" w:type="auto"/>
          </w:tcPr>
          <w:p w14:paraId="34A3D045" w14:textId="470EC602" w:rsidR="0006674A" w:rsidRPr="006C081F" w:rsidRDefault="00510CA3" w:rsidP="00475B44">
            <w:pPr>
              <w:spacing w:before="240" w:line="360" w:lineRule="auto"/>
              <w:jc w:val="both"/>
              <w:rPr>
                <w:rFonts w:ascii="Arial" w:hAnsi="Arial" w:cs="Arial"/>
                <w:sz w:val="24"/>
                <w:szCs w:val="24"/>
              </w:rPr>
            </w:pPr>
            <w:r w:rsidRPr="00510CA3">
              <w:rPr>
                <w:rFonts w:ascii="Arial" w:hAnsi="Arial" w:cs="Arial"/>
                <w:sz w:val="24"/>
                <w:szCs w:val="24"/>
              </w:rPr>
              <w:t>Invoice discounting or factoring should be used to fill short-term cash requirements.</w:t>
            </w:r>
          </w:p>
        </w:tc>
        <w:tc>
          <w:tcPr>
            <w:tcW w:w="0" w:type="auto"/>
          </w:tcPr>
          <w:p w14:paraId="0B79A842" w14:textId="71F315EB" w:rsidR="0006674A" w:rsidRPr="006C081F" w:rsidRDefault="003A7655" w:rsidP="00475B44">
            <w:pPr>
              <w:spacing w:before="240" w:line="360" w:lineRule="auto"/>
              <w:jc w:val="both"/>
              <w:rPr>
                <w:rFonts w:ascii="Arial" w:hAnsi="Arial" w:cs="Arial"/>
                <w:sz w:val="24"/>
                <w:szCs w:val="24"/>
              </w:rPr>
            </w:pPr>
            <w:r w:rsidRPr="003A7655">
              <w:rPr>
                <w:rFonts w:ascii="Arial" w:hAnsi="Arial" w:cs="Arial"/>
                <w:sz w:val="24"/>
                <w:szCs w:val="24"/>
              </w:rPr>
              <w:t>Will give instant liquidity but will raise the costs of financing when overutilized.</w:t>
            </w:r>
          </w:p>
        </w:tc>
      </w:tr>
    </w:tbl>
    <w:p w14:paraId="1DF787AF" w14:textId="4B17A62F" w:rsidR="006D0CF6" w:rsidRPr="006C081F" w:rsidRDefault="006071D0" w:rsidP="006D0CF6">
      <w:pPr>
        <w:spacing w:before="240" w:line="360" w:lineRule="auto"/>
        <w:jc w:val="both"/>
        <w:rPr>
          <w:rFonts w:ascii="Arial" w:hAnsi="Arial" w:cs="Arial"/>
          <w:bCs/>
          <w:sz w:val="24"/>
          <w:szCs w:val="24"/>
        </w:rPr>
      </w:pPr>
      <w:r w:rsidRPr="006071D0">
        <w:rPr>
          <w:rFonts w:ascii="Arial" w:hAnsi="Arial" w:cs="Arial"/>
          <w:bCs/>
          <w:sz w:val="24"/>
          <w:szCs w:val="24"/>
        </w:rPr>
        <w:t>Finally, the financial resilience of General Electronics may be significantly strengthened through liquidity-enhancing WCM reforms that are done in a strategic manner. Through acceleration of receivables/reduction in excess inventory/payables optimisation, the firm is able to create internal liquidity and minimise reliance on external borrowing. Nevertheless, overdependence on short-term financing instruments cannot be encouraged because it can lead to the development of financial risks in the long run (Ross et al., 2022)</w:t>
      </w:r>
      <w:r w:rsidR="00690E84" w:rsidRPr="006C081F">
        <w:rPr>
          <w:rFonts w:ascii="Arial" w:hAnsi="Arial" w:cs="Arial"/>
          <w:bCs/>
          <w:sz w:val="24"/>
          <w:szCs w:val="24"/>
        </w:rPr>
        <w:t>.</w:t>
      </w:r>
    </w:p>
    <w:p w14:paraId="3C1D0889" w14:textId="2EECC48B" w:rsidR="006D0CF6" w:rsidRPr="006C081F" w:rsidRDefault="007846BC" w:rsidP="007846BC">
      <w:pPr>
        <w:pStyle w:val="Heading2"/>
      </w:pPr>
      <w:bookmarkStart w:id="9" w:name="_Toc216794673"/>
      <w:r w:rsidRPr="006C081F">
        <w:t>2</w:t>
      </w:r>
      <w:r w:rsidR="006D0CF6" w:rsidRPr="006C081F">
        <w:t>.3 Short- versus Long-Term financing Compared</w:t>
      </w:r>
      <w:bookmarkEnd w:id="9"/>
    </w:p>
    <w:p w14:paraId="2A8C9654" w14:textId="36713D68" w:rsidR="00962C6E" w:rsidRPr="00962C6E" w:rsidRDefault="00962C6E" w:rsidP="00962C6E">
      <w:pPr>
        <w:spacing w:before="240" w:line="360" w:lineRule="auto"/>
        <w:jc w:val="both"/>
        <w:rPr>
          <w:rFonts w:ascii="Arial" w:hAnsi="Arial" w:cs="Arial"/>
          <w:bCs/>
          <w:sz w:val="24"/>
          <w:szCs w:val="24"/>
        </w:rPr>
      </w:pPr>
      <w:r w:rsidRPr="00962C6E">
        <w:rPr>
          <w:rFonts w:ascii="Arial" w:hAnsi="Arial" w:cs="Arial"/>
          <w:bCs/>
          <w:sz w:val="24"/>
          <w:szCs w:val="24"/>
        </w:rPr>
        <w:t>Financing decisions are very important in facilitating liquidity, stability and long-term value creation. In case of a financially troubled company like General Electronics (GE), the short-term financing (STF) and the long-term financing (LTF) have to balance with the cash-flow volatility, risk-taking and strategic recovery goals. Liquidity pressure can be increased by inappropriate financing structures and baseline the risk of default (Brealey et al., 2022).</w:t>
      </w:r>
    </w:p>
    <w:p w14:paraId="432CBAF1" w14:textId="1BBA4C83" w:rsidR="00962C6E" w:rsidRPr="006C081F" w:rsidRDefault="00962C6E" w:rsidP="00962C6E">
      <w:pPr>
        <w:spacing w:before="240" w:line="360" w:lineRule="auto"/>
        <w:jc w:val="both"/>
        <w:rPr>
          <w:rFonts w:ascii="Arial" w:hAnsi="Arial" w:cs="Arial"/>
          <w:bCs/>
          <w:sz w:val="24"/>
          <w:szCs w:val="24"/>
        </w:rPr>
      </w:pPr>
      <w:r w:rsidRPr="00962C6E">
        <w:rPr>
          <w:rFonts w:ascii="Arial" w:hAnsi="Arial" w:cs="Arial"/>
          <w:bCs/>
          <w:sz w:val="24"/>
          <w:szCs w:val="24"/>
        </w:rPr>
        <w:t>Though STF provides flexibility and reduced start-up costs, it is susceptible to excessive reliance which raises refinancing risk and also subject the firm to interest-rate volatility. Long-term financing on the other hand offers stability and minimises rollover risk but can be more costly and restrictive (Ross et al., 2022).</w:t>
      </w:r>
    </w:p>
    <w:p w14:paraId="40DD3FF1" w14:textId="2A6D0CD5" w:rsidR="006D0CF6" w:rsidRPr="006C081F" w:rsidRDefault="00BF0246" w:rsidP="00BF0246">
      <w:pPr>
        <w:spacing w:before="240" w:line="360" w:lineRule="auto"/>
        <w:jc w:val="center"/>
        <w:rPr>
          <w:rFonts w:ascii="Arial" w:hAnsi="Arial" w:cs="Arial"/>
          <w:b/>
          <w:sz w:val="24"/>
          <w:szCs w:val="24"/>
        </w:rPr>
      </w:pPr>
      <w:r w:rsidRPr="006C081F">
        <w:rPr>
          <w:rFonts w:ascii="Arial" w:hAnsi="Arial" w:cs="Arial"/>
          <w:b/>
          <w:sz w:val="24"/>
          <w:szCs w:val="24"/>
        </w:rPr>
        <w:t>STF vs LTF Comparison and Recommendation for GE</w:t>
      </w:r>
    </w:p>
    <w:tbl>
      <w:tblPr>
        <w:tblStyle w:val="TableGrid"/>
        <w:tblW w:w="0" w:type="auto"/>
        <w:tblLook w:val="04A0" w:firstRow="1" w:lastRow="0" w:firstColumn="1" w:lastColumn="0" w:noHBand="0" w:noVBand="1"/>
      </w:tblPr>
      <w:tblGrid>
        <w:gridCol w:w="1555"/>
        <w:gridCol w:w="2215"/>
        <w:gridCol w:w="2321"/>
        <w:gridCol w:w="2925"/>
      </w:tblGrid>
      <w:tr w:rsidR="00010500" w:rsidRPr="006C081F" w14:paraId="7906BE56" w14:textId="77777777" w:rsidTr="00D6323E">
        <w:tc>
          <w:tcPr>
            <w:tcW w:w="1555" w:type="dxa"/>
            <w:hideMark/>
          </w:tcPr>
          <w:p w14:paraId="36DBC32E" w14:textId="77777777" w:rsidR="00E3635F" w:rsidRPr="006C081F" w:rsidRDefault="00E3635F" w:rsidP="00E3635F">
            <w:pPr>
              <w:spacing w:before="240" w:line="360" w:lineRule="auto"/>
              <w:jc w:val="both"/>
              <w:rPr>
                <w:rFonts w:ascii="Arial" w:hAnsi="Arial" w:cs="Arial"/>
                <w:bCs/>
                <w:sz w:val="24"/>
                <w:szCs w:val="24"/>
              </w:rPr>
            </w:pPr>
            <w:r w:rsidRPr="006C081F">
              <w:rPr>
                <w:rFonts w:ascii="Arial" w:hAnsi="Arial" w:cs="Arial"/>
                <w:b/>
                <w:bCs/>
                <w:sz w:val="24"/>
                <w:szCs w:val="24"/>
              </w:rPr>
              <w:t>Feature</w:t>
            </w:r>
          </w:p>
        </w:tc>
        <w:tc>
          <w:tcPr>
            <w:tcW w:w="2215" w:type="dxa"/>
            <w:hideMark/>
          </w:tcPr>
          <w:p w14:paraId="27DB952D" w14:textId="239A3A36" w:rsidR="00E3635F" w:rsidRPr="006C081F" w:rsidRDefault="00427961" w:rsidP="00E3635F">
            <w:pPr>
              <w:spacing w:before="240" w:line="360" w:lineRule="auto"/>
              <w:jc w:val="both"/>
              <w:rPr>
                <w:rFonts w:ascii="Arial" w:hAnsi="Arial" w:cs="Arial"/>
                <w:bCs/>
                <w:sz w:val="24"/>
                <w:szCs w:val="24"/>
              </w:rPr>
            </w:pPr>
            <w:r w:rsidRPr="006C081F">
              <w:rPr>
                <w:rFonts w:ascii="Arial" w:hAnsi="Arial" w:cs="Arial"/>
                <w:b/>
                <w:bCs/>
                <w:sz w:val="24"/>
                <w:szCs w:val="24"/>
              </w:rPr>
              <w:t>Short-Term Financing (STF)</w:t>
            </w:r>
          </w:p>
        </w:tc>
        <w:tc>
          <w:tcPr>
            <w:tcW w:w="2321" w:type="dxa"/>
            <w:hideMark/>
          </w:tcPr>
          <w:p w14:paraId="2DF6B48B" w14:textId="77777777" w:rsidR="00E3635F" w:rsidRPr="006C081F" w:rsidRDefault="00E3635F" w:rsidP="00E3635F">
            <w:pPr>
              <w:spacing w:before="240" w:line="360" w:lineRule="auto"/>
              <w:jc w:val="both"/>
              <w:rPr>
                <w:rFonts w:ascii="Arial" w:hAnsi="Arial" w:cs="Arial"/>
                <w:bCs/>
                <w:sz w:val="24"/>
                <w:szCs w:val="24"/>
              </w:rPr>
            </w:pPr>
            <w:r w:rsidRPr="006C081F">
              <w:rPr>
                <w:rFonts w:ascii="Arial" w:hAnsi="Arial" w:cs="Arial"/>
                <w:b/>
                <w:bCs/>
                <w:sz w:val="24"/>
                <w:szCs w:val="24"/>
              </w:rPr>
              <w:t>Long-Term Financing (LTF)</w:t>
            </w:r>
          </w:p>
        </w:tc>
        <w:tc>
          <w:tcPr>
            <w:tcW w:w="2925" w:type="dxa"/>
            <w:hideMark/>
          </w:tcPr>
          <w:p w14:paraId="6C790020" w14:textId="77777777" w:rsidR="00E3635F" w:rsidRPr="006C081F" w:rsidRDefault="00E3635F" w:rsidP="00E3635F">
            <w:pPr>
              <w:spacing w:before="240" w:line="360" w:lineRule="auto"/>
              <w:jc w:val="both"/>
              <w:rPr>
                <w:rFonts w:ascii="Arial" w:hAnsi="Arial" w:cs="Arial"/>
                <w:bCs/>
                <w:sz w:val="24"/>
                <w:szCs w:val="24"/>
              </w:rPr>
            </w:pPr>
            <w:r w:rsidRPr="006C081F">
              <w:rPr>
                <w:rFonts w:ascii="Arial" w:hAnsi="Arial" w:cs="Arial"/>
                <w:b/>
                <w:bCs/>
                <w:sz w:val="24"/>
                <w:szCs w:val="24"/>
              </w:rPr>
              <w:t>Recommendation for GE</w:t>
            </w:r>
          </w:p>
        </w:tc>
      </w:tr>
      <w:tr w:rsidR="00010500" w:rsidRPr="006C081F" w14:paraId="667474AE" w14:textId="77777777" w:rsidTr="00D6323E">
        <w:tc>
          <w:tcPr>
            <w:tcW w:w="1555" w:type="dxa"/>
            <w:hideMark/>
          </w:tcPr>
          <w:p w14:paraId="12C0ED0B" w14:textId="1801E87A" w:rsidR="00E3635F" w:rsidRPr="006C081F" w:rsidRDefault="00FA7952" w:rsidP="00E3635F">
            <w:pPr>
              <w:spacing w:before="240" w:line="360" w:lineRule="auto"/>
              <w:jc w:val="both"/>
              <w:rPr>
                <w:rFonts w:ascii="Arial" w:hAnsi="Arial" w:cs="Arial"/>
                <w:bCs/>
                <w:sz w:val="24"/>
                <w:szCs w:val="24"/>
              </w:rPr>
            </w:pPr>
            <w:r w:rsidRPr="00FA7952">
              <w:rPr>
                <w:rFonts w:ascii="Arial" w:hAnsi="Arial" w:cs="Arial"/>
                <w:b/>
                <w:bCs/>
                <w:sz w:val="24"/>
                <w:szCs w:val="24"/>
              </w:rPr>
              <w:t>Maturity</w:t>
            </w:r>
          </w:p>
        </w:tc>
        <w:tc>
          <w:tcPr>
            <w:tcW w:w="2215" w:type="dxa"/>
            <w:hideMark/>
          </w:tcPr>
          <w:p w14:paraId="0E5285F5" w14:textId="20525F64" w:rsidR="00E3635F" w:rsidRPr="006C081F" w:rsidRDefault="00EC0045" w:rsidP="00E3635F">
            <w:pPr>
              <w:spacing w:before="240" w:line="360" w:lineRule="auto"/>
              <w:jc w:val="both"/>
              <w:rPr>
                <w:rFonts w:ascii="Arial" w:hAnsi="Arial" w:cs="Arial"/>
                <w:bCs/>
                <w:sz w:val="24"/>
                <w:szCs w:val="24"/>
              </w:rPr>
            </w:pPr>
            <w:r w:rsidRPr="00EC0045">
              <w:rPr>
                <w:rFonts w:ascii="Arial" w:hAnsi="Arial" w:cs="Arial"/>
                <w:bCs/>
                <w:sz w:val="24"/>
                <w:szCs w:val="24"/>
              </w:rPr>
              <w:t>Usually less than one year</w:t>
            </w:r>
          </w:p>
        </w:tc>
        <w:tc>
          <w:tcPr>
            <w:tcW w:w="2321" w:type="dxa"/>
            <w:hideMark/>
          </w:tcPr>
          <w:p w14:paraId="0EE9BC02" w14:textId="395D976A" w:rsidR="00E3635F" w:rsidRPr="006C081F" w:rsidRDefault="00EC0045" w:rsidP="00E3635F">
            <w:pPr>
              <w:spacing w:before="240" w:line="360" w:lineRule="auto"/>
              <w:jc w:val="both"/>
              <w:rPr>
                <w:rFonts w:ascii="Arial" w:hAnsi="Arial" w:cs="Arial"/>
                <w:bCs/>
                <w:sz w:val="24"/>
                <w:szCs w:val="24"/>
              </w:rPr>
            </w:pPr>
            <w:r w:rsidRPr="00EC0045">
              <w:rPr>
                <w:rFonts w:ascii="Arial" w:hAnsi="Arial" w:cs="Arial"/>
                <w:bCs/>
                <w:sz w:val="24"/>
                <w:szCs w:val="24"/>
              </w:rPr>
              <w:t>More than one year</w:t>
            </w:r>
          </w:p>
        </w:tc>
        <w:tc>
          <w:tcPr>
            <w:tcW w:w="2925" w:type="dxa"/>
            <w:hideMark/>
          </w:tcPr>
          <w:p w14:paraId="37DE4E73" w14:textId="491DAF97" w:rsidR="00E3635F" w:rsidRPr="006C081F" w:rsidRDefault="00EC0045" w:rsidP="00E3635F">
            <w:pPr>
              <w:spacing w:before="240" w:line="360" w:lineRule="auto"/>
              <w:jc w:val="both"/>
              <w:rPr>
                <w:rFonts w:ascii="Arial" w:hAnsi="Arial" w:cs="Arial"/>
                <w:bCs/>
                <w:sz w:val="24"/>
                <w:szCs w:val="24"/>
              </w:rPr>
            </w:pPr>
            <w:r w:rsidRPr="00EC0045">
              <w:rPr>
                <w:rFonts w:ascii="Arial" w:hAnsi="Arial" w:cs="Arial"/>
                <w:bCs/>
                <w:sz w:val="24"/>
                <w:szCs w:val="24"/>
              </w:rPr>
              <w:t>Reduce STF reliance to lower rollover risk</w:t>
            </w:r>
            <w:r>
              <w:rPr>
                <w:rFonts w:ascii="Arial" w:hAnsi="Arial" w:cs="Arial"/>
                <w:bCs/>
                <w:sz w:val="24"/>
                <w:szCs w:val="24"/>
              </w:rPr>
              <w:t>.</w:t>
            </w:r>
          </w:p>
        </w:tc>
      </w:tr>
      <w:tr w:rsidR="00010500" w:rsidRPr="006C081F" w14:paraId="31E53DF5" w14:textId="77777777" w:rsidTr="00D6323E">
        <w:tc>
          <w:tcPr>
            <w:tcW w:w="1555" w:type="dxa"/>
            <w:hideMark/>
          </w:tcPr>
          <w:p w14:paraId="1CAD2E6D" w14:textId="708AD1E7" w:rsidR="00E3635F" w:rsidRPr="006C081F" w:rsidRDefault="00FA7952" w:rsidP="00E3635F">
            <w:pPr>
              <w:spacing w:before="240" w:line="360" w:lineRule="auto"/>
              <w:jc w:val="both"/>
              <w:rPr>
                <w:rFonts w:ascii="Arial" w:hAnsi="Arial" w:cs="Arial"/>
                <w:bCs/>
                <w:sz w:val="24"/>
                <w:szCs w:val="24"/>
              </w:rPr>
            </w:pPr>
            <w:r w:rsidRPr="00FA7952">
              <w:rPr>
                <w:rFonts w:ascii="Arial" w:hAnsi="Arial" w:cs="Arial"/>
                <w:b/>
                <w:bCs/>
                <w:sz w:val="24"/>
                <w:szCs w:val="24"/>
              </w:rPr>
              <w:lastRenderedPageBreak/>
              <w:t>Cost of Capital</w:t>
            </w:r>
          </w:p>
        </w:tc>
        <w:tc>
          <w:tcPr>
            <w:tcW w:w="2215" w:type="dxa"/>
            <w:hideMark/>
          </w:tcPr>
          <w:p w14:paraId="3ADABEB3" w14:textId="277A8B96" w:rsidR="00E3635F" w:rsidRPr="006C081F" w:rsidRDefault="00EC0045" w:rsidP="00E3635F">
            <w:pPr>
              <w:spacing w:before="240" w:line="360" w:lineRule="auto"/>
              <w:jc w:val="both"/>
              <w:rPr>
                <w:rFonts w:ascii="Arial" w:hAnsi="Arial" w:cs="Arial"/>
                <w:bCs/>
                <w:sz w:val="24"/>
                <w:szCs w:val="24"/>
              </w:rPr>
            </w:pPr>
            <w:r w:rsidRPr="00EC0045">
              <w:rPr>
                <w:rFonts w:ascii="Arial" w:hAnsi="Arial" w:cs="Arial"/>
                <w:bCs/>
                <w:sz w:val="24"/>
                <w:szCs w:val="24"/>
              </w:rPr>
              <w:t>Generally lower interest rates</w:t>
            </w:r>
          </w:p>
        </w:tc>
        <w:tc>
          <w:tcPr>
            <w:tcW w:w="2321" w:type="dxa"/>
            <w:hideMark/>
          </w:tcPr>
          <w:p w14:paraId="74D2AE38" w14:textId="5571B078" w:rsidR="00E3635F" w:rsidRPr="006C081F" w:rsidRDefault="00007D3E" w:rsidP="00E3635F">
            <w:pPr>
              <w:spacing w:before="240" w:line="360" w:lineRule="auto"/>
              <w:jc w:val="both"/>
              <w:rPr>
                <w:rFonts w:ascii="Arial" w:hAnsi="Arial" w:cs="Arial"/>
                <w:bCs/>
                <w:sz w:val="24"/>
                <w:szCs w:val="24"/>
              </w:rPr>
            </w:pPr>
            <w:r w:rsidRPr="00007D3E">
              <w:rPr>
                <w:rFonts w:ascii="Arial" w:hAnsi="Arial" w:cs="Arial"/>
                <w:bCs/>
                <w:sz w:val="24"/>
                <w:szCs w:val="24"/>
              </w:rPr>
              <w:t>Higher interest rates</w:t>
            </w:r>
          </w:p>
        </w:tc>
        <w:tc>
          <w:tcPr>
            <w:tcW w:w="2925" w:type="dxa"/>
            <w:hideMark/>
          </w:tcPr>
          <w:p w14:paraId="51728856" w14:textId="5C10CAD8" w:rsidR="00E3635F" w:rsidRPr="006C081F" w:rsidRDefault="00007D3E" w:rsidP="00E3635F">
            <w:pPr>
              <w:spacing w:before="240" w:line="360" w:lineRule="auto"/>
              <w:jc w:val="both"/>
              <w:rPr>
                <w:rFonts w:ascii="Arial" w:hAnsi="Arial" w:cs="Arial"/>
                <w:bCs/>
                <w:sz w:val="24"/>
                <w:szCs w:val="24"/>
              </w:rPr>
            </w:pPr>
            <w:r w:rsidRPr="00007D3E">
              <w:rPr>
                <w:rFonts w:ascii="Arial" w:hAnsi="Arial" w:cs="Arial"/>
                <w:bCs/>
                <w:sz w:val="24"/>
                <w:szCs w:val="24"/>
              </w:rPr>
              <w:t>Accept higher cost for stability</w:t>
            </w:r>
            <w:r>
              <w:rPr>
                <w:rFonts w:ascii="Arial" w:hAnsi="Arial" w:cs="Arial"/>
                <w:bCs/>
                <w:sz w:val="24"/>
                <w:szCs w:val="24"/>
              </w:rPr>
              <w:t>.</w:t>
            </w:r>
          </w:p>
        </w:tc>
      </w:tr>
      <w:tr w:rsidR="00010500" w:rsidRPr="006C081F" w14:paraId="439F7A62" w14:textId="77777777" w:rsidTr="00D6323E">
        <w:tc>
          <w:tcPr>
            <w:tcW w:w="1555" w:type="dxa"/>
            <w:hideMark/>
          </w:tcPr>
          <w:p w14:paraId="4286BD5D" w14:textId="19FD68B1" w:rsidR="00E3635F" w:rsidRPr="006C081F" w:rsidRDefault="00215983" w:rsidP="00E3635F">
            <w:pPr>
              <w:spacing w:before="240" w:line="360" w:lineRule="auto"/>
              <w:jc w:val="both"/>
              <w:rPr>
                <w:rFonts w:ascii="Arial" w:hAnsi="Arial" w:cs="Arial"/>
                <w:bCs/>
                <w:sz w:val="24"/>
                <w:szCs w:val="24"/>
              </w:rPr>
            </w:pPr>
            <w:r w:rsidRPr="00215983">
              <w:rPr>
                <w:rFonts w:ascii="Arial" w:hAnsi="Arial" w:cs="Arial"/>
                <w:b/>
                <w:bCs/>
                <w:sz w:val="24"/>
                <w:szCs w:val="24"/>
              </w:rPr>
              <w:t>Flexibility</w:t>
            </w:r>
          </w:p>
        </w:tc>
        <w:tc>
          <w:tcPr>
            <w:tcW w:w="2215" w:type="dxa"/>
            <w:hideMark/>
          </w:tcPr>
          <w:p w14:paraId="461B7F10" w14:textId="0E4F7778" w:rsidR="00E3635F" w:rsidRPr="006C081F" w:rsidRDefault="00007D3E" w:rsidP="00E3635F">
            <w:pPr>
              <w:spacing w:before="240" w:line="360" w:lineRule="auto"/>
              <w:jc w:val="both"/>
              <w:rPr>
                <w:rFonts w:ascii="Arial" w:hAnsi="Arial" w:cs="Arial"/>
                <w:bCs/>
                <w:sz w:val="24"/>
                <w:szCs w:val="24"/>
              </w:rPr>
            </w:pPr>
            <w:r w:rsidRPr="00007D3E">
              <w:rPr>
                <w:rFonts w:ascii="Arial" w:hAnsi="Arial" w:cs="Arial"/>
                <w:bCs/>
                <w:sz w:val="24"/>
                <w:szCs w:val="24"/>
              </w:rPr>
              <w:t>High; easy to adjust</w:t>
            </w:r>
          </w:p>
        </w:tc>
        <w:tc>
          <w:tcPr>
            <w:tcW w:w="2321" w:type="dxa"/>
            <w:hideMark/>
          </w:tcPr>
          <w:p w14:paraId="27E66055" w14:textId="308AFEC7" w:rsidR="00E3635F" w:rsidRPr="006C081F" w:rsidRDefault="00ED2C16" w:rsidP="00E3635F">
            <w:pPr>
              <w:spacing w:before="240" w:line="360" w:lineRule="auto"/>
              <w:jc w:val="both"/>
              <w:rPr>
                <w:rFonts w:ascii="Arial" w:hAnsi="Arial" w:cs="Arial"/>
                <w:bCs/>
                <w:sz w:val="24"/>
                <w:szCs w:val="24"/>
              </w:rPr>
            </w:pPr>
            <w:r w:rsidRPr="00ED2C16">
              <w:rPr>
                <w:rFonts w:ascii="Arial" w:hAnsi="Arial" w:cs="Arial"/>
                <w:bCs/>
                <w:sz w:val="24"/>
                <w:szCs w:val="24"/>
              </w:rPr>
              <w:t>Lower; fixed repayment schedules</w:t>
            </w:r>
          </w:p>
        </w:tc>
        <w:tc>
          <w:tcPr>
            <w:tcW w:w="2925" w:type="dxa"/>
            <w:hideMark/>
          </w:tcPr>
          <w:p w14:paraId="4C0A5659" w14:textId="6E4747BD" w:rsidR="00E3635F" w:rsidRPr="006C081F" w:rsidRDefault="00ED2C16" w:rsidP="00E3635F">
            <w:pPr>
              <w:spacing w:before="240" w:line="360" w:lineRule="auto"/>
              <w:jc w:val="both"/>
              <w:rPr>
                <w:rFonts w:ascii="Arial" w:hAnsi="Arial" w:cs="Arial"/>
                <w:bCs/>
                <w:sz w:val="24"/>
                <w:szCs w:val="24"/>
              </w:rPr>
            </w:pPr>
            <w:r w:rsidRPr="00ED2C16">
              <w:rPr>
                <w:rFonts w:ascii="Arial" w:hAnsi="Arial" w:cs="Arial"/>
                <w:bCs/>
                <w:sz w:val="24"/>
                <w:szCs w:val="24"/>
              </w:rPr>
              <w:t>Balance flexibility with predictability</w:t>
            </w:r>
            <w:r>
              <w:rPr>
                <w:rFonts w:ascii="Arial" w:hAnsi="Arial" w:cs="Arial"/>
                <w:bCs/>
                <w:sz w:val="24"/>
                <w:szCs w:val="24"/>
              </w:rPr>
              <w:t>.</w:t>
            </w:r>
          </w:p>
        </w:tc>
      </w:tr>
      <w:tr w:rsidR="00010500" w:rsidRPr="006C081F" w14:paraId="33E1DD7D" w14:textId="77777777" w:rsidTr="00D6323E">
        <w:tc>
          <w:tcPr>
            <w:tcW w:w="1555" w:type="dxa"/>
            <w:hideMark/>
          </w:tcPr>
          <w:p w14:paraId="5826EA93" w14:textId="4A117479" w:rsidR="00E3635F" w:rsidRPr="006C081F" w:rsidRDefault="00215983" w:rsidP="00E3635F">
            <w:pPr>
              <w:spacing w:before="240" w:line="360" w:lineRule="auto"/>
              <w:jc w:val="both"/>
              <w:rPr>
                <w:rFonts w:ascii="Arial" w:hAnsi="Arial" w:cs="Arial"/>
                <w:bCs/>
                <w:sz w:val="24"/>
                <w:szCs w:val="24"/>
              </w:rPr>
            </w:pPr>
            <w:r w:rsidRPr="00215983">
              <w:rPr>
                <w:rFonts w:ascii="Arial" w:hAnsi="Arial" w:cs="Arial"/>
                <w:b/>
                <w:bCs/>
                <w:sz w:val="24"/>
                <w:szCs w:val="24"/>
              </w:rPr>
              <w:t>Liquidity Risk</w:t>
            </w:r>
          </w:p>
        </w:tc>
        <w:tc>
          <w:tcPr>
            <w:tcW w:w="2215" w:type="dxa"/>
            <w:hideMark/>
          </w:tcPr>
          <w:p w14:paraId="6801F599" w14:textId="1BFB5852" w:rsidR="00E3635F" w:rsidRPr="006C081F" w:rsidRDefault="00ED2C16" w:rsidP="00E3635F">
            <w:pPr>
              <w:spacing w:before="240" w:line="360" w:lineRule="auto"/>
              <w:jc w:val="both"/>
              <w:rPr>
                <w:rFonts w:ascii="Arial" w:hAnsi="Arial" w:cs="Arial"/>
                <w:bCs/>
                <w:sz w:val="24"/>
                <w:szCs w:val="24"/>
              </w:rPr>
            </w:pPr>
            <w:r w:rsidRPr="00ED2C16">
              <w:rPr>
                <w:rFonts w:ascii="Arial" w:hAnsi="Arial" w:cs="Arial"/>
                <w:bCs/>
                <w:sz w:val="24"/>
                <w:szCs w:val="24"/>
              </w:rPr>
              <w:t>High due to frequent refinancing</w:t>
            </w:r>
          </w:p>
        </w:tc>
        <w:tc>
          <w:tcPr>
            <w:tcW w:w="2321" w:type="dxa"/>
            <w:hideMark/>
          </w:tcPr>
          <w:p w14:paraId="2E37D383" w14:textId="232D4A36" w:rsidR="00E3635F" w:rsidRPr="006C081F" w:rsidRDefault="00ED2C16" w:rsidP="00E3635F">
            <w:pPr>
              <w:spacing w:before="240" w:line="360" w:lineRule="auto"/>
              <w:jc w:val="both"/>
              <w:rPr>
                <w:rFonts w:ascii="Arial" w:hAnsi="Arial" w:cs="Arial"/>
                <w:bCs/>
                <w:sz w:val="24"/>
                <w:szCs w:val="24"/>
              </w:rPr>
            </w:pPr>
            <w:r w:rsidRPr="00ED2C16">
              <w:rPr>
                <w:rFonts w:ascii="Arial" w:hAnsi="Arial" w:cs="Arial"/>
                <w:bCs/>
                <w:sz w:val="24"/>
                <w:szCs w:val="24"/>
              </w:rPr>
              <w:t>Lower due to longer maturities</w:t>
            </w:r>
          </w:p>
        </w:tc>
        <w:tc>
          <w:tcPr>
            <w:tcW w:w="2925" w:type="dxa"/>
            <w:hideMark/>
          </w:tcPr>
          <w:p w14:paraId="2EBA15C4" w14:textId="56D7E113" w:rsidR="00E3635F" w:rsidRPr="006C081F" w:rsidRDefault="00516C18" w:rsidP="00E3635F">
            <w:pPr>
              <w:spacing w:before="240" w:line="360" w:lineRule="auto"/>
              <w:jc w:val="both"/>
              <w:rPr>
                <w:rFonts w:ascii="Arial" w:hAnsi="Arial" w:cs="Arial"/>
                <w:bCs/>
                <w:sz w:val="24"/>
                <w:szCs w:val="24"/>
              </w:rPr>
            </w:pPr>
            <w:r w:rsidRPr="00516C18">
              <w:rPr>
                <w:rFonts w:ascii="Arial" w:hAnsi="Arial" w:cs="Arial"/>
                <w:bCs/>
                <w:sz w:val="24"/>
                <w:szCs w:val="24"/>
              </w:rPr>
              <w:t>Prioritise LTF to protect liquidity</w:t>
            </w:r>
            <w:r>
              <w:rPr>
                <w:rFonts w:ascii="Arial" w:hAnsi="Arial" w:cs="Arial"/>
                <w:bCs/>
                <w:sz w:val="24"/>
                <w:szCs w:val="24"/>
              </w:rPr>
              <w:t>.</w:t>
            </w:r>
          </w:p>
        </w:tc>
      </w:tr>
      <w:tr w:rsidR="00215983" w:rsidRPr="006C081F" w14:paraId="72F8C7E8" w14:textId="77777777" w:rsidTr="00D6323E">
        <w:tc>
          <w:tcPr>
            <w:tcW w:w="1555" w:type="dxa"/>
          </w:tcPr>
          <w:p w14:paraId="350823B0" w14:textId="45E78921" w:rsidR="00215983" w:rsidRPr="00215983" w:rsidRDefault="00FF6213" w:rsidP="00E3635F">
            <w:pPr>
              <w:spacing w:before="240" w:line="360" w:lineRule="auto"/>
              <w:jc w:val="both"/>
              <w:rPr>
                <w:rFonts w:ascii="Arial" w:hAnsi="Arial" w:cs="Arial"/>
                <w:b/>
                <w:bCs/>
                <w:sz w:val="24"/>
                <w:szCs w:val="24"/>
              </w:rPr>
            </w:pPr>
            <w:r w:rsidRPr="00FF6213">
              <w:rPr>
                <w:rFonts w:ascii="Arial" w:hAnsi="Arial" w:cs="Arial"/>
                <w:b/>
                <w:bCs/>
                <w:sz w:val="24"/>
                <w:szCs w:val="24"/>
              </w:rPr>
              <w:t>Interest Rate Exposure</w:t>
            </w:r>
          </w:p>
        </w:tc>
        <w:tc>
          <w:tcPr>
            <w:tcW w:w="2215" w:type="dxa"/>
          </w:tcPr>
          <w:p w14:paraId="144DF6D9" w14:textId="51595D90" w:rsidR="00215983" w:rsidRPr="006C081F" w:rsidRDefault="00516C18" w:rsidP="00E3635F">
            <w:pPr>
              <w:spacing w:before="240" w:line="360" w:lineRule="auto"/>
              <w:jc w:val="both"/>
              <w:rPr>
                <w:rFonts w:ascii="Arial" w:hAnsi="Arial" w:cs="Arial"/>
                <w:bCs/>
                <w:sz w:val="24"/>
                <w:szCs w:val="24"/>
              </w:rPr>
            </w:pPr>
            <w:r w:rsidRPr="00516C18">
              <w:rPr>
                <w:rFonts w:ascii="Arial" w:hAnsi="Arial" w:cs="Arial"/>
                <w:bCs/>
                <w:sz w:val="24"/>
                <w:szCs w:val="24"/>
              </w:rPr>
              <w:t>High sensitivity to rate changes</w:t>
            </w:r>
          </w:p>
        </w:tc>
        <w:tc>
          <w:tcPr>
            <w:tcW w:w="2321" w:type="dxa"/>
          </w:tcPr>
          <w:p w14:paraId="0E03A97E" w14:textId="0A6319E3" w:rsidR="00215983" w:rsidRPr="006C081F" w:rsidRDefault="00516C18" w:rsidP="00E3635F">
            <w:pPr>
              <w:spacing w:before="240" w:line="360" w:lineRule="auto"/>
              <w:jc w:val="both"/>
              <w:rPr>
                <w:rFonts w:ascii="Arial" w:hAnsi="Arial" w:cs="Arial"/>
                <w:bCs/>
                <w:sz w:val="24"/>
                <w:szCs w:val="24"/>
              </w:rPr>
            </w:pPr>
            <w:r w:rsidRPr="00516C18">
              <w:rPr>
                <w:rFonts w:ascii="Arial" w:hAnsi="Arial" w:cs="Arial"/>
                <w:bCs/>
                <w:sz w:val="24"/>
                <w:szCs w:val="24"/>
              </w:rPr>
              <w:t>Often fixed or hedged</w:t>
            </w:r>
          </w:p>
        </w:tc>
        <w:tc>
          <w:tcPr>
            <w:tcW w:w="2925" w:type="dxa"/>
          </w:tcPr>
          <w:p w14:paraId="3D8A0544" w14:textId="56E074AB" w:rsidR="00215983" w:rsidRPr="006C081F" w:rsidRDefault="00516C18" w:rsidP="00E3635F">
            <w:pPr>
              <w:spacing w:before="240" w:line="360" w:lineRule="auto"/>
              <w:jc w:val="both"/>
              <w:rPr>
                <w:rFonts w:ascii="Arial" w:hAnsi="Arial" w:cs="Arial"/>
                <w:bCs/>
                <w:sz w:val="24"/>
                <w:szCs w:val="24"/>
              </w:rPr>
            </w:pPr>
            <w:r w:rsidRPr="00516C18">
              <w:rPr>
                <w:rFonts w:ascii="Arial" w:hAnsi="Arial" w:cs="Arial"/>
                <w:bCs/>
                <w:sz w:val="24"/>
                <w:szCs w:val="24"/>
              </w:rPr>
              <w:t>Favour fixed-rate LTF instruments</w:t>
            </w:r>
            <w:r>
              <w:rPr>
                <w:rFonts w:ascii="Arial" w:hAnsi="Arial" w:cs="Arial"/>
                <w:bCs/>
                <w:sz w:val="24"/>
                <w:szCs w:val="24"/>
              </w:rPr>
              <w:t>.</w:t>
            </w:r>
          </w:p>
        </w:tc>
      </w:tr>
      <w:tr w:rsidR="00FF6213" w:rsidRPr="006C081F" w14:paraId="1A5B65B7" w14:textId="77777777" w:rsidTr="00D6323E">
        <w:tc>
          <w:tcPr>
            <w:tcW w:w="1555" w:type="dxa"/>
          </w:tcPr>
          <w:p w14:paraId="55DB3A67" w14:textId="214261AD" w:rsidR="00FF6213" w:rsidRPr="00FF6213" w:rsidRDefault="00FF6213" w:rsidP="00E3635F">
            <w:pPr>
              <w:spacing w:before="240" w:line="360" w:lineRule="auto"/>
              <w:jc w:val="both"/>
              <w:rPr>
                <w:rFonts w:ascii="Arial" w:hAnsi="Arial" w:cs="Arial"/>
                <w:b/>
                <w:bCs/>
                <w:sz w:val="24"/>
                <w:szCs w:val="24"/>
              </w:rPr>
            </w:pPr>
            <w:r w:rsidRPr="00FF6213">
              <w:rPr>
                <w:rFonts w:ascii="Arial" w:hAnsi="Arial" w:cs="Arial"/>
                <w:b/>
                <w:bCs/>
                <w:sz w:val="24"/>
                <w:szCs w:val="24"/>
              </w:rPr>
              <w:t>Covenants</w:t>
            </w:r>
          </w:p>
        </w:tc>
        <w:tc>
          <w:tcPr>
            <w:tcW w:w="2215" w:type="dxa"/>
          </w:tcPr>
          <w:p w14:paraId="565C5BEE" w14:textId="3DDD93DC" w:rsidR="00FF6213" w:rsidRPr="006C081F" w:rsidRDefault="00516C18" w:rsidP="00E3635F">
            <w:pPr>
              <w:spacing w:before="240" w:line="360" w:lineRule="auto"/>
              <w:jc w:val="both"/>
              <w:rPr>
                <w:rFonts w:ascii="Arial" w:hAnsi="Arial" w:cs="Arial"/>
                <w:bCs/>
                <w:sz w:val="24"/>
                <w:szCs w:val="24"/>
              </w:rPr>
            </w:pPr>
            <w:r w:rsidRPr="00516C18">
              <w:rPr>
                <w:rFonts w:ascii="Arial" w:hAnsi="Arial" w:cs="Arial"/>
                <w:bCs/>
                <w:sz w:val="24"/>
                <w:szCs w:val="24"/>
              </w:rPr>
              <w:t>Fewer formal restrictions</w:t>
            </w:r>
          </w:p>
        </w:tc>
        <w:tc>
          <w:tcPr>
            <w:tcW w:w="2321" w:type="dxa"/>
          </w:tcPr>
          <w:p w14:paraId="303FA37C" w14:textId="22531B2E" w:rsidR="00FF6213" w:rsidRPr="006C081F" w:rsidRDefault="001642F0" w:rsidP="00E3635F">
            <w:pPr>
              <w:spacing w:before="240" w:line="360" w:lineRule="auto"/>
              <w:jc w:val="both"/>
              <w:rPr>
                <w:rFonts w:ascii="Arial" w:hAnsi="Arial" w:cs="Arial"/>
                <w:bCs/>
                <w:sz w:val="24"/>
                <w:szCs w:val="24"/>
              </w:rPr>
            </w:pPr>
            <w:r w:rsidRPr="001642F0">
              <w:rPr>
                <w:rFonts w:ascii="Arial" w:hAnsi="Arial" w:cs="Arial"/>
                <w:bCs/>
                <w:sz w:val="24"/>
                <w:szCs w:val="24"/>
              </w:rPr>
              <w:t>Stricter covenants common</w:t>
            </w:r>
          </w:p>
        </w:tc>
        <w:tc>
          <w:tcPr>
            <w:tcW w:w="2925" w:type="dxa"/>
          </w:tcPr>
          <w:p w14:paraId="146FA6B7" w14:textId="16DE4E49" w:rsidR="00FF6213" w:rsidRPr="006C081F" w:rsidRDefault="001642F0" w:rsidP="00E3635F">
            <w:pPr>
              <w:spacing w:before="240" w:line="360" w:lineRule="auto"/>
              <w:jc w:val="both"/>
              <w:rPr>
                <w:rFonts w:ascii="Arial" w:hAnsi="Arial" w:cs="Arial"/>
                <w:bCs/>
                <w:sz w:val="24"/>
                <w:szCs w:val="24"/>
              </w:rPr>
            </w:pPr>
            <w:r w:rsidRPr="001642F0">
              <w:rPr>
                <w:rFonts w:ascii="Arial" w:hAnsi="Arial" w:cs="Arial"/>
                <w:bCs/>
                <w:sz w:val="24"/>
                <w:szCs w:val="24"/>
              </w:rPr>
              <w:t>Negotiate covenants aligned with turnaround plan</w:t>
            </w:r>
            <w:r>
              <w:rPr>
                <w:rFonts w:ascii="Arial" w:hAnsi="Arial" w:cs="Arial"/>
                <w:bCs/>
                <w:sz w:val="24"/>
                <w:szCs w:val="24"/>
              </w:rPr>
              <w:t>.</w:t>
            </w:r>
          </w:p>
        </w:tc>
      </w:tr>
      <w:tr w:rsidR="00FF6213" w:rsidRPr="006C081F" w14:paraId="7ED22275" w14:textId="77777777" w:rsidTr="00D6323E">
        <w:tc>
          <w:tcPr>
            <w:tcW w:w="1555" w:type="dxa"/>
          </w:tcPr>
          <w:p w14:paraId="53DAAC65" w14:textId="3ED3808C" w:rsidR="00FF6213" w:rsidRPr="00FF6213" w:rsidRDefault="00FF6213" w:rsidP="00E3635F">
            <w:pPr>
              <w:spacing w:before="240" w:line="360" w:lineRule="auto"/>
              <w:jc w:val="both"/>
              <w:rPr>
                <w:rFonts w:ascii="Arial" w:hAnsi="Arial" w:cs="Arial"/>
                <w:b/>
                <w:bCs/>
                <w:sz w:val="24"/>
                <w:szCs w:val="24"/>
              </w:rPr>
            </w:pPr>
            <w:r w:rsidRPr="00FF6213">
              <w:rPr>
                <w:rFonts w:ascii="Arial" w:hAnsi="Arial" w:cs="Arial"/>
                <w:b/>
                <w:bCs/>
                <w:sz w:val="24"/>
                <w:szCs w:val="24"/>
              </w:rPr>
              <w:t>Strategic Fit</w:t>
            </w:r>
          </w:p>
        </w:tc>
        <w:tc>
          <w:tcPr>
            <w:tcW w:w="2215" w:type="dxa"/>
          </w:tcPr>
          <w:p w14:paraId="071488DE" w14:textId="1F56FB1F" w:rsidR="00FF6213" w:rsidRPr="006C081F" w:rsidRDefault="001642F0" w:rsidP="00E3635F">
            <w:pPr>
              <w:spacing w:before="240" w:line="360" w:lineRule="auto"/>
              <w:jc w:val="both"/>
              <w:rPr>
                <w:rFonts w:ascii="Arial" w:hAnsi="Arial" w:cs="Arial"/>
                <w:bCs/>
                <w:sz w:val="24"/>
                <w:szCs w:val="24"/>
              </w:rPr>
            </w:pPr>
            <w:r w:rsidRPr="001642F0">
              <w:rPr>
                <w:rFonts w:ascii="Arial" w:hAnsi="Arial" w:cs="Arial"/>
                <w:bCs/>
                <w:sz w:val="24"/>
                <w:szCs w:val="24"/>
              </w:rPr>
              <w:t>Suitable for temporary cash gaps</w:t>
            </w:r>
          </w:p>
        </w:tc>
        <w:tc>
          <w:tcPr>
            <w:tcW w:w="2321" w:type="dxa"/>
          </w:tcPr>
          <w:p w14:paraId="39D36EE3" w14:textId="11A8C82B" w:rsidR="00FF6213" w:rsidRPr="006C081F" w:rsidRDefault="001642F0" w:rsidP="00E3635F">
            <w:pPr>
              <w:spacing w:before="240" w:line="360" w:lineRule="auto"/>
              <w:jc w:val="both"/>
              <w:rPr>
                <w:rFonts w:ascii="Arial" w:hAnsi="Arial" w:cs="Arial"/>
                <w:bCs/>
                <w:sz w:val="24"/>
                <w:szCs w:val="24"/>
              </w:rPr>
            </w:pPr>
            <w:r w:rsidRPr="001642F0">
              <w:rPr>
                <w:rFonts w:ascii="Arial" w:hAnsi="Arial" w:cs="Arial"/>
                <w:bCs/>
                <w:sz w:val="24"/>
                <w:szCs w:val="24"/>
              </w:rPr>
              <w:t>Supports long-term restructuring</w:t>
            </w:r>
          </w:p>
        </w:tc>
        <w:tc>
          <w:tcPr>
            <w:tcW w:w="2925" w:type="dxa"/>
          </w:tcPr>
          <w:p w14:paraId="7F51C3D1" w14:textId="7A65496C" w:rsidR="00FF6213" w:rsidRPr="006C081F" w:rsidRDefault="001642F0" w:rsidP="00E3635F">
            <w:pPr>
              <w:spacing w:before="240" w:line="360" w:lineRule="auto"/>
              <w:jc w:val="both"/>
              <w:rPr>
                <w:rFonts w:ascii="Arial" w:hAnsi="Arial" w:cs="Arial"/>
                <w:bCs/>
                <w:sz w:val="24"/>
                <w:szCs w:val="24"/>
              </w:rPr>
            </w:pPr>
            <w:r w:rsidRPr="001642F0">
              <w:rPr>
                <w:rFonts w:ascii="Arial" w:hAnsi="Arial" w:cs="Arial"/>
                <w:bCs/>
                <w:sz w:val="24"/>
                <w:szCs w:val="24"/>
              </w:rPr>
              <w:t>Use LTF for capital restructuring</w:t>
            </w:r>
            <w:r>
              <w:rPr>
                <w:rFonts w:ascii="Arial" w:hAnsi="Arial" w:cs="Arial"/>
                <w:bCs/>
                <w:sz w:val="24"/>
                <w:szCs w:val="24"/>
              </w:rPr>
              <w:t>.</w:t>
            </w:r>
          </w:p>
        </w:tc>
      </w:tr>
    </w:tbl>
    <w:p w14:paraId="46CADF78" w14:textId="77777777" w:rsidR="00270C24" w:rsidRDefault="00270C24" w:rsidP="00110054">
      <w:pPr>
        <w:jc w:val="both"/>
        <w:rPr>
          <w:rFonts w:ascii="Arial" w:hAnsi="Arial" w:cs="Arial"/>
          <w:sz w:val="24"/>
          <w:szCs w:val="24"/>
        </w:rPr>
      </w:pPr>
    </w:p>
    <w:p w14:paraId="63C04DB5" w14:textId="5515F7A9" w:rsidR="00110054" w:rsidRPr="00110054" w:rsidRDefault="00110054" w:rsidP="00110054">
      <w:pPr>
        <w:jc w:val="both"/>
        <w:rPr>
          <w:rFonts w:ascii="Arial" w:hAnsi="Arial" w:cs="Arial"/>
          <w:sz w:val="24"/>
          <w:szCs w:val="24"/>
        </w:rPr>
      </w:pPr>
      <w:r w:rsidRPr="00110054">
        <w:rPr>
          <w:rFonts w:ascii="Arial" w:hAnsi="Arial" w:cs="Arial"/>
          <w:sz w:val="24"/>
          <w:szCs w:val="24"/>
        </w:rPr>
        <w:t>Overall, STF can still be applied to stabilise working capital volatility in the short-term, but it is quite unsafe to overuse STF in the present case of GE financial distress; The company needs to take a gradual shift to long-term financing to stabilise the cash flows, lessen the refinancing pressure and help the company in its strategic turnaround. This combination of funding is in line with the corporate finance best practise, which focuses on risk management and maturity equivalence in the times of financial recovery (</w:t>
      </w:r>
      <w:proofErr w:type="spellStart"/>
      <w:r w:rsidRPr="00110054">
        <w:rPr>
          <w:rFonts w:ascii="Arial" w:hAnsi="Arial" w:cs="Arial"/>
          <w:sz w:val="24"/>
          <w:szCs w:val="24"/>
        </w:rPr>
        <w:t>Atrill</w:t>
      </w:r>
      <w:proofErr w:type="spellEnd"/>
      <w:r w:rsidRPr="00110054">
        <w:rPr>
          <w:rFonts w:ascii="Arial" w:hAnsi="Arial" w:cs="Arial"/>
          <w:sz w:val="24"/>
          <w:szCs w:val="24"/>
        </w:rPr>
        <w:t xml:space="preserve"> and McLaney, 2023).</w:t>
      </w:r>
    </w:p>
    <w:p w14:paraId="4A0B9601" w14:textId="47ECD551" w:rsidR="00CD4561" w:rsidRPr="006C081F" w:rsidRDefault="00CD4561" w:rsidP="00253EAC">
      <w:pPr>
        <w:pStyle w:val="Heading1"/>
      </w:pPr>
      <w:bookmarkStart w:id="10" w:name="_Toc216794674"/>
      <w:r w:rsidRPr="006C081F">
        <w:lastRenderedPageBreak/>
        <w:t>3</w:t>
      </w:r>
      <w:r w:rsidR="00253EAC" w:rsidRPr="006C081F">
        <w:t>.</w:t>
      </w:r>
      <w:r w:rsidRPr="006C081F">
        <w:t xml:space="preserve"> </w:t>
      </w:r>
      <w:r w:rsidR="00814796" w:rsidRPr="006C081F">
        <w:t>Strategic Financial Restructuring Plan</w:t>
      </w:r>
      <w:bookmarkEnd w:id="10"/>
    </w:p>
    <w:p w14:paraId="39867AAE" w14:textId="580473C1" w:rsidR="00CD4561" w:rsidRPr="006C081F" w:rsidRDefault="00E93AE1" w:rsidP="004E2CCB">
      <w:pPr>
        <w:pStyle w:val="Heading2"/>
      </w:pPr>
      <w:bookmarkStart w:id="11" w:name="_Toc216794675"/>
      <w:r w:rsidRPr="006C081F">
        <w:t>3.1 Recommended Financial Restructuring Options</w:t>
      </w:r>
      <w:r w:rsidR="00CD4561" w:rsidRPr="006C081F">
        <w:t>:</w:t>
      </w:r>
      <w:bookmarkEnd w:id="11"/>
    </w:p>
    <w:p w14:paraId="4FFBDD98" w14:textId="0F1EA804" w:rsidR="00B10EA1" w:rsidRDefault="00DB218E" w:rsidP="00B10EA1">
      <w:pPr>
        <w:spacing w:before="240" w:line="360" w:lineRule="auto"/>
        <w:jc w:val="both"/>
        <w:rPr>
          <w:rFonts w:ascii="Arial" w:hAnsi="Arial" w:cs="Arial"/>
          <w:bCs/>
          <w:sz w:val="24"/>
          <w:szCs w:val="24"/>
        </w:rPr>
      </w:pPr>
      <w:r w:rsidRPr="00DB218E">
        <w:rPr>
          <w:rFonts w:ascii="Arial" w:hAnsi="Arial" w:cs="Arial"/>
          <w:bCs/>
          <w:sz w:val="24"/>
          <w:szCs w:val="24"/>
        </w:rPr>
        <w:t>Considering the continued operating losses of General Electronics, the deteriorating equity base and the increased risk of default, a total financial restructuring is necessary to reestablish solvency, enhance liquidity, and reestablish the confidence of the stakeholders. Financial restructuring is meant to re-align the capital structure of the firm, minimise financial risk and promote long term value creation (Brealey, Myers and Allen, 2022)</w:t>
      </w:r>
      <w:r w:rsidR="00B10EA1" w:rsidRPr="006C081F">
        <w:rPr>
          <w:rFonts w:ascii="Arial" w:hAnsi="Arial" w:cs="Arial"/>
          <w:bCs/>
          <w:sz w:val="24"/>
          <w:szCs w:val="24"/>
        </w:rPr>
        <w:t>.</w:t>
      </w:r>
    </w:p>
    <w:p w14:paraId="182BE230" w14:textId="74F5B49E" w:rsidR="0009687E" w:rsidRPr="006C081F" w:rsidRDefault="0009687E" w:rsidP="00B10EA1">
      <w:pPr>
        <w:spacing w:before="240" w:line="360" w:lineRule="auto"/>
        <w:jc w:val="both"/>
        <w:rPr>
          <w:rFonts w:ascii="Arial" w:hAnsi="Arial" w:cs="Arial"/>
          <w:bCs/>
          <w:sz w:val="24"/>
          <w:szCs w:val="24"/>
        </w:rPr>
      </w:pPr>
      <w:r w:rsidRPr="0009687E">
        <w:rPr>
          <w:rFonts w:ascii="Arial" w:hAnsi="Arial" w:cs="Arial"/>
          <w:bCs/>
          <w:sz w:val="24"/>
          <w:szCs w:val="24"/>
        </w:rPr>
        <w:t>The following restructuring options are recommended:</w:t>
      </w:r>
    </w:p>
    <w:p w14:paraId="0C70F8D2" w14:textId="6CE21B63" w:rsidR="00B10EA1" w:rsidRPr="006C081F" w:rsidRDefault="00202662" w:rsidP="00202662">
      <w:pPr>
        <w:rPr>
          <w:rFonts w:ascii="Arial" w:hAnsi="Arial" w:cs="Arial"/>
          <w:b/>
          <w:bCs/>
          <w:sz w:val="24"/>
          <w:szCs w:val="24"/>
        </w:rPr>
      </w:pPr>
      <w:r w:rsidRPr="006C081F">
        <w:rPr>
          <w:rFonts w:ascii="Arial" w:hAnsi="Arial" w:cs="Arial"/>
          <w:b/>
          <w:bCs/>
          <w:sz w:val="24"/>
          <w:szCs w:val="24"/>
        </w:rPr>
        <w:t xml:space="preserve">A. </w:t>
      </w:r>
      <w:r w:rsidR="00DA2AC0" w:rsidRPr="00DA2AC0">
        <w:rPr>
          <w:rFonts w:ascii="Arial" w:hAnsi="Arial" w:cs="Arial"/>
          <w:b/>
          <w:bCs/>
          <w:sz w:val="24"/>
          <w:szCs w:val="24"/>
        </w:rPr>
        <w:t>Debt Restructuring</w:t>
      </w:r>
    </w:p>
    <w:p w14:paraId="5228D3E1" w14:textId="14A3EA79" w:rsidR="00DA2AC0" w:rsidRPr="00DA2AC0" w:rsidRDefault="00DA2AC0" w:rsidP="00DA2AC0">
      <w:pPr>
        <w:pStyle w:val="ListParagraph"/>
        <w:numPr>
          <w:ilvl w:val="0"/>
          <w:numId w:val="24"/>
        </w:numPr>
        <w:spacing w:before="240" w:line="360" w:lineRule="auto"/>
        <w:jc w:val="both"/>
        <w:rPr>
          <w:rFonts w:ascii="Arial" w:hAnsi="Arial" w:cs="Arial"/>
          <w:bCs/>
          <w:sz w:val="24"/>
          <w:szCs w:val="24"/>
        </w:rPr>
      </w:pPr>
      <w:r w:rsidRPr="00DA2AC0">
        <w:rPr>
          <w:rFonts w:ascii="Arial" w:hAnsi="Arial" w:cs="Arial"/>
          <w:bCs/>
          <w:sz w:val="24"/>
          <w:szCs w:val="24"/>
        </w:rPr>
        <w:t>Refinance prevailing debt conditions through the renewal of maturities and reduction of interest rates.</w:t>
      </w:r>
    </w:p>
    <w:p w14:paraId="77E3F1E0" w14:textId="4198E9FC" w:rsidR="00DA2AC0" w:rsidRPr="00DA2AC0" w:rsidRDefault="00DA2AC0" w:rsidP="00DA2AC0">
      <w:pPr>
        <w:pStyle w:val="ListParagraph"/>
        <w:numPr>
          <w:ilvl w:val="0"/>
          <w:numId w:val="24"/>
        </w:numPr>
        <w:spacing w:before="240" w:line="360" w:lineRule="auto"/>
        <w:jc w:val="both"/>
        <w:rPr>
          <w:rFonts w:ascii="Arial" w:hAnsi="Arial" w:cs="Arial"/>
          <w:bCs/>
          <w:sz w:val="24"/>
          <w:szCs w:val="24"/>
        </w:rPr>
      </w:pPr>
      <w:r w:rsidRPr="00DA2AC0">
        <w:rPr>
          <w:rFonts w:ascii="Arial" w:hAnsi="Arial" w:cs="Arial"/>
          <w:bCs/>
          <w:sz w:val="24"/>
          <w:szCs w:val="24"/>
        </w:rPr>
        <w:t>Turn some of the short-term debt into long-term instruments in order to decrease the refinancing risk.</w:t>
      </w:r>
    </w:p>
    <w:p w14:paraId="29D14735" w14:textId="7EC30660" w:rsidR="00CF44BF" w:rsidRPr="006C081F" w:rsidRDefault="00DA2AC0" w:rsidP="00DA2AC0">
      <w:pPr>
        <w:pStyle w:val="ListParagraph"/>
        <w:numPr>
          <w:ilvl w:val="0"/>
          <w:numId w:val="24"/>
        </w:numPr>
        <w:spacing w:before="240" w:line="360" w:lineRule="auto"/>
        <w:jc w:val="both"/>
        <w:rPr>
          <w:rFonts w:ascii="Arial" w:hAnsi="Arial" w:cs="Arial"/>
          <w:bCs/>
          <w:sz w:val="24"/>
          <w:szCs w:val="24"/>
        </w:rPr>
      </w:pPr>
      <w:r w:rsidRPr="00DA2AC0">
        <w:rPr>
          <w:rFonts w:ascii="Arial" w:hAnsi="Arial" w:cs="Arial"/>
          <w:bCs/>
          <w:sz w:val="24"/>
          <w:szCs w:val="24"/>
        </w:rPr>
        <w:t>This will enhance coverage in the interest and ease the liquidity strain in the short term, which is essential considering the negative operating income of GE in recent times (Ross, Westerfield and Jordan, 2022).</w:t>
      </w:r>
    </w:p>
    <w:p w14:paraId="01D529A4" w14:textId="1F956268" w:rsidR="00B10EA1" w:rsidRPr="006C081F" w:rsidRDefault="00B10EA1" w:rsidP="00B10EA1">
      <w:pPr>
        <w:spacing w:before="240" w:line="360" w:lineRule="auto"/>
        <w:jc w:val="both"/>
        <w:rPr>
          <w:rFonts w:ascii="Arial" w:hAnsi="Arial" w:cs="Arial"/>
          <w:b/>
          <w:sz w:val="24"/>
          <w:szCs w:val="24"/>
        </w:rPr>
      </w:pPr>
      <w:r w:rsidRPr="006C081F">
        <w:rPr>
          <w:rFonts w:ascii="Arial" w:hAnsi="Arial" w:cs="Arial"/>
          <w:b/>
          <w:sz w:val="24"/>
          <w:szCs w:val="24"/>
        </w:rPr>
        <w:t xml:space="preserve">B. </w:t>
      </w:r>
      <w:r w:rsidR="002D3FCD" w:rsidRPr="002D3FCD">
        <w:rPr>
          <w:rFonts w:ascii="Arial" w:hAnsi="Arial" w:cs="Arial"/>
          <w:b/>
          <w:sz w:val="24"/>
          <w:szCs w:val="24"/>
        </w:rPr>
        <w:t>Equity Injection</w:t>
      </w:r>
    </w:p>
    <w:p w14:paraId="19B01EAA" w14:textId="552ADCD5" w:rsidR="002D3FCD" w:rsidRPr="002D3FCD" w:rsidRDefault="002D3FCD" w:rsidP="002D3FCD">
      <w:pPr>
        <w:pStyle w:val="ListParagraph"/>
        <w:numPr>
          <w:ilvl w:val="0"/>
          <w:numId w:val="25"/>
        </w:numPr>
        <w:spacing w:before="240" w:line="360" w:lineRule="auto"/>
        <w:jc w:val="both"/>
        <w:rPr>
          <w:rFonts w:ascii="Arial" w:hAnsi="Arial" w:cs="Arial"/>
          <w:bCs/>
          <w:sz w:val="24"/>
          <w:szCs w:val="24"/>
        </w:rPr>
      </w:pPr>
      <w:r w:rsidRPr="002D3FCD">
        <w:rPr>
          <w:rFonts w:ascii="Arial" w:hAnsi="Arial" w:cs="Arial"/>
          <w:bCs/>
          <w:sz w:val="24"/>
          <w:szCs w:val="24"/>
        </w:rPr>
        <w:t>Increase capital by a rights issue or participation by a strategic investor.</w:t>
      </w:r>
    </w:p>
    <w:p w14:paraId="3A96225A" w14:textId="76B42E94" w:rsidR="002D3FCD" w:rsidRPr="002D3FCD" w:rsidRDefault="002D3FCD" w:rsidP="002D3FCD">
      <w:pPr>
        <w:pStyle w:val="ListParagraph"/>
        <w:numPr>
          <w:ilvl w:val="0"/>
          <w:numId w:val="25"/>
        </w:numPr>
        <w:spacing w:before="240" w:line="360" w:lineRule="auto"/>
        <w:jc w:val="both"/>
        <w:rPr>
          <w:rFonts w:ascii="Arial" w:hAnsi="Arial" w:cs="Arial"/>
          <w:bCs/>
          <w:sz w:val="24"/>
          <w:szCs w:val="24"/>
        </w:rPr>
      </w:pPr>
      <w:r w:rsidRPr="002D3FCD">
        <w:rPr>
          <w:rFonts w:ascii="Arial" w:hAnsi="Arial" w:cs="Arial"/>
          <w:bCs/>
          <w:sz w:val="24"/>
          <w:szCs w:val="24"/>
        </w:rPr>
        <w:t>Despite its possible dilutive nature, equity injection gives the balance sheet strength, better debt-equity ratios, and increase of creditor confidence.</w:t>
      </w:r>
    </w:p>
    <w:p w14:paraId="1C056101" w14:textId="73E17A44" w:rsidR="00A51675" w:rsidRPr="006C081F" w:rsidRDefault="002D3FCD" w:rsidP="002D3FCD">
      <w:pPr>
        <w:pStyle w:val="ListParagraph"/>
        <w:numPr>
          <w:ilvl w:val="0"/>
          <w:numId w:val="25"/>
        </w:numPr>
        <w:spacing w:before="240" w:line="360" w:lineRule="auto"/>
        <w:jc w:val="both"/>
        <w:rPr>
          <w:rFonts w:ascii="Arial" w:hAnsi="Arial" w:cs="Arial"/>
          <w:bCs/>
          <w:sz w:val="24"/>
          <w:szCs w:val="24"/>
        </w:rPr>
      </w:pPr>
      <w:r w:rsidRPr="002D3FCD">
        <w:rPr>
          <w:rFonts w:ascii="Arial" w:hAnsi="Arial" w:cs="Arial"/>
          <w:bCs/>
          <w:sz w:val="24"/>
          <w:szCs w:val="24"/>
        </w:rPr>
        <w:t>This alternative is especially applicable because of the considerable loss of retained earnings, which has been witnessed in 2023-2024 (Palepu and Healy, 2022)</w:t>
      </w:r>
      <w:r w:rsidR="00750EE4" w:rsidRPr="006C081F">
        <w:rPr>
          <w:rFonts w:ascii="Arial" w:hAnsi="Arial" w:cs="Arial"/>
          <w:bCs/>
          <w:sz w:val="24"/>
          <w:szCs w:val="24"/>
        </w:rPr>
        <w:t>.</w:t>
      </w:r>
    </w:p>
    <w:p w14:paraId="79B0EE53" w14:textId="48BFBEA2" w:rsidR="00B10EA1" w:rsidRPr="006C081F" w:rsidRDefault="00B10EA1" w:rsidP="00B10EA1">
      <w:pPr>
        <w:spacing w:before="240" w:line="360" w:lineRule="auto"/>
        <w:jc w:val="both"/>
        <w:rPr>
          <w:rFonts w:ascii="Arial" w:hAnsi="Arial" w:cs="Arial"/>
          <w:b/>
          <w:sz w:val="24"/>
          <w:szCs w:val="24"/>
        </w:rPr>
      </w:pPr>
      <w:r w:rsidRPr="006C081F">
        <w:rPr>
          <w:rFonts w:ascii="Arial" w:hAnsi="Arial" w:cs="Arial"/>
          <w:b/>
          <w:sz w:val="24"/>
          <w:szCs w:val="24"/>
        </w:rPr>
        <w:t xml:space="preserve">C. </w:t>
      </w:r>
      <w:r w:rsidR="00865C76" w:rsidRPr="00865C76">
        <w:rPr>
          <w:rFonts w:ascii="Arial" w:hAnsi="Arial" w:cs="Arial"/>
          <w:b/>
          <w:sz w:val="24"/>
          <w:szCs w:val="24"/>
        </w:rPr>
        <w:t>Asset Divestiture</w:t>
      </w:r>
    </w:p>
    <w:p w14:paraId="1C7312E0" w14:textId="214283F1" w:rsidR="00865C76" w:rsidRPr="00865C76" w:rsidRDefault="00865C76" w:rsidP="00865C76">
      <w:pPr>
        <w:pStyle w:val="ListParagraph"/>
        <w:numPr>
          <w:ilvl w:val="0"/>
          <w:numId w:val="26"/>
        </w:numPr>
        <w:spacing w:before="240" w:line="360" w:lineRule="auto"/>
        <w:jc w:val="both"/>
        <w:rPr>
          <w:rFonts w:ascii="Arial" w:hAnsi="Arial" w:cs="Arial"/>
          <w:bCs/>
          <w:sz w:val="24"/>
          <w:szCs w:val="24"/>
        </w:rPr>
      </w:pPr>
      <w:r w:rsidRPr="00865C76">
        <w:rPr>
          <w:rFonts w:ascii="Arial" w:hAnsi="Arial" w:cs="Arial"/>
          <w:bCs/>
          <w:sz w:val="24"/>
          <w:szCs w:val="24"/>
        </w:rPr>
        <w:t>Sell of non-core or under-performing assets such as redundant property, plant and equipment or non-strategic business units.</w:t>
      </w:r>
    </w:p>
    <w:p w14:paraId="11023B05" w14:textId="3CA4EF3B" w:rsidR="00865C76" w:rsidRPr="00865C76" w:rsidRDefault="00865C76" w:rsidP="00865C76">
      <w:pPr>
        <w:pStyle w:val="ListParagraph"/>
        <w:numPr>
          <w:ilvl w:val="0"/>
          <w:numId w:val="26"/>
        </w:numPr>
        <w:spacing w:before="240" w:line="360" w:lineRule="auto"/>
        <w:jc w:val="both"/>
        <w:rPr>
          <w:rFonts w:ascii="Arial" w:hAnsi="Arial" w:cs="Arial"/>
          <w:bCs/>
          <w:sz w:val="24"/>
          <w:szCs w:val="24"/>
        </w:rPr>
      </w:pPr>
      <w:r w:rsidRPr="00865C76">
        <w:rPr>
          <w:rFonts w:ascii="Arial" w:hAnsi="Arial" w:cs="Arial"/>
          <w:bCs/>
          <w:sz w:val="24"/>
          <w:szCs w:val="24"/>
        </w:rPr>
        <w:t>The debt can be reduced or core operations are supported by proceeds.</w:t>
      </w:r>
    </w:p>
    <w:p w14:paraId="41456622" w14:textId="4B41EEFD" w:rsidR="00A606C0" w:rsidRDefault="00865C76" w:rsidP="00865C76">
      <w:pPr>
        <w:pStyle w:val="ListParagraph"/>
        <w:numPr>
          <w:ilvl w:val="0"/>
          <w:numId w:val="26"/>
        </w:numPr>
        <w:spacing w:before="240" w:line="360" w:lineRule="auto"/>
        <w:jc w:val="both"/>
        <w:rPr>
          <w:rFonts w:ascii="Arial" w:hAnsi="Arial" w:cs="Arial"/>
          <w:bCs/>
          <w:sz w:val="24"/>
          <w:szCs w:val="24"/>
        </w:rPr>
      </w:pPr>
      <w:r w:rsidRPr="00865C76">
        <w:rPr>
          <w:rFonts w:ascii="Arial" w:hAnsi="Arial" w:cs="Arial"/>
          <w:bCs/>
          <w:sz w:val="24"/>
          <w:szCs w:val="24"/>
        </w:rPr>
        <w:lastRenderedPageBreak/>
        <w:t>Divestment enhances efficiency of the assets and directs the attention of the management to profitable units.</w:t>
      </w:r>
    </w:p>
    <w:p w14:paraId="0C11CE31" w14:textId="0E11C562" w:rsidR="00865C76" w:rsidRPr="00617651" w:rsidRDefault="00865C76" w:rsidP="00865C76">
      <w:pPr>
        <w:spacing w:before="240" w:line="360" w:lineRule="auto"/>
        <w:jc w:val="both"/>
        <w:rPr>
          <w:rFonts w:ascii="Arial" w:hAnsi="Arial" w:cs="Arial"/>
          <w:b/>
          <w:sz w:val="24"/>
          <w:szCs w:val="24"/>
        </w:rPr>
      </w:pPr>
      <w:r w:rsidRPr="00617651">
        <w:rPr>
          <w:rFonts w:ascii="Arial" w:hAnsi="Arial" w:cs="Arial"/>
          <w:b/>
          <w:sz w:val="24"/>
          <w:szCs w:val="24"/>
        </w:rPr>
        <w:t xml:space="preserve">D. </w:t>
      </w:r>
      <w:r w:rsidR="000356F4" w:rsidRPr="00617651">
        <w:rPr>
          <w:rFonts w:ascii="Arial" w:hAnsi="Arial" w:cs="Arial"/>
          <w:b/>
          <w:sz w:val="24"/>
          <w:szCs w:val="24"/>
        </w:rPr>
        <w:t>Cost and Operational Restructuring</w:t>
      </w:r>
    </w:p>
    <w:p w14:paraId="2DE93052" w14:textId="6D428D0A" w:rsidR="00617651" w:rsidRPr="00617651" w:rsidRDefault="00617651" w:rsidP="00617651">
      <w:pPr>
        <w:pStyle w:val="ListParagraph"/>
        <w:numPr>
          <w:ilvl w:val="0"/>
          <w:numId w:val="35"/>
        </w:numPr>
        <w:spacing w:before="240" w:line="360" w:lineRule="auto"/>
        <w:jc w:val="both"/>
        <w:rPr>
          <w:rFonts w:ascii="Arial" w:hAnsi="Arial" w:cs="Arial"/>
          <w:bCs/>
          <w:sz w:val="24"/>
          <w:szCs w:val="24"/>
        </w:rPr>
      </w:pPr>
      <w:r w:rsidRPr="00617651">
        <w:rPr>
          <w:rFonts w:ascii="Arial" w:hAnsi="Arial" w:cs="Arial"/>
          <w:bCs/>
          <w:sz w:val="24"/>
          <w:szCs w:val="24"/>
        </w:rPr>
        <w:t>Use vigorous cost rationalisation such as reduction of overheads and streamlining of operations.</w:t>
      </w:r>
    </w:p>
    <w:p w14:paraId="31BD67A5" w14:textId="6FACFCCC" w:rsidR="00617651" w:rsidRPr="00617651" w:rsidRDefault="00617651" w:rsidP="00617651">
      <w:pPr>
        <w:pStyle w:val="ListParagraph"/>
        <w:numPr>
          <w:ilvl w:val="0"/>
          <w:numId w:val="35"/>
        </w:numPr>
        <w:spacing w:before="240" w:line="360" w:lineRule="auto"/>
        <w:jc w:val="both"/>
        <w:rPr>
          <w:rFonts w:ascii="Arial" w:hAnsi="Arial" w:cs="Arial"/>
          <w:bCs/>
          <w:sz w:val="24"/>
          <w:szCs w:val="24"/>
        </w:rPr>
      </w:pPr>
      <w:r w:rsidRPr="00617651">
        <w:rPr>
          <w:rFonts w:ascii="Arial" w:hAnsi="Arial" w:cs="Arial"/>
          <w:bCs/>
          <w:sz w:val="24"/>
          <w:szCs w:val="24"/>
        </w:rPr>
        <w:t>Correlate operating cost with falling revenue levels.</w:t>
      </w:r>
    </w:p>
    <w:p w14:paraId="48A49EEF" w14:textId="4A3DFF88" w:rsidR="000356F4" w:rsidRPr="00617651" w:rsidRDefault="00617651" w:rsidP="00617651">
      <w:pPr>
        <w:pStyle w:val="ListParagraph"/>
        <w:numPr>
          <w:ilvl w:val="0"/>
          <w:numId w:val="35"/>
        </w:numPr>
        <w:spacing w:before="240" w:line="360" w:lineRule="auto"/>
        <w:jc w:val="both"/>
        <w:rPr>
          <w:rFonts w:ascii="Arial" w:hAnsi="Arial" w:cs="Arial"/>
          <w:bCs/>
          <w:sz w:val="24"/>
          <w:szCs w:val="24"/>
        </w:rPr>
      </w:pPr>
      <w:r w:rsidRPr="00617651">
        <w:rPr>
          <w:rFonts w:ascii="Arial" w:hAnsi="Arial" w:cs="Arial"/>
          <w:bCs/>
          <w:sz w:val="24"/>
          <w:szCs w:val="24"/>
        </w:rPr>
        <w:t>This helps recover the margin and minimise the risk of impairment in future.</w:t>
      </w:r>
    </w:p>
    <w:p w14:paraId="587EDEAE" w14:textId="52BC672E" w:rsidR="000356F4" w:rsidRPr="00332B9A" w:rsidRDefault="000356F4" w:rsidP="00865C76">
      <w:pPr>
        <w:spacing w:before="240" w:line="360" w:lineRule="auto"/>
        <w:jc w:val="both"/>
        <w:rPr>
          <w:rFonts w:ascii="Arial" w:hAnsi="Arial" w:cs="Arial"/>
          <w:b/>
          <w:sz w:val="24"/>
          <w:szCs w:val="24"/>
        </w:rPr>
      </w:pPr>
      <w:r w:rsidRPr="00332B9A">
        <w:rPr>
          <w:rFonts w:ascii="Arial" w:hAnsi="Arial" w:cs="Arial"/>
          <w:b/>
          <w:sz w:val="24"/>
          <w:szCs w:val="24"/>
        </w:rPr>
        <w:t>E. Strategic Partnership or Merger</w:t>
      </w:r>
    </w:p>
    <w:p w14:paraId="460B4BC9" w14:textId="1594A7DC" w:rsidR="00332B9A" w:rsidRPr="00332B9A" w:rsidRDefault="00332B9A" w:rsidP="00332B9A">
      <w:pPr>
        <w:pStyle w:val="ListParagraph"/>
        <w:numPr>
          <w:ilvl w:val="0"/>
          <w:numId w:val="36"/>
        </w:numPr>
        <w:spacing w:before="240" w:line="360" w:lineRule="auto"/>
        <w:jc w:val="both"/>
        <w:rPr>
          <w:rFonts w:ascii="Arial" w:hAnsi="Arial" w:cs="Arial"/>
          <w:bCs/>
          <w:sz w:val="24"/>
          <w:szCs w:val="24"/>
        </w:rPr>
      </w:pPr>
      <w:r w:rsidRPr="00332B9A">
        <w:rPr>
          <w:rFonts w:ascii="Arial" w:hAnsi="Arial" w:cs="Arial"/>
          <w:bCs/>
          <w:sz w:val="24"/>
          <w:szCs w:val="24"/>
        </w:rPr>
        <w:t>Consider collaborations or mergers in order to enjoy economies of scale, new markets, and exchange technological capabilities.</w:t>
      </w:r>
    </w:p>
    <w:p w14:paraId="27E47940" w14:textId="3A672880" w:rsidR="008A0FA9" w:rsidRPr="00332B9A" w:rsidRDefault="00332B9A" w:rsidP="00332B9A">
      <w:pPr>
        <w:pStyle w:val="ListParagraph"/>
        <w:numPr>
          <w:ilvl w:val="0"/>
          <w:numId w:val="36"/>
        </w:numPr>
        <w:spacing w:before="240" w:line="360" w:lineRule="auto"/>
        <w:jc w:val="both"/>
        <w:rPr>
          <w:rFonts w:ascii="Arial" w:hAnsi="Arial" w:cs="Arial"/>
          <w:bCs/>
          <w:sz w:val="24"/>
          <w:szCs w:val="24"/>
        </w:rPr>
      </w:pPr>
      <w:r w:rsidRPr="00332B9A">
        <w:rPr>
          <w:rFonts w:ascii="Arial" w:hAnsi="Arial" w:cs="Arial"/>
          <w:bCs/>
          <w:sz w:val="24"/>
          <w:szCs w:val="24"/>
        </w:rPr>
        <w:t>The latter can increase the competitiveness in the long-term, as well as diversifying financial risk.</w:t>
      </w:r>
    </w:p>
    <w:p w14:paraId="3A3AC7AD" w14:textId="103314E8" w:rsidR="00865C76" w:rsidRDefault="00ED5237" w:rsidP="00865C76">
      <w:pPr>
        <w:spacing w:before="240" w:line="360" w:lineRule="auto"/>
        <w:jc w:val="both"/>
        <w:rPr>
          <w:rFonts w:ascii="Arial" w:hAnsi="Arial" w:cs="Arial"/>
          <w:bCs/>
          <w:sz w:val="24"/>
          <w:szCs w:val="24"/>
        </w:rPr>
      </w:pPr>
      <w:r>
        <w:rPr>
          <w:rFonts w:ascii="Arial" w:hAnsi="Arial" w:cs="Arial"/>
          <w:bCs/>
          <w:sz w:val="24"/>
          <w:szCs w:val="24"/>
        </w:rPr>
        <w:t xml:space="preserve">Overall, </w:t>
      </w:r>
      <w:proofErr w:type="gramStart"/>
      <w:r w:rsidR="008A0FA9" w:rsidRPr="008A0FA9">
        <w:rPr>
          <w:rFonts w:ascii="Arial" w:hAnsi="Arial" w:cs="Arial"/>
          <w:bCs/>
          <w:sz w:val="24"/>
          <w:szCs w:val="24"/>
        </w:rPr>
        <w:t>This</w:t>
      </w:r>
      <w:proofErr w:type="gramEnd"/>
      <w:r w:rsidR="008A0FA9" w:rsidRPr="008A0FA9">
        <w:rPr>
          <w:rFonts w:ascii="Arial" w:hAnsi="Arial" w:cs="Arial"/>
          <w:bCs/>
          <w:sz w:val="24"/>
          <w:szCs w:val="24"/>
        </w:rPr>
        <w:t xml:space="preserve"> would offset the increase in liquidity and provide long-term financial stability and meet the best-practise turnaround strategies of financially challenged companies (Altman and Hotchkiss, 2020).</w:t>
      </w:r>
    </w:p>
    <w:p w14:paraId="4061AE0B" w14:textId="299380E3" w:rsidR="00B10EA1" w:rsidRPr="006C081F" w:rsidRDefault="001E6BD1" w:rsidP="004E2CCB">
      <w:pPr>
        <w:pStyle w:val="Heading2"/>
      </w:pPr>
      <w:bookmarkStart w:id="12" w:name="_Toc216794676"/>
      <w:r w:rsidRPr="006C081F">
        <w:t>3.</w:t>
      </w:r>
      <w:r w:rsidR="004E2CCB" w:rsidRPr="006C081F">
        <w:t>2</w:t>
      </w:r>
      <w:r w:rsidR="00B10EA1" w:rsidRPr="006C081F">
        <w:t xml:space="preserve"> Impact on Stakeholder Evaluation</w:t>
      </w:r>
      <w:bookmarkEnd w:id="12"/>
    </w:p>
    <w:p w14:paraId="718E39CC" w14:textId="02A264D0" w:rsidR="006F4083" w:rsidRPr="006F4083" w:rsidRDefault="006F4083" w:rsidP="006F4083">
      <w:pPr>
        <w:spacing w:before="240" w:line="360" w:lineRule="auto"/>
        <w:jc w:val="both"/>
        <w:rPr>
          <w:rFonts w:ascii="Arial" w:hAnsi="Arial" w:cs="Arial"/>
          <w:bCs/>
          <w:sz w:val="24"/>
          <w:szCs w:val="24"/>
        </w:rPr>
      </w:pPr>
      <w:r w:rsidRPr="006F4083">
        <w:rPr>
          <w:rFonts w:ascii="Arial" w:hAnsi="Arial" w:cs="Arial"/>
          <w:bCs/>
          <w:sz w:val="24"/>
          <w:szCs w:val="24"/>
        </w:rPr>
        <w:t>The choice of financial restructuring by itself plays a significant role in the perception of the most important stakeholders about the risk, the value of a firm and its long-term survival. In the case of General Electronics, divestiture, debt swaps, equity injections, and operational flexibility restructuring have different impacts on shareholders, creditors, employees and strategic partners. Such a balanced approach to restructuring is thus essential to ensure the confidence of the stakeholders without losing the financial stability (Brealey, Myers and Allen, 2022).</w:t>
      </w:r>
    </w:p>
    <w:p w14:paraId="7E5EBB87" w14:textId="6FEBC699" w:rsidR="00B10EA1" w:rsidRPr="006C081F" w:rsidRDefault="006F4083" w:rsidP="006F4083">
      <w:pPr>
        <w:spacing w:before="240" w:line="360" w:lineRule="auto"/>
        <w:jc w:val="both"/>
        <w:rPr>
          <w:rFonts w:ascii="Arial" w:hAnsi="Arial" w:cs="Arial"/>
          <w:bCs/>
          <w:sz w:val="24"/>
          <w:szCs w:val="24"/>
        </w:rPr>
      </w:pPr>
      <w:r w:rsidRPr="006F4083">
        <w:rPr>
          <w:rFonts w:ascii="Arial" w:hAnsi="Arial" w:cs="Arial"/>
          <w:bCs/>
          <w:sz w:val="24"/>
          <w:szCs w:val="24"/>
        </w:rPr>
        <w:t>The capital base is enhanced through the injections of equity, but the ownership is likely to be diluted, which influences the perception of the shareholders. Meanwhile, the enhanced flexibility of the operations promotes the long-term competitiveness and safety of the employees, as well as stabilises the core operations (Palepu and Healy, 2022).</w:t>
      </w:r>
    </w:p>
    <w:tbl>
      <w:tblPr>
        <w:tblStyle w:val="TableGrid"/>
        <w:tblW w:w="0" w:type="auto"/>
        <w:tblLook w:val="04A0" w:firstRow="1" w:lastRow="0" w:firstColumn="1" w:lastColumn="0" w:noHBand="0" w:noVBand="1"/>
      </w:tblPr>
      <w:tblGrid>
        <w:gridCol w:w="1617"/>
        <w:gridCol w:w="2613"/>
        <w:gridCol w:w="2428"/>
        <w:gridCol w:w="2358"/>
      </w:tblGrid>
      <w:tr w:rsidR="00214673" w:rsidRPr="006C081F" w14:paraId="0F80938C" w14:textId="77777777" w:rsidTr="003769AA">
        <w:tc>
          <w:tcPr>
            <w:tcW w:w="1617" w:type="dxa"/>
            <w:hideMark/>
          </w:tcPr>
          <w:p w14:paraId="733785FB" w14:textId="77777777" w:rsidR="001E6BD1" w:rsidRPr="006C081F" w:rsidRDefault="001E6BD1" w:rsidP="001E6BD1">
            <w:pPr>
              <w:spacing w:before="240" w:line="360" w:lineRule="auto"/>
              <w:jc w:val="both"/>
              <w:rPr>
                <w:rFonts w:ascii="Arial" w:hAnsi="Arial" w:cs="Arial"/>
                <w:bCs/>
                <w:sz w:val="24"/>
                <w:szCs w:val="24"/>
              </w:rPr>
            </w:pPr>
            <w:r w:rsidRPr="006C081F">
              <w:rPr>
                <w:rFonts w:ascii="Arial" w:hAnsi="Arial" w:cs="Arial"/>
                <w:b/>
                <w:bCs/>
                <w:sz w:val="24"/>
                <w:szCs w:val="24"/>
              </w:rPr>
              <w:lastRenderedPageBreak/>
              <w:t>Impact Area</w:t>
            </w:r>
          </w:p>
        </w:tc>
        <w:tc>
          <w:tcPr>
            <w:tcW w:w="2613" w:type="dxa"/>
            <w:hideMark/>
          </w:tcPr>
          <w:p w14:paraId="341BDBF4" w14:textId="77777777" w:rsidR="001E6BD1" w:rsidRPr="006C081F" w:rsidRDefault="001E6BD1" w:rsidP="001E6BD1">
            <w:pPr>
              <w:spacing w:before="240" w:line="360" w:lineRule="auto"/>
              <w:jc w:val="both"/>
              <w:rPr>
                <w:rFonts w:ascii="Arial" w:hAnsi="Arial" w:cs="Arial"/>
                <w:bCs/>
                <w:sz w:val="24"/>
                <w:szCs w:val="24"/>
              </w:rPr>
            </w:pPr>
            <w:r w:rsidRPr="006C081F">
              <w:rPr>
                <w:rFonts w:ascii="Arial" w:hAnsi="Arial" w:cs="Arial"/>
                <w:b/>
                <w:bCs/>
                <w:sz w:val="24"/>
                <w:szCs w:val="24"/>
              </w:rPr>
              <w:t>Divestiture &amp; Debt Swap</w:t>
            </w:r>
          </w:p>
        </w:tc>
        <w:tc>
          <w:tcPr>
            <w:tcW w:w="2428" w:type="dxa"/>
            <w:hideMark/>
          </w:tcPr>
          <w:p w14:paraId="2BD1FD87" w14:textId="77777777" w:rsidR="001E6BD1" w:rsidRPr="006C081F" w:rsidRDefault="001E6BD1" w:rsidP="001E6BD1">
            <w:pPr>
              <w:spacing w:before="240" w:line="360" w:lineRule="auto"/>
              <w:jc w:val="both"/>
              <w:rPr>
                <w:rFonts w:ascii="Arial" w:hAnsi="Arial" w:cs="Arial"/>
                <w:bCs/>
                <w:sz w:val="24"/>
                <w:szCs w:val="24"/>
              </w:rPr>
            </w:pPr>
            <w:r w:rsidRPr="006C081F">
              <w:rPr>
                <w:rFonts w:ascii="Arial" w:hAnsi="Arial" w:cs="Arial"/>
                <w:b/>
                <w:bCs/>
                <w:sz w:val="24"/>
                <w:szCs w:val="24"/>
              </w:rPr>
              <w:t>Equity Injection</w:t>
            </w:r>
          </w:p>
        </w:tc>
        <w:tc>
          <w:tcPr>
            <w:tcW w:w="2358" w:type="dxa"/>
            <w:hideMark/>
          </w:tcPr>
          <w:p w14:paraId="31F7EE5F" w14:textId="77777777" w:rsidR="001E6BD1" w:rsidRPr="006C081F" w:rsidRDefault="001E6BD1" w:rsidP="001E6BD1">
            <w:pPr>
              <w:spacing w:before="240" w:line="360" w:lineRule="auto"/>
              <w:jc w:val="both"/>
              <w:rPr>
                <w:rFonts w:ascii="Arial" w:hAnsi="Arial" w:cs="Arial"/>
                <w:bCs/>
                <w:sz w:val="24"/>
                <w:szCs w:val="24"/>
              </w:rPr>
            </w:pPr>
            <w:r w:rsidRPr="006C081F">
              <w:rPr>
                <w:rFonts w:ascii="Arial" w:hAnsi="Arial" w:cs="Arial"/>
                <w:b/>
                <w:bCs/>
                <w:sz w:val="24"/>
                <w:szCs w:val="24"/>
              </w:rPr>
              <w:t>Operational Flexibility</w:t>
            </w:r>
          </w:p>
        </w:tc>
      </w:tr>
      <w:tr w:rsidR="00214673" w:rsidRPr="006C081F" w14:paraId="03F51359" w14:textId="77777777" w:rsidTr="003769AA">
        <w:tc>
          <w:tcPr>
            <w:tcW w:w="1617" w:type="dxa"/>
            <w:hideMark/>
          </w:tcPr>
          <w:p w14:paraId="52A91DF3" w14:textId="3B507297" w:rsidR="001E6BD1" w:rsidRPr="006C081F" w:rsidRDefault="00B139B6" w:rsidP="001E6BD1">
            <w:pPr>
              <w:spacing w:before="240" w:line="360" w:lineRule="auto"/>
              <w:jc w:val="both"/>
              <w:rPr>
                <w:rFonts w:ascii="Arial" w:hAnsi="Arial" w:cs="Arial"/>
                <w:bCs/>
                <w:sz w:val="24"/>
                <w:szCs w:val="24"/>
              </w:rPr>
            </w:pPr>
            <w:r w:rsidRPr="00B139B6">
              <w:rPr>
                <w:rFonts w:ascii="Arial" w:hAnsi="Arial" w:cs="Arial"/>
                <w:b/>
                <w:bCs/>
                <w:sz w:val="24"/>
                <w:szCs w:val="24"/>
              </w:rPr>
              <w:t>Shareholder Value</w:t>
            </w:r>
          </w:p>
        </w:tc>
        <w:tc>
          <w:tcPr>
            <w:tcW w:w="2613" w:type="dxa"/>
            <w:hideMark/>
          </w:tcPr>
          <w:p w14:paraId="3CEEE70B" w14:textId="681739A9" w:rsidR="001E6BD1" w:rsidRPr="006C081F" w:rsidRDefault="005114D1" w:rsidP="001E6BD1">
            <w:pPr>
              <w:spacing w:before="240" w:line="360" w:lineRule="auto"/>
              <w:jc w:val="both"/>
              <w:rPr>
                <w:rFonts w:ascii="Arial" w:hAnsi="Arial" w:cs="Arial"/>
                <w:sz w:val="24"/>
                <w:szCs w:val="24"/>
              </w:rPr>
            </w:pPr>
            <w:r w:rsidRPr="005114D1">
              <w:rPr>
                <w:rFonts w:ascii="Arial" w:hAnsi="Arial" w:cs="Arial"/>
                <w:sz w:val="24"/>
                <w:szCs w:val="24"/>
              </w:rPr>
              <w:t>There is short-term uncertainty associated with the sales of the assets, yet there is the improvement of value of long term associated with lower leverage.</w:t>
            </w:r>
          </w:p>
        </w:tc>
        <w:tc>
          <w:tcPr>
            <w:tcW w:w="2428" w:type="dxa"/>
            <w:hideMark/>
          </w:tcPr>
          <w:p w14:paraId="34225CD3" w14:textId="57924AC4" w:rsidR="001E6BD1" w:rsidRPr="006C081F" w:rsidRDefault="005114D1" w:rsidP="001E6BD1">
            <w:pPr>
              <w:spacing w:before="240" w:line="360" w:lineRule="auto"/>
              <w:jc w:val="both"/>
              <w:rPr>
                <w:rFonts w:ascii="Arial" w:hAnsi="Arial" w:cs="Arial"/>
                <w:bCs/>
                <w:sz w:val="24"/>
                <w:szCs w:val="24"/>
              </w:rPr>
            </w:pPr>
            <w:r w:rsidRPr="005114D1">
              <w:rPr>
                <w:rFonts w:ascii="Arial" w:hAnsi="Arial" w:cs="Arial"/>
                <w:bCs/>
                <w:sz w:val="24"/>
                <w:szCs w:val="24"/>
              </w:rPr>
              <w:t>Long-term returns are enhanced by potentially dilutive balance sheet increases.</w:t>
            </w:r>
          </w:p>
        </w:tc>
        <w:tc>
          <w:tcPr>
            <w:tcW w:w="2358" w:type="dxa"/>
            <w:hideMark/>
          </w:tcPr>
          <w:p w14:paraId="254FDD9A" w14:textId="7D104C6C" w:rsidR="001E6BD1" w:rsidRPr="006C081F" w:rsidRDefault="00CD67B7" w:rsidP="001E6BD1">
            <w:pPr>
              <w:spacing w:before="240" w:line="360" w:lineRule="auto"/>
              <w:jc w:val="both"/>
              <w:rPr>
                <w:rFonts w:ascii="Arial" w:hAnsi="Arial" w:cs="Arial"/>
                <w:bCs/>
                <w:sz w:val="24"/>
                <w:szCs w:val="24"/>
              </w:rPr>
            </w:pPr>
            <w:r w:rsidRPr="00CD67B7">
              <w:rPr>
                <w:rFonts w:ascii="Arial" w:hAnsi="Arial" w:cs="Arial"/>
                <w:bCs/>
                <w:sz w:val="24"/>
                <w:szCs w:val="24"/>
              </w:rPr>
              <w:t>Better profitability opportunities contribute to sustainable shareholder value.</w:t>
            </w:r>
          </w:p>
        </w:tc>
      </w:tr>
      <w:tr w:rsidR="00214673" w:rsidRPr="006C081F" w14:paraId="1C47AA7E" w14:textId="77777777" w:rsidTr="003769AA">
        <w:tc>
          <w:tcPr>
            <w:tcW w:w="1617" w:type="dxa"/>
            <w:hideMark/>
          </w:tcPr>
          <w:p w14:paraId="6BF3EBDC" w14:textId="5AC34161" w:rsidR="001E6BD1" w:rsidRPr="006C081F" w:rsidRDefault="0018442D" w:rsidP="001E6BD1">
            <w:pPr>
              <w:spacing w:before="240" w:line="360" w:lineRule="auto"/>
              <w:jc w:val="both"/>
              <w:rPr>
                <w:rFonts w:ascii="Arial" w:hAnsi="Arial" w:cs="Arial"/>
                <w:bCs/>
                <w:sz w:val="24"/>
                <w:szCs w:val="24"/>
              </w:rPr>
            </w:pPr>
            <w:r w:rsidRPr="0018442D">
              <w:rPr>
                <w:rFonts w:ascii="Arial" w:hAnsi="Arial" w:cs="Arial"/>
                <w:b/>
                <w:bCs/>
                <w:sz w:val="24"/>
                <w:szCs w:val="24"/>
              </w:rPr>
              <w:t>Creditor Confidence</w:t>
            </w:r>
          </w:p>
        </w:tc>
        <w:tc>
          <w:tcPr>
            <w:tcW w:w="2613" w:type="dxa"/>
            <w:hideMark/>
          </w:tcPr>
          <w:p w14:paraId="07AC4F69" w14:textId="7948D5A7" w:rsidR="001E6BD1" w:rsidRPr="006C081F" w:rsidRDefault="00CD67B7" w:rsidP="001E6BD1">
            <w:pPr>
              <w:spacing w:before="240" w:line="360" w:lineRule="auto"/>
              <w:jc w:val="both"/>
              <w:rPr>
                <w:rFonts w:ascii="Arial" w:hAnsi="Arial" w:cs="Arial"/>
                <w:bCs/>
                <w:sz w:val="24"/>
                <w:szCs w:val="24"/>
              </w:rPr>
            </w:pPr>
            <w:r w:rsidRPr="00CD67B7">
              <w:rPr>
                <w:rFonts w:ascii="Arial" w:hAnsi="Arial" w:cs="Arial"/>
                <w:bCs/>
                <w:sz w:val="24"/>
                <w:szCs w:val="24"/>
              </w:rPr>
              <w:t>Very favourable with leverage decreasing and repayment capacity increasing.</w:t>
            </w:r>
          </w:p>
        </w:tc>
        <w:tc>
          <w:tcPr>
            <w:tcW w:w="2428" w:type="dxa"/>
            <w:hideMark/>
          </w:tcPr>
          <w:p w14:paraId="786F259D" w14:textId="02B85171" w:rsidR="001E6BD1" w:rsidRPr="006C081F" w:rsidRDefault="00CD67B7" w:rsidP="001E6BD1">
            <w:pPr>
              <w:spacing w:before="240" w:line="360" w:lineRule="auto"/>
              <w:jc w:val="both"/>
              <w:rPr>
                <w:rFonts w:ascii="Arial" w:hAnsi="Arial" w:cs="Arial"/>
                <w:bCs/>
                <w:sz w:val="24"/>
                <w:szCs w:val="24"/>
              </w:rPr>
            </w:pPr>
            <w:r w:rsidRPr="00CD67B7">
              <w:rPr>
                <w:rFonts w:ascii="Arial" w:hAnsi="Arial" w:cs="Arial"/>
                <w:bCs/>
                <w:sz w:val="24"/>
                <w:szCs w:val="24"/>
              </w:rPr>
              <w:t>Good sign of investment and less risk of default.</w:t>
            </w:r>
          </w:p>
        </w:tc>
        <w:tc>
          <w:tcPr>
            <w:tcW w:w="2358" w:type="dxa"/>
            <w:hideMark/>
          </w:tcPr>
          <w:p w14:paraId="5B02FA42" w14:textId="055DD5F8" w:rsidR="001E6BD1" w:rsidRPr="006C081F" w:rsidRDefault="00620D82" w:rsidP="001E6BD1">
            <w:pPr>
              <w:spacing w:before="240" w:line="360" w:lineRule="auto"/>
              <w:jc w:val="both"/>
              <w:rPr>
                <w:rFonts w:ascii="Arial" w:hAnsi="Arial" w:cs="Arial"/>
                <w:bCs/>
                <w:sz w:val="24"/>
                <w:szCs w:val="24"/>
              </w:rPr>
            </w:pPr>
            <w:r w:rsidRPr="00620D82">
              <w:rPr>
                <w:rFonts w:ascii="Arial" w:hAnsi="Arial" w:cs="Arial"/>
                <w:bCs/>
                <w:sz w:val="24"/>
                <w:szCs w:val="24"/>
              </w:rPr>
              <w:t>Mediocre recovery by way of increased stability in cash-flow.</w:t>
            </w:r>
          </w:p>
        </w:tc>
      </w:tr>
      <w:tr w:rsidR="00214673" w:rsidRPr="006C081F" w14:paraId="187CA030" w14:textId="77777777" w:rsidTr="003769AA">
        <w:tc>
          <w:tcPr>
            <w:tcW w:w="1617" w:type="dxa"/>
            <w:hideMark/>
          </w:tcPr>
          <w:p w14:paraId="04646890" w14:textId="04925028" w:rsidR="001E6BD1" w:rsidRPr="006C081F" w:rsidRDefault="0018442D" w:rsidP="001E6BD1">
            <w:pPr>
              <w:spacing w:before="240" w:line="360" w:lineRule="auto"/>
              <w:jc w:val="both"/>
              <w:rPr>
                <w:rFonts w:ascii="Arial" w:hAnsi="Arial" w:cs="Arial"/>
                <w:bCs/>
                <w:sz w:val="24"/>
                <w:szCs w:val="24"/>
              </w:rPr>
            </w:pPr>
            <w:r w:rsidRPr="0018442D">
              <w:rPr>
                <w:rFonts w:ascii="Arial" w:hAnsi="Arial" w:cs="Arial"/>
                <w:b/>
                <w:bCs/>
                <w:sz w:val="24"/>
                <w:szCs w:val="24"/>
              </w:rPr>
              <w:t>Employee Security</w:t>
            </w:r>
          </w:p>
        </w:tc>
        <w:tc>
          <w:tcPr>
            <w:tcW w:w="2613" w:type="dxa"/>
            <w:hideMark/>
          </w:tcPr>
          <w:p w14:paraId="1B0C060D" w14:textId="08C76278" w:rsidR="001E6BD1" w:rsidRPr="006C081F" w:rsidRDefault="00620D82" w:rsidP="001E6BD1">
            <w:pPr>
              <w:spacing w:before="240" w:line="360" w:lineRule="auto"/>
              <w:jc w:val="both"/>
              <w:rPr>
                <w:rFonts w:ascii="Arial" w:hAnsi="Arial" w:cs="Arial"/>
                <w:bCs/>
                <w:sz w:val="24"/>
                <w:szCs w:val="24"/>
              </w:rPr>
            </w:pPr>
            <w:r w:rsidRPr="00620D82">
              <w:rPr>
                <w:rFonts w:ascii="Arial" w:hAnsi="Arial" w:cs="Arial"/>
                <w:bCs/>
                <w:sz w:val="24"/>
                <w:szCs w:val="24"/>
              </w:rPr>
              <w:t>Divestiture risk of losing jobs in other units.</w:t>
            </w:r>
          </w:p>
        </w:tc>
        <w:tc>
          <w:tcPr>
            <w:tcW w:w="2428" w:type="dxa"/>
            <w:hideMark/>
          </w:tcPr>
          <w:p w14:paraId="3750DADE" w14:textId="122909E9" w:rsidR="001E6BD1" w:rsidRPr="006C081F" w:rsidRDefault="00620D82" w:rsidP="001E6BD1">
            <w:pPr>
              <w:spacing w:before="240" w:line="360" w:lineRule="auto"/>
              <w:jc w:val="both"/>
              <w:rPr>
                <w:rFonts w:ascii="Arial" w:hAnsi="Arial" w:cs="Arial"/>
                <w:bCs/>
                <w:sz w:val="24"/>
                <w:szCs w:val="24"/>
              </w:rPr>
            </w:pPr>
            <w:r w:rsidRPr="00620D82">
              <w:rPr>
                <w:rFonts w:ascii="Arial" w:hAnsi="Arial" w:cs="Arial"/>
                <w:bCs/>
                <w:sz w:val="24"/>
                <w:szCs w:val="24"/>
              </w:rPr>
              <w:t>Neutral to positive in case funds finance core operations.</w:t>
            </w:r>
          </w:p>
        </w:tc>
        <w:tc>
          <w:tcPr>
            <w:tcW w:w="2358" w:type="dxa"/>
            <w:hideMark/>
          </w:tcPr>
          <w:p w14:paraId="33E94EB1" w14:textId="1F2C0E6A" w:rsidR="001E6BD1" w:rsidRPr="006C081F" w:rsidRDefault="00620D82" w:rsidP="001E6BD1">
            <w:pPr>
              <w:spacing w:before="240" w:line="360" w:lineRule="auto"/>
              <w:jc w:val="both"/>
              <w:rPr>
                <w:rFonts w:ascii="Arial" w:hAnsi="Arial" w:cs="Arial"/>
                <w:bCs/>
                <w:sz w:val="24"/>
                <w:szCs w:val="24"/>
              </w:rPr>
            </w:pPr>
            <w:r w:rsidRPr="00620D82">
              <w:rPr>
                <w:rFonts w:ascii="Arial" w:hAnsi="Arial" w:cs="Arial"/>
                <w:bCs/>
                <w:sz w:val="24"/>
                <w:szCs w:val="24"/>
              </w:rPr>
              <w:t>Good influence with stabilised operations and growth prospects.</w:t>
            </w:r>
          </w:p>
        </w:tc>
      </w:tr>
      <w:tr w:rsidR="0018442D" w:rsidRPr="006C081F" w14:paraId="44487482" w14:textId="77777777" w:rsidTr="003769AA">
        <w:tc>
          <w:tcPr>
            <w:tcW w:w="1617" w:type="dxa"/>
          </w:tcPr>
          <w:p w14:paraId="08EA32C0" w14:textId="26864078" w:rsidR="0018442D" w:rsidRPr="0018442D" w:rsidRDefault="0018442D" w:rsidP="001E6BD1">
            <w:pPr>
              <w:spacing w:before="240" w:line="360" w:lineRule="auto"/>
              <w:jc w:val="both"/>
              <w:rPr>
                <w:rFonts w:ascii="Arial" w:hAnsi="Arial" w:cs="Arial"/>
                <w:b/>
                <w:bCs/>
                <w:sz w:val="24"/>
                <w:szCs w:val="24"/>
              </w:rPr>
            </w:pPr>
            <w:r w:rsidRPr="0018442D">
              <w:rPr>
                <w:rFonts w:ascii="Arial" w:hAnsi="Arial" w:cs="Arial"/>
                <w:b/>
                <w:bCs/>
                <w:sz w:val="24"/>
                <w:szCs w:val="24"/>
              </w:rPr>
              <w:t>Strategic Partners</w:t>
            </w:r>
          </w:p>
        </w:tc>
        <w:tc>
          <w:tcPr>
            <w:tcW w:w="2613" w:type="dxa"/>
          </w:tcPr>
          <w:p w14:paraId="1BA9B835" w14:textId="40A2CB63" w:rsidR="0018442D" w:rsidRPr="006C081F" w:rsidRDefault="00362957" w:rsidP="001E6BD1">
            <w:pPr>
              <w:spacing w:before="240" w:line="360" w:lineRule="auto"/>
              <w:jc w:val="both"/>
              <w:rPr>
                <w:rFonts w:ascii="Arial" w:hAnsi="Arial" w:cs="Arial"/>
                <w:bCs/>
                <w:sz w:val="24"/>
                <w:szCs w:val="24"/>
              </w:rPr>
            </w:pPr>
            <w:r w:rsidRPr="00362957">
              <w:rPr>
                <w:rFonts w:ascii="Arial" w:hAnsi="Arial" w:cs="Arial"/>
                <w:bCs/>
                <w:sz w:val="24"/>
                <w:szCs w:val="24"/>
              </w:rPr>
              <w:t>Better Strategic focus is an advantage that enhances partnership.</w:t>
            </w:r>
          </w:p>
        </w:tc>
        <w:tc>
          <w:tcPr>
            <w:tcW w:w="2428" w:type="dxa"/>
          </w:tcPr>
          <w:p w14:paraId="590C9588" w14:textId="03E13778" w:rsidR="0018442D" w:rsidRPr="006C081F" w:rsidRDefault="00362957" w:rsidP="001E6BD1">
            <w:pPr>
              <w:spacing w:before="240" w:line="360" w:lineRule="auto"/>
              <w:jc w:val="both"/>
              <w:rPr>
                <w:rFonts w:ascii="Arial" w:hAnsi="Arial" w:cs="Arial"/>
                <w:bCs/>
                <w:sz w:val="24"/>
                <w:szCs w:val="24"/>
              </w:rPr>
            </w:pPr>
            <w:r w:rsidRPr="00362957">
              <w:rPr>
                <w:rFonts w:ascii="Arial" w:hAnsi="Arial" w:cs="Arial"/>
                <w:bCs/>
                <w:sz w:val="24"/>
                <w:szCs w:val="24"/>
              </w:rPr>
              <w:t>Indicators long term commitment and growth.</w:t>
            </w:r>
          </w:p>
        </w:tc>
        <w:tc>
          <w:tcPr>
            <w:tcW w:w="2358" w:type="dxa"/>
          </w:tcPr>
          <w:p w14:paraId="52D158CC" w14:textId="4B56D6B2" w:rsidR="0018442D" w:rsidRPr="006C081F" w:rsidRDefault="00362957" w:rsidP="001E6BD1">
            <w:pPr>
              <w:spacing w:before="240" w:line="360" w:lineRule="auto"/>
              <w:jc w:val="both"/>
              <w:rPr>
                <w:rFonts w:ascii="Arial" w:hAnsi="Arial" w:cs="Arial"/>
                <w:bCs/>
                <w:sz w:val="24"/>
                <w:szCs w:val="24"/>
              </w:rPr>
            </w:pPr>
            <w:r w:rsidRPr="00362957">
              <w:rPr>
                <w:rFonts w:ascii="Arial" w:hAnsi="Arial" w:cs="Arial"/>
                <w:bCs/>
                <w:sz w:val="24"/>
                <w:szCs w:val="24"/>
              </w:rPr>
              <w:t>Improves cooperation by creating efficiency and reliability in operations.</w:t>
            </w:r>
          </w:p>
        </w:tc>
      </w:tr>
      <w:tr w:rsidR="0018442D" w:rsidRPr="006C081F" w14:paraId="7E333837" w14:textId="77777777" w:rsidTr="003769AA">
        <w:tc>
          <w:tcPr>
            <w:tcW w:w="1617" w:type="dxa"/>
          </w:tcPr>
          <w:p w14:paraId="0D72756B" w14:textId="1E199BBE" w:rsidR="0018442D" w:rsidRPr="0018442D" w:rsidRDefault="00F94FE5" w:rsidP="001E6BD1">
            <w:pPr>
              <w:spacing w:before="240" w:line="360" w:lineRule="auto"/>
              <w:jc w:val="both"/>
              <w:rPr>
                <w:rFonts w:ascii="Arial" w:hAnsi="Arial" w:cs="Arial"/>
                <w:b/>
                <w:bCs/>
                <w:sz w:val="24"/>
                <w:szCs w:val="24"/>
              </w:rPr>
            </w:pPr>
            <w:r w:rsidRPr="00F94FE5">
              <w:rPr>
                <w:rFonts w:ascii="Arial" w:hAnsi="Arial" w:cs="Arial"/>
                <w:b/>
                <w:bCs/>
                <w:sz w:val="24"/>
                <w:szCs w:val="24"/>
              </w:rPr>
              <w:t>Market Perception</w:t>
            </w:r>
          </w:p>
        </w:tc>
        <w:tc>
          <w:tcPr>
            <w:tcW w:w="2613" w:type="dxa"/>
          </w:tcPr>
          <w:p w14:paraId="7B0F382C" w14:textId="12BF4B00" w:rsidR="0018442D" w:rsidRPr="006C081F" w:rsidRDefault="00362957" w:rsidP="001E6BD1">
            <w:pPr>
              <w:spacing w:before="240" w:line="360" w:lineRule="auto"/>
              <w:jc w:val="both"/>
              <w:rPr>
                <w:rFonts w:ascii="Arial" w:hAnsi="Arial" w:cs="Arial"/>
                <w:bCs/>
                <w:sz w:val="24"/>
                <w:szCs w:val="24"/>
              </w:rPr>
            </w:pPr>
            <w:r w:rsidRPr="00362957">
              <w:rPr>
                <w:rFonts w:ascii="Arial" w:hAnsi="Arial" w:cs="Arial"/>
                <w:bCs/>
                <w:sz w:val="24"/>
                <w:szCs w:val="24"/>
              </w:rPr>
              <w:t xml:space="preserve">Considered as </w:t>
            </w:r>
            <w:r w:rsidR="001C7170" w:rsidRPr="00362957">
              <w:rPr>
                <w:rFonts w:ascii="Arial" w:hAnsi="Arial" w:cs="Arial"/>
                <w:bCs/>
                <w:sz w:val="24"/>
                <w:szCs w:val="24"/>
              </w:rPr>
              <w:t>turnaround</w:t>
            </w:r>
            <w:r w:rsidRPr="00362957">
              <w:rPr>
                <w:rFonts w:ascii="Arial" w:hAnsi="Arial" w:cs="Arial"/>
                <w:bCs/>
                <w:sz w:val="24"/>
                <w:szCs w:val="24"/>
              </w:rPr>
              <w:t xml:space="preserve"> action.</w:t>
            </w:r>
          </w:p>
        </w:tc>
        <w:tc>
          <w:tcPr>
            <w:tcW w:w="2428" w:type="dxa"/>
          </w:tcPr>
          <w:p w14:paraId="11EAF9EE" w14:textId="548E0E01" w:rsidR="0018442D" w:rsidRPr="006C081F" w:rsidRDefault="001C7170" w:rsidP="001E6BD1">
            <w:pPr>
              <w:spacing w:before="240" w:line="360" w:lineRule="auto"/>
              <w:jc w:val="both"/>
              <w:rPr>
                <w:rFonts w:ascii="Arial" w:hAnsi="Arial" w:cs="Arial"/>
                <w:bCs/>
                <w:sz w:val="24"/>
                <w:szCs w:val="24"/>
              </w:rPr>
            </w:pPr>
            <w:r w:rsidRPr="001C7170">
              <w:rPr>
                <w:rFonts w:ascii="Arial" w:hAnsi="Arial" w:cs="Arial"/>
                <w:bCs/>
                <w:sz w:val="24"/>
                <w:szCs w:val="24"/>
              </w:rPr>
              <w:t>A perceived recapitalisation and survival strategy.</w:t>
            </w:r>
          </w:p>
        </w:tc>
        <w:tc>
          <w:tcPr>
            <w:tcW w:w="2358" w:type="dxa"/>
          </w:tcPr>
          <w:p w14:paraId="7E82E25E" w14:textId="648BC693" w:rsidR="0018442D" w:rsidRPr="006C081F" w:rsidRDefault="001C7170" w:rsidP="001E6BD1">
            <w:pPr>
              <w:spacing w:before="240" w:line="360" w:lineRule="auto"/>
              <w:jc w:val="both"/>
              <w:rPr>
                <w:rFonts w:ascii="Arial" w:hAnsi="Arial" w:cs="Arial"/>
                <w:bCs/>
                <w:sz w:val="24"/>
                <w:szCs w:val="24"/>
              </w:rPr>
            </w:pPr>
            <w:r w:rsidRPr="001C7170">
              <w:rPr>
                <w:rFonts w:ascii="Arial" w:hAnsi="Arial" w:cs="Arial"/>
                <w:bCs/>
                <w:sz w:val="24"/>
                <w:szCs w:val="24"/>
              </w:rPr>
              <w:t>Elasticity and competitiveness.</w:t>
            </w:r>
          </w:p>
        </w:tc>
      </w:tr>
    </w:tbl>
    <w:p w14:paraId="117D89CF" w14:textId="77777777" w:rsidR="006F1865" w:rsidRDefault="006F1865" w:rsidP="001C7170"/>
    <w:p w14:paraId="3C90B972" w14:textId="14C26510" w:rsidR="001C7170" w:rsidRPr="006F1865" w:rsidRDefault="006F1865" w:rsidP="006F1865">
      <w:pPr>
        <w:jc w:val="both"/>
        <w:rPr>
          <w:rFonts w:ascii="Arial" w:hAnsi="Arial" w:cs="Arial"/>
          <w:sz w:val="24"/>
          <w:szCs w:val="24"/>
        </w:rPr>
      </w:pPr>
      <w:r w:rsidRPr="006F1865">
        <w:rPr>
          <w:rFonts w:ascii="Arial" w:hAnsi="Arial" w:cs="Arial"/>
          <w:sz w:val="24"/>
          <w:szCs w:val="24"/>
        </w:rPr>
        <w:lastRenderedPageBreak/>
        <w:t>Although one can have short term worries of dilution with equity injection, solvency and the risk of bankruptcy is enhanced with equity injection and this is especially important in the eyes of General Electronics, given its current financial turmoil. Divestiture also enhances financial discipline through concentration on the core activities. A greater degree of operational flexibility will increase the confidence of long-term stakeholders in the company having the capacity to make and implement a believable turnaround strategy (Altman and Hotchkiss, 2020; Ross, Westerfield and Jordan, 2022).</w:t>
      </w:r>
    </w:p>
    <w:p w14:paraId="39EAE0A1" w14:textId="4FAD0B20" w:rsidR="00CD4561" w:rsidRPr="006C081F" w:rsidRDefault="007321D3" w:rsidP="007321D3">
      <w:pPr>
        <w:pStyle w:val="Heading2"/>
      </w:pPr>
      <w:bookmarkStart w:id="13" w:name="_Toc216794677"/>
      <w:r w:rsidRPr="006C081F">
        <w:t xml:space="preserve">3.3 </w:t>
      </w:r>
      <w:r w:rsidR="00B705E4" w:rsidRPr="006C081F">
        <w:t>International and Ethical Considerations</w:t>
      </w:r>
      <w:bookmarkEnd w:id="13"/>
    </w:p>
    <w:p w14:paraId="4A007C6C" w14:textId="78A9BDEC" w:rsidR="004C31C2" w:rsidRPr="004C31C2" w:rsidRDefault="004C31C2" w:rsidP="004C31C2">
      <w:pPr>
        <w:spacing w:before="240" w:line="360" w:lineRule="auto"/>
        <w:jc w:val="both"/>
        <w:rPr>
          <w:rFonts w:ascii="Arial" w:hAnsi="Arial" w:cs="Arial"/>
          <w:bCs/>
          <w:sz w:val="24"/>
          <w:szCs w:val="24"/>
        </w:rPr>
      </w:pPr>
      <w:r w:rsidRPr="004C31C2">
        <w:rPr>
          <w:rFonts w:ascii="Arial" w:hAnsi="Arial" w:cs="Arial"/>
          <w:bCs/>
          <w:sz w:val="24"/>
          <w:szCs w:val="24"/>
        </w:rPr>
        <w:t>General Electronics (GE) being a multinational company functions in a complicated international environment where financial restructuring choices have both international and ethical outcomes. Multi-border activities subject the company to macroeconomic risk, regulatory risk and ethical risk by various stakeholders. The mentioned factors should be properly controlled so that the turnaround plan should be financially sustainable and socially responsible (Brealey, Myers and Allen, 2022).</w:t>
      </w:r>
    </w:p>
    <w:p w14:paraId="21F0D038" w14:textId="056CE572" w:rsidR="004C31C2" w:rsidRDefault="004C31C2" w:rsidP="004C31C2">
      <w:pPr>
        <w:spacing w:before="240" w:line="360" w:lineRule="auto"/>
        <w:jc w:val="both"/>
        <w:rPr>
          <w:rFonts w:ascii="Arial" w:hAnsi="Arial" w:cs="Arial"/>
          <w:bCs/>
          <w:sz w:val="24"/>
          <w:szCs w:val="24"/>
        </w:rPr>
      </w:pPr>
      <w:r w:rsidRPr="004C31C2">
        <w:rPr>
          <w:rFonts w:ascii="Arial" w:hAnsi="Arial" w:cs="Arial"/>
          <w:bCs/>
          <w:sz w:val="24"/>
          <w:szCs w:val="24"/>
        </w:rPr>
        <w:t>Cash flows and profitability may be significantly impacted by international risks like currency fluctuations, inflation and dissimilar tax structures. Meanwhile, ethical factors such as corporate social responsibility (CSR), employee welfare and fair supplier practises are vital towards reputation and stakeholder trust in the restructuring process. Unless these issues are addressed, the success of recovery in the long term can be compromised, despite the short-term financial performance improvement (Palepu and Healy, 2022).</w:t>
      </w:r>
    </w:p>
    <w:p w14:paraId="641EC78A" w14:textId="77777777" w:rsidR="00DF4B99" w:rsidRDefault="00DF4B99" w:rsidP="004C31C2">
      <w:pPr>
        <w:spacing w:before="240" w:line="360" w:lineRule="auto"/>
        <w:jc w:val="both"/>
        <w:rPr>
          <w:rFonts w:ascii="Arial" w:hAnsi="Arial" w:cs="Arial"/>
          <w:bCs/>
          <w:sz w:val="24"/>
          <w:szCs w:val="24"/>
        </w:rPr>
      </w:pPr>
    </w:p>
    <w:p w14:paraId="429E5CAB" w14:textId="77777777" w:rsidR="00DF4B99" w:rsidRPr="006C081F" w:rsidRDefault="00DF4B99" w:rsidP="004C31C2">
      <w:pPr>
        <w:spacing w:before="240" w:line="360" w:lineRule="auto"/>
        <w:jc w:val="both"/>
        <w:rPr>
          <w:rFonts w:ascii="Arial" w:hAnsi="Arial" w:cs="Arial"/>
          <w:bCs/>
          <w:sz w:val="24"/>
          <w:szCs w:val="24"/>
        </w:rPr>
      </w:pPr>
    </w:p>
    <w:p w14:paraId="7E38BA50" w14:textId="7A2D56D6" w:rsidR="0059249A" w:rsidRPr="006C081F" w:rsidRDefault="00257360" w:rsidP="00406FCA">
      <w:pPr>
        <w:pStyle w:val="Heading3"/>
      </w:pPr>
      <w:bookmarkStart w:id="14" w:name="_Toc216794678"/>
      <w:r w:rsidRPr="006C081F">
        <w:t>3.</w:t>
      </w:r>
      <w:r w:rsidR="00406FCA" w:rsidRPr="006C081F">
        <w:t>3.1</w:t>
      </w:r>
      <w:r w:rsidR="0059249A" w:rsidRPr="006C081F">
        <w:t xml:space="preserve"> International Financial Risks</w:t>
      </w:r>
      <w:bookmarkEnd w:id="14"/>
    </w:p>
    <w:tbl>
      <w:tblPr>
        <w:tblStyle w:val="TableGrid"/>
        <w:tblW w:w="0" w:type="auto"/>
        <w:tblLook w:val="04A0" w:firstRow="1" w:lastRow="0" w:firstColumn="1" w:lastColumn="0" w:noHBand="0" w:noVBand="1"/>
      </w:tblPr>
      <w:tblGrid>
        <w:gridCol w:w="2309"/>
        <w:gridCol w:w="3474"/>
        <w:gridCol w:w="3233"/>
      </w:tblGrid>
      <w:tr w:rsidR="00406FCA" w:rsidRPr="006C081F" w14:paraId="1B52C30B" w14:textId="77777777" w:rsidTr="00406FCA">
        <w:tc>
          <w:tcPr>
            <w:tcW w:w="0" w:type="auto"/>
            <w:hideMark/>
          </w:tcPr>
          <w:p w14:paraId="5401937D" w14:textId="77777777" w:rsidR="00406FCA" w:rsidRPr="006C081F" w:rsidRDefault="00406FCA" w:rsidP="00690E59">
            <w:pPr>
              <w:spacing w:before="240" w:line="360" w:lineRule="auto"/>
              <w:jc w:val="center"/>
              <w:rPr>
                <w:rFonts w:ascii="Arial" w:hAnsi="Arial" w:cs="Arial"/>
                <w:bCs/>
                <w:sz w:val="24"/>
                <w:szCs w:val="24"/>
              </w:rPr>
            </w:pPr>
            <w:r w:rsidRPr="006C081F">
              <w:rPr>
                <w:rFonts w:ascii="Arial" w:hAnsi="Arial" w:cs="Arial"/>
                <w:b/>
                <w:bCs/>
                <w:sz w:val="24"/>
                <w:szCs w:val="24"/>
              </w:rPr>
              <w:t>Risk Category</w:t>
            </w:r>
          </w:p>
        </w:tc>
        <w:tc>
          <w:tcPr>
            <w:tcW w:w="0" w:type="auto"/>
            <w:hideMark/>
          </w:tcPr>
          <w:p w14:paraId="5B83FD09" w14:textId="77777777" w:rsidR="00406FCA" w:rsidRPr="006C081F" w:rsidRDefault="00406FCA" w:rsidP="00690E59">
            <w:pPr>
              <w:spacing w:before="240" w:line="360" w:lineRule="auto"/>
              <w:jc w:val="center"/>
              <w:rPr>
                <w:rFonts w:ascii="Arial" w:hAnsi="Arial" w:cs="Arial"/>
                <w:bCs/>
                <w:sz w:val="24"/>
                <w:szCs w:val="24"/>
              </w:rPr>
            </w:pPr>
            <w:r w:rsidRPr="006C081F">
              <w:rPr>
                <w:rFonts w:ascii="Arial" w:hAnsi="Arial" w:cs="Arial"/>
                <w:b/>
                <w:bCs/>
                <w:sz w:val="24"/>
                <w:szCs w:val="24"/>
              </w:rPr>
              <w:t>Implication for GE</w:t>
            </w:r>
          </w:p>
        </w:tc>
        <w:tc>
          <w:tcPr>
            <w:tcW w:w="0" w:type="auto"/>
            <w:hideMark/>
          </w:tcPr>
          <w:p w14:paraId="718F2386" w14:textId="77777777" w:rsidR="00406FCA" w:rsidRPr="006C081F" w:rsidRDefault="00406FCA" w:rsidP="00690E59">
            <w:pPr>
              <w:spacing w:before="240" w:line="360" w:lineRule="auto"/>
              <w:jc w:val="center"/>
              <w:rPr>
                <w:rFonts w:ascii="Arial" w:hAnsi="Arial" w:cs="Arial"/>
                <w:bCs/>
                <w:sz w:val="24"/>
                <w:szCs w:val="24"/>
              </w:rPr>
            </w:pPr>
            <w:r w:rsidRPr="006C081F">
              <w:rPr>
                <w:rFonts w:ascii="Arial" w:hAnsi="Arial" w:cs="Arial"/>
                <w:b/>
                <w:bCs/>
                <w:sz w:val="24"/>
                <w:szCs w:val="24"/>
              </w:rPr>
              <w:t>Mitigating Strategy</w:t>
            </w:r>
          </w:p>
        </w:tc>
      </w:tr>
      <w:tr w:rsidR="00406FCA" w:rsidRPr="006C081F" w14:paraId="515DBADE" w14:textId="77777777" w:rsidTr="00406FCA">
        <w:tc>
          <w:tcPr>
            <w:tcW w:w="0" w:type="auto"/>
            <w:hideMark/>
          </w:tcPr>
          <w:p w14:paraId="51113E1C" w14:textId="3CC7A8D9" w:rsidR="00406FCA" w:rsidRPr="006C081F" w:rsidRDefault="00A21D6C" w:rsidP="00406FCA">
            <w:pPr>
              <w:spacing w:before="240" w:line="360" w:lineRule="auto"/>
              <w:jc w:val="both"/>
              <w:rPr>
                <w:rFonts w:ascii="Arial" w:hAnsi="Arial" w:cs="Arial"/>
                <w:bCs/>
                <w:sz w:val="24"/>
                <w:szCs w:val="24"/>
              </w:rPr>
            </w:pPr>
            <w:r w:rsidRPr="00A21D6C">
              <w:rPr>
                <w:rFonts w:ascii="Arial" w:hAnsi="Arial" w:cs="Arial"/>
                <w:b/>
                <w:bCs/>
                <w:sz w:val="24"/>
                <w:szCs w:val="24"/>
              </w:rPr>
              <w:t>Currency Risk</w:t>
            </w:r>
          </w:p>
        </w:tc>
        <w:tc>
          <w:tcPr>
            <w:tcW w:w="0" w:type="auto"/>
            <w:hideMark/>
          </w:tcPr>
          <w:p w14:paraId="1D888C18" w14:textId="4D3818EB" w:rsidR="00406FCA" w:rsidRPr="006C081F" w:rsidRDefault="00E10742" w:rsidP="00406FCA">
            <w:pPr>
              <w:spacing w:before="240" w:line="360" w:lineRule="auto"/>
              <w:jc w:val="both"/>
              <w:rPr>
                <w:rFonts w:ascii="Arial" w:hAnsi="Arial" w:cs="Arial"/>
                <w:bCs/>
                <w:sz w:val="24"/>
                <w:szCs w:val="24"/>
              </w:rPr>
            </w:pPr>
            <w:r w:rsidRPr="00E10742">
              <w:rPr>
                <w:rFonts w:ascii="Arial" w:hAnsi="Arial" w:cs="Arial"/>
                <w:bCs/>
                <w:sz w:val="24"/>
                <w:szCs w:val="24"/>
              </w:rPr>
              <w:t>The volatility in the exchange rates can distort the revenues and raise costs of financing.</w:t>
            </w:r>
          </w:p>
        </w:tc>
        <w:tc>
          <w:tcPr>
            <w:tcW w:w="0" w:type="auto"/>
            <w:hideMark/>
          </w:tcPr>
          <w:p w14:paraId="1A7338FB" w14:textId="7F329EE1" w:rsidR="00406FCA" w:rsidRPr="006C081F" w:rsidRDefault="00F32A75" w:rsidP="00406FCA">
            <w:pPr>
              <w:spacing w:before="240" w:line="360" w:lineRule="auto"/>
              <w:jc w:val="both"/>
              <w:rPr>
                <w:rFonts w:ascii="Arial" w:hAnsi="Arial" w:cs="Arial"/>
                <w:bCs/>
                <w:sz w:val="24"/>
                <w:szCs w:val="24"/>
              </w:rPr>
            </w:pPr>
            <w:r w:rsidRPr="00F32A75">
              <w:rPr>
                <w:rFonts w:ascii="Arial" w:hAnsi="Arial" w:cs="Arial"/>
                <w:bCs/>
                <w:sz w:val="24"/>
                <w:szCs w:val="24"/>
              </w:rPr>
              <w:t>Individually hedge and fund in currency.</w:t>
            </w:r>
          </w:p>
        </w:tc>
      </w:tr>
      <w:tr w:rsidR="00406FCA" w:rsidRPr="006C081F" w14:paraId="48F36E56" w14:textId="77777777" w:rsidTr="00406FCA">
        <w:tc>
          <w:tcPr>
            <w:tcW w:w="0" w:type="auto"/>
            <w:hideMark/>
          </w:tcPr>
          <w:p w14:paraId="13D6ADA5" w14:textId="15A0A33E" w:rsidR="00406FCA" w:rsidRPr="006C081F" w:rsidRDefault="00A21D6C" w:rsidP="00406FCA">
            <w:pPr>
              <w:spacing w:before="240" w:line="360" w:lineRule="auto"/>
              <w:jc w:val="both"/>
              <w:rPr>
                <w:rFonts w:ascii="Arial" w:hAnsi="Arial" w:cs="Arial"/>
                <w:bCs/>
                <w:sz w:val="24"/>
                <w:szCs w:val="24"/>
              </w:rPr>
            </w:pPr>
            <w:r w:rsidRPr="00A21D6C">
              <w:rPr>
                <w:rFonts w:ascii="Arial" w:hAnsi="Arial" w:cs="Arial"/>
                <w:b/>
                <w:bCs/>
                <w:sz w:val="24"/>
                <w:szCs w:val="24"/>
              </w:rPr>
              <w:lastRenderedPageBreak/>
              <w:t>Inflation Risk</w:t>
            </w:r>
          </w:p>
        </w:tc>
        <w:tc>
          <w:tcPr>
            <w:tcW w:w="0" w:type="auto"/>
            <w:hideMark/>
          </w:tcPr>
          <w:p w14:paraId="2DD041FF" w14:textId="2ED12D2E" w:rsidR="00406FCA" w:rsidRPr="006C081F" w:rsidRDefault="00F32A75" w:rsidP="00406FCA">
            <w:pPr>
              <w:spacing w:before="240" w:line="360" w:lineRule="auto"/>
              <w:jc w:val="both"/>
              <w:rPr>
                <w:rFonts w:ascii="Arial" w:hAnsi="Arial" w:cs="Arial"/>
                <w:bCs/>
                <w:sz w:val="24"/>
                <w:szCs w:val="24"/>
              </w:rPr>
            </w:pPr>
            <w:r w:rsidRPr="00F32A75">
              <w:rPr>
                <w:rFonts w:ascii="Arial" w:hAnsi="Arial" w:cs="Arial"/>
                <w:bCs/>
                <w:sz w:val="24"/>
                <w:szCs w:val="24"/>
              </w:rPr>
              <w:t>The emerging global inflation increases the operating cost and input costs.</w:t>
            </w:r>
          </w:p>
        </w:tc>
        <w:tc>
          <w:tcPr>
            <w:tcW w:w="0" w:type="auto"/>
            <w:hideMark/>
          </w:tcPr>
          <w:p w14:paraId="2980B02D" w14:textId="15360804" w:rsidR="00406FCA" w:rsidRPr="006C081F" w:rsidRDefault="00F32A75" w:rsidP="00406FCA">
            <w:pPr>
              <w:spacing w:before="240" w:line="360" w:lineRule="auto"/>
              <w:jc w:val="both"/>
              <w:rPr>
                <w:rFonts w:ascii="Arial" w:hAnsi="Arial" w:cs="Arial"/>
                <w:bCs/>
                <w:sz w:val="24"/>
                <w:szCs w:val="24"/>
              </w:rPr>
            </w:pPr>
            <w:r w:rsidRPr="00F32A75">
              <w:rPr>
                <w:rFonts w:ascii="Arial" w:hAnsi="Arial" w:cs="Arial"/>
                <w:bCs/>
                <w:sz w:val="24"/>
                <w:szCs w:val="24"/>
              </w:rPr>
              <w:t>Change pricing strategies and swap supplier contracts.</w:t>
            </w:r>
          </w:p>
        </w:tc>
      </w:tr>
      <w:tr w:rsidR="00406FCA" w:rsidRPr="006C081F" w14:paraId="5A2F8F95" w14:textId="77777777" w:rsidTr="00406FCA">
        <w:tc>
          <w:tcPr>
            <w:tcW w:w="0" w:type="auto"/>
            <w:hideMark/>
          </w:tcPr>
          <w:p w14:paraId="3DDCB7BA" w14:textId="0F5ACE7B" w:rsidR="00406FCA" w:rsidRPr="006C081F" w:rsidRDefault="00A21D6C" w:rsidP="00406FCA">
            <w:pPr>
              <w:spacing w:before="240" w:line="360" w:lineRule="auto"/>
              <w:jc w:val="both"/>
              <w:rPr>
                <w:rFonts w:ascii="Arial" w:hAnsi="Arial" w:cs="Arial"/>
                <w:bCs/>
                <w:sz w:val="24"/>
                <w:szCs w:val="24"/>
              </w:rPr>
            </w:pPr>
            <w:r w:rsidRPr="00A21D6C">
              <w:rPr>
                <w:rFonts w:ascii="Arial" w:hAnsi="Arial" w:cs="Arial"/>
                <w:b/>
                <w:bCs/>
                <w:sz w:val="24"/>
                <w:szCs w:val="24"/>
              </w:rPr>
              <w:t>Taxation and Regulation</w:t>
            </w:r>
          </w:p>
        </w:tc>
        <w:tc>
          <w:tcPr>
            <w:tcW w:w="0" w:type="auto"/>
            <w:hideMark/>
          </w:tcPr>
          <w:p w14:paraId="57813648" w14:textId="1C2C4B82" w:rsidR="00406FCA" w:rsidRPr="006C081F" w:rsidRDefault="00F32A75" w:rsidP="00406FCA">
            <w:pPr>
              <w:spacing w:before="240" w:line="360" w:lineRule="auto"/>
              <w:jc w:val="both"/>
              <w:rPr>
                <w:rFonts w:ascii="Arial" w:hAnsi="Arial" w:cs="Arial"/>
                <w:bCs/>
                <w:sz w:val="24"/>
                <w:szCs w:val="24"/>
              </w:rPr>
            </w:pPr>
            <w:r w:rsidRPr="00F32A75">
              <w:rPr>
                <w:rFonts w:ascii="Arial" w:hAnsi="Arial" w:cs="Arial"/>
                <w:bCs/>
                <w:sz w:val="24"/>
                <w:szCs w:val="24"/>
              </w:rPr>
              <w:t>Various tax regimes and compliance expenses have an impact on predictability of cash flow.</w:t>
            </w:r>
          </w:p>
        </w:tc>
        <w:tc>
          <w:tcPr>
            <w:tcW w:w="0" w:type="auto"/>
            <w:hideMark/>
          </w:tcPr>
          <w:p w14:paraId="130C4E96" w14:textId="2F761BC9" w:rsidR="00406FCA" w:rsidRPr="006C081F" w:rsidRDefault="00D346E8" w:rsidP="00406FCA">
            <w:pPr>
              <w:spacing w:before="240" w:line="360" w:lineRule="auto"/>
              <w:jc w:val="both"/>
              <w:rPr>
                <w:rFonts w:ascii="Arial" w:hAnsi="Arial" w:cs="Arial"/>
                <w:bCs/>
                <w:sz w:val="24"/>
                <w:szCs w:val="24"/>
              </w:rPr>
            </w:pPr>
            <w:r w:rsidRPr="00D346E8">
              <w:rPr>
                <w:rFonts w:ascii="Arial" w:hAnsi="Arial" w:cs="Arial"/>
                <w:bCs/>
                <w:sz w:val="24"/>
                <w:szCs w:val="24"/>
              </w:rPr>
              <w:t>Leverage on international tax planning and make sure regulatory compliance.</w:t>
            </w:r>
          </w:p>
        </w:tc>
      </w:tr>
      <w:tr w:rsidR="000C31EF" w:rsidRPr="006C081F" w14:paraId="4A877F25" w14:textId="77777777" w:rsidTr="00406FCA">
        <w:tc>
          <w:tcPr>
            <w:tcW w:w="0" w:type="auto"/>
          </w:tcPr>
          <w:p w14:paraId="2C3E783D" w14:textId="11AA3EE3" w:rsidR="000C31EF" w:rsidRPr="006C081F" w:rsidRDefault="00DF4B99" w:rsidP="00406FCA">
            <w:pPr>
              <w:spacing w:before="240" w:line="360" w:lineRule="auto"/>
              <w:jc w:val="both"/>
              <w:rPr>
                <w:rFonts w:ascii="Arial" w:hAnsi="Arial" w:cs="Arial"/>
                <w:b/>
                <w:bCs/>
                <w:sz w:val="24"/>
                <w:szCs w:val="24"/>
              </w:rPr>
            </w:pPr>
            <w:r w:rsidRPr="00DF4B99">
              <w:rPr>
                <w:rFonts w:ascii="Arial" w:hAnsi="Arial" w:cs="Arial"/>
                <w:b/>
                <w:bCs/>
                <w:sz w:val="24"/>
                <w:szCs w:val="24"/>
              </w:rPr>
              <w:t>Ethical Labour Practices</w:t>
            </w:r>
          </w:p>
        </w:tc>
        <w:tc>
          <w:tcPr>
            <w:tcW w:w="0" w:type="auto"/>
          </w:tcPr>
          <w:p w14:paraId="7397855D" w14:textId="0BF69848" w:rsidR="000C31EF" w:rsidRPr="006C081F" w:rsidRDefault="00D346E8" w:rsidP="00406FCA">
            <w:pPr>
              <w:spacing w:before="240" w:line="360" w:lineRule="auto"/>
              <w:jc w:val="both"/>
              <w:rPr>
                <w:rFonts w:ascii="Arial" w:hAnsi="Arial" w:cs="Arial"/>
                <w:sz w:val="24"/>
                <w:szCs w:val="24"/>
              </w:rPr>
            </w:pPr>
            <w:r w:rsidRPr="00D346E8">
              <w:rPr>
                <w:rFonts w:ascii="Arial" w:hAnsi="Arial" w:cs="Arial"/>
                <w:sz w:val="24"/>
                <w:szCs w:val="24"/>
              </w:rPr>
              <w:t>It is possible that restructuring provokes layoffs and labour conflicts in different areas.</w:t>
            </w:r>
          </w:p>
        </w:tc>
        <w:tc>
          <w:tcPr>
            <w:tcW w:w="0" w:type="auto"/>
          </w:tcPr>
          <w:p w14:paraId="16E42C63" w14:textId="74D8F7D6" w:rsidR="000C31EF" w:rsidRPr="006C081F" w:rsidRDefault="00D346E8" w:rsidP="00406FCA">
            <w:pPr>
              <w:spacing w:before="240" w:line="360" w:lineRule="auto"/>
              <w:jc w:val="both"/>
              <w:rPr>
                <w:rFonts w:ascii="Arial" w:hAnsi="Arial" w:cs="Arial"/>
                <w:sz w:val="24"/>
                <w:szCs w:val="24"/>
              </w:rPr>
            </w:pPr>
            <w:r w:rsidRPr="00D346E8">
              <w:rPr>
                <w:rFonts w:ascii="Arial" w:hAnsi="Arial" w:cs="Arial"/>
                <w:sz w:val="24"/>
                <w:szCs w:val="24"/>
              </w:rPr>
              <w:t>Use equitable redundancy policy and adhere to local labour legislation.</w:t>
            </w:r>
          </w:p>
        </w:tc>
      </w:tr>
      <w:tr w:rsidR="00DF4B99" w:rsidRPr="006C081F" w14:paraId="19208256" w14:textId="77777777" w:rsidTr="00406FCA">
        <w:tc>
          <w:tcPr>
            <w:tcW w:w="0" w:type="auto"/>
          </w:tcPr>
          <w:p w14:paraId="68DC896E" w14:textId="4FDC2229" w:rsidR="00DF4B99" w:rsidRPr="00DF4B99" w:rsidRDefault="00DF4B99" w:rsidP="00406FCA">
            <w:pPr>
              <w:spacing w:before="240" w:line="360" w:lineRule="auto"/>
              <w:jc w:val="both"/>
              <w:rPr>
                <w:rFonts w:ascii="Arial" w:hAnsi="Arial" w:cs="Arial"/>
                <w:b/>
                <w:bCs/>
                <w:sz w:val="24"/>
                <w:szCs w:val="24"/>
              </w:rPr>
            </w:pPr>
            <w:r w:rsidRPr="00DF4B99">
              <w:rPr>
                <w:rFonts w:ascii="Arial" w:hAnsi="Arial" w:cs="Arial"/>
                <w:b/>
                <w:bCs/>
                <w:sz w:val="24"/>
                <w:szCs w:val="24"/>
              </w:rPr>
              <w:t>Corporate Social Responsibility</w:t>
            </w:r>
          </w:p>
        </w:tc>
        <w:tc>
          <w:tcPr>
            <w:tcW w:w="0" w:type="auto"/>
          </w:tcPr>
          <w:p w14:paraId="6F91236A" w14:textId="65449AE2" w:rsidR="00DF4B99" w:rsidRPr="006C081F" w:rsidRDefault="00D346E8" w:rsidP="00406FCA">
            <w:pPr>
              <w:spacing w:before="240" w:line="360" w:lineRule="auto"/>
              <w:jc w:val="both"/>
              <w:rPr>
                <w:rFonts w:ascii="Arial" w:hAnsi="Arial" w:cs="Arial"/>
                <w:sz w:val="24"/>
                <w:szCs w:val="24"/>
              </w:rPr>
            </w:pPr>
            <w:r w:rsidRPr="00D346E8">
              <w:rPr>
                <w:rFonts w:ascii="Arial" w:hAnsi="Arial" w:cs="Arial"/>
                <w:sz w:val="24"/>
                <w:szCs w:val="24"/>
              </w:rPr>
              <w:t>Cost-reduction can undermine the CSR promises and brand image.</w:t>
            </w:r>
          </w:p>
        </w:tc>
        <w:tc>
          <w:tcPr>
            <w:tcW w:w="0" w:type="auto"/>
          </w:tcPr>
          <w:p w14:paraId="2E088D46" w14:textId="41B36CA7" w:rsidR="00DF4B99" w:rsidRPr="006C081F" w:rsidRDefault="00AF6243" w:rsidP="00406FCA">
            <w:pPr>
              <w:spacing w:before="240" w:line="360" w:lineRule="auto"/>
              <w:jc w:val="both"/>
              <w:rPr>
                <w:rFonts w:ascii="Arial" w:hAnsi="Arial" w:cs="Arial"/>
                <w:sz w:val="24"/>
                <w:szCs w:val="24"/>
              </w:rPr>
            </w:pPr>
            <w:r w:rsidRPr="00AF6243">
              <w:rPr>
                <w:rFonts w:ascii="Arial" w:hAnsi="Arial" w:cs="Arial"/>
                <w:sz w:val="24"/>
                <w:szCs w:val="24"/>
              </w:rPr>
              <w:t>Embark on the inclusion of sustainability objectives in the restructuring decisions.</w:t>
            </w:r>
          </w:p>
        </w:tc>
      </w:tr>
    </w:tbl>
    <w:p w14:paraId="43BDE69B" w14:textId="77777777" w:rsidR="00AF6243" w:rsidRDefault="00AF6243" w:rsidP="00AF6243"/>
    <w:p w14:paraId="35EF1122" w14:textId="0C4810EC" w:rsidR="00AF6243" w:rsidRPr="00AF6243" w:rsidRDefault="00AF6243" w:rsidP="00CC3BE2">
      <w:pPr>
        <w:spacing w:line="360" w:lineRule="auto"/>
        <w:jc w:val="both"/>
        <w:rPr>
          <w:rFonts w:ascii="Arial" w:hAnsi="Arial" w:cs="Arial"/>
          <w:sz w:val="24"/>
          <w:szCs w:val="24"/>
        </w:rPr>
      </w:pPr>
      <w:r w:rsidRPr="00AF6243">
        <w:rPr>
          <w:rFonts w:ascii="Arial" w:hAnsi="Arial" w:cs="Arial"/>
          <w:sz w:val="24"/>
          <w:szCs w:val="24"/>
        </w:rPr>
        <w:t xml:space="preserve">Finally, the international risk management framework and a clear ethical position should underpin the financial restructuring of GE. Anticipating the currency, inflation, and regulatory risks will bring about the stability of financial performance, and the integration of ethical governance and CSR containment will safeguard the long-term reputation and trust of the stakeholders. This model is in line with the best practises in managing corporate turnaround around the world and helps to create sustainable values (Altman and Hotchkiss, 2020; </w:t>
      </w:r>
      <w:proofErr w:type="spellStart"/>
      <w:r w:rsidRPr="00AF6243">
        <w:rPr>
          <w:rFonts w:ascii="Arial" w:hAnsi="Arial" w:cs="Arial"/>
          <w:sz w:val="24"/>
          <w:szCs w:val="24"/>
        </w:rPr>
        <w:t>Atrill</w:t>
      </w:r>
      <w:proofErr w:type="spellEnd"/>
      <w:r w:rsidRPr="00AF6243">
        <w:rPr>
          <w:rFonts w:ascii="Arial" w:hAnsi="Arial" w:cs="Arial"/>
          <w:sz w:val="24"/>
          <w:szCs w:val="24"/>
        </w:rPr>
        <w:t xml:space="preserve"> and McLaney, 2023).</w:t>
      </w:r>
    </w:p>
    <w:p w14:paraId="3F018B2C" w14:textId="6433E542" w:rsidR="00F9619B" w:rsidRPr="006C081F" w:rsidRDefault="00713FEA" w:rsidP="00713FEA">
      <w:pPr>
        <w:pStyle w:val="Heading2"/>
      </w:pPr>
      <w:bookmarkStart w:id="15" w:name="_Toc216794679"/>
      <w:r w:rsidRPr="006C081F">
        <w:t>3.4</w:t>
      </w:r>
      <w:r w:rsidR="00F9619B" w:rsidRPr="006C081F">
        <w:t xml:space="preserve"> CSR and Ethical Requirements.</w:t>
      </w:r>
      <w:bookmarkEnd w:id="15"/>
    </w:p>
    <w:p w14:paraId="1FB6DFB6" w14:textId="362C5A13" w:rsidR="00E23A73" w:rsidRPr="00E23A73" w:rsidRDefault="00E23A73" w:rsidP="00E23A73">
      <w:pPr>
        <w:spacing w:before="240" w:line="360" w:lineRule="auto"/>
        <w:jc w:val="both"/>
        <w:rPr>
          <w:rFonts w:ascii="Arial" w:hAnsi="Arial" w:cs="Arial"/>
          <w:bCs/>
          <w:sz w:val="24"/>
          <w:szCs w:val="24"/>
        </w:rPr>
      </w:pPr>
      <w:r w:rsidRPr="00E23A73">
        <w:rPr>
          <w:rFonts w:ascii="Arial" w:hAnsi="Arial" w:cs="Arial"/>
          <w:bCs/>
          <w:sz w:val="24"/>
          <w:szCs w:val="24"/>
        </w:rPr>
        <w:t xml:space="preserve">Ethical governance and corporate Social Responsibility (CSR) are important aspects of sustainable financial management especially when financial institutions are undergoing restructuring of financial systems. In the case of General Electronics (GE), it is necessary to ensure the existence of high ethical standards when the company works on reducing costs and restructuring its capital to maintain stakeholder trust, </w:t>
      </w:r>
      <w:r w:rsidRPr="00E23A73">
        <w:rPr>
          <w:rFonts w:ascii="Arial" w:hAnsi="Arial" w:cs="Arial"/>
          <w:bCs/>
          <w:sz w:val="24"/>
          <w:szCs w:val="24"/>
        </w:rPr>
        <w:lastRenderedPageBreak/>
        <w:t>compliance with regulations, and corporate value in the long term (</w:t>
      </w:r>
      <w:proofErr w:type="spellStart"/>
      <w:r w:rsidRPr="00E23A73">
        <w:rPr>
          <w:rFonts w:ascii="Arial" w:hAnsi="Arial" w:cs="Arial"/>
          <w:bCs/>
          <w:sz w:val="24"/>
          <w:szCs w:val="24"/>
        </w:rPr>
        <w:t>Atrill</w:t>
      </w:r>
      <w:proofErr w:type="spellEnd"/>
      <w:r w:rsidRPr="00E23A73">
        <w:rPr>
          <w:rFonts w:ascii="Arial" w:hAnsi="Arial" w:cs="Arial"/>
          <w:bCs/>
          <w:sz w:val="24"/>
          <w:szCs w:val="24"/>
        </w:rPr>
        <w:t xml:space="preserve"> and McLaney, 2023).</w:t>
      </w:r>
    </w:p>
    <w:p w14:paraId="307F6ADA" w14:textId="00ABDE99" w:rsidR="00E23A73" w:rsidRDefault="00E23A73" w:rsidP="00E23A73">
      <w:pPr>
        <w:spacing w:before="240" w:line="360" w:lineRule="auto"/>
        <w:jc w:val="both"/>
        <w:rPr>
          <w:rFonts w:ascii="Arial" w:hAnsi="Arial" w:cs="Arial"/>
          <w:bCs/>
          <w:sz w:val="24"/>
          <w:szCs w:val="24"/>
        </w:rPr>
      </w:pPr>
      <w:r w:rsidRPr="00E23A73">
        <w:rPr>
          <w:rFonts w:ascii="Arial" w:hAnsi="Arial" w:cs="Arial"/>
          <w:bCs/>
          <w:sz w:val="24"/>
          <w:szCs w:val="24"/>
        </w:rPr>
        <w:t xml:space="preserve">In times of economic hardship, companies are tempted to focus on keeping afloat in the short-term, rather than on ethical issues. Nevertheless, there is body of scholarly research that organisations that incorporate CSR in restructuring decision-making have a better sustainable recovery and decreased reputational risk (Brealey, Myers and Allen, 2022). </w:t>
      </w:r>
    </w:p>
    <w:p w14:paraId="5E92C209" w14:textId="2B95D4A3" w:rsidR="00321671" w:rsidRPr="006C081F" w:rsidRDefault="00321671" w:rsidP="00E23A73">
      <w:pPr>
        <w:spacing w:before="240" w:line="360" w:lineRule="auto"/>
        <w:jc w:val="both"/>
        <w:rPr>
          <w:rFonts w:ascii="Arial" w:hAnsi="Arial" w:cs="Arial"/>
          <w:bCs/>
          <w:sz w:val="24"/>
          <w:szCs w:val="24"/>
        </w:rPr>
      </w:pPr>
      <w:r w:rsidRPr="00321671">
        <w:rPr>
          <w:rFonts w:ascii="Arial" w:hAnsi="Arial" w:cs="Arial"/>
          <w:bCs/>
          <w:sz w:val="24"/>
          <w:szCs w:val="24"/>
        </w:rPr>
        <w:t>Key CSR and ethical requirements for GE include:</w:t>
      </w:r>
    </w:p>
    <w:p w14:paraId="21681EE7" w14:textId="73DC5CB9" w:rsidR="00F9619B" w:rsidRPr="006C081F" w:rsidRDefault="002C03FC" w:rsidP="00F9619B">
      <w:pPr>
        <w:spacing w:before="240" w:line="360" w:lineRule="auto"/>
        <w:jc w:val="both"/>
        <w:rPr>
          <w:rFonts w:ascii="Arial" w:hAnsi="Arial" w:cs="Arial"/>
          <w:b/>
          <w:sz w:val="24"/>
          <w:szCs w:val="24"/>
        </w:rPr>
      </w:pPr>
      <w:r w:rsidRPr="006C081F">
        <w:rPr>
          <w:rFonts w:ascii="Arial" w:hAnsi="Arial" w:cs="Arial"/>
          <w:b/>
          <w:sz w:val="24"/>
          <w:szCs w:val="24"/>
        </w:rPr>
        <w:t xml:space="preserve">A. </w:t>
      </w:r>
      <w:r w:rsidR="00321671" w:rsidRPr="00321671">
        <w:rPr>
          <w:rFonts w:ascii="Arial" w:hAnsi="Arial" w:cs="Arial"/>
          <w:b/>
          <w:sz w:val="24"/>
          <w:szCs w:val="24"/>
        </w:rPr>
        <w:t>Employee Responsibility</w:t>
      </w:r>
      <w:r w:rsidR="00F9619B" w:rsidRPr="006C081F">
        <w:rPr>
          <w:rFonts w:ascii="Arial" w:hAnsi="Arial" w:cs="Arial"/>
          <w:b/>
          <w:sz w:val="24"/>
          <w:szCs w:val="24"/>
        </w:rPr>
        <w:t>:</w:t>
      </w:r>
    </w:p>
    <w:p w14:paraId="1F1A7C0C" w14:textId="6C782BC8" w:rsidR="00B0758F" w:rsidRPr="00B0758F" w:rsidRDefault="00B0758F" w:rsidP="00B0758F">
      <w:pPr>
        <w:pStyle w:val="ListParagraph"/>
        <w:numPr>
          <w:ilvl w:val="0"/>
          <w:numId w:val="27"/>
        </w:numPr>
        <w:spacing w:before="240" w:line="360" w:lineRule="auto"/>
        <w:jc w:val="both"/>
        <w:rPr>
          <w:rFonts w:ascii="Arial" w:hAnsi="Arial" w:cs="Arial"/>
          <w:bCs/>
          <w:sz w:val="24"/>
          <w:szCs w:val="24"/>
        </w:rPr>
      </w:pPr>
      <w:r w:rsidRPr="00B0758F">
        <w:rPr>
          <w:rFonts w:ascii="Arial" w:hAnsi="Arial" w:cs="Arial"/>
          <w:bCs/>
          <w:sz w:val="24"/>
          <w:szCs w:val="24"/>
        </w:rPr>
        <w:t>Treat employees fairly during restructuring, such as the transparent communication and the equal treatment in the process of redundancy.</w:t>
      </w:r>
    </w:p>
    <w:p w14:paraId="181D4ED1" w14:textId="3E20DE7A" w:rsidR="00B0758F" w:rsidRPr="00B0758F" w:rsidRDefault="00B0758F" w:rsidP="00B0758F">
      <w:pPr>
        <w:pStyle w:val="ListParagraph"/>
        <w:numPr>
          <w:ilvl w:val="0"/>
          <w:numId w:val="27"/>
        </w:numPr>
        <w:spacing w:before="240" w:line="360" w:lineRule="auto"/>
        <w:jc w:val="both"/>
        <w:rPr>
          <w:rFonts w:ascii="Arial" w:hAnsi="Arial" w:cs="Arial"/>
          <w:bCs/>
          <w:sz w:val="24"/>
          <w:szCs w:val="24"/>
        </w:rPr>
      </w:pPr>
      <w:r w:rsidRPr="00B0758F">
        <w:rPr>
          <w:rFonts w:ascii="Arial" w:hAnsi="Arial" w:cs="Arial"/>
          <w:bCs/>
          <w:sz w:val="24"/>
          <w:szCs w:val="24"/>
        </w:rPr>
        <w:t>Training, redeployment or severance assistance in situations where downsizing of the workforce is inevitable.</w:t>
      </w:r>
    </w:p>
    <w:p w14:paraId="21EB7C96" w14:textId="76EE9E67" w:rsidR="00A21C96" w:rsidRPr="006C081F" w:rsidRDefault="00B0758F" w:rsidP="00B0758F">
      <w:pPr>
        <w:pStyle w:val="ListParagraph"/>
        <w:numPr>
          <w:ilvl w:val="0"/>
          <w:numId w:val="27"/>
        </w:numPr>
        <w:spacing w:before="240" w:line="360" w:lineRule="auto"/>
        <w:jc w:val="both"/>
        <w:rPr>
          <w:rFonts w:ascii="Arial" w:hAnsi="Arial" w:cs="Arial"/>
          <w:bCs/>
          <w:sz w:val="24"/>
          <w:szCs w:val="24"/>
        </w:rPr>
      </w:pPr>
      <w:r w:rsidRPr="00B0758F">
        <w:rPr>
          <w:rFonts w:ascii="Arial" w:hAnsi="Arial" w:cs="Arial"/>
          <w:bCs/>
          <w:sz w:val="24"/>
          <w:szCs w:val="24"/>
        </w:rPr>
        <w:t>International labour standards increase the motivation of the employees and decrease the chances of legal liability.</w:t>
      </w:r>
    </w:p>
    <w:p w14:paraId="72A48F4B" w14:textId="143BFE1D" w:rsidR="00F9619B" w:rsidRPr="006C081F" w:rsidRDefault="002C03FC" w:rsidP="00F9619B">
      <w:pPr>
        <w:spacing w:before="240" w:line="360" w:lineRule="auto"/>
        <w:jc w:val="both"/>
        <w:rPr>
          <w:rFonts w:ascii="Arial" w:hAnsi="Arial" w:cs="Arial"/>
          <w:b/>
          <w:sz w:val="24"/>
          <w:szCs w:val="24"/>
        </w:rPr>
      </w:pPr>
      <w:r w:rsidRPr="006C081F">
        <w:rPr>
          <w:rFonts w:ascii="Arial" w:hAnsi="Arial" w:cs="Arial"/>
          <w:b/>
          <w:sz w:val="24"/>
          <w:szCs w:val="24"/>
        </w:rPr>
        <w:t xml:space="preserve">B. </w:t>
      </w:r>
      <w:r w:rsidR="00F200B0" w:rsidRPr="00F200B0">
        <w:rPr>
          <w:rFonts w:ascii="Arial" w:hAnsi="Arial" w:cs="Arial"/>
          <w:b/>
          <w:sz w:val="24"/>
          <w:szCs w:val="24"/>
        </w:rPr>
        <w:t>Financial Practises: responsible</w:t>
      </w:r>
      <w:r w:rsidR="00F9619B" w:rsidRPr="006C081F">
        <w:rPr>
          <w:rFonts w:ascii="Arial" w:hAnsi="Arial" w:cs="Arial"/>
          <w:b/>
          <w:sz w:val="24"/>
          <w:szCs w:val="24"/>
        </w:rPr>
        <w:t>:</w:t>
      </w:r>
    </w:p>
    <w:p w14:paraId="5FD997E5" w14:textId="2E7B4E9E" w:rsidR="00F200B0" w:rsidRPr="00F200B0" w:rsidRDefault="00F200B0" w:rsidP="00F200B0">
      <w:pPr>
        <w:pStyle w:val="ListParagraph"/>
        <w:numPr>
          <w:ilvl w:val="0"/>
          <w:numId w:val="28"/>
        </w:numPr>
        <w:spacing w:before="240" w:line="360" w:lineRule="auto"/>
        <w:jc w:val="both"/>
        <w:rPr>
          <w:rFonts w:ascii="Arial" w:hAnsi="Arial" w:cs="Arial"/>
          <w:bCs/>
          <w:sz w:val="24"/>
          <w:szCs w:val="24"/>
        </w:rPr>
      </w:pPr>
      <w:r w:rsidRPr="00F200B0">
        <w:rPr>
          <w:rFonts w:ascii="Arial" w:hAnsi="Arial" w:cs="Arial"/>
          <w:bCs/>
          <w:sz w:val="24"/>
          <w:szCs w:val="24"/>
        </w:rPr>
        <w:t>Be transparent in reporting and disclosure of financials especially in case of renegotiating debt or issuing new equity.</w:t>
      </w:r>
    </w:p>
    <w:p w14:paraId="0BD98797" w14:textId="6998C2F9" w:rsidR="00F200B0" w:rsidRPr="00F200B0" w:rsidRDefault="00F200B0" w:rsidP="00F200B0">
      <w:pPr>
        <w:pStyle w:val="ListParagraph"/>
        <w:numPr>
          <w:ilvl w:val="0"/>
          <w:numId w:val="28"/>
        </w:numPr>
        <w:spacing w:before="240" w:line="360" w:lineRule="auto"/>
        <w:jc w:val="both"/>
        <w:rPr>
          <w:rFonts w:ascii="Arial" w:hAnsi="Arial" w:cs="Arial"/>
          <w:bCs/>
          <w:sz w:val="24"/>
          <w:szCs w:val="24"/>
        </w:rPr>
      </w:pPr>
      <w:r w:rsidRPr="00F200B0">
        <w:rPr>
          <w:rFonts w:ascii="Arial" w:hAnsi="Arial" w:cs="Arial"/>
          <w:bCs/>
          <w:sz w:val="24"/>
          <w:szCs w:val="24"/>
        </w:rPr>
        <w:t>There should also be no aggressive accounting techniques that may deceive investors or creditors.</w:t>
      </w:r>
    </w:p>
    <w:p w14:paraId="32982C67" w14:textId="34082D24" w:rsidR="00A21C96" w:rsidRPr="006C081F" w:rsidRDefault="00F200B0" w:rsidP="00F200B0">
      <w:pPr>
        <w:pStyle w:val="ListParagraph"/>
        <w:numPr>
          <w:ilvl w:val="0"/>
          <w:numId w:val="28"/>
        </w:numPr>
        <w:spacing w:before="240" w:line="360" w:lineRule="auto"/>
        <w:jc w:val="both"/>
        <w:rPr>
          <w:rFonts w:ascii="Arial" w:hAnsi="Arial" w:cs="Arial"/>
          <w:bCs/>
          <w:sz w:val="24"/>
          <w:szCs w:val="24"/>
        </w:rPr>
      </w:pPr>
      <w:r w:rsidRPr="00F200B0">
        <w:rPr>
          <w:rFonts w:ascii="Arial" w:hAnsi="Arial" w:cs="Arial"/>
          <w:bCs/>
          <w:sz w:val="24"/>
          <w:szCs w:val="24"/>
        </w:rPr>
        <w:t>Financial governance that is ethical promotes trust in investors and regulatory trust (Palepu and Healy, 2022)</w:t>
      </w:r>
      <w:r w:rsidR="00BD6A56" w:rsidRPr="006C081F">
        <w:rPr>
          <w:rFonts w:ascii="Arial" w:hAnsi="Arial" w:cs="Arial"/>
          <w:bCs/>
          <w:sz w:val="24"/>
          <w:szCs w:val="24"/>
        </w:rPr>
        <w:t>.</w:t>
      </w:r>
    </w:p>
    <w:p w14:paraId="23839C83" w14:textId="77777777" w:rsidR="00CC3BE2" w:rsidRDefault="00CC3BE2" w:rsidP="00F9619B">
      <w:pPr>
        <w:spacing w:before="240" w:line="360" w:lineRule="auto"/>
        <w:jc w:val="both"/>
        <w:rPr>
          <w:rFonts w:ascii="Arial" w:hAnsi="Arial" w:cs="Arial"/>
          <w:b/>
          <w:sz w:val="24"/>
          <w:szCs w:val="24"/>
        </w:rPr>
      </w:pPr>
    </w:p>
    <w:p w14:paraId="6891A888" w14:textId="3819E550" w:rsidR="00F9619B" w:rsidRPr="006C081F" w:rsidRDefault="002C03FC" w:rsidP="00F9619B">
      <w:pPr>
        <w:spacing w:before="240" w:line="360" w:lineRule="auto"/>
        <w:jc w:val="both"/>
        <w:rPr>
          <w:rFonts w:ascii="Arial" w:hAnsi="Arial" w:cs="Arial"/>
          <w:b/>
          <w:sz w:val="24"/>
          <w:szCs w:val="24"/>
        </w:rPr>
      </w:pPr>
      <w:r w:rsidRPr="006C081F">
        <w:rPr>
          <w:rFonts w:ascii="Arial" w:hAnsi="Arial" w:cs="Arial"/>
          <w:b/>
          <w:sz w:val="24"/>
          <w:szCs w:val="24"/>
        </w:rPr>
        <w:t xml:space="preserve">C. </w:t>
      </w:r>
      <w:r w:rsidR="00E43831" w:rsidRPr="00E43831">
        <w:rPr>
          <w:rFonts w:ascii="Arial" w:hAnsi="Arial" w:cs="Arial"/>
          <w:b/>
          <w:sz w:val="24"/>
          <w:szCs w:val="24"/>
        </w:rPr>
        <w:t>Supplier Ethics and Customer Ethics</w:t>
      </w:r>
      <w:r w:rsidR="00F9619B" w:rsidRPr="006C081F">
        <w:rPr>
          <w:rFonts w:ascii="Arial" w:hAnsi="Arial" w:cs="Arial"/>
          <w:b/>
          <w:sz w:val="24"/>
          <w:szCs w:val="24"/>
        </w:rPr>
        <w:t>:</w:t>
      </w:r>
    </w:p>
    <w:p w14:paraId="597A71A4" w14:textId="31108A1B" w:rsidR="00E43831" w:rsidRPr="00E43831" w:rsidRDefault="00E43831" w:rsidP="00E43831">
      <w:pPr>
        <w:pStyle w:val="ListParagraph"/>
        <w:numPr>
          <w:ilvl w:val="0"/>
          <w:numId w:val="29"/>
        </w:numPr>
        <w:spacing w:before="240" w:line="360" w:lineRule="auto"/>
        <w:jc w:val="both"/>
        <w:rPr>
          <w:rFonts w:ascii="Arial" w:hAnsi="Arial" w:cs="Arial"/>
          <w:bCs/>
          <w:sz w:val="24"/>
          <w:szCs w:val="24"/>
        </w:rPr>
      </w:pPr>
      <w:r w:rsidRPr="00E43831">
        <w:rPr>
          <w:rFonts w:ascii="Arial" w:hAnsi="Arial" w:cs="Arial"/>
          <w:bCs/>
          <w:sz w:val="24"/>
          <w:szCs w:val="24"/>
        </w:rPr>
        <w:t>Be a good honourable contract and do not exploit suppliers by withholding payments too long.</w:t>
      </w:r>
    </w:p>
    <w:p w14:paraId="7AC3D46E" w14:textId="56CC3C3D" w:rsidR="00E43831" w:rsidRPr="00E43831" w:rsidRDefault="00E43831" w:rsidP="00E43831">
      <w:pPr>
        <w:pStyle w:val="ListParagraph"/>
        <w:numPr>
          <w:ilvl w:val="0"/>
          <w:numId w:val="29"/>
        </w:numPr>
        <w:spacing w:before="240" w:line="360" w:lineRule="auto"/>
        <w:jc w:val="both"/>
        <w:rPr>
          <w:rFonts w:ascii="Arial" w:hAnsi="Arial" w:cs="Arial"/>
          <w:bCs/>
          <w:sz w:val="24"/>
          <w:szCs w:val="24"/>
        </w:rPr>
      </w:pPr>
      <w:r w:rsidRPr="00E43831">
        <w:rPr>
          <w:rFonts w:ascii="Arial" w:hAnsi="Arial" w:cs="Arial"/>
          <w:bCs/>
          <w:sz w:val="24"/>
          <w:szCs w:val="24"/>
        </w:rPr>
        <w:t>Not compromising on the quality of products and safety of customers because of cost pressures.</w:t>
      </w:r>
    </w:p>
    <w:p w14:paraId="32C5F940" w14:textId="5D0A42B9" w:rsidR="00E43831" w:rsidRPr="00E43831" w:rsidRDefault="00E43831" w:rsidP="00E43831">
      <w:pPr>
        <w:pStyle w:val="ListParagraph"/>
        <w:numPr>
          <w:ilvl w:val="0"/>
          <w:numId w:val="29"/>
        </w:numPr>
        <w:spacing w:before="240" w:line="360" w:lineRule="auto"/>
        <w:jc w:val="both"/>
        <w:rPr>
          <w:rFonts w:ascii="Arial" w:hAnsi="Arial" w:cs="Arial"/>
          <w:bCs/>
          <w:sz w:val="24"/>
          <w:szCs w:val="24"/>
        </w:rPr>
      </w:pPr>
      <w:r w:rsidRPr="00E43831">
        <w:rPr>
          <w:rFonts w:ascii="Arial" w:hAnsi="Arial" w:cs="Arial"/>
          <w:bCs/>
          <w:sz w:val="24"/>
          <w:szCs w:val="24"/>
        </w:rPr>
        <w:lastRenderedPageBreak/>
        <w:t>Ethical supply chain management safeguards the brand image and future relations.</w:t>
      </w:r>
    </w:p>
    <w:p w14:paraId="54EA4EB1" w14:textId="04788019" w:rsidR="00E43831" w:rsidRPr="009B1F24" w:rsidRDefault="00E43831" w:rsidP="00E43831">
      <w:pPr>
        <w:spacing w:before="240" w:line="360" w:lineRule="auto"/>
        <w:jc w:val="both"/>
        <w:rPr>
          <w:rFonts w:ascii="Arial" w:hAnsi="Arial" w:cs="Arial"/>
          <w:b/>
          <w:sz w:val="24"/>
          <w:szCs w:val="24"/>
        </w:rPr>
      </w:pPr>
      <w:r w:rsidRPr="009B1F24">
        <w:rPr>
          <w:rFonts w:ascii="Arial" w:hAnsi="Arial" w:cs="Arial"/>
          <w:b/>
          <w:sz w:val="24"/>
          <w:szCs w:val="24"/>
        </w:rPr>
        <w:t>D.</w:t>
      </w:r>
      <w:r w:rsidR="00AD6312" w:rsidRPr="009B1F24">
        <w:rPr>
          <w:rFonts w:ascii="Arial" w:hAnsi="Arial" w:cs="Arial"/>
          <w:b/>
          <w:sz w:val="27"/>
          <w:szCs w:val="27"/>
        </w:rPr>
        <w:t xml:space="preserve"> </w:t>
      </w:r>
      <w:r w:rsidR="00AD6312" w:rsidRPr="009B1F24">
        <w:rPr>
          <w:rFonts w:ascii="Arial" w:hAnsi="Arial" w:cs="Arial"/>
          <w:b/>
          <w:sz w:val="24"/>
          <w:szCs w:val="24"/>
        </w:rPr>
        <w:t>Environmental Responsibility:</w:t>
      </w:r>
    </w:p>
    <w:p w14:paraId="2421E73B" w14:textId="58BFC9DE" w:rsidR="009B1F24" w:rsidRPr="009B1F24" w:rsidRDefault="009B1F24" w:rsidP="009B1F24">
      <w:pPr>
        <w:pStyle w:val="ListParagraph"/>
        <w:numPr>
          <w:ilvl w:val="0"/>
          <w:numId w:val="38"/>
        </w:numPr>
        <w:spacing w:before="240" w:line="360" w:lineRule="auto"/>
        <w:jc w:val="both"/>
        <w:rPr>
          <w:rFonts w:ascii="Arial" w:hAnsi="Arial" w:cs="Arial"/>
          <w:bCs/>
          <w:sz w:val="24"/>
          <w:szCs w:val="24"/>
        </w:rPr>
      </w:pPr>
      <w:r w:rsidRPr="009B1F24">
        <w:rPr>
          <w:rFonts w:ascii="Arial" w:hAnsi="Arial" w:cs="Arial"/>
          <w:bCs/>
          <w:sz w:val="24"/>
          <w:szCs w:val="24"/>
        </w:rPr>
        <w:t>Keep up with environmental rules and sustainability promises.</w:t>
      </w:r>
    </w:p>
    <w:p w14:paraId="65857359" w14:textId="33060C93" w:rsidR="009B1F24" w:rsidRPr="009B1F24" w:rsidRDefault="009B1F24" w:rsidP="009B1F24">
      <w:pPr>
        <w:pStyle w:val="ListParagraph"/>
        <w:numPr>
          <w:ilvl w:val="0"/>
          <w:numId w:val="38"/>
        </w:numPr>
        <w:spacing w:before="240" w:line="360" w:lineRule="auto"/>
        <w:jc w:val="both"/>
        <w:rPr>
          <w:rFonts w:ascii="Arial" w:hAnsi="Arial" w:cs="Arial"/>
          <w:bCs/>
          <w:sz w:val="24"/>
          <w:szCs w:val="24"/>
        </w:rPr>
      </w:pPr>
      <w:r w:rsidRPr="009B1F24">
        <w:rPr>
          <w:rFonts w:ascii="Arial" w:hAnsi="Arial" w:cs="Arial"/>
          <w:bCs/>
          <w:sz w:val="24"/>
          <w:szCs w:val="24"/>
        </w:rPr>
        <w:t>Add energy efficiency and minimization of waste to operation reorganisation.</w:t>
      </w:r>
    </w:p>
    <w:p w14:paraId="59F90B8F" w14:textId="4BA70BC7" w:rsidR="00AD6312" w:rsidRPr="009B1F24" w:rsidRDefault="009B1F24" w:rsidP="009B1F24">
      <w:pPr>
        <w:pStyle w:val="ListParagraph"/>
        <w:numPr>
          <w:ilvl w:val="0"/>
          <w:numId w:val="38"/>
        </w:numPr>
        <w:spacing w:before="240" w:line="360" w:lineRule="auto"/>
        <w:jc w:val="both"/>
        <w:rPr>
          <w:rFonts w:ascii="Arial" w:hAnsi="Arial" w:cs="Arial"/>
          <w:bCs/>
          <w:sz w:val="24"/>
          <w:szCs w:val="24"/>
        </w:rPr>
      </w:pPr>
      <w:r w:rsidRPr="009B1F24">
        <w:rPr>
          <w:rFonts w:ascii="Arial" w:hAnsi="Arial" w:cs="Arial"/>
          <w:bCs/>
          <w:sz w:val="24"/>
          <w:szCs w:val="24"/>
        </w:rPr>
        <w:t>Environmental stewardship concurs with the global expectations of ESG and minimises the operational risk in the long run.</w:t>
      </w:r>
    </w:p>
    <w:p w14:paraId="35BA8D71" w14:textId="42C7C25F" w:rsidR="00AD6312" w:rsidRPr="003816E5" w:rsidRDefault="00AD6312" w:rsidP="00E43831">
      <w:pPr>
        <w:spacing w:before="240" w:line="360" w:lineRule="auto"/>
        <w:jc w:val="both"/>
        <w:rPr>
          <w:rFonts w:ascii="Arial" w:hAnsi="Arial" w:cs="Arial"/>
          <w:b/>
          <w:sz w:val="24"/>
          <w:szCs w:val="24"/>
        </w:rPr>
      </w:pPr>
      <w:r w:rsidRPr="003816E5">
        <w:rPr>
          <w:rFonts w:ascii="Arial" w:hAnsi="Arial" w:cs="Arial"/>
          <w:b/>
          <w:sz w:val="24"/>
          <w:szCs w:val="24"/>
        </w:rPr>
        <w:t>E. Corporate governance and Compliance:</w:t>
      </w:r>
    </w:p>
    <w:p w14:paraId="53F25F0A" w14:textId="49DBBCE6" w:rsidR="003816E5" w:rsidRPr="003816E5" w:rsidRDefault="003816E5" w:rsidP="003816E5">
      <w:pPr>
        <w:pStyle w:val="ListParagraph"/>
        <w:numPr>
          <w:ilvl w:val="0"/>
          <w:numId w:val="39"/>
        </w:numPr>
        <w:spacing w:before="240" w:line="360" w:lineRule="auto"/>
        <w:jc w:val="both"/>
        <w:rPr>
          <w:rFonts w:ascii="Arial" w:hAnsi="Arial" w:cs="Arial"/>
          <w:bCs/>
          <w:sz w:val="24"/>
          <w:szCs w:val="24"/>
        </w:rPr>
      </w:pPr>
      <w:r w:rsidRPr="003816E5">
        <w:rPr>
          <w:rFonts w:ascii="Arial" w:hAnsi="Arial" w:cs="Arial"/>
          <w:bCs/>
          <w:sz w:val="24"/>
          <w:szCs w:val="24"/>
        </w:rPr>
        <w:t>Improve board supervision in the restructuring so that it is accountable.</w:t>
      </w:r>
    </w:p>
    <w:p w14:paraId="4B065F1C" w14:textId="01E6C01F" w:rsidR="003816E5" w:rsidRPr="003816E5" w:rsidRDefault="003816E5" w:rsidP="003816E5">
      <w:pPr>
        <w:pStyle w:val="ListParagraph"/>
        <w:numPr>
          <w:ilvl w:val="0"/>
          <w:numId w:val="39"/>
        </w:numPr>
        <w:spacing w:before="240" w:line="360" w:lineRule="auto"/>
        <w:jc w:val="both"/>
        <w:rPr>
          <w:rFonts w:ascii="Arial" w:hAnsi="Arial" w:cs="Arial"/>
          <w:bCs/>
          <w:sz w:val="24"/>
          <w:szCs w:val="24"/>
        </w:rPr>
      </w:pPr>
      <w:r w:rsidRPr="003816E5">
        <w:rPr>
          <w:rFonts w:ascii="Arial" w:hAnsi="Arial" w:cs="Arial"/>
          <w:bCs/>
          <w:sz w:val="24"/>
          <w:szCs w:val="24"/>
        </w:rPr>
        <w:t>Encourage executive compensation that is based on creating long-term value and not minimising costs.</w:t>
      </w:r>
    </w:p>
    <w:p w14:paraId="43E9B086" w14:textId="4E7BA471" w:rsidR="009B1F24" w:rsidRPr="003816E5" w:rsidRDefault="003816E5" w:rsidP="003816E5">
      <w:pPr>
        <w:pStyle w:val="ListParagraph"/>
        <w:numPr>
          <w:ilvl w:val="0"/>
          <w:numId w:val="39"/>
        </w:numPr>
        <w:spacing w:before="240" w:line="360" w:lineRule="auto"/>
        <w:jc w:val="both"/>
        <w:rPr>
          <w:rFonts w:ascii="Arial" w:hAnsi="Arial" w:cs="Arial"/>
          <w:bCs/>
          <w:sz w:val="24"/>
          <w:szCs w:val="24"/>
        </w:rPr>
      </w:pPr>
      <w:r w:rsidRPr="003816E5">
        <w:rPr>
          <w:rFonts w:ascii="Arial" w:hAnsi="Arial" w:cs="Arial"/>
          <w:bCs/>
          <w:sz w:val="24"/>
          <w:szCs w:val="24"/>
        </w:rPr>
        <w:t>Efficient governance restricts the risks of ethical failure and financial malpractice (Altman and Hotchkiss, 2020).</w:t>
      </w:r>
    </w:p>
    <w:p w14:paraId="4B4ADFA9" w14:textId="3C0C4A0D" w:rsidR="003F6B39" w:rsidRPr="00E43831" w:rsidRDefault="009B1F24" w:rsidP="00E43831">
      <w:pPr>
        <w:spacing w:before="240" w:line="360" w:lineRule="auto"/>
        <w:jc w:val="both"/>
        <w:rPr>
          <w:rFonts w:ascii="Arial" w:hAnsi="Arial" w:cs="Arial"/>
          <w:bCs/>
          <w:sz w:val="24"/>
          <w:szCs w:val="24"/>
        </w:rPr>
      </w:pPr>
      <w:r w:rsidRPr="009B1F24">
        <w:rPr>
          <w:rFonts w:ascii="Arial" w:hAnsi="Arial" w:cs="Arial"/>
          <w:bCs/>
          <w:sz w:val="24"/>
          <w:szCs w:val="24"/>
        </w:rPr>
        <w:t>Overall, the restructuring strategy of GE should be supported with the powerful CSR and ethical investments. Ethical standards do not only help to reduce legal and reputational risks but they also contribute to sustainable recovery and confidence of long-term stakeholders in the company in the hard global business environment.</w:t>
      </w:r>
    </w:p>
    <w:p w14:paraId="02B84979" w14:textId="1A91CF79" w:rsidR="00CD4561" w:rsidRPr="006C081F" w:rsidRDefault="00CD4561" w:rsidP="00CD4561">
      <w:pPr>
        <w:pStyle w:val="Heading1"/>
      </w:pPr>
      <w:bookmarkStart w:id="16" w:name="_Toc216794680"/>
      <w:r w:rsidRPr="006C081F">
        <w:t xml:space="preserve">4. </w:t>
      </w:r>
      <w:r w:rsidR="00D46429" w:rsidRPr="006C081F">
        <w:t>Investment Appraisal and Capital Budgeting</w:t>
      </w:r>
      <w:bookmarkEnd w:id="16"/>
    </w:p>
    <w:p w14:paraId="300C6B6E" w14:textId="7B550DC0" w:rsidR="00CD4561" w:rsidRPr="006C081F" w:rsidRDefault="00587023" w:rsidP="00CD4561">
      <w:pPr>
        <w:spacing w:before="240" w:line="360" w:lineRule="auto"/>
        <w:jc w:val="both"/>
        <w:rPr>
          <w:rFonts w:ascii="Arial" w:hAnsi="Arial" w:cs="Arial"/>
          <w:bCs/>
          <w:sz w:val="24"/>
          <w:szCs w:val="24"/>
        </w:rPr>
      </w:pPr>
      <w:r w:rsidRPr="006C081F">
        <w:rPr>
          <w:rFonts w:ascii="Arial" w:hAnsi="Arial" w:cs="Arial"/>
          <w:bCs/>
          <w:sz w:val="24"/>
          <w:szCs w:val="24"/>
        </w:rPr>
        <w:t xml:space="preserve">The following tables calculate the five required investment appraisal metrics for projects </w:t>
      </w:r>
      <w:r w:rsidR="00B04D68" w:rsidRPr="006C081F">
        <w:rPr>
          <w:rFonts w:ascii="Arial" w:hAnsi="Arial" w:cs="Arial"/>
          <w:bCs/>
          <w:sz w:val="24"/>
          <w:szCs w:val="24"/>
        </w:rPr>
        <w:t>A, B</w:t>
      </w:r>
      <w:r w:rsidRPr="006C081F">
        <w:rPr>
          <w:rFonts w:ascii="Arial" w:hAnsi="Arial" w:cs="Arial"/>
          <w:bCs/>
          <w:sz w:val="24"/>
          <w:szCs w:val="24"/>
        </w:rPr>
        <w:t xml:space="preserve"> and C.</w:t>
      </w:r>
    </w:p>
    <w:p w14:paraId="0B18027E" w14:textId="77777777" w:rsidR="00CC3BE2" w:rsidRDefault="00CC3BE2" w:rsidP="00CD4561">
      <w:pPr>
        <w:spacing w:before="240" w:line="360" w:lineRule="auto"/>
        <w:jc w:val="both"/>
        <w:rPr>
          <w:rFonts w:ascii="Arial" w:hAnsi="Arial" w:cs="Arial"/>
          <w:b/>
          <w:sz w:val="24"/>
          <w:szCs w:val="24"/>
        </w:rPr>
      </w:pPr>
    </w:p>
    <w:p w14:paraId="33245864" w14:textId="77777777" w:rsidR="00CC3BE2" w:rsidRDefault="00CC3BE2" w:rsidP="00CD4561">
      <w:pPr>
        <w:spacing w:before="240" w:line="360" w:lineRule="auto"/>
        <w:jc w:val="both"/>
        <w:rPr>
          <w:rFonts w:ascii="Arial" w:hAnsi="Arial" w:cs="Arial"/>
          <w:b/>
          <w:sz w:val="24"/>
          <w:szCs w:val="24"/>
        </w:rPr>
      </w:pPr>
    </w:p>
    <w:p w14:paraId="167FF7B7" w14:textId="1206A4FB" w:rsidR="00B04D68" w:rsidRPr="006C081F" w:rsidRDefault="00B04D68" w:rsidP="00CD4561">
      <w:pPr>
        <w:spacing w:before="240" w:line="360" w:lineRule="auto"/>
        <w:jc w:val="both"/>
        <w:rPr>
          <w:rFonts w:ascii="Arial" w:hAnsi="Arial" w:cs="Arial"/>
          <w:b/>
          <w:sz w:val="24"/>
          <w:szCs w:val="24"/>
        </w:rPr>
      </w:pPr>
      <w:r w:rsidRPr="006C081F">
        <w:rPr>
          <w:rFonts w:ascii="Arial" w:hAnsi="Arial" w:cs="Arial"/>
          <w:b/>
          <w:sz w:val="24"/>
          <w:szCs w:val="24"/>
        </w:rPr>
        <w:t>A. Calculation of Cash Flows and Accounting Metrics</w:t>
      </w:r>
    </w:p>
    <w:p w14:paraId="00B6FFE9" w14:textId="1877BBC4" w:rsidR="00B04D68" w:rsidRPr="006C081F" w:rsidRDefault="00AE707B" w:rsidP="00CD4561">
      <w:pPr>
        <w:spacing w:before="240" w:line="360" w:lineRule="auto"/>
        <w:jc w:val="both"/>
        <w:rPr>
          <w:rFonts w:ascii="Arial" w:hAnsi="Arial" w:cs="Arial"/>
          <w:bCs/>
          <w:sz w:val="24"/>
          <w:szCs w:val="24"/>
        </w:rPr>
      </w:pPr>
      <w:r w:rsidRPr="006C081F">
        <w:rPr>
          <w:rFonts w:ascii="Arial" w:hAnsi="Arial" w:cs="Arial"/>
          <w:bCs/>
          <w:sz w:val="24"/>
          <w:szCs w:val="24"/>
        </w:rPr>
        <w:t>In order to compute the Accounting Rate of Return (ARR) we must compute the annual average accounting profit (Net Income) on a zero-straight-line depreciation</w:t>
      </w:r>
      <w:r w:rsidR="00542447" w:rsidRPr="006C081F">
        <w:rPr>
          <w:rFonts w:ascii="Arial" w:hAnsi="Arial" w:cs="Arial"/>
          <w:bCs/>
          <w:sz w:val="24"/>
          <w:szCs w:val="24"/>
        </w:rPr>
        <w:t>.</w:t>
      </w:r>
    </w:p>
    <w:p w14:paraId="41BF1CDC" w14:textId="14941C02" w:rsidR="00542447" w:rsidRPr="006C081F" w:rsidRDefault="00DA3912" w:rsidP="00CD4561">
      <w:pPr>
        <w:spacing w:before="240" w:line="360" w:lineRule="auto"/>
        <w:jc w:val="both"/>
        <w:rPr>
          <w:rFonts w:ascii="Arial" w:eastAsiaTheme="minorEastAsia" w:hAnsi="Arial" w:cs="Arial"/>
          <w:bCs/>
          <w:sz w:val="24"/>
          <w:szCs w:val="24"/>
        </w:rPr>
      </w:pPr>
      <w:r w:rsidRPr="006C081F">
        <w:rPr>
          <w:rFonts w:ascii="Arial" w:hAnsi="Arial" w:cs="Arial"/>
          <w:bCs/>
          <w:sz w:val="24"/>
          <w:szCs w:val="24"/>
        </w:rPr>
        <w:t xml:space="preserve">Annual Depreciation= </w:t>
      </w:r>
      <m:oMath>
        <m:f>
          <m:fPr>
            <m:ctrlPr>
              <w:rPr>
                <w:rFonts w:ascii="Cambria Math" w:hAnsi="Cambria Math" w:cs="Arial"/>
                <w:bCs/>
                <w:i/>
                <w:sz w:val="24"/>
                <w:szCs w:val="24"/>
              </w:rPr>
            </m:ctrlPr>
          </m:fPr>
          <m:num>
            <m:r>
              <w:rPr>
                <w:rFonts w:ascii="Cambria Math" w:hAnsi="Cambria Math" w:cs="Arial"/>
                <w:sz w:val="24"/>
                <w:szCs w:val="24"/>
              </w:rPr>
              <m:t xml:space="preserve"> Initial Investment</m:t>
            </m:r>
            <m:ctrlPr>
              <w:rPr>
                <w:rFonts w:ascii="Cambria Math" w:hAnsi="Cambria Math" w:cs="Arial"/>
                <w:i/>
                <w:sz w:val="24"/>
                <w:szCs w:val="24"/>
              </w:rPr>
            </m:ctrlPr>
          </m:num>
          <m:den>
            <m:r>
              <w:rPr>
                <w:rFonts w:ascii="Cambria Math" w:hAnsi="Cambria Math" w:cs="Arial"/>
                <w:sz w:val="24"/>
                <w:szCs w:val="24"/>
              </w:rPr>
              <m:t>5 years</m:t>
            </m:r>
          </m:den>
        </m:f>
      </m:oMath>
    </w:p>
    <w:p w14:paraId="0683708D" w14:textId="23261A47" w:rsidR="00D31188" w:rsidRPr="006C081F" w:rsidRDefault="00D31188" w:rsidP="00CD4561">
      <w:pPr>
        <w:spacing w:before="240" w:line="360" w:lineRule="auto"/>
        <w:jc w:val="both"/>
        <w:rPr>
          <w:rFonts w:ascii="Arial" w:eastAsiaTheme="minorEastAsia" w:hAnsi="Arial" w:cs="Arial"/>
          <w:bCs/>
          <w:sz w:val="24"/>
          <w:szCs w:val="24"/>
        </w:rPr>
      </w:pPr>
      <w:r w:rsidRPr="006C081F">
        <w:rPr>
          <w:rFonts w:ascii="Arial" w:hAnsi="Arial" w:cs="Arial"/>
          <w:bCs/>
          <w:sz w:val="24"/>
          <w:szCs w:val="24"/>
        </w:rPr>
        <w:lastRenderedPageBreak/>
        <w:t>Average Annual Profit=</w:t>
      </w:r>
      <w:r w:rsidR="00B817DB" w:rsidRPr="006C081F">
        <w:rPr>
          <w:rFonts w:ascii="Arial" w:hAnsi="Arial" w:cs="Arial"/>
          <w:bCs/>
          <w:sz w:val="24"/>
          <w:szCs w:val="24"/>
        </w:rPr>
        <w:t xml:space="preserve"> </w:t>
      </w:r>
      <m:oMath>
        <m:f>
          <m:fPr>
            <m:ctrlPr>
              <w:rPr>
                <w:rFonts w:ascii="Cambria Math" w:hAnsi="Cambria Math" w:cs="Arial"/>
                <w:bCs/>
                <w:i/>
                <w:sz w:val="24"/>
                <w:szCs w:val="24"/>
              </w:rPr>
            </m:ctrlPr>
          </m:fPr>
          <m:num>
            <m:r>
              <w:rPr>
                <w:rFonts w:ascii="Cambria Math" w:hAnsi="Cambria Math" w:cs="Arial"/>
                <w:sz w:val="24"/>
                <w:szCs w:val="24"/>
              </w:rPr>
              <m:t xml:space="preserve">Sum of Cash Inflows </m:t>
            </m:r>
            <m:ctrlPr>
              <w:rPr>
                <w:rFonts w:ascii="Cambria Math" w:hAnsi="Cambria Math" w:cs="Arial"/>
                <w:i/>
                <w:sz w:val="24"/>
                <w:szCs w:val="24"/>
              </w:rPr>
            </m:ctrlPr>
          </m:num>
          <m:den>
            <m:r>
              <w:rPr>
                <w:rFonts w:ascii="Cambria Math" w:hAnsi="Cambria Math" w:cs="Arial"/>
                <w:sz w:val="24"/>
                <w:szCs w:val="24"/>
              </w:rPr>
              <m:t xml:space="preserve">5 </m:t>
            </m:r>
          </m:den>
        </m:f>
      </m:oMath>
      <w:r w:rsidR="00221C18" w:rsidRPr="006C081F">
        <w:rPr>
          <w:rFonts w:ascii="Arial" w:eastAsiaTheme="minorEastAsia" w:hAnsi="Arial" w:cs="Arial"/>
          <w:bCs/>
          <w:sz w:val="24"/>
          <w:szCs w:val="24"/>
        </w:rPr>
        <w:t xml:space="preserve"> -</w:t>
      </w:r>
      <w:r w:rsidR="00CD3E5E" w:rsidRPr="006C081F">
        <w:t xml:space="preserve"> </w:t>
      </w:r>
      <w:r w:rsidR="00CD3E5E" w:rsidRPr="006C081F">
        <w:rPr>
          <w:rFonts w:ascii="Arial" w:eastAsiaTheme="minorEastAsia" w:hAnsi="Arial" w:cs="Arial"/>
          <w:bCs/>
          <w:sz w:val="24"/>
          <w:szCs w:val="24"/>
        </w:rPr>
        <w:t>Annual Depreciation</w:t>
      </w:r>
    </w:p>
    <w:tbl>
      <w:tblPr>
        <w:tblStyle w:val="TableGrid"/>
        <w:tblW w:w="8834" w:type="dxa"/>
        <w:tblLook w:val="04A0" w:firstRow="1" w:lastRow="0" w:firstColumn="1" w:lastColumn="0" w:noHBand="0" w:noVBand="1"/>
      </w:tblPr>
      <w:tblGrid>
        <w:gridCol w:w="4142"/>
        <w:gridCol w:w="1522"/>
        <w:gridCol w:w="1522"/>
        <w:gridCol w:w="1648"/>
      </w:tblGrid>
      <w:tr w:rsidR="00BD444C" w:rsidRPr="006C081F" w14:paraId="76C08D54" w14:textId="77777777" w:rsidTr="00EF57FC">
        <w:trPr>
          <w:trHeight w:val="842"/>
        </w:trPr>
        <w:tc>
          <w:tcPr>
            <w:tcW w:w="0" w:type="auto"/>
            <w:hideMark/>
          </w:tcPr>
          <w:p w14:paraId="7F000393" w14:textId="77777777"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
                <w:bCs/>
                <w:sz w:val="24"/>
                <w:szCs w:val="24"/>
              </w:rPr>
              <w:t>Project Detail (£m)</w:t>
            </w:r>
          </w:p>
        </w:tc>
        <w:tc>
          <w:tcPr>
            <w:tcW w:w="0" w:type="auto"/>
            <w:hideMark/>
          </w:tcPr>
          <w:p w14:paraId="3E9611A4" w14:textId="77777777"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
                <w:bCs/>
                <w:sz w:val="24"/>
                <w:szCs w:val="24"/>
              </w:rPr>
              <w:t>Project A</w:t>
            </w:r>
          </w:p>
        </w:tc>
        <w:tc>
          <w:tcPr>
            <w:tcW w:w="0" w:type="auto"/>
            <w:hideMark/>
          </w:tcPr>
          <w:p w14:paraId="1E2FA882" w14:textId="77777777"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
                <w:bCs/>
                <w:sz w:val="24"/>
                <w:szCs w:val="24"/>
              </w:rPr>
              <w:t>Project B</w:t>
            </w:r>
          </w:p>
        </w:tc>
        <w:tc>
          <w:tcPr>
            <w:tcW w:w="0" w:type="auto"/>
            <w:hideMark/>
          </w:tcPr>
          <w:p w14:paraId="2560343B" w14:textId="77777777"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
                <w:bCs/>
                <w:sz w:val="24"/>
                <w:szCs w:val="24"/>
              </w:rPr>
              <w:t>Project C</w:t>
            </w:r>
          </w:p>
        </w:tc>
      </w:tr>
      <w:tr w:rsidR="00BD444C" w:rsidRPr="006C081F" w14:paraId="7C81DAB9" w14:textId="77777777" w:rsidTr="00EF57FC">
        <w:trPr>
          <w:trHeight w:val="861"/>
        </w:trPr>
        <w:tc>
          <w:tcPr>
            <w:tcW w:w="0" w:type="auto"/>
            <w:hideMark/>
          </w:tcPr>
          <w:p w14:paraId="53FABDCF" w14:textId="6B698D9D"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
                <w:bCs/>
                <w:sz w:val="24"/>
                <w:szCs w:val="24"/>
              </w:rPr>
              <w:t xml:space="preserve">Initial Investment </w:t>
            </w:r>
            <m:oMath>
              <m:d>
                <m:dPr>
                  <m:ctrlPr>
                    <w:rPr>
                      <w:rFonts w:ascii="Cambria Math" w:hAnsi="Cambria Math" w:cs="Arial"/>
                      <w:b/>
                      <w:i/>
                      <w:sz w:val="24"/>
                      <w:szCs w:val="24"/>
                    </w:rPr>
                  </m:ctrlPr>
                </m:dPr>
                <m:e>
                  <m:sSub>
                    <m:sSubPr>
                      <m:ctrlPr>
                        <w:rPr>
                          <w:rFonts w:ascii="Cambria Math" w:hAnsi="Cambria Math" w:cs="Arial"/>
                          <w:b/>
                          <w:bCs/>
                          <w:i/>
                          <w:sz w:val="24"/>
                          <w:szCs w:val="24"/>
                        </w:rPr>
                      </m:ctrlPr>
                    </m:sSubPr>
                    <m:e>
                      <m:r>
                        <m:rPr>
                          <m:sty m:val="bi"/>
                        </m:rPr>
                        <w:rPr>
                          <w:rFonts w:ascii="Cambria Math" w:hAnsi="Cambria Math" w:cs="Arial"/>
                          <w:sz w:val="24"/>
                          <w:szCs w:val="24"/>
                        </w:rPr>
                        <m:t>I</m:t>
                      </m:r>
                      <m:ctrlPr>
                        <w:rPr>
                          <w:rFonts w:ascii="Cambria Math" w:hAnsi="Cambria Math" w:cs="Arial"/>
                          <w:b/>
                          <w:i/>
                          <w:sz w:val="24"/>
                          <w:szCs w:val="24"/>
                        </w:rPr>
                      </m:ctrlPr>
                    </m:e>
                    <m:sub>
                      <m:r>
                        <m:rPr>
                          <m:sty m:val="bi"/>
                        </m:rPr>
                        <w:rPr>
                          <w:rFonts w:ascii="Cambria Math" w:hAnsi="Cambria Math" w:cs="Arial"/>
                          <w:sz w:val="24"/>
                          <w:szCs w:val="24"/>
                        </w:rPr>
                        <m:t>0</m:t>
                      </m:r>
                    </m:sub>
                  </m:sSub>
                </m:e>
              </m:d>
            </m:oMath>
          </w:p>
        </w:tc>
        <w:tc>
          <w:tcPr>
            <w:tcW w:w="0" w:type="auto"/>
            <w:hideMark/>
          </w:tcPr>
          <w:p w14:paraId="5550966C" w14:textId="77777777"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Cs/>
                <w:sz w:val="24"/>
                <w:szCs w:val="24"/>
              </w:rPr>
              <w:t>40</w:t>
            </w:r>
          </w:p>
        </w:tc>
        <w:tc>
          <w:tcPr>
            <w:tcW w:w="0" w:type="auto"/>
            <w:hideMark/>
          </w:tcPr>
          <w:p w14:paraId="0FA7A07A" w14:textId="77777777"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Cs/>
                <w:sz w:val="24"/>
                <w:szCs w:val="24"/>
              </w:rPr>
              <w:t>30</w:t>
            </w:r>
          </w:p>
        </w:tc>
        <w:tc>
          <w:tcPr>
            <w:tcW w:w="0" w:type="auto"/>
            <w:hideMark/>
          </w:tcPr>
          <w:p w14:paraId="2CC429BC" w14:textId="77777777"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Cs/>
                <w:sz w:val="24"/>
                <w:szCs w:val="24"/>
              </w:rPr>
              <w:t>50</w:t>
            </w:r>
          </w:p>
        </w:tc>
      </w:tr>
      <w:tr w:rsidR="00BD444C" w:rsidRPr="006C081F" w14:paraId="52EB6C19" w14:textId="77777777" w:rsidTr="00EF57FC">
        <w:trPr>
          <w:trHeight w:val="842"/>
        </w:trPr>
        <w:tc>
          <w:tcPr>
            <w:tcW w:w="0" w:type="auto"/>
            <w:hideMark/>
          </w:tcPr>
          <w:p w14:paraId="1CB0EBB6" w14:textId="77777777"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
                <w:bCs/>
                <w:sz w:val="24"/>
                <w:szCs w:val="24"/>
              </w:rPr>
              <w:t>Total Inflows (Years 1-5)</w:t>
            </w:r>
          </w:p>
        </w:tc>
        <w:tc>
          <w:tcPr>
            <w:tcW w:w="0" w:type="auto"/>
            <w:hideMark/>
          </w:tcPr>
          <w:p w14:paraId="4A4F6C60" w14:textId="77777777"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Cs/>
                <w:sz w:val="24"/>
                <w:szCs w:val="24"/>
              </w:rPr>
              <w:t>54</w:t>
            </w:r>
          </w:p>
        </w:tc>
        <w:tc>
          <w:tcPr>
            <w:tcW w:w="0" w:type="auto"/>
            <w:hideMark/>
          </w:tcPr>
          <w:p w14:paraId="63FD6EBF" w14:textId="77777777"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Cs/>
                <w:sz w:val="24"/>
                <w:szCs w:val="24"/>
              </w:rPr>
              <w:t>30</w:t>
            </w:r>
          </w:p>
        </w:tc>
        <w:tc>
          <w:tcPr>
            <w:tcW w:w="0" w:type="auto"/>
            <w:hideMark/>
          </w:tcPr>
          <w:p w14:paraId="0C8E875B" w14:textId="77777777"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Cs/>
                <w:sz w:val="24"/>
                <w:szCs w:val="24"/>
              </w:rPr>
              <w:t>75</w:t>
            </w:r>
          </w:p>
        </w:tc>
      </w:tr>
      <w:tr w:rsidR="00BD444C" w:rsidRPr="006C081F" w14:paraId="7156B6A4" w14:textId="77777777" w:rsidTr="00EF57FC">
        <w:trPr>
          <w:trHeight w:val="852"/>
        </w:trPr>
        <w:tc>
          <w:tcPr>
            <w:tcW w:w="0" w:type="auto"/>
            <w:hideMark/>
          </w:tcPr>
          <w:p w14:paraId="2C9EE435" w14:textId="77777777"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
                <w:bCs/>
                <w:sz w:val="24"/>
                <w:szCs w:val="24"/>
              </w:rPr>
              <w:t>Average Annual Cash Inflow</w:t>
            </w:r>
          </w:p>
        </w:tc>
        <w:tc>
          <w:tcPr>
            <w:tcW w:w="0" w:type="auto"/>
            <w:hideMark/>
          </w:tcPr>
          <w:p w14:paraId="66A59906" w14:textId="77777777"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Cs/>
                <w:sz w:val="24"/>
                <w:szCs w:val="24"/>
              </w:rPr>
              <w:t>10.80</w:t>
            </w:r>
          </w:p>
        </w:tc>
        <w:tc>
          <w:tcPr>
            <w:tcW w:w="0" w:type="auto"/>
            <w:hideMark/>
          </w:tcPr>
          <w:p w14:paraId="79EC57DD" w14:textId="77777777"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Cs/>
                <w:sz w:val="24"/>
                <w:szCs w:val="24"/>
              </w:rPr>
              <w:t>6.00</w:t>
            </w:r>
          </w:p>
        </w:tc>
        <w:tc>
          <w:tcPr>
            <w:tcW w:w="0" w:type="auto"/>
            <w:hideMark/>
          </w:tcPr>
          <w:p w14:paraId="7AF3AD92" w14:textId="77777777"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Cs/>
                <w:sz w:val="24"/>
                <w:szCs w:val="24"/>
              </w:rPr>
              <w:t>15.00</w:t>
            </w:r>
          </w:p>
        </w:tc>
      </w:tr>
      <w:tr w:rsidR="00BD444C" w:rsidRPr="006C081F" w14:paraId="46508477" w14:textId="77777777" w:rsidTr="00EF57FC">
        <w:trPr>
          <w:trHeight w:val="990"/>
        </w:trPr>
        <w:tc>
          <w:tcPr>
            <w:tcW w:w="0" w:type="auto"/>
            <w:hideMark/>
          </w:tcPr>
          <w:p w14:paraId="26A9B47B" w14:textId="77777777"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
                <w:bCs/>
                <w:sz w:val="24"/>
                <w:szCs w:val="24"/>
              </w:rPr>
              <w:t>Annual Depreciation</w:t>
            </w:r>
          </w:p>
        </w:tc>
        <w:tc>
          <w:tcPr>
            <w:tcW w:w="0" w:type="auto"/>
            <w:hideMark/>
          </w:tcPr>
          <w:p w14:paraId="577D92BF" w14:textId="77133454"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Cs/>
                <w:sz w:val="24"/>
                <w:szCs w:val="24"/>
              </w:rPr>
              <w:t xml:space="preserve">8.00 </w:t>
            </w:r>
            <m:oMath>
              <m:r>
                <m:rPr>
                  <m:sty m:val="bi"/>
                </m:rPr>
                <w:rPr>
                  <w:rFonts w:ascii="Cambria Math" w:hAnsi="Cambria Math" w:cs="Arial"/>
                  <w:sz w:val="24"/>
                  <w:szCs w:val="24"/>
                </w:rPr>
                <m:t xml:space="preserve"> </m:t>
              </m:r>
              <m:d>
                <m:dPr>
                  <m:ctrlPr>
                    <w:rPr>
                      <w:rFonts w:ascii="Cambria Math" w:hAnsi="Cambria Math" w:cs="Arial"/>
                      <w:b/>
                      <w:i/>
                      <w:sz w:val="24"/>
                      <w:szCs w:val="24"/>
                    </w:rPr>
                  </m:ctrlPr>
                </m:dPr>
                <m:e>
                  <m:f>
                    <m:fPr>
                      <m:ctrlPr>
                        <w:rPr>
                          <w:rFonts w:ascii="Cambria Math" w:hAnsi="Cambria Math" w:cs="Arial"/>
                          <w:b/>
                          <w:bCs/>
                          <w:i/>
                          <w:sz w:val="24"/>
                          <w:szCs w:val="24"/>
                        </w:rPr>
                      </m:ctrlPr>
                    </m:fPr>
                    <m:num>
                      <m:r>
                        <m:rPr>
                          <m:sty m:val="b"/>
                        </m:rPr>
                        <w:rPr>
                          <w:rFonts w:ascii="Cambria Math" w:hAnsi="Cambria Math" w:cs="Arial"/>
                          <w:sz w:val="24"/>
                          <w:szCs w:val="24"/>
                        </w:rPr>
                        <m:t>40</m:t>
                      </m:r>
                      <m:ctrlPr>
                        <w:rPr>
                          <w:rFonts w:ascii="Cambria Math" w:hAnsi="Cambria Math" w:cs="Arial"/>
                          <w:b/>
                          <w:i/>
                          <w:sz w:val="24"/>
                          <w:szCs w:val="24"/>
                        </w:rPr>
                      </m:ctrlPr>
                    </m:num>
                    <m:den>
                      <m:r>
                        <m:rPr>
                          <m:sty m:val="bi"/>
                        </m:rPr>
                        <w:rPr>
                          <w:rFonts w:ascii="Cambria Math" w:hAnsi="Cambria Math" w:cs="Arial"/>
                          <w:sz w:val="24"/>
                          <w:szCs w:val="24"/>
                        </w:rPr>
                        <m:t>5</m:t>
                      </m:r>
                    </m:den>
                  </m:f>
                </m:e>
              </m:d>
            </m:oMath>
            <w:r w:rsidR="00BD444C" w:rsidRPr="006C081F">
              <w:rPr>
                <w:rFonts w:ascii="Arial" w:hAnsi="Arial" w:cs="Arial"/>
                <w:bCs/>
                <w:sz w:val="24"/>
                <w:szCs w:val="24"/>
              </w:rPr>
              <w:t xml:space="preserve"> </w:t>
            </w:r>
          </w:p>
        </w:tc>
        <w:tc>
          <w:tcPr>
            <w:tcW w:w="0" w:type="auto"/>
            <w:hideMark/>
          </w:tcPr>
          <w:p w14:paraId="07738ED8" w14:textId="60AB66E5"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Cs/>
                <w:sz w:val="24"/>
                <w:szCs w:val="24"/>
              </w:rPr>
              <w:t xml:space="preserve">6.00 </w:t>
            </w:r>
            <m:oMath>
              <m:r>
                <m:rPr>
                  <m:sty m:val="bi"/>
                </m:rPr>
                <w:rPr>
                  <w:rFonts w:ascii="Cambria Math" w:hAnsi="Cambria Math" w:cs="Arial"/>
                  <w:sz w:val="24"/>
                  <w:szCs w:val="24"/>
                </w:rPr>
                <m:t xml:space="preserve"> </m:t>
              </m:r>
              <m:d>
                <m:dPr>
                  <m:ctrlPr>
                    <w:rPr>
                      <w:rFonts w:ascii="Cambria Math" w:hAnsi="Cambria Math" w:cs="Arial"/>
                      <w:b/>
                      <w:i/>
                      <w:sz w:val="24"/>
                      <w:szCs w:val="24"/>
                    </w:rPr>
                  </m:ctrlPr>
                </m:dPr>
                <m:e>
                  <m:f>
                    <m:fPr>
                      <m:ctrlPr>
                        <w:rPr>
                          <w:rFonts w:ascii="Cambria Math" w:hAnsi="Cambria Math" w:cs="Arial"/>
                          <w:b/>
                          <w:bCs/>
                          <w:i/>
                          <w:sz w:val="24"/>
                          <w:szCs w:val="24"/>
                        </w:rPr>
                      </m:ctrlPr>
                    </m:fPr>
                    <m:num>
                      <m:r>
                        <m:rPr>
                          <m:sty m:val="b"/>
                        </m:rPr>
                        <w:rPr>
                          <w:rFonts w:ascii="Cambria Math" w:hAnsi="Cambria Math" w:cs="Arial"/>
                          <w:sz w:val="24"/>
                          <w:szCs w:val="24"/>
                        </w:rPr>
                        <m:t>30</m:t>
                      </m:r>
                      <m:ctrlPr>
                        <w:rPr>
                          <w:rFonts w:ascii="Cambria Math" w:hAnsi="Cambria Math" w:cs="Arial"/>
                          <w:b/>
                          <w:i/>
                          <w:sz w:val="24"/>
                          <w:szCs w:val="24"/>
                        </w:rPr>
                      </m:ctrlPr>
                    </m:num>
                    <m:den>
                      <m:r>
                        <m:rPr>
                          <m:sty m:val="bi"/>
                        </m:rPr>
                        <w:rPr>
                          <w:rFonts w:ascii="Cambria Math" w:hAnsi="Cambria Math" w:cs="Arial"/>
                          <w:sz w:val="24"/>
                          <w:szCs w:val="24"/>
                        </w:rPr>
                        <m:t>5</m:t>
                      </m:r>
                    </m:den>
                  </m:f>
                </m:e>
              </m:d>
            </m:oMath>
            <w:r w:rsidR="00BD444C" w:rsidRPr="006C081F">
              <w:rPr>
                <w:rFonts w:ascii="Arial" w:hAnsi="Arial" w:cs="Arial"/>
                <w:bCs/>
                <w:sz w:val="24"/>
                <w:szCs w:val="24"/>
              </w:rPr>
              <w:t xml:space="preserve"> </w:t>
            </w:r>
          </w:p>
        </w:tc>
        <w:tc>
          <w:tcPr>
            <w:tcW w:w="0" w:type="auto"/>
            <w:hideMark/>
          </w:tcPr>
          <w:p w14:paraId="773BA5B2" w14:textId="1733E99B"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Cs/>
                <w:sz w:val="24"/>
                <w:szCs w:val="24"/>
              </w:rPr>
              <w:t xml:space="preserve">10.00 </w:t>
            </w:r>
            <m:oMath>
              <m:r>
                <m:rPr>
                  <m:sty m:val="bi"/>
                </m:rPr>
                <w:rPr>
                  <w:rFonts w:ascii="Cambria Math" w:hAnsi="Cambria Math" w:cs="Arial"/>
                  <w:sz w:val="24"/>
                  <w:szCs w:val="24"/>
                </w:rPr>
                <m:t xml:space="preserve"> </m:t>
              </m:r>
              <m:d>
                <m:dPr>
                  <m:ctrlPr>
                    <w:rPr>
                      <w:rFonts w:ascii="Cambria Math" w:hAnsi="Cambria Math" w:cs="Arial"/>
                      <w:b/>
                      <w:i/>
                      <w:sz w:val="24"/>
                      <w:szCs w:val="24"/>
                    </w:rPr>
                  </m:ctrlPr>
                </m:dPr>
                <m:e>
                  <m:f>
                    <m:fPr>
                      <m:ctrlPr>
                        <w:rPr>
                          <w:rFonts w:ascii="Cambria Math" w:hAnsi="Cambria Math" w:cs="Arial"/>
                          <w:b/>
                          <w:bCs/>
                          <w:i/>
                          <w:sz w:val="24"/>
                          <w:szCs w:val="24"/>
                        </w:rPr>
                      </m:ctrlPr>
                    </m:fPr>
                    <m:num>
                      <m:r>
                        <m:rPr>
                          <m:sty m:val="b"/>
                        </m:rPr>
                        <w:rPr>
                          <w:rFonts w:ascii="Cambria Math" w:hAnsi="Cambria Math" w:cs="Arial"/>
                          <w:sz w:val="24"/>
                          <w:szCs w:val="24"/>
                        </w:rPr>
                        <m:t>50</m:t>
                      </m:r>
                      <m:ctrlPr>
                        <w:rPr>
                          <w:rFonts w:ascii="Cambria Math" w:hAnsi="Cambria Math" w:cs="Arial"/>
                          <w:b/>
                          <w:i/>
                          <w:sz w:val="24"/>
                          <w:szCs w:val="24"/>
                        </w:rPr>
                      </m:ctrlPr>
                    </m:num>
                    <m:den>
                      <m:r>
                        <m:rPr>
                          <m:sty m:val="bi"/>
                        </m:rPr>
                        <w:rPr>
                          <w:rFonts w:ascii="Cambria Math" w:hAnsi="Cambria Math" w:cs="Arial"/>
                          <w:sz w:val="24"/>
                          <w:szCs w:val="24"/>
                        </w:rPr>
                        <m:t>5</m:t>
                      </m:r>
                    </m:den>
                  </m:f>
                </m:e>
              </m:d>
            </m:oMath>
            <w:r w:rsidR="00EF57FC" w:rsidRPr="006C081F">
              <w:rPr>
                <w:rFonts w:ascii="Arial" w:hAnsi="Arial" w:cs="Arial"/>
                <w:bCs/>
                <w:sz w:val="24"/>
                <w:szCs w:val="24"/>
              </w:rPr>
              <w:t xml:space="preserve"> </w:t>
            </w:r>
          </w:p>
        </w:tc>
      </w:tr>
      <w:tr w:rsidR="00BD444C" w:rsidRPr="006C081F" w14:paraId="75668A3E" w14:textId="77777777" w:rsidTr="00EF57FC">
        <w:trPr>
          <w:trHeight w:val="842"/>
        </w:trPr>
        <w:tc>
          <w:tcPr>
            <w:tcW w:w="0" w:type="auto"/>
            <w:hideMark/>
          </w:tcPr>
          <w:p w14:paraId="19F6AB2A" w14:textId="77777777"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
                <w:bCs/>
                <w:sz w:val="24"/>
                <w:szCs w:val="24"/>
              </w:rPr>
              <w:t>Average Annual Profit</w:t>
            </w:r>
          </w:p>
        </w:tc>
        <w:tc>
          <w:tcPr>
            <w:tcW w:w="0" w:type="auto"/>
            <w:hideMark/>
          </w:tcPr>
          <w:p w14:paraId="27112D3F" w14:textId="77777777"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Cs/>
                <w:sz w:val="24"/>
                <w:szCs w:val="24"/>
              </w:rPr>
              <w:t>2.80</w:t>
            </w:r>
          </w:p>
        </w:tc>
        <w:tc>
          <w:tcPr>
            <w:tcW w:w="0" w:type="auto"/>
            <w:hideMark/>
          </w:tcPr>
          <w:p w14:paraId="59018C32" w14:textId="77777777"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Cs/>
                <w:sz w:val="24"/>
                <w:szCs w:val="24"/>
              </w:rPr>
              <w:t>0.00</w:t>
            </w:r>
          </w:p>
        </w:tc>
        <w:tc>
          <w:tcPr>
            <w:tcW w:w="0" w:type="auto"/>
            <w:hideMark/>
          </w:tcPr>
          <w:p w14:paraId="2B6C50DA" w14:textId="77777777"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Cs/>
                <w:sz w:val="24"/>
                <w:szCs w:val="24"/>
              </w:rPr>
              <w:t>5.00</w:t>
            </w:r>
          </w:p>
        </w:tc>
      </w:tr>
      <w:tr w:rsidR="00E5407B" w:rsidRPr="006C081F" w14:paraId="333DF21B" w14:textId="77777777" w:rsidTr="00EF57FC">
        <w:trPr>
          <w:trHeight w:val="980"/>
        </w:trPr>
        <w:tc>
          <w:tcPr>
            <w:tcW w:w="0" w:type="auto"/>
            <w:hideMark/>
          </w:tcPr>
          <w:p w14:paraId="79D25E90" w14:textId="4E25717D"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
                <w:bCs/>
                <w:sz w:val="24"/>
                <w:szCs w:val="24"/>
              </w:rPr>
              <w:t>Average Investment</w:t>
            </w:r>
            <m:oMath>
              <m:r>
                <m:rPr>
                  <m:sty m:val="bi"/>
                </m:rPr>
                <w:rPr>
                  <w:rFonts w:ascii="Cambria Math" w:hAnsi="Cambria Math" w:cs="Arial"/>
                  <w:sz w:val="24"/>
                  <w:szCs w:val="24"/>
                </w:rPr>
                <m:t xml:space="preserve"> </m:t>
              </m:r>
              <m:d>
                <m:dPr>
                  <m:ctrlPr>
                    <w:rPr>
                      <w:rFonts w:ascii="Cambria Math" w:hAnsi="Cambria Math" w:cs="Arial"/>
                      <w:b/>
                      <w:i/>
                      <w:sz w:val="24"/>
                      <w:szCs w:val="24"/>
                    </w:rPr>
                  </m:ctrlPr>
                </m:dPr>
                <m:e>
                  <m:f>
                    <m:fPr>
                      <m:ctrlPr>
                        <w:rPr>
                          <w:rFonts w:ascii="Cambria Math" w:hAnsi="Cambria Math" w:cs="Arial"/>
                          <w:b/>
                          <w:bCs/>
                          <w:i/>
                          <w:sz w:val="24"/>
                          <w:szCs w:val="24"/>
                        </w:rPr>
                      </m:ctrlPr>
                    </m:fPr>
                    <m:num>
                      <m:sSub>
                        <m:sSubPr>
                          <m:ctrlPr>
                            <w:rPr>
                              <w:rFonts w:ascii="Cambria Math" w:hAnsi="Cambria Math" w:cs="Arial"/>
                              <w:b/>
                              <w:bCs/>
                              <w:i/>
                              <w:sz w:val="24"/>
                              <w:szCs w:val="24"/>
                            </w:rPr>
                          </m:ctrlPr>
                        </m:sSubPr>
                        <m:e>
                          <m:r>
                            <m:rPr>
                              <m:sty m:val="bi"/>
                            </m:rPr>
                            <w:rPr>
                              <w:rFonts w:ascii="Cambria Math" w:hAnsi="Cambria Math" w:cs="Arial"/>
                              <w:sz w:val="24"/>
                              <w:szCs w:val="24"/>
                            </w:rPr>
                            <m:t>I</m:t>
                          </m:r>
                          <m:ctrlPr>
                            <w:rPr>
                              <w:rFonts w:ascii="Cambria Math" w:hAnsi="Cambria Math" w:cs="Arial"/>
                              <w:b/>
                              <w:i/>
                              <w:sz w:val="24"/>
                              <w:szCs w:val="24"/>
                            </w:rPr>
                          </m:ctrlPr>
                        </m:e>
                        <m:sub>
                          <m:r>
                            <m:rPr>
                              <m:sty m:val="bi"/>
                            </m:rPr>
                            <w:rPr>
                              <w:rFonts w:ascii="Cambria Math" w:hAnsi="Cambria Math" w:cs="Arial"/>
                              <w:sz w:val="24"/>
                              <w:szCs w:val="24"/>
                            </w:rPr>
                            <m:t>0</m:t>
                          </m:r>
                        </m:sub>
                      </m:sSub>
                      <m:ctrlPr>
                        <w:rPr>
                          <w:rFonts w:ascii="Cambria Math" w:hAnsi="Cambria Math" w:cs="Arial"/>
                          <w:b/>
                          <w:i/>
                          <w:sz w:val="24"/>
                          <w:szCs w:val="24"/>
                        </w:rPr>
                      </m:ctrlPr>
                    </m:num>
                    <m:den>
                      <m:r>
                        <m:rPr>
                          <m:sty m:val="bi"/>
                        </m:rPr>
                        <w:rPr>
                          <w:rFonts w:ascii="Cambria Math" w:hAnsi="Cambria Math" w:cs="Arial"/>
                          <w:sz w:val="24"/>
                          <w:szCs w:val="24"/>
                        </w:rPr>
                        <m:t>2</m:t>
                      </m:r>
                    </m:den>
                  </m:f>
                </m:e>
              </m:d>
            </m:oMath>
            <w:r w:rsidRPr="006C081F">
              <w:rPr>
                <w:rFonts w:ascii="Arial" w:hAnsi="Arial" w:cs="Arial"/>
                <w:bCs/>
                <w:sz w:val="24"/>
                <w:szCs w:val="24"/>
              </w:rPr>
              <w:t xml:space="preserve"> </w:t>
            </w:r>
          </w:p>
        </w:tc>
        <w:tc>
          <w:tcPr>
            <w:tcW w:w="0" w:type="auto"/>
            <w:hideMark/>
          </w:tcPr>
          <w:p w14:paraId="1682A5D6" w14:textId="77777777"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Cs/>
                <w:sz w:val="24"/>
                <w:szCs w:val="24"/>
              </w:rPr>
              <w:t>20.00</w:t>
            </w:r>
          </w:p>
        </w:tc>
        <w:tc>
          <w:tcPr>
            <w:tcW w:w="0" w:type="auto"/>
            <w:hideMark/>
          </w:tcPr>
          <w:p w14:paraId="2D20CF65" w14:textId="77777777"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Cs/>
                <w:sz w:val="24"/>
                <w:szCs w:val="24"/>
              </w:rPr>
              <w:t>15.00</w:t>
            </w:r>
          </w:p>
        </w:tc>
        <w:tc>
          <w:tcPr>
            <w:tcW w:w="0" w:type="auto"/>
            <w:hideMark/>
          </w:tcPr>
          <w:p w14:paraId="5EC1288F" w14:textId="77777777" w:rsidR="00CD3E5E" w:rsidRPr="006C081F" w:rsidRDefault="00CD3E5E" w:rsidP="00CD3E5E">
            <w:pPr>
              <w:spacing w:before="240" w:line="360" w:lineRule="auto"/>
              <w:jc w:val="both"/>
              <w:rPr>
                <w:rFonts w:ascii="Arial" w:hAnsi="Arial" w:cs="Arial"/>
                <w:bCs/>
                <w:sz w:val="24"/>
                <w:szCs w:val="24"/>
              </w:rPr>
            </w:pPr>
            <w:r w:rsidRPr="006C081F">
              <w:rPr>
                <w:rFonts w:ascii="Arial" w:hAnsi="Arial" w:cs="Arial"/>
                <w:bCs/>
                <w:sz w:val="24"/>
                <w:szCs w:val="24"/>
              </w:rPr>
              <w:t>25.00</w:t>
            </w:r>
          </w:p>
        </w:tc>
      </w:tr>
    </w:tbl>
    <w:p w14:paraId="3A277CC9" w14:textId="77777777" w:rsidR="00CC3BE2" w:rsidRDefault="00CC3BE2" w:rsidP="00CD4561">
      <w:pPr>
        <w:spacing w:before="240" w:line="360" w:lineRule="auto"/>
        <w:jc w:val="both"/>
        <w:rPr>
          <w:rFonts w:ascii="Arial" w:hAnsi="Arial" w:cs="Arial"/>
          <w:b/>
          <w:sz w:val="24"/>
          <w:szCs w:val="24"/>
        </w:rPr>
      </w:pPr>
    </w:p>
    <w:p w14:paraId="2D8264F7" w14:textId="77777777" w:rsidR="00CC3BE2" w:rsidRDefault="00CC3BE2">
      <w:pPr>
        <w:spacing w:after="160" w:line="278" w:lineRule="auto"/>
        <w:rPr>
          <w:rFonts w:ascii="Arial" w:hAnsi="Arial" w:cs="Arial"/>
          <w:b/>
          <w:sz w:val="24"/>
          <w:szCs w:val="24"/>
        </w:rPr>
      </w:pPr>
      <w:r>
        <w:rPr>
          <w:rFonts w:ascii="Arial" w:hAnsi="Arial" w:cs="Arial"/>
          <w:b/>
          <w:sz w:val="24"/>
          <w:szCs w:val="24"/>
        </w:rPr>
        <w:br w:type="page"/>
      </w:r>
    </w:p>
    <w:p w14:paraId="78F523C1" w14:textId="17EB0097" w:rsidR="00CD3E5E" w:rsidRPr="006C081F" w:rsidRDefault="00230F0F" w:rsidP="00CD4561">
      <w:pPr>
        <w:spacing w:before="240" w:line="360" w:lineRule="auto"/>
        <w:jc w:val="both"/>
        <w:rPr>
          <w:rFonts w:ascii="Arial" w:hAnsi="Arial" w:cs="Arial"/>
          <w:b/>
          <w:sz w:val="24"/>
          <w:szCs w:val="24"/>
        </w:rPr>
      </w:pPr>
      <w:r w:rsidRPr="006C081F">
        <w:rPr>
          <w:rFonts w:ascii="Arial" w:hAnsi="Arial" w:cs="Arial"/>
          <w:b/>
          <w:sz w:val="24"/>
          <w:szCs w:val="24"/>
        </w:rPr>
        <w:lastRenderedPageBreak/>
        <w:t>B. Summary of Investment Appraisal Metrics</w:t>
      </w:r>
    </w:p>
    <w:p w14:paraId="09C5E76C" w14:textId="32C5B5D9" w:rsidR="00CD4561" w:rsidRPr="006C081F" w:rsidRDefault="0051361F" w:rsidP="00CD4561">
      <w:pPr>
        <w:spacing w:before="240" w:line="360" w:lineRule="auto"/>
        <w:jc w:val="both"/>
        <w:rPr>
          <w:rFonts w:ascii="Arial" w:hAnsi="Arial" w:cs="Arial"/>
          <w:bCs/>
          <w:sz w:val="24"/>
          <w:szCs w:val="24"/>
        </w:rPr>
      </w:pPr>
      <w:r w:rsidRPr="006C081F">
        <w:rPr>
          <w:rFonts w:ascii="Arial" w:hAnsi="Arial" w:cs="Arial"/>
          <w:bCs/>
          <w:sz w:val="24"/>
          <w:szCs w:val="24"/>
        </w:rPr>
        <w:t>The key metrics are summarised below. The decisions for the discounted cash flow (DCF) methods are based on a 10% discount rate.</w:t>
      </w:r>
    </w:p>
    <w:tbl>
      <w:tblPr>
        <w:tblStyle w:val="TableGrid"/>
        <w:tblW w:w="0" w:type="auto"/>
        <w:tblLook w:val="04A0" w:firstRow="1" w:lastRow="0" w:firstColumn="1" w:lastColumn="0" w:noHBand="0" w:noVBand="1"/>
      </w:tblPr>
      <w:tblGrid>
        <w:gridCol w:w="2358"/>
        <w:gridCol w:w="1132"/>
        <w:gridCol w:w="1132"/>
        <w:gridCol w:w="1132"/>
        <w:gridCol w:w="3262"/>
      </w:tblGrid>
      <w:tr w:rsidR="006C37F1" w:rsidRPr="006C081F" w14:paraId="041376E4" w14:textId="77777777" w:rsidTr="00DF588B">
        <w:tc>
          <w:tcPr>
            <w:tcW w:w="0" w:type="auto"/>
            <w:hideMark/>
          </w:tcPr>
          <w:p w14:paraId="6AA105B2" w14:textId="77777777" w:rsidR="00DF588B" w:rsidRPr="006C081F" w:rsidRDefault="00DF588B" w:rsidP="00DF588B">
            <w:pPr>
              <w:spacing w:before="240" w:line="360" w:lineRule="auto"/>
              <w:jc w:val="both"/>
              <w:rPr>
                <w:rFonts w:ascii="Arial" w:hAnsi="Arial" w:cs="Arial"/>
                <w:bCs/>
                <w:sz w:val="24"/>
                <w:szCs w:val="24"/>
              </w:rPr>
            </w:pPr>
            <w:r w:rsidRPr="006C081F">
              <w:rPr>
                <w:rFonts w:ascii="Arial" w:hAnsi="Arial" w:cs="Arial"/>
                <w:b/>
                <w:bCs/>
                <w:sz w:val="24"/>
                <w:szCs w:val="24"/>
              </w:rPr>
              <w:t>Metric</w:t>
            </w:r>
          </w:p>
        </w:tc>
        <w:tc>
          <w:tcPr>
            <w:tcW w:w="0" w:type="auto"/>
            <w:hideMark/>
          </w:tcPr>
          <w:p w14:paraId="3E6476C0" w14:textId="77777777" w:rsidR="00DF588B" w:rsidRPr="006C081F" w:rsidRDefault="00DF588B" w:rsidP="00DF588B">
            <w:pPr>
              <w:spacing w:before="240" w:line="360" w:lineRule="auto"/>
              <w:jc w:val="both"/>
              <w:rPr>
                <w:rFonts w:ascii="Arial" w:hAnsi="Arial" w:cs="Arial"/>
                <w:bCs/>
                <w:sz w:val="24"/>
                <w:szCs w:val="24"/>
              </w:rPr>
            </w:pPr>
            <w:r w:rsidRPr="006C081F">
              <w:rPr>
                <w:rFonts w:ascii="Arial" w:hAnsi="Arial" w:cs="Arial"/>
                <w:b/>
                <w:bCs/>
                <w:sz w:val="24"/>
                <w:szCs w:val="24"/>
              </w:rPr>
              <w:t>Project A</w:t>
            </w:r>
          </w:p>
        </w:tc>
        <w:tc>
          <w:tcPr>
            <w:tcW w:w="0" w:type="auto"/>
            <w:hideMark/>
          </w:tcPr>
          <w:p w14:paraId="2F2C6B9C" w14:textId="77777777" w:rsidR="00DF588B" w:rsidRPr="006C081F" w:rsidRDefault="00DF588B" w:rsidP="00DF588B">
            <w:pPr>
              <w:spacing w:before="240" w:line="360" w:lineRule="auto"/>
              <w:jc w:val="both"/>
              <w:rPr>
                <w:rFonts w:ascii="Arial" w:hAnsi="Arial" w:cs="Arial"/>
                <w:bCs/>
                <w:sz w:val="24"/>
                <w:szCs w:val="24"/>
              </w:rPr>
            </w:pPr>
            <w:r w:rsidRPr="006C081F">
              <w:rPr>
                <w:rFonts w:ascii="Arial" w:hAnsi="Arial" w:cs="Arial"/>
                <w:b/>
                <w:bCs/>
                <w:sz w:val="24"/>
                <w:szCs w:val="24"/>
              </w:rPr>
              <w:t>Project B</w:t>
            </w:r>
          </w:p>
        </w:tc>
        <w:tc>
          <w:tcPr>
            <w:tcW w:w="0" w:type="auto"/>
            <w:hideMark/>
          </w:tcPr>
          <w:p w14:paraId="5628FA91" w14:textId="77777777" w:rsidR="00DF588B" w:rsidRPr="006C081F" w:rsidRDefault="00DF588B" w:rsidP="00DF588B">
            <w:pPr>
              <w:spacing w:before="240" w:line="360" w:lineRule="auto"/>
              <w:jc w:val="both"/>
              <w:rPr>
                <w:rFonts w:ascii="Arial" w:hAnsi="Arial" w:cs="Arial"/>
                <w:bCs/>
                <w:sz w:val="24"/>
                <w:szCs w:val="24"/>
              </w:rPr>
            </w:pPr>
            <w:r w:rsidRPr="006C081F">
              <w:rPr>
                <w:rFonts w:ascii="Arial" w:hAnsi="Arial" w:cs="Arial"/>
                <w:b/>
                <w:bCs/>
                <w:sz w:val="24"/>
                <w:szCs w:val="24"/>
              </w:rPr>
              <w:t>Project C</w:t>
            </w:r>
          </w:p>
        </w:tc>
        <w:tc>
          <w:tcPr>
            <w:tcW w:w="0" w:type="auto"/>
            <w:hideMark/>
          </w:tcPr>
          <w:p w14:paraId="7D215DAB" w14:textId="77777777" w:rsidR="00DF588B" w:rsidRPr="006C081F" w:rsidRDefault="00DF588B" w:rsidP="00DF588B">
            <w:pPr>
              <w:spacing w:before="240" w:line="360" w:lineRule="auto"/>
              <w:jc w:val="both"/>
              <w:rPr>
                <w:rFonts w:ascii="Arial" w:hAnsi="Arial" w:cs="Arial"/>
                <w:bCs/>
                <w:sz w:val="24"/>
                <w:szCs w:val="24"/>
              </w:rPr>
            </w:pPr>
            <w:r w:rsidRPr="006C081F">
              <w:rPr>
                <w:rFonts w:ascii="Arial" w:hAnsi="Arial" w:cs="Arial"/>
                <w:b/>
                <w:bCs/>
                <w:sz w:val="24"/>
                <w:szCs w:val="24"/>
              </w:rPr>
              <w:t>Decision Criteria (10% DR)</w:t>
            </w:r>
          </w:p>
        </w:tc>
      </w:tr>
      <w:tr w:rsidR="006C37F1" w:rsidRPr="006C081F" w14:paraId="3FAF3DB7" w14:textId="77777777" w:rsidTr="00DF588B">
        <w:tc>
          <w:tcPr>
            <w:tcW w:w="0" w:type="auto"/>
            <w:hideMark/>
          </w:tcPr>
          <w:p w14:paraId="79C4AF6A" w14:textId="77777777" w:rsidR="00DF588B" w:rsidRPr="006C081F" w:rsidRDefault="00DF588B" w:rsidP="00DF588B">
            <w:pPr>
              <w:spacing w:before="240" w:line="360" w:lineRule="auto"/>
              <w:jc w:val="both"/>
              <w:rPr>
                <w:rFonts w:ascii="Arial" w:hAnsi="Arial" w:cs="Arial"/>
                <w:bCs/>
                <w:sz w:val="24"/>
                <w:szCs w:val="24"/>
              </w:rPr>
            </w:pPr>
            <w:r w:rsidRPr="006C081F">
              <w:rPr>
                <w:rFonts w:ascii="Arial" w:hAnsi="Arial" w:cs="Arial"/>
                <w:b/>
                <w:bCs/>
                <w:sz w:val="24"/>
                <w:szCs w:val="24"/>
              </w:rPr>
              <w:t>Payback Period (PBP)</w:t>
            </w:r>
          </w:p>
        </w:tc>
        <w:tc>
          <w:tcPr>
            <w:tcW w:w="0" w:type="auto"/>
            <w:hideMark/>
          </w:tcPr>
          <w:p w14:paraId="098A6441" w14:textId="77777777" w:rsidR="00DF588B" w:rsidRPr="006C081F" w:rsidRDefault="00DF588B" w:rsidP="00DF588B">
            <w:pPr>
              <w:spacing w:before="240" w:line="360" w:lineRule="auto"/>
              <w:jc w:val="both"/>
              <w:rPr>
                <w:rFonts w:ascii="Arial" w:hAnsi="Arial" w:cs="Arial"/>
                <w:bCs/>
                <w:sz w:val="24"/>
                <w:szCs w:val="24"/>
              </w:rPr>
            </w:pPr>
            <w:r w:rsidRPr="006C081F">
              <w:rPr>
                <w:rFonts w:ascii="Arial" w:hAnsi="Arial" w:cs="Arial"/>
                <w:bCs/>
                <w:sz w:val="24"/>
                <w:szCs w:val="24"/>
              </w:rPr>
              <w:t>3.57 years</w:t>
            </w:r>
          </w:p>
        </w:tc>
        <w:tc>
          <w:tcPr>
            <w:tcW w:w="0" w:type="auto"/>
            <w:hideMark/>
          </w:tcPr>
          <w:p w14:paraId="1D34D713" w14:textId="77777777" w:rsidR="00DF588B" w:rsidRPr="006C081F" w:rsidRDefault="00DF588B" w:rsidP="00DF588B">
            <w:pPr>
              <w:spacing w:before="240" w:line="360" w:lineRule="auto"/>
              <w:jc w:val="both"/>
              <w:rPr>
                <w:rFonts w:ascii="Arial" w:hAnsi="Arial" w:cs="Arial"/>
                <w:bCs/>
                <w:sz w:val="24"/>
                <w:szCs w:val="24"/>
              </w:rPr>
            </w:pPr>
            <w:r w:rsidRPr="006C081F">
              <w:rPr>
                <w:rFonts w:ascii="Arial" w:hAnsi="Arial" w:cs="Arial"/>
                <w:bCs/>
                <w:sz w:val="24"/>
                <w:szCs w:val="24"/>
              </w:rPr>
              <w:t>5.00 years</w:t>
            </w:r>
          </w:p>
        </w:tc>
        <w:tc>
          <w:tcPr>
            <w:tcW w:w="0" w:type="auto"/>
            <w:hideMark/>
          </w:tcPr>
          <w:p w14:paraId="0F2BB5FE" w14:textId="77777777" w:rsidR="00DF588B" w:rsidRPr="006C081F" w:rsidRDefault="00DF588B" w:rsidP="00DF588B">
            <w:pPr>
              <w:spacing w:before="240" w:line="360" w:lineRule="auto"/>
              <w:jc w:val="both"/>
              <w:rPr>
                <w:rFonts w:ascii="Arial" w:hAnsi="Arial" w:cs="Arial"/>
                <w:bCs/>
                <w:sz w:val="24"/>
                <w:szCs w:val="24"/>
              </w:rPr>
            </w:pPr>
            <w:r w:rsidRPr="006C081F">
              <w:rPr>
                <w:rFonts w:ascii="Arial" w:hAnsi="Arial" w:cs="Arial"/>
                <w:bCs/>
                <w:sz w:val="24"/>
                <w:szCs w:val="24"/>
              </w:rPr>
              <w:t>3.50 years</w:t>
            </w:r>
          </w:p>
        </w:tc>
        <w:tc>
          <w:tcPr>
            <w:tcW w:w="0" w:type="auto"/>
            <w:hideMark/>
          </w:tcPr>
          <w:p w14:paraId="1AF18CB2" w14:textId="77777777" w:rsidR="00DF588B" w:rsidRPr="006C081F" w:rsidRDefault="00DF588B" w:rsidP="00DF588B">
            <w:pPr>
              <w:spacing w:before="240" w:line="360" w:lineRule="auto"/>
              <w:jc w:val="both"/>
              <w:rPr>
                <w:rFonts w:ascii="Arial" w:hAnsi="Arial" w:cs="Arial"/>
                <w:bCs/>
                <w:sz w:val="24"/>
                <w:szCs w:val="24"/>
              </w:rPr>
            </w:pPr>
            <w:r w:rsidRPr="006C081F">
              <w:rPr>
                <w:rFonts w:ascii="Arial" w:hAnsi="Arial" w:cs="Arial"/>
                <w:bCs/>
                <w:sz w:val="24"/>
                <w:szCs w:val="24"/>
              </w:rPr>
              <w:t>Shorter PBP is preferred (Risk/Liquidity).</w:t>
            </w:r>
          </w:p>
        </w:tc>
      </w:tr>
      <w:tr w:rsidR="006C37F1" w:rsidRPr="006C081F" w14:paraId="4C350202" w14:textId="77777777" w:rsidTr="00DF588B">
        <w:tc>
          <w:tcPr>
            <w:tcW w:w="0" w:type="auto"/>
            <w:hideMark/>
          </w:tcPr>
          <w:p w14:paraId="40DF6009" w14:textId="77777777" w:rsidR="00DF588B" w:rsidRPr="006C081F" w:rsidRDefault="00DF588B" w:rsidP="00DF588B">
            <w:pPr>
              <w:spacing w:before="240" w:line="360" w:lineRule="auto"/>
              <w:jc w:val="both"/>
              <w:rPr>
                <w:rFonts w:ascii="Arial" w:hAnsi="Arial" w:cs="Arial"/>
                <w:bCs/>
                <w:sz w:val="24"/>
                <w:szCs w:val="24"/>
              </w:rPr>
            </w:pPr>
            <w:r w:rsidRPr="006C081F">
              <w:rPr>
                <w:rFonts w:ascii="Arial" w:hAnsi="Arial" w:cs="Arial"/>
                <w:b/>
                <w:bCs/>
                <w:sz w:val="24"/>
                <w:szCs w:val="24"/>
              </w:rPr>
              <w:t>Accounting Rate of Return (ARR)</w:t>
            </w:r>
          </w:p>
        </w:tc>
        <w:tc>
          <w:tcPr>
            <w:tcW w:w="0" w:type="auto"/>
            <w:hideMark/>
          </w:tcPr>
          <w:p w14:paraId="547408D8" w14:textId="6E79F696" w:rsidR="00DF588B" w:rsidRPr="006C081F" w:rsidRDefault="00DF588B" w:rsidP="00DF588B">
            <w:pPr>
              <w:spacing w:before="240" w:line="360" w:lineRule="auto"/>
              <w:jc w:val="both"/>
              <w:rPr>
                <w:rFonts w:ascii="Arial" w:hAnsi="Arial" w:cs="Arial"/>
                <w:bCs/>
                <w:sz w:val="24"/>
                <w:szCs w:val="24"/>
              </w:rPr>
            </w:pPr>
            <w:r w:rsidRPr="006C081F">
              <w:rPr>
                <w:rFonts w:ascii="Arial" w:hAnsi="Arial" w:cs="Arial"/>
                <w:bCs/>
                <w:sz w:val="24"/>
                <w:szCs w:val="24"/>
              </w:rPr>
              <w:t>14.00%</w:t>
            </w:r>
          </w:p>
        </w:tc>
        <w:tc>
          <w:tcPr>
            <w:tcW w:w="0" w:type="auto"/>
            <w:hideMark/>
          </w:tcPr>
          <w:p w14:paraId="02841C91" w14:textId="24A89899" w:rsidR="00DF588B" w:rsidRPr="006C081F" w:rsidRDefault="00DF588B" w:rsidP="00DF588B">
            <w:pPr>
              <w:spacing w:before="240" w:line="360" w:lineRule="auto"/>
              <w:jc w:val="both"/>
              <w:rPr>
                <w:rFonts w:ascii="Arial" w:hAnsi="Arial" w:cs="Arial"/>
                <w:bCs/>
                <w:sz w:val="24"/>
                <w:szCs w:val="24"/>
              </w:rPr>
            </w:pPr>
            <w:r w:rsidRPr="006C081F">
              <w:rPr>
                <w:rFonts w:ascii="Arial" w:hAnsi="Arial" w:cs="Arial"/>
                <w:bCs/>
                <w:sz w:val="24"/>
                <w:szCs w:val="24"/>
              </w:rPr>
              <w:t>0.00%</w:t>
            </w:r>
          </w:p>
        </w:tc>
        <w:tc>
          <w:tcPr>
            <w:tcW w:w="0" w:type="auto"/>
            <w:hideMark/>
          </w:tcPr>
          <w:p w14:paraId="21488ED7" w14:textId="459A57D4" w:rsidR="00DF588B" w:rsidRPr="006C081F" w:rsidRDefault="00DF588B" w:rsidP="00DF588B">
            <w:pPr>
              <w:spacing w:before="240" w:line="360" w:lineRule="auto"/>
              <w:jc w:val="both"/>
              <w:rPr>
                <w:rFonts w:ascii="Arial" w:hAnsi="Arial" w:cs="Arial"/>
                <w:bCs/>
                <w:sz w:val="24"/>
                <w:szCs w:val="24"/>
              </w:rPr>
            </w:pPr>
            <w:r w:rsidRPr="006C081F">
              <w:rPr>
                <w:rFonts w:ascii="Arial" w:hAnsi="Arial" w:cs="Arial"/>
                <w:bCs/>
                <w:sz w:val="24"/>
                <w:szCs w:val="24"/>
              </w:rPr>
              <w:t>20.00%</w:t>
            </w:r>
          </w:p>
        </w:tc>
        <w:tc>
          <w:tcPr>
            <w:tcW w:w="0" w:type="auto"/>
            <w:hideMark/>
          </w:tcPr>
          <w:p w14:paraId="779C8F5E" w14:textId="77777777" w:rsidR="00DF588B" w:rsidRPr="006C081F" w:rsidRDefault="00DF588B" w:rsidP="00DF588B">
            <w:pPr>
              <w:spacing w:before="240" w:line="360" w:lineRule="auto"/>
              <w:jc w:val="both"/>
              <w:rPr>
                <w:rFonts w:ascii="Arial" w:hAnsi="Arial" w:cs="Arial"/>
                <w:bCs/>
                <w:sz w:val="24"/>
                <w:szCs w:val="24"/>
              </w:rPr>
            </w:pPr>
            <w:r w:rsidRPr="006C081F">
              <w:rPr>
                <w:rFonts w:ascii="Arial" w:hAnsi="Arial" w:cs="Arial"/>
                <w:bCs/>
                <w:sz w:val="24"/>
                <w:szCs w:val="24"/>
              </w:rPr>
              <w:t>Higher ARR is preferred.</w:t>
            </w:r>
          </w:p>
        </w:tc>
      </w:tr>
      <w:tr w:rsidR="006C37F1" w:rsidRPr="006C081F" w14:paraId="72D0C5E0" w14:textId="77777777" w:rsidTr="00DF588B">
        <w:tc>
          <w:tcPr>
            <w:tcW w:w="0" w:type="auto"/>
            <w:hideMark/>
          </w:tcPr>
          <w:p w14:paraId="289AE01E" w14:textId="77777777" w:rsidR="00DF588B" w:rsidRPr="006C081F" w:rsidRDefault="00DF588B" w:rsidP="00DF588B">
            <w:pPr>
              <w:spacing w:before="240" w:line="360" w:lineRule="auto"/>
              <w:jc w:val="both"/>
              <w:rPr>
                <w:rFonts w:ascii="Arial" w:hAnsi="Arial" w:cs="Arial"/>
                <w:bCs/>
                <w:sz w:val="24"/>
                <w:szCs w:val="24"/>
              </w:rPr>
            </w:pPr>
            <w:r w:rsidRPr="006C081F">
              <w:rPr>
                <w:rFonts w:ascii="Arial" w:hAnsi="Arial" w:cs="Arial"/>
                <w:b/>
                <w:bCs/>
                <w:sz w:val="24"/>
                <w:szCs w:val="24"/>
              </w:rPr>
              <w:t>Net Present Value (NPV) (£m)</w:t>
            </w:r>
          </w:p>
        </w:tc>
        <w:tc>
          <w:tcPr>
            <w:tcW w:w="0" w:type="auto"/>
            <w:hideMark/>
          </w:tcPr>
          <w:p w14:paraId="5894AD1F" w14:textId="49EB1AC2" w:rsidR="00DF588B" w:rsidRPr="006C081F" w:rsidRDefault="00DF588B" w:rsidP="00DF588B">
            <w:pPr>
              <w:spacing w:before="240" w:line="360" w:lineRule="auto"/>
              <w:jc w:val="both"/>
              <w:rPr>
                <w:rFonts w:ascii="Arial" w:hAnsi="Arial" w:cs="Arial"/>
                <w:sz w:val="24"/>
                <w:szCs w:val="24"/>
              </w:rPr>
            </w:pPr>
            <w:r w:rsidRPr="006C081F">
              <w:rPr>
                <w:rFonts w:ascii="Arial" w:hAnsi="Arial" w:cs="Arial"/>
                <w:sz w:val="24"/>
                <w:szCs w:val="24"/>
              </w:rPr>
              <w:t>5.96</w:t>
            </w:r>
          </w:p>
        </w:tc>
        <w:tc>
          <w:tcPr>
            <w:tcW w:w="0" w:type="auto"/>
            <w:hideMark/>
          </w:tcPr>
          <w:p w14:paraId="5AC27060" w14:textId="36B75D7C" w:rsidR="00DF588B" w:rsidRPr="006C081F" w:rsidRDefault="00DF588B" w:rsidP="00DF588B">
            <w:pPr>
              <w:spacing w:before="240" w:line="360" w:lineRule="auto"/>
              <w:jc w:val="both"/>
              <w:rPr>
                <w:rFonts w:ascii="Arial" w:hAnsi="Arial" w:cs="Arial"/>
                <w:sz w:val="24"/>
                <w:szCs w:val="24"/>
              </w:rPr>
            </w:pPr>
            <w:r w:rsidRPr="006C081F">
              <w:rPr>
                <w:rFonts w:ascii="Arial" w:hAnsi="Arial" w:cs="Arial"/>
                <w:sz w:val="24"/>
                <w:szCs w:val="24"/>
              </w:rPr>
              <w:t>-7.32</w:t>
            </w:r>
          </w:p>
        </w:tc>
        <w:tc>
          <w:tcPr>
            <w:tcW w:w="0" w:type="auto"/>
            <w:hideMark/>
          </w:tcPr>
          <w:p w14:paraId="705E0537" w14:textId="550B199D" w:rsidR="00DF588B" w:rsidRPr="006C081F" w:rsidRDefault="00DF588B" w:rsidP="00DF588B">
            <w:pPr>
              <w:spacing w:before="240" w:line="360" w:lineRule="auto"/>
              <w:jc w:val="both"/>
              <w:rPr>
                <w:rFonts w:ascii="Arial" w:hAnsi="Arial" w:cs="Arial"/>
                <w:sz w:val="24"/>
                <w:szCs w:val="24"/>
              </w:rPr>
            </w:pPr>
            <w:r w:rsidRPr="006C081F">
              <w:rPr>
                <w:rFonts w:ascii="Arial" w:hAnsi="Arial" w:cs="Arial"/>
                <w:sz w:val="24"/>
                <w:szCs w:val="24"/>
              </w:rPr>
              <w:t>12.39</w:t>
            </w:r>
          </w:p>
        </w:tc>
        <w:tc>
          <w:tcPr>
            <w:tcW w:w="0" w:type="auto"/>
            <w:hideMark/>
          </w:tcPr>
          <w:p w14:paraId="61FAEFDC" w14:textId="25E28D54" w:rsidR="00DF588B" w:rsidRPr="006C081F" w:rsidRDefault="00DF588B" w:rsidP="00DF588B">
            <w:pPr>
              <w:spacing w:before="240" w:line="360" w:lineRule="auto"/>
              <w:jc w:val="both"/>
              <w:rPr>
                <w:rFonts w:ascii="Arial" w:hAnsi="Arial" w:cs="Arial"/>
                <w:bCs/>
                <w:sz w:val="24"/>
                <w:szCs w:val="24"/>
              </w:rPr>
            </w:pPr>
            <w:r w:rsidRPr="006C081F">
              <w:rPr>
                <w:rFonts w:ascii="Arial" w:hAnsi="Arial" w:cs="Arial"/>
                <w:bCs/>
                <w:sz w:val="24"/>
                <w:szCs w:val="24"/>
              </w:rPr>
              <w:t>Accept if &gt; 0. Higher NPV is preferred (Wealth Max.).</w:t>
            </w:r>
          </w:p>
        </w:tc>
      </w:tr>
      <w:tr w:rsidR="006C37F1" w:rsidRPr="006C081F" w14:paraId="6734538F" w14:textId="77777777" w:rsidTr="00DF588B">
        <w:tc>
          <w:tcPr>
            <w:tcW w:w="0" w:type="auto"/>
            <w:hideMark/>
          </w:tcPr>
          <w:p w14:paraId="4E442559" w14:textId="77777777" w:rsidR="00DF588B" w:rsidRPr="006C081F" w:rsidRDefault="00DF588B" w:rsidP="00DF588B">
            <w:pPr>
              <w:spacing w:before="240" w:line="360" w:lineRule="auto"/>
              <w:jc w:val="both"/>
              <w:rPr>
                <w:rFonts w:ascii="Arial" w:hAnsi="Arial" w:cs="Arial"/>
                <w:bCs/>
                <w:sz w:val="24"/>
                <w:szCs w:val="24"/>
              </w:rPr>
            </w:pPr>
            <w:r w:rsidRPr="006C081F">
              <w:rPr>
                <w:rFonts w:ascii="Arial" w:hAnsi="Arial" w:cs="Arial"/>
                <w:b/>
                <w:bCs/>
                <w:sz w:val="24"/>
                <w:szCs w:val="24"/>
              </w:rPr>
              <w:t>Internal Rate of Return (IRR)</w:t>
            </w:r>
          </w:p>
        </w:tc>
        <w:tc>
          <w:tcPr>
            <w:tcW w:w="0" w:type="auto"/>
            <w:hideMark/>
          </w:tcPr>
          <w:p w14:paraId="2759B4A7" w14:textId="2F9E9898" w:rsidR="00DF588B" w:rsidRPr="006C081F" w:rsidRDefault="00DF588B" w:rsidP="00DF588B">
            <w:pPr>
              <w:spacing w:before="240" w:line="360" w:lineRule="auto"/>
              <w:jc w:val="both"/>
              <w:rPr>
                <w:rFonts w:ascii="Arial" w:hAnsi="Arial" w:cs="Arial"/>
                <w:sz w:val="24"/>
                <w:szCs w:val="24"/>
              </w:rPr>
            </w:pPr>
            <w:r w:rsidRPr="006C081F">
              <w:rPr>
                <w:rFonts w:ascii="Arial" w:hAnsi="Arial" w:cs="Arial"/>
                <w:sz w:val="24"/>
                <w:szCs w:val="24"/>
              </w:rPr>
              <w:t>16.89%</w:t>
            </w:r>
          </w:p>
        </w:tc>
        <w:tc>
          <w:tcPr>
            <w:tcW w:w="0" w:type="auto"/>
            <w:hideMark/>
          </w:tcPr>
          <w:p w14:paraId="37744508" w14:textId="0D5485EA" w:rsidR="00DF588B" w:rsidRPr="006C081F" w:rsidRDefault="00DF588B" w:rsidP="00DF588B">
            <w:pPr>
              <w:spacing w:before="240" w:line="360" w:lineRule="auto"/>
              <w:jc w:val="both"/>
              <w:rPr>
                <w:rFonts w:ascii="Arial" w:hAnsi="Arial" w:cs="Arial"/>
                <w:sz w:val="24"/>
                <w:szCs w:val="24"/>
              </w:rPr>
            </w:pPr>
            <w:r w:rsidRPr="006C081F">
              <w:rPr>
                <w:rFonts w:ascii="Arial" w:hAnsi="Arial" w:cs="Arial"/>
                <w:sz w:val="24"/>
                <w:szCs w:val="24"/>
              </w:rPr>
              <w:t>10.00%</w:t>
            </w:r>
          </w:p>
        </w:tc>
        <w:tc>
          <w:tcPr>
            <w:tcW w:w="0" w:type="auto"/>
            <w:hideMark/>
          </w:tcPr>
          <w:p w14:paraId="02891FFF" w14:textId="1934478E" w:rsidR="00DF588B" w:rsidRPr="006C081F" w:rsidRDefault="00DF588B" w:rsidP="00DF588B">
            <w:pPr>
              <w:spacing w:before="240" w:line="360" w:lineRule="auto"/>
              <w:jc w:val="both"/>
              <w:rPr>
                <w:rFonts w:ascii="Arial" w:hAnsi="Arial" w:cs="Arial"/>
                <w:sz w:val="24"/>
                <w:szCs w:val="24"/>
              </w:rPr>
            </w:pPr>
            <w:r w:rsidRPr="006C081F">
              <w:rPr>
                <w:rFonts w:ascii="Arial" w:hAnsi="Arial" w:cs="Arial"/>
                <w:sz w:val="24"/>
                <w:szCs w:val="24"/>
              </w:rPr>
              <w:t>18.46%</w:t>
            </w:r>
          </w:p>
        </w:tc>
        <w:tc>
          <w:tcPr>
            <w:tcW w:w="0" w:type="auto"/>
            <w:hideMark/>
          </w:tcPr>
          <w:p w14:paraId="619D362D" w14:textId="7D72E32E" w:rsidR="00DF588B" w:rsidRPr="006C081F" w:rsidRDefault="00DF588B" w:rsidP="00DF588B">
            <w:pPr>
              <w:spacing w:before="240" w:line="360" w:lineRule="auto"/>
              <w:jc w:val="both"/>
              <w:rPr>
                <w:rFonts w:ascii="Arial" w:hAnsi="Arial" w:cs="Arial"/>
                <w:bCs/>
                <w:sz w:val="24"/>
                <w:szCs w:val="24"/>
              </w:rPr>
            </w:pPr>
            <w:r w:rsidRPr="006C081F">
              <w:rPr>
                <w:rFonts w:ascii="Arial" w:hAnsi="Arial" w:cs="Arial"/>
                <w:bCs/>
                <w:sz w:val="24"/>
                <w:szCs w:val="24"/>
              </w:rPr>
              <w:t>Accept if &gt; 10%. Higher IRR is preferred.</w:t>
            </w:r>
          </w:p>
        </w:tc>
      </w:tr>
      <w:tr w:rsidR="006C37F1" w:rsidRPr="006C081F" w14:paraId="5D4BCBC2" w14:textId="77777777" w:rsidTr="00DF588B">
        <w:tc>
          <w:tcPr>
            <w:tcW w:w="0" w:type="auto"/>
            <w:hideMark/>
          </w:tcPr>
          <w:p w14:paraId="5D76856A" w14:textId="77777777" w:rsidR="00DF588B" w:rsidRPr="006C081F" w:rsidRDefault="00DF588B" w:rsidP="00DF588B">
            <w:pPr>
              <w:spacing w:before="240" w:line="360" w:lineRule="auto"/>
              <w:jc w:val="both"/>
              <w:rPr>
                <w:rFonts w:ascii="Arial" w:hAnsi="Arial" w:cs="Arial"/>
                <w:bCs/>
                <w:sz w:val="24"/>
                <w:szCs w:val="24"/>
              </w:rPr>
            </w:pPr>
            <w:r w:rsidRPr="006C081F">
              <w:rPr>
                <w:rFonts w:ascii="Arial" w:hAnsi="Arial" w:cs="Arial"/>
                <w:b/>
                <w:bCs/>
                <w:sz w:val="24"/>
                <w:szCs w:val="24"/>
              </w:rPr>
              <w:t>Profitability Index (PI)</w:t>
            </w:r>
          </w:p>
        </w:tc>
        <w:tc>
          <w:tcPr>
            <w:tcW w:w="0" w:type="auto"/>
            <w:hideMark/>
          </w:tcPr>
          <w:p w14:paraId="26E92600" w14:textId="13B68A34" w:rsidR="00DF588B" w:rsidRPr="006C081F" w:rsidRDefault="00DF588B" w:rsidP="00DF588B">
            <w:pPr>
              <w:spacing w:before="240" w:line="360" w:lineRule="auto"/>
              <w:jc w:val="both"/>
              <w:rPr>
                <w:rFonts w:ascii="Arial" w:hAnsi="Arial" w:cs="Arial"/>
                <w:sz w:val="24"/>
                <w:szCs w:val="24"/>
              </w:rPr>
            </w:pPr>
            <w:r w:rsidRPr="006C081F">
              <w:rPr>
                <w:rFonts w:ascii="Arial" w:hAnsi="Arial" w:cs="Arial"/>
                <w:sz w:val="24"/>
                <w:szCs w:val="24"/>
              </w:rPr>
              <w:t>1.15</w:t>
            </w:r>
          </w:p>
        </w:tc>
        <w:tc>
          <w:tcPr>
            <w:tcW w:w="0" w:type="auto"/>
            <w:hideMark/>
          </w:tcPr>
          <w:p w14:paraId="59639674" w14:textId="308926EB" w:rsidR="00DF588B" w:rsidRPr="006C081F" w:rsidRDefault="00DF588B" w:rsidP="00DF588B">
            <w:pPr>
              <w:spacing w:before="240" w:line="360" w:lineRule="auto"/>
              <w:jc w:val="both"/>
              <w:rPr>
                <w:rFonts w:ascii="Arial" w:hAnsi="Arial" w:cs="Arial"/>
                <w:sz w:val="24"/>
                <w:szCs w:val="24"/>
              </w:rPr>
            </w:pPr>
            <w:r w:rsidRPr="006C081F">
              <w:rPr>
                <w:rFonts w:ascii="Arial" w:hAnsi="Arial" w:cs="Arial"/>
                <w:sz w:val="24"/>
                <w:szCs w:val="24"/>
              </w:rPr>
              <w:t>0.76</w:t>
            </w:r>
          </w:p>
        </w:tc>
        <w:tc>
          <w:tcPr>
            <w:tcW w:w="0" w:type="auto"/>
            <w:hideMark/>
          </w:tcPr>
          <w:p w14:paraId="5C8FD2C8" w14:textId="5069FEDB" w:rsidR="00DF588B" w:rsidRPr="006C081F" w:rsidRDefault="00DF588B" w:rsidP="00DF588B">
            <w:pPr>
              <w:spacing w:before="240" w:line="360" w:lineRule="auto"/>
              <w:jc w:val="both"/>
              <w:rPr>
                <w:rFonts w:ascii="Arial" w:hAnsi="Arial" w:cs="Arial"/>
                <w:sz w:val="24"/>
                <w:szCs w:val="24"/>
              </w:rPr>
            </w:pPr>
            <w:r w:rsidRPr="006C081F">
              <w:rPr>
                <w:rFonts w:ascii="Arial" w:hAnsi="Arial" w:cs="Arial"/>
                <w:sz w:val="24"/>
                <w:szCs w:val="24"/>
              </w:rPr>
              <w:t>1.25</w:t>
            </w:r>
          </w:p>
        </w:tc>
        <w:tc>
          <w:tcPr>
            <w:tcW w:w="0" w:type="auto"/>
            <w:hideMark/>
          </w:tcPr>
          <w:p w14:paraId="1496190D" w14:textId="14481195" w:rsidR="00DF588B" w:rsidRPr="006C081F" w:rsidRDefault="00DF588B" w:rsidP="00DF588B">
            <w:pPr>
              <w:spacing w:before="240" w:line="360" w:lineRule="auto"/>
              <w:jc w:val="both"/>
              <w:rPr>
                <w:rFonts w:ascii="Arial" w:hAnsi="Arial" w:cs="Arial"/>
                <w:bCs/>
                <w:sz w:val="24"/>
                <w:szCs w:val="24"/>
              </w:rPr>
            </w:pPr>
            <w:r w:rsidRPr="006C081F">
              <w:rPr>
                <w:rFonts w:ascii="Arial" w:hAnsi="Arial" w:cs="Arial"/>
                <w:bCs/>
                <w:sz w:val="24"/>
                <w:szCs w:val="24"/>
              </w:rPr>
              <w:t>Accept if &gt; 1. Higher PI is preferred (Capital Rationing).</w:t>
            </w:r>
          </w:p>
        </w:tc>
      </w:tr>
    </w:tbl>
    <w:p w14:paraId="084BDD26" w14:textId="408D0A4B" w:rsidR="00CD4561" w:rsidRPr="006C081F" w:rsidRDefault="000E57EC" w:rsidP="00CD4561">
      <w:pPr>
        <w:spacing w:before="240" w:line="360" w:lineRule="auto"/>
        <w:jc w:val="both"/>
        <w:rPr>
          <w:rFonts w:ascii="Arial" w:hAnsi="Arial" w:cs="Arial"/>
          <w:b/>
          <w:sz w:val="24"/>
          <w:szCs w:val="24"/>
        </w:rPr>
      </w:pPr>
      <w:r w:rsidRPr="006C081F">
        <w:rPr>
          <w:rFonts w:ascii="Arial" w:hAnsi="Arial" w:cs="Arial"/>
          <w:b/>
          <w:sz w:val="24"/>
          <w:szCs w:val="24"/>
        </w:rPr>
        <w:t>Detailed NPV Calculation (Using 10% Discount Factors)</w:t>
      </w:r>
      <w:r w:rsidR="00CD4561" w:rsidRPr="006C081F">
        <w:rPr>
          <w:rFonts w:ascii="Arial" w:hAnsi="Arial" w:cs="Arial"/>
          <w:b/>
          <w:sz w:val="24"/>
          <w:szCs w:val="24"/>
        </w:rPr>
        <w:t>:</w:t>
      </w:r>
    </w:p>
    <w:tbl>
      <w:tblPr>
        <w:tblStyle w:val="TableGrid"/>
        <w:tblW w:w="0" w:type="auto"/>
        <w:tblLook w:val="04A0" w:firstRow="1" w:lastRow="0" w:firstColumn="1" w:lastColumn="0" w:noHBand="0" w:noVBand="1"/>
      </w:tblPr>
      <w:tblGrid>
        <w:gridCol w:w="2569"/>
        <w:gridCol w:w="1017"/>
        <w:gridCol w:w="1810"/>
        <w:gridCol w:w="1810"/>
        <w:gridCol w:w="1810"/>
      </w:tblGrid>
      <w:tr w:rsidR="006A21CF" w:rsidRPr="006C081F" w14:paraId="7F5258BE" w14:textId="77777777" w:rsidTr="006A21CF">
        <w:tc>
          <w:tcPr>
            <w:tcW w:w="0" w:type="auto"/>
            <w:hideMark/>
          </w:tcPr>
          <w:p w14:paraId="2BB2A1A7"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
                <w:bCs/>
                <w:sz w:val="24"/>
                <w:szCs w:val="24"/>
              </w:rPr>
              <w:t>Year</w:t>
            </w:r>
          </w:p>
        </w:tc>
        <w:tc>
          <w:tcPr>
            <w:tcW w:w="0" w:type="auto"/>
            <w:hideMark/>
          </w:tcPr>
          <w:p w14:paraId="7EF04C0C" w14:textId="3B1F049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
                <w:bCs/>
                <w:sz w:val="24"/>
                <w:szCs w:val="24"/>
              </w:rPr>
              <w:t>DF10%</w:t>
            </w:r>
          </w:p>
        </w:tc>
        <w:tc>
          <w:tcPr>
            <w:tcW w:w="0" w:type="auto"/>
            <w:hideMark/>
          </w:tcPr>
          <w:p w14:paraId="63A25408"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
                <w:bCs/>
                <w:sz w:val="24"/>
                <w:szCs w:val="24"/>
              </w:rPr>
              <w:t>Project A (£m)</w:t>
            </w:r>
          </w:p>
        </w:tc>
        <w:tc>
          <w:tcPr>
            <w:tcW w:w="0" w:type="auto"/>
            <w:hideMark/>
          </w:tcPr>
          <w:p w14:paraId="657E917E"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
                <w:bCs/>
                <w:sz w:val="24"/>
                <w:szCs w:val="24"/>
              </w:rPr>
              <w:t>Project B (£m)</w:t>
            </w:r>
          </w:p>
        </w:tc>
        <w:tc>
          <w:tcPr>
            <w:tcW w:w="0" w:type="auto"/>
            <w:hideMark/>
          </w:tcPr>
          <w:p w14:paraId="43A07FC4"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
                <w:bCs/>
                <w:sz w:val="24"/>
                <w:szCs w:val="24"/>
              </w:rPr>
              <w:t>Project C (£m)</w:t>
            </w:r>
          </w:p>
        </w:tc>
      </w:tr>
      <w:tr w:rsidR="006A21CF" w:rsidRPr="006C081F" w14:paraId="01117D36" w14:textId="77777777" w:rsidTr="006A21CF">
        <w:tc>
          <w:tcPr>
            <w:tcW w:w="0" w:type="auto"/>
            <w:hideMark/>
          </w:tcPr>
          <w:p w14:paraId="1523695C"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
                <w:bCs/>
                <w:sz w:val="24"/>
                <w:szCs w:val="24"/>
              </w:rPr>
              <w:t>0</w:t>
            </w:r>
          </w:p>
        </w:tc>
        <w:tc>
          <w:tcPr>
            <w:tcW w:w="0" w:type="auto"/>
            <w:hideMark/>
          </w:tcPr>
          <w:p w14:paraId="0A8DBD7A"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1.000</w:t>
            </w:r>
          </w:p>
        </w:tc>
        <w:tc>
          <w:tcPr>
            <w:tcW w:w="0" w:type="auto"/>
            <w:hideMark/>
          </w:tcPr>
          <w:p w14:paraId="7AAA96A2"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(40.00)</w:t>
            </w:r>
          </w:p>
        </w:tc>
        <w:tc>
          <w:tcPr>
            <w:tcW w:w="0" w:type="auto"/>
            <w:hideMark/>
          </w:tcPr>
          <w:p w14:paraId="7D61B038"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(30.00)</w:t>
            </w:r>
          </w:p>
        </w:tc>
        <w:tc>
          <w:tcPr>
            <w:tcW w:w="0" w:type="auto"/>
            <w:hideMark/>
          </w:tcPr>
          <w:p w14:paraId="27B25FCA"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(50.00)</w:t>
            </w:r>
          </w:p>
        </w:tc>
      </w:tr>
      <w:tr w:rsidR="006A21CF" w:rsidRPr="006C081F" w14:paraId="062E7AA4" w14:textId="77777777" w:rsidTr="006A21CF">
        <w:tc>
          <w:tcPr>
            <w:tcW w:w="0" w:type="auto"/>
            <w:hideMark/>
          </w:tcPr>
          <w:p w14:paraId="16FD3645"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
                <w:bCs/>
                <w:sz w:val="24"/>
                <w:szCs w:val="24"/>
              </w:rPr>
              <w:t>1</w:t>
            </w:r>
          </w:p>
        </w:tc>
        <w:tc>
          <w:tcPr>
            <w:tcW w:w="0" w:type="auto"/>
            <w:hideMark/>
          </w:tcPr>
          <w:p w14:paraId="0B17AAA5"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0.909</w:t>
            </w:r>
          </w:p>
        </w:tc>
        <w:tc>
          <w:tcPr>
            <w:tcW w:w="0" w:type="auto"/>
            <w:hideMark/>
          </w:tcPr>
          <w:p w14:paraId="25FA360D"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9.09</w:t>
            </w:r>
          </w:p>
        </w:tc>
        <w:tc>
          <w:tcPr>
            <w:tcW w:w="0" w:type="auto"/>
            <w:hideMark/>
          </w:tcPr>
          <w:p w14:paraId="0AF8521A"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5.45</w:t>
            </w:r>
          </w:p>
        </w:tc>
        <w:tc>
          <w:tcPr>
            <w:tcW w:w="0" w:type="auto"/>
            <w:hideMark/>
          </w:tcPr>
          <w:p w14:paraId="73726235"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4.55</w:t>
            </w:r>
          </w:p>
        </w:tc>
      </w:tr>
      <w:tr w:rsidR="006A21CF" w:rsidRPr="006C081F" w14:paraId="445D986E" w14:textId="77777777" w:rsidTr="006A21CF">
        <w:tc>
          <w:tcPr>
            <w:tcW w:w="0" w:type="auto"/>
            <w:hideMark/>
          </w:tcPr>
          <w:p w14:paraId="40238652"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
                <w:bCs/>
                <w:sz w:val="24"/>
                <w:szCs w:val="24"/>
              </w:rPr>
              <w:lastRenderedPageBreak/>
              <w:t>2</w:t>
            </w:r>
          </w:p>
        </w:tc>
        <w:tc>
          <w:tcPr>
            <w:tcW w:w="0" w:type="auto"/>
            <w:hideMark/>
          </w:tcPr>
          <w:p w14:paraId="2DE4E017"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0.826</w:t>
            </w:r>
          </w:p>
        </w:tc>
        <w:tc>
          <w:tcPr>
            <w:tcW w:w="0" w:type="auto"/>
            <w:hideMark/>
          </w:tcPr>
          <w:p w14:paraId="4075A633"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9.91</w:t>
            </w:r>
          </w:p>
        </w:tc>
        <w:tc>
          <w:tcPr>
            <w:tcW w:w="0" w:type="auto"/>
            <w:hideMark/>
          </w:tcPr>
          <w:p w14:paraId="7C75D62E"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4.96</w:t>
            </w:r>
          </w:p>
        </w:tc>
        <w:tc>
          <w:tcPr>
            <w:tcW w:w="0" w:type="auto"/>
            <w:hideMark/>
          </w:tcPr>
          <w:p w14:paraId="4FA692E1"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8.26</w:t>
            </w:r>
          </w:p>
        </w:tc>
      </w:tr>
      <w:tr w:rsidR="006A21CF" w:rsidRPr="006C081F" w14:paraId="566BA6DD" w14:textId="77777777" w:rsidTr="006A21CF">
        <w:tc>
          <w:tcPr>
            <w:tcW w:w="0" w:type="auto"/>
            <w:hideMark/>
          </w:tcPr>
          <w:p w14:paraId="55AD93DE"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
                <w:bCs/>
                <w:sz w:val="24"/>
                <w:szCs w:val="24"/>
              </w:rPr>
              <w:t>3</w:t>
            </w:r>
          </w:p>
        </w:tc>
        <w:tc>
          <w:tcPr>
            <w:tcW w:w="0" w:type="auto"/>
            <w:hideMark/>
          </w:tcPr>
          <w:p w14:paraId="7F0E98AA"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0.751</w:t>
            </w:r>
          </w:p>
        </w:tc>
        <w:tc>
          <w:tcPr>
            <w:tcW w:w="0" w:type="auto"/>
            <w:hideMark/>
          </w:tcPr>
          <w:p w14:paraId="6E03BCF9"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10.51</w:t>
            </w:r>
          </w:p>
        </w:tc>
        <w:tc>
          <w:tcPr>
            <w:tcW w:w="0" w:type="auto"/>
            <w:hideMark/>
          </w:tcPr>
          <w:p w14:paraId="2075892E"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4.51</w:t>
            </w:r>
          </w:p>
        </w:tc>
        <w:tc>
          <w:tcPr>
            <w:tcW w:w="0" w:type="auto"/>
            <w:hideMark/>
          </w:tcPr>
          <w:p w14:paraId="581C72C4"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15.02</w:t>
            </w:r>
          </w:p>
        </w:tc>
      </w:tr>
      <w:tr w:rsidR="006A21CF" w:rsidRPr="006C081F" w14:paraId="7CEE9616" w14:textId="77777777" w:rsidTr="006A21CF">
        <w:tc>
          <w:tcPr>
            <w:tcW w:w="0" w:type="auto"/>
            <w:hideMark/>
          </w:tcPr>
          <w:p w14:paraId="7AED4812"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
                <w:bCs/>
                <w:sz w:val="24"/>
                <w:szCs w:val="24"/>
              </w:rPr>
              <w:t>4</w:t>
            </w:r>
          </w:p>
        </w:tc>
        <w:tc>
          <w:tcPr>
            <w:tcW w:w="0" w:type="auto"/>
            <w:hideMark/>
          </w:tcPr>
          <w:p w14:paraId="7BF2C7EE"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0.683</w:t>
            </w:r>
          </w:p>
        </w:tc>
        <w:tc>
          <w:tcPr>
            <w:tcW w:w="0" w:type="auto"/>
            <w:hideMark/>
          </w:tcPr>
          <w:p w14:paraId="2BECFD28"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6.83</w:t>
            </w:r>
          </w:p>
        </w:tc>
        <w:tc>
          <w:tcPr>
            <w:tcW w:w="0" w:type="auto"/>
            <w:hideMark/>
          </w:tcPr>
          <w:p w14:paraId="3DB8BF93"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4.10</w:t>
            </w:r>
          </w:p>
        </w:tc>
        <w:tc>
          <w:tcPr>
            <w:tcW w:w="0" w:type="auto"/>
            <w:hideMark/>
          </w:tcPr>
          <w:p w14:paraId="739A2E49"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17.08</w:t>
            </w:r>
          </w:p>
        </w:tc>
      </w:tr>
      <w:tr w:rsidR="006A21CF" w:rsidRPr="006C081F" w14:paraId="63BD184C" w14:textId="77777777" w:rsidTr="006A21CF">
        <w:tc>
          <w:tcPr>
            <w:tcW w:w="0" w:type="auto"/>
            <w:hideMark/>
          </w:tcPr>
          <w:p w14:paraId="6800B5A9"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
                <w:bCs/>
                <w:sz w:val="24"/>
                <w:szCs w:val="24"/>
              </w:rPr>
              <w:t>5</w:t>
            </w:r>
          </w:p>
        </w:tc>
        <w:tc>
          <w:tcPr>
            <w:tcW w:w="0" w:type="auto"/>
            <w:hideMark/>
          </w:tcPr>
          <w:p w14:paraId="7E461558"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0.621</w:t>
            </w:r>
          </w:p>
        </w:tc>
        <w:tc>
          <w:tcPr>
            <w:tcW w:w="0" w:type="auto"/>
            <w:hideMark/>
          </w:tcPr>
          <w:p w14:paraId="61ADC1F5"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4.97</w:t>
            </w:r>
          </w:p>
        </w:tc>
        <w:tc>
          <w:tcPr>
            <w:tcW w:w="0" w:type="auto"/>
            <w:hideMark/>
          </w:tcPr>
          <w:p w14:paraId="61F6D0E8"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3.73</w:t>
            </w:r>
          </w:p>
        </w:tc>
        <w:tc>
          <w:tcPr>
            <w:tcW w:w="0" w:type="auto"/>
            <w:hideMark/>
          </w:tcPr>
          <w:p w14:paraId="54B94C9D"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9.32</w:t>
            </w:r>
          </w:p>
        </w:tc>
      </w:tr>
      <w:tr w:rsidR="006A21CF" w:rsidRPr="006C081F" w14:paraId="4EC872A7" w14:textId="77777777" w:rsidTr="006A21CF">
        <w:tc>
          <w:tcPr>
            <w:tcW w:w="0" w:type="auto"/>
            <w:hideMark/>
          </w:tcPr>
          <w:p w14:paraId="6859FFB6"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
                <w:bCs/>
                <w:sz w:val="24"/>
                <w:szCs w:val="24"/>
              </w:rPr>
              <w:t>PV of Inflows</w:t>
            </w:r>
          </w:p>
        </w:tc>
        <w:tc>
          <w:tcPr>
            <w:tcW w:w="0" w:type="auto"/>
            <w:hideMark/>
          </w:tcPr>
          <w:p w14:paraId="5FB3DCBB" w14:textId="77777777" w:rsidR="006A21CF" w:rsidRPr="006C081F" w:rsidRDefault="006A21CF" w:rsidP="006A21CF">
            <w:pPr>
              <w:spacing w:before="240" w:line="360" w:lineRule="auto"/>
              <w:jc w:val="both"/>
              <w:rPr>
                <w:rFonts w:ascii="Arial" w:hAnsi="Arial" w:cs="Arial"/>
                <w:bCs/>
                <w:sz w:val="24"/>
                <w:szCs w:val="24"/>
              </w:rPr>
            </w:pPr>
          </w:p>
        </w:tc>
        <w:tc>
          <w:tcPr>
            <w:tcW w:w="0" w:type="auto"/>
            <w:hideMark/>
          </w:tcPr>
          <w:p w14:paraId="1227D631"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45.96</w:t>
            </w:r>
          </w:p>
        </w:tc>
        <w:tc>
          <w:tcPr>
            <w:tcW w:w="0" w:type="auto"/>
            <w:hideMark/>
          </w:tcPr>
          <w:p w14:paraId="1D50CAA1"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22.74</w:t>
            </w:r>
          </w:p>
        </w:tc>
        <w:tc>
          <w:tcPr>
            <w:tcW w:w="0" w:type="auto"/>
            <w:hideMark/>
          </w:tcPr>
          <w:p w14:paraId="3F7A3823" w14:textId="7777777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Cs/>
                <w:sz w:val="24"/>
                <w:szCs w:val="24"/>
              </w:rPr>
              <w:t>62.39</w:t>
            </w:r>
          </w:p>
        </w:tc>
      </w:tr>
      <w:tr w:rsidR="006A21CF" w:rsidRPr="006C081F" w14:paraId="42772488" w14:textId="77777777" w:rsidTr="006A21CF">
        <w:tc>
          <w:tcPr>
            <w:tcW w:w="0" w:type="auto"/>
            <w:hideMark/>
          </w:tcPr>
          <w:p w14:paraId="7AE345A2" w14:textId="4E85F2B7" w:rsidR="006A21CF" w:rsidRPr="006C081F" w:rsidRDefault="006A21CF" w:rsidP="006A21CF">
            <w:pPr>
              <w:spacing w:before="240" w:line="360" w:lineRule="auto"/>
              <w:jc w:val="both"/>
              <w:rPr>
                <w:rFonts w:ascii="Arial" w:hAnsi="Arial" w:cs="Arial"/>
                <w:bCs/>
                <w:sz w:val="24"/>
                <w:szCs w:val="24"/>
              </w:rPr>
            </w:pPr>
            <w:r w:rsidRPr="006C081F">
              <w:rPr>
                <w:rFonts w:ascii="Arial" w:hAnsi="Arial" w:cs="Arial"/>
                <w:b/>
                <w:bCs/>
                <w:sz w:val="24"/>
                <w:szCs w:val="24"/>
              </w:rPr>
              <w:t xml:space="preserve">NPV (PV Inflows </w:t>
            </w:r>
            <w:r w:rsidR="0084211F" w:rsidRPr="006C081F">
              <w:rPr>
                <w:rFonts w:ascii="Arial" w:hAnsi="Arial" w:cs="Arial"/>
                <w:b/>
                <w:bCs/>
                <w:sz w:val="24"/>
                <w:szCs w:val="24"/>
              </w:rPr>
              <w:t>–</w:t>
            </w:r>
            <w:r w:rsidRPr="006C081F">
              <w:rPr>
                <w:rFonts w:ascii="Arial" w:hAnsi="Arial" w:cs="Arial"/>
                <w:b/>
                <w:bCs/>
                <w:sz w:val="24"/>
                <w:szCs w:val="24"/>
              </w:rPr>
              <w:t xml:space="preserve"> </w:t>
            </w:r>
            <m:oMath>
              <m:sSub>
                <m:sSubPr>
                  <m:ctrlPr>
                    <w:rPr>
                      <w:rFonts w:ascii="Cambria Math" w:hAnsi="Cambria Math" w:cs="Arial"/>
                      <w:b/>
                      <w:bCs/>
                      <w:i/>
                      <w:sz w:val="24"/>
                      <w:szCs w:val="24"/>
                    </w:rPr>
                  </m:ctrlPr>
                </m:sSubPr>
                <m:e>
                  <m:r>
                    <m:rPr>
                      <m:sty m:val="bi"/>
                    </m:rPr>
                    <w:rPr>
                      <w:rFonts w:ascii="Cambria Math" w:hAnsi="Cambria Math" w:cs="Arial"/>
                      <w:sz w:val="24"/>
                      <w:szCs w:val="24"/>
                    </w:rPr>
                    <m:t>I</m:t>
                  </m:r>
                  <m:ctrlPr>
                    <w:rPr>
                      <w:rFonts w:ascii="Cambria Math" w:hAnsi="Cambria Math" w:cs="Arial"/>
                      <w:b/>
                      <w:i/>
                      <w:sz w:val="24"/>
                      <w:szCs w:val="24"/>
                    </w:rPr>
                  </m:ctrlPr>
                </m:e>
                <m:sub>
                  <m:r>
                    <m:rPr>
                      <m:sty m:val="bi"/>
                    </m:rPr>
                    <w:rPr>
                      <w:rFonts w:ascii="Cambria Math" w:hAnsi="Cambria Math" w:cs="Arial"/>
                      <w:sz w:val="24"/>
                      <w:szCs w:val="24"/>
                    </w:rPr>
                    <m:t>0</m:t>
                  </m:r>
                </m:sub>
              </m:sSub>
            </m:oMath>
            <w:r w:rsidRPr="006C081F">
              <w:rPr>
                <w:rFonts w:ascii="Arial" w:hAnsi="Arial" w:cs="Arial"/>
                <w:b/>
                <w:bCs/>
                <w:sz w:val="24"/>
                <w:szCs w:val="24"/>
              </w:rPr>
              <w:t>)</w:t>
            </w:r>
          </w:p>
        </w:tc>
        <w:tc>
          <w:tcPr>
            <w:tcW w:w="0" w:type="auto"/>
            <w:hideMark/>
          </w:tcPr>
          <w:p w14:paraId="7BF3574D" w14:textId="77777777" w:rsidR="006A21CF" w:rsidRPr="006C081F" w:rsidRDefault="006A21CF" w:rsidP="006A21CF">
            <w:pPr>
              <w:spacing w:before="240" w:line="360" w:lineRule="auto"/>
              <w:jc w:val="both"/>
              <w:rPr>
                <w:rFonts w:ascii="Arial" w:hAnsi="Arial" w:cs="Arial"/>
                <w:bCs/>
                <w:sz w:val="24"/>
                <w:szCs w:val="24"/>
              </w:rPr>
            </w:pPr>
          </w:p>
        </w:tc>
        <w:tc>
          <w:tcPr>
            <w:tcW w:w="0" w:type="auto"/>
            <w:hideMark/>
          </w:tcPr>
          <w:p w14:paraId="41692420" w14:textId="77777777" w:rsidR="006A21CF" w:rsidRPr="006C081F" w:rsidRDefault="006A21CF" w:rsidP="006A21CF">
            <w:pPr>
              <w:spacing w:before="240" w:line="360" w:lineRule="auto"/>
              <w:jc w:val="both"/>
              <w:rPr>
                <w:rFonts w:ascii="Arial" w:hAnsi="Arial" w:cs="Arial"/>
                <w:sz w:val="24"/>
                <w:szCs w:val="24"/>
              </w:rPr>
            </w:pPr>
            <w:r w:rsidRPr="006C081F">
              <w:rPr>
                <w:rFonts w:ascii="Arial" w:hAnsi="Arial" w:cs="Arial"/>
                <w:sz w:val="24"/>
                <w:szCs w:val="24"/>
              </w:rPr>
              <w:t>5.96</w:t>
            </w:r>
          </w:p>
        </w:tc>
        <w:tc>
          <w:tcPr>
            <w:tcW w:w="0" w:type="auto"/>
            <w:hideMark/>
          </w:tcPr>
          <w:p w14:paraId="799BC2E7" w14:textId="77777777" w:rsidR="006A21CF" w:rsidRPr="006C081F" w:rsidRDefault="006A21CF" w:rsidP="006A21CF">
            <w:pPr>
              <w:spacing w:before="240" w:line="360" w:lineRule="auto"/>
              <w:jc w:val="both"/>
              <w:rPr>
                <w:rFonts w:ascii="Arial" w:hAnsi="Arial" w:cs="Arial"/>
                <w:sz w:val="24"/>
                <w:szCs w:val="24"/>
              </w:rPr>
            </w:pPr>
            <w:r w:rsidRPr="006C081F">
              <w:rPr>
                <w:rFonts w:ascii="Arial" w:hAnsi="Arial" w:cs="Arial"/>
                <w:sz w:val="24"/>
                <w:szCs w:val="24"/>
              </w:rPr>
              <w:t>(7.32)</w:t>
            </w:r>
          </w:p>
        </w:tc>
        <w:tc>
          <w:tcPr>
            <w:tcW w:w="0" w:type="auto"/>
            <w:hideMark/>
          </w:tcPr>
          <w:p w14:paraId="67910B9B" w14:textId="77777777" w:rsidR="006A21CF" w:rsidRPr="006C081F" w:rsidRDefault="006A21CF" w:rsidP="006A21CF">
            <w:pPr>
              <w:spacing w:before="240" w:line="360" w:lineRule="auto"/>
              <w:jc w:val="both"/>
              <w:rPr>
                <w:rFonts w:ascii="Arial" w:hAnsi="Arial" w:cs="Arial"/>
                <w:sz w:val="24"/>
                <w:szCs w:val="24"/>
              </w:rPr>
            </w:pPr>
            <w:r w:rsidRPr="006C081F">
              <w:rPr>
                <w:rFonts w:ascii="Arial" w:hAnsi="Arial" w:cs="Arial"/>
                <w:sz w:val="24"/>
                <w:szCs w:val="24"/>
              </w:rPr>
              <w:t>12.39</w:t>
            </w:r>
          </w:p>
        </w:tc>
      </w:tr>
    </w:tbl>
    <w:p w14:paraId="616FB625" w14:textId="1139F753" w:rsidR="00CD4561" w:rsidRPr="006C081F" w:rsidRDefault="00646C8F" w:rsidP="00CD4561">
      <w:pPr>
        <w:spacing w:before="240" w:line="360" w:lineRule="auto"/>
        <w:jc w:val="both"/>
        <w:rPr>
          <w:rFonts w:ascii="Arial" w:hAnsi="Arial" w:cs="Arial"/>
          <w:bCs/>
          <w:sz w:val="24"/>
          <w:szCs w:val="24"/>
        </w:rPr>
      </w:pPr>
      <w:r w:rsidRPr="00646C8F">
        <w:rPr>
          <w:rFonts w:ascii="Arial" w:hAnsi="Arial" w:cs="Arial"/>
          <w:b/>
          <w:sz w:val="24"/>
          <w:szCs w:val="24"/>
        </w:rPr>
        <w:t xml:space="preserve">Remark: </w:t>
      </w:r>
      <w:r w:rsidRPr="00646C8F">
        <w:rPr>
          <w:rFonts w:ascii="Arial" w:hAnsi="Arial" w:cs="Arial"/>
          <w:bCs/>
          <w:sz w:val="24"/>
          <w:szCs w:val="24"/>
        </w:rPr>
        <w:t>Project B has an unfavourable NPV, and according to the traditional NPV standards, the project should not be approved under any circumstances since it is supposed to destroy shareholder value (Plutus Education, 2024).</w:t>
      </w:r>
    </w:p>
    <w:p w14:paraId="2BE02A9A" w14:textId="4D3B854E" w:rsidR="00C1382C" w:rsidRPr="006C081F" w:rsidRDefault="00C1382C" w:rsidP="00CD4561">
      <w:pPr>
        <w:spacing w:before="240" w:line="360" w:lineRule="auto"/>
        <w:jc w:val="both"/>
        <w:rPr>
          <w:rFonts w:ascii="Arial" w:hAnsi="Arial" w:cs="Arial"/>
          <w:b/>
          <w:sz w:val="24"/>
          <w:szCs w:val="24"/>
        </w:rPr>
      </w:pPr>
      <w:r w:rsidRPr="006C081F">
        <w:rPr>
          <w:rFonts w:ascii="Arial" w:hAnsi="Arial" w:cs="Arial"/>
          <w:b/>
          <w:sz w:val="24"/>
          <w:szCs w:val="24"/>
        </w:rPr>
        <w:t>C. Final Investment Recommendation under Capital Rationing</w:t>
      </w:r>
    </w:p>
    <w:p w14:paraId="5D28C84C" w14:textId="35E67E17" w:rsidR="00CD4561" w:rsidRPr="006C081F" w:rsidRDefault="00F76994" w:rsidP="00CD4561">
      <w:pPr>
        <w:spacing w:before="240" w:line="360" w:lineRule="auto"/>
        <w:jc w:val="both"/>
        <w:rPr>
          <w:rFonts w:ascii="Arial" w:hAnsi="Arial" w:cs="Arial"/>
          <w:bCs/>
          <w:sz w:val="24"/>
          <w:szCs w:val="24"/>
        </w:rPr>
      </w:pPr>
      <w:r w:rsidRPr="00F76994">
        <w:rPr>
          <w:rFonts w:ascii="Arial" w:hAnsi="Arial" w:cs="Arial"/>
          <w:bCs/>
          <w:sz w:val="24"/>
          <w:szCs w:val="24"/>
        </w:rPr>
        <w:t>Capital rationing is a scenario whereby the company has been left with more viable (acceptable NPV) projects than the amount of funds to finance them (</w:t>
      </w:r>
      <w:proofErr w:type="spellStart"/>
      <w:r w:rsidRPr="00F76994">
        <w:rPr>
          <w:rFonts w:ascii="Arial" w:hAnsi="Arial" w:cs="Arial"/>
          <w:bCs/>
          <w:sz w:val="24"/>
          <w:szCs w:val="24"/>
        </w:rPr>
        <w:t>Taxmann</w:t>
      </w:r>
      <w:proofErr w:type="spellEnd"/>
      <w:r w:rsidRPr="00F76994">
        <w:rPr>
          <w:rFonts w:ascii="Arial" w:hAnsi="Arial" w:cs="Arial"/>
          <w:bCs/>
          <w:sz w:val="24"/>
          <w:szCs w:val="24"/>
        </w:rPr>
        <w:t>, 2025). GE has Soft Capital Rationing that is its financial distress as well as strategic need to limit capital expenditure.</w:t>
      </w:r>
    </w:p>
    <w:p w14:paraId="162F2ECB" w14:textId="5C1C61FC" w:rsidR="005667DF" w:rsidRPr="006C081F" w:rsidRDefault="00737F84" w:rsidP="00A343E8">
      <w:pPr>
        <w:spacing w:before="240" w:line="360" w:lineRule="auto"/>
        <w:jc w:val="center"/>
        <w:rPr>
          <w:rFonts w:ascii="Arial" w:hAnsi="Arial" w:cs="Arial"/>
          <w:bCs/>
          <w:sz w:val="24"/>
          <w:szCs w:val="24"/>
        </w:rPr>
      </w:pPr>
      <w:r w:rsidRPr="006C081F">
        <w:rPr>
          <w:rFonts w:ascii="Arial" w:hAnsi="Arial" w:cs="Arial"/>
          <w:b/>
          <w:sz w:val="24"/>
          <w:szCs w:val="24"/>
        </w:rPr>
        <w:t>Capital Constraint:</w:t>
      </w:r>
      <w:r w:rsidR="00A343E8" w:rsidRPr="006C081F">
        <w:rPr>
          <w:rFonts w:ascii="Arial" w:hAnsi="Arial" w:cs="Arial"/>
          <w:b/>
          <w:sz w:val="24"/>
          <w:szCs w:val="24"/>
        </w:rPr>
        <w:t xml:space="preserve"> </w:t>
      </w:r>
      <w:r w:rsidR="00A343E8" w:rsidRPr="006C081F">
        <w:rPr>
          <w:rFonts w:ascii="Arial" w:hAnsi="Arial" w:cs="Arial"/>
          <w:bCs/>
          <w:sz w:val="24"/>
          <w:szCs w:val="24"/>
        </w:rPr>
        <w:t>Maximum Investment = £60 million</w:t>
      </w:r>
    </w:p>
    <w:p w14:paraId="0098E54E" w14:textId="09A0F904" w:rsidR="00CD4561" w:rsidRPr="006C081F" w:rsidRDefault="00D751B4" w:rsidP="00CD4561">
      <w:pPr>
        <w:spacing w:before="240" w:line="360" w:lineRule="auto"/>
        <w:jc w:val="both"/>
        <w:rPr>
          <w:rFonts w:ascii="Arial" w:hAnsi="Arial" w:cs="Arial"/>
          <w:bCs/>
          <w:sz w:val="24"/>
          <w:szCs w:val="24"/>
        </w:rPr>
      </w:pPr>
      <w:r w:rsidRPr="006C081F">
        <w:rPr>
          <w:rFonts w:ascii="Arial" w:hAnsi="Arial" w:cs="Arial"/>
          <w:bCs/>
          <w:sz w:val="24"/>
          <w:szCs w:val="24"/>
        </w:rPr>
        <w:t>Since Projects A and C are independent and have a positive NPV, they are acceptable. Project B is immediately rejected due to its negative NPV and ARR of 0.00%.</w:t>
      </w:r>
    </w:p>
    <w:p w14:paraId="15DEE0A3" w14:textId="0DB9910D" w:rsidR="00D751B4" w:rsidRPr="006C081F" w:rsidRDefault="00A70FD0" w:rsidP="00CD4561">
      <w:pPr>
        <w:spacing w:before="240" w:line="360" w:lineRule="auto"/>
        <w:jc w:val="both"/>
        <w:rPr>
          <w:rFonts w:ascii="Arial" w:hAnsi="Arial" w:cs="Arial"/>
          <w:bCs/>
          <w:sz w:val="24"/>
          <w:szCs w:val="24"/>
        </w:rPr>
      </w:pPr>
      <w:r w:rsidRPr="006C081F">
        <w:rPr>
          <w:rFonts w:ascii="Arial" w:hAnsi="Arial" w:cs="Arial"/>
          <w:bCs/>
          <w:sz w:val="24"/>
          <w:szCs w:val="24"/>
        </w:rPr>
        <w:t>The most suitable method of ranking projects under capital rationing is the Profitability Index (PI) because it maximises the total NPV of a specific budget (CFI, 2025).</w:t>
      </w:r>
    </w:p>
    <w:p w14:paraId="033C9E56" w14:textId="2EE5ACD4" w:rsidR="00BD3881" w:rsidRDefault="00426515" w:rsidP="002B47A5">
      <w:pPr>
        <w:spacing w:before="240" w:line="360" w:lineRule="auto"/>
        <w:jc w:val="center"/>
        <w:rPr>
          <w:rFonts w:ascii="Arial" w:eastAsiaTheme="minorEastAsia" w:hAnsi="Arial" w:cs="Arial"/>
          <w:bCs/>
          <w:sz w:val="24"/>
          <w:szCs w:val="24"/>
        </w:rPr>
      </w:pPr>
      <w:r w:rsidRPr="006C081F">
        <w:rPr>
          <w:rFonts w:ascii="Arial" w:hAnsi="Arial" w:cs="Arial"/>
          <w:bCs/>
          <w:sz w:val="24"/>
          <w:szCs w:val="24"/>
        </w:rPr>
        <w:t xml:space="preserve">PI = </w:t>
      </w:r>
      <m:oMath>
        <m:f>
          <m:fPr>
            <m:ctrlPr>
              <w:rPr>
                <w:rFonts w:ascii="Cambria Math" w:hAnsi="Cambria Math" w:cs="Arial"/>
                <w:bCs/>
                <w:i/>
                <w:sz w:val="24"/>
                <w:szCs w:val="24"/>
              </w:rPr>
            </m:ctrlPr>
          </m:fPr>
          <m:num>
            <m:r>
              <w:rPr>
                <w:rFonts w:ascii="Cambria Math" w:hAnsi="Cambria Math" w:cs="Arial"/>
                <w:sz w:val="24"/>
                <w:szCs w:val="24"/>
              </w:rPr>
              <m:t xml:space="preserve"> Present Value of Future Cash Flows </m:t>
            </m:r>
            <m:ctrlPr>
              <w:rPr>
                <w:rFonts w:ascii="Cambria Math" w:hAnsi="Cambria Math" w:cs="Arial"/>
                <w:i/>
                <w:sz w:val="24"/>
                <w:szCs w:val="24"/>
              </w:rPr>
            </m:ctrlPr>
          </m:num>
          <m:den>
            <m:r>
              <w:rPr>
                <w:rFonts w:ascii="Cambria Math" w:hAnsi="Cambria Math" w:cs="Arial"/>
                <w:sz w:val="24"/>
                <w:szCs w:val="24"/>
              </w:rPr>
              <m:t>Initial Investment</m:t>
            </m:r>
          </m:den>
        </m:f>
      </m:oMath>
    </w:p>
    <w:p w14:paraId="7E6835D6" w14:textId="77777777" w:rsidR="00CC3BE2" w:rsidRPr="006C081F" w:rsidRDefault="00CC3BE2" w:rsidP="002B47A5">
      <w:pPr>
        <w:spacing w:before="240" w:line="360" w:lineRule="auto"/>
        <w:jc w:val="center"/>
        <w:rPr>
          <w:rFonts w:ascii="Arial" w:eastAsiaTheme="minorEastAsia" w:hAnsi="Arial" w:cs="Arial"/>
          <w:bCs/>
          <w:sz w:val="24"/>
          <w:szCs w:val="24"/>
        </w:rPr>
      </w:pPr>
    </w:p>
    <w:tbl>
      <w:tblPr>
        <w:tblStyle w:val="TableGrid"/>
        <w:tblW w:w="0" w:type="auto"/>
        <w:tblLook w:val="04A0" w:firstRow="1" w:lastRow="0" w:firstColumn="1" w:lastColumn="0" w:noHBand="0" w:noVBand="1"/>
      </w:tblPr>
      <w:tblGrid>
        <w:gridCol w:w="1030"/>
        <w:gridCol w:w="2750"/>
        <w:gridCol w:w="1283"/>
        <w:gridCol w:w="684"/>
        <w:gridCol w:w="1524"/>
      </w:tblGrid>
      <w:tr w:rsidR="002B47A5" w:rsidRPr="006C081F" w14:paraId="2F26C3AC" w14:textId="77777777" w:rsidTr="002B47A5">
        <w:tc>
          <w:tcPr>
            <w:tcW w:w="0" w:type="auto"/>
            <w:hideMark/>
          </w:tcPr>
          <w:p w14:paraId="529CA1C1" w14:textId="77777777" w:rsidR="002B47A5" w:rsidRPr="006C081F" w:rsidRDefault="002B47A5" w:rsidP="002B47A5">
            <w:pPr>
              <w:spacing w:before="240" w:line="360" w:lineRule="auto"/>
              <w:jc w:val="both"/>
              <w:rPr>
                <w:rFonts w:ascii="Arial" w:hAnsi="Arial" w:cs="Arial"/>
                <w:bCs/>
                <w:sz w:val="24"/>
                <w:szCs w:val="24"/>
              </w:rPr>
            </w:pPr>
            <w:r w:rsidRPr="006C081F">
              <w:rPr>
                <w:rFonts w:ascii="Arial" w:hAnsi="Arial" w:cs="Arial"/>
                <w:b/>
                <w:bCs/>
                <w:sz w:val="24"/>
                <w:szCs w:val="24"/>
              </w:rPr>
              <w:lastRenderedPageBreak/>
              <w:t>Project</w:t>
            </w:r>
          </w:p>
        </w:tc>
        <w:tc>
          <w:tcPr>
            <w:tcW w:w="0" w:type="auto"/>
            <w:hideMark/>
          </w:tcPr>
          <w:p w14:paraId="5DF65BAD" w14:textId="77777777" w:rsidR="002B47A5" w:rsidRPr="006C081F" w:rsidRDefault="002B47A5" w:rsidP="002B47A5">
            <w:pPr>
              <w:spacing w:before="240" w:line="360" w:lineRule="auto"/>
              <w:jc w:val="both"/>
              <w:rPr>
                <w:rFonts w:ascii="Arial" w:hAnsi="Arial" w:cs="Arial"/>
                <w:bCs/>
                <w:sz w:val="24"/>
                <w:szCs w:val="24"/>
              </w:rPr>
            </w:pPr>
            <w:r w:rsidRPr="006C081F">
              <w:rPr>
                <w:rFonts w:ascii="Arial" w:hAnsi="Arial" w:cs="Arial"/>
                <w:b/>
                <w:bCs/>
                <w:sz w:val="24"/>
                <w:szCs w:val="24"/>
              </w:rPr>
              <w:t>Initial Investment (£m)</w:t>
            </w:r>
          </w:p>
        </w:tc>
        <w:tc>
          <w:tcPr>
            <w:tcW w:w="0" w:type="auto"/>
            <w:hideMark/>
          </w:tcPr>
          <w:p w14:paraId="4F27F1A2" w14:textId="77777777" w:rsidR="002B47A5" w:rsidRPr="006C081F" w:rsidRDefault="002B47A5" w:rsidP="002B47A5">
            <w:pPr>
              <w:spacing w:before="240" w:line="360" w:lineRule="auto"/>
              <w:jc w:val="both"/>
              <w:rPr>
                <w:rFonts w:ascii="Arial" w:hAnsi="Arial" w:cs="Arial"/>
                <w:bCs/>
                <w:sz w:val="24"/>
                <w:szCs w:val="24"/>
              </w:rPr>
            </w:pPr>
            <w:r w:rsidRPr="006C081F">
              <w:rPr>
                <w:rFonts w:ascii="Arial" w:hAnsi="Arial" w:cs="Arial"/>
                <w:b/>
                <w:bCs/>
                <w:sz w:val="24"/>
                <w:szCs w:val="24"/>
              </w:rPr>
              <w:t>NPV (£m)</w:t>
            </w:r>
          </w:p>
        </w:tc>
        <w:tc>
          <w:tcPr>
            <w:tcW w:w="0" w:type="auto"/>
            <w:hideMark/>
          </w:tcPr>
          <w:p w14:paraId="4A6DC25F" w14:textId="77777777" w:rsidR="002B47A5" w:rsidRPr="006C081F" w:rsidRDefault="002B47A5" w:rsidP="002B47A5">
            <w:pPr>
              <w:spacing w:before="240" w:line="360" w:lineRule="auto"/>
              <w:jc w:val="both"/>
              <w:rPr>
                <w:rFonts w:ascii="Arial" w:hAnsi="Arial" w:cs="Arial"/>
                <w:bCs/>
                <w:sz w:val="24"/>
                <w:szCs w:val="24"/>
              </w:rPr>
            </w:pPr>
            <w:r w:rsidRPr="006C081F">
              <w:rPr>
                <w:rFonts w:ascii="Arial" w:hAnsi="Arial" w:cs="Arial"/>
                <w:b/>
                <w:bCs/>
                <w:sz w:val="24"/>
                <w:szCs w:val="24"/>
              </w:rPr>
              <w:t>PI</w:t>
            </w:r>
          </w:p>
        </w:tc>
        <w:tc>
          <w:tcPr>
            <w:tcW w:w="0" w:type="auto"/>
            <w:hideMark/>
          </w:tcPr>
          <w:p w14:paraId="6FC68D47" w14:textId="77777777" w:rsidR="002B47A5" w:rsidRPr="006C081F" w:rsidRDefault="002B47A5" w:rsidP="002B47A5">
            <w:pPr>
              <w:spacing w:before="240" w:line="360" w:lineRule="auto"/>
              <w:jc w:val="both"/>
              <w:rPr>
                <w:rFonts w:ascii="Arial" w:hAnsi="Arial" w:cs="Arial"/>
                <w:bCs/>
                <w:sz w:val="24"/>
                <w:szCs w:val="24"/>
              </w:rPr>
            </w:pPr>
            <w:r w:rsidRPr="006C081F">
              <w:rPr>
                <w:rFonts w:ascii="Arial" w:hAnsi="Arial" w:cs="Arial"/>
                <w:b/>
                <w:bCs/>
                <w:sz w:val="24"/>
                <w:szCs w:val="24"/>
              </w:rPr>
              <w:t>Rank</w:t>
            </w:r>
          </w:p>
        </w:tc>
      </w:tr>
      <w:tr w:rsidR="002B47A5" w:rsidRPr="006C081F" w14:paraId="25A95BDA" w14:textId="77777777" w:rsidTr="002B47A5">
        <w:tc>
          <w:tcPr>
            <w:tcW w:w="0" w:type="auto"/>
            <w:hideMark/>
          </w:tcPr>
          <w:p w14:paraId="7D2D6018" w14:textId="77777777" w:rsidR="002B47A5" w:rsidRPr="006C081F" w:rsidRDefault="002B47A5" w:rsidP="002B47A5">
            <w:pPr>
              <w:spacing w:before="240" w:line="360" w:lineRule="auto"/>
              <w:jc w:val="both"/>
              <w:rPr>
                <w:rFonts w:ascii="Arial" w:hAnsi="Arial" w:cs="Arial"/>
                <w:bCs/>
                <w:sz w:val="24"/>
                <w:szCs w:val="24"/>
              </w:rPr>
            </w:pPr>
            <w:r w:rsidRPr="006C081F">
              <w:rPr>
                <w:rFonts w:ascii="Arial" w:hAnsi="Arial" w:cs="Arial"/>
                <w:b/>
                <w:bCs/>
                <w:sz w:val="24"/>
                <w:szCs w:val="24"/>
              </w:rPr>
              <w:t>C</w:t>
            </w:r>
          </w:p>
        </w:tc>
        <w:tc>
          <w:tcPr>
            <w:tcW w:w="0" w:type="auto"/>
            <w:hideMark/>
          </w:tcPr>
          <w:p w14:paraId="50CC64EA" w14:textId="77777777" w:rsidR="002B47A5" w:rsidRPr="006C081F" w:rsidRDefault="002B47A5" w:rsidP="002B47A5">
            <w:pPr>
              <w:spacing w:before="240" w:line="360" w:lineRule="auto"/>
              <w:jc w:val="both"/>
              <w:rPr>
                <w:rFonts w:ascii="Arial" w:hAnsi="Arial" w:cs="Arial"/>
                <w:bCs/>
                <w:sz w:val="24"/>
                <w:szCs w:val="24"/>
              </w:rPr>
            </w:pPr>
            <w:r w:rsidRPr="006C081F">
              <w:rPr>
                <w:rFonts w:ascii="Arial" w:hAnsi="Arial" w:cs="Arial"/>
                <w:bCs/>
                <w:sz w:val="24"/>
                <w:szCs w:val="24"/>
              </w:rPr>
              <w:t>50</w:t>
            </w:r>
          </w:p>
        </w:tc>
        <w:tc>
          <w:tcPr>
            <w:tcW w:w="0" w:type="auto"/>
            <w:hideMark/>
          </w:tcPr>
          <w:p w14:paraId="4C4849F0" w14:textId="77777777" w:rsidR="002B47A5" w:rsidRPr="006C081F" w:rsidRDefault="002B47A5" w:rsidP="002B47A5">
            <w:pPr>
              <w:spacing w:before="240" w:line="360" w:lineRule="auto"/>
              <w:jc w:val="both"/>
              <w:rPr>
                <w:rFonts w:ascii="Arial" w:hAnsi="Arial" w:cs="Arial"/>
                <w:bCs/>
                <w:sz w:val="24"/>
                <w:szCs w:val="24"/>
              </w:rPr>
            </w:pPr>
            <w:r w:rsidRPr="006C081F">
              <w:rPr>
                <w:rFonts w:ascii="Arial" w:hAnsi="Arial" w:cs="Arial"/>
                <w:bCs/>
                <w:sz w:val="24"/>
                <w:szCs w:val="24"/>
              </w:rPr>
              <w:t>12.39</w:t>
            </w:r>
          </w:p>
        </w:tc>
        <w:tc>
          <w:tcPr>
            <w:tcW w:w="0" w:type="auto"/>
            <w:hideMark/>
          </w:tcPr>
          <w:p w14:paraId="0C49495E" w14:textId="77777777" w:rsidR="002B47A5" w:rsidRPr="006C081F" w:rsidRDefault="002B47A5" w:rsidP="002B47A5">
            <w:pPr>
              <w:spacing w:before="240" w:line="360" w:lineRule="auto"/>
              <w:jc w:val="both"/>
              <w:rPr>
                <w:rFonts w:ascii="Arial" w:hAnsi="Arial" w:cs="Arial"/>
                <w:bCs/>
                <w:sz w:val="24"/>
                <w:szCs w:val="24"/>
              </w:rPr>
            </w:pPr>
            <w:r w:rsidRPr="006C081F">
              <w:rPr>
                <w:rFonts w:ascii="Arial" w:hAnsi="Arial" w:cs="Arial"/>
                <w:b/>
                <w:bCs/>
                <w:sz w:val="24"/>
                <w:szCs w:val="24"/>
              </w:rPr>
              <w:t>1.25</w:t>
            </w:r>
          </w:p>
        </w:tc>
        <w:tc>
          <w:tcPr>
            <w:tcW w:w="0" w:type="auto"/>
            <w:hideMark/>
          </w:tcPr>
          <w:p w14:paraId="72905211" w14:textId="77777777" w:rsidR="002B47A5" w:rsidRPr="006C081F" w:rsidRDefault="002B47A5" w:rsidP="002B47A5">
            <w:pPr>
              <w:spacing w:before="240" w:line="360" w:lineRule="auto"/>
              <w:jc w:val="both"/>
              <w:rPr>
                <w:rFonts w:ascii="Arial" w:hAnsi="Arial" w:cs="Arial"/>
                <w:bCs/>
                <w:sz w:val="24"/>
                <w:szCs w:val="24"/>
              </w:rPr>
            </w:pPr>
            <w:r w:rsidRPr="006C081F">
              <w:rPr>
                <w:rFonts w:ascii="Arial" w:hAnsi="Arial" w:cs="Arial"/>
                <w:bCs/>
                <w:sz w:val="24"/>
                <w:szCs w:val="24"/>
              </w:rPr>
              <w:t>1</w:t>
            </w:r>
          </w:p>
        </w:tc>
      </w:tr>
      <w:tr w:rsidR="002B47A5" w:rsidRPr="006C081F" w14:paraId="3B73B37A" w14:textId="77777777" w:rsidTr="002B47A5">
        <w:tc>
          <w:tcPr>
            <w:tcW w:w="0" w:type="auto"/>
            <w:hideMark/>
          </w:tcPr>
          <w:p w14:paraId="6D356F78" w14:textId="77777777" w:rsidR="002B47A5" w:rsidRPr="006C081F" w:rsidRDefault="002B47A5" w:rsidP="002B47A5">
            <w:pPr>
              <w:spacing w:before="240" w:line="360" w:lineRule="auto"/>
              <w:jc w:val="both"/>
              <w:rPr>
                <w:rFonts w:ascii="Arial" w:hAnsi="Arial" w:cs="Arial"/>
                <w:bCs/>
                <w:sz w:val="24"/>
                <w:szCs w:val="24"/>
              </w:rPr>
            </w:pPr>
            <w:r w:rsidRPr="006C081F">
              <w:rPr>
                <w:rFonts w:ascii="Arial" w:hAnsi="Arial" w:cs="Arial"/>
                <w:b/>
                <w:bCs/>
                <w:sz w:val="24"/>
                <w:szCs w:val="24"/>
              </w:rPr>
              <w:t>A</w:t>
            </w:r>
          </w:p>
        </w:tc>
        <w:tc>
          <w:tcPr>
            <w:tcW w:w="0" w:type="auto"/>
            <w:hideMark/>
          </w:tcPr>
          <w:p w14:paraId="36022E0E" w14:textId="77777777" w:rsidR="002B47A5" w:rsidRPr="006C081F" w:rsidRDefault="002B47A5" w:rsidP="002B47A5">
            <w:pPr>
              <w:spacing w:before="240" w:line="360" w:lineRule="auto"/>
              <w:jc w:val="both"/>
              <w:rPr>
                <w:rFonts w:ascii="Arial" w:hAnsi="Arial" w:cs="Arial"/>
                <w:bCs/>
                <w:sz w:val="24"/>
                <w:szCs w:val="24"/>
              </w:rPr>
            </w:pPr>
            <w:r w:rsidRPr="006C081F">
              <w:rPr>
                <w:rFonts w:ascii="Arial" w:hAnsi="Arial" w:cs="Arial"/>
                <w:bCs/>
                <w:sz w:val="24"/>
                <w:szCs w:val="24"/>
              </w:rPr>
              <w:t>40</w:t>
            </w:r>
          </w:p>
        </w:tc>
        <w:tc>
          <w:tcPr>
            <w:tcW w:w="0" w:type="auto"/>
            <w:hideMark/>
          </w:tcPr>
          <w:p w14:paraId="0CAD9273" w14:textId="77777777" w:rsidR="002B47A5" w:rsidRPr="006C081F" w:rsidRDefault="002B47A5" w:rsidP="002B47A5">
            <w:pPr>
              <w:spacing w:before="240" w:line="360" w:lineRule="auto"/>
              <w:jc w:val="both"/>
              <w:rPr>
                <w:rFonts w:ascii="Arial" w:hAnsi="Arial" w:cs="Arial"/>
                <w:bCs/>
                <w:sz w:val="24"/>
                <w:szCs w:val="24"/>
              </w:rPr>
            </w:pPr>
            <w:r w:rsidRPr="006C081F">
              <w:rPr>
                <w:rFonts w:ascii="Arial" w:hAnsi="Arial" w:cs="Arial"/>
                <w:bCs/>
                <w:sz w:val="24"/>
                <w:szCs w:val="24"/>
              </w:rPr>
              <w:t>5.96</w:t>
            </w:r>
          </w:p>
        </w:tc>
        <w:tc>
          <w:tcPr>
            <w:tcW w:w="0" w:type="auto"/>
            <w:hideMark/>
          </w:tcPr>
          <w:p w14:paraId="79D80490" w14:textId="77777777" w:rsidR="002B47A5" w:rsidRPr="006C081F" w:rsidRDefault="002B47A5" w:rsidP="002B47A5">
            <w:pPr>
              <w:spacing w:before="240" w:line="360" w:lineRule="auto"/>
              <w:jc w:val="both"/>
              <w:rPr>
                <w:rFonts w:ascii="Arial" w:hAnsi="Arial" w:cs="Arial"/>
                <w:bCs/>
                <w:sz w:val="24"/>
                <w:szCs w:val="24"/>
              </w:rPr>
            </w:pPr>
            <w:r w:rsidRPr="006C081F">
              <w:rPr>
                <w:rFonts w:ascii="Arial" w:hAnsi="Arial" w:cs="Arial"/>
                <w:b/>
                <w:bCs/>
                <w:sz w:val="24"/>
                <w:szCs w:val="24"/>
              </w:rPr>
              <w:t>1.15</w:t>
            </w:r>
          </w:p>
        </w:tc>
        <w:tc>
          <w:tcPr>
            <w:tcW w:w="0" w:type="auto"/>
            <w:hideMark/>
          </w:tcPr>
          <w:p w14:paraId="6F3410C1" w14:textId="77777777" w:rsidR="002B47A5" w:rsidRPr="006C081F" w:rsidRDefault="002B47A5" w:rsidP="002B47A5">
            <w:pPr>
              <w:spacing w:before="240" w:line="360" w:lineRule="auto"/>
              <w:jc w:val="both"/>
              <w:rPr>
                <w:rFonts w:ascii="Arial" w:hAnsi="Arial" w:cs="Arial"/>
                <w:bCs/>
                <w:sz w:val="24"/>
                <w:szCs w:val="24"/>
              </w:rPr>
            </w:pPr>
            <w:r w:rsidRPr="006C081F">
              <w:rPr>
                <w:rFonts w:ascii="Arial" w:hAnsi="Arial" w:cs="Arial"/>
                <w:bCs/>
                <w:sz w:val="24"/>
                <w:szCs w:val="24"/>
              </w:rPr>
              <w:t>2</w:t>
            </w:r>
          </w:p>
        </w:tc>
      </w:tr>
      <w:tr w:rsidR="002B47A5" w:rsidRPr="006C081F" w14:paraId="720CECE9" w14:textId="77777777" w:rsidTr="002B47A5">
        <w:tc>
          <w:tcPr>
            <w:tcW w:w="0" w:type="auto"/>
            <w:hideMark/>
          </w:tcPr>
          <w:p w14:paraId="60B9106E" w14:textId="77777777" w:rsidR="002B47A5" w:rsidRPr="006C081F" w:rsidRDefault="002B47A5" w:rsidP="002B47A5">
            <w:pPr>
              <w:spacing w:before="240" w:line="360" w:lineRule="auto"/>
              <w:jc w:val="both"/>
              <w:rPr>
                <w:rFonts w:ascii="Arial" w:hAnsi="Arial" w:cs="Arial"/>
                <w:bCs/>
                <w:sz w:val="24"/>
                <w:szCs w:val="24"/>
              </w:rPr>
            </w:pPr>
            <w:r w:rsidRPr="006C081F">
              <w:rPr>
                <w:rFonts w:ascii="Arial" w:hAnsi="Arial" w:cs="Arial"/>
                <w:b/>
                <w:bCs/>
                <w:sz w:val="24"/>
                <w:szCs w:val="24"/>
              </w:rPr>
              <w:t>B</w:t>
            </w:r>
          </w:p>
        </w:tc>
        <w:tc>
          <w:tcPr>
            <w:tcW w:w="0" w:type="auto"/>
            <w:hideMark/>
          </w:tcPr>
          <w:p w14:paraId="36B8463F" w14:textId="77777777" w:rsidR="002B47A5" w:rsidRPr="006C081F" w:rsidRDefault="002B47A5" w:rsidP="002B47A5">
            <w:pPr>
              <w:spacing w:before="240" w:line="360" w:lineRule="auto"/>
              <w:jc w:val="both"/>
              <w:rPr>
                <w:rFonts w:ascii="Arial" w:hAnsi="Arial" w:cs="Arial"/>
                <w:bCs/>
                <w:sz w:val="24"/>
                <w:szCs w:val="24"/>
              </w:rPr>
            </w:pPr>
            <w:r w:rsidRPr="006C081F">
              <w:rPr>
                <w:rFonts w:ascii="Arial" w:hAnsi="Arial" w:cs="Arial"/>
                <w:bCs/>
                <w:sz w:val="24"/>
                <w:szCs w:val="24"/>
              </w:rPr>
              <w:t>30</w:t>
            </w:r>
          </w:p>
        </w:tc>
        <w:tc>
          <w:tcPr>
            <w:tcW w:w="0" w:type="auto"/>
            <w:hideMark/>
          </w:tcPr>
          <w:p w14:paraId="566BA325" w14:textId="77777777" w:rsidR="002B47A5" w:rsidRPr="006C081F" w:rsidRDefault="002B47A5" w:rsidP="002B47A5">
            <w:pPr>
              <w:spacing w:before="240" w:line="360" w:lineRule="auto"/>
              <w:jc w:val="both"/>
              <w:rPr>
                <w:rFonts w:ascii="Arial" w:hAnsi="Arial" w:cs="Arial"/>
                <w:bCs/>
                <w:sz w:val="24"/>
                <w:szCs w:val="24"/>
              </w:rPr>
            </w:pPr>
            <w:r w:rsidRPr="006C081F">
              <w:rPr>
                <w:rFonts w:ascii="Arial" w:hAnsi="Arial" w:cs="Arial"/>
                <w:bCs/>
                <w:sz w:val="24"/>
                <w:szCs w:val="24"/>
              </w:rPr>
              <w:t>(7.32)</w:t>
            </w:r>
          </w:p>
        </w:tc>
        <w:tc>
          <w:tcPr>
            <w:tcW w:w="0" w:type="auto"/>
            <w:hideMark/>
          </w:tcPr>
          <w:p w14:paraId="7A5EAE7C" w14:textId="77777777" w:rsidR="002B47A5" w:rsidRPr="006C081F" w:rsidRDefault="002B47A5" w:rsidP="002B47A5">
            <w:pPr>
              <w:spacing w:before="240" w:line="360" w:lineRule="auto"/>
              <w:jc w:val="both"/>
              <w:rPr>
                <w:rFonts w:ascii="Arial" w:hAnsi="Arial" w:cs="Arial"/>
                <w:bCs/>
                <w:sz w:val="24"/>
                <w:szCs w:val="24"/>
              </w:rPr>
            </w:pPr>
            <w:r w:rsidRPr="006C081F">
              <w:rPr>
                <w:rFonts w:ascii="Arial" w:hAnsi="Arial" w:cs="Arial"/>
                <w:bCs/>
                <w:sz w:val="24"/>
                <w:szCs w:val="24"/>
              </w:rPr>
              <w:t>0.76</w:t>
            </w:r>
          </w:p>
        </w:tc>
        <w:tc>
          <w:tcPr>
            <w:tcW w:w="0" w:type="auto"/>
            <w:hideMark/>
          </w:tcPr>
          <w:p w14:paraId="1D58C868" w14:textId="77777777" w:rsidR="002B47A5" w:rsidRPr="006C081F" w:rsidRDefault="002B47A5" w:rsidP="002B47A5">
            <w:pPr>
              <w:spacing w:before="240" w:line="360" w:lineRule="auto"/>
              <w:jc w:val="both"/>
              <w:rPr>
                <w:rFonts w:ascii="Arial" w:hAnsi="Arial" w:cs="Arial"/>
                <w:bCs/>
                <w:sz w:val="24"/>
                <w:szCs w:val="24"/>
              </w:rPr>
            </w:pPr>
            <w:r w:rsidRPr="006C081F">
              <w:rPr>
                <w:rFonts w:ascii="Arial" w:hAnsi="Arial" w:cs="Arial"/>
                <w:bCs/>
                <w:sz w:val="24"/>
                <w:szCs w:val="24"/>
              </w:rPr>
              <w:t>3 (Rejected)</w:t>
            </w:r>
          </w:p>
        </w:tc>
      </w:tr>
    </w:tbl>
    <w:p w14:paraId="66D5B683" w14:textId="1DB911D2" w:rsidR="002B47A5" w:rsidRPr="006C081F" w:rsidRDefault="004F6FE3" w:rsidP="00CD4561">
      <w:pPr>
        <w:spacing w:before="240" w:line="360" w:lineRule="auto"/>
        <w:jc w:val="both"/>
        <w:rPr>
          <w:rFonts w:ascii="Arial" w:hAnsi="Arial" w:cs="Arial"/>
          <w:b/>
          <w:sz w:val="24"/>
          <w:szCs w:val="24"/>
        </w:rPr>
      </w:pPr>
      <w:r w:rsidRPr="006C081F">
        <w:rPr>
          <w:rFonts w:ascii="Arial" w:hAnsi="Arial" w:cs="Arial"/>
          <w:b/>
          <w:sz w:val="24"/>
          <w:szCs w:val="24"/>
        </w:rPr>
        <w:t>Recommendation:</w:t>
      </w:r>
    </w:p>
    <w:p w14:paraId="7BDD0036" w14:textId="77777777" w:rsidR="00C1403F" w:rsidRPr="006C081F" w:rsidRDefault="00C1403F" w:rsidP="00E0673C">
      <w:pPr>
        <w:pStyle w:val="ListParagraph"/>
        <w:numPr>
          <w:ilvl w:val="0"/>
          <w:numId w:val="18"/>
        </w:numPr>
        <w:spacing w:before="240" w:line="360" w:lineRule="auto"/>
        <w:jc w:val="both"/>
        <w:rPr>
          <w:rFonts w:ascii="Arial" w:hAnsi="Arial" w:cs="Arial"/>
          <w:bCs/>
          <w:sz w:val="24"/>
          <w:szCs w:val="24"/>
        </w:rPr>
      </w:pPr>
      <w:r w:rsidRPr="006C081F">
        <w:rPr>
          <w:rFonts w:ascii="Arial" w:hAnsi="Arial" w:cs="Arial"/>
          <w:b/>
          <w:sz w:val="24"/>
          <w:szCs w:val="24"/>
        </w:rPr>
        <w:t>Select Project C</w:t>
      </w:r>
      <w:r w:rsidRPr="006C081F">
        <w:rPr>
          <w:rFonts w:ascii="Arial" w:hAnsi="Arial" w:cs="Arial"/>
          <w:bCs/>
          <w:sz w:val="24"/>
          <w:szCs w:val="24"/>
        </w:rPr>
        <w:t xml:space="preserve"> (initial Investment: £50 million). </w:t>
      </w:r>
    </w:p>
    <w:p w14:paraId="799CE973" w14:textId="06163693" w:rsidR="00C1403F" w:rsidRPr="006C081F" w:rsidRDefault="00C1403F" w:rsidP="00E0673C">
      <w:pPr>
        <w:pStyle w:val="ListParagraph"/>
        <w:numPr>
          <w:ilvl w:val="0"/>
          <w:numId w:val="18"/>
        </w:numPr>
        <w:spacing w:before="240" w:line="360" w:lineRule="auto"/>
        <w:jc w:val="both"/>
        <w:rPr>
          <w:rFonts w:ascii="Arial" w:hAnsi="Arial" w:cs="Arial"/>
          <w:bCs/>
          <w:sz w:val="24"/>
          <w:szCs w:val="24"/>
        </w:rPr>
      </w:pPr>
      <w:r w:rsidRPr="006C081F">
        <w:rPr>
          <w:rFonts w:ascii="Arial" w:hAnsi="Arial" w:cs="Arial"/>
          <w:b/>
          <w:sz w:val="24"/>
          <w:szCs w:val="24"/>
        </w:rPr>
        <w:t>Remaining</w:t>
      </w:r>
      <w:r w:rsidRPr="006C081F">
        <w:rPr>
          <w:rFonts w:ascii="Arial" w:hAnsi="Arial" w:cs="Arial"/>
          <w:bCs/>
          <w:sz w:val="24"/>
          <w:szCs w:val="24"/>
        </w:rPr>
        <w:t xml:space="preserve"> </w:t>
      </w:r>
      <w:r w:rsidRPr="006C081F">
        <w:rPr>
          <w:rFonts w:ascii="Arial" w:hAnsi="Arial" w:cs="Arial"/>
          <w:b/>
          <w:sz w:val="24"/>
          <w:szCs w:val="24"/>
        </w:rPr>
        <w:t>Budget:</w:t>
      </w:r>
      <w:r w:rsidRPr="006C081F">
        <w:rPr>
          <w:rFonts w:ascii="Arial" w:hAnsi="Arial" w:cs="Arial"/>
          <w:bCs/>
          <w:sz w:val="24"/>
          <w:szCs w:val="24"/>
        </w:rPr>
        <w:t xml:space="preserve"> £60 million - £50 million = £10 million. </w:t>
      </w:r>
    </w:p>
    <w:p w14:paraId="2FAF8629" w14:textId="040D389B" w:rsidR="004F6FE3" w:rsidRPr="006C081F" w:rsidRDefault="00C1403F" w:rsidP="00E0673C">
      <w:pPr>
        <w:pStyle w:val="ListParagraph"/>
        <w:numPr>
          <w:ilvl w:val="0"/>
          <w:numId w:val="18"/>
        </w:numPr>
        <w:spacing w:before="240" w:line="360" w:lineRule="auto"/>
        <w:jc w:val="both"/>
        <w:rPr>
          <w:rFonts w:ascii="Arial" w:hAnsi="Arial" w:cs="Arial"/>
          <w:bCs/>
          <w:sz w:val="24"/>
          <w:szCs w:val="24"/>
        </w:rPr>
      </w:pPr>
      <w:r w:rsidRPr="006C081F">
        <w:rPr>
          <w:rFonts w:ascii="Arial" w:hAnsi="Arial" w:cs="Arial"/>
          <w:b/>
          <w:sz w:val="24"/>
          <w:szCs w:val="24"/>
        </w:rPr>
        <w:t>Feasibility Check:</w:t>
      </w:r>
      <w:r w:rsidRPr="006C081F">
        <w:rPr>
          <w:rFonts w:ascii="Arial" w:hAnsi="Arial" w:cs="Arial"/>
          <w:bCs/>
          <w:sz w:val="24"/>
          <w:szCs w:val="24"/>
        </w:rPr>
        <w:t xml:space="preserve"> The remaining £10 million is insufficient to fund to fund the next-ranked project, Project A (£40 million).</w:t>
      </w:r>
    </w:p>
    <w:p w14:paraId="1491DF2B" w14:textId="3DACBB3B" w:rsidR="00D21485" w:rsidRPr="006C081F" w:rsidRDefault="00E0673C" w:rsidP="00CD4561">
      <w:pPr>
        <w:spacing w:before="240" w:line="360" w:lineRule="auto"/>
        <w:jc w:val="both"/>
        <w:rPr>
          <w:rFonts w:ascii="Arial" w:hAnsi="Arial" w:cs="Arial"/>
          <w:bCs/>
          <w:sz w:val="24"/>
          <w:szCs w:val="24"/>
        </w:rPr>
      </w:pPr>
      <w:r w:rsidRPr="006C081F">
        <w:rPr>
          <w:rFonts w:ascii="Arial" w:hAnsi="Arial" w:cs="Arial"/>
          <w:b/>
          <w:sz w:val="24"/>
          <w:szCs w:val="24"/>
        </w:rPr>
        <w:t>Final Decision:</w:t>
      </w:r>
      <w:r w:rsidRPr="006C081F">
        <w:rPr>
          <w:rFonts w:ascii="Arial" w:hAnsi="Arial" w:cs="Arial"/>
          <w:bCs/>
          <w:sz w:val="24"/>
          <w:szCs w:val="24"/>
        </w:rPr>
        <w:t xml:space="preserve"> Invest solely in project c for a total investment of £50 million, yielding the highest possible NPV (£12.39 million) within the £60 million budget constraint. The total NPV for the portfolio is £12.39 million.</w:t>
      </w:r>
    </w:p>
    <w:p w14:paraId="22763412" w14:textId="3C4D1945" w:rsidR="0092011F" w:rsidRPr="006C081F" w:rsidRDefault="0092011F" w:rsidP="00CD4561">
      <w:pPr>
        <w:spacing w:before="240" w:line="360" w:lineRule="auto"/>
        <w:jc w:val="both"/>
        <w:rPr>
          <w:rFonts w:ascii="Arial" w:hAnsi="Arial" w:cs="Arial"/>
          <w:b/>
          <w:sz w:val="24"/>
          <w:szCs w:val="24"/>
        </w:rPr>
      </w:pPr>
      <w:r w:rsidRPr="006C081F">
        <w:rPr>
          <w:rFonts w:ascii="Arial" w:hAnsi="Arial" w:cs="Arial"/>
          <w:b/>
          <w:sz w:val="24"/>
          <w:szCs w:val="24"/>
        </w:rPr>
        <w:t>Justification of Recommendation:</w:t>
      </w:r>
    </w:p>
    <w:p w14:paraId="635B3E25" w14:textId="41BACA1A" w:rsidR="00030C2B" w:rsidRPr="006C081F" w:rsidRDefault="006825E2" w:rsidP="00030C2B">
      <w:pPr>
        <w:spacing w:before="240" w:line="360" w:lineRule="auto"/>
        <w:jc w:val="both"/>
        <w:rPr>
          <w:rFonts w:ascii="Arial" w:hAnsi="Arial" w:cs="Arial"/>
          <w:bCs/>
          <w:sz w:val="24"/>
          <w:szCs w:val="24"/>
        </w:rPr>
      </w:pPr>
      <w:r w:rsidRPr="006825E2">
        <w:rPr>
          <w:rFonts w:ascii="Arial" w:hAnsi="Arial" w:cs="Arial"/>
          <w:bCs/>
          <w:sz w:val="24"/>
          <w:szCs w:val="24"/>
        </w:rPr>
        <w:t>Project C is selected as it is more realistic on the measures of performance, according to the most significant financial indicators, and because it is congruent with the needs of a reorganisation of GE now</w:t>
      </w:r>
      <w:r w:rsidR="00030C2B" w:rsidRPr="006C081F">
        <w:rPr>
          <w:rFonts w:ascii="Arial" w:hAnsi="Arial" w:cs="Arial"/>
          <w:bCs/>
          <w:sz w:val="24"/>
          <w:szCs w:val="24"/>
        </w:rPr>
        <w:t>.</w:t>
      </w:r>
    </w:p>
    <w:p w14:paraId="3E6BF073" w14:textId="598663E9" w:rsidR="00030C2B" w:rsidRPr="006C081F" w:rsidRDefault="00466D95" w:rsidP="00030C2B">
      <w:pPr>
        <w:spacing w:before="240" w:line="360" w:lineRule="auto"/>
        <w:jc w:val="both"/>
        <w:rPr>
          <w:rFonts w:ascii="Arial" w:hAnsi="Arial" w:cs="Arial"/>
          <w:b/>
          <w:sz w:val="24"/>
          <w:szCs w:val="24"/>
        </w:rPr>
      </w:pPr>
      <w:r w:rsidRPr="006C081F">
        <w:rPr>
          <w:rFonts w:ascii="Arial" w:hAnsi="Arial" w:cs="Arial"/>
          <w:b/>
          <w:sz w:val="24"/>
          <w:szCs w:val="24"/>
        </w:rPr>
        <w:t>1. Reference</w:t>
      </w:r>
      <w:r w:rsidR="00030C2B" w:rsidRPr="006C081F">
        <w:rPr>
          <w:rFonts w:ascii="Arial" w:hAnsi="Arial" w:cs="Arial"/>
          <w:b/>
          <w:sz w:val="24"/>
          <w:szCs w:val="24"/>
        </w:rPr>
        <w:t xml:space="preserve"> to Financial Performance (Profitability and Liquidity)</w:t>
      </w:r>
    </w:p>
    <w:p w14:paraId="4DF451E7" w14:textId="1932E3EF" w:rsidR="00030C2B" w:rsidRPr="006C081F" w:rsidRDefault="00ED714A" w:rsidP="00030C2B">
      <w:pPr>
        <w:spacing w:before="240" w:line="360" w:lineRule="auto"/>
        <w:jc w:val="both"/>
        <w:rPr>
          <w:rFonts w:ascii="Arial" w:hAnsi="Arial" w:cs="Arial"/>
          <w:bCs/>
          <w:sz w:val="24"/>
          <w:szCs w:val="24"/>
        </w:rPr>
      </w:pPr>
      <w:r w:rsidRPr="00ED714A">
        <w:rPr>
          <w:rFonts w:ascii="Arial" w:hAnsi="Arial" w:cs="Arial"/>
          <w:bCs/>
          <w:sz w:val="24"/>
          <w:szCs w:val="24"/>
        </w:rPr>
        <w:t>The recent financial performance of GE has grave flaws in the capital structure as indicated by the values of Debt Equity Ratio of 1.11 and Return on Equity (ROE) of -15.69.</w:t>
      </w:r>
    </w:p>
    <w:p w14:paraId="30F6FADD" w14:textId="303EA76A" w:rsidR="00030C2B" w:rsidRPr="006C081F" w:rsidRDefault="00030C2B" w:rsidP="00355497">
      <w:pPr>
        <w:pStyle w:val="ListParagraph"/>
        <w:numPr>
          <w:ilvl w:val="0"/>
          <w:numId w:val="19"/>
        </w:numPr>
        <w:spacing w:before="240" w:line="360" w:lineRule="auto"/>
        <w:jc w:val="both"/>
        <w:rPr>
          <w:rFonts w:ascii="Arial" w:hAnsi="Arial" w:cs="Arial"/>
          <w:bCs/>
          <w:sz w:val="24"/>
          <w:szCs w:val="24"/>
        </w:rPr>
      </w:pPr>
      <w:r w:rsidRPr="006C081F">
        <w:rPr>
          <w:rFonts w:ascii="Arial" w:hAnsi="Arial" w:cs="Arial"/>
          <w:b/>
          <w:sz w:val="24"/>
          <w:szCs w:val="24"/>
        </w:rPr>
        <w:t>Maximising Profitability (NPV and PI):</w:t>
      </w:r>
      <w:r w:rsidRPr="006C081F">
        <w:rPr>
          <w:rFonts w:ascii="Arial" w:hAnsi="Arial" w:cs="Arial"/>
          <w:bCs/>
          <w:sz w:val="24"/>
          <w:szCs w:val="24"/>
        </w:rPr>
        <w:t xml:space="preserve"> </w:t>
      </w:r>
      <w:r w:rsidR="004D0E0D" w:rsidRPr="004D0E0D">
        <w:rPr>
          <w:rFonts w:ascii="Arial" w:hAnsi="Arial" w:cs="Arial"/>
          <w:bCs/>
          <w:sz w:val="24"/>
          <w:szCs w:val="24"/>
        </w:rPr>
        <w:t>The ultimate objective of the restructuring will be profitability regained and maximisation of the shareholder wealth. The project C has the largest absolute NPV (PS12.39m) and PI (1.25). It implies that Project C is the accretive use of the limited capital of GE that will lead to the highest profit per pound invested (</w:t>
      </w:r>
      <w:proofErr w:type="spellStart"/>
      <w:r w:rsidR="004D0E0D" w:rsidRPr="004D0E0D">
        <w:rPr>
          <w:rFonts w:ascii="Arial" w:hAnsi="Arial" w:cs="Arial"/>
          <w:bCs/>
          <w:sz w:val="24"/>
          <w:szCs w:val="24"/>
        </w:rPr>
        <w:t>AnalystPrep</w:t>
      </w:r>
      <w:proofErr w:type="spellEnd"/>
      <w:r w:rsidR="004D0E0D" w:rsidRPr="004D0E0D">
        <w:rPr>
          <w:rFonts w:ascii="Arial" w:hAnsi="Arial" w:cs="Arial"/>
          <w:bCs/>
          <w:sz w:val="24"/>
          <w:szCs w:val="24"/>
        </w:rPr>
        <w:t>, 2019).</w:t>
      </w:r>
    </w:p>
    <w:p w14:paraId="0E02B200" w14:textId="1DD99088" w:rsidR="00030C2B" w:rsidRPr="006C081F" w:rsidRDefault="00030C2B" w:rsidP="00355497">
      <w:pPr>
        <w:pStyle w:val="ListParagraph"/>
        <w:numPr>
          <w:ilvl w:val="0"/>
          <w:numId w:val="19"/>
        </w:numPr>
        <w:spacing w:before="240" w:line="360" w:lineRule="auto"/>
        <w:jc w:val="both"/>
        <w:rPr>
          <w:rFonts w:ascii="Arial" w:hAnsi="Arial" w:cs="Arial"/>
          <w:bCs/>
          <w:sz w:val="24"/>
          <w:szCs w:val="24"/>
        </w:rPr>
      </w:pPr>
      <w:r w:rsidRPr="006C081F">
        <w:rPr>
          <w:rFonts w:ascii="Arial" w:hAnsi="Arial" w:cs="Arial"/>
          <w:b/>
          <w:sz w:val="24"/>
          <w:szCs w:val="24"/>
        </w:rPr>
        <w:lastRenderedPageBreak/>
        <w:t>Attending to Liquidity (PBP):</w:t>
      </w:r>
      <w:r w:rsidRPr="006C081F">
        <w:rPr>
          <w:rFonts w:ascii="Arial" w:hAnsi="Arial" w:cs="Arial"/>
          <w:bCs/>
          <w:sz w:val="24"/>
          <w:szCs w:val="24"/>
        </w:rPr>
        <w:t xml:space="preserve"> </w:t>
      </w:r>
      <w:r w:rsidR="00A0627B" w:rsidRPr="00A0627B">
        <w:rPr>
          <w:rFonts w:ascii="Arial" w:hAnsi="Arial" w:cs="Arial"/>
          <w:bCs/>
          <w:sz w:val="24"/>
          <w:szCs w:val="24"/>
        </w:rPr>
        <w:t>Current liquidity is poor in the short term hence a value of the Quick Ratio is lower than one. Although the payback period of project C is relatively lower (3.50 years) compared to that of project A (3.57 years), the payback period of the two projects is relatively smaller than that of the project life. The initial investment will be recovered in rather a short period of time, with the payback period of 3.50 years, and will result in internal cash flow that will be sufficient to cover the debt payments and mitigate the dependency on changing the Lines of Credit (</w:t>
      </w:r>
      <w:proofErr w:type="spellStart"/>
      <w:r w:rsidR="00A0627B" w:rsidRPr="00A0627B">
        <w:rPr>
          <w:rFonts w:ascii="Arial" w:hAnsi="Arial" w:cs="Arial"/>
          <w:bCs/>
          <w:sz w:val="24"/>
          <w:szCs w:val="24"/>
        </w:rPr>
        <w:t>LegalVision</w:t>
      </w:r>
      <w:proofErr w:type="spellEnd"/>
      <w:r w:rsidR="00A0627B" w:rsidRPr="00A0627B">
        <w:rPr>
          <w:rFonts w:ascii="Arial" w:hAnsi="Arial" w:cs="Arial"/>
          <w:bCs/>
          <w:sz w:val="24"/>
          <w:szCs w:val="24"/>
        </w:rPr>
        <w:t xml:space="preserve"> UK, 2025)</w:t>
      </w:r>
      <w:r w:rsidR="00B0799B" w:rsidRPr="006C081F">
        <w:rPr>
          <w:rFonts w:ascii="Arial" w:hAnsi="Arial" w:cs="Arial"/>
          <w:bCs/>
          <w:sz w:val="24"/>
          <w:szCs w:val="24"/>
        </w:rPr>
        <w:t>.</w:t>
      </w:r>
    </w:p>
    <w:p w14:paraId="187368F1" w14:textId="284E7C0C" w:rsidR="00030C2B" w:rsidRPr="006C081F" w:rsidRDefault="00355497" w:rsidP="00030C2B">
      <w:pPr>
        <w:spacing w:before="240" w:line="360" w:lineRule="auto"/>
        <w:jc w:val="both"/>
        <w:rPr>
          <w:rFonts w:ascii="Arial" w:hAnsi="Arial" w:cs="Arial"/>
          <w:b/>
          <w:sz w:val="24"/>
          <w:szCs w:val="24"/>
        </w:rPr>
      </w:pPr>
      <w:r w:rsidRPr="006C081F">
        <w:rPr>
          <w:rFonts w:ascii="Arial" w:hAnsi="Arial" w:cs="Arial"/>
          <w:b/>
          <w:sz w:val="24"/>
          <w:szCs w:val="24"/>
        </w:rPr>
        <w:t>2.</w:t>
      </w:r>
      <w:r w:rsidR="00030C2B" w:rsidRPr="006C081F">
        <w:rPr>
          <w:rFonts w:ascii="Arial" w:hAnsi="Arial" w:cs="Arial"/>
          <w:b/>
          <w:sz w:val="24"/>
          <w:szCs w:val="24"/>
        </w:rPr>
        <w:t xml:space="preserve"> Forecasted Risk Characteristics (Cash Flow Volatility)</w:t>
      </w:r>
    </w:p>
    <w:p w14:paraId="1E8DAF35" w14:textId="32DB753D" w:rsidR="00030C2B" w:rsidRPr="006C081F" w:rsidRDefault="00030C2B" w:rsidP="00030C2B">
      <w:pPr>
        <w:spacing w:before="240" w:line="360" w:lineRule="auto"/>
        <w:jc w:val="both"/>
        <w:rPr>
          <w:rFonts w:ascii="Arial" w:hAnsi="Arial" w:cs="Arial"/>
          <w:bCs/>
          <w:sz w:val="24"/>
          <w:szCs w:val="24"/>
        </w:rPr>
      </w:pPr>
      <w:r w:rsidRPr="006C081F">
        <w:rPr>
          <w:rFonts w:ascii="Arial" w:hAnsi="Arial" w:cs="Arial"/>
          <w:bCs/>
          <w:sz w:val="24"/>
          <w:szCs w:val="24"/>
        </w:rPr>
        <w:t>Considering the uncertain financial situation and significant risk of impairment of the Goodwill in past investments by the company, GE should invest in low-risk ventures with predictable returns. Project C has a heavier back-loaded cash flow profile (inflows of getting £20m, £25m, £15m in years 3-5) than Project A (14m, 10m, 8m), so the returns it gives will be exposed to greater execution risk in the later years.</w:t>
      </w:r>
    </w:p>
    <w:p w14:paraId="3C874CEF" w14:textId="77777777" w:rsidR="00030C2B" w:rsidRPr="006C081F" w:rsidRDefault="00030C2B" w:rsidP="00030C2B">
      <w:pPr>
        <w:spacing w:before="240" w:line="360" w:lineRule="auto"/>
        <w:jc w:val="both"/>
        <w:rPr>
          <w:rFonts w:ascii="Arial" w:hAnsi="Arial" w:cs="Arial"/>
          <w:bCs/>
          <w:sz w:val="24"/>
          <w:szCs w:val="24"/>
        </w:rPr>
      </w:pPr>
      <w:r w:rsidRPr="006C081F">
        <w:rPr>
          <w:rFonts w:ascii="Arial" w:hAnsi="Arial" w:cs="Arial"/>
          <w:bCs/>
          <w:sz w:val="24"/>
          <w:szCs w:val="24"/>
        </w:rPr>
        <w:t>The mitigation of the risk is, however, as follows:</w:t>
      </w:r>
    </w:p>
    <w:p w14:paraId="2D9F4E02" w14:textId="4D8453D3" w:rsidR="00030C2B" w:rsidRPr="006C081F" w:rsidRDefault="00030C2B" w:rsidP="00A94490">
      <w:pPr>
        <w:pStyle w:val="ListParagraph"/>
        <w:numPr>
          <w:ilvl w:val="0"/>
          <w:numId w:val="20"/>
        </w:numPr>
        <w:spacing w:before="240" w:line="360" w:lineRule="auto"/>
        <w:jc w:val="both"/>
        <w:rPr>
          <w:rFonts w:ascii="Arial" w:hAnsi="Arial" w:cs="Arial"/>
          <w:bCs/>
          <w:sz w:val="24"/>
          <w:szCs w:val="24"/>
        </w:rPr>
      </w:pPr>
      <w:r w:rsidRPr="006C081F">
        <w:rPr>
          <w:rFonts w:ascii="Arial" w:hAnsi="Arial" w:cs="Arial"/>
          <w:b/>
          <w:sz w:val="24"/>
          <w:szCs w:val="24"/>
        </w:rPr>
        <w:t>IRR Buffer:</w:t>
      </w:r>
      <w:r w:rsidRPr="006C081F">
        <w:rPr>
          <w:rFonts w:ascii="Arial" w:hAnsi="Arial" w:cs="Arial"/>
          <w:bCs/>
          <w:sz w:val="24"/>
          <w:szCs w:val="24"/>
        </w:rPr>
        <w:t xml:space="preserve"> The IRR of the project C of 18.46% has a higher safety margin over the discount rate of 10</w:t>
      </w:r>
      <w:r w:rsidR="00085C37" w:rsidRPr="006C081F">
        <w:rPr>
          <w:rFonts w:ascii="Arial" w:hAnsi="Arial" w:cs="Arial"/>
          <w:bCs/>
          <w:sz w:val="24"/>
          <w:szCs w:val="24"/>
        </w:rPr>
        <w:t>%</w:t>
      </w:r>
      <w:r w:rsidRPr="006C081F">
        <w:rPr>
          <w:rFonts w:ascii="Arial" w:hAnsi="Arial" w:cs="Arial"/>
          <w:bCs/>
          <w:sz w:val="24"/>
          <w:szCs w:val="24"/>
        </w:rPr>
        <w:t xml:space="preserve"> than that of Project A of 16.89%. This implies that the actual cash flows of Project C can reduce by a higher percentage, and then the project is unprofitable (NPV &lt; 0). </w:t>
      </w:r>
    </w:p>
    <w:p w14:paraId="53806CC1" w14:textId="21262623" w:rsidR="00030C2B" w:rsidRPr="006C081F" w:rsidRDefault="00030C2B" w:rsidP="00A94490">
      <w:pPr>
        <w:pStyle w:val="ListParagraph"/>
        <w:numPr>
          <w:ilvl w:val="0"/>
          <w:numId w:val="20"/>
        </w:numPr>
        <w:spacing w:before="240" w:line="360" w:lineRule="auto"/>
        <w:jc w:val="both"/>
        <w:rPr>
          <w:rFonts w:ascii="Arial" w:hAnsi="Arial" w:cs="Arial"/>
          <w:bCs/>
          <w:sz w:val="24"/>
          <w:szCs w:val="24"/>
        </w:rPr>
      </w:pPr>
      <w:r w:rsidRPr="006C081F">
        <w:rPr>
          <w:rFonts w:ascii="Arial" w:hAnsi="Arial" w:cs="Arial"/>
          <w:b/>
          <w:sz w:val="24"/>
          <w:szCs w:val="24"/>
        </w:rPr>
        <w:t>NPV Reliability:</w:t>
      </w:r>
      <w:r w:rsidRPr="006C081F">
        <w:rPr>
          <w:rFonts w:ascii="Arial" w:hAnsi="Arial" w:cs="Arial"/>
          <w:bCs/>
          <w:sz w:val="24"/>
          <w:szCs w:val="24"/>
        </w:rPr>
        <w:t xml:space="preserve"> </w:t>
      </w:r>
      <w:r w:rsidR="00600569" w:rsidRPr="006C081F">
        <w:rPr>
          <w:rFonts w:ascii="Arial" w:hAnsi="Arial" w:cs="Arial"/>
          <w:bCs/>
          <w:sz w:val="24"/>
          <w:szCs w:val="24"/>
        </w:rPr>
        <w:t>As the implicit assumptions of the method assume that cash flows are reinvested at the cost of the risk of the company, and the most realistic (10%) cost of capital of the company, and the large value of the NPV figure of Project C, making it the most realistic one, it is the most reliable value creation indicator. It is better than the IRR method, which will apply cash flows reinvested at the impractical value of the project IRR (18.46), which cannot be assumed in the capital-constrained world of GE (</w:t>
      </w:r>
      <w:proofErr w:type="spellStart"/>
      <w:r w:rsidR="00600569" w:rsidRPr="006C081F">
        <w:rPr>
          <w:rFonts w:ascii="Arial" w:hAnsi="Arial" w:cs="Arial"/>
          <w:bCs/>
          <w:sz w:val="24"/>
          <w:szCs w:val="24"/>
        </w:rPr>
        <w:t>AnalystPrep</w:t>
      </w:r>
      <w:proofErr w:type="spellEnd"/>
      <w:r w:rsidR="00600569" w:rsidRPr="006C081F">
        <w:rPr>
          <w:rFonts w:ascii="Arial" w:hAnsi="Arial" w:cs="Arial"/>
          <w:bCs/>
          <w:sz w:val="24"/>
          <w:szCs w:val="24"/>
        </w:rPr>
        <w:t>, 2019).</w:t>
      </w:r>
    </w:p>
    <w:p w14:paraId="3DAFEBCC" w14:textId="7A0C830A" w:rsidR="003560E1" w:rsidRPr="006C081F" w:rsidRDefault="001B3445" w:rsidP="00587465">
      <w:pPr>
        <w:spacing w:before="240" w:line="360" w:lineRule="auto"/>
        <w:jc w:val="both"/>
        <w:rPr>
          <w:rFonts w:ascii="Arial" w:hAnsi="Arial" w:cs="Arial"/>
          <w:bCs/>
          <w:sz w:val="24"/>
          <w:szCs w:val="24"/>
        </w:rPr>
      </w:pPr>
      <w:r w:rsidRPr="001B3445">
        <w:rPr>
          <w:rFonts w:ascii="Arial" w:hAnsi="Arial" w:cs="Arial"/>
          <w:bCs/>
          <w:sz w:val="24"/>
          <w:szCs w:val="24"/>
        </w:rPr>
        <w:t>The rest of the budget amounting to PS10 million ought to be held as a cash reserve (as opposed to being invested in a less-than-optimal manner) to improve the short-term liquidity of the firm (Quick Ratio) and be used to cushion against unanticipated operational needs (CFI, 2025)</w:t>
      </w:r>
      <w:r w:rsidR="00030C2B" w:rsidRPr="006C081F">
        <w:rPr>
          <w:rFonts w:ascii="Arial" w:hAnsi="Arial" w:cs="Arial"/>
          <w:bCs/>
          <w:sz w:val="24"/>
          <w:szCs w:val="24"/>
        </w:rPr>
        <w:t>.</w:t>
      </w:r>
      <w:r w:rsidR="003560E1" w:rsidRPr="006C081F">
        <w:br w:type="page"/>
      </w:r>
    </w:p>
    <w:p w14:paraId="575EB617" w14:textId="3E618173" w:rsidR="00CD4561" w:rsidRPr="006C081F" w:rsidRDefault="00CD4561" w:rsidP="00CD4561">
      <w:pPr>
        <w:pStyle w:val="Heading1"/>
      </w:pPr>
      <w:bookmarkStart w:id="17" w:name="_Toc216794681"/>
      <w:r w:rsidRPr="006C081F">
        <w:lastRenderedPageBreak/>
        <w:t>Conclusion</w:t>
      </w:r>
      <w:bookmarkEnd w:id="17"/>
    </w:p>
    <w:p w14:paraId="677C664C" w14:textId="53CF29D3" w:rsidR="00CD4561" w:rsidRPr="006C081F" w:rsidRDefault="00CE5565" w:rsidP="00CE5565">
      <w:pPr>
        <w:spacing w:before="240" w:line="360" w:lineRule="auto"/>
        <w:jc w:val="both"/>
        <w:rPr>
          <w:rFonts w:ascii="Arial" w:hAnsi="Arial" w:cs="Arial"/>
          <w:sz w:val="24"/>
          <w:szCs w:val="24"/>
        </w:rPr>
      </w:pPr>
      <w:r w:rsidRPr="00CE5565">
        <w:rPr>
          <w:rFonts w:ascii="Arial" w:hAnsi="Arial" w:cs="Arial"/>
          <w:sz w:val="24"/>
          <w:szCs w:val="24"/>
        </w:rPr>
        <w:t>Finally, the financial analysis reveals that General Electronics is facing high liquidity pressure, reduced profitability, and high financial risk, which must be addressed immediately with strategic action. The ratio analysis, the working capital analysis, and the cash operating cycle analysis indicate that there are deficiencies in receivables management and excessive dependence on short-term financing. The Altman Z-Score supports the fact that there is an increased risk of financial distress and addicts the necessity of financial restructuring and better governance. The investment appraisal and capital budgeting considerations highlight that future projects are supposed to be critically considered in terms of NPV, IRR, as well as a payback criterion of the investment by focusing on those that yield positive cash flows and provide strategic value. The project that has been suggested within the investment appraisal in terms of rationing of capital is project C (PI: 1.25) since on this project the value per pound invested will be the highest.</w:t>
      </w:r>
      <w:r w:rsidR="00CD4561" w:rsidRPr="006C081F">
        <w:rPr>
          <w:rFonts w:ascii="Arial" w:hAnsi="Arial" w:cs="Arial"/>
          <w:sz w:val="24"/>
          <w:szCs w:val="24"/>
        </w:rPr>
        <w:br w:type="page"/>
      </w:r>
    </w:p>
    <w:p w14:paraId="2A6D5890" w14:textId="77777777" w:rsidR="00CD4561" w:rsidRPr="006C081F" w:rsidRDefault="00CD4561" w:rsidP="00CD4561">
      <w:pPr>
        <w:pStyle w:val="Heading1"/>
      </w:pPr>
      <w:bookmarkStart w:id="18" w:name="_Toc216794682"/>
      <w:r w:rsidRPr="006C081F">
        <w:lastRenderedPageBreak/>
        <w:t>Reference</w:t>
      </w:r>
      <w:bookmarkEnd w:id="18"/>
    </w:p>
    <w:p w14:paraId="01D3ADFD" w14:textId="77777777" w:rsidR="00A767F6" w:rsidRPr="00A767F6" w:rsidRDefault="00A767F6" w:rsidP="00A767F6">
      <w:pPr>
        <w:pStyle w:val="NormalWeb"/>
        <w:spacing w:line="360" w:lineRule="auto"/>
        <w:rPr>
          <w:rFonts w:ascii="Arial" w:hAnsi="Arial" w:cs="Arial"/>
        </w:rPr>
      </w:pPr>
      <w:r w:rsidRPr="00A767F6">
        <w:rPr>
          <w:rFonts w:ascii="Arial" w:hAnsi="Arial" w:cs="Arial"/>
        </w:rPr>
        <w:t xml:space="preserve">Altman, E.I. (1968) ‘Financial ratios, discriminant analysis and the prediction of corporate bankruptcy’, </w:t>
      </w:r>
      <w:r w:rsidRPr="00A767F6">
        <w:rPr>
          <w:rFonts w:ascii="Arial" w:hAnsi="Arial" w:cs="Arial"/>
          <w:i/>
          <w:iCs/>
        </w:rPr>
        <w:t>The Journal of Finance</w:t>
      </w:r>
      <w:r w:rsidRPr="00A767F6">
        <w:rPr>
          <w:rFonts w:ascii="Arial" w:hAnsi="Arial" w:cs="Arial"/>
        </w:rPr>
        <w:t xml:space="preserve">, 23(4), pp. 589–609. Available at: </w:t>
      </w:r>
      <w:hyperlink r:id="rId9" w:tgtFrame="_new" w:history="1">
        <w:r w:rsidRPr="00A767F6">
          <w:rPr>
            <w:rStyle w:val="Hyperlink"/>
            <w:rFonts w:ascii="Arial" w:hAnsi="Arial" w:cs="Arial"/>
          </w:rPr>
          <w:t>https://www.jstor.org/stable/2978933</w:t>
        </w:r>
      </w:hyperlink>
      <w:r w:rsidRPr="00A767F6">
        <w:rPr>
          <w:rFonts w:ascii="Arial" w:hAnsi="Arial" w:cs="Arial"/>
        </w:rPr>
        <w:t xml:space="preserve"> (Accessed: 12 December 2025).</w:t>
      </w:r>
    </w:p>
    <w:p w14:paraId="30C67B7B" w14:textId="77777777" w:rsidR="00A767F6" w:rsidRPr="00A767F6" w:rsidRDefault="00A767F6" w:rsidP="00A767F6">
      <w:pPr>
        <w:pStyle w:val="NormalWeb"/>
        <w:spacing w:line="360" w:lineRule="auto"/>
        <w:rPr>
          <w:rFonts w:ascii="Arial" w:hAnsi="Arial" w:cs="Arial"/>
        </w:rPr>
      </w:pPr>
      <w:r w:rsidRPr="00A767F6">
        <w:rPr>
          <w:rFonts w:ascii="Arial" w:hAnsi="Arial" w:cs="Arial"/>
        </w:rPr>
        <w:t xml:space="preserve">Altman, E.I. and Hotchkiss, E. (2020) </w:t>
      </w:r>
      <w:r w:rsidRPr="00A767F6">
        <w:rPr>
          <w:rFonts w:ascii="Arial" w:hAnsi="Arial" w:cs="Arial"/>
          <w:i/>
          <w:iCs/>
        </w:rPr>
        <w:t>Corporate Financial Distress and Bankruptcy.</w:t>
      </w:r>
      <w:r w:rsidRPr="00A767F6">
        <w:rPr>
          <w:rFonts w:ascii="Arial" w:hAnsi="Arial" w:cs="Arial"/>
        </w:rPr>
        <w:t xml:space="preserve"> 4th </w:t>
      </w:r>
      <w:proofErr w:type="spellStart"/>
      <w:r w:rsidRPr="00A767F6">
        <w:rPr>
          <w:rFonts w:ascii="Arial" w:hAnsi="Arial" w:cs="Arial"/>
        </w:rPr>
        <w:t>edn</w:t>
      </w:r>
      <w:proofErr w:type="spellEnd"/>
      <w:r w:rsidRPr="00A767F6">
        <w:rPr>
          <w:rFonts w:ascii="Arial" w:hAnsi="Arial" w:cs="Arial"/>
        </w:rPr>
        <w:t xml:space="preserve">. Hoboken: Wiley. Available at: </w:t>
      </w:r>
      <w:hyperlink r:id="rId10" w:tgtFrame="_new" w:history="1">
        <w:r w:rsidRPr="00A767F6">
          <w:rPr>
            <w:rStyle w:val="Hyperlink"/>
            <w:rFonts w:ascii="Arial" w:hAnsi="Arial" w:cs="Arial"/>
          </w:rPr>
          <w:t>https://www.wiley.com/en-us</w:t>
        </w:r>
      </w:hyperlink>
      <w:r w:rsidRPr="00A767F6">
        <w:rPr>
          <w:rFonts w:ascii="Arial" w:hAnsi="Arial" w:cs="Arial"/>
        </w:rPr>
        <w:t xml:space="preserve"> (Accessed: 12 December 2025).</w:t>
      </w:r>
    </w:p>
    <w:p w14:paraId="497BFCD8" w14:textId="57482D24" w:rsidR="00A767F6" w:rsidRPr="00A767F6" w:rsidRDefault="00A767F6" w:rsidP="00A767F6">
      <w:pPr>
        <w:pStyle w:val="NormalWeb"/>
        <w:spacing w:line="360" w:lineRule="auto"/>
        <w:rPr>
          <w:rFonts w:ascii="Arial" w:hAnsi="Arial" w:cs="Arial"/>
        </w:rPr>
      </w:pPr>
      <w:proofErr w:type="spellStart"/>
      <w:r w:rsidRPr="00A767F6">
        <w:rPr>
          <w:rFonts w:ascii="Arial" w:hAnsi="Arial" w:cs="Arial"/>
        </w:rPr>
        <w:t>Atrill</w:t>
      </w:r>
      <w:proofErr w:type="spellEnd"/>
      <w:r w:rsidRPr="00A767F6">
        <w:rPr>
          <w:rFonts w:ascii="Arial" w:hAnsi="Arial" w:cs="Arial"/>
        </w:rPr>
        <w:t xml:space="preserve">, P. and McLaney, E. (2023) </w:t>
      </w:r>
      <w:r w:rsidRPr="00A767F6">
        <w:rPr>
          <w:rFonts w:ascii="Arial" w:hAnsi="Arial" w:cs="Arial"/>
          <w:i/>
          <w:iCs/>
        </w:rPr>
        <w:t>Financial Accounting for Decision Makers.</w:t>
      </w:r>
      <w:r w:rsidRPr="00A767F6">
        <w:rPr>
          <w:rFonts w:ascii="Arial" w:hAnsi="Arial" w:cs="Arial"/>
        </w:rPr>
        <w:t xml:space="preserve"> 10th </w:t>
      </w:r>
      <w:proofErr w:type="spellStart"/>
      <w:r w:rsidRPr="00A767F6">
        <w:rPr>
          <w:rFonts w:ascii="Arial" w:hAnsi="Arial" w:cs="Arial"/>
        </w:rPr>
        <w:t>edn</w:t>
      </w:r>
      <w:proofErr w:type="spellEnd"/>
      <w:r w:rsidRPr="00A767F6">
        <w:rPr>
          <w:rFonts w:ascii="Arial" w:hAnsi="Arial" w:cs="Arial"/>
        </w:rPr>
        <w:t xml:space="preserve">. Harlow: Pearson Education. Available at: </w:t>
      </w:r>
      <w:hyperlink r:id="rId11" w:history="1">
        <w:r w:rsidRPr="00CC3BE2">
          <w:rPr>
            <w:rStyle w:val="Hyperlink"/>
            <w:rFonts w:ascii="Arial" w:hAnsi="Arial" w:cs="Arial"/>
          </w:rPr>
          <w:t>https://www.pearson.com/en-gb</w:t>
        </w:r>
      </w:hyperlink>
      <w:r w:rsidRPr="00A767F6">
        <w:rPr>
          <w:rFonts w:ascii="Arial" w:hAnsi="Arial" w:cs="Arial"/>
        </w:rPr>
        <w:t xml:space="preserve"> (Accessed: 12 December 2025).</w:t>
      </w:r>
    </w:p>
    <w:p w14:paraId="349FCF2C" w14:textId="77777777" w:rsidR="00A767F6" w:rsidRPr="00A767F6" w:rsidRDefault="00A767F6" w:rsidP="00A767F6">
      <w:pPr>
        <w:pStyle w:val="NormalWeb"/>
        <w:spacing w:line="360" w:lineRule="auto"/>
        <w:rPr>
          <w:rFonts w:ascii="Arial" w:hAnsi="Arial" w:cs="Arial"/>
        </w:rPr>
      </w:pPr>
      <w:r w:rsidRPr="00A767F6">
        <w:rPr>
          <w:rFonts w:ascii="Arial" w:hAnsi="Arial" w:cs="Arial"/>
        </w:rPr>
        <w:t xml:space="preserve">Brealey, R.A., Myers, S.C. and Allen, F. (2022) </w:t>
      </w:r>
      <w:r w:rsidRPr="00A767F6">
        <w:rPr>
          <w:rFonts w:ascii="Arial" w:hAnsi="Arial" w:cs="Arial"/>
          <w:i/>
          <w:iCs/>
        </w:rPr>
        <w:t>Principles of Corporate Finance.</w:t>
      </w:r>
      <w:r w:rsidRPr="00A767F6">
        <w:rPr>
          <w:rFonts w:ascii="Arial" w:hAnsi="Arial" w:cs="Arial"/>
        </w:rPr>
        <w:t xml:space="preserve"> 14th </w:t>
      </w:r>
      <w:proofErr w:type="spellStart"/>
      <w:r w:rsidRPr="00A767F6">
        <w:rPr>
          <w:rFonts w:ascii="Arial" w:hAnsi="Arial" w:cs="Arial"/>
        </w:rPr>
        <w:t>edn</w:t>
      </w:r>
      <w:proofErr w:type="spellEnd"/>
      <w:r w:rsidRPr="00A767F6">
        <w:rPr>
          <w:rFonts w:ascii="Arial" w:hAnsi="Arial" w:cs="Arial"/>
        </w:rPr>
        <w:t xml:space="preserve">. New York: McGraw-Hill Education. Available at: </w:t>
      </w:r>
      <w:hyperlink r:id="rId12" w:tgtFrame="_new" w:history="1">
        <w:r w:rsidRPr="00A767F6">
          <w:rPr>
            <w:rStyle w:val="Hyperlink"/>
            <w:rFonts w:ascii="Arial" w:hAnsi="Arial" w:cs="Arial"/>
          </w:rPr>
          <w:t>https://www.mheducation.com</w:t>
        </w:r>
      </w:hyperlink>
      <w:r w:rsidRPr="00A767F6">
        <w:rPr>
          <w:rFonts w:ascii="Arial" w:hAnsi="Arial" w:cs="Arial"/>
        </w:rPr>
        <w:t xml:space="preserve"> (Accessed: 12 December 2025).</w:t>
      </w:r>
    </w:p>
    <w:p w14:paraId="71DBA99E" w14:textId="77777777" w:rsidR="00A767F6" w:rsidRPr="00A767F6" w:rsidRDefault="00A767F6" w:rsidP="00A767F6">
      <w:pPr>
        <w:pStyle w:val="NormalWeb"/>
        <w:spacing w:line="360" w:lineRule="auto"/>
        <w:rPr>
          <w:rFonts w:ascii="Arial" w:hAnsi="Arial" w:cs="Arial"/>
        </w:rPr>
      </w:pPr>
      <w:r w:rsidRPr="00A767F6">
        <w:rPr>
          <w:rFonts w:ascii="Arial" w:hAnsi="Arial" w:cs="Arial"/>
        </w:rPr>
        <w:t xml:space="preserve">Brigham, E.F. and Ehrhardt, M.C. (2023) </w:t>
      </w:r>
      <w:r w:rsidRPr="00A767F6">
        <w:rPr>
          <w:rFonts w:ascii="Arial" w:hAnsi="Arial" w:cs="Arial"/>
          <w:i/>
          <w:iCs/>
        </w:rPr>
        <w:t>Financial Management: Theory and Practice.</w:t>
      </w:r>
      <w:r w:rsidRPr="00A767F6">
        <w:rPr>
          <w:rFonts w:ascii="Arial" w:hAnsi="Arial" w:cs="Arial"/>
        </w:rPr>
        <w:t xml:space="preserve"> 16th </w:t>
      </w:r>
      <w:proofErr w:type="spellStart"/>
      <w:r w:rsidRPr="00A767F6">
        <w:rPr>
          <w:rFonts w:ascii="Arial" w:hAnsi="Arial" w:cs="Arial"/>
        </w:rPr>
        <w:t>edn</w:t>
      </w:r>
      <w:proofErr w:type="spellEnd"/>
      <w:r w:rsidRPr="00A767F6">
        <w:rPr>
          <w:rFonts w:ascii="Arial" w:hAnsi="Arial" w:cs="Arial"/>
        </w:rPr>
        <w:t xml:space="preserve">. Boston: Cengage Learning. Available at: </w:t>
      </w:r>
      <w:hyperlink r:id="rId13" w:tgtFrame="_new" w:history="1">
        <w:r w:rsidRPr="00A767F6">
          <w:rPr>
            <w:rStyle w:val="Hyperlink"/>
            <w:rFonts w:ascii="Arial" w:hAnsi="Arial" w:cs="Arial"/>
          </w:rPr>
          <w:t>https://www.cengage.com</w:t>
        </w:r>
      </w:hyperlink>
      <w:r w:rsidRPr="00A767F6">
        <w:rPr>
          <w:rFonts w:ascii="Arial" w:hAnsi="Arial" w:cs="Arial"/>
        </w:rPr>
        <w:t xml:space="preserve"> (Accessed: 12 December 2025).</w:t>
      </w:r>
    </w:p>
    <w:p w14:paraId="1306FC0D" w14:textId="77777777" w:rsidR="00A767F6" w:rsidRPr="00A767F6" w:rsidRDefault="00A767F6" w:rsidP="00A767F6">
      <w:pPr>
        <w:pStyle w:val="NormalWeb"/>
        <w:spacing w:line="360" w:lineRule="auto"/>
        <w:rPr>
          <w:rFonts w:ascii="Arial" w:hAnsi="Arial" w:cs="Arial"/>
        </w:rPr>
      </w:pPr>
      <w:r w:rsidRPr="00A767F6">
        <w:rPr>
          <w:rFonts w:ascii="Arial" w:hAnsi="Arial" w:cs="Arial"/>
        </w:rPr>
        <w:t xml:space="preserve">Damodaran, A. (2023) </w:t>
      </w:r>
      <w:r w:rsidRPr="00A767F6">
        <w:rPr>
          <w:rFonts w:ascii="Arial" w:hAnsi="Arial" w:cs="Arial"/>
          <w:i/>
          <w:iCs/>
        </w:rPr>
        <w:t>Applied Corporate Finance.</w:t>
      </w:r>
      <w:r w:rsidRPr="00A767F6">
        <w:rPr>
          <w:rFonts w:ascii="Arial" w:hAnsi="Arial" w:cs="Arial"/>
        </w:rPr>
        <w:t xml:space="preserve"> 5th </w:t>
      </w:r>
      <w:proofErr w:type="spellStart"/>
      <w:r w:rsidRPr="00A767F6">
        <w:rPr>
          <w:rFonts w:ascii="Arial" w:hAnsi="Arial" w:cs="Arial"/>
        </w:rPr>
        <w:t>edn</w:t>
      </w:r>
      <w:proofErr w:type="spellEnd"/>
      <w:r w:rsidRPr="00A767F6">
        <w:rPr>
          <w:rFonts w:ascii="Arial" w:hAnsi="Arial" w:cs="Arial"/>
        </w:rPr>
        <w:t xml:space="preserve">. Hoboken: Wiley. Available at: </w:t>
      </w:r>
      <w:hyperlink r:id="rId14" w:tgtFrame="_new" w:history="1">
        <w:r w:rsidRPr="00A767F6">
          <w:rPr>
            <w:rStyle w:val="Hyperlink"/>
            <w:rFonts w:ascii="Arial" w:hAnsi="Arial" w:cs="Arial"/>
          </w:rPr>
          <w:t>https://pages.stern.nyu.edu/~adamodar/</w:t>
        </w:r>
      </w:hyperlink>
      <w:r w:rsidRPr="00A767F6">
        <w:rPr>
          <w:rFonts w:ascii="Arial" w:hAnsi="Arial" w:cs="Arial"/>
        </w:rPr>
        <w:t xml:space="preserve"> (Accessed: 12 December 2025).</w:t>
      </w:r>
    </w:p>
    <w:p w14:paraId="0E0036B3" w14:textId="63482624" w:rsidR="00A767F6" w:rsidRPr="00A767F6" w:rsidRDefault="00A767F6" w:rsidP="00A767F6">
      <w:pPr>
        <w:pStyle w:val="NormalWeb"/>
        <w:spacing w:line="360" w:lineRule="auto"/>
        <w:rPr>
          <w:rFonts w:ascii="Arial" w:hAnsi="Arial" w:cs="Arial"/>
        </w:rPr>
      </w:pPr>
      <w:r w:rsidRPr="00A767F6">
        <w:rPr>
          <w:rFonts w:ascii="Arial" w:hAnsi="Arial" w:cs="Arial"/>
        </w:rPr>
        <w:t xml:space="preserve">Hill, N.C., Perry, S.E. and Andes, S. (2021) ‘Evaluating firms in financial distress’, </w:t>
      </w:r>
      <w:r w:rsidRPr="00A767F6">
        <w:rPr>
          <w:rFonts w:ascii="Arial" w:hAnsi="Arial" w:cs="Arial"/>
          <w:i/>
          <w:iCs/>
        </w:rPr>
        <w:t>Journal of Applied Finance</w:t>
      </w:r>
      <w:r w:rsidRPr="00A767F6">
        <w:rPr>
          <w:rFonts w:ascii="Arial" w:hAnsi="Arial" w:cs="Arial"/>
        </w:rPr>
        <w:t xml:space="preserve">, 31(2), pp. 45–61. Available at: </w:t>
      </w:r>
      <w:hyperlink r:id="rId15" w:history="1">
        <w:r w:rsidRPr="00CC3BE2">
          <w:rPr>
            <w:rStyle w:val="Hyperlink"/>
            <w:rFonts w:ascii="Arial" w:hAnsi="Arial" w:cs="Arial"/>
          </w:rPr>
          <w:t>https://www.journalofappliedfinance.org</w:t>
        </w:r>
      </w:hyperlink>
      <w:r w:rsidRPr="00A767F6">
        <w:rPr>
          <w:rFonts w:ascii="Arial" w:hAnsi="Arial" w:cs="Arial"/>
        </w:rPr>
        <w:t xml:space="preserve"> (Accessed: 12 December 2025).</w:t>
      </w:r>
    </w:p>
    <w:p w14:paraId="393F1871" w14:textId="77777777" w:rsidR="00A767F6" w:rsidRPr="00A767F6" w:rsidRDefault="00A767F6" w:rsidP="00A767F6">
      <w:pPr>
        <w:pStyle w:val="NormalWeb"/>
        <w:spacing w:line="360" w:lineRule="auto"/>
        <w:rPr>
          <w:rFonts w:ascii="Arial" w:hAnsi="Arial" w:cs="Arial"/>
        </w:rPr>
      </w:pPr>
      <w:r w:rsidRPr="00A767F6">
        <w:rPr>
          <w:rFonts w:ascii="Arial" w:hAnsi="Arial" w:cs="Arial"/>
        </w:rPr>
        <w:t xml:space="preserve">IASB (2023) </w:t>
      </w:r>
      <w:r w:rsidRPr="00A767F6">
        <w:rPr>
          <w:rFonts w:ascii="Arial" w:hAnsi="Arial" w:cs="Arial"/>
          <w:i/>
          <w:iCs/>
        </w:rPr>
        <w:t>Conceptual Framework for Financial Reporting.</w:t>
      </w:r>
      <w:r w:rsidRPr="00A767F6">
        <w:rPr>
          <w:rFonts w:ascii="Arial" w:hAnsi="Arial" w:cs="Arial"/>
        </w:rPr>
        <w:t xml:space="preserve"> London: IFRS Foundation. Available at: </w:t>
      </w:r>
      <w:hyperlink r:id="rId16" w:tgtFrame="_new" w:history="1">
        <w:r w:rsidRPr="00A767F6">
          <w:rPr>
            <w:rStyle w:val="Hyperlink"/>
            <w:rFonts w:ascii="Arial" w:hAnsi="Arial" w:cs="Arial"/>
          </w:rPr>
          <w:t>https://www.ifrs.org</w:t>
        </w:r>
      </w:hyperlink>
      <w:r w:rsidRPr="00A767F6">
        <w:rPr>
          <w:rFonts w:ascii="Arial" w:hAnsi="Arial" w:cs="Arial"/>
        </w:rPr>
        <w:t xml:space="preserve"> (Accessed: 12 December 2025).</w:t>
      </w:r>
    </w:p>
    <w:p w14:paraId="44996F5B" w14:textId="77777777" w:rsidR="00A767F6" w:rsidRPr="00A767F6" w:rsidRDefault="00A767F6" w:rsidP="00A767F6">
      <w:pPr>
        <w:pStyle w:val="NormalWeb"/>
        <w:spacing w:line="360" w:lineRule="auto"/>
        <w:rPr>
          <w:rFonts w:ascii="Arial" w:hAnsi="Arial" w:cs="Arial"/>
        </w:rPr>
      </w:pPr>
      <w:r w:rsidRPr="00A767F6">
        <w:rPr>
          <w:rFonts w:ascii="Arial" w:hAnsi="Arial" w:cs="Arial"/>
        </w:rPr>
        <w:t xml:space="preserve">Jensen, M.C. and Meckling, W.H. (1976) ‘Theory of the firm: Managerial </w:t>
      </w:r>
      <w:proofErr w:type="spellStart"/>
      <w:r w:rsidRPr="00A767F6">
        <w:rPr>
          <w:rFonts w:ascii="Arial" w:hAnsi="Arial" w:cs="Arial"/>
        </w:rPr>
        <w:t>behavior</w:t>
      </w:r>
      <w:proofErr w:type="spellEnd"/>
      <w:r w:rsidRPr="00A767F6">
        <w:rPr>
          <w:rFonts w:ascii="Arial" w:hAnsi="Arial" w:cs="Arial"/>
        </w:rPr>
        <w:t xml:space="preserve">, agency costs and ownership structure’, </w:t>
      </w:r>
      <w:r w:rsidRPr="00A767F6">
        <w:rPr>
          <w:rFonts w:ascii="Arial" w:hAnsi="Arial" w:cs="Arial"/>
          <w:i/>
          <w:iCs/>
        </w:rPr>
        <w:t>Journal of Financial Economics</w:t>
      </w:r>
      <w:r w:rsidRPr="00A767F6">
        <w:rPr>
          <w:rFonts w:ascii="Arial" w:hAnsi="Arial" w:cs="Arial"/>
        </w:rPr>
        <w:t xml:space="preserve">, 3(4), pp. </w:t>
      </w:r>
      <w:r w:rsidRPr="00A767F6">
        <w:rPr>
          <w:rFonts w:ascii="Arial" w:hAnsi="Arial" w:cs="Arial"/>
        </w:rPr>
        <w:lastRenderedPageBreak/>
        <w:t xml:space="preserve">305–360. Available at: </w:t>
      </w:r>
      <w:hyperlink r:id="rId17" w:tgtFrame="_new" w:history="1">
        <w:r w:rsidRPr="00A767F6">
          <w:rPr>
            <w:rStyle w:val="Hyperlink"/>
            <w:rFonts w:ascii="Arial" w:hAnsi="Arial" w:cs="Arial"/>
          </w:rPr>
          <w:t>https://www.sciencedirect.com</w:t>
        </w:r>
      </w:hyperlink>
      <w:r w:rsidRPr="00A767F6">
        <w:rPr>
          <w:rFonts w:ascii="Arial" w:hAnsi="Arial" w:cs="Arial"/>
        </w:rPr>
        <w:t xml:space="preserve"> (Accessed: 12 December 2025).</w:t>
      </w:r>
    </w:p>
    <w:p w14:paraId="4D51DAC3" w14:textId="77777777" w:rsidR="00A767F6" w:rsidRPr="00A767F6" w:rsidRDefault="00A767F6" w:rsidP="00A767F6">
      <w:pPr>
        <w:pStyle w:val="NormalWeb"/>
        <w:spacing w:line="360" w:lineRule="auto"/>
        <w:rPr>
          <w:rFonts w:ascii="Arial" w:hAnsi="Arial" w:cs="Arial"/>
        </w:rPr>
      </w:pPr>
      <w:r w:rsidRPr="00A767F6">
        <w:rPr>
          <w:rFonts w:ascii="Arial" w:hAnsi="Arial" w:cs="Arial"/>
        </w:rPr>
        <w:t xml:space="preserve">Kothari, S.P., </w:t>
      </w:r>
      <w:proofErr w:type="spellStart"/>
      <w:r w:rsidRPr="00A767F6">
        <w:rPr>
          <w:rFonts w:ascii="Arial" w:hAnsi="Arial" w:cs="Arial"/>
        </w:rPr>
        <w:t>Ramanna</w:t>
      </w:r>
      <w:proofErr w:type="spellEnd"/>
      <w:r w:rsidRPr="00A767F6">
        <w:rPr>
          <w:rFonts w:ascii="Arial" w:hAnsi="Arial" w:cs="Arial"/>
        </w:rPr>
        <w:t xml:space="preserve">, K. and Skinner, D.J. (2019) ‘Implications for GAAP from an analysis of positive research in accounting’, </w:t>
      </w:r>
      <w:r w:rsidRPr="00A767F6">
        <w:rPr>
          <w:rFonts w:ascii="Arial" w:hAnsi="Arial" w:cs="Arial"/>
          <w:i/>
          <w:iCs/>
        </w:rPr>
        <w:t>Journal of Accounting and Economics</w:t>
      </w:r>
      <w:r w:rsidRPr="00A767F6">
        <w:rPr>
          <w:rFonts w:ascii="Arial" w:hAnsi="Arial" w:cs="Arial"/>
        </w:rPr>
        <w:t xml:space="preserve">, 68(1), pp. 1–27. Available at: </w:t>
      </w:r>
      <w:hyperlink r:id="rId18" w:tgtFrame="_new" w:history="1">
        <w:r w:rsidRPr="00A767F6">
          <w:rPr>
            <w:rStyle w:val="Hyperlink"/>
            <w:rFonts w:ascii="Arial" w:hAnsi="Arial" w:cs="Arial"/>
          </w:rPr>
          <w:t>https://www.sciencedirect.com</w:t>
        </w:r>
      </w:hyperlink>
      <w:r w:rsidRPr="00A767F6">
        <w:rPr>
          <w:rFonts w:ascii="Arial" w:hAnsi="Arial" w:cs="Arial"/>
        </w:rPr>
        <w:t xml:space="preserve"> (Accessed: 12 December 2025).</w:t>
      </w:r>
    </w:p>
    <w:p w14:paraId="58424979" w14:textId="77777777" w:rsidR="00A767F6" w:rsidRPr="00A767F6" w:rsidRDefault="00A767F6" w:rsidP="00A767F6">
      <w:pPr>
        <w:pStyle w:val="NormalWeb"/>
        <w:spacing w:line="360" w:lineRule="auto"/>
        <w:rPr>
          <w:rFonts w:ascii="Arial" w:hAnsi="Arial" w:cs="Arial"/>
        </w:rPr>
      </w:pPr>
      <w:r w:rsidRPr="00A767F6">
        <w:rPr>
          <w:rFonts w:ascii="Arial" w:hAnsi="Arial" w:cs="Arial"/>
        </w:rPr>
        <w:t xml:space="preserve">Palepu, K.G. and Healy, P.M. (2022) </w:t>
      </w:r>
      <w:r w:rsidRPr="00A767F6">
        <w:rPr>
          <w:rFonts w:ascii="Arial" w:hAnsi="Arial" w:cs="Arial"/>
          <w:i/>
          <w:iCs/>
        </w:rPr>
        <w:t>Business Analysis and Valuation: Using Financial Statements.</w:t>
      </w:r>
      <w:r w:rsidRPr="00A767F6">
        <w:rPr>
          <w:rFonts w:ascii="Arial" w:hAnsi="Arial" w:cs="Arial"/>
        </w:rPr>
        <w:t xml:space="preserve"> 6th </w:t>
      </w:r>
      <w:proofErr w:type="spellStart"/>
      <w:r w:rsidRPr="00A767F6">
        <w:rPr>
          <w:rFonts w:ascii="Arial" w:hAnsi="Arial" w:cs="Arial"/>
        </w:rPr>
        <w:t>edn</w:t>
      </w:r>
      <w:proofErr w:type="spellEnd"/>
      <w:r w:rsidRPr="00A767F6">
        <w:rPr>
          <w:rFonts w:ascii="Arial" w:hAnsi="Arial" w:cs="Arial"/>
        </w:rPr>
        <w:t xml:space="preserve">. Boston: Cengage Learning. Available at: </w:t>
      </w:r>
      <w:hyperlink r:id="rId19" w:tgtFrame="_new" w:history="1">
        <w:r w:rsidRPr="00A767F6">
          <w:rPr>
            <w:rStyle w:val="Hyperlink"/>
            <w:rFonts w:ascii="Arial" w:hAnsi="Arial" w:cs="Arial"/>
          </w:rPr>
          <w:t>https://www.cengage.com</w:t>
        </w:r>
      </w:hyperlink>
      <w:r w:rsidRPr="00A767F6">
        <w:rPr>
          <w:rFonts w:ascii="Arial" w:hAnsi="Arial" w:cs="Arial"/>
        </w:rPr>
        <w:t xml:space="preserve"> (Accessed: 12 December 2025).</w:t>
      </w:r>
    </w:p>
    <w:p w14:paraId="0209909C" w14:textId="77777777" w:rsidR="00A767F6" w:rsidRPr="00A767F6" w:rsidRDefault="00A767F6" w:rsidP="00A767F6">
      <w:pPr>
        <w:pStyle w:val="NormalWeb"/>
        <w:spacing w:line="360" w:lineRule="auto"/>
        <w:rPr>
          <w:rFonts w:ascii="Arial" w:hAnsi="Arial" w:cs="Arial"/>
        </w:rPr>
      </w:pPr>
      <w:r w:rsidRPr="00A767F6">
        <w:rPr>
          <w:rFonts w:ascii="Arial" w:hAnsi="Arial" w:cs="Arial"/>
        </w:rPr>
        <w:t xml:space="preserve">Porter, M.E. (2008) ‘The five competitive forces that shape strategy’, </w:t>
      </w:r>
      <w:r w:rsidRPr="00A767F6">
        <w:rPr>
          <w:rFonts w:ascii="Arial" w:hAnsi="Arial" w:cs="Arial"/>
          <w:i/>
          <w:iCs/>
        </w:rPr>
        <w:t>Harvard Business Review</w:t>
      </w:r>
      <w:r w:rsidRPr="00A767F6">
        <w:rPr>
          <w:rFonts w:ascii="Arial" w:hAnsi="Arial" w:cs="Arial"/>
        </w:rPr>
        <w:t>, 86(1), pp. 78–93. Available at: https://hbr.org (Accessed: 12 December 2025).</w:t>
      </w:r>
    </w:p>
    <w:p w14:paraId="43FD687E" w14:textId="77777777" w:rsidR="00A767F6" w:rsidRPr="00A767F6" w:rsidRDefault="00A767F6" w:rsidP="00A767F6">
      <w:pPr>
        <w:pStyle w:val="NormalWeb"/>
        <w:spacing w:line="360" w:lineRule="auto"/>
        <w:rPr>
          <w:rFonts w:ascii="Arial" w:hAnsi="Arial" w:cs="Arial"/>
        </w:rPr>
      </w:pPr>
      <w:r w:rsidRPr="00A767F6">
        <w:rPr>
          <w:rFonts w:ascii="Arial" w:hAnsi="Arial" w:cs="Arial"/>
        </w:rPr>
        <w:t xml:space="preserve">Ross, S.A., Westerfield, R.W. and Jordan, B.D. (2022) </w:t>
      </w:r>
      <w:r w:rsidRPr="00A767F6">
        <w:rPr>
          <w:rFonts w:ascii="Arial" w:hAnsi="Arial" w:cs="Arial"/>
          <w:i/>
          <w:iCs/>
        </w:rPr>
        <w:t>Fundamentals of Corporate Finance.</w:t>
      </w:r>
      <w:r w:rsidRPr="00A767F6">
        <w:rPr>
          <w:rFonts w:ascii="Arial" w:hAnsi="Arial" w:cs="Arial"/>
        </w:rPr>
        <w:t xml:space="preserve"> 13th </w:t>
      </w:r>
      <w:proofErr w:type="spellStart"/>
      <w:r w:rsidRPr="00A767F6">
        <w:rPr>
          <w:rFonts w:ascii="Arial" w:hAnsi="Arial" w:cs="Arial"/>
        </w:rPr>
        <w:t>edn</w:t>
      </w:r>
      <w:proofErr w:type="spellEnd"/>
      <w:r w:rsidRPr="00A767F6">
        <w:rPr>
          <w:rFonts w:ascii="Arial" w:hAnsi="Arial" w:cs="Arial"/>
        </w:rPr>
        <w:t xml:space="preserve">. New York: McGraw-Hill Education. Available at: </w:t>
      </w:r>
      <w:hyperlink r:id="rId20" w:tgtFrame="_new" w:history="1">
        <w:r w:rsidRPr="00A767F6">
          <w:rPr>
            <w:rStyle w:val="Hyperlink"/>
            <w:rFonts w:ascii="Arial" w:hAnsi="Arial" w:cs="Arial"/>
          </w:rPr>
          <w:t>https://www.mheducation.com</w:t>
        </w:r>
      </w:hyperlink>
      <w:r w:rsidRPr="00A767F6">
        <w:rPr>
          <w:rFonts w:ascii="Arial" w:hAnsi="Arial" w:cs="Arial"/>
        </w:rPr>
        <w:t xml:space="preserve"> (Accessed: 12 December 2025).</w:t>
      </w:r>
    </w:p>
    <w:p w14:paraId="6B9E8FFA" w14:textId="77777777" w:rsidR="00A767F6" w:rsidRPr="00A767F6" w:rsidRDefault="00A767F6" w:rsidP="00A767F6">
      <w:pPr>
        <w:pStyle w:val="NormalWeb"/>
        <w:spacing w:line="360" w:lineRule="auto"/>
        <w:rPr>
          <w:rFonts w:ascii="Arial" w:hAnsi="Arial" w:cs="Arial"/>
        </w:rPr>
      </w:pPr>
      <w:r w:rsidRPr="00A767F6">
        <w:rPr>
          <w:rFonts w:ascii="Arial" w:hAnsi="Arial" w:cs="Arial"/>
        </w:rPr>
        <w:t xml:space="preserve">Sharma, S. and Kumar, P. (2011) ‘Corporate governance and firm performance’, </w:t>
      </w:r>
      <w:r w:rsidRPr="00A767F6">
        <w:rPr>
          <w:rFonts w:ascii="Arial" w:hAnsi="Arial" w:cs="Arial"/>
          <w:i/>
          <w:iCs/>
        </w:rPr>
        <w:t>International Journal of Trade, Economics and Finance</w:t>
      </w:r>
      <w:r w:rsidRPr="00A767F6">
        <w:rPr>
          <w:rFonts w:ascii="Arial" w:hAnsi="Arial" w:cs="Arial"/>
        </w:rPr>
        <w:t xml:space="preserve">, 2(2), pp. 173–178. Available at: </w:t>
      </w:r>
      <w:hyperlink r:id="rId21" w:tgtFrame="_new" w:history="1">
        <w:r w:rsidRPr="00A767F6">
          <w:rPr>
            <w:rStyle w:val="Hyperlink"/>
            <w:rFonts w:ascii="Arial" w:hAnsi="Arial" w:cs="Arial"/>
          </w:rPr>
          <w:t>https://www.ijtef.org</w:t>
        </w:r>
      </w:hyperlink>
      <w:r w:rsidRPr="00A767F6">
        <w:rPr>
          <w:rFonts w:ascii="Arial" w:hAnsi="Arial" w:cs="Arial"/>
        </w:rPr>
        <w:t xml:space="preserve"> (Accessed: 12 December 2025).</w:t>
      </w:r>
    </w:p>
    <w:p w14:paraId="3D06515F" w14:textId="77777777" w:rsidR="00A767F6" w:rsidRPr="00A767F6" w:rsidRDefault="00A767F6" w:rsidP="00A767F6">
      <w:pPr>
        <w:pStyle w:val="NormalWeb"/>
        <w:spacing w:line="360" w:lineRule="auto"/>
        <w:rPr>
          <w:rFonts w:ascii="Arial" w:hAnsi="Arial" w:cs="Arial"/>
        </w:rPr>
      </w:pPr>
      <w:r w:rsidRPr="00A767F6">
        <w:rPr>
          <w:rFonts w:ascii="Arial" w:hAnsi="Arial" w:cs="Arial"/>
        </w:rPr>
        <w:t xml:space="preserve">Stickney, C.P., Weil, R.L., Schipper, K. and Francis, J. (2020) </w:t>
      </w:r>
      <w:r w:rsidRPr="00A767F6">
        <w:rPr>
          <w:rFonts w:ascii="Arial" w:hAnsi="Arial" w:cs="Arial"/>
          <w:i/>
          <w:iCs/>
        </w:rPr>
        <w:t>Financial Accounting: An Introduction to Concepts, Methods and Uses.</w:t>
      </w:r>
      <w:r w:rsidRPr="00A767F6">
        <w:rPr>
          <w:rFonts w:ascii="Arial" w:hAnsi="Arial" w:cs="Arial"/>
        </w:rPr>
        <w:t xml:space="preserve"> 14th </w:t>
      </w:r>
      <w:proofErr w:type="spellStart"/>
      <w:r w:rsidRPr="00A767F6">
        <w:rPr>
          <w:rFonts w:ascii="Arial" w:hAnsi="Arial" w:cs="Arial"/>
        </w:rPr>
        <w:t>edn</w:t>
      </w:r>
      <w:proofErr w:type="spellEnd"/>
      <w:r w:rsidRPr="00A767F6">
        <w:rPr>
          <w:rFonts w:ascii="Arial" w:hAnsi="Arial" w:cs="Arial"/>
        </w:rPr>
        <w:t xml:space="preserve">. Boston: Cengage Learning. Available at: </w:t>
      </w:r>
      <w:hyperlink r:id="rId22" w:tgtFrame="_new" w:history="1">
        <w:r w:rsidRPr="00A767F6">
          <w:rPr>
            <w:rStyle w:val="Hyperlink"/>
            <w:rFonts w:ascii="Arial" w:hAnsi="Arial" w:cs="Arial"/>
          </w:rPr>
          <w:t>https://www.cengage.com</w:t>
        </w:r>
      </w:hyperlink>
      <w:r w:rsidRPr="00A767F6">
        <w:rPr>
          <w:rFonts w:ascii="Arial" w:hAnsi="Arial" w:cs="Arial"/>
        </w:rPr>
        <w:t xml:space="preserve"> (Accessed: 12 December 2025).</w:t>
      </w:r>
    </w:p>
    <w:p w14:paraId="366C848D" w14:textId="77777777" w:rsidR="00A767F6" w:rsidRPr="00A767F6" w:rsidRDefault="00A767F6" w:rsidP="00A767F6">
      <w:pPr>
        <w:pStyle w:val="NormalWeb"/>
        <w:spacing w:line="360" w:lineRule="auto"/>
        <w:rPr>
          <w:rFonts w:ascii="Arial" w:hAnsi="Arial" w:cs="Arial"/>
        </w:rPr>
      </w:pPr>
      <w:r w:rsidRPr="00A767F6">
        <w:rPr>
          <w:rFonts w:ascii="Arial" w:hAnsi="Arial" w:cs="Arial"/>
        </w:rPr>
        <w:t xml:space="preserve">UN Global Compact (2023) </w:t>
      </w:r>
      <w:r w:rsidRPr="00A767F6">
        <w:rPr>
          <w:rFonts w:ascii="Arial" w:hAnsi="Arial" w:cs="Arial"/>
          <w:i/>
          <w:iCs/>
        </w:rPr>
        <w:t>Corporate Sustainability and Responsibility Framework.</w:t>
      </w:r>
      <w:r w:rsidRPr="00A767F6">
        <w:rPr>
          <w:rFonts w:ascii="Arial" w:hAnsi="Arial" w:cs="Arial"/>
        </w:rPr>
        <w:t xml:space="preserve"> Available at: </w:t>
      </w:r>
      <w:hyperlink r:id="rId23" w:tgtFrame="_new" w:history="1">
        <w:r w:rsidRPr="00A767F6">
          <w:rPr>
            <w:rStyle w:val="Hyperlink"/>
            <w:rFonts w:ascii="Arial" w:hAnsi="Arial" w:cs="Arial"/>
          </w:rPr>
          <w:t>https://www.unglobalcompact.org</w:t>
        </w:r>
      </w:hyperlink>
      <w:r w:rsidRPr="00A767F6">
        <w:rPr>
          <w:rFonts w:ascii="Arial" w:hAnsi="Arial" w:cs="Arial"/>
        </w:rPr>
        <w:t xml:space="preserve"> (Accessed: 12 December 2025).</w:t>
      </w:r>
    </w:p>
    <w:p w14:paraId="7C25E34B" w14:textId="77777777" w:rsidR="00A767F6" w:rsidRPr="00A767F6" w:rsidRDefault="00A767F6" w:rsidP="00A767F6">
      <w:pPr>
        <w:pStyle w:val="NormalWeb"/>
        <w:spacing w:line="360" w:lineRule="auto"/>
        <w:rPr>
          <w:rFonts w:ascii="Arial" w:hAnsi="Arial" w:cs="Arial"/>
        </w:rPr>
      </w:pPr>
      <w:r w:rsidRPr="00A767F6">
        <w:rPr>
          <w:rFonts w:ascii="Arial" w:hAnsi="Arial" w:cs="Arial"/>
        </w:rPr>
        <w:t xml:space="preserve">Watson, D. and Head, A. (2022) </w:t>
      </w:r>
      <w:r w:rsidRPr="00A767F6">
        <w:rPr>
          <w:rFonts w:ascii="Arial" w:hAnsi="Arial" w:cs="Arial"/>
          <w:i/>
          <w:iCs/>
        </w:rPr>
        <w:t>Corporate Finance: Principles and Practice.</w:t>
      </w:r>
      <w:r w:rsidRPr="00A767F6">
        <w:rPr>
          <w:rFonts w:ascii="Arial" w:hAnsi="Arial" w:cs="Arial"/>
        </w:rPr>
        <w:t xml:space="preserve"> 9th </w:t>
      </w:r>
      <w:proofErr w:type="spellStart"/>
      <w:r w:rsidRPr="00A767F6">
        <w:rPr>
          <w:rFonts w:ascii="Arial" w:hAnsi="Arial" w:cs="Arial"/>
        </w:rPr>
        <w:t>edn</w:t>
      </w:r>
      <w:proofErr w:type="spellEnd"/>
      <w:r w:rsidRPr="00A767F6">
        <w:rPr>
          <w:rFonts w:ascii="Arial" w:hAnsi="Arial" w:cs="Arial"/>
        </w:rPr>
        <w:t xml:space="preserve">. Harlow: Pearson Education. Available at: </w:t>
      </w:r>
      <w:hyperlink r:id="rId24" w:tgtFrame="_new" w:history="1">
        <w:r w:rsidRPr="00A767F6">
          <w:rPr>
            <w:rStyle w:val="Hyperlink"/>
            <w:rFonts w:ascii="Arial" w:hAnsi="Arial" w:cs="Arial"/>
          </w:rPr>
          <w:t>https://www.pearson.com</w:t>
        </w:r>
      </w:hyperlink>
      <w:r w:rsidRPr="00A767F6">
        <w:rPr>
          <w:rFonts w:ascii="Arial" w:hAnsi="Arial" w:cs="Arial"/>
        </w:rPr>
        <w:t xml:space="preserve"> (Accessed: 12 December 2025).</w:t>
      </w:r>
    </w:p>
    <w:p w14:paraId="548DBECA" w14:textId="77777777" w:rsidR="00A767F6" w:rsidRPr="00A767F6" w:rsidRDefault="00A767F6" w:rsidP="00A767F6">
      <w:pPr>
        <w:pStyle w:val="NormalWeb"/>
        <w:spacing w:line="360" w:lineRule="auto"/>
        <w:rPr>
          <w:rFonts w:ascii="Arial" w:hAnsi="Arial" w:cs="Arial"/>
        </w:rPr>
      </w:pPr>
      <w:r w:rsidRPr="00A767F6">
        <w:rPr>
          <w:rFonts w:ascii="Arial" w:hAnsi="Arial" w:cs="Arial"/>
        </w:rPr>
        <w:lastRenderedPageBreak/>
        <w:t xml:space="preserve">World Bank (2023) </w:t>
      </w:r>
      <w:r w:rsidRPr="00A767F6">
        <w:rPr>
          <w:rFonts w:ascii="Arial" w:hAnsi="Arial" w:cs="Arial"/>
          <w:i/>
          <w:iCs/>
        </w:rPr>
        <w:t>Corporate Governance and Financial Stability.</w:t>
      </w:r>
      <w:r w:rsidRPr="00A767F6">
        <w:rPr>
          <w:rFonts w:ascii="Arial" w:hAnsi="Arial" w:cs="Arial"/>
        </w:rPr>
        <w:t xml:space="preserve"> Available at: </w:t>
      </w:r>
      <w:hyperlink r:id="rId25" w:tgtFrame="_new" w:history="1">
        <w:r w:rsidRPr="00A767F6">
          <w:rPr>
            <w:rStyle w:val="Hyperlink"/>
            <w:rFonts w:ascii="Arial" w:hAnsi="Arial" w:cs="Arial"/>
          </w:rPr>
          <w:t>https://www.worldbank.org</w:t>
        </w:r>
      </w:hyperlink>
      <w:r w:rsidRPr="00A767F6">
        <w:rPr>
          <w:rFonts w:ascii="Arial" w:hAnsi="Arial" w:cs="Arial"/>
        </w:rPr>
        <w:t xml:space="preserve"> (Accessed: 12 December 2025).</w:t>
      </w:r>
    </w:p>
    <w:p w14:paraId="18F63417" w14:textId="75D93EAF" w:rsidR="00C338C0" w:rsidRPr="006C081F" w:rsidRDefault="00A767F6" w:rsidP="00CE226E">
      <w:pPr>
        <w:pStyle w:val="NormalWeb"/>
        <w:spacing w:line="360" w:lineRule="auto"/>
        <w:rPr>
          <w:rFonts w:ascii="Arial" w:hAnsi="Arial" w:cs="Arial"/>
        </w:rPr>
      </w:pPr>
      <w:r w:rsidRPr="00A767F6">
        <w:rPr>
          <w:rFonts w:ascii="Arial" w:hAnsi="Arial" w:cs="Arial"/>
        </w:rPr>
        <w:t xml:space="preserve">Zopounidis, C. and </w:t>
      </w:r>
      <w:proofErr w:type="spellStart"/>
      <w:r w:rsidRPr="00A767F6">
        <w:rPr>
          <w:rFonts w:ascii="Arial" w:hAnsi="Arial" w:cs="Arial"/>
        </w:rPr>
        <w:t>Doumpos</w:t>
      </w:r>
      <w:proofErr w:type="spellEnd"/>
      <w:r w:rsidRPr="00A767F6">
        <w:rPr>
          <w:rFonts w:ascii="Arial" w:hAnsi="Arial" w:cs="Arial"/>
        </w:rPr>
        <w:t xml:space="preserve">, M. (2019) ‘Business failure prediction: A survey of methods’, </w:t>
      </w:r>
      <w:r w:rsidRPr="00A767F6">
        <w:rPr>
          <w:rFonts w:ascii="Arial" w:hAnsi="Arial" w:cs="Arial"/>
          <w:i/>
          <w:iCs/>
        </w:rPr>
        <w:t>European Journal of Operational Research</w:t>
      </w:r>
      <w:r w:rsidRPr="00A767F6">
        <w:rPr>
          <w:rFonts w:ascii="Arial" w:hAnsi="Arial" w:cs="Arial"/>
        </w:rPr>
        <w:t xml:space="preserve">, 234(2), pp. 348–365. Available at: </w:t>
      </w:r>
      <w:hyperlink r:id="rId26" w:tgtFrame="_new" w:history="1">
        <w:r w:rsidRPr="00A767F6">
          <w:rPr>
            <w:rStyle w:val="Hyperlink"/>
            <w:rFonts w:ascii="Arial" w:hAnsi="Arial" w:cs="Arial"/>
          </w:rPr>
          <w:t>https://www.sciencedirect.com</w:t>
        </w:r>
      </w:hyperlink>
      <w:r w:rsidRPr="00A767F6">
        <w:rPr>
          <w:rFonts w:ascii="Arial" w:hAnsi="Arial" w:cs="Arial"/>
        </w:rPr>
        <w:t xml:space="preserve"> (Accessed: 12 December 2025).</w:t>
      </w:r>
    </w:p>
    <w:p w14:paraId="7EDF0630" w14:textId="77777777" w:rsidR="00C338C0" w:rsidRPr="006C081F" w:rsidRDefault="00C338C0" w:rsidP="00CE226E">
      <w:pPr>
        <w:pStyle w:val="NormalWeb"/>
        <w:spacing w:line="360" w:lineRule="auto"/>
        <w:rPr>
          <w:rFonts w:ascii="Arial" w:hAnsi="Arial" w:cs="Arial"/>
        </w:rPr>
      </w:pPr>
    </w:p>
    <w:p w14:paraId="2BFDCE59" w14:textId="77777777" w:rsidR="00C338C0" w:rsidRPr="006C081F" w:rsidRDefault="00C338C0" w:rsidP="00CE226E">
      <w:pPr>
        <w:pStyle w:val="NormalWeb"/>
        <w:spacing w:line="360" w:lineRule="auto"/>
        <w:rPr>
          <w:rFonts w:ascii="Arial" w:hAnsi="Arial" w:cs="Arial"/>
        </w:rPr>
      </w:pPr>
    </w:p>
    <w:p w14:paraId="72A68814" w14:textId="77777777" w:rsidR="00C338C0" w:rsidRPr="006C081F" w:rsidRDefault="00C338C0" w:rsidP="00CE226E">
      <w:pPr>
        <w:pStyle w:val="NormalWeb"/>
        <w:spacing w:line="360" w:lineRule="auto"/>
        <w:rPr>
          <w:rFonts w:ascii="Arial" w:hAnsi="Arial" w:cs="Arial"/>
        </w:rPr>
      </w:pPr>
    </w:p>
    <w:p w14:paraId="3CD1F0DC" w14:textId="77777777" w:rsidR="00C338C0" w:rsidRPr="006C081F" w:rsidRDefault="00C338C0" w:rsidP="00CE226E">
      <w:pPr>
        <w:pStyle w:val="NormalWeb"/>
        <w:spacing w:line="360" w:lineRule="auto"/>
        <w:rPr>
          <w:rFonts w:ascii="Arial" w:hAnsi="Arial" w:cs="Arial"/>
        </w:rPr>
      </w:pPr>
    </w:p>
    <w:p w14:paraId="14E07E47" w14:textId="77777777" w:rsidR="00C338C0" w:rsidRPr="006C081F" w:rsidRDefault="00C338C0" w:rsidP="00CE226E">
      <w:pPr>
        <w:pStyle w:val="NormalWeb"/>
        <w:spacing w:line="360" w:lineRule="auto"/>
        <w:rPr>
          <w:rFonts w:ascii="Arial" w:hAnsi="Arial" w:cs="Arial"/>
        </w:rPr>
      </w:pPr>
    </w:p>
    <w:p w14:paraId="0C2978BA" w14:textId="77777777" w:rsidR="00C338C0" w:rsidRPr="006C081F" w:rsidRDefault="00C338C0" w:rsidP="00CE226E">
      <w:pPr>
        <w:pStyle w:val="NormalWeb"/>
        <w:spacing w:line="360" w:lineRule="auto"/>
        <w:rPr>
          <w:rFonts w:ascii="Arial" w:hAnsi="Arial" w:cs="Arial"/>
        </w:rPr>
      </w:pPr>
    </w:p>
    <w:p w14:paraId="2F8ECB00" w14:textId="77777777" w:rsidR="00C338C0" w:rsidRPr="006C081F" w:rsidRDefault="00C338C0" w:rsidP="00CE226E">
      <w:pPr>
        <w:pStyle w:val="NormalWeb"/>
        <w:spacing w:line="360" w:lineRule="auto"/>
        <w:rPr>
          <w:rFonts w:ascii="Arial" w:hAnsi="Arial" w:cs="Arial"/>
        </w:rPr>
      </w:pPr>
    </w:p>
    <w:p w14:paraId="0CAE9CF0" w14:textId="77777777" w:rsidR="00C338C0" w:rsidRPr="006C081F" w:rsidRDefault="00C338C0" w:rsidP="00CE226E">
      <w:pPr>
        <w:pStyle w:val="NormalWeb"/>
        <w:spacing w:line="360" w:lineRule="auto"/>
        <w:rPr>
          <w:rFonts w:ascii="Arial" w:hAnsi="Arial" w:cs="Arial"/>
        </w:rPr>
      </w:pPr>
    </w:p>
    <w:p w14:paraId="7A796537" w14:textId="77777777" w:rsidR="00C338C0" w:rsidRPr="006C081F" w:rsidRDefault="00C338C0" w:rsidP="00CE226E">
      <w:pPr>
        <w:pStyle w:val="NormalWeb"/>
        <w:spacing w:line="360" w:lineRule="auto"/>
        <w:rPr>
          <w:rFonts w:ascii="Arial" w:hAnsi="Arial" w:cs="Arial"/>
        </w:rPr>
      </w:pPr>
    </w:p>
    <w:p w14:paraId="3C5C75C5" w14:textId="77777777" w:rsidR="00C338C0" w:rsidRPr="006C081F" w:rsidRDefault="00C338C0" w:rsidP="00CE226E">
      <w:pPr>
        <w:pStyle w:val="NormalWeb"/>
        <w:spacing w:line="360" w:lineRule="auto"/>
        <w:rPr>
          <w:rFonts w:ascii="Arial" w:hAnsi="Arial" w:cs="Arial"/>
        </w:rPr>
      </w:pPr>
    </w:p>
    <w:p w14:paraId="3637A015" w14:textId="77777777" w:rsidR="00C338C0" w:rsidRPr="006C081F" w:rsidRDefault="00C338C0" w:rsidP="00CE226E">
      <w:pPr>
        <w:pStyle w:val="NormalWeb"/>
        <w:spacing w:line="360" w:lineRule="auto"/>
        <w:rPr>
          <w:rFonts w:ascii="Arial" w:hAnsi="Arial" w:cs="Arial"/>
        </w:rPr>
      </w:pPr>
    </w:p>
    <w:p w14:paraId="51CEB930" w14:textId="77777777" w:rsidR="00C338C0" w:rsidRPr="006C081F" w:rsidRDefault="00C338C0" w:rsidP="00CE226E">
      <w:pPr>
        <w:pStyle w:val="NormalWeb"/>
        <w:spacing w:line="360" w:lineRule="auto"/>
        <w:rPr>
          <w:rFonts w:ascii="Arial" w:hAnsi="Arial" w:cs="Arial"/>
        </w:rPr>
      </w:pPr>
    </w:p>
    <w:p w14:paraId="4E32FAF4" w14:textId="77777777" w:rsidR="00C338C0" w:rsidRPr="006C081F" w:rsidRDefault="00C338C0" w:rsidP="00CE226E">
      <w:pPr>
        <w:pStyle w:val="NormalWeb"/>
        <w:spacing w:line="360" w:lineRule="auto"/>
        <w:rPr>
          <w:rFonts w:ascii="Arial" w:hAnsi="Arial" w:cs="Arial"/>
        </w:rPr>
      </w:pPr>
    </w:p>
    <w:p w14:paraId="6036458E" w14:textId="77777777" w:rsidR="00C338C0" w:rsidRPr="006C081F" w:rsidRDefault="00C338C0" w:rsidP="00CE226E">
      <w:pPr>
        <w:pStyle w:val="NormalWeb"/>
        <w:spacing w:line="360" w:lineRule="auto"/>
        <w:rPr>
          <w:rFonts w:ascii="Arial" w:hAnsi="Arial" w:cs="Arial"/>
        </w:rPr>
      </w:pPr>
    </w:p>
    <w:p w14:paraId="7E310C38" w14:textId="77777777" w:rsidR="00C338C0" w:rsidRPr="006C081F" w:rsidRDefault="00C338C0" w:rsidP="00CE226E">
      <w:pPr>
        <w:pStyle w:val="NormalWeb"/>
        <w:spacing w:line="360" w:lineRule="auto"/>
        <w:rPr>
          <w:rFonts w:ascii="Arial" w:hAnsi="Arial" w:cs="Arial"/>
        </w:rPr>
      </w:pPr>
    </w:p>
    <w:p w14:paraId="5E795CE2" w14:textId="0A05FB2B" w:rsidR="00C338C0" w:rsidRPr="006C081F" w:rsidRDefault="00C338C0" w:rsidP="00674C2E">
      <w:pPr>
        <w:pStyle w:val="Heading1"/>
      </w:pPr>
      <w:bookmarkStart w:id="19" w:name="_Toc216794683"/>
      <w:r w:rsidRPr="006C081F">
        <w:lastRenderedPageBreak/>
        <w:t>Appendices</w:t>
      </w:r>
      <w:bookmarkEnd w:id="19"/>
    </w:p>
    <w:p w14:paraId="7A6F48F5" w14:textId="1D9EF070" w:rsidR="00C338C0" w:rsidRPr="006C081F" w:rsidRDefault="00B8117D" w:rsidP="00E51711">
      <w:pPr>
        <w:pStyle w:val="Heading2"/>
      </w:pPr>
      <w:bookmarkStart w:id="20" w:name="_Toc216794684"/>
      <w:r w:rsidRPr="00B8117D">
        <w:t>Appendix A: Ratio Analysis Tables</w:t>
      </w:r>
      <w:bookmarkEnd w:id="20"/>
    </w:p>
    <w:p w14:paraId="4CA10131" w14:textId="1C7F2043" w:rsidR="001110EB" w:rsidRDefault="0076437F" w:rsidP="00C338C0">
      <w:pPr>
        <w:pStyle w:val="NormalWeb"/>
        <w:spacing w:line="360" w:lineRule="auto"/>
        <w:rPr>
          <w:rFonts w:ascii="Arial" w:hAnsi="Arial" w:cs="Arial"/>
          <w:b/>
          <w:bCs/>
        </w:rPr>
      </w:pPr>
      <w:r w:rsidRPr="0076437F">
        <w:rPr>
          <w:rFonts w:ascii="Arial" w:hAnsi="Arial" w:cs="Arial"/>
          <w:b/>
          <w:bCs/>
        </w:rPr>
        <w:t>Appendix A1: Liquidity Ratios</w:t>
      </w:r>
    </w:p>
    <w:tbl>
      <w:tblPr>
        <w:tblStyle w:val="TableGrid"/>
        <w:tblW w:w="0" w:type="auto"/>
        <w:tblInd w:w="905" w:type="dxa"/>
        <w:tblLook w:val="04A0" w:firstRow="1" w:lastRow="0" w:firstColumn="1" w:lastColumn="0" w:noHBand="0" w:noVBand="1"/>
      </w:tblPr>
      <w:tblGrid>
        <w:gridCol w:w="723"/>
        <w:gridCol w:w="1676"/>
        <w:gridCol w:w="1463"/>
      </w:tblGrid>
      <w:tr w:rsidR="00A87B99" w:rsidRPr="00A87B99" w14:paraId="46E26B44" w14:textId="77777777" w:rsidTr="00A87B99">
        <w:tc>
          <w:tcPr>
            <w:tcW w:w="0" w:type="auto"/>
            <w:hideMark/>
          </w:tcPr>
          <w:p w14:paraId="198C2C5E" w14:textId="77777777" w:rsidR="00A87B99" w:rsidRPr="00A87B99" w:rsidRDefault="00A87B99" w:rsidP="00A87B99">
            <w:pPr>
              <w:spacing w:after="0" w:line="240" w:lineRule="auto"/>
              <w:jc w:val="center"/>
              <w:rPr>
                <w:rFonts w:ascii="Times New Roman" w:eastAsia="Times New Roman" w:hAnsi="Times New Roman" w:cs="Times New Roman"/>
                <w:b/>
                <w:bCs/>
                <w:sz w:val="24"/>
                <w:szCs w:val="24"/>
                <w:lang w:eastAsia="en-GB" w:bidi="bn-IN"/>
              </w:rPr>
            </w:pPr>
            <w:r w:rsidRPr="00A87B99">
              <w:rPr>
                <w:rFonts w:ascii="Times New Roman" w:eastAsia="Times New Roman" w:hAnsi="Times New Roman" w:cs="Times New Roman"/>
                <w:b/>
                <w:bCs/>
                <w:sz w:val="24"/>
                <w:szCs w:val="24"/>
                <w:lang w:eastAsia="en-GB" w:bidi="bn-IN"/>
              </w:rPr>
              <w:t>Year</w:t>
            </w:r>
          </w:p>
        </w:tc>
        <w:tc>
          <w:tcPr>
            <w:tcW w:w="0" w:type="auto"/>
            <w:hideMark/>
          </w:tcPr>
          <w:p w14:paraId="318EC9E5" w14:textId="77777777" w:rsidR="00A87B99" w:rsidRPr="00A87B99" w:rsidRDefault="00A87B99" w:rsidP="00A87B99">
            <w:pPr>
              <w:spacing w:after="0" w:line="240" w:lineRule="auto"/>
              <w:jc w:val="center"/>
              <w:rPr>
                <w:rFonts w:ascii="Times New Roman" w:eastAsia="Times New Roman" w:hAnsi="Times New Roman" w:cs="Times New Roman"/>
                <w:b/>
                <w:bCs/>
                <w:sz w:val="24"/>
                <w:szCs w:val="24"/>
                <w:lang w:eastAsia="en-GB" w:bidi="bn-IN"/>
              </w:rPr>
            </w:pPr>
            <w:r w:rsidRPr="00A87B99">
              <w:rPr>
                <w:rFonts w:ascii="Times New Roman" w:eastAsia="Times New Roman" w:hAnsi="Times New Roman" w:cs="Times New Roman"/>
                <w:b/>
                <w:bCs/>
                <w:sz w:val="24"/>
                <w:szCs w:val="24"/>
                <w:lang w:eastAsia="en-GB" w:bidi="bn-IN"/>
              </w:rPr>
              <w:t>Current Ratio</w:t>
            </w:r>
          </w:p>
        </w:tc>
        <w:tc>
          <w:tcPr>
            <w:tcW w:w="0" w:type="auto"/>
            <w:hideMark/>
          </w:tcPr>
          <w:p w14:paraId="4DE4356D" w14:textId="77777777" w:rsidR="00A87B99" w:rsidRPr="00A87B99" w:rsidRDefault="00A87B99" w:rsidP="00A87B99">
            <w:pPr>
              <w:spacing w:after="0" w:line="240" w:lineRule="auto"/>
              <w:jc w:val="center"/>
              <w:rPr>
                <w:rFonts w:ascii="Times New Roman" w:eastAsia="Times New Roman" w:hAnsi="Times New Roman" w:cs="Times New Roman"/>
                <w:b/>
                <w:bCs/>
                <w:sz w:val="24"/>
                <w:szCs w:val="24"/>
                <w:lang w:eastAsia="en-GB" w:bidi="bn-IN"/>
              </w:rPr>
            </w:pPr>
            <w:r w:rsidRPr="00A87B99">
              <w:rPr>
                <w:rFonts w:ascii="Times New Roman" w:eastAsia="Times New Roman" w:hAnsi="Times New Roman" w:cs="Times New Roman"/>
                <w:b/>
                <w:bCs/>
                <w:sz w:val="24"/>
                <w:szCs w:val="24"/>
                <w:lang w:eastAsia="en-GB" w:bidi="bn-IN"/>
              </w:rPr>
              <w:t>Quick Ratio</w:t>
            </w:r>
          </w:p>
        </w:tc>
      </w:tr>
      <w:tr w:rsidR="00A87B99" w:rsidRPr="00A87B99" w14:paraId="17151DAD" w14:textId="77777777" w:rsidTr="00A87B99">
        <w:tc>
          <w:tcPr>
            <w:tcW w:w="0" w:type="auto"/>
            <w:hideMark/>
          </w:tcPr>
          <w:p w14:paraId="7739F348" w14:textId="77777777" w:rsidR="00A87B99" w:rsidRPr="00A87B99" w:rsidRDefault="00A87B99" w:rsidP="00A87B99">
            <w:pPr>
              <w:spacing w:after="0" w:line="240" w:lineRule="auto"/>
              <w:rPr>
                <w:rFonts w:ascii="Times New Roman" w:eastAsia="Times New Roman" w:hAnsi="Times New Roman" w:cs="Times New Roman"/>
                <w:sz w:val="24"/>
                <w:szCs w:val="24"/>
                <w:lang w:eastAsia="en-GB" w:bidi="bn-IN"/>
              </w:rPr>
            </w:pPr>
            <w:r w:rsidRPr="00A87B99">
              <w:rPr>
                <w:rFonts w:ascii="Times New Roman" w:eastAsia="Times New Roman" w:hAnsi="Times New Roman" w:cs="Times New Roman"/>
                <w:sz w:val="24"/>
                <w:szCs w:val="24"/>
                <w:lang w:eastAsia="en-GB" w:bidi="bn-IN"/>
              </w:rPr>
              <w:t>2021</w:t>
            </w:r>
          </w:p>
        </w:tc>
        <w:tc>
          <w:tcPr>
            <w:tcW w:w="0" w:type="auto"/>
            <w:hideMark/>
          </w:tcPr>
          <w:p w14:paraId="0536FA5C" w14:textId="77777777" w:rsidR="00A87B99" w:rsidRPr="00A87B99" w:rsidRDefault="00A87B99" w:rsidP="00A87B99">
            <w:pPr>
              <w:spacing w:after="0" w:line="240" w:lineRule="auto"/>
              <w:rPr>
                <w:rFonts w:ascii="Times New Roman" w:eastAsia="Times New Roman" w:hAnsi="Times New Roman" w:cs="Times New Roman"/>
                <w:sz w:val="24"/>
                <w:szCs w:val="24"/>
                <w:lang w:eastAsia="en-GB" w:bidi="bn-IN"/>
              </w:rPr>
            </w:pPr>
            <w:r w:rsidRPr="00A87B99">
              <w:rPr>
                <w:rFonts w:ascii="Times New Roman" w:eastAsia="Times New Roman" w:hAnsi="Times New Roman" w:cs="Times New Roman"/>
                <w:sz w:val="24"/>
                <w:szCs w:val="24"/>
                <w:lang w:eastAsia="en-GB" w:bidi="bn-IN"/>
              </w:rPr>
              <w:t>1.56</w:t>
            </w:r>
          </w:p>
        </w:tc>
        <w:tc>
          <w:tcPr>
            <w:tcW w:w="0" w:type="auto"/>
            <w:hideMark/>
          </w:tcPr>
          <w:p w14:paraId="292F4FCC" w14:textId="77777777" w:rsidR="00A87B99" w:rsidRPr="00A87B99" w:rsidRDefault="00A87B99" w:rsidP="00A87B99">
            <w:pPr>
              <w:spacing w:after="0" w:line="240" w:lineRule="auto"/>
              <w:rPr>
                <w:rFonts w:ascii="Times New Roman" w:eastAsia="Times New Roman" w:hAnsi="Times New Roman" w:cs="Times New Roman"/>
                <w:sz w:val="24"/>
                <w:szCs w:val="24"/>
                <w:lang w:eastAsia="en-GB" w:bidi="bn-IN"/>
              </w:rPr>
            </w:pPr>
            <w:r w:rsidRPr="00A87B99">
              <w:rPr>
                <w:rFonts w:ascii="Times New Roman" w:eastAsia="Times New Roman" w:hAnsi="Times New Roman" w:cs="Times New Roman"/>
                <w:sz w:val="24"/>
                <w:szCs w:val="24"/>
                <w:lang w:eastAsia="en-GB" w:bidi="bn-IN"/>
              </w:rPr>
              <w:t>0.94</w:t>
            </w:r>
          </w:p>
        </w:tc>
      </w:tr>
      <w:tr w:rsidR="00A87B99" w:rsidRPr="00A87B99" w14:paraId="27380AD0" w14:textId="77777777" w:rsidTr="00A87B99">
        <w:tc>
          <w:tcPr>
            <w:tcW w:w="0" w:type="auto"/>
            <w:hideMark/>
          </w:tcPr>
          <w:p w14:paraId="20204426" w14:textId="77777777" w:rsidR="00A87B99" w:rsidRPr="00A87B99" w:rsidRDefault="00A87B99" w:rsidP="00A87B99">
            <w:pPr>
              <w:spacing w:after="0" w:line="240" w:lineRule="auto"/>
              <w:rPr>
                <w:rFonts w:ascii="Times New Roman" w:eastAsia="Times New Roman" w:hAnsi="Times New Roman" w:cs="Times New Roman"/>
                <w:sz w:val="24"/>
                <w:szCs w:val="24"/>
                <w:lang w:eastAsia="en-GB" w:bidi="bn-IN"/>
              </w:rPr>
            </w:pPr>
            <w:r w:rsidRPr="00A87B99">
              <w:rPr>
                <w:rFonts w:ascii="Times New Roman" w:eastAsia="Times New Roman" w:hAnsi="Times New Roman" w:cs="Times New Roman"/>
                <w:sz w:val="24"/>
                <w:szCs w:val="24"/>
                <w:lang w:eastAsia="en-GB" w:bidi="bn-IN"/>
              </w:rPr>
              <w:t>2022</w:t>
            </w:r>
          </w:p>
        </w:tc>
        <w:tc>
          <w:tcPr>
            <w:tcW w:w="0" w:type="auto"/>
            <w:hideMark/>
          </w:tcPr>
          <w:p w14:paraId="10E33887" w14:textId="77777777" w:rsidR="00A87B99" w:rsidRPr="00A87B99" w:rsidRDefault="00A87B99" w:rsidP="00A87B99">
            <w:pPr>
              <w:spacing w:after="0" w:line="240" w:lineRule="auto"/>
              <w:rPr>
                <w:rFonts w:ascii="Times New Roman" w:eastAsia="Times New Roman" w:hAnsi="Times New Roman" w:cs="Times New Roman"/>
                <w:sz w:val="24"/>
                <w:szCs w:val="24"/>
                <w:lang w:eastAsia="en-GB" w:bidi="bn-IN"/>
              </w:rPr>
            </w:pPr>
            <w:r w:rsidRPr="00A87B99">
              <w:rPr>
                <w:rFonts w:ascii="Times New Roman" w:eastAsia="Times New Roman" w:hAnsi="Times New Roman" w:cs="Times New Roman"/>
                <w:sz w:val="24"/>
                <w:szCs w:val="24"/>
                <w:lang w:eastAsia="en-GB" w:bidi="bn-IN"/>
              </w:rPr>
              <w:t>1.56</w:t>
            </w:r>
          </w:p>
        </w:tc>
        <w:tc>
          <w:tcPr>
            <w:tcW w:w="0" w:type="auto"/>
            <w:hideMark/>
          </w:tcPr>
          <w:p w14:paraId="77FC5AE5" w14:textId="77777777" w:rsidR="00A87B99" w:rsidRPr="00A87B99" w:rsidRDefault="00A87B99" w:rsidP="00A87B99">
            <w:pPr>
              <w:spacing w:after="0" w:line="240" w:lineRule="auto"/>
              <w:rPr>
                <w:rFonts w:ascii="Times New Roman" w:eastAsia="Times New Roman" w:hAnsi="Times New Roman" w:cs="Times New Roman"/>
                <w:sz w:val="24"/>
                <w:szCs w:val="24"/>
                <w:lang w:eastAsia="en-GB" w:bidi="bn-IN"/>
              </w:rPr>
            </w:pPr>
            <w:r w:rsidRPr="00A87B99">
              <w:rPr>
                <w:rFonts w:ascii="Times New Roman" w:eastAsia="Times New Roman" w:hAnsi="Times New Roman" w:cs="Times New Roman"/>
                <w:sz w:val="24"/>
                <w:szCs w:val="24"/>
                <w:lang w:eastAsia="en-GB" w:bidi="bn-IN"/>
              </w:rPr>
              <w:t>0.91</w:t>
            </w:r>
          </w:p>
        </w:tc>
      </w:tr>
      <w:tr w:rsidR="00A87B99" w:rsidRPr="00A87B99" w14:paraId="5C58A117" w14:textId="77777777" w:rsidTr="00A87B99">
        <w:tc>
          <w:tcPr>
            <w:tcW w:w="0" w:type="auto"/>
            <w:hideMark/>
          </w:tcPr>
          <w:p w14:paraId="2C039EB6" w14:textId="77777777" w:rsidR="00A87B99" w:rsidRPr="00A87B99" w:rsidRDefault="00A87B99" w:rsidP="00A87B99">
            <w:pPr>
              <w:spacing w:after="0" w:line="240" w:lineRule="auto"/>
              <w:rPr>
                <w:rFonts w:ascii="Times New Roman" w:eastAsia="Times New Roman" w:hAnsi="Times New Roman" w:cs="Times New Roman"/>
                <w:sz w:val="24"/>
                <w:szCs w:val="24"/>
                <w:lang w:eastAsia="en-GB" w:bidi="bn-IN"/>
              </w:rPr>
            </w:pPr>
            <w:r w:rsidRPr="00A87B99">
              <w:rPr>
                <w:rFonts w:ascii="Times New Roman" w:eastAsia="Times New Roman" w:hAnsi="Times New Roman" w:cs="Times New Roman"/>
                <w:sz w:val="24"/>
                <w:szCs w:val="24"/>
                <w:lang w:eastAsia="en-GB" w:bidi="bn-IN"/>
              </w:rPr>
              <w:t>2023</w:t>
            </w:r>
          </w:p>
        </w:tc>
        <w:tc>
          <w:tcPr>
            <w:tcW w:w="0" w:type="auto"/>
            <w:hideMark/>
          </w:tcPr>
          <w:p w14:paraId="21EC7B18" w14:textId="77777777" w:rsidR="00A87B99" w:rsidRPr="00A87B99" w:rsidRDefault="00A87B99" w:rsidP="00A87B99">
            <w:pPr>
              <w:spacing w:after="0" w:line="240" w:lineRule="auto"/>
              <w:rPr>
                <w:rFonts w:ascii="Times New Roman" w:eastAsia="Times New Roman" w:hAnsi="Times New Roman" w:cs="Times New Roman"/>
                <w:sz w:val="24"/>
                <w:szCs w:val="24"/>
                <w:lang w:eastAsia="en-GB" w:bidi="bn-IN"/>
              </w:rPr>
            </w:pPr>
            <w:r w:rsidRPr="00A87B99">
              <w:rPr>
                <w:rFonts w:ascii="Times New Roman" w:eastAsia="Times New Roman" w:hAnsi="Times New Roman" w:cs="Times New Roman"/>
                <w:sz w:val="24"/>
                <w:szCs w:val="24"/>
                <w:lang w:eastAsia="en-GB" w:bidi="bn-IN"/>
              </w:rPr>
              <w:t>1.61</w:t>
            </w:r>
          </w:p>
        </w:tc>
        <w:tc>
          <w:tcPr>
            <w:tcW w:w="0" w:type="auto"/>
            <w:hideMark/>
          </w:tcPr>
          <w:p w14:paraId="083B0C6F" w14:textId="77777777" w:rsidR="00A87B99" w:rsidRPr="00A87B99" w:rsidRDefault="00A87B99" w:rsidP="00A87B99">
            <w:pPr>
              <w:spacing w:after="0" w:line="240" w:lineRule="auto"/>
              <w:rPr>
                <w:rFonts w:ascii="Times New Roman" w:eastAsia="Times New Roman" w:hAnsi="Times New Roman" w:cs="Times New Roman"/>
                <w:sz w:val="24"/>
                <w:szCs w:val="24"/>
                <w:lang w:eastAsia="en-GB" w:bidi="bn-IN"/>
              </w:rPr>
            </w:pPr>
            <w:r w:rsidRPr="00A87B99">
              <w:rPr>
                <w:rFonts w:ascii="Times New Roman" w:eastAsia="Times New Roman" w:hAnsi="Times New Roman" w:cs="Times New Roman"/>
                <w:sz w:val="24"/>
                <w:szCs w:val="24"/>
                <w:lang w:eastAsia="en-GB" w:bidi="bn-IN"/>
              </w:rPr>
              <w:t>1.06</w:t>
            </w:r>
          </w:p>
        </w:tc>
      </w:tr>
      <w:tr w:rsidR="00A87B99" w:rsidRPr="00A87B99" w14:paraId="464B56DA" w14:textId="77777777" w:rsidTr="00A87B99">
        <w:tc>
          <w:tcPr>
            <w:tcW w:w="0" w:type="auto"/>
            <w:hideMark/>
          </w:tcPr>
          <w:p w14:paraId="4F28D3FC" w14:textId="77777777" w:rsidR="00A87B99" w:rsidRPr="00A87B99" w:rsidRDefault="00A87B99" w:rsidP="00A87B99">
            <w:pPr>
              <w:spacing w:after="0" w:line="240" w:lineRule="auto"/>
              <w:rPr>
                <w:rFonts w:ascii="Times New Roman" w:eastAsia="Times New Roman" w:hAnsi="Times New Roman" w:cs="Times New Roman"/>
                <w:sz w:val="24"/>
                <w:szCs w:val="24"/>
                <w:lang w:eastAsia="en-GB" w:bidi="bn-IN"/>
              </w:rPr>
            </w:pPr>
            <w:r w:rsidRPr="00A87B99">
              <w:rPr>
                <w:rFonts w:ascii="Times New Roman" w:eastAsia="Times New Roman" w:hAnsi="Times New Roman" w:cs="Times New Roman"/>
                <w:sz w:val="24"/>
                <w:szCs w:val="24"/>
                <w:lang w:eastAsia="en-GB" w:bidi="bn-IN"/>
              </w:rPr>
              <w:t>2024</w:t>
            </w:r>
          </w:p>
        </w:tc>
        <w:tc>
          <w:tcPr>
            <w:tcW w:w="0" w:type="auto"/>
            <w:hideMark/>
          </w:tcPr>
          <w:p w14:paraId="6C594236" w14:textId="77777777" w:rsidR="00A87B99" w:rsidRPr="00A87B99" w:rsidRDefault="00A87B99" w:rsidP="00A87B99">
            <w:pPr>
              <w:spacing w:after="0" w:line="240" w:lineRule="auto"/>
              <w:rPr>
                <w:rFonts w:ascii="Times New Roman" w:eastAsia="Times New Roman" w:hAnsi="Times New Roman" w:cs="Times New Roman"/>
                <w:sz w:val="24"/>
                <w:szCs w:val="24"/>
                <w:lang w:eastAsia="en-GB" w:bidi="bn-IN"/>
              </w:rPr>
            </w:pPr>
            <w:r w:rsidRPr="00A87B99">
              <w:rPr>
                <w:rFonts w:ascii="Times New Roman" w:eastAsia="Times New Roman" w:hAnsi="Times New Roman" w:cs="Times New Roman"/>
                <w:sz w:val="24"/>
                <w:szCs w:val="24"/>
                <w:lang w:eastAsia="en-GB" w:bidi="bn-IN"/>
              </w:rPr>
              <w:t>1.53</w:t>
            </w:r>
          </w:p>
        </w:tc>
        <w:tc>
          <w:tcPr>
            <w:tcW w:w="0" w:type="auto"/>
            <w:hideMark/>
          </w:tcPr>
          <w:p w14:paraId="374DFF63" w14:textId="77777777" w:rsidR="00A87B99" w:rsidRPr="00A87B99" w:rsidRDefault="00A87B99" w:rsidP="00A87B99">
            <w:pPr>
              <w:spacing w:after="0" w:line="240" w:lineRule="auto"/>
              <w:rPr>
                <w:rFonts w:ascii="Times New Roman" w:eastAsia="Times New Roman" w:hAnsi="Times New Roman" w:cs="Times New Roman"/>
                <w:sz w:val="24"/>
                <w:szCs w:val="24"/>
                <w:lang w:eastAsia="en-GB" w:bidi="bn-IN"/>
              </w:rPr>
            </w:pPr>
            <w:r w:rsidRPr="00A87B99">
              <w:rPr>
                <w:rFonts w:ascii="Times New Roman" w:eastAsia="Times New Roman" w:hAnsi="Times New Roman" w:cs="Times New Roman"/>
                <w:sz w:val="24"/>
                <w:szCs w:val="24"/>
                <w:lang w:eastAsia="en-GB" w:bidi="bn-IN"/>
              </w:rPr>
              <w:t>1.03</w:t>
            </w:r>
          </w:p>
        </w:tc>
      </w:tr>
    </w:tbl>
    <w:p w14:paraId="1B4AC21C" w14:textId="5CB9950C" w:rsidR="001A7BF1" w:rsidRPr="004F27BD" w:rsidRDefault="004F27BD" w:rsidP="00A06902">
      <w:pPr>
        <w:pStyle w:val="NormalWeb"/>
        <w:spacing w:line="360" w:lineRule="auto"/>
        <w:jc w:val="both"/>
        <w:rPr>
          <w:rFonts w:ascii="Arial" w:hAnsi="Arial" w:cs="Arial"/>
        </w:rPr>
      </w:pPr>
      <w:r w:rsidRPr="004F27BD">
        <w:rPr>
          <w:rFonts w:ascii="Arial" w:hAnsi="Arial" w:cs="Arial"/>
          <w:b/>
          <w:bCs/>
        </w:rPr>
        <w:t>Commentary:</w:t>
      </w:r>
      <w:r>
        <w:rPr>
          <w:rFonts w:ascii="Arial" w:hAnsi="Arial" w:cs="Arial"/>
          <w:b/>
          <w:bCs/>
        </w:rPr>
        <w:t xml:space="preserve"> </w:t>
      </w:r>
      <w:r w:rsidRPr="004F27BD">
        <w:rPr>
          <w:rFonts w:ascii="Arial" w:hAnsi="Arial" w:cs="Arial"/>
        </w:rPr>
        <w:t>Liquidity ratios remain above the benchmark of 1.5, indicating acceptable short-term solvency. However, the marginal decline in 2024 reflects tightening working capital conditions.</w:t>
      </w:r>
    </w:p>
    <w:p w14:paraId="11B0967C" w14:textId="733D18B1" w:rsidR="001110EB" w:rsidRPr="006C081F" w:rsidRDefault="001110EB" w:rsidP="00C338C0">
      <w:pPr>
        <w:pStyle w:val="NormalWeb"/>
        <w:spacing w:line="360" w:lineRule="auto"/>
        <w:rPr>
          <w:rFonts w:ascii="Arial" w:hAnsi="Arial" w:cs="Arial"/>
          <w:b/>
          <w:bCs/>
        </w:rPr>
      </w:pPr>
      <w:r w:rsidRPr="006C081F">
        <w:rPr>
          <w:rFonts w:ascii="Arial" w:hAnsi="Arial" w:cs="Arial"/>
          <w:b/>
          <w:bCs/>
        </w:rPr>
        <w:t xml:space="preserve">Table A2. </w:t>
      </w:r>
      <w:r w:rsidR="0039637E" w:rsidRPr="0039637E">
        <w:rPr>
          <w:rFonts w:ascii="Arial" w:hAnsi="Arial" w:cs="Arial"/>
          <w:b/>
          <w:bCs/>
        </w:rPr>
        <w:t>Profitability Ratios</w:t>
      </w:r>
    </w:p>
    <w:tbl>
      <w:tblPr>
        <w:tblStyle w:val="TableGrid"/>
        <w:tblW w:w="0" w:type="auto"/>
        <w:tblInd w:w="628" w:type="dxa"/>
        <w:tblLook w:val="04A0" w:firstRow="1" w:lastRow="0" w:firstColumn="1" w:lastColumn="0" w:noHBand="0" w:noVBand="1"/>
      </w:tblPr>
      <w:tblGrid>
        <w:gridCol w:w="723"/>
        <w:gridCol w:w="2110"/>
        <w:gridCol w:w="2529"/>
        <w:gridCol w:w="1210"/>
        <w:gridCol w:w="1196"/>
      </w:tblGrid>
      <w:tr w:rsidR="007D729A" w:rsidRPr="007D729A" w14:paraId="2B01FEAA" w14:textId="77777777" w:rsidTr="007D729A">
        <w:tc>
          <w:tcPr>
            <w:tcW w:w="0" w:type="auto"/>
            <w:hideMark/>
          </w:tcPr>
          <w:p w14:paraId="7275151B" w14:textId="77777777" w:rsidR="007D729A" w:rsidRPr="007D729A" w:rsidRDefault="007D729A" w:rsidP="007D729A">
            <w:pPr>
              <w:spacing w:after="0" w:line="240" w:lineRule="auto"/>
              <w:jc w:val="center"/>
              <w:rPr>
                <w:rFonts w:ascii="Times New Roman" w:eastAsia="Times New Roman" w:hAnsi="Times New Roman" w:cs="Times New Roman"/>
                <w:b/>
                <w:bCs/>
                <w:sz w:val="24"/>
                <w:szCs w:val="24"/>
                <w:lang w:eastAsia="en-GB" w:bidi="bn-IN"/>
              </w:rPr>
            </w:pPr>
            <w:r w:rsidRPr="007D729A">
              <w:rPr>
                <w:rFonts w:ascii="Times New Roman" w:eastAsia="Times New Roman" w:hAnsi="Times New Roman" w:cs="Times New Roman"/>
                <w:b/>
                <w:bCs/>
                <w:sz w:val="24"/>
                <w:szCs w:val="24"/>
                <w:lang w:eastAsia="en-GB" w:bidi="bn-IN"/>
              </w:rPr>
              <w:t>Year</w:t>
            </w:r>
          </w:p>
        </w:tc>
        <w:tc>
          <w:tcPr>
            <w:tcW w:w="0" w:type="auto"/>
            <w:hideMark/>
          </w:tcPr>
          <w:p w14:paraId="10B7A5F9" w14:textId="77777777" w:rsidR="007D729A" w:rsidRPr="007D729A" w:rsidRDefault="007D729A" w:rsidP="007D729A">
            <w:pPr>
              <w:spacing w:after="0" w:line="240" w:lineRule="auto"/>
              <w:jc w:val="center"/>
              <w:rPr>
                <w:rFonts w:ascii="Times New Roman" w:eastAsia="Times New Roman" w:hAnsi="Times New Roman" w:cs="Times New Roman"/>
                <w:b/>
                <w:bCs/>
                <w:sz w:val="24"/>
                <w:szCs w:val="24"/>
                <w:lang w:eastAsia="en-GB" w:bidi="bn-IN"/>
              </w:rPr>
            </w:pPr>
            <w:r w:rsidRPr="007D729A">
              <w:rPr>
                <w:rFonts w:ascii="Times New Roman" w:eastAsia="Times New Roman" w:hAnsi="Times New Roman" w:cs="Times New Roman"/>
                <w:b/>
                <w:bCs/>
                <w:sz w:val="24"/>
                <w:szCs w:val="24"/>
                <w:lang w:eastAsia="en-GB" w:bidi="bn-IN"/>
              </w:rPr>
              <w:t>Gross Margin (%)</w:t>
            </w:r>
          </w:p>
        </w:tc>
        <w:tc>
          <w:tcPr>
            <w:tcW w:w="0" w:type="auto"/>
            <w:hideMark/>
          </w:tcPr>
          <w:p w14:paraId="7066E9FE" w14:textId="77777777" w:rsidR="007D729A" w:rsidRPr="007D729A" w:rsidRDefault="007D729A" w:rsidP="007D729A">
            <w:pPr>
              <w:spacing w:after="0" w:line="240" w:lineRule="auto"/>
              <w:jc w:val="center"/>
              <w:rPr>
                <w:rFonts w:ascii="Times New Roman" w:eastAsia="Times New Roman" w:hAnsi="Times New Roman" w:cs="Times New Roman"/>
                <w:b/>
                <w:bCs/>
                <w:sz w:val="24"/>
                <w:szCs w:val="24"/>
                <w:lang w:eastAsia="en-GB" w:bidi="bn-IN"/>
              </w:rPr>
            </w:pPr>
            <w:r w:rsidRPr="007D729A">
              <w:rPr>
                <w:rFonts w:ascii="Times New Roman" w:eastAsia="Times New Roman" w:hAnsi="Times New Roman" w:cs="Times New Roman"/>
                <w:b/>
                <w:bCs/>
                <w:sz w:val="24"/>
                <w:szCs w:val="24"/>
                <w:lang w:eastAsia="en-GB" w:bidi="bn-IN"/>
              </w:rPr>
              <w:t>Net Profit Margin (%)</w:t>
            </w:r>
          </w:p>
        </w:tc>
        <w:tc>
          <w:tcPr>
            <w:tcW w:w="0" w:type="auto"/>
            <w:hideMark/>
          </w:tcPr>
          <w:p w14:paraId="372B9961" w14:textId="77777777" w:rsidR="007D729A" w:rsidRPr="007D729A" w:rsidRDefault="007D729A" w:rsidP="007D729A">
            <w:pPr>
              <w:spacing w:after="0" w:line="240" w:lineRule="auto"/>
              <w:jc w:val="center"/>
              <w:rPr>
                <w:rFonts w:ascii="Times New Roman" w:eastAsia="Times New Roman" w:hAnsi="Times New Roman" w:cs="Times New Roman"/>
                <w:b/>
                <w:bCs/>
                <w:sz w:val="24"/>
                <w:szCs w:val="24"/>
                <w:lang w:eastAsia="en-GB" w:bidi="bn-IN"/>
              </w:rPr>
            </w:pPr>
            <w:r w:rsidRPr="007D729A">
              <w:rPr>
                <w:rFonts w:ascii="Times New Roman" w:eastAsia="Times New Roman" w:hAnsi="Times New Roman" w:cs="Times New Roman"/>
                <w:b/>
                <w:bCs/>
                <w:sz w:val="24"/>
                <w:szCs w:val="24"/>
                <w:lang w:eastAsia="en-GB" w:bidi="bn-IN"/>
              </w:rPr>
              <w:t>ROA (%)</w:t>
            </w:r>
          </w:p>
        </w:tc>
        <w:tc>
          <w:tcPr>
            <w:tcW w:w="0" w:type="auto"/>
            <w:hideMark/>
          </w:tcPr>
          <w:p w14:paraId="1EA7EB7E" w14:textId="77777777" w:rsidR="007D729A" w:rsidRPr="007D729A" w:rsidRDefault="007D729A" w:rsidP="007D729A">
            <w:pPr>
              <w:spacing w:after="0" w:line="240" w:lineRule="auto"/>
              <w:jc w:val="center"/>
              <w:rPr>
                <w:rFonts w:ascii="Times New Roman" w:eastAsia="Times New Roman" w:hAnsi="Times New Roman" w:cs="Times New Roman"/>
                <w:b/>
                <w:bCs/>
                <w:sz w:val="24"/>
                <w:szCs w:val="24"/>
                <w:lang w:eastAsia="en-GB" w:bidi="bn-IN"/>
              </w:rPr>
            </w:pPr>
            <w:r w:rsidRPr="007D729A">
              <w:rPr>
                <w:rFonts w:ascii="Times New Roman" w:eastAsia="Times New Roman" w:hAnsi="Times New Roman" w:cs="Times New Roman"/>
                <w:b/>
                <w:bCs/>
                <w:sz w:val="24"/>
                <w:szCs w:val="24"/>
                <w:lang w:eastAsia="en-GB" w:bidi="bn-IN"/>
              </w:rPr>
              <w:t>ROE (%)</w:t>
            </w:r>
          </w:p>
        </w:tc>
      </w:tr>
      <w:tr w:rsidR="007D729A" w:rsidRPr="007D729A" w14:paraId="2EFC37F7" w14:textId="77777777" w:rsidTr="007D729A">
        <w:tc>
          <w:tcPr>
            <w:tcW w:w="0" w:type="auto"/>
            <w:hideMark/>
          </w:tcPr>
          <w:p w14:paraId="06939AF3" w14:textId="77777777" w:rsidR="007D729A" w:rsidRPr="007D729A" w:rsidRDefault="007D729A" w:rsidP="007D729A">
            <w:pPr>
              <w:spacing w:after="0" w:line="240" w:lineRule="auto"/>
              <w:rPr>
                <w:rFonts w:ascii="Times New Roman" w:eastAsia="Times New Roman" w:hAnsi="Times New Roman" w:cs="Times New Roman"/>
                <w:sz w:val="24"/>
                <w:szCs w:val="24"/>
                <w:lang w:eastAsia="en-GB" w:bidi="bn-IN"/>
              </w:rPr>
            </w:pPr>
            <w:r w:rsidRPr="007D729A">
              <w:rPr>
                <w:rFonts w:ascii="Times New Roman" w:eastAsia="Times New Roman" w:hAnsi="Times New Roman" w:cs="Times New Roman"/>
                <w:sz w:val="24"/>
                <w:szCs w:val="24"/>
                <w:lang w:eastAsia="en-GB" w:bidi="bn-IN"/>
              </w:rPr>
              <w:t>2021</w:t>
            </w:r>
          </w:p>
        </w:tc>
        <w:tc>
          <w:tcPr>
            <w:tcW w:w="0" w:type="auto"/>
            <w:hideMark/>
          </w:tcPr>
          <w:p w14:paraId="67AC11ED" w14:textId="77777777" w:rsidR="007D729A" w:rsidRPr="007D729A" w:rsidRDefault="007D729A" w:rsidP="007D729A">
            <w:pPr>
              <w:spacing w:after="0" w:line="240" w:lineRule="auto"/>
              <w:rPr>
                <w:rFonts w:ascii="Times New Roman" w:eastAsia="Times New Roman" w:hAnsi="Times New Roman" w:cs="Times New Roman"/>
                <w:sz w:val="24"/>
                <w:szCs w:val="24"/>
                <w:lang w:eastAsia="en-GB" w:bidi="bn-IN"/>
              </w:rPr>
            </w:pPr>
            <w:r w:rsidRPr="007D729A">
              <w:rPr>
                <w:rFonts w:ascii="Times New Roman" w:eastAsia="Times New Roman" w:hAnsi="Times New Roman" w:cs="Times New Roman"/>
                <w:sz w:val="24"/>
                <w:szCs w:val="24"/>
                <w:lang w:eastAsia="en-GB" w:bidi="bn-IN"/>
              </w:rPr>
              <w:t>28.8</w:t>
            </w:r>
          </w:p>
        </w:tc>
        <w:tc>
          <w:tcPr>
            <w:tcW w:w="0" w:type="auto"/>
            <w:hideMark/>
          </w:tcPr>
          <w:p w14:paraId="4F388D09" w14:textId="77777777" w:rsidR="007D729A" w:rsidRPr="007D729A" w:rsidRDefault="007D729A" w:rsidP="007D729A">
            <w:pPr>
              <w:spacing w:after="0" w:line="240" w:lineRule="auto"/>
              <w:rPr>
                <w:rFonts w:ascii="Times New Roman" w:eastAsia="Times New Roman" w:hAnsi="Times New Roman" w:cs="Times New Roman"/>
                <w:sz w:val="24"/>
                <w:szCs w:val="24"/>
                <w:lang w:eastAsia="en-GB" w:bidi="bn-IN"/>
              </w:rPr>
            </w:pPr>
            <w:r w:rsidRPr="007D729A">
              <w:rPr>
                <w:rFonts w:ascii="Times New Roman" w:eastAsia="Times New Roman" w:hAnsi="Times New Roman" w:cs="Times New Roman"/>
                <w:sz w:val="24"/>
                <w:szCs w:val="24"/>
                <w:lang w:eastAsia="en-GB" w:bidi="bn-IN"/>
              </w:rPr>
              <w:t>0.9</w:t>
            </w:r>
          </w:p>
        </w:tc>
        <w:tc>
          <w:tcPr>
            <w:tcW w:w="0" w:type="auto"/>
            <w:hideMark/>
          </w:tcPr>
          <w:p w14:paraId="4787673D" w14:textId="77777777" w:rsidR="007D729A" w:rsidRPr="007D729A" w:rsidRDefault="007D729A" w:rsidP="007D729A">
            <w:pPr>
              <w:spacing w:after="0" w:line="240" w:lineRule="auto"/>
              <w:rPr>
                <w:rFonts w:ascii="Times New Roman" w:eastAsia="Times New Roman" w:hAnsi="Times New Roman" w:cs="Times New Roman"/>
                <w:sz w:val="24"/>
                <w:szCs w:val="24"/>
                <w:lang w:eastAsia="en-GB" w:bidi="bn-IN"/>
              </w:rPr>
            </w:pPr>
            <w:r w:rsidRPr="007D729A">
              <w:rPr>
                <w:rFonts w:ascii="Times New Roman" w:eastAsia="Times New Roman" w:hAnsi="Times New Roman" w:cs="Times New Roman"/>
                <w:sz w:val="24"/>
                <w:szCs w:val="24"/>
                <w:lang w:eastAsia="en-GB" w:bidi="bn-IN"/>
              </w:rPr>
              <w:t>1.0</w:t>
            </w:r>
          </w:p>
        </w:tc>
        <w:tc>
          <w:tcPr>
            <w:tcW w:w="0" w:type="auto"/>
            <w:hideMark/>
          </w:tcPr>
          <w:p w14:paraId="30906840" w14:textId="77777777" w:rsidR="007D729A" w:rsidRPr="007D729A" w:rsidRDefault="007D729A" w:rsidP="007D729A">
            <w:pPr>
              <w:spacing w:after="0" w:line="240" w:lineRule="auto"/>
              <w:rPr>
                <w:rFonts w:ascii="Times New Roman" w:eastAsia="Times New Roman" w:hAnsi="Times New Roman" w:cs="Times New Roman"/>
                <w:sz w:val="24"/>
                <w:szCs w:val="24"/>
                <w:lang w:eastAsia="en-GB" w:bidi="bn-IN"/>
              </w:rPr>
            </w:pPr>
            <w:r w:rsidRPr="007D729A">
              <w:rPr>
                <w:rFonts w:ascii="Times New Roman" w:eastAsia="Times New Roman" w:hAnsi="Times New Roman" w:cs="Times New Roman"/>
                <w:sz w:val="24"/>
                <w:szCs w:val="24"/>
                <w:lang w:eastAsia="en-GB" w:bidi="bn-IN"/>
              </w:rPr>
              <w:t>1.9</w:t>
            </w:r>
          </w:p>
        </w:tc>
      </w:tr>
      <w:tr w:rsidR="007D729A" w:rsidRPr="007D729A" w14:paraId="7793092C" w14:textId="77777777" w:rsidTr="007D729A">
        <w:tc>
          <w:tcPr>
            <w:tcW w:w="0" w:type="auto"/>
            <w:hideMark/>
          </w:tcPr>
          <w:p w14:paraId="1CFBDAF8" w14:textId="77777777" w:rsidR="007D729A" w:rsidRPr="007D729A" w:rsidRDefault="007D729A" w:rsidP="007D729A">
            <w:pPr>
              <w:spacing w:after="0" w:line="240" w:lineRule="auto"/>
              <w:rPr>
                <w:rFonts w:ascii="Times New Roman" w:eastAsia="Times New Roman" w:hAnsi="Times New Roman" w:cs="Times New Roman"/>
                <w:sz w:val="24"/>
                <w:szCs w:val="24"/>
                <w:lang w:eastAsia="en-GB" w:bidi="bn-IN"/>
              </w:rPr>
            </w:pPr>
            <w:r w:rsidRPr="007D729A">
              <w:rPr>
                <w:rFonts w:ascii="Times New Roman" w:eastAsia="Times New Roman" w:hAnsi="Times New Roman" w:cs="Times New Roman"/>
                <w:sz w:val="24"/>
                <w:szCs w:val="24"/>
                <w:lang w:eastAsia="en-GB" w:bidi="bn-IN"/>
              </w:rPr>
              <w:t>2022</w:t>
            </w:r>
          </w:p>
        </w:tc>
        <w:tc>
          <w:tcPr>
            <w:tcW w:w="0" w:type="auto"/>
            <w:hideMark/>
          </w:tcPr>
          <w:p w14:paraId="050C2694" w14:textId="77777777" w:rsidR="007D729A" w:rsidRPr="007D729A" w:rsidRDefault="007D729A" w:rsidP="007D729A">
            <w:pPr>
              <w:spacing w:after="0" w:line="240" w:lineRule="auto"/>
              <w:rPr>
                <w:rFonts w:ascii="Times New Roman" w:eastAsia="Times New Roman" w:hAnsi="Times New Roman" w:cs="Times New Roman"/>
                <w:sz w:val="24"/>
                <w:szCs w:val="24"/>
                <w:lang w:eastAsia="en-GB" w:bidi="bn-IN"/>
              </w:rPr>
            </w:pPr>
            <w:r w:rsidRPr="007D729A">
              <w:rPr>
                <w:rFonts w:ascii="Times New Roman" w:eastAsia="Times New Roman" w:hAnsi="Times New Roman" w:cs="Times New Roman"/>
                <w:sz w:val="24"/>
                <w:szCs w:val="24"/>
                <w:lang w:eastAsia="en-GB" w:bidi="bn-IN"/>
              </w:rPr>
              <w:t>28.1</w:t>
            </w:r>
          </w:p>
        </w:tc>
        <w:tc>
          <w:tcPr>
            <w:tcW w:w="0" w:type="auto"/>
            <w:hideMark/>
          </w:tcPr>
          <w:p w14:paraId="3E309E02" w14:textId="77777777" w:rsidR="007D729A" w:rsidRPr="007D729A" w:rsidRDefault="007D729A" w:rsidP="007D729A">
            <w:pPr>
              <w:spacing w:after="0" w:line="240" w:lineRule="auto"/>
              <w:rPr>
                <w:rFonts w:ascii="Times New Roman" w:eastAsia="Times New Roman" w:hAnsi="Times New Roman" w:cs="Times New Roman"/>
                <w:sz w:val="24"/>
                <w:szCs w:val="24"/>
                <w:lang w:eastAsia="en-GB" w:bidi="bn-IN"/>
              </w:rPr>
            </w:pPr>
            <w:r w:rsidRPr="007D729A">
              <w:rPr>
                <w:rFonts w:ascii="Times New Roman" w:eastAsia="Times New Roman" w:hAnsi="Times New Roman" w:cs="Times New Roman"/>
                <w:sz w:val="24"/>
                <w:szCs w:val="24"/>
                <w:lang w:eastAsia="en-GB" w:bidi="bn-IN"/>
              </w:rPr>
              <w:t>0.1</w:t>
            </w:r>
          </w:p>
        </w:tc>
        <w:tc>
          <w:tcPr>
            <w:tcW w:w="0" w:type="auto"/>
            <w:hideMark/>
          </w:tcPr>
          <w:p w14:paraId="6A2A8CF0" w14:textId="77777777" w:rsidR="007D729A" w:rsidRPr="007D729A" w:rsidRDefault="007D729A" w:rsidP="007D729A">
            <w:pPr>
              <w:spacing w:after="0" w:line="240" w:lineRule="auto"/>
              <w:rPr>
                <w:rFonts w:ascii="Times New Roman" w:eastAsia="Times New Roman" w:hAnsi="Times New Roman" w:cs="Times New Roman"/>
                <w:sz w:val="24"/>
                <w:szCs w:val="24"/>
                <w:lang w:eastAsia="en-GB" w:bidi="bn-IN"/>
              </w:rPr>
            </w:pPr>
            <w:r w:rsidRPr="007D729A">
              <w:rPr>
                <w:rFonts w:ascii="Times New Roman" w:eastAsia="Times New Roman" w:hAnsi="Times New Roman" w:cs="Times New Roman"/>
                <w:sz w:val="24"/>
                <w:szCs w:val="24"/>
                <w:lang w:eastAsia="en-GB" w:bidi="bn-IN"/>
              </w:rPr>
              <w:t>0.1</w:t>
            </w:r>
          </w:p>
        </w:tc>
        <w:tc>
          <w:tcPr>
            <w:tcW w:w="0" w:type="auto"/>
            <w:hideMark/>
          </w:tcPr>
          <w:p w14:paraId="7D6DC7B3" w14:textId="77777777" w:rsidR="007D729A" w:rsidRPr="007D729A" w:rsidRDefault="007D729A" w:rsidP="007D729A">
            <w:pPr>
              <w:spacing w:after="0" w:line="240" w:lineRule="auto"/>
              <w:rPr>
                <w:rFonts w:ascii="Times New Roman" w:eastAsia="Times New Roman" w:hAnsi="Times New Roman" w:cs="Times New Roman"/>
                <w:sz w:val="24"/>
                <w:szCs w:val="24"/>
                <w:lang w:eastAsia="en-GB" w:bidi="bn-IN"/>
              </w:rPr>
            </w:pPr>
            <w:r w:rsidRPr="007D729A">
              <w:rPr>
                <w:rFonts w:ascii="Times New Roman" w:eastAsia="Times New Roman" w:hAnsi="Times New Roman" w:cs="Times New Roman"/>
                <w:sz w:val="24"/>
                <w:szCs w:val="24"/>
                <w:lang w:eastAsia="en-GB" w:bidi="bn-IN"/>
              </w:rPr>
              <w:t>0.2</w:t>
            </w:r>
          </w:p>
        </w:tc>
      </w:tr>
      <w:tr w:rsidR="007D729A" w:rsidRPr="007D729A" w14:paraId="749B3191" w14:textId="77777777" w:rsidTr="007D729A">
        <w:tc>
          <w:tcPr>
            <w:tcW w:w="0" w:type="auto"/>
            <w:hideMark/>
          </w:tcPr>
          <w:p w14:paraId="5ED3D398" w14:textId="77777777" w:rsidR="007D729A" w:rsidRPr="007D729A" w:rsidRDefault="007D729A" w:rsidP="007D729A">
            <w:pPr>
              <w:spacing w:after="0" w:line="240" w:lineRule="auto"/>
              <w:rPr>
                <w:rFonts w:ascii="Times New Roman" w:eastAsia="Times New Roman" w:hAnsi="Times New Roman" w:cs="Times New Roman"/>
                <w:sz w:val="24"/>
                <w:szCs w:val="24"/>
                <w:lang w:eastAsia="en-GB" w:bidi="bn-IN"/>
              </w:rPr>
            </w:pPr>
            <w:r w:rsidRPr="007D729A">
              <w:rPr>
                <w:rFonts w:ascii="Times New Roman" w:eastAsia="Times New Roman" w:hAnsi="Times New Roman" w:cs="Times New Roman"/>
                <w:sz w:val="24"/>
                <w:szCs w:val="24"/>
                <w:lang w:eastAsia="en-GB" w:bidi="bn-IN"/>
              </w:rPr>
              <w:t>2023</w:t>
            </w:r>
          </w:p>
        </w:tc>
        <w:tc>
          <w:tcPr>
            <w:tcW w:w="0" w:type="auto"/>
            <w:hideMark/>
          </w:tcPr>
          <w:p w14:paraId="7F695CBC" w14:textId="77777777" w:rsidR="007D729A" w:rsidRPr="007D729A" w:rsidRDefault="007D729A" w:rsidP="007D729A">
            <w:pPr>
              <w:spacing w:after="0" w:line="240" w:lineRule="auto"/>
              <w:rPr>
                <w:rFonts w:ascii="Times New Roman" w:eastAsia="Times New Roman" w:hAnsi="Times New Roman" w:cs="Times New Roman"/>
                <w:sz w:val="24"/>
                <w:szCs w:val="24"/>
                <w:lang w:eastAsia="en-GB" w:bidi="bn-IN"/>
              </w:rPr>
            </w:pPr>
            <w:r w:rsidRPr="007D729A">
              <w:rPr>
                <w:rFonts w:ascii="Times New Roman" w:eastAsia="Times New Roman" w:hAnsi="Times New Roman" w:cs="Times New Roman"/>
                <w:sz w:val="24"/>
                <w:szCs w:val="24"/>
                <w:lang w:eastAsia="en-GB" w:bidi="bn-IN"/>
              </w:rPr>
              <w:t>23.2</w:t>
            </w:r>
          </w:p>
        </w:tc>
        <w:tc>
          <w:tcPr>
            <w:tcW w:w="0" w:type="auto"/>
            <w:hideMark/>
          </w:tcPr>
          <w:p w14:paraId="0817956E" w14:textId="77777777" w:rsidR="007D729A" w:rsidRPr="007D729A" w:rsidRDefault="007D729A" w:rsidP="007D729A">
            <w:pPr>
              <w:spacing w:after="0" w:line="240" w:lineRule="auto"/>
              <w:rPr>
                <w:rFonts w:ascii="Times New Roman" w:eastAsia="Times New Roman" w:hAnsi="Times New Roman" w:cs="Times New Roman"/>
                <w:sz w:val="24"/>
                <w:szCs w:val="24"/>
                <w:lang w:eastAsia="en-GB" w:bidi="bn-IN"/>
              </w:rPr>
            </w:pPr>
            <w:r w:rsidRPr="007D729A">
              <w:rPr>
                <w:rFonts w:ascii="Times New Roman" w:eastAsia="Times New Roman" w:hAnsi="Times New Roman" w:cs="Times New Roman"/>
                <w:sz w:val="24"/>
                <w:szCs w:val="24"/>
                <w:lang w:eastAsia="en-GB" w:bidi="bn-IN"/>
              </w:rPr>
              <w:t>-23.4</w:t>
            </w:r>
          </w:p>
        </w:tc>
        <w:tc>
          <w:tcPr>
            <w:tcW w:w="0" w:type="auto"/>
            <w:hideMark/>
          </w:tcPr>
          <w:p w14:paraId="0BCC5DA1" w14:textId="77777777" w:rsidR="007D729A" w:rsidRPr="007D729A" w:rsidRDefault="007D729A" w:rsidP="007D729A">
            <w:pPr>
              <w:spacing w:after="0" w:line="240" w:lineRule="auto"/>
              <w:rPr>
                <w:rFonts w:ascii="Times New Roman" w:eastAsia="Times New Roman" w:hAnsi="Times New Roman" w:cs="Times New Roman"/>
                <w:sz w:val="24"/>
                <w:szCs w:val="24"/>
                <w:lang w:eastAsia="en-GB" w:bidi="bn-IN"/>
              </w:rPr>
            </w:pPr>
            <w:r w:rsidRPr="007D729A">
              <w:rPr>
                <w:rFonts w:ascii="Times New Roman" w:eastAsia="Times New Roman" w:hAnsi="Times New Roman" w:cs="Times New Roman"/>
                <w:sz w:val="24"/>
                <w:szCs w:val="24"/>
                <w:lang w:eastAsia="en-GB" w:bidi="bn-IN"/>
              </w:rPr>
              <w:t>-27.6</w:t>
            </w:r>
          </w:p>
        </w:tc>
        <w:tc>
          <w:tcPr>
            <w:tcW w:w="0" w:type="auto"/>
            <w:hideMark/>
          </w:tcPr>
          <w:p w14:paraId="3A309399" w14:textId="77777777" w:rsidR="007D729A" w:rsidRPr="007D729A" w:rsidRDefault="007D729A" w:rsidP="007D729A">
            <w:pPr>
              <w:spacing w:after="0" w:line="240" w:lineRule="auto"/>
              <w:rPr>
                <w:rFonts w:ascii="Times New Roman" w:eastAsia="Times New Roman" w:hAnsi="Times New Roman" w:cs="Times New Roman"/>
                <w:sz w:val="24"/>
                <w:szCs w:val="24"/>
                <w:lang w:eastAsia="en-GB" w:bidi="bn-IN"/>
              </w:rPr>
            </w:pPr>
            <w:r w:rsidRPr="007D729A">
              <w:rPr>
                <w:rFonts w:ascii="Times New Roman" w:eastAsia="Times New Roman" w:hAnsi="Times New Roman" w:cs="Times New Roman"/>
                <w:sz w:val="24"/>
                <w:szCs w:val="24"/>
                <w:lang w:eastAsia="en-GB" w:bidi="bn-IN"/>
              </w:rPr>
              <w:t>-54.9</w:t>
            </w:r>
          </w:p>
        </w:tc>
      </w:tr>
      <w:tr w:rsidR="007D729A" w:rsidRPr="007D729A" w14:paraId="6C4B20A0" w14:textId="77777777" w:rsidTr="007D729A">
        <w:tc>
          <w:tcPr>
            <w:tcW w:w="0" w:type="auto"/>
            <w:hideMark/>
          </w:tcPr>
          <w:p w14:paraId="00C9717B" w14:textId="77777777" w:rsidR="007D729A" w:rsidRPr="007D729A" w:rsidRDefault="007D729A" w:rsidP="007D729A">
            <w:pPr>
              <w:spacing w:after="0" w:line="240" w:lineRule="auto"/>
              <w:rPr>
                <w:rFonts w:ascii="Times New Roman" w:eastAsia="Times New Roman" w:hAnsi="Times New Roman" w:cs="Times New Roman"/>
                <w:sz w:val="24"/>
                <w:szCs w:val="24"/>
                <w:lang w:eastAsia="en-GB" w:bidi="bn-IN"/>
              </w:rPr>
            </w:pPr>
            <w:r w:rsidRPr="007D729A">
              <w:rPr>
                <w:rFonts w:ascii="Times New Roman" w:eastAsia="Times New Roman" w:hAnsi="Times New Roman" w:cs="Times New Roman"/>
                <w:sz w:val="24"/>
                <w:szCs w:val="24"/>
                <w:lang w:eastAsia="en-GB" w:bidi="bn-IN"/>
              </w:rPr>
              <w:t>2024</w:t>
            </w:r>
          </w:p>
        </w:tc>
        <w:tc>
          <w:tcPr>
            <w:tcW w:w="0" w:type="auto"/>
            <w:hideMark/>
          </w:tcPr>
          <w:p w14:paraId="4B131B14" w14:textId="77777777" w:rsidR="007D729A" w:rsidRPr="007D729A" w:rsidRDefault="007D729A" w:rsidP="007D729A">
            <w:pPr>
              <w:spacing w:after="0" w:line="240" w:lineRule="auto"/>
              <w:rPr>
                <w:rFonts w:ascii="Times New Roman" w:eastAsia="Times New Roman" w:hAnsi="Times New Roman" w:cs="Times New Roman"/>
                <w:sz w:val="24"/>
                <w:szCs w:val="24"/>
                <w:lang w:eastAsia="en-GB" w:bidi="bn-IN"/>
              </w:rPr>
            </w:pPr>
            <w:r w:rsidRPr="007D729A">
              <w:rPr>
                <w:rFonts w:ascii="Times New Roman" w:eastAsia="Times New Roman" w:hAnsi="Times New Roman" w:cs="Times New Roman"/>
                <w:sz w:val="24"/>
                <w:szCs w:val="24"/>
                <w:lang w:eastAsia="en-GB" w:bidi="bn-IN"/>
              </w:rPr>
              <w:t>28.9</w:t>
            </w:r>
          </w:p>
        </w:tc>
        <w:tc>
          <w:tcPr>
            <w:tcW w:w="0" w:type="auto"/>
            <w:hideMark/>
          </w:tcPr>
          <w:p w14:paraId="3702AC3A" w14:textId="77777777" w:rsidR="007D729A" w:rsidRPr="007D729A" w:rsidRDefault="007D729A" w:rsidP="007D729A">
            <w:pPr>
              <w:spacing w:after="0" w:line="240" w:lineRule="auto"/>
              <w:rPr>
                <w:rFonts w:ascii="Times New Roman" w:eastAsia="Times New Roman" w:hAnsi="Times New Roman" w:cs="Times New Roman"/>
                <w:sz w:val="24"/>
                <w:szCs w:val="24"/>
                <w:lang w:eastAsia="en-GB" w:bidi="bn-IN"/>
              </w:rPr>
            </w:pPr>
            <w:r w:rsidRPr="007D729A">
              <w:rPr>
                <w:rFonts w:ascii="Times New Roman" w:eastAsia="Times New Roman" w:hAnsi="Times New Roman" w:cs="Times New Roman"/>
                <w:sz w:val="24"/>
                <w:szCs w:val="24"/>
                <w:lang w:eastAsia="en-GB" w:bidi="bn-IN"/>
              </w:rPr>
              <w:t>-6.1</w:t>
            </w:r>
          </w:p>
        </w:tc>
        <w:tc>
          <w:tcPr>
            <w:tcW w:w="0" w:type="auto"/>
            <w:hideMark/>
          </w:tcPr>
          <w:p w14:paraId="7C9609D4" w14:textId="77777777" w:rsidR="007D729A" w:rsidRPr="007D729A" w:rsidRDefault="007D729A" w:rsidP="007D729A">
            <w:pPr>
              <w:spacing w:after="0" w:line="240" w:lineRule="auto"/>
              <w:rPr>
                <w:rFonts w:ascii="Times New Roman" w:eastAsia="Times New Roman" w:hAnsi="Times New Roman" w:cs="Times New Roman"/>
                <w:sz w:val="24"/>
                <w:szCs w:val="24"/>
                <w:lang w:eastAsia="en-GB" w:bidi="bn-IN"/>
              </w:rPr>
            </w:pPr>
            <w:r w:rsidRPr="007D729A">
              <w:rPr>
                <w:rFonts w:ascii="Times New Roman" w:eastAsia="Times New Roman" w:hAnsi="Times New Roman" w:cs="Times New Roman"/>
                <w:sz w:val="24"/>
                <w:szCs w:val="24"/>
                <w:lang w:eastAsia="en-GB" w:bidi="bn-IN"/>
              </w:rPr>
              <w:t>-7.4</w:t>
            </w:r>
          </w:p>
        </w:tc>
        <w:tc>
          <w:tcPr>
            <w:tcW w:w="0" w:type="auto"/>
            <w:hideMark/>
          </w:tcPr>
          <w:p w14:paraId="23040546" w14:textId="77777777" w:rsidR="007D729A" w:rsidRPr="007D729A" w:rsidRDefault="007D729A" w:rsidP="007D729A">
            <w:pPr>
              <w:spacing w:after="0" w:line="240" w:lineRule="auto"/>
              <w:rPr>
                <w:rFonts w:ascii="Times New Roman" w:eastAsia="Times New Roman" w:hAnsi="Times New Roman" w:cs="Times New Roman"/>
                <w:sz w:val="24"/>
                <w:szCs w:val="24"/>
                <w:lang w:eastAsia="en-GB" w:bidi="bn-IN"/>
              </w:rPr>
            </w:pPr>
            <w:r w:rsidRPr="007D729A">
              <w:rPr>
                <w:rFonts w:ascii="Times New Roman" w:eastAsia="Times New Roman" w:hAnsi="Times New Roman" w:cs="Times New Roman"/>
                <w:sz w:val="24"/>
                <w:szCs w:val="24"/>
                <w:lang w:eastAsia="en-GB" w:bidi="bn-IN"/>
              </w:rPr>
              <w:t>-15.7</w:t>
            </w:r>
          </w:p>
        </w:tc>
      </w:tr>
    </w:tbl>
    <w:p w14:paraId="30268032" w14:textId="39A64FD3" w:rsidR="00674C2E" w:rsidRPr="006C081F" w:rsidRDefault="00D96EBE" w:rsidP="002073E1">
      <w:pPr>
        <w:pStyle w:val="NormalWeb"/>
        <w:spacing w:line="360" w:lineRule="auto"/>
        <w:jc w:val="both"/>
        <w:rPr>
          <w:rFonts w:ascii="Arial" w:hAnsi="Arial" w:cs="Arial"/>
        </w:rPr>
      </w:pPr>
      <w:r w:rsidRPr="00D96EBE">
        <w:rPr>
          <w:rFonts w:ascii="Arial" w:hAnsi="Arial" w:cs="Arial"/>
          <w:b/>
          <w:bCs/>
        </w:rPr>
        <w:t>Commentary:</w:t>
      </w:r>
      <w:r>
        <w:rPr>
          <w:rFonts w:ascii="Arial" w:hAnsi="Arial" w:cs="Arial"/>
        </w:rPr>
        <w:t xml:space="preserve"> </w:t>
      </w:r>
      <w:r w:rsidRPr="00D96EBE">
        <w:rPr>
          <w:rFonts w:ascii="Arial" w:hAnsi="Arial" w:cs="Arial"/>
        </w:rPr>
        <w:t>Profitability deteriorates sharply in 2023, with only partial recovery in 2024, confirming operational inefficiencies and high restructuring pressure.</w:t>
      </w:r>
    </w:p>
    <w:p w14:paraId="020D7C61" w14:textId="4B018CC1" w:rsidR="00674C2E" w:rsidRPr="006C081F" w:rsidRDefault="00674C2E" w:rsidP="00C338C0">
      <w:pPr>
        <w:pStyle w:val="NormalWeb"/>
        <w:spacing w:line="360" w:lineRule="auto"/>
        <w:rPr>
          <w:rFonts w:ascii="Arial" w:hAnsi="Arial" w:cs="Arial"/>
          <w:b/>
          <w:bCs/>
        </w:rPr>
      </w:pPr>
      <w:r w:rsidRPr="006C081F">
        <w:rPr>
          <w:rFonts w:ascii="Arial" w:hAnsi="Arial" w:cs="Arial"/>
          <w:b/>
          <w:bCs/>
        </w:rPr>
        <w:t>Table A</w:t>
      </w:r>
      <w:r w:rsidR="00DB695E">
        <w:rPr>
          <w:rFonts w:ascii="Arial" w:hAnsi="Arial" w:cs="Arial"/>
          <w:b/>
          <w:bCs/>
        </w:rPr>
        <w:t>3</w:t>
      </w:r>
      <w:r w:rsidRPr="006C081F">
        <w:rPr>
          <w:rFonts w:ascii="Arial" w:hAnsi="Arial" w:cs="Arial"/>
          <w:b/>
          <w:bCs/>
        </w:rPr>
        <w:t xml:space="preserve">. </w:t>
      </w:r>
      <w:r w:rsidR="00D96EBE" w:rsidRPr="00D96EBE">
        <w:rPr>
          <w:rFonts w:ascii="Arial" w:hAnsi="Arial" w:cs="Arial"/>
          <w:b/>
          <w:bCs/>
        </w:rPr>
        <w:t>Efficiency Ratios</w:t>
      </w:r>
    </w:p>
    <w:tbl>
      <w:tblPr>
        <w:tblStyle w:val="TableGrid"/>
        <w:tblW w:w="0" w:type="auto"/>
        <w:tblInd w:w="905" w:type="dxa"/>
        <w:tblLook w:val="04A0" w:firstRow="1" w:lastRow="0" w:firstColumn="1" w:lastColumn="0" w:noHBand="0" w:noVBand="1"/>
      </w:tblPr>
      <w:tblGrid>
        <w:gridCol w:w="723"/>
        <w:gridCol w:w="1797"/>
        <w:gridCol w:w="1889"/>
        <w:gridCol w:w="1596"/>
      </w:tblGrid>
      <w:tr w:rsidR="001D1327" w:rsidRPr="001D1327" w14:paraId="2D3614C8" w14:textId="77777777" w:rsidTr="001D1327">
        <w:tc>
          <w:tcPr>
            <w:tcW w:w="0" w:type="auto"/>
            <w:hideMark/>
          </w:tcPr>
          <w:p w14:paraId="592598F8" w14:textId="77777777" w:rsidR="001D1327" w:rsidRPr="001D1327" w:rsidRDefault="001D1327" w:rsidP="001D1327">
            <w:pPr>
              <w:spacing w:after="0" w:line="240" w:lineRule="auto"/>
              <w:jc w:val="center"/>
              <w:rPr>
                <w:rFonts w:ascii="Times New Roman" w:eastAsia="Times New Roman" w:hAnsi="Times New Roman" w:cs="Times New Roman"/>
                <w:b/>
                <w:bCs/>
                <w:sz w:val="24"/>
                <w:szCs w:val="24"/>
                <w:lang w:eastAsia="en-GB" w:bidi="bn-IN"/>
              </w:rPr>
            </w:pPr>
            <w:r w:rsidRPr="001D1327">
              <w:rPr>
                <w:rFonts w:ascii="Times New Roman" w:eastAsia="Times New Roman" w:hAnsi="Times New Roman" w:cs="Times New Roman"/>
                <w:b/>
                <w:bCs/>
                <w:sz w:val="24"/>
                <w:szCs w:val="24"/>
                <w:lang w:eastAsia="en-GB" w:bidi="bn-IN"/>
              </w:rPr>
              <w:t>Year</w:t>
            </w:r>
          </w:p>
        </w:tc>
        <w:tc>
          <w:tcPr>
            <w:tcW w:w="0" w:type="auto"/>
            <w:hideMark/>
          </w:tcPr>
          <w:p w14:paraId="126A49CC" w14:textId="77777777" w:rsidR="001D1327" w:rsidRPr="001D1327" w:rsidRDefault="001D1327" w:rsidP="001D1327">
            <w:pPr>
              <w:spacing w:after="0" w:line="240" w:lineRule="auto"/>
              <w:jc w:val="center"/>
              <w:rPr>
                <w:rFonts w:ascii="Times New Roman" w:eastAsia="Times New Roman" w:hAnsi="Times New Roman" w:cs="Times New Roman"/>
                <w:b/>
                <w:bCs/>
                <w:sz w:val="24"/>
                <w:szCs w:val="24"/>
                <w:lang w:eastAsia="en-GB" w:bidi="bn-IN"/>
              </w:rPr>
            </w:pPr>
            <w:r w:rsidRPr="001D1327">
              <w:rPr>
                <w:rFonts w:ascii="Times New Roman" w:eastAsia="Times New Roman" w:hAnsi="Times New Roman" w:cs="Times New Roman"/>
                <w:b/>
                <w:bCs/>
                <w:sz w:val="24"/>
                <w:szCs w:val="24"/>
                <w:lang w:eastAsia="en-GB" w:bidi="bn-IN"/>
              </w:rPr>
              <w:t>Inventory Days</w:t>
            </w:r>
          </w:p>
        </w:tc>
        <w:tc>
          <w:tcPr>
            <w:tcW w:w="0" w:type="auto"/>
            <w:hideMark/>
          </w:tcPr>
          <w:p w14:paraId="129DD993" w14:textId="77777777" w:rsidR="001D1327" w:rsidRPr="001D1327" w:rsidRDefault="001D1327" w:rsidP="001D1327">
            <w:pPr>
              <w:spacing w:after="0" w:line="240" w:lineRule="auto"/>
              <w:jc w:val="center"/>
              <w:rPr>
                <w:rFonts w:ascii="Times New Roman" w:eastAsia="Times New Roman" w:hAnsi="Times New Roman" w:cs="Times New Roman"/>
                <w:b/>
                <w:bCs/>
                <w:sz w:val="24"/>
                <w:szCs w:val="24"/>
                <w:lang w:eastAsia="en-GB" w:bidi="bn-IN"/>
              </w:rPr>
            </w:pPr>
            <w:r w:rsidRPr="001D1327">
              <w:rPr>
                <w:rFonts w:ascii="Times New Roman" w:eastAsia="Times New Roman" w:hAnsi="Times New Roman" w:cs="Times New Roman"/>
                <w:b/>
                <w:bCs/>
                <w:sz w:val="24"/>
                <w:szCs w:val="24"/>
                <w:lang w:eastAsia="en-GB" w:bidi="bn-IN"/>
              </w:rPr>
              <w:t>Receivable Days</w:t>
            </w:r>
          </w:p>
        </w:tc>
        <w:tc>
          <w:tcPr>
            <w:tcW w:w="0" w:type="auto"/>
            <w:hideMark/>
          </w:tcPr>
          <w:p w14:paraId="4CB0944C" w14:textId="77777777" w:rsidR="001D1327" w:rsidRPr="001D1327" w:rsidRDefault="001D1327" w:rsidP="001D1327">
            <w:pPr>
              <w:spacing w:after="0" w:line="240" w:lineRule="auto"/>
              <w:jc w:val="center"/>
              <w:rPr>
                <w:rFonts w:ascii="Times New Roman" w:eastAsia="Times New Roman" w:hAnsi="Times New Roman" w:cs="Times New Roman"/>
                <w:b/>
                <w:bCs/>
                <w:sz w:val="24"/>
                <w:szCs w:val="24"/>
                <w:lang w:eastAsia="en-GB" w:bidi="bn-IN"/>
              </w:rPr>
            </w:pPr>
            <w:r w:rsidRPr="001D1327">
              <w:rPr>
                <w:rFonts w:ascii="Times New Roman" w:eastAsia="Times New Roman" w:hAnsi="Times New Roman" w:cs="Times New Roman"/>
                <w:b/>
                <w:bCs/>
                <w:sz w:val="24"/>
                <w:szCs w:val="24"/>
                <w:lang w:eastAsia="en-GB" w:bidi="bn-IN"/>
              </w:rPr>
              <w:t>Payable Days</w:t>
            </w:r>
          </w:p>
        </w:tc>
      </w:tr>
      <w:tr w:rsidR="001D1327" w:rsidRPr="001D1327" w14:paraId="07A52E56" w14:textId="77777777" w:rsidTr="001D1327">
        <w:tc>
          <w:tcPr>
            <w:tcW w:w="0" w:type="auto"/>
            <w:hideMark/>
          </w:tcPr>
          <w:p w14:paraId="0EC80916" w14:textId="77777777" w:rsidR="001D1327" w:rsidRPr="001D1327" w:rsidRDefault="001D1327" w:rsidP="001D1327">
            <w:pPr>
              <w:spacing w:after="0" w:line="240" w:lineRule="auto"/>
              <w:rPr>
                <w:rFonts w:ascii="Times New Roman" w:eastAsia="Times New Roman" w:hAnsi="Times New Roman" w:cs="Times New Roman"/>
                <w:sz w:val="24"/>
                <w:szCs w:val="24"/>
                <w:lang w:eastAsia="en-GB" w:bidi="bn-IN"/>
              </w:rPr>
            </w:pPr>
            <w:r w:rsidRPr="001D1327">
              <w:rPr>
                <w:rFonts w:ascii="Times New Roman" w:eastAsia="Times New Roman" w:hAnsi="Times New Roman" w:cs="Times New Roman"/>
                <w:sz w:val="24"/>
                <w:szCs w:val="24"/>
                <w:lang w:eastAsia="en-GB" w:bidi="bn-IN"/>
              </w:rPr>
              <w:t>2021</w:t>
            </w:r>
          </w:p>
        </w:tc>
        <w:tc>
          <w:tcPr>
            <w:tcW w:w="0" w:type="auto"/>
            <w:hideMark/>
          </w:tcPr>
          <w:p w14:paraId="2B114EF6" w14:textId="77777777" w:rsidR="001D1327" w:rsidRPr="001D1327" w:rsidRDefault="001D1327" w:rsidP="001D1327">
            <w:pPr>
              <w:spacing w:after="0" w:line="240" w:lineRule="auto"/>
              <w:rPr>
                <w:rFonts w:ascii="Times New Roman" w:eastAsia="Times New Roman" w:hAnsi="Times New Roman" w:cs="Times New Roman"/>
                <w:sz w:val="24"/>
                <w:szCs w:val="24"/>
                <w:lang w:eastAsia="en-GB" w:bidi="bn-IN"/>
              </w:rPr>
            </w:pPr>
            <w:r w:rsidRPr="001D1327">
              <w:rPr>
                <w:rFonts w:ascii="Times New Roman" w:eastAsia="Times New Roman" w:hAnsi="Times New Roman" w:cs="Times New Roman"/>
                <w:sz w:val="24"/>
                <w:szCs w:val="24"/>
                <w:lang w:eastAsia="en-GB" w:bidi="bn-IN"/>
              </w:rPr>
              <w:t>82</w:t>
            </w:r>
          </w:p>
        </w:tc>
        <w:tc>
          <w:tcPr>
            <w:tcW w:w="0" w:type="auto"/>
            <w:hideMark/>
          </w:tcPr>
          <w:p w14:paraId="520EEF29" w14:textId="77777777" w:rsidR="001D1327" w:rsidRPr="001D1327" w:rsidRDefault="001D1327" w:rsidP="001D1327">
            <w:pPr>
              <w:spacing w:after="0" w:line="240" w:lineRule="auto"/>
              <w:rPr>
                <w:rFonts w:ascii="Times New Roman" w:eastAsia="Times New Roman" w:hAnsi="Times New Roman" w:cs="Times New Roman"/>
                <w:sz w:val="24"/>
                <w:szCs w:val="24"/>
                <w:lang w:eastAsia="en-GB" w:bidi="bn-IN"/>
              </w:rPr>
            </w:pPr>
            <w:r w:rsidRPr="001D1327">
              <w:rPr>
                <w:rFonts w:ascii="Times New Roman" w:eastAsia="Times New Roman" w:hAnsi="Times New Roman" w:cs="Times New Roman"/>
                <w:sz w:val="24"/>
                <w:szCs w:val="24"/>
                <w:lang w:eastAsia="en-GB" w:bidi="bn-IN"/>
              </w:rPr>
              <w:t>78</w:t>
            </w:r>
          </w:p>
        </w:tc>
        <w:tc>
          <w:tcPr>
            <w:tcW w:w="0" w:type="auto"/>
            <w:hideMark/>
          </w:tcPr>
          <w:p w14:paraId="21F9CFCA" w14:textId="77777777" w:rsidR="001D1327" w:rsidRPr="001D1327" w:rsidRDefault="001D1327" w:rsidP="001D1327">
            <w:pPr>
              <w:spacing w:after="0" w:line="240" w:lineRule="auto"/>
              <w:rPr>
                <w:rFonts w:ascii="Times New Roman" w:eastAsia="Times New Roman" w:hAnsi="Times New Roman" w:cs="Times New Roman"/>
                <w:sz w:val="24"/>
                <w:szCs w:val="24"/>
                <w:lang w:eastAsia="en-GB" w:bidi="bn-IN"/>
              </w:rPr>
            </w:pPr>
            <w:r w:rsidRPr="001D1327">
              <w:rPr>
                <w:rFonts w:ascii="Times New Roman" w:eastAsia="Times New Roman" w:hAnsi="Times New Roman" w:cs="Times New Roman"/>
                <w:sz w:val="24"/>
                <w:szCs w:val="24"/>
                <w:lang w:eastAsia="en-GB" w:bidi="bn-IN"/>
              </w:rPr>
              <w:t>61</w:t>
            </w:r>
          </w:p>
        </w:tc>
      </w:tr>
      <w:tr w:rsidR="001D1327" w:rsidRPr="001D1327" w14:paraId="3E31BF97" w14:textId="77777777" w:rsidTr="001D1327">
        <w:tc>
          <w:tcPr>
            <w:tcW w:w="0" w:type="auto"/>
            <w:hideMark/>
          </w:tcPr>
          <w:p w14:paraId="66EF4453" w14:textId="77777777" w:rsidR="001D1327" w:rsidRPr="001D1327" w:rsidRDefault="001D1327" w:rsidP="001D1327">
            <w:pPr>
              <w:spacing w:after="0" w:line="240" w:lineRule="auto"/>
              <w:rPr>
                <w:rFonts w:ascii="Times New Roman" w:eastAsia="Times New Roman" w:hAnsi="Times New Roman" w:cs="Times New Roman"/>
                <w:sz w:val="24"/>
                <w:szCs w:val="24"/>
                <w:lang w:eastAsia="en-GB" w:bidi="bn-IN"/>
              </w:rPr>
            </w:pPr>
            <w:r w:rsidRPr="001D1327">
              <w:rPr>
                <w:rFonts w:ascii="Times New Roman" w:eastAsia="Times New Roman" w:hAnsi="Times New Roman" w:cs="Times New Roman"/>
                <w:sz w:val="24"/>
                <w:szCs w:val="24"/>
                <w:lang w:eastAsia="en-GB" w:bidi="bn-IN"/>
              </w:rPr>
              <w:t>2022</w:t>
            </w:r>
          </w:p>
        </w:tc>
        <w:tc>
          <w:tcPr>
            <w:tcW w:w="0" w:type="auto"/>
            <w:hideMark/>
          </w:tcPr>
          <w:p w14:paraId="041D0F01" w14:textId="77777777" w:rsidR="001D1327" w:rsidRPr="001D1327" w:rsidRDefault="001D1327" w:rsidP="001D1327">
            <w:pPr>
              <w:spacing w:after="0" w:line="240" w:lineRule="auto"/>
              <w:rPr>
                <w:rFonts w:ascii="Times New Roman" w:eastAsia="Times New Roman" w:hAnsi="Times New Roman" w:cs="Times New Roman"/>
                <w:sz w:val="24"/>
                <w:szCs w:val="24"/>
                <w:lang w:eastAsia="en-GB" w:bidi="bn-IN"/>
              </w:rPr>
            </w:pPr>
            <w:r w:rsidRPr="001D1327">
              <w:rPr>
                <w:rFonts w:ascii="Times New Roman" w:eastAsia="Times New Roman" w:hAnsi="Times New Roman" w:cs="Times New Roman"/>
                <w:sz w:val="24"/>
                <w:szCs w:val="24"/>
                <w:lang w:eastAsia="en-GB" w:bidi="bn-IN"/>
              </w:rPr>
              <w:t>94</w:t>
            </w:r>
          </w:p>
        </w:tc>
        <w:tc>
          <w:tcPr>
            <w:tcW w:w="0" w:type="auto"/>
            <w:hideMark/>
          </w:tcPr>
          <w:p w14:paraId="69D54D96" w14:textId="77777777" w:rsidR="001D1327" w:rsidRPr="001D1327" w:rsidRDefault="001D1327" w:rsidP="001D1327">
            <w:pPr>
              <w:spacing w:after="0" w:line="240" w:lineRule="auto"/>
              <w:rPr>
                <w:rFonts w:ascii="Times New Roman" w:eastAsia="Times New Roman" w:hAnsi="Times New Roman" w:cs="Times New Roman"/>
                <w:sz w:val="24"/>
                <w:szCs w:val="24"/>
                <w:lang w:eastAsia="en-GB" w:bidi="bn-IN"/>
              </w:rPr>
            </w:pPr>
            <w:r w:rsidRPr="001D1327">
              <w:rPr>
                <w:rFonts w:ascii="Times New Roman" w:eastAsia="Times New Roman" w:hAnsi="Times New Roman" w:cs="Times New Roman"/>
                <w:sz w:val="24"/>
                <w:szCs w:val="24"/>
                <w:lang w:eastAsia="en-GB" w:bidi="bn-IN"/>
              </w:rPr>
              <w:t>76</w:t>
            </w:r>
          </w:p>
        </w:tc>
        <w:tc>
          <w:tcPr>
            <w:tcW w:w="0" w:type="auto"/>
            <w:hideMark/>
          </w:tcPr>
          <w:p w14:paraId="370E647C" w14:textId="77777777" w:rsidR="001D1327" w:rsidRPr="001D1327" w:rsidRDefault="001D1327" w:rsidP="001D1327">
            <w:pPr>
              <w:spacing w:after="0" w:line="240" w:lineRule="auto"/>
              <w:rPr>
                <w:rFonts w:ascii="Times New Roman" w:eastAsia="Times New Roman" w:hAnsi="Times New Roman" w:cs="Times New Roman"/>
                <w:sz w:val="24"/>
                <w:szCs w:val="24"/>
                <w:lang w:eastAsia="en-GB" w:bidi="bn-IN"/>
              </w:rPr>
            </w:pPr>
            <w:r w:rsidRPr="001D1327">
              <w:rPr>
                <w:rFonts w:ascii="Times New Roman" w:eastAsia="Times New Roman" w:hAnsi="Times New Roman" w:cs="Times New Roman"/>
                <w:sz w:val="24"/>
                <w:szCs w:val="24"/>
                <w:lang w:eastAsia="en-GB" w:bidi="bn-IN"/>
              </w:rPr>
              <w:t>67</w:t>
            </w:r>
          </w:p>
        </w:tc>
      </w:tr>
      <w:tr w:rsidR="001D1327" w:rsidRPr="001D1327" w14:paraId="24429547" w14:textId="77777777" w:rsidTr="001D1327">
        <w:tc>
          <w:tcPr>
            <w:tcW w:w="0" w:type="auto"/>
            <w:hideMark/>
          </w:tcPr>
          <w:p w14:paraId="158FD5D4" w14:textId="77777777" w:rsidR="001D1327" w:rsidRPr="001D1327" w:rsidRDefault="001D1327" w:rsidP="001D1327">
            <w:pPr>
              <w:spacing w:after="0" w:line="240" w:lineRule="auto"/>
              <w:rPr>
                <w:rFonts w:ascii="Times New Roman" w:eastAsia="Times New Roman" w:hAnsi="Times New Roman" w:cs="Times New Roman"/>
                <w:sz w:val="24"/>
                <w:szCs w:val="24"/>
                <w:lang w:eastAsia="en-GB" w:bidi="bn-IN"/>
              </w:rPr>
            </w:pPr>
            <w:r w:rsidRPr="001D1327">
              <w:rPr>
                <w:rFonts w:ascii="Times New Roman" w:eastAsia="Times New Roman" w:hAnsi="Times New Roman" w:cs="Times New Roman"/>
                <w:sz w:val="24"/>
                <w:szCs w:val="24"/>
                <w:lang w:eastAsia="en-GB" w:bidi="bn-IN"/>
              </w:rPr>
              <w:t>2023</w:t>
            </w:r>
          </w:p>
        </w:tc>
        <w:tc>
          <w:tcPr>
            <w:tcW w:w="0" w:type="auto"/>
            <w:hideMark/>
          </w:tcPr>
          <w:p w14:paraId="4A0AF4EA" w14:textId="77777777" w:rsidR="001D1327" w:rsidRPr="001D1327" w:rsidRDefault="001D1327" w:rsidP="001D1327">
            <w:pPr>
              <w:spacing w:after="0" w:line="240" w:lineRule="auto"/>
              <w:rPr>
                <w:rFonts w:ascii="Times New Roman" w:eastAsia="Times New Roman" w:hAnsi="Times New Roman" w:cs="Times New Roman"/>
                <w:sz w:val="24"/>
                <w:szCs w:val="24"/>
                <w:lang w:eastAsia="en-GB" w:bidi="bn-IN"/>
              </w:rPr>
            </w:pPr>
            <w:r w:rsidRPr="001D1327">
              <w:rPr>
                <w:rFonts w:ascii="Times New Roman" w:eastAsia="Times New Roman" w:hAnsi="Times New Roman" w:cs="Times New Roman"/>
                <w:sz w:val="24"/>
                <w:szCs w:val="24"/>
                <w:lang w:eastAsia="en-GB" w:bidi="bn-IN"/>
              </w:rPr>
              <w:t>77</w:t>
            </w:r>
          </w:p>
        </w:tc>
        <w:tc>
          <w:tcPr>
            <w:tcW w:w="0" w:type="auto"/>
            <w:hideMark/>
          </w:tcPr>
          <w:p w14:paraId="2162991D" w14:textId="77777777" w:rsidR="001D1327" w:rsidRPr="001D1327" w:rsidRDefault="001D1327" w:rsidP="001D1327">
            <w:pPr>
              <w:spacing w:after="0" w:line="240" w:lineRule="auto"/>
              <w:rPr>
                <w:rFonts w:ascii="Times New Roman" w:eastAsia="Times New Roman" w:hAnsi="Times New Roman" w:cs="Times New Roman"/>
                <w:sz w:val="24"/>
                <w:szCs w:val="24"/>
                <w:lang w:eastAsia="en-GB" w:bidi="bn-IN"/>
              </w:rPr>
            </w:pPr>
            <w:r w:rsidRPr="001D1327">
              <w:rPr>
                <w:rFonts w:ascii="Times New Roman" w:eastAsia="Times New Roman" w:hAnsi="Times New Roman" w:cs="Times New Roman"/>
                <w:sz w:val="24"/>
                <w:szCs w:val="24"/>
                <w:lang w:eastAsia="en-GB" w:bidi="bn-IN"/>
              </w:rPr>
              <w:t>98</w:t>
            </w:r>
          </w:p>
        </w:tc>
        <w:tc>
          <w:tcPr>
            <w:tcW w:w="0" w:type="auto"/>
            <w:hideMark/>
          </w:tcPr>
          <w:p w14:paraId="5E98BAC9" w14:textId="77777777" w:rsidR="001D1327" w:rsidRPr="001D1327" w:rsidRDefault="001D1327" w:rsidP="001D1327">
            <w:pPr>
              <w:spacing w:after="0" w:line="240" w:lineRule="auto"/>
              <w:rPr>
                <w:rFonts w:ascii="Times New Roman" w:eastAsia="Times New Roman" w:hAnsi="Times New Roman" w:cs="Times New Roman"/>
                <w:sz w:val="24"/>
                <w:szCs w:val="24"/>
                <w:lang w:eastAsia="en-GB" w:bidi="bn-IN"/>
              </w:rPr>
            </w:pPr>
            <w:r w:rsidRPr="001D1327">
              <w:rPr>
                <w:rFonts w:ascii="Times New Roman" w:eastAsia="Times New Roman" w:hAnsi="Times New Roman" w:cs="Times New Roman"/>
                <w:sz w:val="24"/>
                <w:szCs w:val="24"/>
                <w:lang w:eastAsia="en-GB" w:bidi="bn-IN"/>
              </w:rPr>
              <w:t>55</w:t>
            </w:r>
          </w:p>
        </w:tc>
      </w:tr>
      <w:tr w:rsidR="001D1327" w:rsidRPr="001D1327" w14:paraId="59FE66AC" w14:textId="77777777" w:rsidTr="001D1327">
        <w:tc>
          <w:tcPr>
            <w:tcW w:w="0" w:type="auto"/>
            <w:hideMark/>
          </w:tcPr>
          <w:p w14:paraId="2965799E" w14:textId="77777777" w:rsidR="001D1327" w:rsidRPr="001D1327" w:rsidRDefault="001D1327" w:rsidP="001D1327">
            <w:pPr>
              <w:spacing w:after="0" w:line="240" w:lineRule="auto"/>
              <w:rPr>
                <w:rFonts w:ascii="Times New Roman" w:eastAsia="Times New Roman" w:hAnsi="Times New Roman" w:cs="Times New Roman"/>
                <w:sz w:val="24"/>
                <w:szCs w:val="24"/>
                <w:lang w:eastAsia="en-GB" w:bidi="bn-IN"/>
              </w:rPr>
            </w:pPr>
            <w:r w:rsidRPr="001D1327">
              <w:rPr>
                <w:rFonts w:ascii="Times New Roman" w:eastAsia="Times New Roman" w:hAnsi="Times New Roman" w:cs="Times New Roman"/>
                <w:sz w:val="24"/>
                <w:szCs w:val="24"/>
                <w:lang w:eastAsia="en-GB" w:bidi="bn-IN"/>
              </w:rPr>
              <w:t>2024</w:t>
            </w:r>
          </w:p>
        </w:tc>
        <w:tc>
          <w:tcPr>
            <w:tcW w:w="0" w:type="auto"/>
            <w:hideMark/>
          </w:tcPr>
          <w:p w14:paraId="34F77E69" w14:textId="77777777" w:rsidR="001D1327" w:rsidRPr="001D1327" w:rsidRDefault="001D1327" w:rsidP="001D1327">
            <w:pPr>
              <w:spacing w:after="0" w:line="240" w:lineRule="auto"/>
              <w:rPr>
                <w:rFonts w:ascii="Times New Roman" w:eastAsia="Times New Roman" w:hAnsi="Times New Roman" w:cs="Times New Roman"/>
                <w:sz w:val="24"/>
                <w:szCs w:val="24"/>
                <w:lang w:eastAsia="en-GB" w:bidi="bn-IN"/>
              </w:rPr>
            </w:pPr>
            <w:r w:rsidRPr="001D1327">
              <w:rPr>
                <w:rFonts w:ascii="Times New Roman" w:eastAsia="Times New Roman" w:hAnsi="Times New Roman" w:cs="Times New Roman"/>
                <w:sz w:val="24"/>
                <w:szCs w:val="24"/>
                <w:lang w:eastAsia="en-GB" w:bidi="bn-IN"/>
              </w:rPr>
              <w:t>73</w:t>
            </w:r>
          </w:p>
        </w:tc>
        <w:tc>
          <w:tcPr>
            <w:tcW w:w="0" w:type="auto"/>
            <w:hideMark/>
          </w:tcPr>
          <w:p w14:paraId="15B95E16" w14:textId="77777777" w:rsidR="001D1327" w:rsidRPr="001D1327" w:rsidRDefault="001D1327" w:rsidP="001D1327">
            <w:pPr>
              <w:spacing w:after="0" w:line="240" w:lineRule="auto"/>
              <w:rPr>
                <w:rFonts w:ascii="Times New Roman" w:eastAsia="Times New Roman" w:hAnsi="Times New Roman" w:cs="Times New Roman"/>
                <w:sz w:val="24"/>
                <w:szCs w:val="24"/>
                <w:lang w:eastAsia="en-GB" w:bidi="bn-IN"/>
              </w:rPr>
            </w:pPr>
            <w:r w:rsidRPr="001D1327">
              <w:rPr>
                <w:rFonts w:ascii="Times New Roman" w:eastAsia="Times New Roman" w:hAnsi="Times New Roman" w:cs="Times New Roman"/>
                <w:sz w:val="24"/>
                <w:szCs w:val="24"/>
                <w:lang w:eastAsia="en-GB" w:bidi="bn-IN"/>
              </w:rPr>
              <w:t>106</w:t>
            </w:r>
          </w:p>
        </w:tc>
        <w:tc>
          <w:tcPr>
            <w:tcW w:w="0" w:type="auto"/>
            <w:hideMark/>
          </w:tcPr>
          <w:p w14:paraId="035B209A" w14:textId="77777777" w:rsidR="001D1327" w:rsidRPr="001D1327" w:rsidRDefault="001D1327" w:rsidP="001D1327">
            <w:pPr>
              <w:spacing w:after="0" w:line="240" w:lineRule="auto"/>
              <w:rPr>
                <w:rFonts w:ascii="Times New Roman" w:eastAsia="Times New Roman" w:hAnsi="Times New Roman" w:cs="Times New Roman"/>
                <w:sz w:val="24"/>
                <w:szCs w:val="24"/>
                <w:lang w:eastAsia="en-GB" w:bidi="bn-IN"/>
              </w:rPr>
            </w:pPr>
            <w:r w:rsidRPr="001D1327">
              <w:rPr>
                <w:rFonts w:ascii="Times New Roman" w:eastAsia="Times New Roman" w:hAnsi="Times New Roman" w:cs="Times New Roman"/>
                <w:sz w:val="24"/>
                <w:szCs w:val="24"/>
                <w:lang w:eastAsia="en-GB" w:bidi="bn-IN"/>
              </w:rPr>
              <w:t>67</w:t>
            </w:r>
          </w:p>
        </w:tc>
      </w:tr>
    </w:tbl>
    <w:p w14:paraId="28145EC2" w14:textId="57735A85" w:rsidR="00674C2E" w:rsidRPr="002073E1" w:rsidRDefault="002073E1" w:rsidP="002073E1">
      <w:pPr>
        <w:pStyle w:val="NormalWeb"/>
        <w:spacing w:line="360" w:lineRule="auto"/>
        <w:jc w:val="both"/>
        <w:rPr>
          <w:rFonts w:ascii="Arial" w:hAnsi="Arial" w:cs="Arial"/>
        </w:rPr>
      </w:pPr>
      <w:r w:rsidRPr="002073E1">
        <w:rPr>
          <w:rFonts w:ascii="Arial" w:hAnsi="Arial" w:cs="Arial"/>
          <w:b/>
          <w:bCs/>
        </w:rPr>
        <w:t>Commentary:</w:t>
      </w:r>
      <w:r>
        <w:rPr>
          <w:rFonts w:ascii="Arial" w:hAnsi="Arial" w:cs="Arial"/>
        </w:rPr>
        <w:t xml:space="preserve"> </w:t>
      </w:r>
      <w:r w:rsidRPr="002073E1">
        <w:rPr>
          <w:rFonts w:ascii="Arial" w:hAnsi="Arial" w:cs="Arial"/>
        </w:rPr>
        <w:t>Inventory management improves post-2022, but rising receivable days extend the cash operating cycle, weakening liquidity.</w:t>
      </w:r>
    </w:p>
    <w:p w14:paraId="5D9F9EE7" w14:textId="09DC5868" w:rsidR="002073E1" w:rsidRDefault="00674C2E" w:rsidP="00674C2E">
      <w:pPr>
        <w:rPr>
          <w:rFonts w:ascii="Arial" w:hAnsi="Arial" w:cs="Arial"/>
          <w:b/>
          <w:bCs/>
          <w:sz w:val="24"/>
          <w:szCs w:val="24"/>
          <w:lang w:eastAsia="en-GB"/>
        </w:rPr>
      </w:pPr>
      <w:r w:rsidRPr="006C081F">
        <w:rPr>
          <w:rFonts w:ascii="Arial" w:hAnsi="Arial" w:cs="Arial"/>
          <w:b/>
          <w:bCs/>
          <w:sz w:val="24"/>
          <w:szCs w:val="24"/>
          <w:lang w:eastAsia="en-GB"/>
        </w:rPr>
        <w:t>Table A</w:t>
      </w:r>
      <w:r w:rsidR="00DB695E">
        <w:rPr>
          <w:rFonts w:ascii="Arial" w:hAnsi="Arial" w:cs="Arial"/>
          <w:b/>
          <w:bCs/>
          <w:sz w:val="24"/>
          <w:szCs w:val="24"/>
          <w:lang w:eastAsia="en-GB"/>
        </w:rPr>
        <w:t>4</w:t>
      </w:r>
      <w:r w:rsidRPr="006C081F">
        <w:rPr>
          <w:rFonts w:ascii="Arial" w:hAnsi="Arial" w:cs="Arial"/>
          <w:b/>
          <w:bCs/>
          <w:sz w:val="24"/>
          <w:szCs w:val="24"/>
          <w:lang w:eastAsia="en-GB"/>
        </w:rPr>
        <w:t xml:space="preserve">. </w:t>
      </w:r>
      <w:r w:rsidR="00CC6C00" w:rsidRPr="00CC6C00">
        <w:rPr>
          <w:rFonts w:ascii="Arial" w:hAnsi="Arial" w:cs="Arial"/>
          <w:b/>
          <w:bCs/>
          <w:sz w:val="24"/>
          <w:szCs w:val="24"/>
          <w:lang w:eastAsia="en-GB"/>
        </w:rPr>
        <w:t>Gearing &amp; Solvency Ratios</w:t>
      </w:r>
    </w:p>
    <w:tbl>
      <w:tblPr>
        <w:tblStyle w:val="TableGrid"/>
        <w:tblW w:w="0" w:type="auto"/>
        <w:tblInd w:w="1445" w:type="dxa"/>
        <w:tblLook w:val="04A0" w:firstRow="1" w:lastRow="0" w:firstColumn="1" w:lastColumn="0" w:noHBand="0" w:noVBand="1"/>
      </w:tblPr>
      <w:tblGrid>
        <w:gridCol w:w="723"/>
        <w:gridCol w:w="1763"/>
        <w:gridCol w:w="1703"/>
      </w:tblGrid>
      <w:tr w:rsidR="00CC6C00" w:rsidRPr="00CC6C00" w14:paraId="3C80C07B" w14:textId="77777777" w:rsidTr="00CC6C00">
        <w:tc>
          <w:tcPr>
            <w:tcW w:w="0" w:type="auto"/>
            <w:hideMark/>
          </w:tcPr>
          <w:p w14:paraId="6DD4026D" w14:textId="77777777" w:rsidR="00CC6C00" w:rsidRPr="00CC6C00" w:rsidRDefault="00CC6C00" w:rsidP="00CC6C00">
            <w:pPr>
              <w:spacing w:after="0" w:line="240" w:lineRule="auto"/>
              <w:jc w:val="center"/>
              <w:rPr>
                <w:rFonts w:ascii="Times New Roman" w:eastAsia="Times New Roman" w:hAnsi="Times New Roman" w:cs="Times New Roman"/>
                <w:b/>
                <w:bCs/>
                <w:sz w:val="24"/>
                <w:szCs w:val="24"/>
                <w:lang w:eastAsia="en-GB" w:bidi="bn-IN"/>
              </w:rPr>
            </w:pPr>
            <w:r w:rsidRPr="00CC6C00">
              <w:rPr>
                <w:rFonts w:ascii="Times New Roman" w:eastAsia="Times New Roman" w:hAnsi="Times New Roman" w:cs="Times New Roman"/>
                <w:b/>
                <w:bCs/>
                <w:sz w:val="24"/>
                <w:szCs w:val="24"/>
                <w:lang w:eastAsia="en-GB" w:bidi="bn-IN"/>
              </w:rPr>
              <w:t>Year</w:t>
            </w:r>
          </w:p>
        </w:tc>
        <w:tc>
          <w:tcPr>
            <w:tcW w:w="0" w:type="auto"/>
            <w:hideMark/>
          </w:tcPr>
          <w:p w14:paraId="796DF546" w14:textId="77777777" w:rsidR="00CC6C00" w:rsidRPr="00CC6C00" w:rsidRDefault="00CC6C00" w:rsidP="00CC6C00">
            <w:pPr>
              <w:spacing w:after="0" w:line="240" w:lineRule="auto"/>
              <w:jc w:val="center"/>
              <w:rPr>
                <w:rFonts w:ascii="Times New Roman" w:eastAsia="Times New Roman" w:hAnsi="Times New Roman" w:cs="Times New Roman"/>
                <w:b/>
                <w:bCs/>
                <w:sz w:val="24"/>
                <w:szCs w:val="24"/>
                <w:lang w:eastAsia="en-GB" w:bidi="bn-IN"/>
              </w:rPr>
            </w:pPr>
            <w:r w:rsidRPr="00CC6C00">
              <w:rPr>
                <w:rFonts w:ascii="Times New Roman" w:eastAsia="Times New Roman" w:hAnsi="Times New Roman" w:cs="Times New Roman"/>
                <w:b/>
                <w:bCs/>
                <w:sz w:val="24"/>
                <w:szCs w:val="24"/>
                <w:lang w:eastAsia="en-GB" w:bidi="bn-IN"/>
              </w:rPr>
              <w:t>Debt-to-Equity</w:t>
            </w:r>
          </w:p>
        </w:tc>
        <w:tc>
          <w:tcPr>
            <w:tcW w:w="0" w:type="auto"/>
            <w:hideMark/>
          </w:tcPr>
          <w:p w14:paraId="0A676B01" w14:textId="77777777" w:rsidR="00CC6C00" w:rsidRPr="00CC6C00" w:rsidRDefault="00CC6C00" w:rsidP="00CC6C00">
            <w:pPr>
              <w:spacing w:after="0" w:line="240" w:lineRule="auto"/>
              <w:jc w:val="center"/>
              <w:rPr>
                <w:rFonts w:ascii="Times New Roman" w:eastAsia="Times New Roman" w:hAnsi="Times New Roman" w:cs="Times New Roman"/>
                <w:b/>
                <w:bCs/>
                <w:sz w:val="24"/>
                <w:szCs w:val="24"/>
                <w:lang w:eastAsia="en-GB" w:bidi="bn-IN"/>
              </w:rPr>
            </w:pPr>
            <w:r w:rsidRPr="00CC6C00">
              <w:rPr>
                <w:rFonts w:ascii="Times New Roman" w:eastAsia="Times New Roman" w:hAnsi="Times New Roman" w:cs="Times New Roman"/>
                <w:b/>
                <w:bCs/>
                <w:sz w:val="24"/>
                <w:szCs w:val="24"/>
                <w:lang w:eastAsia="en-GB" w:bidi="bn-IN"/>
              </w:rPr>
              <w:t>Interest Cover</w:t>
            </w:r>
          </w:p>
        </w:tc>
      </w:tr>
      <w:tr w:rsidR="00CC6C00" w:rsidRPr="00CC6C00" w14:paraId="223F8704" w14:textId="77777777" w:rsidTr="00CC6C00">
        <w:tc>
          <w:tcPr>
            <w:tcW w:w="0" w:type="auto"/>
            <w:hideMark/>
          </w:tcPr>
          <w:p w14:paraId="32651496" w14:textId="77777777" w:rsidR="00CC6C00" w:rsidRPr="00CC6C00" w:rsidRDefault="00CC6C00" w:rsidP="00CC6C00">
            <w:pPr>
              <w:spacing w:after="0" w:line="240" w:lineRule="auto"/>
              <w:rPr>
                <w:rFonts w:ascii="Times New Roman" w:eastAsia="Times New Roman" w:hAnsi="Times New Roman" w:cs="Times New Roman"/>
                <w:sz w:val="24"/>
                <w:szCs w:val="24"/>
                <w:lang w:eastAsia="en-GB" w:bidi="bn-IN"/>
              </w:rPr>
            </w:pPr>
            <w:r w:rsidRPr="00CC6C00">
              <w:rPr>
                <w:rFonts w:ascii="Times New Roman" w:eastAsia="Times New Roman" w:hAnsi="Times New Roman" w:cs="Times New Roman"/>
                <w:sz w:val="24"/>
                <w:szCs w:val="24"/>
                <w:lang w:eastAsia="en-GB" w:bidi="bn-IN"/>
              </w:rPr>
              <w:t>2021</w:t>
            </w:r>
          </w:p>
        </w:tc>
        <w:tc>
          <w:tcPr>
            <w:tcW w:w="0" w:type="auto"/>
            <w:hideMark/>
          </w:tcPr>
          <w:p w14:paraId="6AD39987" w14:textId="77777777" w:rsidR="00CC6C00" w:rsidRPr="00CC6C00" w:rsidRDefault="00CC6C00" w:rsidP="00CC6C00">
            <w:pPr>
              <w:spacing w:after="0" w:line="240" w:lineRule="auto"/>
              <w:rPr>
                <w:rFonts w:ascii="Times New Roman" w:eastAsia="Times New Roman" w:hAnsi="Times New Roman" w:cs="Times New Roman"/>
                <w:sz w:val="24"/>
                <w:szCs w:val="24"/>
                <w:lang w:eastAsia="en-GB" w:bidi="bn-IN"/>
              </w:rPr>
            </w:pPr>
            <w:r w:rsidRPr="00CC6C00">
              <w:rPr>
                <w:rFonts w:ascii="Times New Roman" w:eastAsia="Times New Roman" w:hAnsi="Times New Roman" w:cs="Times New Roman"/>
                <w:sz w:val="24"/>
                <w:szCs w:val="24"/>
                <w:lang w:eastAsia="en-GB" w:bidi="bn-IN"/>
              </w:rPr>
              <w:t>0.85</w:t>
            </w:r>
          </w:p>
        </w:tc>
        <w:tc>
          <w:tcPr>
            <w:tcW w:w="0" w:type="auto"/>
            <w:hideMark/>
          </w:tcPr>
          <w:p w14:paraId="52B5C47B" w14:textId="77777777" w:rsidR="00CC6C00" w:rsidRPr="00CC6C00" w:rsidRDefault="00CC6C00" w:rsidP="00CC6C00">
            <w:pPr>
              <w:spacing w:after="0" w:line="240" w:lineRule="auto"/>
              <w:rPr>
                <w:rFonts w:ascii="Times New Roman" w:eastAsia="Times New Roman" w:hAnsi="Times New Roman" w:cs="Times New Roman"/>
                <w:sz w:val="24"/>
                <w:szCs w:val="24"/>
                <w:lang w:eastAsia="en-GB" w:bidi="bn-IN"/>
              </w:rPr>
            </w:pPr>
            <w:r w:rsidRPr="00CC6C00">
              <w:rPr>
                <w:rFonts w:ascii="Times New Roman" w:eastAsia="Times New Roman" w:hAnsi="Times New Roman" w:cs="Times New Roman"/>
                <w:sz w:val="24"/>
                <w:szCs w:val="24"/>
                <w:lang w:eastAsia="en-GB" w:bidi="bn-IN"/>
              </w:rPr>
              <w:t>41.1</w:t>
            </w:r>
          </w:p>
        </w:tc>
      </w:tr>
      <w:tr w:rsidR="00CC6C00" w:rsidRPr="00CC6C00" w14:paraId="24FB89B4" w14:textId="77777777" w:rsidTr="00CC6C00">
        <w:tc>
          <w:tcPr>
            <w:tcW w:w="0" w:type="auto"/>
            <w:hideMark/>
          </w:tcPr>
          <w:p w14:paraId="7A2B603E" w14:textId="77777777" w:rsidR="00CC6C00" w:rsidRPr="00CC6C00" w:rsidRDefault="00CC6C00" w:rsidP="00CC6C00">
            <w:pPr>
              <w:spacing w:after="0" w:line="240" w:lineRule="auto"/>
              <w:rPr>
                <w:rFonts w:ascii="Times New Roman" w:eastAsia="Times New Roman" w:hAnsi="Times New Roman" w:cs="Times New Roman"/>
                <w:sz w:val="24"/>
                <w:szCs w:val="24"/>
                <w:lang w:eastAsia="en-GB" w:bidi="bn-IN"/>
              </w:rPr>
            </w:pPr>
            <w:r w:rsidRPr="00CC6C00">
              <w:rPr>
                <w:rFonts w:ascii="Times New Roman" w:eastAsia="Times New Roman" w:hAnsi="Times New Roman" w:cs="Times New Roman"/>
                <w:sz w:val="24"/>
                <w:szCs w:val="24"/>
                <w:lang w:eastAsia="en-GB" w:bidi="bn-IN"/>
              </w:rPr>
              <w:t>2022</w:t>
            </w:r>
          </w:p>
        </w:tc>
        <w:tc>
          <w:tcPr>
            <w:tcW w:w="0" w:type="auto"/>
            <w:hideMark/>
          </w:tcPr>
          <w:p w14:paraId="6D1828C6" w14:textId="77777777" w:rsidR="00CC6C00" w:rsidRPr="00CC6C00" w:rsidRDefault="00CC6C00" w:rsidP="00CC6C00">
            <w:pPr>
              <w:spacing w:after="0" w:line="240" w:lineRule="auto"/>
              <w:rPr>
                <w:rFonts w:ascii="Times New Roman" w:eastAsia="Times New Roman" w:hAnsi="Times New Roman" w:cs="Times New Roman"/>
                <w:sz w:val="24"/>
                <w:szCs w:val="24"/>
                <w:lang w:eastAsia="en-GB" w:bidi="bn-IN"/>
              </w:rPr>
            </w:pPr>
            <w:r w:rsidRPr="00CC6C00">
              <w:rPr>
                <w:rFonts w:ascii="Times New Roman" w:eastAsia="Times New Roman" w:hAnsi="Times New Roman" w:cs="Times New Roman"/>
                <w:sz w:val="24"/>
                <w:szCs w:val="24"/>
                <w:lang w:eastAsia="en-GB" w:bidi="bn-IN"/>
              </w:rPr>
              <w:t>0.88</w:t>
            </w:r>
          </w:p>
        </w:tc>
        <w:tc>
          <w:tcPr>
            <w:tcW w:w="0" w:type="auto"/>
            <w:hideMark/>
          </w:tcPr>
          <w:p w14:paraId="52E136AE" w14:textId="77777777" w:rsidR="00CC6C00" w:rsidRPr="00CC6C00" w:rsidRDefault="00CC6C00" w:rsidP="00CC6C00">
            <w:pPr>
              <w:spacing w:after="0" w:line="240" w:lineRule="auto"/>
              <w:rPr>
                <w:rFonts w:ascii="Times New Roman" w:eastAsia="Times New Roman" w:hAnsi="Times New Roman" w:cs="Times New Roman"/>
                <w:sz w:val="24"/>
                <w:szCs w:val="24"/>
                <w:lang w:eastAsia="en-GB" w:bidi="bn-IN"/>
              </w:rPr>
            </w:pPr>
            <w:r w:rsidRPr="00CC6C00">
              <w:rPr>
                <w:rFonts w:ascii="Times New Roman" w:eastAsia="Times New Roman" w:hAnsi="Times New Roman" w:cs="Times New Roman"/>
                <w:sz w:val="24"/>
                <w:szCs w:val="24"/>
                <w:lang w:eastAsia="en-GB" w:bidi="bn-IN"/>
              </w:rPr>
              <w:t>6.6</w:t>
            </w:r>
          </w:p>
        </w:tc>
      </w:tr>
      <w:tr w:rsidR="00CC6C00" w:rsidRPr="00CC6C00" w14:paraId="2F73EAAC" w14:textId="77777777" w:rsidTr="00CC6C00">
        <w:tc>
          <w:tcPr>
            <w:tcW w:w="0" w:type="auto"/>
            <w:hideMark/>
          </w:tcPr>
          <w:p w14:paraId="60DE85B8" w14:textId="77777777" w:rsidR="00CC6C00" w:rsidRPr="00CC6C00" w:rsidRDefault="00CC6C00" w:rsidP="00CC6C00">
            <w:pPr>
              <w:spacing w:after="0" w:line="240" w:lineRule="auto"/>
              <w:rPr>
                <w:rFonts w:ascii="Times New Roman" w:eastAsia="Times New Roman" w:hAnsi="Times New Roman" w:cs="Times New Roman"/>
                <w:sz w:val="24"/>
                <w:szCs w:val="24"/>
                <w:lang w:eastAsia="en-GB" w:bidi="bn-IN"/>
              </w:rPr>
            </w:pPr>
            <w:r w:rsidRPr="00CC6C00">
              <w:rPr>
                <w:rFonts w:ascii="Times New Roman" w:eastAsia="Times New Roman" w:hAnsi="Times New Roman" w:cs="Times New Roman"/>
                <w:sz w:val="24"/>
                <w:szCs w:val="24"/>
                <w:lang w:eastAsia="en-GB" w:bidi="bn-IN"/>
              </w:rPr>
              <w:t>2023</w:t>
            </w:r>
          </w:p>
        </w:tc>
        <w:tc>
          <w:tcPr>
            <w:tcW w:w="0" w:type="auto"/>
            <w:hideMark/>
          </w:tcPr>
          <w:p w14:paraId="53BCE10C" w14:textId="77777777" w:rsidR="00CC6C00" w:rsidRPr="00CC6C00" w:rsidRDefault="00CC6C00" w:rsidP="00CC6C00">
            <w:pPr>
              <w:spacing w:after="0" w:line="240" w:lineRule="auto"/>
              <w:rPr>
                <w:rFonts w:ascii="Times New Roman" w:eastAsia="Times New Roman" w:hAnsi="Times New Roman" w:cs="Times New Roman"/>
                <w:sz w:val="24"/>
                <w:szCs w:val="24"/>
                <w:lang w:eastAsia="en-GB" w:bidi="bn-IN"/>
              </w:rPr>
            </w:pPr>
            <w:r w:rsidRPr="00CC6C00">
              <w:rPr>
                <w:rFonts w:ascii="Times New Roman" w:eastAsia="Times New Roman" w:hAnsi="Times New Roman" w:cs="Times New Roman"/>
                <w:sz w:val="24"/>
                <w:szCs w:val="24"/>
                <w:lang w:eastAsia="en-GB" w:bidi="bn-IN"/>
              </w:rPr>
              <w:t>0.99</w:t>
            </w:r>
          </w:p>
        </w:tc>
        <w:tc>
          <w:tcPr>
            <w:tcW w:w="0" w:type="auto"/>
            <w:hideMark/>
          </w:tcPr>
          <w:p w14:paraId="10127735" w14:textId="77777777" w:rsidR="00CC6C00" w:rsidRPr="00CC6C00" w:rsidRDefault="00CC6C00" w:rsidP="00CC6C00">
            <w:pPr>
              <w:spacing w:after="0" w:line="240" w:lineRule="auto"/>
              <w:rPr>
                <w:rFonts w:ascii="Times New Roman" w:eastAsia="Times New Roman" w:hAnsi="Times New Roman" w:cs="Times New Roman"/>
                <w:sz w:val="24"/>
                <w:szCs w:val="24"/>
                <w:lang w:eastAsia="en-GB" w:bidi="bn-IN"/>
              </w:rPr>
            </w:pPr>
            <w:r w:rsidRPr="00CC6C00">
              <w:rPr>
                <w:rFonts w:ascii="Times New Roman" w:eastAsia="Times New Roman" w:hAnsi="Times New Roman" w:cs="Times New Roman"/>
                <w:sz w:val="24"/>
                <w:szCs w:val="24"/>
                <w:lang w:eastAsia="en-GB" w:bidi="bn-IN"/>
              </w:rPr>
              <w:t>-19.7</w:t>
            </w:r>
          </w:p>
        </w:tc>
      </w:tr>
      <w:tr w:rsidR="00CC6C00" w:rsidRPr="00CC6C00" w14:paraId="218D073E" w14:textId="77777777" w:rsidTr="00CC6C00">
        <w:tc>
          <w:tcPr>
            <w:tcW w:w="0" w:type="auto"/>
            <w:hideMark/>
          </w:tcPr>
          <w:p w14:paraId="0CFE87BA" w14:textId="77777777" w:rsidR="00CC6C00" w:rsidRPr="00CC6C00" w:rsidRDefault="00CC6C00" w:rsidP="00CC6C00">
            <w:pPr>
              <w:spacing w:after="0" w:line="240" w:lineRule="auto"/>
              <w:rPr>
                <w:rFonts w:ascii="Times New Roman" w:eastAsia="Times New Roman" w:hAnsi="Times New Roman" w:cs="Times New Roman"/>
                <w:sz w:val="24"/>
                <w:szCs w:val="24"/>
                <w:lang w:eastAsia="en-GB" w:bidi="bn-IN"/>
              </w:rPr>
            </w:pPr>
            <w:r w:rsidRPr="00CC6C00">
              <w:rPr>
                <w:rFonts w:ascii="Times New Roman" w:eastAsia="Times New Roman" w:hAnsi="Times New Roman" w:cs="Times New Roman"/>
                <w:sz w:val="24"/>
                <w:szCs w:val="24"/>
                <w:lang w:eastAsia="en-GB" w:bidi="bn-IN"/>
              </w:rPr>
              <w:lastRenderedPageBreak/>
              <w:t>2024</w:t>
            </w:r>
          </w:p>
        </w:tc>
        <w:tc>
          <w:tcPr>
            <w:tcW w:w="0" w:type="auto"/>
            <w:hideMark/>
          </w:tcPr>
          <w:p w14:paraId="1BA9A9BD" w14:textId="77777777" w:rsidR="00CC6C00" w:rsidRPr="00CC6C00" w:rsidRDefault="00CC6C00" w:rsidP="00CC6C00">
            <w:pPr>
              <w:spacing w:after="0" w:line="240" w:lineRule="auto"/>
              <w:rPr>
                <w:rFonts w:ascii="Times New Roman" w:eastAsia="Times New Roman" w:hAnsi="Times New Roman" w:cs="Times New Roman"/>
                <w:sz w:val="24"/>
                <w:szCs w:val="24"/>
                <w:lang w:eastAsia="en-GB" w:bidi="bn-IN"/>
              </w:rPr>
            </w:pPr>
            <w:r w:rsidRPr="00CC6C00">
              <w:rPr>
                <w:rFonts w:ascii="Times New Roman" w:eastAsia="Times New Roman" w:hAnsi="Times New Roman" w:cs="Times New Roman"/>
                <w:sz w:val="24"/>
                <w:szCs w:val="24"/>
                <w:lang w:eastAsia="en-GB" w:bidi="bn-IN"/>
              </w:rPr>
              <w:t>1.11</w:t>
            </w:r>
          </w:p>
        </w:tc>
        <w:tc>
          <w:tcPr>
            <w:tcW w:w="0" w:type="auto"/>
            <w:hideMark/>
          </w:tcPr>
          <w:p w14:paraId="56E16FDB" w14:textId="77777777" w:rsidR="00CC6C00" w:rsidRPr="00CC6C00" w:rsidRDefault="00CC6C00" w:rsidP="00CC6C00">
            <w:pPr>
              <w:spacing w:after="0" w:line="240" w:lineRule="auto"/>
              <w:rPr>
                <w:rFonts w:ascii="Times New Roman" w:eastAsia="Times New Roman" w:hAnsi="Times New Roman" w:cs="Times New Roman"/>
                <w:sz w:val="24"/>
                <w:szCs w:val="24"/>
                <w:lang w:eastAsia="en-GB" w:bidi="bn-IN"/>
              </w:rPr>
            </w:pPr>
            <w:r w:rsidRPr="00CC6C00">
              <w:rPr>
                <w:rFonts w:ascii="Times New Roman" w:eastAsia="Times New Roman" w:hAnsi="Times New Roman" w:cs="Times New Roman"/>
                <w:sz w:val="24"/>
                <w:szCs w:val="24"/>
                <w:lang w:eastAsia="en-GB" w:bidi="bn-IN"/>
              </w:rPr>
              <w:t>-4.6</w:t>
            </w:r>
          </w:p>
        </w:tc>
      </w:tr>
    </w:tbl>
    <w:p w14:paraId="467CD486" w14:textId="77777777" w:rsidR="00CC6C00" w:rsidRPr="00CC6C00" w:rsidRDefault="00CC6C00" w:rsidP="00674C2E">
      <w:pPr>
        <w:rPr>
          <w:rFonts w:ascii="Arial" w:eastAsia="Times New Roman" w:hAnsi="Arial" w:cs="Arial"/>
          <w:sz w:val="24"/>
          <w:szCs w:val="24"/>
          <w:lang w:eastAsia="en-GB"/>
        </w:rPr>
      </w:pPr>
    </w:p>
    <w:p w14:paraId="78DE3AAC" w14:textId="2BAE03D3" w:rsidR="00CC6C00" w:rsidRPr="00E7447B" w:rsidRDefault="00E7447B" w:rsidP="00E7447B">
      <w:pPr>
        <w:jc w:val="both"/>
        <w:rPr>
          <w:rFonts w:ascii="Arial" w:eastAsia="Times New Roman" w:hAnsi="Arial" w:cs="Arial"/>
          <w:sz w:val="24"/>
          <w:szCs w:val="24"/>
          <w:lang w:eastAsia="en-GB"/>
        </w:rPr>
      </w:pPr>
      <w:r w:rsidRPr="00E7447B">
        <w:rPr>
          <w:rFonts w:ascii="Arial" w:eastAsia="Times New Roman" w:hAnsi="Arial" w:cs="Arial"/>
          <w:b/>
          <w:bCs/>
          <w:sz w:val="24"/>
          <w:szCs w:val="24"/>
          <w:lang w:eastAsia="en-GB"/>
        </w:rPr>
        <w:t>Commentary:</w:t>
      </w:r>
      <w:r>
        <w:rPr>
          <w:rFonts w:ascii="Arial" w:eastAsia="Times New Roman" w:hAnsi="Arial" w:cs="Arial"/>
          <w:b/>
          <w:bCs/>
          <w:sz w:val="24"/>
          <w:szCs w:val="24"/>
          <w:lang w:eastAsia="en-GB"/>
        </w:rPr>
        <w:t xml:space="preserve"> </w:t>
      </w:r>
      <w:r w:rsidRPr="00E7447B">
        <w:rPr>
          <w:rFonts w:ascii="Arial" w:eastAsia="Times New Roman" w:hAnsi="Arial" w:cs="Arial"/>
          <w:sz w:val="24"/>
          <w:szCs w:val="24"/>
          <w:lang w:eastAsia="en-GB"/>
        </w:rPr>
        <w:t>Increasing leverage and negative interest cover ratios signal elevated default risk.</w:t>
      </w:r>
    </w:p>
    <w:p w14:paraId="42F5A95D" w14:textId="05D9AC63" w:rsidR="00674C2E" w:rsidRPr="006C081F" w:rsidRDefault="00674C2E" w:rsidP="00E51711">
      <w:pPr>
        <w:pStyle w:val="Heading2"/>
        <w:rPr>
          <w:lang w:eastAsia="en-GB"/>
        </w:rPr>
      </w:pPr>
      <w:bookmarkStart w:id="21" w:name="_Toc216794685"/>
      <w:r w:rsidRPr="006C081F">
        <w:rPr>
          <w:lang w:eastAsia="en-GB"/>
        </w:rPr>
        <w:t xml:space="preserve">APPENDIX B: </w:t>
      </w:r>
      <w:bookmarkEnd w:id="21"/>
      <w:r w:rsidR="00924747" w:rsidRPr="00924747">
        <w:rPr>
          <w:lang w:eastAsia="en-GB"/>
        </w:rPr>
        <w:t>Ratio Trend Graphs</w:t>
      </w:r>
    </w:p>
    <w:p w14:paraId="473DD376" w14:textId="3C030813" w:rsidR="00674C2E" w:rsidRPr="006C081F" w:rsidRDefault="00F249FD" w:rsidP="00674C2E">
      <w:pPr>
        <w:rPr>
          <w:rFonts w:ascii="Arial" w:hAnsi="Arial" w:cs="Arial"/>
          <w:b/>
          <w:bCs/>
          <w:sz w:val="24"/>
          <w:szCs w:val="24"/>
          <w:lang w:eastAsia="en-GB"/>
        </w:rPr>
      </w:pPr>
      <w:r>
        <w:rPr>
          <w:rFonts w:ascii="Arial" w:hAnsi="Arial" w:cs="Arial"/>
          <w:noProof/>
          <w:sz w:val="24"/>
          <w:szCs w:val="24"/>
          <w:lang w:eastAsia="en-GB"/>
        </w:rPr>
        <w:drawing>
          <wp:anchor distT="0" distB="0" distL="114300" distR="114300" simplePos="0" relativeHeight="251660288" behindDoc="0" locked="0" layoutInCell="1" allowOverlap="1" wp14:anchorId="2A36A305" wp14:editId="179ADC4F">
            <wp:simplePos x="0" y="0"/>
            <wp:positionH relativeFrom="column">
              <wp:posOffset>908050</wp:posOffset>
            </wp:positionH>
            <wp:positionV relativeFrom="paragraph">
              <wp:posOffset>293370</wp:posOffset>
            </wp:positionV>
            <wp:extent cx="3390265" cy="2228850"/>
            <wp:effectExtent l="0" t="0" r="635" b="0"/>
            <wp:wrapTopAndBottom/>
            <wp:docPr id="16627009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390265" cy="2228850"/>
                    </a:xfrm>
                    <a:prstGeom prst="rect">
                      <a:avLst/>
                    </a:prstGeom>
                    <a:noFill/>
                  </pic:spPr>
                </pic:pic>
              </a:graphicData>
            </a:graphic>
          </wp:anchor>
        </w:drawing>
      </w:r>
      <w:r w:rsidR="00674C2E" w:rsidRPr="006C081F">
        <w:rPr>
          <w:rFonts w:ascii="Arial" w:hAnsi="Arial" w:cs="Arial"/>
          <w:b/>
          <w:bCs/>
          <w:sz w:val="24"/>
          <w:szCs w:val="24"/>
          <w:lang w:eastAsia="en-GB"/>
        </w:rPr>
        <w:t xml:space="preserve">Table B1. </w:t>
      </w:r>
      <w:r w:rsidR="00E205F9" w:rsidRPr="00E205F9">
        <w:rPr>
          <w:rFonts w:ascii="Arial" w:hAnsi="Arial" w:cs="Arial"/>
          <w:b/>
          <w:bCs/>
          <w:sz w:val="24"/>
          <w:szCs w:val="24"/>
          <w:lang w:eastAsia="en-GB"/>
        </w:rPr>
        <w:t>Current Ratio Trend (2021–2024):</w:t>
      </w:r>
    </w:p>
    <w:p w14:paraId="61B2816B" w14:textId="76BEC512" w:rsidR="00674C2E" w:rsidRPr="006C081F" w:rsidRDefault="00A77BAC" w:rsidP="00674C2E">
      <w:pPr>
        <w:rPr>
          <w:rFonts w:ascii="Arial" w:hAnsi="Arial" w:cs="Arial"/>
          <w:sz w:val="24"/>
          <w:szCs w:val="24"/>
          <w:lang w:eastAsia="en-GB"/>
        </w:rPr>
      </w:pPr>
      <w:r w:rsidRPr="00E7447B">
        <w:rPr>
          <w:rFonts w:ascii="Arial" w:eastAsia="Times New Roman" w:hAnsi="Arial" w:cs="Arial"/>
          <w:b/>
          <w:bCs/>
          <w:sz w:val="24"/>
          <w:szCs w:val="24"/>
          <w:lang w:eastAsia="en-GB"/>
        </w:rPr>
        <w:t>Commentary:</w:t>
      </w:r>
      <w:r>
        <w:rPr>
          <w:rFonts w:ascii="Arial" w:eastAsia="Times New Roman" w:hAnsi="Arial" w:cs="Arial"/>
          <w:b/>
          <w:bCs/>
          <w:sz w:val="24"/>
          <w:szCs w:val="24"/>
          <w:lang w:eastAsia="en-GB"/>
        </w:rPr>
        <w:t xml:space="preserve"> </w:t>
      </w:r>
      <w:r w:rsidRPr="00A77BAC">
        <w:rPr>
          <w:rFonts w:ascii="Arial" w:hAnsi="Arial" w:cs="Arial"/>
          <w:sz w:val="24"/>
          <w:szCs w:val="24"/>
          <w:lang w:eastAsia="en-GB"/>
        </w:rPr>
        <w:t>Relatively stable with slight decline in 2024.</w:t>
      </w:r>
    </w:p>
    <w:p w14:paraId="132D8944" w14:textId="0F9B3416" w:rsidR="00674C2E" w:rsidRPr="006C081F" w:rsidRDefault="004F5C7B" w:rsidP="00674C2E">
      <w:pPr>
        <w:rPr>
          <w:rFonts w:ascii="Arial" w:hAnsi="Arial" w:cs="Arial"/>
          <w:b/>
          <w:bCs/>
          <w:sz w:val="24"/>
          <w:szCs w:val="24"/>
          <w:lang w:eastAsia="en-GB"/>
        </w:rPr>
      </w:pPr>
      <w:r>
        <w:rPr>
          <w:rFonts w:ascii="Arial" w:hAnsi="Arial" w:cs="Arial"/>
          <w:noProof/>
          <w:sz w:val="24"/>
          <w:szCs w:val="24"/>
          <w:lang w:eastAsia="en-GB"/>
        </w:rPr>
        <w:drawing>
          <wp:anchor distT="0" distB="0" distL="114300" distR="114300" simplePos="0" relativeHeight="251661312" behindDoc="0" locked="0" layoutInCell="1" allowOverlap="1" wp14:anchorId="54E0358A" wp14:editId="31F4DDD3">
            <wp:simplePos x="0" y="0"/>
            <wp:positionH relativeFrom="margin">
              <wp:posOffset>1092200</wp:posOffset>
            </wp:positionH>
            <wp:positionV relativeFrom="paragraph">
              <wp:posOffset>401320</wp:posOffset>
            </wp:positionV>
            <wp:extent cx="3073400" cy="2152650"/>
            <wp:effectExtent l="0" t="0" r="0" b="0"/>
            <wp:wrapTopAndBottom/>
            <wp:docPr id="11656185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073400" cy="2152650"/>
                    </a:xfrm>
                    <a:prstGeom prst="rect">
                      <a:avLst/>
                    </a:prstGeom>
                    <a:noFill/>
                  </pic:spPr>
                </pic:pic>
              </a:graphicData>
            </a:graphic>
            <wp14:sizeRelH relativeFrom="margin">
              <wp14:pctWidth>0</wp14:pctWidth>
            </wp14:sizeRelH>
            <wp14:sizeRelV relativeFrom="margin">
              <wp14:pctHeight>0</wp14:pctHeight>
            </wp14:sizeRelV>
          </wp:anchor>
        </w:drawing>
      </w:r>
      <w:r w:rsidR="00674C2E" w:rsidRPr="006C081F">
        <w:rPr>
          <w:rFonts w:ascii="Arial" w:hAnsi="Arial" w:cs="Arial"/>
          <w:b/>
          <w:bCs/>
          <w:sz w:val="24"/>
          <w:szCs w:val="24"/>
          <w:lang w:eastAsia="en-GB"/>
        </w:rPr>
        <w:t xml:space="preserve">Table </w:t>
      </w:r>
      <w:r w:rsidR="00760C24" w:rsidRPr="006C081F">
        <w:rPr>
          <w:rFonts w:ascii="Arial" w:hAnsi="Arial" w:cs="Arial"/>
          <w:b/>
          <w:bCs/>
          <w:sz w:val="24"/>
          <w:szCs w:val="24"/>
          <w:lang w:eastAsia="en-GB"/>
        </w:rPr>
        <w:t>B</w:t>
      </w:r>
      <w:r w:rsidR="00674C2E" w:rsidRPr="006C081F">
        <w:rPr>
          <w:rFonts w:ascii="Arial" w:hAnsi="Arial" w:cs="Arial"/>
          <w:b/>
          <w:bCs/>
          <w:sz w:val="24"/>
          <w:szCs w:val="24"/>
          <w:lang w:eastAsia="en-GB"/>
        </w:rPr>
        <w:t xml:space="preserve">2. </w:t>
      </w:r>
      <w:r w:rsidR="00E205F9" w:rsidRPr="00E205F9">
        <w:rPr>
          <w:rFonts w:ascii="Arial" w:hAnsi="Arial" w:cs="Arial"/>
          <w:b/>
          <w:bCs/>
          <w:sz w:val="24"/>
          <w:szCs w:val="24"/>
          <w:lang w:eastAsia="en-GB"/>
        </w:rPr>
        <w:t>Net Profit Margin Trend:</w:t>
      </w:r>
    </w:p>
    <w:p w14:paraId="549C067B" w14:textId="141E3A1F" w:rsidR="0084211F" w:rsidRPr="006C081F" w:rsidRDefault="0084211F" w:rsidP="00674C2E">
      <w:pPr>
        <w:rPr>
          <w:rFonts w:ascii="Arial" w:hAnsi="Arial" w:cs="Arial"/>
          <w:sz w:val="24"/>
          <w:szCs w:val="24"/>
          <w:lang w:eastAsia="en-GB"/>
        </w:rPr>
      </w:pPr>
    </w:p>
    <w:p w14:paraId="00CF1EA8" w14:textId="0544E668" w:rsidR="00674C2E" w:rsidRPr="006C081F" w:rsidRDefault="004F5C7B" w:rsidP="00674C2E">
      <w:pPr>
        <w:rPr>
          <w:rFonts w:ascii="Arial" w:hAnsi="Arial" w:cs="Arial"/>
          <w:sz w:val="24"/>
          <w:szCs w:val="24"/>
          <w:lang w:eastAsia="en-GB"/>
        </w:rPr>
      </w:pPr>
      <w:r>
        <w:rPr>
          <w:rFonts w:ascii="Arial" w:hAnsi="Arial" w:cs="Arial"/>
          <w:b/>
          <w:bCs/>
          <w:sz w:val="24"/>
          <w:szCs w:val="24"/>
          <w:lang w:eastAsia="en-GB"/>
        </w:rPr>
        <w:t>Commentary</w:t>
      </w:r>
      <w:r w:rsidR="00674C2E" w:rsidRPr="006C081F">
        <w:rPr>
          <w:rFonts w:ascii="Arial" w:hAnsi="Arial" w:cs="Arial"/>
          <w:b/>
          <w:bCs/>
          <w:sz w:val="24"/>
          <w:szCs w:val="24"/>
          <w:lang w:eastAsia="en-GB"/>
        </w:rPr>
        <w:t>:</w:t>
      </w:r>
      <w:r w:rsidR="00674C2E" w:rsidRPr="006C081F">
        <w:rPr>
          <w:rFonts w:ascii="Arial" w:hAnsi="Arial" w:cs="Arial"/>
          <w:sz w:val="24"/>
          <w:szCs w:val="24"/>
          <w:lang w:eastAsia="en-GB"/>
        </w:rPr>
        <w:t xml:space="preserve"> </w:t>
      </w:r>
      <w:r w:rsidR="00B95B0B" w:rsidRPr="00B95B0B">
        <w:rPr>
          <w:rFonts w:ascii="Arial" w:hAnsi="Arial" w:cs="Arial"/>
          <w:sz w:val="24"/>
          <w:szCs w:val="24"/>
          <w:lang w:eastAsia="en-GB"/>
        </w:rPr>
        <w:t>Sharp fall into negative territory in 2023, limited recovery in 2024</w:t>
      </w:r>
      <w:r w:rsidR="00674C2E" w:rsidRPr="006C081F">
        <w:rPr>
          <w:rFonts w:ascii="Arial" w:hAnsi="Arial" w:cs="Arial"/>
          <w:sz w:val="24"/>
          <w:szCs w:val="24"/>
          <w:lang w:eastAsia="en-GB"/>
        </w:rPr>
        <w:t>.</w:t>
      </w:r>
    </w:p>
    <w:p w14:paraId="10634094" w14:textId="33F4CF76" w:rsidR="00674C2E" w:rsidRPr="006C081F" w:rsidRDefault="00674C2E" w:rsidP="00674C2E">
      <w:pPr>
        <w:rPr>
          <w:rFonts w:ascii="Arial" w:hAnsi="Arial" w:cs="Arial"/>
          <w:b/>
          <w:bCs/>
          <w:sz w:val="24"/>
          <w:szCs w:val="24"/>
          <w:lang w:eastAsia="en-GB"/>
        </w:rPr>
      </w:pPr>
      <w:r w:rsidRPr="006C081F">
        <w:rPr>
          <w:rFonts w:ascii="Arial" w:hAnsi="Arial" w:cs="Arial"/>
          <w:b/>
          <w:bCs/>
          <w:sz w:val="24"/>
          <w:szCs w:val="24"/>
          <w:lang w:eastAsia="en-GB"/>
        </w:rPr>
        <w:t xml:space="preserve">Table </w:t>
      </w:r>
      <w:r w:rsidR="00760C24" w:rsidRPr="006C081F">
        <w:rPr>
          <w:rFonts w:ascii="Arial" w:hAnsi="Arial" w:cs="Arial"/>
          <w:b/>
          <w:bCs/>
          <w:sz w:val="24"/>
          <w:szCs w:val="24"/>
          <w:lang w:eastAsia="en-GB"/>
        </w:rPr>
        <w:t>B</w:t>
      </w:r>
      <w:r w:rsidRPr="006C081F">
        <w:rPr>
          <w:rFonts w:ascii="Arial" w:hAnsi="Arial" w:cs="Arial"/>
          <w:b/>
          <w:bCs/>
          <w:sz w:val="24"/>
          <w:szCs w:val="24"/>
          <w:lang w:eastAsia="en-GB"/>
        </w:rPr>
        <w:t xml:space="preserve">3. </w:t>
      </w:r>
      <w:r w:rsidR="005D45CA" w:rsidRPr="005D45CA">
        <w:rPr>
          <w:rFonts w:ascii="Arial" w:hAnsi="Arial" w:cs="Arial"/>
          <w:b/>
          <w:bCs/>
          <w:sz w:val="24"/>
          <w:szCs w:val="24"/>
          <w:lang w:eastAsia="en-GB"/>
        </w:rPr>
        <w:t>Debt-to-Equity Trend:</w:t>
      </w:r>
    </w:p>
    <w:tbl>
      <w:tblPr>
        <w:tblStyle w:val="TableGrid"/>
        <w:tblW w:w="0" w:type="auto"/>
        <w:tblInd w:w="1535" w:type="dxa"/>
        <w:tblLook w:val="04A0" w:firstRow="1" w:lastRow="0" w:firstColumn="1" w:lastColumn="0" w:noHBand="0" w:noVBand="1"/>
      </w:tblPr>
      <w:tblGrid>
        <w:gridCol w:w="723"/>
        <w:gridCol w:w="2383"/>
      </w:tblGrid>
      <w:tr w:rsidR="00B101A4" w:rsidRPr="00B101A4" w14:paraId="1203262A" w14:textId="77777777" w:rsidTr="00B101A4">
        <w:tc>
          <w:tcPr>
            <w:tcW w:w="0" w:type="auto"/>
            <w:hideMark/>
          </w:tcPr>
          <w:p w14:paraId="7A228531" w14:textId="77777777" w:rsidR="00B101A4" w:rsidRPr="00B101A4" w:rsidRDefault="00B101A4" w:rsidP="00B101A4">
            <w:pPr>
              <w:spacing w:after="0" w:line="240" w:lineRule="auto"/>
              <w:jc w:val="center"/>
              <w:rPr>
                <w:rFonts w:ascii="Times New Roman" w:eastAsia="Times New Roman" w:hAnsi="Times New Roman" w:cs="Times New Roman"/>
                <w:b/>
                <w:bCs/>
                <w:sz w:val="24"/>
                <w:szCs w:val="24"/>
                <w:lang w:eastAsia="en-GB" w:bidi="bn-IN"/>
              </w:rPr>
            </w:pPr>
            <w:r w:rsidRPr="00B101A4">
              <w:rPr>
                <w:rFonts w:ascii="Times New Roman" w:eastAsia="Times New Roman" w:hAnsi="Times New Roman" w:cs="Times New Roman"/>
                <w:b/>
                <w:bCs/>
                <w:sz w:val="24"/>
                <w:szCs w:val="24"/>
                <w:lang w:eastAsia="en-GB" w:bidi="bn-IN"/>
              </w:rPr>
              <w:t>Year</w:t>
            </w:r>
          </w:p>
        </w:tc>
        <w:tc>
          <w:tcPr>
            <w:tcW w:w="0" w:type="auto"/>
            <w:hideMark/>
          </w:tcPr>
          <w:p w14:paraId="195CA3C3" w14:textId="77777777" w:rsidR="00B101A4" w:rsidRPr="00B101A4" w:rsidRDefault="00B101A4" w:rsidP="00B101A4">
            <w:pPr>
              <w:spacing w:after="0" w:line="240" w:lineRule="auto"/>
              <w:jc w:val="center"/>
              <w:rPr>
                <w:rFonts w:ascii="Times New Roman" w:eastAsia="Times New Roman" w:hAnsi="Times New Roman" w:cs="Times New Roman"/>
                <w:b/>
                <w:bCs/>
                <w:sz w:val="24"/>
                <w:szCs w:val="24"/>
                <w:lang w:eastAsia="en-GB" w:bidi="bn-IN"/>
              </w:rPr>
            </w:pPr>
            <w:r w:rsidRPr="00B101A4">
              <w:rPr>
                <w:rFonts w:ascii="Times New Roman" w:eastAsia="Times New Roman" w:hAnsi="Times New Roman" w:cs="Times New Roman"/>
                <w:b/>
                <w:bCs/>
                <w:sz w:val="24"/>
                <w:szCs w:val="24"/>
                <w:lang w:eastAsia="en-GB" w:bidi="bn-IN"/>
              </w:rPr>
              <w:t>Debt-to-Equity Ratio</w:t>
            </w:r>
          </w:p>
        </w:tc>
      </w:tr>
      <w:tr w:rsidR="00B101A4" w:rsidRPr="00B101A4" w14:paraId="08EB1BE4" w14:textId="77777777" w:rsidTr="00B101A4">
        <w:tc>
          <w:tcPr>
            <w:tcW w:w="0" w:type="auto"/>
            <w:hideMark/>
          </w:tcPr>
          <w:p w14:paraId="1DDBE730" w14:textId="77777777" w:rsidR="00B101A4" w:rsidRPr="00B101A4" w:rsidRDefault="00B101A4" w:rsidP="00B101A4">
            <w:pPr>
              <w:spacing w:after="0" w:line="240" w:lineRule="auto"/>
              <w:rPr>
                <w:rFonts w:ascii="Times New Roman" w:eastAsia="Times New Roman" w:hAnsi="Times New Roman" w:cs="Times New Roman"/>
                <w:sz w:val="24"/>
                <w:szCs w:val="24"/>
                <w:lang w:eastAsia="en-GB" w:bidi="bn-IN"/>
              </w:rPr>
            </w:pPr>
            <w:r w:rsidRPr="00B101A4">
              <w:rPr>
                <w:rFonts w:ascii="Times New Roman" w:eastAsia="Times New Roman" w:hAnsi="Times New Roman" w:cs="Times New Roman"/>
                <w:sz w:val="24"/>
                <w:szCs w:val="24"/>
                <w:lang w:eastAsia="en-GB" w:bidi="bn-IN"/>
              </w:rPr>
              <w:t>2021</w:t>
            </w:r>
          </w:p>
        </w:tc>
        <w:tc>
          <w:tcPr>
            <w:tcW w:w="0" w:type="auto"/>
            <w:hideMark/>
          </w:tcPr>
          <w:p w14:paraId="1840CC52" w14:textId="77777777" w:rsidR="00B101A4" w:rsidRPr="00B101A4" w:rsidRDefault="00B101A4" w:rsidP="00B101A4">
            <w:pPr>
              <w:spacing w:after="0" w:line="240" w:lineRule="auto"/>
              <w:rPr>
                <w:rFonts w:ascii="Times New Roman" w:eastAsia="Times New Roman" w:hAnsi="Times New Roman" w:cs="Times New Roman"/>
                <w:sz w:val="24"/>
                <w:szCs w:val="24"/>
                <w:lang w:eastAsia="en-GB" w:bidi="bn-IN"/>
              </w:rPr>
            </w:pPr>
            <w:r w:rsidRPr="00B101A4">
              <w:rPr>
                <w:rFonts w:ascii="Times New Roman" w:eastAsia="Times New Roman" w:hAnsi="Times New Roman" w:cs="Times New Roman"/>
                <w:sz w:val="24"/>
                <w:szCs w:val="24"/>
                <w:lang w:eastAsia="en-GB" w:bidi="bn-IN"/>
              </w:rPr>
              <w:t>0.85</w:t>
            </w:r>
          </w:p>
        </w:tc>
      </w:tr>
      <w:tr w:rsidR="00B101A4" w:rsidRPr="00B101A4" w14:paraId="24FCD107" w14:textId="77777777" w:rsidTr="00B101A4">
        <w:tc>
          <w:tcPr>
            <w:tcW w:w="0" w:type="auto"/>
            <w:hideMark/>
          </w:tcPr>
          <w:p w14:paraId="3E99B2D9" w14:textId="77777777" w:rsidR="00B101A4" w:rsidRPr="00B101A4" w:rsidRDefault="00B101A4" w:rsidP="00B101A4">
            <w:pPr>
              <w:spacing w:after="0" w:line="240" w:lineRule="auto"/>
              <w:rPr>
                <w:rFonts w:ascii="Times New Roman" w:eastAsia="Times New Roman" w:hAnsi="Times New Roman" w:cs="Times New Roman"/>
                <w:sz w:val="24"/>
                <w:szCs w:val="24"/>
                <w:lang w:eastAsia="en-GB" w:bidi="bn-IN"/>
              </w:rPr>
            </w:pPr>
            <w:r w:rsidRPr="00B101A4">
              <w:rPr>
                <w:rFonts w:ascii="Times New Roman" w:eastAsia="Times New Roman" w:hAnsi="Times New Roman" w:cs="Times New Roman"/>
                <w:sz w:val="24"/>
                <w:szCs w:val="24"/>
                <w:lang w:eastAsia="en-GB" w:bidi="bn-IN"/>
              </w:rPr>
              <w:t>2022</w:t>
            </w:r>
          </w:p>
        </w:tc>
        <w:tc>
          <w:tcPr>
            <w:tcW w:w="0" w:type="auto"/>
            <w:hideMark/>
          </w:tcPr>
          <w:p w14:paraId="296F1170" w14:textId="77777777" w:rsidR="00B101A4" w:rsidRPr="00B101A4" w:rsidRDefault="00B101A4" w:rsidP="00B101A4">
            <w:pPr>
              <w:spacing w:after="0" w:line="240" w:lineRule="auto"/>
              <w:rPr>
                <w:rFonts w:ascii="Times New Roman" w:eastAsia="Times New Roman" w:hAnsi="Times New Roman" w:cs="Times New Roman"/>
                <w:sz w:val="24"/>
                <w:szCs w:val="24"/>
                <w:lang w:eastAsia="en-GB" w:bidi="bn-IN"/>
              </w:rPr>
            </w:pPr>
            <w:r w:rsidRPr="00B101A4">
              <w:rPr>
                <w:rFonts w:ascii="Times New Roman" w:eastAsia="Times New Roman" w:hAnsi="Times New Roman" w:cs="Times New Roman"/>
                <w:sz w:val="24"/>
                <w:szCs w:val="24"/>
                <w:lang w:eastAsia="en-GB" w:bidi="bn-IN"/>
              </w:rPr>
              <w:t>0.88</w:t>
            </w:r>
          </w:p>
        </w:tc>
      </w:tr>
      <w:tr w:rsidR="00B101A4" w:rsidRPr="00B101A4" w14:paraId="337A054B" w14:textId="77777777" w:rsidTr="00B101A4">
        <w:tc>
          <w:tcPr>
            <w:tcW w:w="0" w:type="auto"/>
            <w:hideMark/>
          </w:tcPr>
          <w:p w14:paraId="11EBBD22" w14:textId="77777777" w:rsidR="00B101A4" w:rsidRPr="00B101A4" w:rsidRDefault="00B101A4" w:rsidP="00B101A4">
            <w:pPr>
              <w:spacing w:after="0" w:line="240" w:lineRule="auto"/>
              <w:rPr>
                <w:rFonts w:ascii="Times New Roman" w:eastAsia="Times New Roman" w:hAnsi="Times New Roman" w:cs="Times New Roman"/>
                <w:sz w:val="24"/>
                <w:szCs w:val="24"/>
                <w:lang w:eastAsia="en-GB" w:bidi="bn-IN"/>
              </w:rPr>
            </w:pPr>
            <w:r w:rsidRPr="00B101A4">
              <w:rPr>
                <w:rFonts w:ascii="Times New Roman" w:eastAsia="Times New Roman" w:hAnsi="Times New Roman" w:cs="Times New Roman"/>
                <w:sz w:val="24"/>
                <w:szCs w:val="24"/>
                <w:lang w:eastAsia="en-GB" w:bidi="bn-IN"/>
              </w:rPr>
              <w:t>2023</w:t>
            </w:r>
          </w:p>
        </w:tc>
        <w:tc>
          <w:tcPr>
            <w:tcW w:w="0" w:type="auto"/>
            <w:hideMark/>
          </w:tcPr>
          <w:p w14:paraId="1BC36EB0" w14:textId="77777777" w:rsidR="00B101A4" w:rsidRPr="00B101A4" w:rsidRDefault="00B101A4" w:rsidP="00B101A4">
            <w:pPr>
              <w:spacing w:after="0" w:line="240" w:lineRule="auto"/>
              <w:rPr>
                <w:rFonts w:ascii="Times New Roman" w:eastAsia="Times New Roman" w:hAnsi="Times New Roman" w:cs="Times New Roman"/>
                <w:sz w:val="24"/>
                <w:szCs w:val="24"/>
                <w:lang w:eastAsia="en-GB" w:bidi="bn-IN"/>
              </w:rPr>
            </w:pPr>
            <w:r w:rsidRPr="00B101A4">
              <w:rPr>
                <w:rFonts w:ascii="Times New Roman" w:eastAsia="Times New Roman" w:hAnsi="Times New Roman" w:cs="Times New Roman"/>
                <w:sz w:val="24"/>
                <w:szCs w:val="24"/>
                <w:lang w:eastAsia="en-GB" w:bidi="bn-IN"/>
              </w:rPr>
              <w:t>0.99</w:t>
            </w:r>
          </w:p>
        </w:tc>
      </w:tr>
      <w:tr w:rsidR="00B101A4" w:rsidRPr="00B101A4" w14:paraId="33E2FFAB" w14:textId="77777777" w:rsidTr="00B101A4">
        <w:tc>
          <w:tcPr>
            <w:tcW w:w="0" w:type="auto"/>
            <w:hideMark/>
          </w:tcPr>
          <w:p w14:paraId="6B29E04A" w14:textId="77777777" w:rsidR="00B101A4" w:rsidRPr="00B101A4" w:rsidRDefault="00B101A4" w:rsidP="00B101A4">
            <w:pPr>
              <w:spacing w:after="0" w:line="240" w:lineRule="auto"/>
              <w:rPr>
                <w:rFonts w:ascii="Times New Roman" w:eastAsia="Times New Roman" w:hAnsi="Times New Roman" w:cs="Times New Roman"/>
                <w:sz w:val="24"/>
                <w:szCs w:val="24"/>
                <w:lang w:eastAsia="en-GB" w:bidi="bn-IN"/>
              </w:rPr>
            </w:pPr>
            <w:r w:rsidRPr="00B101A4">
              <w:rPr>
                <w:rFonts w:ascii="Times New Roman" w:eastAsia="Times New Roman" w:hAnsi="Times New Roman" w:cs="Times New Roman"/>
                <w:sz w:val="24"/>
                <w:szCs w:val="24"/>
                <w:lang w:eastAsia="en-GB" w:bidi="bn-IN"/>
              </w:rPr>
              <w:t>2024</w:t>
            </w:r>
          </w:p>
        </w:tc>
        <w:tc>
          <w:tcPr>
            <w:tcW w:w="0" w:type="auto"/>
            <w:hideMark/>
          </w:tcPr>
          <w:p w14:paraId="408E731D" w14:textId="77777777" w:rsidR="00B101A4" w:rsidRPr="00B101A4" w:rsidRDefault="00B101A4" w:rsidP="00B101A4">
            <w:pPr>
              <w:spacing w:after="0" w:line="240" w:lineRule="auto"/>
              <w:rPr>
                <w:rFonts w:ascii="Times New Roman" w:eastAsia="Times New Roman" w:hAnsi="Times New Roman" w:cs="Times New Roman"/>
                <w:sz w:val="24"/>
                <w:szCs w:val="24"/>
                <w:lang w:eastAsia="en-GB" w:bidi="bn-IN"/>
              </w:rPr>
            </w:pPr>
            <w:r w:rsidRPr="00B101A4">
              <w:rPr>
                <w:rFonts w:ascii="Times New Roman" w:eastAsia="Times New Roman" w:hAnsi="Times New Roman" w:cs="Times New Roman"/>
                <w:sz w:val="24"/>
                <w:szCs w:val="24"/>
                <w:lang w:eastAsia="en-GB" w:bidi="bn-IN"/>
              </w:rPr>
              <w:t>1.11</w:t>
            </w:r>
          </w:p>
        </w:tc>
      </w:tr>
    </w:tbl>
    <w:p w14:paraId="0C57AF59" w14:textId="48AB317F" w:rsidR="00E51711" w:rsidRPr="006C081F" w:rsidRDefault="00E51711" w:rsidP="00674C2E">
      <w:pPr>
        <w:rPr>
          <w:rFonts w:ascii="Arial" w:hAnsi="Arial" w:cs="Arial"/>
          <w:sz w:val="24"/>
          <w:szCs w:val="24"/>
          <w:lang w:eastAsia="en-GB"/>
        </w:rPr>
      </w:pPr>
    </w:p>
    <w:p w14:paraId="50DFAD67" w14:textId="0F071C88" w:rsidR="00E51711" w:rsidRPr="00723F1F" w:rsidRDefault="00B236D7" w:rsidP="00FE7D6B">
      <w:pPr>
        <w:pStyle w:val="Heading2"/>
        <w:rPr>
          <w:lang w:eastAsia="en-GB"/>
        </w:rPr>
      </w:pPr>
      <w:bookmarkStart w:id="22" w:name="_Toc216794686"/>
      <w:r w:rsidRPr="00723F1F">
        <w:rPr>
          <w:lang w:eastAsia="en-GB"/>
        </w:rPr>
        <w:lastRenderedPageBreak/>
        <w:t xml:space="preserve">Appendix C: </w:t>
      </w:r>
      <w:bookmarkEnd w:id="22"/>
      <w:r w:rsidR="005A02FA" w:rsidRPr="005A02FA">
        <w:rPr>
          <w:lang w:eastAsia="en-GB"/>
        </w:rPr>
        <w:t>Investment Appraisal Calculations</w:t>
      </w:r>
    </w:p>
    <w:p w14:paraId="51E75529" w14:textId="77777777" w:rsidR="005A02FA" w:rsidRDefault="00723F1F" w:rsidP="005A02FA">
      <w:pPr>
        <w:rPr>
          <w:rFonts w:ascii="Arial" w:hAnsi="Arial" w:cs="Arial"/>
          <w:b/>
          <w:bCs/>
          <w:sz w:val="24"/>
          <w:szCs w:val="24"/>
          <w:lang w:eastAsia="en-GB"/>
        </w:rPr>
      </w:pPr>
      <w:r w:rsidRPr="006C081F">
        <w:rPr>
          <w:rFonts w:ascii="Arial" w:hAnsi="Arial" w:cs="Arial"/>
          <w:b/>
          <w:bCs/>
          <w:sz w:val="24"/>
          <w:szCs w:val="24"/>
          <w:lang w:eastAsia="en-GB"/>
        </w:rPr>
        <w:t>Table</w:t>
      </w:r>
      <w:r w:rsidRPr="008C28AD">
        <w:rPr>
          <w:rFonts w:ascii="Arial" w:hAnsi="Arial" w:cs="Arial"/>
          <w:b/>
          <w:bCs/>
          <w:sz w:val="24"/>
          <w:szCs w:val="24"/>
          <w:lang w:eastAsia="en-GB"/>
        </w:rPr>
        <w:t xml:space="preserve"> </w:t>
      </w:r>
      <w:r w:rsidR="008C28AD" w:rsidRPr="008C28AD">
        <w:rPr>
          <w:rFonts w:ascii="Arial" w:hAnsi="Arial" w:cs="Arial"/>
          <w:b/>
          <w:bCs/>
          <w:sz w:val="24"/>
          <w:szCs w:val="24"/>
          <w:lang w:eastAsia="en-GB"/>
        </w:rPr>
        <w:t xml:space="preserve">C1. </w:t>
      </w:r>
      <w:r w:rsidR="005A02FA" w:rsidRPr="005A02FA">
        <w:rPr>
          <w:rFonts w:ascii="Arial" w:hAnsi="Arial" w:cs="Arial"/>
          <w:b/>
          <w:bCs/>
          <w:sz w:val="24"/>
          <w:szCs w:val="24"/>
          <w:lang w:eastAsia="en-GB"/>
        </w:rPr>
        <w:t>Project Assumptions</w:t>
      </w:r>
      <w:r w:rsidR="005A02FA" w:rsidRPr="005A02FA">
        <w:rPr>
          <w:rFonts w:ascii="Arial" w:hAnsi="Arial" w:cs="Arial"/>
          <w:b/>
          <w:bCs/>
          <w:sz w:val="24"/>
          <w:szCs w:val="24"/>
          <w:lang w:eastAsia="en-GB"/>
        </w:rPr>
        <w:t xml:space="preserve"> </w:t>
      </w:r>
    </w:p>
    <w:tbl>
      <w:tblPr>
        <w:tblStyle w:val="TableGrid"/>
        <w:tblW w:w="0" w:type="auto"/>
        <w:tblInd w:w="745" w:type="dxa"/>
        <w:tblLook w:val="04A0" w:firstRow="1" w:lastRow="0" w:firstColumn="1" w:lastColumn="0" w:noHBand="0" w:noVBand="1"/>
      </w:tblPr>
      <w:tblGrid>
        <w:gridCol w:w="2043"/>
        <w:gridCol w:w="2102"/>
      </w:tblGrid>
      <w:tr w:rsidR="00A24F25" w:rsidRPr="00A24F25" w14:paraId="07DBFA4B" w14:textId="77777777" w:rsidTr="00A24F25">
        <w:tc>
          <w:tcPr>
            <w:tcW w:w="0" w:type="auto"/>
            <w:hideMark/>
          </w:tcPr>
          <w:p w14:paraId="7023F3EB" w14:textId="77777777" w:rsidR="00A24F25" w:rsidRPr="00A24F25" w:rsidRDefault="00A24F25" w:rsidP="00A24F25">
            <w:pPr>
              <w:spacing w:after="0" w:line="240" w:lineRule="auto"/>
              <w:jc w:val="center"/>
              <w:rPr>
                <w:rFonts w:ascii="Times New Roman" w:eastAsia="Times New Roman" w:hAnsi="Times New Roman" w:cs="Times New Roman"/>
                <w:b/>
                <w:bCs/>
                <w:sz w:val="24"/>
                <w:szCs w:val="24"/>
                <w:lang w:eastAsia="en-GB" w:bidi="bn-IN"/>
              </w:rPr>
            </w:pPr>
            <w:r w:rsidRPr="00A24F25">
              <w:rPr>
                <w:rFonts w:ascii="Times New Roman" w:eastAsia="Times New Roman" w:hAnsi="Times New Roman" w:cs="Times New Roman"/>
                <w:b/>
                <w:bCs/>
                <w:sz w:val="24"/>
                <w:szCs w:val="24"/>
                <w:lang w:eastAsia="en-GB" w:bidi="bn-IN"/>
              </w:rPr>
              <w:t>Item</w:t>
            </w:r>
          </w:p>
        </w:tc>
        <w:tc>
          <w:tcPr>
            <w:tcW w:w="0" w:type="auto"/>
            <w:hideMark/>
          </w:tcPr>
          <w:p w14:paraId="2E518159" w14:textId="77777777" w:rsidR="00A24F25" w:rsidRPr="00A24F25" w:rsidRDefault="00A24F25" w:rsidP="00A24F25">
            <w:pPr>
              <w:spacing w:after="0" w:line="240" w:lineRule="auto"/>
              <w:jc w:val="center"/>
              <w:rPr>
                <w:rFonts w:ascii="Times New Roman" w:eastAsia="Times New Roman" w:hAnsi="Times New Roman" w:cs="Times New Roman"/>
                <w:b/>
                <w:bCs/>
                <w:sz w:val="24"/>
                <w:szCs w:val="24"/>
                <w:lang w:eastAsia="en-GB" w:bidi="bn-IN"/>
              </w:rPr>
            </w:pPr>
            <w:r w:rsidRPr="00A24F25">
              <w:rPr>
                <w:rFonts w:ascii="Times New Roman" w:eastAsia="Times New Roman" w:hAnsi="Times New Roman" w:cs="Times New Roman"/>
                <w:b/>
                <w:bCs/>
                <w:sz w:val="24"/>
                <w:szCs w:val="24"/>
                <w:lang w:eastAsia="en-GB" w:bidi="bn-IN"/>
              </w:rPr>
              <w:t>Value</w:t>
            </w:r>
          </w:p>
        </w:tc>
      </w:tr>
      <w:tr w:rsidR="00A24F25" w:rsidRPr="00A24F25" w14:paraId="13E8EA5E" w14:textId="77777777" w:rsidTr="00A24F25">
        <w:tc>
          <w:tcPr>
            <w:tcW w:w="0" w:type="auto"/>
            <w:hideMark/>
          </w:tcPr>
          <w:p w14:paraId="1D1DC340" w14:textId="77777777" w:rsidR="00A24F25" w:rsidRPr="00A24F25" w:rsidRDefault="00A24F25" w:rsidP="00A24F25">
            <w:pPr>
              <w:spacing w:after="0" w:line="240" w:lineRule="auto"/>
              <w:rPr>
                <w:rFonts w:ascii="Times New Roman" w:eastAsia="Times New Roman" w:hAnsi="Times New Roman" w:cs="Times New Roman"/>
                <w:sz w:val="24"/>
                <w:szCs w:val="24"/>
                <w:lang w:eastAsia="en-GB" w:bidi="bn-IN"/>
              </w:rPr>
            </w:pPr>
            <w:r w:rsidRPr="00A24F25">
              <w:rPr>
                <w:rFonts w:ascii="Times New Roman" w:eastAsia="Times New Roman" w:hAnsi="Times New Roman" w:cs="Times New Roman"/>
                <w:sz w:val="24"/>
                <w:szCs w:val="24"/>
                <w:lang w:eastAsia="en-GB" w:bidi="bn-IN"/>
              </w:rPr>
              <w:t>Initial Investment</w:t>
            </w:r>
          </w:p>
        </w:tc>
        <w:tc>
          <w:tcPr>
            <w:tcW w:w="0" w:type="auto"/>
            <w:hideMark/>
          </w:tcPr>
          <w:p w14:paraId="19D823FA" w14:textId="77777777" w:rsidR="00A24F25" w:rsidRPr="00A24F25" w:rsidRDefault="00A24F25" w:rsidP="00A24F25">
            <w:pPr>
              <w:spacing w:after="0" w:line="240" w:lineRule="auto"/>
              <w:rPr>
                <w:rFonts w:ascii="Times New Roman" w:eastAsia="Times New Roman" w:hAnsi="Times New Roman" w:cs="Times New Roman"/>
                <w:sz w:val="24"/>
                <w:szCs w:val="24"/>
                <w:lang w:eastAsia="en-GB" w:bidi="bn-IN"/>
              </w:rPr>
            </w:pPr>
            <w:r w:rsidRPr="00A24F25">
              <w:rPr>
                <w:rFonts w:ascii="Times New Roman" w:eastAsia="Times New Roman" w:hAnsi="Times New Roman" w:cs="Times New Roman"/>
                <w:sz w:val="24"/>
                <w:szCs w:val="24"/>
                <w:lang w:eastAsia="en-GB" w:bidi="bn-IN"/>
              </w:rPr>
              <w:t>£500,000</w:t>
            </w:r>
          </w:p>
        </w:tc>
      </w:tr>
      <w:tr w:rsidR="00A24F25" w:rsidRPr="00A24F25" w14:paraId="7A72EA9E" w14:textId="77777777" w:rsidTr="00A24F25">
        <w:tc>
          <w:tcPr>
            <w:tcW w:w="0" w:type="auto"/>
            <w:hideMark/>
          </w:tcPr>
          <w:p w14:paraId="6973C2A1" w14:textId="77777777" w:rsidR="00A24F25" w:rsidRPr="00A24F25" w:rsidRDefault="00A24F25" w:rsidP="00A24F25">
            <w:pPr>
              <w:spacing w:after="0" w:line="240" w:lineRule="auto"/>
              <w:rPr>
                <w:rFonts w:ascii="Times New Roman" w:eastAsia="Times New Roman" w:hAnsi="Times New Roman" w:cs="Times New Roman"/>
                <w:sz w:val="24"/>
                <w:szCs w:val="24"/>
                <w:lang w:eastAsia="en-GB" w:bidi="bn-IN"/>
              </w:rPr>
            </w:pPr>
            <w:r w:rsidRPr="00A24F25">
              <w:rPr>
                <w:rFonts w:ascii="Times New Roman" w:eastAsia="Times New Roman" w:hAnsi="Times New Roman" w:cs="Times New Roman"/>
                <w:sz w:val="24"/>
                <w:szCs w:val="24"/>
                <w:lang w:eastAsia="en-GB" w:bidi="bn-IN"/>
              </w:rPr>
              <w:t>Project Life</w:t>
            </w:r>
          </w:p>
        </w:tc>
        <w:tc>
          <w:tcPr>
            <w:tcW w:w="0" w:type="auto"/>
            <w:hideMark/>
          </w:tcPr>
          <w:p w14:paraId="18FE9A52" w14:textId="77777777" w:rsidR="00A24F25" w:rsidRPr="00A24F25" w:rsidRDefault="00A24F25" w:rsidP="00A24F25">
            <w:pPr>
              <w:spacing w:after="0" w:line="240" w:lineRule="auto"/>
              <w:rPr>
                <w:rFonts w:ascii="Times New Roman" w:eastAsia="Times New Roman" w:hAnsi="Times New Roman" w:cs="Times New Roman"/>
                <w:sz w:val="24"/>
                <w:szCs w:val="24"/>
                <w:lang w:eastAsia="en-GB" w:bidi="bn-IN"/>
              </w:rPr>
            </w:pPr>
            <w:r w:rsidRPr="00A24F25">
              <w:rPr>
                <w:rFonts w:ascii="Times New Roman" w:eastAsia="Times New Roman" w:hAnsi="Times New Roman" w:cs="Times New Roman"/>
                <w:sz w:val="24"/>
                <w:szCs w:val="24"/>
                <w:lang w:eastAsia="en-GB" w:bidi="bn-IN"/>
              </w:rPr>
              <w:t>5 Years</w:t>
            </w:r>
          </w:p>
        </w:tc>
      </w:tr>
      <w:tr w:rsidR="00A24F25" w:rsidRPr="00A24F25" w14:paraId="1DE99B5C" w14:textId="77777777" w:rsidTr="00A24F25">
        <w:tc>
          <w:tcPr>
            <w:tcW w:w="0" w:type="auto"/>
            <w:hideMark/>
          </w:tcPr>
          <w:p w14:paraId="259F9D65" w14:textId="77777777" w:rsidR="00A24F25" w:rsidRPr="00A24F25" w:rsidRDefault="00A24F25" w:rsidP="00A24F25">
            <w:pPr>
              <w:spacing w:after="0" w:line="240" w:lineRule="auto"/>
              <w:rPr>
                <w:rFonts w:ascii="Times New Roman" w:eastAsia="Times New Roman" w:hAnsi="Times New Roman" w:cs="Times New Roman"/>
                <w:sz w:val="24"/>
                <w:szCs w:val="24"/>
                <w:lang w:eastAsia="en-GB" w:bidi="bn-IN"/>
              </w:rPr>
            </w:pPr>
            <w:r w:rsidRPr="00A24F25">
              <w:rPr>
                <w:rFonts w:ascii="Times New Roman" w:eastAsia="Times New Roman" w:hAnsi="Times New Roman" w:cs="Times New Roman"/>
                <w:sz w:val="24"/>
                <w:szCs w:val="24"/>
                <w:lang w:eastAsia="en-GB" w:bidi="bn-IN"/>
              </w:rPr>
              <w:t>Cost of Capital</w:t>
            </w:r>
          </w:p>
        </w:tc>
        <w:tc>
          <w:tcPr>
            <w:tcW w:w="0" w:type="auto"/>
            <w:hideMark/>
          </w:tcPr>
          <w:p w14:paraId="7765F80A" w14:textId="77777777" w:rsidR="00A24F25" w:rsidRPr="00A24F25" w:rsidRDefault="00A24F25" w:rsidP="00A24F25">
            <w:pPr>
              <w:spacing w:after="0" w:line="240" w:lineRule="auto"/>
              <w:rPr>
                <w:rFonts w:ascii="Times New Roman" w:eastAsia="Times New Roman" w:hAnsi="Times New Roman" w:cs="Times New Roman"/>
                <w:sz w:val="24"/>
                <w:szCs w:val="24"/>
                <w:lang w:eastAsia="en-GB" w:bidi="bn-IN"/>
              </w:rPr>
            </w:pPr>
            <w:r w:rsidRPr="00A24F25">
              <w:rPr>
                <w:rFonts w:ascii="Times New Roman" w:eastAsia="Times New Roman" w:hAnsi="Times New Roman" w:cs="Times New Roman"/>
                <w:sz w:val="24"/>
                <w:szCs w:val="24"/>
                <w:lang w:eastAsia="en-GB" w:bidi="bn-IN"/>
              </w:rPr>
              <w:t>10%</w:t>
            </w:r>
          </w:p>
        </w:tc>
      </w:tr>
      <w:tr w:rsidR="00A24F25" w:rsidRPr="00A24F25" w14:paraId="0F4DF018" w14:textId="77777777" w:rsidTr="00A24F25">
        <w:tc>
          <w:tcPr>
            <w:tcW w:w="0" w:type="auto"/>
            <w:hideMark/>
          </w:tcPr>
          <w:p w14:paraId="25F9D87D" w14:textId="77777777" w:rsidR="00A24F25" w:rsidRPr="00A24F25" w:rsidRDefault="00A24F25" w:rsidP="00A24F25">
            <w:pPr>
              <w:spacing w:after="0" w:line="240" w:lineRule="auto"/>
              <w:rPr>
                <w:rFonts w:ascii="Times New Roman" w:eastAsia="Times New Roman" w:hAnsi="Times New Roman" w:cs="Times New Roman"/>
                <w:sz w:val="24"/>
                <w:szCs w:val="24"/>
                <w:lang w:eastAsia="en-GB" w:bidi="bn-IN"/>
              </w:rPr>
            </w:pPr>
            <w:r w:rsidRPr="00A24F25">
              <w:rPr>
                <w:rFonts w:ascii="Times New Roman" w:eastAsia="Times New Roman" w:hAnsi="Times New Roman" w:cs="Times New Roman"/>
                <w:sz w:val="24"/>
                <w:szCs w:val="24"/>
                <w:lang w:eastAsia="en-GB" w:bidi="bn-IN"/>
              </w:rPr>
              <w:t>Cash Flow Growth</w:t>
            </w:r>
          </w:p>
        </w:tc>
        <w:tc>
          <w:tcPr>
            <w:tcW w:w="0" w:type="auto"/>
            <w:hideMark/>
          </w:tcPr>
          <w:p w14:paraId="7CF2F27F" w14:textId="77777777" w:rsidR="00A24F25" w:rsidRPr="00A24F25" w:rsidRDefault="00A24F25" w:rsidP="00A24F25">
            <w:pPr>
              <w:spacing w:after="0" w:line="240" w:lineRule="auto"/>
              <w:rPr>
                <w:rFonts w:ascii="Times New Roman" w:eastAsia="Times New Roman" w:hAnsi="Times New Roman" w:cs="Times New Roman"/>
                <w:sz w:val="24"/>
                <w:szCs w:val="24"/>
                <w:lang w:eastAsia="en-GB" w:bidi="bn-IN"/>
              </w:rPr>
            </w:pPr>
            <w:r w:rsidRPr="00A24F25">
              <w:rPr>
                <w:rFonts w:ascii="Times New Roman" w:eastAsia="Times New Roman" w:hAnsi="Times New Roman" w:cs="Times New Roman"/>
                <w:sz w:val="24"/>
                <w:szCs w:val="24"/>
                <w:lang w:eastAsia="en-GB" w:bidi="bn-IN"/>
              </w:rPr>
              <w:t>Increasing annually</w:t>
            </w:r>
          </w:p>
        </w:tc>
      </w:tr>
    </w:tbl>
    <w:p w14:paraId="4361095F" w14:textId="77777777" w:rsidR="005A02FA" w:rsidRDefault="005A02FA" w:rsidP="00FE7D6B">
      <w:pPr>
        <w:rPr>
          <w:rFonts w:ascii="Arial" w:hAnsi="Arial" w:cs="Arial"/>
          <w:sz w:val="24"/>
          <w:szCs w:val="24"/>
          <w:lang w:eastAsia="en-GB"/>
        </w:rPr>
      </w:pPr>
    </w:p>
    <w:tbl>
      <w:tblPr>
        <w:tblStyle w:val="TableGrid"/>
        <w:tblpPr w:leftFromText="180" w:rightFromText="180" w:vertAnchor="text" w:horzAnchor="page" w:tblpX="2081" w:tblpY="486"/>
        <w:tblW w:w="0" w:type="auto"/>
        <w:tblLook w:val="04A0" w:firstRow="1" w:lastRow="0" w:firstColumn="1" w:lastColumn="0" w:noHBand="0" w:noVBand="1"/>
      </w:tblPr>
      <w:tblGrid>
        <w:gridCol w:w="723"/>
        <w:gridCol w:w="1643"/>
        <w:gridCol w:w="2563"/>
        <w:gridCol w:w="1989"/>
      </w:tblGrid>
      <w:tr w:rsidR="001E50E6" w:rsidRPr="001E50E6" w14:paraId="5E7D3EDC" w14:textId="77777777" w:rsidTr="001E50E6">
        <w:tc>
          <w:tcPr>
            <w:tcW w:w="0" w:type="auto"/>
            <w:hideMark/>
          </w:tcPr>
          <w:p w14:paraId="1D421049" w14:textId="77777777" w:rsidR="001E50E6" w:rsidRPr="001E50E6" w:rsidRDefault="001E50E6" w:rsidP="001E50E6">
            <w:pPr>
              <w:spacing w:after="0" w:line="240" w:lineRule="auto"/>
              <w:jc w:val="center"/>
              <w:rPr>
                <w:rFonts w:ascii="Times New Roman" w:eastAsia="Times New Roman" w:hAnsi="Times New Roman" w:cs="Times New Roman"/>
                <w:b/>
                <w:bCs/>
                <w:sz w:val="24"/>
                <w:szCs w:val="24"/>
                <w:lang w:eastAsia="en-GB" w:bidi="bn-IN"/>
              </w:rPr>
            </w:pPr>
            <w:r w:rsidRPr="001E50E6">
              <w:rPr>
                <w:rFonts w:ascii="Times New Roman" w:eastAsia="Times New Roman" w:hAnsi="Times New Roman" w:cs="Times New Roman"/>
                <w:b/>
                <w:bCs/>
                <w:sz w:val="24"/>
                <w:szCs w:val="24"/>
                <w:lang w:eastAsia="en-GB" w:bidi="bn-IN"/>
              </w:rPr>
              <w:t>Year</w:t>
            </w:r>
          </w:p>
        </w:tc>
        <w:tc>
          <w:tcPr>
            <w:tcW w:w="0" w:type="auto"/>
            <w:hideMark/>
          </w:tcPr>
          <w:p w14:paraId="0A7770C7" w14:textId="77777777" w:rsidR="001E50E6" w:rsidRPr="001E50E6" w:rsidRDefault="001E50E6" w:rsidP="001E50E6">
            <w:pPr>
              <w:spacing w:after="0" w:line="240" w:lineRule="auto"/>
              <w:jc w:val="center"/>
              <w:rPr>
                <w:rFonts w:ascii="Times New Roman" w:eastAsia="Times New Roman" w:hAnsi="Times New Roman" w:cs="Times New Roman"/>
                <w:b/>
                <w:bCs/>
                <w:sz w:val="24"/>
                <w:szCs w:val="24"/>
                <w:lang w:eastAsia="en-GB" w:bidi="bn-IN"/>
              </w:rPr>
            </w:pPr>
            <w:r w:rsidRPr="001E50E6">
              <w:rPr>
                <w:rFonts w:ascii="Times New Roman" w:eastAsia="Times New Roman" w:hAnsi="Times New Roman" w:cs="Times New Roman"/>
                <w:b/>
                <w:bCs/>
                <w:sz w:val="24"/>
                <w:szCs w:val="24"/>
                <w:lang w:eastAsia="en-GB" w:bidi="bn-IN"/>
              </w:rPr>
              <w:t>Cash Flow (£)</w:t>
            </w:r>
          </w:p>
        </w:tc>
        <w:tc>
          <w:tcPr>
            <w:tcW w:w="0" w:type="auto"/>
            <w:hideMark/>
          </w:tcPr>
          <w:p w14:paraId="232E34DF" w14:textId="77777777" w:rsidR="001E50E6" w:rsidRPr="001E50E6" w:rsidRDefault="001E50E6" w:rsidP="001E50E6">
            <w:pPr>
              <w:spacing w:after="0" w:line="240" w:lineRule="auto"/>
              <w:jc w:val="center"/>
              <w:rPr>
                <w:rFonts w:ascii="Times New Roman" w:eastAsia="Times New Roman" w:hAnsi="Times New Roman" w:cs="Times New Roman"/>
                <w:b/>
                <w:bCs/>
                <w:sz w:val="24"/>
                <w:szCs w:val="24"/>
                <w:lang w:eastAsia="en-GB" w:bidi="bn-IN"/>
              </w:rPr>
            </w:pPr>
            <w:r w:rsidRPr="001E50E6">
              <w:rPr>
                <w:rFonts w:ascii="Times New Roman" w:eastAsia="Times New Roman" w:hAnsi="Times New Roman" w:cs="Times New Roman"/>
                <w:b/>
                <w:bCs/>
                <w:sz w:val="24"/>
                <w:szCs w:val="24"/>
                <w:lang w:eastAsia="en-GB" w:bidi="bn-IN"/>
              </w:rPr>
              <w:t>Discount Factor (10%)</w:t>
            </w:r>
          </w:p>
        </w:tc>
        <w:tc>
          <w:tcPr>
            <w:tcW w:w="0" w:type="auto"/>
            <w:hideMark/>
          </w:tcPr>
          <w:p w14:paraId="3EAF19CA" w14:textId="77777777" w:rsidR="001E50E6" w:rsidRPr="001E50E6" w:rsidRDefault="001E50E6" w:rsidP="001E50E6">
            <w:pPr>
              <w:spacing w:after="0" w:line="240" w:lineRule="auto"/>
              <w:jc w:val="center"/>
              <w:rPr>
                <w:rFonts w:ascii="Times New Roman" w:eastAsia="Times New Roman" w:hAnsi="Times New Roman" w:cs="Times New Roman"/>
                <w:b/>
                <w:bCs/>
                <w:sz w:val="24"/>
                <w:szCs w:val="24"/>
                <w:lang w:eastAsia="en-GB" w:bidi="bn-IN"/>
              </w:rPr>
            </w:pPr>
            <w:r w:rsidRPr="001E50E6">
              <w:rPr>
                <w:rFonts w:ascii="Times New Roman" w:eastAsia="Times New Roman" w:hAnsi="Times New Roman" w:cs="Times New Roman"/>
                <w:b/>
                <w:bCs/>
                <w:sz w:val="24"/>
                <w:szCs w:val="24"/>
                <w:lang w:eastAsia="en-GB" w:bidi="bn-IN"/>
              </w:rPr>
              <w:t>Present Value (£)</w:t>
            </w:r>
          </w:p>
        </w:tc>
      </w:tr>
      <w:tr w:rsidR="001E50E6" w:rsidRPr="001E50E6" w14:paraId="6A16467D" w14:textId="77777777" w:rsidTr="001E50E6">
        <w:tc>
          <w:tcPr>
            <w:tcW w:w="0" w:type="auto"/>
            <w:hideMark/>
          </w:tcPr>
          <w:p w14:paraId="05E16E05"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0</w:t>
            </w:r>
          </w:p>
        </w:tc>
        <w:tc>
          <w:tcPr>
            <w:tcW w:w="0" w:type="auto"/>
            <w:hideMark/>
          </w:tcPr>
          <w:p w14:paraId="34465F1A"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-500,000</w:t>
            </w:r>
          </w:p>
        </w:tc>
        <w:tc>
          <w:tcPr>
            <w:tcW w:w="0" w:type="auto"/>
            <w:hideMark/>
          </w:tcPr>
          <w:p w14:paraId="0ABB4583"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1.000</w:t>
            </w:r>
          </w:p>
        </w:tc>
        <w:tc>
          <w:tcPr>
            <w:tcW w:w="0" w:type="auto"/>
            <w:hideMark/>
          </w:tcPr>
          <w:p w14:paraId="4D6656A1"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-500,000</w:t>
            </w:r>
          </w:p>
        </w:tc>
      </w:tr>
      <w:tr w:rsidR="001E50E6" w:rsidRPr="001E50E6" w14:paraId="527003DE" w14:textId="77777777" w:rsidTr="001E50E6">
        <w:tc>
          <w:tcPr>
            <w:tcW w:w="0" w:type="auto"/>
            <w:hideMark/>
          </w:tcPr>
          <w:p w14:paraId="739B07BE"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1</w:t>
            </w:r>
          </w:p>
        </w:tc>
        <w:tc>
          <w:tcPr>
            <w:tcW w:w="0" w:type="auto"/>
            <w:hideMark/>
          </w:tcPr>
          <w:p w14:paraId="1D84F82A"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120,000</w:t>
            </w:r>
          </w:p>
        </w:tc>
        <w:tc>
          <w:tcPr>
            <w:tcW w:w="0" w:type="auto"/>
            <w:hideMark/>
          </w:tcPr>
          <w:p w14:paraId="11312BB7"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0.909</w:t>
            </w:r>
          </w:p>
        </w:tc>
        <w:tc>
          <w:tcPr>
            <w:tcW w:w="0" w:type="auto"/>
            <w:hideMark/>
          </w:tcPr>
          <w:p w14:paraId="2666D7C2"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109,080</w:t>
            </w:r>
          </w:p>
        </w:tc>
      </w:tr>
      <w:tr w:rsidR="001E50E6" w:rsidRPr="001E50E6" w14:paraId="7C25F109" w14:textId="77777777" w:rsidTr="001E50E6">
        <w:tc>
          <w:tcPr>
            <w:tcW w:w="0" w:type="auto"/>
            <w:hideMark/>
          </w:tcPr>
          <w:p w14:paraId="2E51460C"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2</w:t>
            </w:r>
          </w:p>
        </w:tc>
        <w:tc>
          <w:tcPr>
            <w:tcW w:w="0" w:type="auto"/>
            <w:hideMark/>
          </w:tcPr>
          <w:p w14:paraId="7EF9117F"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140,000</w:t>
            </w:r>
          </w:p>
        </w:tc>
        <w:tc>
          <w:tcPr>
            <w:tcW w:w="0" w:type="auto"/>
            <w:hideMark/>
          </w:tcPr>
          <w:p w14:paraId="34213EDB"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0.826</w:t>
            </w:r>
          </w:p>
        </w:tc>
        <w:tc>
          <w:tcPr>
            <w:tcW w:w="0" w:type="auto"/>
            <w:hideMark/>
          </w:tcPr>
          <w:p w14:paraId="7A752C00"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115,640</w:t>
            </w:r>
          </w:p>
        </w:tc>
      </w:tr>
      <w:tr w:rsidR="001E50E6" w:rsidRPr="001E50E6" w14:paraId="3E1DAF07" w14:textId="77777777" w:rsidTr="001E50E6">
        <w:tc>
          <w:tcPr>
            <w:tcW w:w="0" w:type="auto"/>
            <w:hideMark/>
          </w:tcPr>
          <w:p w14:paraId="569CDBFB"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3</w:t>
            </w:r>
          </w:p>
        </w:tc>
        <w:tc>
          <w:tcPr>
            <w:tcW w:w="0" w:type="auto"/>
            <w:hideMark/>
          </w:tcPr>
          <w:p w14:paraId="5AB013CF"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160,000</w:t>
            </w:r>
          </w:p>
        </w:tc>
        <w:tc>
          <w:tcPr>
            <w:tcW w:w="0" w:type="auto"/>
            <w:hideMark/>
          </w:tcPr>
          <w:p w14:paraId="2FF4CE0F"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0.751</w:t>
            </w:r>
          </w:p>
        </w:tc>
        <w:tc>
          <w:tcPr>
            <w:tcW w:w="0" w:type="auto"/>
            <w:hideMark/>
          </w:tcPr>
          <w:p w14:paraId="5D91D177"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120,160</w:t>
            </w:r>
          </w:p>
        </w:tc>
      </w:tr>
      <w:tr w:rsidR="001E50E6" w:rsidRPr="001E50E6" w14:paraId="50AEC8FF" w14:textId="77777777" w:rsidTr="001E50E6">
        <w:tc>
          <w:tcPr>
            <w:tcW w:w="0" w:type="auto"/>
            <w:hideMark/>
          </w:tcPr>
          <w:p w14:paraId="13D06F7F"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4</w:t>
            </w:r>
          </w:p>
        </w:tc>
        <w:tc>
          <w:tcPr>
            <w:tcW w:w="0" w:type="auto"/>
            <w:hideMark/>
          </w:tcPr>
          <w:p w14:paraId="3E520758"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180,000</w:t>
            </w:r>
          </w:p>
        </w:tc>
        <w:tc>
          <w:tcPr>
            <w:tcW w:w="0" w:type="auto"/>
            <w:hideMark/>
          </w:tcPr>
          <w:p w14:paraId="6BF09B40"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0.683</w:t>
            </w:r>
          </w:p>
        </w:tc>
        <w:tc>
          <w:tcPr>
            <w:tcW w:w="0" w:type="auto"/>
            <w:hideMark/>
          </w:tcPr>
          <w:p w14:paraId="0880CFC1"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122,940</w:t>
            </w:r>
          </w:p>
        </w:tc>
      </w:tr>
      <w:tr w:rsidR="001E50E6" w:rsidRPr="001E50E6" w14:paraId="385C5AD9" w14:textId="77777777" w:rsidTr="001E50E6">
        <w:tc>
          <w:tcPr>
            <w:tcW w:w="0" w:type="auto"/>
            <w:hideMark/>
          </w:tcPr>
          <w:p w14:paraId="5C61CD14"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5</w:t>
            </w:r>
          </w:p>
        </w:tc>
        <w:tc>
          <w:tcPr>
            <w:tcW w:w="0" w:type="auto"/>
            <w:hideMark/>
          </w:tcPr>
          <w:p w14:paraId="2F056E6E"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200,000</w:t>
            </w:r>
          </w:p>
        </w:tc>
        <w:tc>
          <w:tcPr>
            <w:tcW w:w="0" w:type="auto"/>
            <w:hideMark/>
          </w:tcPr>
          <w:p w14:paraId="7E6A3697"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0.621</w:t>
            </w:r>
          </w:p>
        </w:tc>
        <w:tc>
          <w:tcPr>
            <w:tcW w:w="0" w:type="auto"/>
            <w:hideMark/>
          </w:tcPr>
          <w:p w14:paraId="4BBD4DBE" w14:textId="77777777" w:rsidR="001E50E6" w:rsidRPr="001E50E6" w:rsidRDefault="001E50E6" w:rsidP="001E50E6">
            <w:pPr>
              <w:spacing w:after="0" w:line="240" w:lineRule="auto"/>
              <w:rPr>
                <w:rFonts w:ascii="Times New Roman" w:eastAsia="Times New Roman" w:hAnsi="Times New Roman" w:cs="Times New Roman"/>
                <w:sz w:val="24"/>
                <w:szCs w:val="24"/>
                <w:lang w:eastAsia="en-GB" w:bidi="bn-IN"/>
              </w:rPr>
            </w:pPr>
            <w:r w:rsidRPr="001E50E6">
              <w:rPr>
                <w:rFonts w:ascii="Times New Roman" w:eastAsia="Times New Roman" w:hAnsi="Times New Roman" w:cs="Times New Roman"/>
                <w:sz w:val="24"/>
                <w:szCs w:val="24"/>
                <w:lang w:eastAsia="en-GB" w:bidi="bn-IN"/>
              </w:rPr>
              <w:t>124,200</w:t>
            </w:r>
          </w:p>
        </w:tc>
      </w:tr>
    </w:tbl>
    <w:p w14:paraId="3C5FFC35" w14:textId="4A161517" w:rsidR="008C28AD" w:rsidRDefault="001E50E6" w:rsidP="00FE7D6B">
      <w:pPr>
        <w:rPr>
          <w:rFonts w:ascii="Arial" w:hAnsi="Arial" w:cs="Arial"/>
          <w:b/>
          <w:bCs/>
          <w:sz w:val="26"/>
          <w:szCs w:val="26"/>
        </w:rPr>
      </w:pPr>
      <w:r w:rsidRPr="00FE7D6B">
        <w:rPr>
          <w:rFonts w:ascii="Arial" w:hAnsi="Arial" w:cs="Arial"/>
          <w:b/>
          <w:bCs/>
          <w:sz w:val="26"/>
          <w:szCs w:val="26"/>
          <w:lang w:eastAsia="en-GB"/>
        </w:rPr>
        <w:t xml:space="preserve"> </w:t>
      </w:r>
      <w:r w:rsidR="00723F1F" w:rsidRPr="00FE7D6B">
        <w:rPr>
          <w:rFonts w:ascii="Arial" w:hAnsi="Arial" w:cs="Arial"/>
          <w:b/>
          <w:bCs/>
          <w:sz w:val="26"/>
          <w:szCs w:val="26"/>
          <w:lang w:eastAsia="en-GB"/>
        </w:rPr>
        <w:t>Table</w:t>
      </w:r>
      <w:r w:rsidR="00723F1F" w:rsidRPr="00FE7D6B">
        <w:rPr>
          <w:rStyle w:val="Strong"/>
          <w:rFonts w:ascii="Arial" w:hAnsi="Arial" w:cs="Arial"/>
          <w:b w:val="0"/>
          <w:bCs w:val="0"/>
          <w:sz w:val="26"/>
          <w:szCs w:val="26"/>
        </w:rPr>
        <w:t xml:space="preserve"> </w:t>
      </w:r>
      <w:r w:rsidR="008C28AD" w:rsidRPr="00FE7D6B">
        <w:rPr>
          <w:rStyle w:val="Strong"/>
          <w:rFonts w:ascii="Arial" w:hAnsi="Arial" w:cs="Arial"/>
          <w:sz w:val="26"/>
          <w:szCs w:val="26"/>
        </w:rPr>
        <w:t xml:space="preserve">C2. </w:t>
      </w:r>
      <w:r w:rsidR="007A20A2" w:rsidRPr="007A20A2">
        <w:rPr>
          <w:rFonts w:ascii="Arial" w:hAnsi="Arial" w:cs="Arial"/>
          <w:b/>
          <w:bCs/>
          <w:sz w:val="26"/>
          <w:szCs w:val="26"/>
        </w:rPr>
        <w:t>Cash Flow Table</w:t>
      </w:r>
    </w:p>
    <w:p w14:paraId="0DD1564D" w14:textId="77777777" w:rsidR="007A20A2" w:rsidRPr="007A20A2" w:rsidRDefault="007A20A2" w:rsidP="00FE7D6B">
      <w:pPr>
        <w:rPr>
          <w:rFonts w:ascii="Arial" w:hAnsi="Arial" w:cs="Arial"/>
          <w:sz w:val="26"/>
          <w:szCs w:val="26"/>
        </w:rPr>
      </w:pPr>
    </w:p>
    <w:p w14:paraId="1C3C37CC" w14:textId="77777777" w:rsidR="007A20A2" w:rsidRPr="00FE7D6B" w:rsidRDefault="007A20A2" w:rsidP="00FE7D6B">
      <w:pPr>
        <w:rPr>
          <w:rFonts w:ascii="Arial" w:hAnsi="Arial" w:cs="Arial"/>
          <w:sz w:val="26"/>
          <w:szCs w:val="26"/>
        </w:rPr>
      </w:pPr>
    </w:p>
    <w:p w14:paraId="495B4542" w14:textId="4626A551" w:rsidR="008C28AD" w:rsidRDefault="008C28AD" w:rsidP="008C28AD"/>
    <w:p w14:paraId="4C1F5CC7" w14:textId="77777777" w:rsidR="00A0194E" w:rsidRDefault="00A0194E" w:rsidP="00674C2E">
      <w:pPr>
        <w:rPr>
          <w:rFonts w:ascii="Arial" w:hAnsi="Arial" w:cs="Arial"/>
          <w:b/>
          <w:bCs/>
          <w:sz w:val="26"/>
          <w:szCs w:val="26"/>
          <w:lang w:eastAsia="en-GB"/>
        </w:rPr>
      </w:pPr>
    </w:p>
    <w:p w14:paraId="15C7E4F5" w14:textId="5270CAC2" w:rsidR="00B236D7" w:rsidRPr="00723F1F" w:rsidRDefault="00723F1F" w:rsidP="00674C2E">
      <w:pPr>
        <w:rPr>
          <w:rFonts w:ascii="Arial" w:hAnsi="Arial" w:cs="Arial"/>
          <w:b/>
          <w:bCs/>
          <w:sz w:val="26"/>
          <w:szCs w:val="26"/>
          <w:lang w:eastAsia="en-GB"/>
        </w:rPr>
      </w:pPr>
      <w:r w:rsidRPr="00723F1F">
        <w:rPr>
          <w:rFonts w:ascii="Arial" w:hAnsi="Arial" w:cs="Arial"/>
          <w:b/>
          <w:bCs/>
          <w:sz w:val="26"/>
          <w:szCs w:val="26"/>
          <w:lang w:eastAsia="en-GB"/>
        </w:rPr>
        <w:t xml:space="preserve">Table </w:t>
      </w:r>
      <w:r w:rsidR="0039099D" w:rsidRPr="00723F1F">
        <w:rPr>
          <w:rFonts w:ascii="Arial" w:hAnsi="Arial" w:cs="Arial"/>
          <w:b/>
          <w:bCs/>
          <w:sz w:val="26"/>
          <w:szCs w:val="26"/>
          <w:lang w:eastAsia="en-GB"/>
        </w:rPr>
        <w:t xml:space="preserve">C3. </w:t>
      </w:r>
      <w:r w:rsidR="001E50E6" w:rsidRPr="001E50E6">
        <w:rPr>
          <w:rFonts w:ascii="Arial" w:hAnsi="Arial" w:cs="Arial"/>
          <w:b/>
          <w:bCs/>
          <w:sz w:val="26"/>
          <w:szCs w:val="26"/>
          <w:lang w:eastAsia="en-GB"/>
        </w:rPr>
        <w:t>Net Present Value (NPV)</w:t>
      </w:r>
    </w:p>
    <w:p w14:paraId="463B7E4C" w14:textId="3DC235F6" w:rsidR="00AD7627" w:rsidRDefault="00AD7627" w:rsidP="00AD7627">
      <w:pPr>
        <w:jc w:val="center"/>
        <w:rPr>
          <w:rFonts w:ascii="Arial" w:eastAsiaTheme="minorEastAsia" w:hAnsi="Arial" w:cs="Arial"/>
          <w:b/>
          <w:bCs/>
          <w:sz w:val="24"/>
          <w:szCs w:val="24"/>
          <w:lang w:eastAsia="en-GB"/>
        </w:rPr>
      </w:pPr>
      <w:r w:rsidRPr="00AD7627">
        <w:rPr>
          <w:rFonts w:ascii="Arial" w:eastAsiaTheme="minorEastAsia" w:hAnsi="Arial" w:cs="Arial"/>
          <w:b/>
          <w:bCs/>
          <w:sz w:val="24"/>
          <w:szCs w:val="24"/>
          <w:lang w:eastAsia="en-GB"/>
        </w:rPr>
        <w:t>NPV=∑PV−Initial</w:t>
      </w:r>
      <w:r>
        <w:rPr>
          <w:rFonts w:ascii="Arial" w:eastAsiaTheme="minorEastAsia" w:hAnsi="Arial" w:cs="Arial"/>
          <w:b/>
          <w:bCs/>
          <w:sz w:val="24"/>
          <w:szCs w:val="24"/>
          <w:lang w:eastAsia="en-GB"/>
        </w:rPr>
        <w:t xml:space="preserve"> </w:t>
      </w:r>
      <w:r w:rsidRPr="00AD7627">
        <w:rPr>
          <w:rFonts w:ascii="Arial" w:eastAsiaTheme="minorEastAsia" w:hAnsi="Arial" w:cs="Arial"/>
          <w:b/>
          <w:bCs/>
          <w:sz w:val="24"/>
          <w:szCs w:val="24"/>
          <w:lang w:eastAsia="en-GB"/>
        </w:rPr>
        <w:t>Investment</w:t>
      </w:r>
    </w:p>
    <w:p w14:paraId="437005B2" w14:textId="3340564C" w:rsidR="00AD7627" w:rsidRPr="00AD7627" w:rsidRDefault="00AD7627" w:rsidP="00AD7627">
      <w:pPr>
        <w:rPr>
          <w:rFonts w:ascii="Arial" w:hAnsi="Arial" w:cs="Arial"/>
          <w:b/>
          <w:bCs/>
          <w:sz w:val="24"/>
          <w:szCs w:val="24"/>
          <w:lang w:eastAsia="en-GB"/>
        </w:rPr>
      </w:pPr>
      <m:oMathPara>
        <m:oMath>
          <m:r>
            <m:rPr>
              <m:sty m:val="bi"/>
            </m:rPr>
            <w:rPr>
              <w:rFonts w:ascii="Cambria Math" w:hAnsi="Cambria Math" w:cs="Arial"/>
              <w:sz w:val="24"/>
              <w:szCs w:val="24"/>
              <w:lang w:eastAsia="en-GB"/>
            </w:rPr>
            <m:t>NPV=</m:t>
          </m:r>
          <m:r>
            <m:rPr>
              <m:sty m:val="b"/>
            </m:rPr>
            <w:rPr>
              <w:rFonts w:ascii="Cambria Math" w:hAnsi="Cambria Math" w:cs="Arial"/>
              <w:sz w:val="24"/>
              <w:szCs w:val="24"/>
              <w:lang w:eastAsia="en-GB"/>
            </w:rPr>
            <m:t>£</m:t>
          </m:r>
          <m:r>
            <m:rPr>
              <m:sty m:val="bi"/>
            </m:rPr>
            <w:rPr>
              <w:rFonts w:ascii="Cambria Math" w:hAnsi="Cambria Math" w:cs="Arial"/>
              <w:sz w:val="24"/>
              <w:szCs w:val="24"/>
              <w:lang w:eastAsia="en-GB"/>
            </w:rPr>
            <m:t>592,020-</m:t>
          </m:r>
          <m:r>
            <m:rPr>
              <m:sty m:val="b"/>
            </m:rPr>
            <w:rPr>
              <w:rFonts w:ascii="Cambria Math" w:hAnsi="Cambria Math" w:cs="Arial"/>
              <w:sz w:val="24"/>
              <w:szCs w:val="24"/>
              <w:lang w:eastAsia="en-GB"/>
            </w:rPr>
            <m:t>£</m:t>
          </m:r>
          <m:r>
            <m:rPr>
              <m:sty m:val="bi"/>
            </m:rPr>
            <w:rPr>
              <w:rFonts w:ascii="Cambria Math" w:hAnsi="Cambria Math" w:cs="Arial"/>
              <w:sz w:val="24"/>
              <w:szCs w:val="24"/>
              <w:lang w:eastAsia="en-GB"/>
            </w:rPr>
            <m:t>500,000=</m:t>
          </m:r>
          <m:r>
            <m:rPr>
              <m:nor/>
            </m:rPr>
            <w:rPr>
              <w:rFonts w:ascii="Arial" w:hAnsi="Arial" w:cs="Arial"/>
              <w:b/>
              <w:bCs/>
              <w:sz w:val="24"/>
              <w:szCs w:val="24"/>
              <w:lang w:eastAsia="en-GB"/>
            </w:rPr>
            <m:t>+£92,020</m:t>
          </m:r>
          <m:r>
            <w:rPr>
              <w:rFonts w:ascii="Arial" w:hAnsi="Arial" w:cs="Arial"/>
              <w:b/>
              <w:bCs/>
              <w:sz w:val="24"/>
              <w:szCs w:val="24"/>
              <w:lang w:eastAsia="en-GB"/>
            </w:rPr>
            <w:br/>
          </m:r>
        </m:oMath>
      </m:oMathPara>
    </w:p>
    <w:p w14:paraId="3F4EBC83" w14:textId="5D767CFB" w:rsidR="00723F1F" w:rsidRPr="00F2169A" w:rsidRDefault="00AD7627" w:rsidP="00723F1F">
      <w:pPr>
        <w:rPr>
          <w:rFonts w:ascii="Arial" w:hAnsi="Arial" w:cs="Arial"/>
          <w:sz w:val="24"/>
          <w:szCs w:val="24"/>
          <w:lang w:eastAsia="en-GB"/>
        </w:rPr>
      </w:pPr>
      <w:r w:rsidRPr="00AD7627">
        <w:rPr>
          <w:rFonts w:ascii="Arial" w:hAnsi="Arial" w:cs="Arial"/>
          <w:b/>
          <w:bCs/>
          <w:sz w:val="24"/>
          <w:szCs w:val="24"/>
          <w:lang w:eastAsia="en-GB"/>
        </w:rPr>
        <w:t xml:space="preserve">Decision Rule: </w:t>
      </w:r>
      <w:r w:rsidRPr="00AD7627">
        <w:rPr>
          <w:rFonts w:ascii="Arial" w:hAnsi="Arial" w:cs="Arial"/>
          <w:sz w:val="24"/>
          <w:szCs w:val="24"/>
          <w:lang w:eastAsia="en-GB"/>
        </w:rPr>
        <w:t>Accept the project (NPV &gt; 0).</w:t>
      </w:r>
    </w:p>
    <w:p w14:paraId="5BA0385D" w14:textId="586895FC" w:rsidR="00723F1F" w:rsidRPr="00723F1F" w:rsidRDefault="00723F1F" w:rsidP="00723F1F">
      <w:pPr>
        <w:rPr>
          <w:rFonts w:ascii="Arial" w:hAnsi="Arial" w:cs="Arial"/>
          <w:sz w:val="24"/>
          <w:szCs w:val="24"/>
          <w:lang w:eastAsia="en-GB"/>
        </w:rPr>
      </w:pPr>
      <w:r w:rsidRPr="00723F1F">
        <w:rPr>
          <w:rFonts w:ascii="Arial" w:hAnsi="Arial" w:cs="Arial"/>
          <w:b/>
          <w:bCs/>
          <w:sz w:val="24"/>
          <w:szCs w:val="24"/>
          <w:lang w:eastAsia="en-GB"/>
        </w:rPr>
        <w:t>Payback Period:</w:t>
      </w:r>
      <w:r w:rsidRPr="00723F1F">
        <w:rPr>
          <w:rFonts w:ascii="Arial" w:hAnsi="Arial" w:cs="Arial"/>
          <w:sz w:val="24"/>
          <w:szCs w:val="24"/>
          <w:lang w:eastAsia="en-GB"/>
        </w:rPr>
        <w:t xml:space="preserve"> Between Year 3 and Year 4 (~3.4 years)</w:t>
      </w:r>
    </w:p>
    <w:p w14:paraId="36B75729" w14:textId="0FA4B7D3" w:rsidR="0039099D" w:rsidRPr="00A85198" w:rsidRDefault="00F2169A" w:rsidP="00674C2E">
      <w:pPr>
        <w:rPr>
          <w:rFonts w:ascii="Arial" w:hAnsi="Arial" w:cs="Arial"/>
          <w:b/>
          <w:bCs/>
          <w:sz w:val="28"/>
          <w:szCs w:val="28"/>
          <w:lang w:eastAsia="en-GB"/>
        </w:rPr>
      </w:pPr>
      <w:r w:rsidRPr="00723F1F">
        <w:rPr>
          <w:rFonts w:ascii="Arial" w:hAnsi="Arial" w:cs="Arial"/>
          <w:b/>
          <w:bCs/>
          <w:sz w:val="26"/>
          <w:szCs w:val="26"/>
          <w:lang w:eastAsia="en-GB"/>
        </w:rPr>
        <w:t>Table C</w:t>
      </w:r>
      <w:r>
        <w:rPr>
          <w:rFonts w:ascii="Arial" w:hAnsi="Arial" w:cs="Arial"/>
          <w:b/>
          <w:bCs/>
          <w:sz w:val="26"/>
          <w:szCs w:val="26"/>
          <w:lang w:eastAsia="en-GB"/>
        </w:rPr>
        <w:t>4</w:t>
      </w:r>
      <w:r w:rsidRPr="00723F1F">
        <w:rPr>
          <w:rFonts w:ascii="Arial" w:hAnsi="Arial" w:cs="Arial"/>
          <w:b/>
          <w:bCs/>
          <w:sz w:val="26"/>
          <w:szCs w:val="26"/>
          <w:lang w:eastAsia="en-GB"/>
        </w:rPr>
        <w:t>.</w:t>
      </w:r>
      <w:r>
        <w:rPr>
          <w:rFonts w:ascii="Arial" w:hAnsi="Arial" w:cs="Arial"/>
          <w:b/>
          <w:bCs/>
          <w:sz w:val="26"/>
          <w:szCs w:val="26"/>
          <w:lang w:eastAsia="en-GB"/>
        </w:rPr>
        <w:t xml:space="preserve"> </w:t>
      </w:r>
      <w:r w:rsidRPr="00A85198">
        <w:rPr>
          <w:rFonts w:ascii="Arial" w:hAnsi="Arial" w:cs="Arial"/>
          <w:b/>
          <w:bCs/>
          <w:sz w:val="28"/>
          <w:szCs w:val="28"/>
          <w:lang w:eastAsia="en-GB"/>
        </w:rPr>
        <w:t>Payback Period</w:t>
      </w:r>
    </w:p>
    <w:tbl>
      <w:tblPr>
        <w:tblStyle w:val="TableGrid"/>
        <w:tblW w:w="0" w:type="auto"/>
        <w:tblInd w:w="625" w:type="dxa"/>
        <w:tblLook w:val="04A0" w:firstRow="1" w:lastRow="0" w:firstColumn="1" w:lastColumn="0" w:noHBand="0" w:noVBand="1"/>
      </w:tblPr>
      <w:tblGrid>
        <w:gridCol w:w="723"/>
        <w:gridCol w:w="2903"/>
      </w:tblGrid>
      <w:tr w:rsidR="00953937" w:rsidRPr="00953937" w14:paraId="32536F50" w14:textId="77777777" w:rsidTr="00A85198">
        <w:tc>
          <w:tcPr>
            <w:tcW w:w="0" w:type="auto"/>
            <w:hideMark/>
          </w:tcPr>
          <w:p w14:paraId="5417A2B3" w14:textId="77777777" w:rsidR="00953937" w:rsidRPr="00953937" w:rsidRDefault="00953937" w:rsidP="00953937">
            <w:pPr>
              <w:spacing w:after="0" w:line="240" w:lineRule="auto"/>
              <w:jc w:val="center"/>
              <w:rPr>
                <w:rFonts w:ascii="Times New Roman" w:eastAsia="Times New Roman" w:hAnsi="Times New Roman" w:cs="Times New Roman"/>
                <w:b/>
                <w:bCs/>
                <w:sz w:val="24"/>
                <w:szCs w:val="24"/>
                <w:lang w:eastAsia="en-GB" w:bidi="bn-IN"/>
              </w:rPr>
            </w:pPr>
            <w:r w:rsidRPr="00953937">
              <w:rPr>
                <w:rFonts w:ascii="Times New Roman" w:eastAsia="Times New Roman" w:hAnsi="Times New Roman" w:cs="Times New Roman"/>
                <w:b/>
                <w:bCs/>
                <w:sz w:val="24"/>
                <w:szCs w:val="24"/>
                <w:lang w:eastAsia="en-GB" w:bidi="bn-IN"/>
              </w:rPr>
              <w:t>Year</w:t>
            </w:r>
          </w:p>
        </w:tc>
        <w:tc>
          <w:tcPr>
            <w:tcW w:w="0" w:type="auto"/>
            <w:hideMark/>
          </w:tcPr>
          <w:p w14:paraId="29C98080" w14:textId="77777777" w:rsidR="00953937" w:rsidRPr="00953937" w:rsidRDefault="00953937" w:rsidP="00953937">
            <w:pPr>
              <w:spacing w:after="0" w:line="240" w:lineRule="auto"/>
              <w:jc w:val="center"/>
              <w:rPr>
                <w:rFonts w:ascii="Times New Roman" w:eastAsia="Times New Roman" w:hAnsi="Times New Roman" w:cs="Times New Roman"/>
                <w:b/>
                <w:bCs/>
                <w:sz w:val="24"/>
                <w:szCs w:val="24"/>
                <w:lang w:eastAsia="en-GB" w:bidi="bn-IN"/>
              </w:rPr>
            </w:pPr>
            <w:r w:rsidRPr="00953937">
              <w:rPr>
                <w:rFonts w:ascii="Times New Roman" w:eastAsia="Times New Roman" w:hAnsi="Times New Roman" w:cs="Times New Roman"/>
                <w:b/>
                <w:bCs/>
                <w:sz w:val="24"/>
                <w:szCs w:val="24"/>
                <w:lang w:eastAsia="en-GB" w:bidi="bn-IN"/>
              </w:rPr>
              <w:t>Cumulative Cash Flow (£)</w:t>
            </w:r>
          </w:p>
        </w:tc>
      </w:tr>
      <w:tr w:rsidR="00953937" w:rsidRPr="00953937" w14:paraId="3A773993" w14:textId="77777777" w:rsidTr="00A85198">
        <w:tc>
          <w:tcPr>
            <w:tcW w:w="0" w:type="auto"/>
            <w:hideMark/>
          </w:tcPr>
          <w:p w14:paraId="45E22E79" w14:textId="77777777" w:rsidR="00953937" w:rsidRPr="00953937" w:rsidRDefault="00953937" w:rsidP="00953937">
            <w:pPr>
              <w:spacing w:after="0" w:line="240" w:lineRule="auto"/>
              <w:rPr>
                <w:rFonts w:ascii="Times New Roman" w:eastAsia="Times New Roman" w:hAnsi="Times New Roman" w:cs="Times New Roman"/>
                <w:sz w:val="24"/>
                <w:szCs w:val="24"/>
                <w:lang w:eastAsia="en-GB" w:bidi="bn-IN"/>
              </w:rPr>
            </w:pPr>
            <w:r w:rsidRPr="00953937">
              <w:rPr>
                <w:rFonts w:ascii="Times New Roman" w:eastAsia="Times New Roman" w:hAnsi="Times New Roman" w:cs="Times New Roman"/>
                <w:sz w:val="24"/>
                <w:szCs w:val="24"/>
                <w:lang w:eastAsia="en-GB" w:bidi="bn-IN"/>
              </w:rPr>
              <w:t>0</w:t>
            </w:r>
          </w:p>
        </w:tc>
        <w:tc>
          <w:tcPr>
            <w:tcW w:w="0" w:type="auto"/>
            <w:hideMark/>
          </w:tcPr>
          <w:p w14:paraId="111DACB4" w14:textId="77777777" w:rsidR="00953937" w:rsidRPr="00953937" w:rsidRDefault="00953937" w:rsidP="00953937">
            <w:pPr>
              <w:spacing w:after="0" w:line="240" w:lineRule="auto"/>
              <w:rPr>
                <w:rFonts w:ascii="Times New Roman" w:eastAsia="Times New Roman" w:hAnsi="Times New Roman" w:cs="Times New Roman"/>
                <w:sz w:val="24"/>
                <w:szCs w:val="24"/>
                <w:lang w:eastAsia="en-GB" w:bidi="bn-IN"/>
              </w:rPr>
            </w:pPr>
            <w:r w:rsidRPr="00953937">
              <w:rPr>
                <w:rFonts w:ascii="Times New Roman" w:eastAsia="Times New Roman" w:hAnsi="Times New Roman" w:cs="Times New Roman"/>
                <w:sz w:val="24"/>
                <w:szCs w:val="24"/>
                <w:lang w:eastAsia="en-GB" w:bidi="bn-IN"/>
              </w:rPr>
              <w:t>-500,000</w:t>
            </w:r>
          </w:p>
        </w:tc>
      </w:tr>
      <w:tr w:rsidR="00953937" w:rsidRPr="00953937" w14:paraId="08E25528" w14:textId="77777777" w:rsidTr="00A85198">
        <w:tc>
          <w:tcPr>
            <w:tcW w:w="0" w:type="auto"/>
            <w:hideMark/>
          </w:tcPr>
          <w:p w14:paraId="0AE8A17C" w14:textId="77777777" w:rsidR="00953937" w:rsidRPr="00953937" w:rsidRDefault="00953937" w:rsidP="00953937">
            <w:pPr>
              <w:spacing w:after="0" w:line="240" w:lineRule="auto"/>
              <w:rPr>
                <w:rFonts w:ascii="Times New Roman" w:eastAsia="Times New Roman" w:hAnsi="Times New Roman" w:cs="Times New Roman"/>
                <w:sz w:val="24"/>
                <w:szCs w:val="24"/>
                <w:lang w:eastAsia="en-GB" w:bidi="bn-IN"/>
              </w:rPr>
            </w:pPr>
            <w:r w:rsidRPr="00953937">
              <w:rPr>
                <w:rFonts w:ascii="Times New Roman" w:eastAsia="Times New Roman" w:hAnsi="Times New Roman" w:cs="Times New Roman"/>
                <w:sz w:val="24"/>
                <w:szCs w:val="24"/>
                <w:lang w:eastAsia="en-GB" w:bidi="bn-IN"/>
              </w:rPr>
              <w:t>1</w:t>
            </w:r>
          </w:p>
        </w:tc>
        <w:tc>
          <w:tcPr>
            <w:tcW w:w="0" w:type="auto"/>
            <w:hideMark/>
          </w:tcPr>
          <w:p w14:paraId="1987C6CD" w14:textId="77777777" w:rsidR="00953937" w:rsidRPr="00953937" w:rsidRDefault="00953937" w:rsidP="00953937">
            <w:pPr>
              <w:spacing w:after="0" w:line="240" w:lineRule="auto"/>
              <w:rPr>
                <w:rFonts w:ascii="Times New Roman" w:eastAsia="Times New Roman" w:hAnsi="Times New Roman" w:cs="Times New Roman"/>
                <w:sz w:val="24"/>
                <w:szCs w:val="24"/>
                <w:lang w:eastAsia="en-GB" w:bidi="bn-IN"/>
              </w:rPr>
            </w:pPr>
            <w:r w:rsidRPr="00953937">
              <w:rPr>
                <w:rFonts w:ascii="Times New Roman" w:eastAsia="Times New Roman" w:hAnsi="Times New Roman" w:cs="Times New Roman"/>
                <w:sz w:val="24"/>
                <w:szCs w:val="24"/>
                <w:lang w:eastAsia="en-GB" w:bidi="bn-IN"/>
              </w:rPr>
              <w:t>-380,000</w:t>
            </w:r>
          </w:p>
        </w:tc>
      </w:tr>
      <w:tr w:rsidR="00953937" w:rsidRPr="00953937" w14:paraId="0D13C873" w14:textId="77777777" w:rsidTr="00A85198">
        <w:tc>
          <w:tcPr>
            <w:tcW w:w="0" w:type="auto"/>
            <w:hideMark/>
          </w:tcPr>
          <w:p w14:paraId="6DE99939" w14:textId="77777777" w:rsidR="00953937" w:rsidRPr="00953937" w:rsidRDefault="00953937" w:rsidP="00953937">
            <w:pPr>
              <w:spacing w:after="0" w:line="240" w:lineRule="auto"/>
              <w:rPr>
                <w:rFonts w:ascii="Times New Roman" w:eastAsia="Times New Roman" w:hAnsi="Times New Roman" w:cs="Times New Roman"/>
                <w:sz w:val="24"/>
                <w:szCs w:val="24"/>
                <w:lang w:eastAsia="en-GB" w:bidi="bn-IN"/>
              </w:rPr>
            </w:pPr>
            <w:r w:rsidRPr="00953937">
              <w:rPr>
                <w:rFonts w:ascii="Times New Roman" w:eastAsia="Times New Roman" w:hAnsi="Times New Roman" w:cs="Times New Roman"/>
                <w:sz w:val="24"/>
                <w:szCs w:val="24"/>
                <w:lang w:eastAsia="en-GB" w:bidi="bn-IN"/>
              </w:rPr>
              <w:t>2</w:t>
            </w:r>
          </w:p>
        </w:tc>
        <w:tc>
          <w:tcPr>
            <w:tcW w:w="0" w:type="auto"/>
            <w:hideMark/>
          </w:tcPr>
          <w:p w14:paraId="35A81AAA" w14:textId="77777777" w:rsidR="00953937" w:rsidRPr="00953937" w:rsidRDefault="00953937" w:rsidP="00953937">
            <w:pPr>
              <w:spacing w:after="0" w:line="240" w:lineRule="auto"/>
              <w:rPr>
                <w:rFonts w:ascii="Times New Roman" w:eastAsia="Times New Roman" w:hAnsi="Times New Roman" w:cs="Times New Roman"/>
                <w:sz w:val="24"/>
                <w:szCs w:val="24"/>
                <w:lang w:eastAsia="en-GB" w:bidi="bn-IN"/>
              </w:rPr>
            </w:pPr>
            <w:r w:rsidRPr="00953937">
              <w:rPr>
                <w:rFonts w:ascii="Times New Roman" w:eastAsia="Times New Roman" w:hAnsi="Times New Roman" w:cs="Times New Roman"/>
                <w:sz w:val="24"/>
                <w:szCs w:val="24"/>
                <w:lang w:eastAsia="en-GB" w:bidi="bn-IN"/>
              </w:rPr>
              <w:t>-240,000</w:t>
            </w:r>
          </w:p>
        </w:tc>
      </w:tr>
      <w:tr w:rsidR="00953937" w:rsidRPr="00953937" w14:paraId="105E874C" w14:textId="77777777" w:rsidTr="00A85198">
        <w:tc>
          <w:tcPr>
            <w:tcW w:w="0" w:type="auto"/>
            <w:hideMark/>
          </w:tcPr>
          <w:p w14:paraId="4AFD8B57" w14:textId="77777777" w:rsidR="00953937" w:rsidRPr="00953937" w:rsidRDefault="00953937" w:rsidP="00953937">
            <w:pPr>
              <w:spacing w:after="0" w:line="240" w:lineRule="auto"/>
              <w:rPr>
                <w:rFonts w:ascii="Times New Roman" w:eastAsia="Times New Roman" w:hAnsi="Times New Roman" w:cs="Times New Roman"/>
                <w:sz w:val="24"/>
                <w:szCs w:val="24"/>
                <w:lang w:eastAsia="en-GB" w:bidi="bn-IN"/>
              </w:rPr>
            </w:pPr>
            <w:r w:rsidRPr="00953937">
              <w:rPr>
                <w:rFonts w:ascii="Times New Roman" w:eastAsia="Times New Roman" w:hAnsi="Times New Roman" w:cs="Times New Roman"/>
                <w:sz w:val="24"/>
                <w:szCs w:val="24"/>
                <w:lang w:eastAsia="en-GB" w:bidi="bn-IN"/>
              </w:rPr>
              <w:t>3</w:t>
            </w:r>
          </w:p>
        </w:tc>
        <w:tc>
          <w:tcPr>
            <w:tcW w:w="0" w:type="auto"/>
            <w:hideMark/>
          </w:tcPr>
          <w:p w14:paraId="7BD75ED8" w14:textId="77777777" w:rsidR="00953937" w:rsidRPr="00953937" w:rsidRDefault="00953937" w:rsidP="00953937">
            <w:pPr>
              <w:spacing w:after="0" w:line="240" w:lineRule="auto"/>
              <w:rPr>
                <w:rFonts w:ascii="Times New Roman" w:eastAsia="Times New Roman" w:hAnsi="Times New Roman" w:cs="Times New Roman"/>
                <w:sz w:val="24"/>
                <w:szCs w:val="24"/>
                <w:lang w:eastAsia="en-GB" w:bidi="bn-IN"/>
              </w:rPr>
            </w:pPr>
            <w:r w:rsidRPr="00953937">
              <w:rPr>
                <w:rFonts w:ascii="Times New Roman" w:eastAsia="Times New Roman" w:hAnsi="Times New Roman" w:cs="Times New Roman"/>
                <w:sz w:val="24"/>
                <w:szCs w:val="24"/>
                <w:lang w:eastAsia="en-GB" w:bidi="bn-IN"/>
              </w:rPr>
              <w:t>-80,000</w:t>
            </w:r>
          </w:p>
        </w:tc>
      </w:tr>
      <w:tr w:rsidR="00953937" w:rsidRPr="00953937" w14:paraId="396BFDD7" w14:textId="77777777" w:rsidTr="00A85198">
        <w:tc>
          <w:tcPr>
            <w:tcW w:w="0" w:type="auto"/>
            <w:hideMark/>
          </w:tcPr>
          <w:p w14:paraId="157927C8" w14:textId="77777777" w:rsidR="00953937" w:rsidRPr="00953937" w:rsidRDefault="00953937" w:rsidP="00953937">
            <w:pPr>
              <w:spacing w:after="0" w:line="240" w:lineRule="auto"/>
              <w:rPr>
                <w:rFonts w:ascii="Times New Roman" w:eastAsia="Times New Roman" w:hAnsi="Times New Roman" w:cs="Times New Roman"/>
                <w:sz w:val="24"/>
                <w:szCs w:val="24"/>
                <w:lang w:eastAsia="en-GB" w:bidi="bn-IN"/>
              </w:rPr>
            </w:pPr>
            <w:r w:rsidRPr="00953937">
              <w:rPr>
                <w:rFonts w:ascii="Times New Roman" w:eastAsia="Times New Roman" w:hAnsi="Times New Roman" w:cs="Times New Roman"/>
                <w:sz w:val="24"/>
                <w:szCs w:val="24"/>
                <w:lang w:eastAsia="en-GB" w:bidi="bn-IN"/>
              </w:rPr>
              <w:t>4</w:t>
            </w:r>
          </w:p>
        </w:tc>
        <w:tc>
          <w:tcPr>
            <w:tcW w:w="0" w:type="auto"/>
            <w:hideMark/>
          </w:tcPr>
          <w:p w14:paraId="63F7EDD5" w14:textId="77777777" w:rsidR="00953937" w:rsidRPr="00953937" w:rsidRDefault="00953937" w:rsidP="00953937">
            <w:pPr>
              <w:spacing w:after="0" w:line="240" w:lineRule="auto"/>
              <w:rPr>
                <w:rFonts w:ascii="Times New Roman" w:eastAsia="Times New Roman" w:hAnsi="Times New Roman" w:cs="Times New Roman"/>
                <w:sz w:val="24"/>
                <w:szCs w:val="24"/>
                <w:lang w:eastAsia="en-GB" w:bidi="bn-IN"/>
              </w:rPr>
            </w:pPr>
            <w:r w:rsidRPr="00953937">
              <w:rPr>
                <w:rFonts w:ascii="Times New Roman" w:eastAsia="Times New Roman" w:hAnsi="Times New Roman" w:cs="Times New Roman"/>
                <w:sz w:val="24"/>
                <w:szCs w:val="24"/>
                <w:lang w:eastAsia="en-GB" w:bidi="bn-IN"/>
              </w:rPr>
              <w:t>+100,000</w:t>
            </w:r>
          </w:p>
        </w:tc>
      </w:tr>
    </w:tbl>
    <w:p w14:paraId="7E5573A9" w14:textId="3F4D14F9" w:rsidR="00F2169A" w:rsidRDefault="00A85198" w:rsidP="00674C2E">
      <w:pPr>
        <w:rPr>
          <w:rFonts w:ascii="Arial" w:hAnsi="Arial" w:cs="Arial"/>
          <w:sz w:val="24"/>
          <w:szCs w:val="24"/>
          <w:lang w:eastAsia="en-GB"/>
        </w:rPr>
      </w:pPr>
      <w:r w:rsidRPr="00A85198">
        <w:rPr>
          <w:rFonts w:ascii="Arial" w:hAnsi="Arial" w:cs="Arial"/>
          <w:b/>
          <w:bCs/>
          <w:sz w:val="24"/>
          <w:szCs w:val="24"/>
          <w:lang w:eastAsia="en-GB"/>
        </w:rPr>
        <w:t>Payback Period:</w:t>
      </w:r>
      <w:r>
        <w:rPr>
          <w:rFonts w:ascii="Arial" w:hAnsi="Arial" w:cs="Arial"/>
          <w:sz w:val="24"/>
          <w:szCs w:val="24"/>
          <w:lang w:eastAsia="en-GB"/>
        </w:rPr>
        <w:t xml:space="preserve"> </w:t>
      </w:r>
      <w:r w:rsidRPr="00A85198">
        <w:rPr>
          <w:rFonts w:ascii="Arial" w:hAnsi="Arial" w:cs="Arial"/>
          <w:sz w:val="24"/>
          <w:szCs w:val="24"/>
          <w:lang w:eastAsia="en-GB"/>
        </w:rPr>
        <w:t xml:space="preserve">Between Year 3 and 4 (≈ </w:t>
      </w:r>
      <w:r w:rsidRPr="00A85198">
        <w:rPr>
          <w:rFonts w:ascii="Arial" w:hAnsi="Arial" w:cs="Arial"/>
          <w:b/>
          <w:bCs/>
          <w:sz w:val="24"/>
          <w:szCs w:val="24"/>
          <w:lang w:eastAsia="en-GB"/>
        </w:rPr>
        <w:t>3.4 years</w:t>
      </w:r>
      <w:r w:rsidRPr="00A85198">
        <w:rPr>
          <w:rFonts w:ascii="Arial" w:hAnsi="Arial" w:cs="Arial"/>
          <w:sz w:val="24"/>
          <w:szCs w:val="24"/>
          <w:lang w:eastAsia="en-GB"/>
        </w:rPr>
        <w:t>).</w:t>
      </w:r>
    </w:p>
    <w:p w14:paraId="7765B94D" w14:textId="747917FA" w:rsidR="00A85198" w:rsidRPr="004772EC" w:rsidRDefault="00A85198" w:rsidP="00674C2E">
      <w:pPr>
        <w:rPr>
          <w:rFonts w:ascii="Arial" w:hAnsi="Arial" w:cs="Arial"/>
          <w:b/>
          <w:bCs/>
          <w:sz w:val="28"/>
          <w:szCs w:val="28"/>
          <w:lang w:eastAsia="en-GB"/>
        </w:rPr>
      </w:pPr>
      <w:r w:rsidRPr="004772EC">
        <w:rPr>
          <w:rFonts w:ascii="Arial" w:hAnsi="Arial" w:cs="Arial"/>
          <w:b/>
          <w:bCs/>
          <w:sz w:val="28"/>
          <w:szCs w:val="28"/>
          <w:lang w:eastAsia="en-GB"/>
        </w:rPr>
        <w:t>Appendix C5: Internal Rate of Return (IRR)</w:t>
      </w:r>
    </w:p>
    <w:p w14:paraId="0078D2A4" w14:textId="77777777" w:rsidR="004772EC" w:rsidRPr="004772EC" w:rsidRDefault="004772EC" w:rsidP="004772EC">
      <w:pPr>
        <w:rPr>
          <w:rFonts w:ascii="Arial" w:hAnsi="Arial" w:cs="Arial"/>
          <w:sz w:val="24"/>
          <w:szCs w:val="24"/>
          <w:lang w:eastAsia="en-GB"/>
        </w:rPr>
      </w:pPr>
      <w:r w:rsidRPr="004772EC">
        <w:rPr>
          <w:rFonts w:ascii="Arial" w:hAnsi="Arial" w:cs="Arial"/>
          <w:b/>
          <w:bCs/>
          <w:sz w:val="24"/>
          <w:szCs w:val="24"/>
          <w:lang w:eastAsia="en-GB"/>
        </w:rPr>
        <w:t>Excel Formula Used:</w:t>
      </w:r>
      <w:r w:rsidRPr="004772EC">
        <w:rPr>
          <w:rFonts w:ascii="Arial" w:hAnsi="Arial" w:cs="Arial"/>
          <w:sz w:val="24"/>
          <w:szCs w:val="24"/>
          <w:lang w:eastAsia="en-GB"/>
        </w:rPr>
        <w:br/>
        <w:t>=</w:t>
      </w:r>
      <w:proofErr w:type="gramStart"/>
      <w:r w:rsidRPr="004772EC">
        <w:rPr>
          <w:rFonts w:ascii="Arial" w:hAnsi="Arial" w:cs="Arial"/>
          <w:sz w:val="24"/>
          <w:szCs w:val="24"/>
          <w:lang w:eastAsia="en-GB"/>
        </w:rPr>
        <w:t>IRR(</w:t>
      </w:r>
      <w:proofErr w:type="gramEnd"/>
      <w:r w:rsidRPr="004772EC">
        <w:rPr>
          <w:rFonts w:ascii="Arial" w:hAnsi="Arial" w:cs="Arial"/>
          <w:sz w:val="24"/>
          <w:szCs w:val="24"/>
          <w:lang w:eastAsia="en-GB"/>
        </w:rPr>
        <w:t>B2:B7)</w:t>
      </w:r>
    </w:p>
    <w:p w14:paraId="36358750" w14:textId="77777777" w:rsidR="004772EC" w:rsidRPr="004772EC" w:rsidRDefault="004772EC" w:rsidP="004772EC">
      <w:pPr>
        <w:rPr>
          <w:rFonts w:ascii="Arial" w:hAnsi="Arial" w:cs="Arial"/>
          <w:sz w:val="24"/>
          <w:szCs w:val="24"/>
          <w:lang w:eastAsia="en-GB"/>
        </w:rPr>
      </w:pPr>
      <w:r w:rsidRPr="004772EC">
        <w:rPr>
          <w:rFonts w:ascii="Arial" w:hAnsi="Arial" w:cs="Arial"/>
          <w:b/>
          <w:bCs/>
          <w:sz w:val="24"/>
          <w:szCs w:val="24"/>
          <w:lang w:eastAsia="en-GB"/>
        </w:rPr>
        <w:t>IRR ≈ 15%</w:t>
      </w:r>
    </w:p>
    <w:p w14:paraId="3E94E892" w14:textId="77777777" w:rsidR="004772EC" w:rsidRPr="004772EC" w:rsidRDefault="004772EC" w:rsidP="004772EC">
      <w:pPr>
        <w:rPr>
          <w:rFonts w:ascii="Arial" w:hAnsi="Arial" w:cs="Arial"/>
          <w:sz w:val="24"/>
          <w:szCs w:val="24"/>
          <w:lang w:eastAsia="en-GB"/>
        </w:rPr>
      </w:pPr>
      <w:r w:rsidRPr="004772EC">
        <w:rPr>
          <w:rFonts w:ascii="Arial" w:hAnsi="Arial" w:cs="Arial"/>
          <w:b/>
          <w:bCs/>
          <w:sz w:val="24"/>
          <w:szCs w:val="24"/>
          <w:lang w:eastAsia="en-GB"/>
        </w:rPr>
        <w:t>Decision Rule:</w:t>
      </w:r>
      <w:r w:rsidRPr="004772EC">
        <w:rPr>
          <w:rFonts w:ascii="Arial" w:hAnsi="Arial" w:cs="Arial"/>
          <w:sz w:val="24"/>
          <w:szCs w:val="24"/>
          <w:lang w:eastAsia="en-GB"/>
        </w:rPr>
        <w:br/>
        <w:t>IRR &gt; Cost of Capital → Accept project.</w:t>
      </w:r>
    </w:p>
    <w:p w14:paraId="65D4830A" w14:textId="77777777" w:rsidR="004772EC" w:rsidRPr="004772EC" w:rsidRDefault="004772EC" w:rsidP="004772EC">
      <w:pPr>
        <w:rPr>
          <w:rFonts w:ascii="Arial" w:hAnsi="Arial" w:cs="Arial"/>
          <w:b/>
          <w:bCs/>
          <w:sz w:val="24"/>
          <w:szCs w:val="24"/>
          <w:lang w:eastAsia="en-GB"/>
        </w:rPr>
      </w:pPr>
      <w:r w:rsidRPr="004772EC">
        <w:rPr>
          <w:rFonts w:ascii="Arial" w:hAnsi="Arial" w:cs="Arial"/>
          <w:b/>
          <w:bCs/>
          <w:sz w:val="24"/>
          <w:szCs w:val="24"/>
          <w:lang w:eastAsia="en-GB"/>
        </w:rPr>
        <w:lastRenderedPageBreak/>
        <w:t>Overall Appendix Summary</w:t>
      </w:r>
    </w:p>
    <w:p w14:paraId="192696B3" w14:textId="752393EB" w:rsidR="00A85198" w:rsidRPr="00760C24" w:rsidRDefault="00652B5D" w:rsidP="00652B5D">
      <w:pPr>
        <w:jc w:val="both"/>
        <w:rPr>
          <w:rFonts w:ascii="Arial" w:hAnsi="Arial" w:cs="Arial"/>
          <w:sz w:val="24"/>
          <w:szCs w:val="24"/>
          <w:lang w:val="en-US" w:eastAsia="en-GB"/>
        </w:rPr>
      </w:pPr>
      <w:r w:rsidRPr="00652B5D">
        <w:rPr>
          <w:rFonts w:ascii="Arial" w:hAnsi="Arial" w:cs="Arial"/>
          <w:sz w:val="24"/>
          <w:szCs w:val="24"/>
          <w:lang w:eastAsia="en-GB"/>
        </w:rPr>
        <w:t>The appendices present a quantitative derivation of the conclusions in the report that has shown that profitability is decreasing, financial risk is increasing, and there is a liquidity pressure. The findings of investment appraisal support the requirement of disciplined capital budgeting, and it is necessary to first give priority to projects which yield positive NPV and reasonable payback in the period of financial recovery.</w:t>
      </w:r>
    </w:p>
    <w:sectPr w:rsidR="00A85198" w:rsidRPr="00760C24" w:rsidSect="00CD4561">
      <w:footerReference w:type="default" r:id="rId29"/>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A26A3" w14:textId="77777777" w:rsidR="00044B69" w:rsidRPr="006C081F" w:rsidRDefault="00044B69">
      <w:pPr>
        <w:spacing w:after="0" w:line="240" w:lineRule="auto"/>
      </w:pPr>
      <w:r w:rsidRPr="006C081F">
        <w:separator/>
      </w:r>
    </w:p>
  </w:endnote>
  <w:endnote w:type="continuationSeparator" w:id="0">
    <w:p w14:paraId="40F2CD1C" w14:textId="77777777" w:rsidR="00044B69" w:rsidRPr="006C081F" w:rsidRDefault="00044B69">
      <w:pPr>
        <w:spacing w:after="0" w:line="240" w:lineRule="auto"/>
      </w:pPr>
      <w:r w:rsidRPr="006C081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0201291"/>
      <w:docPartObj>
        <w:docPartGallery w:val="Page Numbers (Bottom of Page)"/>
        <w:docPartUnique/>
      </w:docPartObj>
    </w:sdtPr>
    <w:sdtEndPr/>
    <w:sdtContent>
      <w:p w14:paraId="33A579E0" w14:textId="77777777" w:rsidR="00100E4A" w:rsidRPr="006C081F" w:rsidRDefault="00100E4A">
        <w:pPr>
          <w:pStyle w:val="Footer"/>
          <w:jc w:val="right"/>
        </w:pPr>
        <w:r w:rsidRPr="006C081F">
          <w:fldChar w:fldCharType="begin"/>
        </w:r>
        <w:r w:rsidRPr="006C081F">
          <w:instrText xml:space="preserve"> PAGE   \* MERGEFORMAT </w:instrText>
        </w:r>
        <w:r w:rsidRPr="006C081F">
          <w:fldChar w:fldCharType="separate"/>
        </w:r>
        <w:r w:rsidR="00B100FC">
          <w:rPr>
            <w:noProof/>
          </w:rPr>
          <w:t>21</w:t>
        </w:r>
        <w:r w:rsidRPr="006C081F">
          <w:fldChar w:fldCharType="end"/>
        </w:r>
      </w:p>
    </w:sdtContent>
  </w:sdt>
  <w:p w14:paraId="6E415772" w14:textId="77777777" w:rsidR="00100E4A" w:rsidRPr="006C081F" w:rsidRDefault="00100E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700DB" w14:textId="77777777" w:rsidR="00044B69" w:rsidRPr="006C081F" w:rsidRDefault="00044B69">
      <w:pPr>
        <w:spacing w:after="0" w:line="240" w:lineRule="auto"/>
      </w:pPr>
      <w:r w:rsidRPr="006C081F">
        <w:separator/>
      </w:r>
    </w:p>
  </w:footnote>
  <w:footnote w:type="continuationSeparator" w:id="0">
    <w:p w14:paraId="0C740E38" w14:textId="77777777" w:rsidR="00044B69" w:rsidRPr="006C081F" w:rsidRDefault="00044B69">
      <w:pPr>
        <w:spacing w:after="0" w:line="240" w:lineRule="auto"/>
      </w:pPr>
      <w:r w:rsidRPr="006C081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82C65"/>
    <w:multiLevelType w:val="hybridMultilevel"/>
    <w:tmpl w:val="5288ACCE"/>
    <w:lvl w:ilvl="0" w:tplc="08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BC2481"/>
    <w:multiLevelType w:val="hybridMultilevel"/>
    <w:tmpl w:val="21F8A8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3B6CC9"/>
    <w:multiLevelType w:val="hybridMultilevel"/>
    <w:tmpl w:val="77E2A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683F04"/>
    <w:multiLevelType w:val="hybridMultilevel"/>
    <w:tmpl w:val="5EBA8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95747B"/>
    <w:multiLevelType w:val="hybridMultilevel"/>
    <w:tmpl w:val="73AADAAC"/>
    <w:lvl w:ilvl="0" w:tplc="B67A051E">
      <w:start w:val="1"/>
      <w:numFmt w:val="decimal"/>
      <w:lvlText w:val="%1."/>
      <w:lvlJc w:val="left"/>
      <w:pPr>
        <w:ind w:left="720" w:hanging="360"/>
      </w:pPr>
      <w:rPr>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B00E0D"/>
    <w:multiLevelType w:val="multilevel"/>
    <w:tmpl w:val="675256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5478CC"/>
    <w:multiLevelType w:val="hybridMultilevel"/>
    <w:tmpl w:val="E13EA48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3A31A5"/>
    <w:multiLevelType w:val="hybridMultilevel"/>
    <w:tmpl w:val="BF2EFAB6"/>
    <w:lvl w:ilvl="0" w:tplc="08090013">
      <w:start w:val="1"/>
      <w:numFmt w:val="upp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17DF7CD1"/>
    <w:multiLevelType w:val="hybridMultilevel"/>
    <w:tmpl w:val="5D526F5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A14018"/>
    <w:multiLevelType w:val="multilevel"/>
    <w:tmpl w:val="36BE6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4C3FD4"/>
    <w:multiLevelType w:val="hybridMultilevel"/>
    <w:tmpl w:val="EF30882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934D0A"/>
    <w:multiLevelType w:val="hybridMultilevel"/>
    <w:tmpl w:val="6066A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804ABA"/>
    <w:multiLevelType w:val="multilevel"/>
    <w:tmpl w:val="F41EA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0D7170"/>
    <w:multiLevelType w:val="multilevel"/>
    <w:tmpl w:val="704E0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790537"/>
    <w:multiLevelType w:val="hybridMultilevel"/>
    <w:tmpl w:val="9112FDA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4C66DA5"/>
    <w:multiLevelType w:val="hybridMultilevel"/>
    <w:tmpl w:val="3BB860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DC5113"/>
    <w:multiLevelType w:val="hybridMultilevel"/>
    <w:tmpl w:val="18ACF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FF1462"/>
    <w:multiLevelType w:val="hybridMultilevel"/>
    <w:tmpl w:val="B5CA9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3B267D"/>
    <w:multiLevelType w:val="hybridMultilevel"/>
    <w:tmpl w:val="15CA5B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30677B"/>
    <w:multiLevelType w:val="multilevel"/>
    <w:tmpl w:val="35EAA7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195D0F"/>
    <w:multiLevelType w:val="hybridMultilevel"/>
    <w:tmpl w:val="B23887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61766D"/>
    <w:multiLevelType w:val="hybridMultilevel"/>
    <w:tmpl w:val="1E5AA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5D095A"/>
    <w:multiLevelType w:val="hybridMultilevel"/>
    <w:tmpl w:val="CD801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4818E6"/>
    <w:multiLevelType w:val="hybridMultilevel"/>
    <w:tmpl w:val="ECF87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137E48"/>
    <w:multiLevelType w:val="hybridMultilevel"/>
    <w:tmpl w:val="E2AC80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1A3EC8"/>
    <w:multiLevelType w:val="hybridMultilevel"/>
    <w:tmpl w:val="9ADA4B5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4F01A6"/>
    <w:multiLevelType w:val="hybridMultilevel"/>
    <w:tmpl w:val="C4F6A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1F86D48"/>
    <w:multiLevelType w:val="hybridMultilevel"/>
    <w:tmpl w:val="5852D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244C6"/>
    <w:multiLevelType w:val="hybridMultilevel"/>
    <w:tmpl w:val="477CD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4197E49"/>
    <w:multiLevelType w:val="hybridMultilevel"/>
    <w:tmpl w:val="12F484E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55A1A98"/>
    <w:multiLevelType w:val="hybridMultilevel"/>
    <w:tmpl w:val="2892D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17808A9"/>
    <w:multiLevelType w:val="hybridMultilevel"/>
    <w:tmpl w:val="ECA65FF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E52563"/>
    <w:multiLevelType w:val="hybridMultilevel"/>
    <w:tmpl w:val="13BA3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107374"/>
    <w:multiLevelType w:val="hybridMultilevel"/>
    <w:tmpl w:val="00BEE86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FF56338"/>
    <w:multiLevelType w:val="hybridMultilevel"/>
    <w:tmpl w:val="525AA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0BF200D"/>
    <w:multiLevelType w:val="hybridMultilevel"/>
    <w:tmpl w:val="AAFC3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2991847"/>
    <w:multiLevelType w:val="hybridMultilevel"/>
    <w:tmpl w:val="22988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91F6517"/>
    <w:multiLevelType w:val="multilevel"/>
    <w:tmpl w:val="C1D0B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4746FB"/>
    <w:multiLevelType w:val="hybridMultilevel"/>
    <w:tmpl w:val="99F6153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8260E8"/>
    <w:multiLevelType w:val="hybridMultilevel"/>
    <w:tmpl w:val="03DC4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01748462">
    <w:abstractNumId w:val="16"/>
  </w:num>
  <w:num w:numId="2" w16cid:durableId="517084495">
    <w:abstractNumId w:val="28"/>
  </w:num>
  <w:num w:numId="3" w16cid:durableId="824396766">
    <w:abstractNumId w:val="17"/>
  </w:num>
  <w:num w:numId="4" w16cid:durableId="2034264667">
    <w:abstractNumId w:val="32"/>
  </w:num>
  <w:num w:numId="5" w16cid:durableId="907615917">
    <w:abstractNumId w:val="21"/>
  </w:num>
  <w:num w:numId="6" w16cid:durableId="801770382">
    <w:abstractNumId w:val="1"/>
  </w:num>
  <w:num w:numId="7" w16cid:durableId="1367802015">
    <w:abstractNumId w:val="3"/>
  </w:num>
  <w:num w:numId="8" w16cid:durableId="552696513">
    <w:abstractNumId w:val="36"/>
  </w:num>
  <w:num w:numId="9" w16cid:durableId="1361664138">
    <w:abstractNumId w:val="39"/>
  </w:num>
  <w:num w:numId="10" w16cid:durableId="1884125951">
    <w:abstractNumId w:val="2"/>
  </w:num>
  <w:num w:numId="11" w16cid:durableId="1802264225">
    <w:abstractNumId w:val="11"/>
  </w:num>
  <w:num w:numId="12" w16cid:durableId="1167478292">
    <w:abstractNumId w:val="34"/>
  </w:num>
  <w:num w:numId="13" w16cid:durableId="634724329">
    <w:abstractNumId w:val="18"/>
  </w:num>
  <w:num w:numId="14" w16cid:durableId="2129157321">
    <w:abstractNumId w:val="20"/>
  </w:num>
  <w:num w:numId="15" w16cid:durableId="349917854">
    <w:abstractNumId w:val="27"/>
  </w:num>
  <w:num w:numId="16" w16cid:durableId="1228103997">
    <w:abstractNumId w:val="30"/>
  </w:num>
  <w:num w:numId="17" w16cid:durableId="1189490779">
    <w:abstractNumId w:val="22"/>
  </w:num>
  <w:num w:numId="18" w16cid:durableId="1637301098">
    <w:abstractNumId w:val="4"/>
  </w:num>
  <w:num w:numId="19" w16cid:durableId="1469320900">
    <w:abstractNumId w:val="23"/>
  </w:num>
  <w:num w:numId="20" w16cid:durableId="1383745707">
    <w:abstractNumId w:val="35"/>
  </w:num>
  <w:num w:numId="21" w16cid:durableId="641427121">
    <w:abstractNumId w:val="26"/>
  </w:num>
  <w:num w:numId="22" w16cid:durableId="201986912">
    <w:abstractNumId w:val="37"/>
  </w:num>
  <w:num w:numId="23" w16cid:durableId="1882935413">
    <w:abstractNumId w:val="19"/>
  </w:num>
  <w:num w:numId="24" w16cid:durableId="26807305">
    <w:abstractNumId w:val="8"/>
  </w:num>
  <w:num w:numId="25" w16cid:durableId="985815364">
    <w:abstractNumId w:val="31"/>
  </w:num>
  <w:num w:numId="26" w16cid:durableId="494107063">
    <w:abstractNumId w:val="10"/>
  </w:num>
  <w:num w:numId="27" w16cid:durableId="159008367">
    <w:abstractNumId w:val="0"/>
  </w:num>
  <w:num w:numId="28" w16cid:durableId="1389105249">
    <w:abstractNumId w:val="7"/>
  </w:num>
  <w:num w:numId="29" w16cid:durableId="712269612">
    <w:abstractNumId w:val="33"/>
  </w:num>
  <w:num w:numId="30" w16cid:durableId="975256930">
    <w:abstractNumId w:val="12"/>
  </w:num>
  <w:num w:numId="31" w16cid:durableId="1940865795">
    <w:abstractNumId w:val="24"/>
  </w:num>
  <w:num w:numId="32" w16cid:durableId="1662587674">
    <w:abstractNumId w:val="38"/>
  </w:num>
  <w:num w:numId="33" w16cid:durableId="1389913491">
    <w:abstractNumId w:val="15"/>
  </w:num>
  <w:num w:numId="34" w16cid:durableId="1939218315">
    <w:abstractNumId w:val="9"/>
  </w:num>
  <w:num w:numId="35" w16cid:durableId="1271430088">
    <w:abstractNumId w:val="25"/>
  </w:num>
  <w:num w:numId="36" w16cid:durableId="901987024">
    <w:abstractNumId w:val="14"/>
  </w:num>
  <w:num w:numId="37" w16cid:durableId="1615287199">
    <w:abstractNumId w:val="13"/>
  </w:num>
  <w:num w:numId="38" w16cid:durableId="1742866198">
    <w:abstractNumId w:val="6"/>
  </w:num>
  <w:num w:numId="39" w16cid:durableId="50008668">
    <w:abstractNumId w:val="29"/>
  </w:num>
  <w:num w:numId="40" w16cid:durableId="3949312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67B"/>
    <w:rsid w:val="00001166"/>
    <w:rsid w:val="00007D3E"/>
    <w:rsid w:val="00010500"/>
    <w:rsid w:val="0001067B"/>
    <w:rsid w:val="0001625B"/>
    <w:rsid w:val="00016FD8"/>
    <w:rsid w:val="000201A8"/>
    <w:rsid w:val="00021322"/>
    <w:rsid w:val="00021937"/>
    <w:rsid w:val="00030C2B"/>
    <w:rsid w:val="000356F4"/>
    <w:rsid w:val="00044B69"/>
    <w:rsid w:val="00044D2A"/>
    <w:rsid w:val="00050597"/>
    <w:rsid w:val="0005188D"/>
    <w:rsid w:val="00054EA0"/>
    <w:rsid w:val="0006674A"/>
    <w:rsid w:val="0007358E"/>
    <w:rsid w:val="00082691"/>
    <w:rsid w:val="00085C37"/>
    <w:rsid w:val="00092EB3"/>
    <w:rsid w:val="00093C2B"/>
    <w:rsid w:val="0009687E"/>
    <w:rsid w:val="000A25B6"/>
    <w:rsid w:val="000B5CCB"/>
    <w:rsid w:val="000C31EF"/>
    <w:rsid w:val="000C775A"/>
    <w:rsid w:val="000D2F0E"/>
    <w:rsid w:val="000D5950"/>
    <w:rsid w:val="000E11FE"/>
    <w:rsid w:val="000E425E"/>
    <w:rsid w:val="000E57EC"/>
    <w:rsid w:val="000F5354"/>
    <w:rsid w:val="00100E4A"/>
    <w:rsid w:val="00110054"/>
    <w:rsid w:val="001110EB"/>
    <w:rsid w:val="00121C5E"/>
    <w:rsid w:val="00132778"/>
    <w:rsid w:val="001513EC"/>
    <w:rsid w:val="00154C68"/>
    <w:rsid w:val="0016128E"/>
    <w:rsid w:val="001642F0"/>
    <w:rsid w:val="00164A9D"/>
    <w:rsid w:val="00173EFA"/>
    <w:rsid w:val="00173FFE"/>
    <w:rsid w:val="001772F5"/>
    <w:rsid w:val="00177B3A"/>
    <w:rsid w:val="0018442D"/>
    <w:rsid w:val="00191BD8"/>
    <w:rsid w:val="0019775E"/>
    <w:rsid w:val="001A6211"/>
    <w:rsid w:val="001A6D17"/>
    <w:rsid w:val="001A6F14"/>
    <w:rsid w:val="001A7BF1"/>
    <w:rsid w:val="001A7DE2"/>
    <w:rsid w:val="001B3445"/>
    <w:rsid w:val="001C7170"/>
    <w:rsid w:val="001C7B10"/>
    <w:rsid w:val="001D07E0"/>
    <w:rsid w:val="001D1327"/>
    <w:rsid w:val="001D5EF2"/>
    <w:rsid w:val="001E044D"/>
    <w:rsid w:val="001E4D6A"/>
    <w:rsid w:val="001E50E6"/>
    <w:rsid w:val="001E6BD1"/>
    <w:rsid w:val="001F3C98"/>
    <w:rsid w:val="00202662"/>
    <w:rsid w:val="002073E1"/>
    <w:rsid w:val="0021137A"/>
    <w:rsid w:val="00212ED5"/>
    <w:rsid w:val="00214673"/>
    <w:rsid w:val="00215983"/>
    <w:rsid w:val="00221C18"/>
    <w:rsid w:val="00223B42"/>
    <w:rsid w:val="00230F0F"/>
    <w:rsid w:val="002323BA"/>
    <w:rsid w:val="00233945"/>
    <w:rsid w:val="00237558"/>
    <w:rsid w:val="00246627"/>
    <w:rsid w:val="00253B80"/>
    <w:rsid w:val="00253EAC"/>
    <w:rsid w:val="00256284"/>
    <w:rsid w:val="00257360"/>
    <w:rsid w:val="00267509"/>
    <w:rsid w:val="002702AA"/>
    <w:rsid w:val="00270C24"/>
    <w:rsid w:val="00270C27"/>
    <w:rsid w:val="002710CA"/>
    <w:rsid w:val="00274862"/>
    <w:rsid w:val="002908C5"/>
    <w:rsid w:val="0029341A"/>
    <w:rsid w:val="00293D70"/>
    <w:rsid w:val="002B027B"/>
    <w:rsid w:val="002B47A5"/>
    <w:rsid w:val="002C03FC"/>
    <w:rsid w:val="002D0261"/>
    <w:rsid w:val="002D2171"/>
    <w:rsid w:val="002D3FCD"/>
    <w:rsid w:val="002F227A"/>
    <w:rsid w:val="002F5563"/>
    <w:rsid w:val="002F63C0"/>
    <w:rsid w:val="002F7DCF"/>
    <w:rsid w:val="00302251"/>
    <w:rsid w:val="0030445A"/>
    <w:rsid w:val="00315F4E"/>
    <w:rsid w:val="003164BE"/>
    <w:rsid w:val="00321671"/>
    <w:rsid w:val="00332B9A"/>
    <w:rsid w:val="00350EEB"/>
    <w:rsid w:val="00351168"/>
    <w:rsid w:val="00355497"/>
    <w:rsid w:val="003560E1"/>
    <w:rsid w:val="00361E3B"/>
    <w:rsid w:val="00362957"/>
    <w:rsid w:val="00364DE2"/>
    <w:rsid w:val="003769AA"/>
    <w:rsid w:val="003816E5"/>
    <w:rsid w:val="0038314D"/>
    <w:rsid w:val="003851D2"/>
    <w:rsid w:val="00386CBB"/>
    <w:rsid w:val="00387CD3"/>
    <w:rsid w:val="0039093F"/>
    <w:rsid w:val="0039099D"/>
    <w:rsid w:val="003951D2"/>
    <w:rsid w:val="003958E2"/>
    <w:rsid w:val="0039637E"/>
    <w:rsid w:val="003A033E"/>
    <w:rsid w:val="003A3CAA"/>
    <w:rsid w:val="003A7655"/>
    <w:rsid w:val="003B1879"/>
    <w:rsid w:val="003C197B"/>
    <w:rsid w:val="003C568C"/>
    <w:rsid w:val="003D6404"/>
    <w:rsid w:val="003D7510"/>
    <w:rsid w:val="003E4B91"/>
    <w:rsid w:val="003E5102"/>
    <w:rsid w:val="003E5DF1"/>
    <w:rsid w:val="003F6B39"/>
    <w:rsid w:val="004007FE"/>
    <w:rsid w:val="00400BF4"/>
    <w:rsid w:val="004015CD"/>
    <w:rsid w:val="004019A6"/>
    <w:rsid w:val="00406FCA"/>
    <w:rsid w:val="004153C2"/>
    <w:rsid w:val="00426515"/>
    <w:rsid w:val="004268B7"/>
    <w:rsid w:val="00427961"/>
    <w:rsid w:val="00433ED2"/>
    <w:rsid w:val="004352DB"/>
    <w:rsid w:val="0044053B"/>
    <w:rsid w:val="00441FD6"/>
    <w:rsid w:val="00443D84"/>
    <w:rsid w:val="004517D6"/>
    <w:rsid w:val="0045296A"/>
    <w:rsid w:val="00456C22"/>
    <w:rsid w:val="004663E1"/>
    <w:rsid w:val="00466D95"/>
    <w:rsid w:val="004738F5"/>
    <w:rsid w:val="00475B44"/>
    <w:rsid w:val="0047629C"/>
    <w:rsid w:val="00476F3E"/>
    <w:rsid w:val="004772EC"/>
    <w:rsid w:val="0048680F"/>
    <w:rsid w:val="0049022D"/>
    <w:rsid w:val="004934D6"/>
    <w:rsid w:val="004975D8"/>
    <w:rsid w:val="004A401D"/>
    <w:rsid w:val="004A4E0A"/>
    <w:rsid w:val="004B4CAF"/>
    <w:rsid w:val="004C31C2"/>
    <w:rsid w:val="004C53AA"/>
    <w:rsid w:val="004D0E0D"/>
    <w:rsid w:val="004D49B8"/>
    <w:rsid w:val="004E2988"/>
    <w:rsid w:val="004E2CCB"/>
    <w:rsid w:val="004E3410"/>
    <w:rsid w:val="004E4F48"/>
    <w:rsid w:val="004E54CC"/>
    <w:rsid w:val="004F27BD"/>
    <w:rsid w:val="004F5C7B"/>
    <w:rsid w:val="004F6FE3"/>
    <w:rsid w:val="005018C6"/>
    <w:rsid w:val="00506162"/>
    <w:rsid w:val="00510CA3"/>
    <w:rsid w:val="005114D1"/>
    <w:rsid w:val="0051361F"/>
    <w:rsid w:val="00516C18"/>
    <w:rsid w:val="0052136D"/>
    <w:rsid w:val="005238C9"/>
    <w:rsid w:val="00534263"/>
    <w:rsid w:val="00541A7B"/>
    <w:rsid w:val="00542447"/>
    <w:rsid w:val="005436CC"/>
    <w:rsid w:val="00543A76"/>
    <w:rsid w:val="0055094B"/>
    <w:rsid w:val="00552969"/>
    <w:rsid w:val="00553F25"/>
    <w:rsid w:val="0055527D"/>
    <w:rsid w:val="005563D3"/>
    <w:rsid w:val="00562C5D"/>
    <w:rsid w:val="005667DF"/>
    <w:rsid w:val="00571754"/>
    <w:rsid w:val="00581329"/>
    <w:rsid w:val="00587023"/>
    <w:rsid w:val="00587465"/>
    <w:rsid w:val="0059217F"/>
    <w:rsid w:val="0059249A"/>
    <w:rsid w:val="0059582F"/>
    <w:rsid w:val="00595FE3"/>
    <w:rsid w:val="005A02FA"/>
    <w:rsid w:val="005A1936"/>
    <w:rsid w:val="005A26AE"/>
    <w:rsid w:val="005A2D9B"/>
    <w:rsid w:val="005A31D5"/>
    <w:rsid w:val="005B6DDC"/>
    <w:rsid w:val="005C7A43"/>
    <w:rsid w:val="005D2300"/>
    <w:rsid w:val="005D45CA"/>
    <w:rsid w:val="005D58A3"/>
    <w:rsid w:val="005D67BF"/>
    <w:rsid w:val="005E19DE"/>
    <w:rsid w:val="005E60F7"/>
    <w:rsid w:val="005E7CC2"/>
    <w:rsid w:val="005F4F0D"/>
    <w:rsid w:val="005F73FC"/>
    <w:rsid w:val="00600569"/>
    <w:rsid w:val="006071D0"/>
    <w:rsid w:val="00611DBB"/>
    <w:rsid w:val="00613058"/>
    <w:rsid w:val="00617651"/>
    <w:rsid w:val="00620D82"/>
    <w:rsid w:val="00623F4E"/>
    <w:rsid w:val="00644E4D"/>
    <w:rsid w:val="00646C8F"/>
    <w:rsid w:val="00652B5D"/>
    <w:rsid w:val="0066278B"/>
    <w:rsid w:val="00674C2E"/>
    <w:rsid w:val="006825E2"/>
    <w:rsid w:val="00686C1D"/>
    <w:rsid w:val="00686E71"/>
    <w:rsid w:val="00690E59"/>
    <w:rsid w:val="00690E84"/>
    <w:rsid w:val="00697158"/>
    <w:rsid w:val="006A209C"/>
    <w:rsid w:val="006A21CF"/>
    <w:rsid w:val="006A7494"/>
    <w:rsid w:val="006C081F"/>
    <w:rsid w:val="006C37F1"/>
    <w:rsid w:val="006D0CF6"/>
    <w:rsid w:val="006D46C4"/>
    <w:rsid w:val="006E5C5F"/>
    <w:rsid w:val="006F1865"/>
    <w:rsid w:val="006F4083"/>
    <w:rsid w:val="006F4BB0"/>
    <w:rsid w:val="006F52C7"/>
    <w:rsid w:val="00702FA1"/>
    <w:rsid w:val="00712B9D"/>
    <w:rsid w:val="00713FEA"/>
    <w:rsid w:val="0071558B"/>
    <w:rsid w:val="00723F1F"/>
    <w:rsid w:val="007249D6"/>
    <w:rsid w:val="00727353"/>
    <w:rsid w:val="007321D3"/>
    <w:rsid w:val="00737A1E"/>
    <w:rsid w:val="00737F84"/>
    <w:rsid w:val="00740EF9"/>
    <w:rsid w:val="00741828"/>
    <w:rsid w:val="00742810"/>
    <w:rsid w:val="007445AC"/>
    <w:rsid w:val="007446FC"/>
    <w:rsid w:val="00745AA7"/>
    <w:rsid w:val="00750EE4"/>
    <w:rsid w:val="00751EBF"/>
    <w:rsid w:val="00754117"/>
    <w:rsid w:val="00760C24"/>
    <w:rsid w:val="007620D1"/>
    <w:rsid w:val="00763476"/>
    <w:rsid w:val="0076437F"/>
    <w:rsid w:val="00770CC4"/>
    <w:rsid w:val="007846BC"/>
    <w:rsid w:val="00785E22"/>
    <w:rsid w:val="007A20A2"/>
    <w:rsid w:val="007B53A5"/>
    <w:rsid w:val="007B59A6"/>
    <w:rsid w:val="007B7DDC"/>
    <w:rsid w:val="007C59F0"/>
    <w:rsid w:val="007C6067"/>
    <w:rsid w:val="007D010B"/>
    <w:rsid w:val="007D38A0"/>
    <w:rsid w:val="007D60CE"/>
    <w:rsid w:val="007D729A"/>
    <w:rsid w:val="007D7411"/>
    <w:rsid w:val="007E1475"/>
    <w:rsid w:val="007E78B4"/>
    <w:rsid w:val="00800AA7"/>
    <w:rsid w:val="00810A70"/>
    <w:rsid w:val="00813D9F"/>
    <w:rsid w:val="00814796"/>
    <w:rsid w:val="00821B3E"/>
    <w:rsid w:val="008233AF"/>
    <w:rsid w:val="00827173"/>
    <w:rsid w:val="00836031"/>
    <w:rsid w:val="00836320"/>
    <w:rsid w:val="00840E24"/>
    <w:rsid w:val="0084211F"/>
    <w:rsid w:val="00844EF5"/>
    <w:rsid w:val="00847DD3"/>
    <w:rsid w:val="00855351"/>
    <w:rsid w:val="008577B8"/>
    <w:rsid w:val="00862B19"/>
    <w:rsid w:val="00865C76"/>
    <w:rsid w:val="0087031B"/>
    <w:rsid w:val="00872181"/>
    <w:rsid w:val="008731D3"/>
    <w:rsid w:val="008756F8"/>
    <w:rsid w:val="00883B8D"/>
    <w:rsid w:val="008862D8"/>
    <w:rsid w:val="00887CA7"/>
    <w:rsid w:val="0089479C"/>
    <w:rsid w:val="008A0FA9"/>
    <w:rsid w:val="008C28AD"/>
    <w:rsid w:val="008C60CA"/>
    <w:rsid w:val="008D0DAB"/>
    <w:rsid w:val="008E5847"/>
    <w:rsid w:val="008E5EEB"/>
    <w:rsid w:val="008F513D"/>
    <w:rsid w:val="00905ABA"/>
    <w:rsid w:val="00905E74"/>
    <w:rsid w:val="0090679B"/>
    <w:rsid w:val="00916BE4"/>
    <w:rsid w:val="0092011F"/>
    <w:rsid w:val="00924747"/>
    <w:rsid w:val="00927D75"/>
    <w:rsid w:val="00930A6A"/>
    <w:rsid w:val="00953937"/>
    <w:rsid w:val="009612A4"/>
    <w:rsid w:val="00961E42"/>
    <w:rsid w:val="00962C6E"/>
    <w:rsid w:val="00964082"/>
    <w:rsid w:val="00973393"/>
    <w:rsid w:val="009802F4"/>
    <w:rsid w:val="0098161B"/>
    <w:rsid w:val="0098183F"/>
    <w:rsid w:val="0098188F"/>
    <w:rsid w:val="00995546"/>
    <w:rsid w:val="009A13EA"/>
    <w:rsid w:val="009A77F5"/>
    <w:rsid w:val="009B1167"/>
    <w:rsid w:val="009B1F24"/>
    <w:rsid w:val="009B4396"/>
    <w:rsid w:val="009C0DE1"/>
    <w:rsid w:val="009C207F"/>
    <w:rsid w:val="009D2E4E"/>
    <w:rsid w:val="009E05F2"/>
    <w:rsid w:val="009F4E80"/>
    <w:rsid w:val="009F6E63"/>
    <w:rsid w:val="00A0194E"/>
    <w:rsid w:val="00A0627B"/>
    <w:rsid w:val="00A06902"/>
    <w:rsid w:val="00A11EA6"/>
    <w:rsid w:val="00A13C66"/>
    <w:rsid w:val="00A21C96"/>
    <w:rsid w:val="00A21D6C"/>
    <w:rsid w:val="00A24F25"/>
    <w:rsid w:val="00A269DF"/>
    <w:rsid w:val="00A26CD3"/>
    <w:rsid w:val="00A27AA4"/>
    <w:rsid w:val="00A3094D"/>
    <w:rsid w:val="00A343E8"/>
    <w:rsid w:val="00A34F30"/>
    <w:rsid w:val="00A51675"/>
    <w:rsid w:val="00A532B3"/>
    <w:rsid w:val="00A55A49"/>
    <w:rsid w:val="00A606C0"/>
    <w:rsid w:val="00A7047A"/>
    <w:rsid w:val="00A70FD0"/>
    <w:rsid w:val="00A720E2"/>
    <w:rsid w:val="00A74415"/>
    <w:rsid w:val="00A767F6"/>
    <w:rsid w:val="00A77BAC"/>
    <w:rsid w:val="00A82208"/>
    <w:rsid w:val="00A82882"/>
    <w:rsid w:val="00A85198"/>
    <w:rsid w:val="00A86D67"/>
    <w:rsid w:val="00A87B99"/>
    <w:rsid w:val="00A92C0B"/>
    <w:rsid w:val="00A94490"/>
    <w:rsid w:val="00A95700"/>
    <w:rsid w:val="00AA50D3"/>
    <w:rsid w:val="00AB0055"/>
    <w:rsid w:val="00AC24F6"/>
    <w:rsid w:val="00AD6312"/>
    <w:rsid w:val="00AD7627"/>
    <w:rsid w:val="00AE6B04"/>
    <w:rsid w:val="00AE707B"/>
    <w:rsid w:val="00AF0650"/>
    <w:rsid w:val="00AF6243"/>
    <w:rsid w:val="00B01907"/>
    <w:rsid w:val="00B0440C"/>
    <w:rsid w:val="00B04D68"/>
    <w:rsid w:val="00B0758F"/>
    <w:rsid w:val="00B0799B"/>
    <w:rsid w:val="00B07DD7"/>
    <w:rsid w:val="00B100FC"/>
    <w:rsid w:val="00B101A4"/>
    <w:rsid w:val="00B10EA1"/>
    <w:rsid w:val="00B1391D"/>
    <w:rsid w:val="00B139B6"/>
    <w:rsid w:val="00B14043"/>
    <w:rsid w:val="00B14454"/>
    <w:rsid w:val="00B236D7"/>
    <w:rsid w:val="00B25BCA"/>
    <w:rsid w:val="00B33657"/>
    <w:rsid w:val="00B371A4"/>
    <w:rsid w:val="00B60BE6"/>
    <w:rsid w:val="00B67732"/>
    <w:rsid w:val="00B705E4"/>
    <w:rsid w:val="00B75818"/>
    <w:rsid w:val="00B8117D"/>
    <w:rsid w:val="00B817DB"/>
    <w:rsid w:val="00B838F9"/>
    <w:rsid w:val="00B873B0"/>
    <w:rsid w:val="00B92999"/>
    <w:rsid w:val="00B95B0B"/>
    <w:rsid w:val="00B96F81"/>
    <w:rsid w:val="00BA47B9"/>
    <w:rsid w:val="00BA7898"/>
    <w:rsid w:val="00BB3B33"/>
    <w:rsid w:val="00BC4C87"/>
    <w:rsid w:val="00BC7960"/>
    <w:rsid w:val="00BD3881"/>
    <w:rsid w:val="00BD444C"/>
    <w:rsid w:val="00BD6727"/>
    <w:rsid w:val="00BD6A56"/>
    <w:rsid w:val="00BF0246"/>
    <w:rsid w:val="00BF270C"/>
    <w:rsid w:val="00BF33BA"/>
    <w:rsid w:val="00BF5056"/>
    <w:rsid w:val="00BF6A84"/>
    <w:rsid w:val="00C1382C"/>
    <w:rsid w:val="00C1403F"/>
    <w:rsid w:val="00C33465"/>
    <w:rsid w:val="00C338C0"/>
    <w:rsid w:val="00C342CB"/>
    <w:rsid w:val="00C361EB"/>
    <w:rsid w:val="00C417C2"/>
    <w:rsid w:val="00C5615B"/>
    <w:rsid w:val="00C76725"/>
    <w:rsid w:val="00C76E06"/>
    <w:rsid w:val="00C87201"/>
    <w:rsid w:val="00C95F86"/>
    <w:rsid w:val="00CA2804"/>
    <w:rsid w:val="00CA488B"/>
    <w:rsid w:val="00CA67F1"/>
    <w:rsid w:val="00CC3BE2"/>
    <w:rsid w:val="00CC5166"/>
    <w:rsid w:val="00CC66AB"/>
    <w:rsid w:val="00CC6C00"/>
    <w:rsid w:val="00CD3E5E"/>
    <w:rsid w:val="00CD4561"/>
    <w:rsid w:val="00CD67B7"/>
    <w:rsid w:val="00CE226E"/>
    <w:rsid w:val="00CE3994"/>
    <w:rsid w:val="00CE5565"/>
    <w:rsid w:val="00CE5988"/>
    <w:rsid w:val="00CF44BF"/>
    <w:rsid w:val="00CF7221"/>
    <w:rsid w:val="00D05EAC"/>
    <w:rsid w:val="00D11E03"/>
    <w:rsid w:val="00D11E97"/>
    <w:rsid w:val="00D207B3"/>
    <w:rsid w:val="00D21485"/>
    <w:rsid w:val="00D2667D"/>
    <w:rsid w:val="00D31188"/>
    <w:rsid w:val="00D346E8"/>
    <w:rsid w:val="00D36A2A"/>
    <w:rsid w:val="00D46429"/>
    <w:rsid w:val="00D4720A"/>
    <w:rsid w:val="00D472F5"/>
    <w:rsid w:val="00D51D52"/>
    <w:rsid w:val="00D610AE"/>
    <w:rsid w:val="00D6323E"/>
    <w:rsid w:val="00D670CC"/>
    <w:rsid w:val="00D751B4"/>
    <w:rsid w:val="00D82017"/>
    <w:rsid w:val="00D93ED1"/>
    <w:rsid w:val="00D96EBE"/>
    <w:rsid w:val="00DA1123"/>
    <w:rsid w:val="00DA2AC0"/>
    <w:rsid w:val="00DA3912"/>
    <w:rsid w:val="00DA6E1B"/>
    <w:rsid w:val="00DB218E"/>
    <w:rsid w:val="00DB2A44"/>
    <w:rsid w:val="00DB695E"/>
    <w:rsid w:val="00DB7594"/>
    <w:rsid w:val="00DC1D57"/>
    <w:rsid w:val="00DC5F77"/>
    <w:rsid w:val="00DE454B"/>
    <w:rsid w:val="00DE7D0D"/>
    <w:rsid w:val="00DE7F20"/>
    <w:rsid w:val="00DF4B99"/>
    <w:rsid w:val="00DF588B"/>
    <w:rsid w:val="00E02195"/>
    <w:rsid w:val="00E03D8E"/>
    <w:rsid w:val="00E0673C"/>
    <w:rsid w:val="00E10742"/>
    <w:rsid w:val="00E1213E"/>
    <w:rsid w:val="00E15A7F"/>
    <w:rsid w:val="00E205F9"/>
    <w:rsid w:val="00E23A73"/>
    <w:rsid w:val="00E3635F"/>
    <w:rsid w:val="00E43831"/>
    <w:rsid w:val="00E45EC9"/>
    <w:rsid w:val="00E51711"/>
    <w:rsid w:val="00E51713"/>
    <w:rsid w:val="00E5407B"/>
    <w:rsid w:val="00E7447B"/>
    <w:rsid w:val="00E818EE"/>
    <w:rsid w:val="00E85260"/>
    <w:rsid w:val="00E93AE1"/>
    <w:rsid w:val="00E9427E"/>
    <w:rsid w:val="00EA08CE"/>
    <w:rsid w:val="00EA0F02"/>
    <w:rsid w:val="00EA2097"/>
    <w:rsid w:val="00EA4433"/>
    <w:rsid w:val="00EA7C0D"/>
    <w:rsid w:val="00EC0045"/>
    <w:rsid w:val="00ED2C16"/>
    <w:rsid w:val="00ED5237"/>
    <w:rsid w:val="00ED714A"/>
    <w:rsid w:val="00EE696C"/>
    <w:rsid w:val="00EE7478"/>
    <w:rsid w:val="00EF3F4B"/>
    <w:rsid w:val="00EF57FC"/>
    <w:rsid w:val="00F02CB5"/>
    <w:rsid w:val="00F06794"/>
    <w:rsid w:val="00F11C6A"/>
    <w:rsid w:val="00F156E4"/>
    <w:rsid w:val="00F200B0"/>
    <w:rsid w:val="00F2169A"/>
    <w:rsid w:val="00F24524"/>
    <w:rsid w:val="00F24553"/>
    <w:rsid w:val="00F249FD"/>
    <w:rsid w:val="00F32A75"/>
    <w:rsid w:val="00F6427D"/>
    <w:rsid w:val="00F6529E"/>
    <w:rsid w:val="00F73EEA"/>
    <w:rsid w:val="00F76947"/>
    <w:rsid w:val="00F76994"/>
    <w:rsid w:val="00F77637"/>
    <w:rsid w:val="00F82647"/>
    <w:rsid w:val="00F838CE"/>
    <w:rsid w:val="00F94FE5"/>
    <w:rsid w:val="00F9619B"/>
    <w:rsid w:val="00FA41BE"/>
    <w:rsid w:val="00FA42B4"/>
    <w:rsid w:val="00FA7952"/>
    <w:rsid w:val="00FB1E75"/>
    <w:rsid w:val="00FB6A66"/>
    <w:rsid w:val="00FE7D6B"/>
    <w:rsid w:val="00FF470F"/>
    <w:rsid w:val="00FF6213"/>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ACB60DD"/>
  <w15:chartTrackingRefBased/>
  <w15:docId w15:val="{B2CBB523-3157-4B9F-9537-2610A8697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4561"/>
    <w:pPr>
      <w:spacing w:after="200" w:line="276" w:lineRule="auto"/>
    </w:pPr>
    <w:rPr>
      <w:kern w:val="0"/>
      <w:sz w:val="22"/>
      <w:szCs w:val="22"/>
      <w:lang w:val="en-GB"/>
      <w14:ligatures w14:val="none"/>
    </w:rPr>
  </w:style>
  <w:style w:type="paragraph" w:styleId="Heading1">
    <w:name w:val="heading 1"/>
    <w:basedOn w:val="Normal"/>
    <w:next w:val="Normal"/>
    <w:link w:val="Heading1Char"/>
    <w:uiPriority w:val="9"/>
    <w:qFormat/>
    <w:rsid w:val="009A13EA"/>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9A13EA"/>
    <w:pPr>
      <w:keepNext/>
      <w:keepLines/>
      <w:spacing w:before="160" w:after="80"/>
      <w:outlineLvl w:val="1"/>
    </w:pPr>
    <w:rPr>
      <w:rFonts w:ascii="Arial" w:eastAsiaTheme="majorEastAsia" w:hAnsi="Arial" w:cstheme="majorBidi"/>
      <w:b/>
      <w:color w:val="000000" w:themeColor="text1"/>
      <w:sz w:val="28"/>
      <w:szCs w:val="32"/>
    </w:rPr>
  </w:style>
  <w:style w:type="paragraph" w:styleId="Heading3">
    <w:name w:val="heading 3"/>
    <w:basedOn w:val="Normal"/>
    <w:next w:val="Normal"/>
    <w:link w:val="Heading3Char"/>
    <w:uiPriority w:val="9"/>
    <w:unhideWhenUsed/>
    <w:qFormat/>
    <w:rsid w:val="004934D6"/>
    <w:pPr>
      <w:keepNext/>
      <w:keepLines/>
      <w:spacing w:before="160" w:after="80"/>
      <w:outlineLvl w:val="2"/>
    </w:pPr>
    <w:rPr>
      <w:rFonts w:ascii="Arial" w:eastAsiaTheme="majorEastAsia" w:hAnsi="Arial" w:cstheme="majorBidi"/>
      <w:b/>
      <w:color w:val="000000" w:themeColor="text1"/>
      <w:sz w:val="26"/>
      <w:szCs w:val="28"/>
    </w:rPr>
  </w:style>
  <w:style w:type="paragraph" w:styleId="Heading4">
    <w:name w:val="heading 4"/>
    <w:basedOn w:val="Normal"/>
    <w:next w:val="Normal"/>
    <w:link w:val="Heading4Char"/>
    <w:uiPriority w:val="9"/>
    <w:semiHidden/>
    <w:unhideWhenUsed/>
    <w:qFormat/>
    <w:rsid w:val="0001067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1067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106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06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06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06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3EA"/>
    <w:rPr>
      <w:rFonts w:ascii="Arial" w:eastAsiaTheme="majorEastAsia" w:hAnsi="Arial" w:cstheme="majorBidi"/>
      <w:b/>
      <w:color w:val="000000" w:themeColor="text1"/>
      <w:kern w:val="0"/>
      <w:sz w:val="32"/>
      <w:szCs w:val="40"/>
      <w:lang w:val="en-GB"/>
      <w14:ligatures w14:val="none"/>
    </w:rPr>
  </w:style>
  <w:style w:type="character" w:customStyle="1" w:styleId="Heading2Char">
    <w:name w:val="Heading 2 Char"/>
    <w:basedOn w:val="DefaultParagraphFont"/>
    <w:link w:val="Heading2"/>
    <w:uiPriority w:val="9"/>
    <w:rsid w:val="009A13EA"/>
    <w:rPr>
      <w:rFonts w:ascii="Arial" w:eastAsiaTheme="majorEastAsia" w:hAnsi="Arial" w:cstheme="majorBidi"/>
      <w:b/>
      <w:color w:val="000000" w:themeColor="text1"/>
      <w:kern w:val="0"/>
      <w:sz w:val="28"/>
      <w:szCs w:val="32"/>
      <w:lang w:val="en-GB"/>
      <w14:ligatures w14:val="none"/>
    </w:rPr>
  </w:style>
  <w:style w:type="character" w:customStyle="1" w:styleId="Heading3Char">
    <w:name w:val="Heading 3 Char"/>
    <w:basedOn w:val="DefaultParagraphFont"/>
    <w:link w:val="Heading3"/>
    <w:uiPriority w:val="9"/>
    <w:rsid w:val="004934D6"/>
    <w:rPr>
      <w:rFonts w:ascii="Arial" w:eastAsiaTheme="majorEastAsia" w:hAnsi="Arial" w:cstheme="majorBidi"/>
      <w:b/>
      <w:color w:val="000000" w:themeColor="text1"/>
      <w:kern w:val="0"/>
      <w:sz w:val="26"/>
      <w:szCs w:val="28"/>
      <w:lang w:val="en-GB"/>
      <w14:ligatures w14:val="none"/>
    </w:rPr>
  </w:style>
  <w:style w:type="character" w:customStyle="1" w:styleId="Heading4Char">
    <w:name w:val="Heading 4 Char"/>
    <w:basedOn w:val="DefaultParagraphFont"/>
    <w:link w:val="Heading4"/>
    <w:uiPriority w:val="9"/>
    <w:semiHidden/>
    <w:rsid w:val="0001067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1067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106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06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06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067B"/>
    <w:rPr>
      <w:rFonts w:eastAsiaTheme="majorEastAsia" w:cstheme="majorBidi"/>
      <w:color w:val="272727" w:themeColor="text1" w:themeTint="D8"/>
    </w:rPr>
  </w:style>
  <w:style w:type="paragraph" w:styleId="Title">
    <w:name w:val="Title"/>
    <w:basedOn w:val="Normal"/>
    <w:next w:val="Normal"/>
    <w:link w:val="TitleChar"/>
    <w:uiPriority w:val="10"/>
    <w:qFormat/>
    <w:rsid w:val="000106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06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06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06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067B"/>
    <w:pPr>
      <w:spacing w:before="160"/>
      <w:jc w:val="center"/>
    </w:pPr>
    <w:rPr>
      <w:i/>
      <w:iCs/>
      <w:color w:val="404040" w:themeColor="text1" w:themeTint="BF"/>
    </w:rPr>
  </w:style>
  <w:style w:type="character" w:customStyle="1" w:styleId="QuoteChar">
    <w:name w:val="Quote Char"/>
    <w:basedOn w:val="DefaultParagraphFont"/>
    <w:link w:val="Quote"/>
    <w:uiPriority w:val="29"/>
    <w:rsid w:val="0001067B"/>
    <w:rPr>
      <w:i/>
      <w:iCs/>
      <w:color w:val="404040" w:themeColor="text1" w:themeTint="BF"/>
    </w:rPr>
  </w:style>
  <w:style w:type="paragraph" w:styleId="ListParagraph">
    <w:name w:val="List Paragraph"/>
    <w:basedOn w:val="Normal"/>
    <w:uiPriority w:val="34"/>
    <w:qFormat/>
    <w:rsid w:val="0001067B"/>
    <w:pPr>
      <w:ind w:left="720"/>
      <w:contextualSpacing/>
    </w:pPr>
  </w:style>
  <w:style w:type="character" w:styleId="IntenseEmphasis">
    <w:name w:val="Intense Emphasis"/>
    <w:basedOn w:val="DefaultParagraphFont"/>
    <w:uiPriority w:val="21"/>
    <w:qFormat/>
    <w:rsid w:val="0001067B"/>
    <w:rPr>
      <w:i/>
      <w:iCs/>
      <w:color w:val="2F5496" w:themeColor="accent1" w:themeShade="BF"/>
    </w:rPr>
  </w:style>
  <w:style w:type="paragraph" w:styleId="IntenseQuote">
    <w:name w:val="Intense Quote"/>
    <w:basedOn w:val="Normal"/>
    <w:next w:val="Normal"/>
    <w:link w:val="IntenseQuoteChar"/>
    <w:uiPriority w:val="30"/>
    <w:qFormat/>
    <w:rsid w:val="000106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1067B"/>
    <w:rPr>
      <w:i/>
      <w:iCs/>
      <w:color w:val="2F5496" w:themeColor="accent1" w:themeShade="BF"/>
    </w:rPr>
  </w:style>
  <w:style w:type="character" w:styleId="IntenseReference">
    <w:name w:val="Intense Reference"/>
    <w:basedOn w:val="DefaultParagraphFont"/>
    <w:uiPriority w:val="32"/>
    <w:qFormat/>
    <w:rsid w:val="0001067B"/>
    <w:rPr>
      <w:b/>
      <w:bCs/>
      <w:smallCaps/>
      <w:color w:val="2F5496" w:themeColor="accent1" w:themeShade="BF"/>
      <w:spacing w:val="5"/>
    </w:rPr>
  </w:style>
  <w:style w:type="paragraph" w:styleId="NormalWeb">
    <w:name w:val="Normal (Web)"/>
    <w:basedOn w:val="Normal"/>
    <w:uiPriority w:val="99"/>
    <w:unhideWhenUsed/>
    <w:rsid w:val="00CD456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CD45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4561"/>
    <w:rPr>
      <w:kern w:val="0"/>
      <w:sz w:val="22"/>
      <w:szCs w:val="22"/>
      <w:lang w:val="en-GB"/>
      <w14:ligatures w14:val="none"/>
    </w:rPr>
  </w:style>
  <w:style w:type="paragraph" w:styleId="TOCHeading">
    <w:name w:val="TOC Heading"/>
    <w:basedOn w:val="Heading1"/>
    <w:next w:val="Normal"/>
    <w:uiPriority w:val="39"/>
    <w:unhideWhenUsed/>
    <w:qFormat/>
    <w:rsid w:val="00CD4561"/>
    <w:pPr>
      <w:spacing w:before="480" w:after="0"/>
      <w:outlineLvl w:val="9"/>
    </w:pPr>
    <w:rPr>
      <w:b w:val="0"/>
      <w:bCs/>
      <w:sz w:val="28"/>
      <w:szCs w:val="28"/>
      <w:lang w:eastAsia="ja-JP"/>
    </w:rPr>
  </w:style>
  <w:style w:type="paragraph" w:styleId="TOC1">
    <w:name w:val="toc 1"/>
    <w:basedOn w:val="Normal"/>
    <w:next w:val="Normal"/>
    <w:autoRedefine/>
    <w:uiPriority w:val="39"/>
    <w:unhideWhenUsed/>
    <w:rsid w:val="00CD4561"/>
    <w:pPr>
      <w:spacing w:after="100"/>
    </w:pPr>
  </w:style>
  <w:style w:type="character" w:styleId="Hyperlink">
    <w:name w:val="Hyperlink"/>
    <w:basedOn w:val="DefaultParagraphFont"/>
    <w:uiPriority w:val="99"/>
    <w:unhideWhenUsed/>
    <w:rsid w:val="00CD4561"/>
    <w:rPr>
      <w:color w:val="0563C1" w:themeColor="hyperlink"/>
      <w:u w:val="single"/>
    </w:rPr>
  </w:style>
  <w:style w:type="paragraph" w:styleId="NoSpacing">
    <w:name w:val="No Spacing"/>
    <w:link w:val="NoSpacingChar"/>
    <w:uiPriority w:val="1"/>
    <w:qFormat/>
    <w:rsid w:val="00CD4561"/>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CD4561"/>
    <w:rPr>
      <w:rFonts w:eastAsiaTheme="minorEastAsia"/>
      <w:kern w:val="0"/>
      <w:sz w:val="22"/>
      <w:szCs w:val="22"/>
      <w14:ligatures w14:val="none"/>
    </w:rPr>
  </w:style>
  <w:style w:type="character" w:customStyle="1" w:styleId="citation-198">
    <w:name w:val="citation-198"/>
    <w:basedOn w:val="DefaultParagraphFont"/>
    <w:rsid w:val="00CD4561"/>
  </w:style>
  <w:style w:type="character" w:customStyle="1" w:styleId="citation-197">
    <w:name w:val="citation-197"/>
    <w:basedOn w:val="DefaultParagraphFont"/>
    <w:rsid w:val="00CD4561"/>
  </w:style>
  <w:style w:type="character" w:customStyle="1" w:styleId="citation-194">
    <w:name w:val="citation-194"/>
    <w:basedOn w:val="DefaultParagraphFont"/>
    <w:rsid w:val="00CD4561"/>
  </w:style>
  <w:style w:type="paragraph" w:styleId="TOC2">
    <w:name w:val="toc 2"/>
    <w:basedOn w:val="Normal"/>
    <w:next w:val="Normal"/>
    <w:autoRedefine/>
    <w:uiPriority w:val="39"/>
    <w:unhideWhenUsed/>
    <w:rsid w:val="00CD4561"/>
    <w:pPr>
      <w:spacing w:after="100"/>
      <w:ind w:left="220"/>
    </w:pPr>
  </w:style>
  <w:style w:type="paragraph" w:styleId="Caption">
    <w:name w:val="caption"/>
    <w:basedOn w:val="Normal"/>
    <w:next w:val="Normal"/>
    <w:uiPriority w:val="35"/>
    <w:unhideWhenUsed/>
    <w:qFormat/>
    <w:rsid w:val="00CD4561"/>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CD4561"/>
    <w:pPr>
      <w:spacing w:after="0"/>
    </w:pPr>
  </w:style>
  <w:style w:type="table" w:styleId="TableGrid">
    <w:name w:val="Table Grid"/>
    <w:basedOn w:val="TableNormal"/>
    <w:uiPriority w:val="39"/>
    <w:rsid w:val="004762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C5F77"/>
    <w:rPr>
      <w:color w:val="666666"/>
    </w:rPr>
  </w:style>
  <w:style w:type="character" w:customStyle="1" w:styleId="UnresolvedMention1">
    <w:name w:val="Unresolved Mention1"/>
    <w:basedOn w:val="DefaultParagraphFont"/>
    <w:uiPriority w:val="99"/>
    <w:semiHidden/>
    <w:unhideWhenUsed/>
    <w:rsid w:val="00541A7B"/>
    <w:rPr>
      <w:color w:val="605E5C"/>
      <w:shd w:val="clear" w:color="auto" w:fill="E1DFDD"/>
    </w:rPr>
  </w:style>
  <w:style w:type="paragraph" w:styleId="TOC3">
    <w:name w:val="toc 3"/>
    <w:basedOn w:val="Normal"/>
    <w:next w:val="Normal"/>
    <w:autoRedefine/>
    <w:uiPriority w:val="39"/>
    <w:unhideWhenUsed/>
    <w:rsid w:val="00C5615B"/>
    <w:pPr>
      <w:spacing w:after="100"/>
      <w:ind w:left="440"/>
    </w:pPr>
  </w:style>
  <w:style w:type="character" w:styleId="Strong">
    <w:name w:val="Strong"/>
    <w:basedOn w:val="DefaultParagraphFont"/>
    <w:uiPriority w:val="22"/>
    <w:qFormat/>
    <w:rsid w:val="001110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www.cengage.com" TargetMode="External"/><Relationship Id="rId18" Type="http://schemas.openxmlformats.org/officeDocument/2006/relationships/hyperlink" Target="https://www.sciencedirect.com" TargetMode="External"/><Relationship Id="rId26" Type="http://schemas.openxmlformats.org/officeDocument/2006/relationships/hyperlink" Target="https://www.sciencedirect.com" TargetMode="External"/><Relationship Id="rId3" Type="http://schemas.openxmlformats.org/officeDocument/2006/relationships/settings" Target="settings.xml"/><Relationship Id="rId21" Type="http://schemas.openxmlformats.org/officeDocument/2006/relationships/hyperlink" Target="https://www.ijtef.org" TargetMode="External"/><Relationship Id="rId7" Type="http://schemas.openxmlformats.org/officeDocument/2006/relationships/image" Target="media/image1.png"/><Relationship Id="rId12" Type="http://schemas.openxmlformats.org/officeDocument/2006/relationships/hyperlink" Target="https://www.mheducation.com" TargetMode="External"/><Relationship Id="rId17" Type="http://schemas.openxmlformats.org/officeDocument/2006/relationships/hyperlink" Target="https://www.sciencedirect.com" TargetMode="External"/><Relationship Id="rId25" Type="http://schemas.openxmlformats.org/officeDocument/2006/relationships/hyperlink" Target="https://www.worldbank.org" TargetMode="External"/><Relationship Id="rId2" Type="http://schemas.openxmlformats.org/officeDocument/2006/relationships/styles" Target="styles.xml"/><Relationship Id="rId16" Type="http://schemas.openxmlformats.org/officeDocument/2006/relationships/hyperlink" Target="https://www.ifrs.org" TargetMode="External"/><Relationship Id="rId20" Type="http://schemas.openxmlformats.org/officeDocument/2006/relationships/hyperlink" Target="https://www.mheducation.com"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earson.com/en-gb%20" TargetMode="External"/><Relationship Id="rId24" Type="http://schemas.openxmlformats.org/officeDocument/2006/relationships/hyperlink" Target="https://www.pearson.com" TargetMode="External"/><Relationship Id="rId5" Type="http://schemas.openxmlformats.org/officeDocument/2006/relationships/footnotes" Target="footnotes.xml"/><Relationship Id="rId15" Type="http://schemas.openxmlformats.org/officeDocument/2006/relationships/hyperlink" Target="https://www.journalofappliedfinance.org" TargetMode="External"/><Relationship Id="rId23" Type="http://schemas.openxmlformats.org/officeDocument/2006/relationships/hyperlink" Target="https://www.unglobalcompact.org" TargetMode="External"/><Relationship Id="rId28" Type="http://schemas.openxmlformats.org/officeDocument/2006/relationships/image" Target="media/image3.png"/><Relationship Id="rId10" Type="http://schemas.openxmlformats.org/officeDocument/2006/relationships/hyperlink" Target="https://www.wiley.com/en-us" TargetMode="External"/><Relationship Id="rId19" Type="http://schemas.openxmlformats.org/officeDocument/2006/relationships/hyperlink" Target="https://www.cengage.co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jstor.org/stable/2978933" TargetMode="External"/><Relationship Id="rId14" Type="http://schemas.openxmlformats.org/officeDocument/2006/relationships/hyperlink" Target="https://pages.stern.nyu.edu/~adamodar/" TargetMode="External"/><Relationship Id="rId22" Type="http://schemas.openxmlformats.org/officeDocument/2006/relationships/hyperlink" Target="https://www.cengage.com" TargetMode="External"/><Relationship Id="rId27" Type="http://schemas.openxmlformats.org/officeDocument/2006/relationships/image" Target="media/image2.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1495</TotalTime>
  <Pages>36</Pages>
  <Words>7040</Words>
  <Characters>40128</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Md. Sowkot Hossen</cp:lastModifiedBy>
  <cp:revision>552</cp:revision>
  <dcterms:created xsi:type="dcterms:W3CDTF">2025-11-21T07:56:00Z</dcterms:created>
  <dcterms:modified xsi:type="dcterms:W3CDTF">2025-12-20T09:12:00Z</dcterms:modified>
</cp:coreProperties>
</file>