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82005" w14:textId="6D962BE4" w:rsidR="00DE2DAA" w:rsidRPr="008E20CC" w:rsidRDefault="008E20CC">
      <w:pPr>
        <w:rPr>
          <w:b/>
          <w:bCs/>
        </w:rPr>
      </w:pPr>
      <w:r w:rsidRPr="008E20CC">
        <w:rPr>
          <w:b/>
          <w:bCs/>
        </w:rPr>
        <w:t>Essential reading for week 1</w:t>
      </w:r>
    </w:p>
    <w:tbl>
      <w:tblPr>
        <w:tblStyle w:val="TableGrid"/>
        <w:tblpPr w:leftFromText="180" w:rightFromText="180" w:vertAnchor="page" w:horzAnchor="margin" w:tblpY="2611"/>
        <w:tblW w:w="14029" w:type="dxa"/>
        <w:tblLook w:val="04A0" w:firstRow="1" w:lastRow="0" w:firstColumn="1" w:lastColumn="0" w:noHBand="0" w:noVBand="1"/>
      </w:tblPr>
      <w:tblGrid>
        <w:gridCol w:w="14029"/>
      </w:tblGrid>
      <w:tr w:rsidR="008E20CC" w:rsidRPr="00FC6387" w14:paraId="410E4F3F" w14:textId="77777777" w:rsidTr="008E20CC">
        <w:tc>
          <w:tcPr>
            <w:tcW w:w="14029" w:type="dxa"/>
          </w:tcPr>
          <w:p w14:paraId="69857CB6" w14:textId="77777777" w:rsidR="008E20CC" w:rsidRPr="00FC6387" w:rsidRDefault="008E20CC" w:rsidP="008E20C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Essential reading</w:t>
            </w:r>
          </w:p>
        </w:tc>
      </w:tr>
      <w:tr w:rsidR="008E20CC" w:rsidRPr="00922E7B" w14:paraId="58C0C3BD" w14:textId="77777777" w:rsidTr="008E20CC">
        <w:tc>
          <w:tcPr>
            <w:tcW w:w="14029" w:type="dxa"/>
          </w:tcPr>
          <w:p w14:paraId="5D030AC3" w14:textId="77777777" w:rsidR="008E20CC" w:rsidRPr="008E20CC" w:rsidRDefault="008E20CC" w:rsidP="008E20CC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8E20CC">
              <w:rPr>
                <w:b/>
                <w:bCs/>
                <w:color w:val="000000" w:themeColor="text1"/>
                <w:sz w:val="22"/>
                <w:szCs w:val="22"/>
              </w:rPr>
              <w:t xml:space="preserve">Weetman, P (2013) </w:t>
            </w:r>
            <w:r w:rsidRPr="008E20CC">
              <w:rPr>
                <w:b/>
                <w:bCs/>
                <w:i/>
                <w:iCs/>
                <w:color w:val="000000" w:themeColor="text1"/>
                <w:sz w:val="22"/>
                <w:szCs w:val="22"/>
              </w:rPr>
              <w:t>Financial and Management Accounting</w:t>
            </w:r>
            <w:r w:rsidRPr="008E20CC">
              <w:rPr>
                <w:b/>
                <w:bCs/>
                <w:color w:val="000000" w:themeColor="text1"/>
                <w:sz w:val="22"/>
                <w:szCs w:val="22"/>
              </w:rPr>
              <w:t>, 6</w:t>
            </w:r>
            <w:r w:rsidRPr="008E20CC">
              <w:rPr>
                <w:b/>
                <w:bCs/>
                <w:color w:val="000000" w:themeColor="text1"/>
                <w:sz w:val="22"/>
                <w:szCs w:val="22"/>
                <w:vertAlign w:val="superscript"/>
              </w:rPr>
              <w:t>th</w:t>
            </w:r>
            <w:r w:rsidRPr="008E20CC">
              <w:rPr>
                <w:b/>
                <w:bCs/>
                <w:color w:val="000000" w:themeColor="text1"/>
                <w:sz w:val="22"/>
                <w:szCs w:val="22"/>
              </w:rPr>
              <w:t xml:space="preserve"> edition, Pearson Education pp. 7-21</w:t>
            </w:r>
          </w:p>
        </w:tc>
      </w:tr>
      <w:tr w:rsidR="008E20CC" w:rsidRPr="00FC6387" w14:paraId="13A20384" w14:textId="77777777" w:rsidTr="008E20CC">
        <w:tc>
          <w:tcPr>
            <w:tcW w:w="14029" w:type="dxa"/>
          </w:tcPr>
          <w:p w14:paraId="76220EE3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162-341</w:t>
            </w:r>
          </w:p>
        </w:tc>
      </w:tr>
      <w:tr w:rsidR="008E20CC" w:rsidRPr="00FC6387" w14:paraId="0F68ABAA" w14:textId="77777777" w:rsidTr="008E20CC">
        <w:tc>
          <w:tcPr>
            <w:tcW w:w="14029" w:type="dxa"/>
          </w:tcPr>
          <w:p w14:paraId="496DABE7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344-373</w:t>
            </w:r>
          </w:p>
        </w:tc>
      </w:tr>
      <w:tr w:rsidR="008E20CC" w:rsidRPr="00FC6387" w14:paraId="19BB8CB1" w14:textId="77777777" w:rsidTr="008E20CC">
        <w:tc>
          <w:tcPr>
            <w:tcW w:w="14029" w:type="dxa"/>
          </w:tcPr>
          <w:p w14:paraId="3D8E5E11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344-373</w:t>
            </w:r>
          </w:p>
        </w:tc>
      </w:tr>
      <w:tr w:rsidR="008E20CC" w:rsidRPr="00FC6387" w14:paraId="6BEA2907" w14:textId="77777777" w:rsidTr="008E20CC">
        <w:tc>
          <w:tcPr>
            <w:tcW w:w="14029" w:type="dxa"/>
          </w:tcPr>
          <w:p w14:paraId="4B1125F6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162-341</w:t>
            </w:r>
          </w:p>
        </w:tc>
      </w:tr>
      <w:tr w:rsidR="008E20CC" w:rsidRPr="00FC6387" w14:paraId="35EECC5C" w14:textId="77777777" w:rsidTr="008E20CC">
        <w:tc>
          <w:tcPr>
            <w:tcW w:w="14029" w:type="dxa"/>
          </w:tcPr>
          <w:p w14:paraId="1134E982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344-373</w:t>
            </w:r>
          </w:p>
        </w:tc>
      </w:tr>
      <w:tr w:rsidR="008E20CC" w:rsidRPr="00FC6387" w14:paraId="40FC1FEB" w14:textId="77777777" w:rsidTr="008E20CC">
        <w:tc>
          <w:tcPr>
            <w:tcW w:w="14029" w:type="dxa"/>
          </w:tcPr>
          <w:p w14:paraId="2522BEBD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162-201</w:t>
            </w:r>
          </w:p>
        </w:tc>
      </w:tr>
      <w:tr w:rsidR="008E20CC" w:rsidRPr="00FC6387" w14:paraId="666A1E7D" w14:textId="77777777" w:rsidTr="008E20CC">
        <w:tc>
          <w:tcPr>
            <w:tcW w:w="14029" w:type="dxa"/>
          </w:tcPr>
          <w:p w14:paraId="23614A3F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668-690</w:t>
            </w:r>
          </w:p>
        </w:tc>
      </w:tr>
      <w:tr w:rsidR="008E20CC" w:rsidRPr="00FC6387" w14:paraId="4ABA65B0" w14:textId="77777777" w:rsidTr="008E20CC">
        <w:tc>
          <w:tcPr>
            <w:tcW w:w="14029" w:type="dxa"/>
          </w:tcPr>
          <w:p w14:paraId="102085D1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Weetman, P (2013) </w:t>
            </w:r>
            <w:r w:rsidRPr="008E20CC">
              <w:rPr>
                <w:i/>
                <w:iCs/>
                <w:color w:val="D9D9D9" w:themeColor="background1" w:themeShade="D9"/>
                <w:sz w:val="22"/>
                <w:szCs w:val="22"/>
              </w:rPr>
              <w:t>Financial and Management Accounting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>, 6</w:t>
            </w:r>
            <w:r w:rsidRPr="008E20CC">
              <w:rPr>
                <w:color w:val="D9D9D9" w:themeColor="background1" w:themeShade="D9"/>
                <w:sz w:val="22"/>
                <w:szCs w:val="22"/>
                <w:vertAlign w:val="superscript"/>
              </w:rPr>
              <w:t>th</w:t>
            </w:r>
            <w:r w:rsidRPr="008E20CC">
              <w:rPr>
                <w:color w:val="D9D9D9" w:themeColor="background1" w:themeShade="D9"/>
                <w:sz w:val="22"/>
                <w:szCs w:val="22"/>
              </w:rPr>
              <w:t xml:space="preserve"> edition, Pearson Education </w:t>
            </w:r>
            <w:r w:rsidRPr="008E20CC">
              <w:rPr>
                <w:b/>
                <w:bCs/>
                <w:color w:val="D9D9D9" w:themeColor="background1" w:themeShade="D9"/>
                <w:sz w:val="22"/>
                <w:szCs w:val="22"/>
              </w:rPr>
              <w:t>pp. 668-690</w:t>
            </w:r>
          </w:p>
        </w:tc>
      </w:tr>
      <w:tr w:rsidR="008E20CC" w:rsidRPr="00FC6387" w14:paraId="6DE1D070" w14:textId="77777777" w:rsidTr="008E20CC">
        <w:tc>
          <w:tcPr>
            <w:tcW w:w="14029" w:type="dxa"/>
          </w:tcPr>
          <w:p w14:paraId="6BDBE4B4" w14:textId="77777777" w:rsidR="008E20CC" w:rsidRPr="008E20CC" w:rsidRDefault="008E20CC" w:rsidP="008E20CC">
            <w:pPr>
              <w:rPr>
                <w:color w:val="D9D9D9" w:themeColor="background1" w:themeShade="D9"/>
                <w:sz w:val="22"/>
                <w:szCs w:val="22"/>
              </w:rPr>
            </w:pPr>
            <w:r w:rsidRPr="008E20CC">
              <w:rPr>
                <w:color w:val="D9D9D9" w:themeColor="background1" w:themeShade="D9"/>
                <w:sz w:val="22"/>
                <w:szCs w:val="22"/>
              </w:rPr>
              <w:t>Class handout</w:t>
            </w:r>
          </w:p>
        </w:tc>
      </w:tr>
    </w:tbl>
    <w:p w14:paraId="78DA8AFE" w14:textId="77777777" w:rsidR="008E20CC" w:rsidRDefault="008E20CC"/>
    <w:sectPr w:rsidR="008E20CC" w:rsidSect="008E20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0CC"/>
    <w:rsid w:val="00212DEB"/>
    <w:rsid w:val="00277D69"/>
    <w:rsid w:val="008E20CC"/>
    <w:rsid w:val="00DE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29AA4"/>
  <w15:chartTrackingRefBased/>
  <w15:docId w15:val="{17664102-1550-4378-BCB2-C2F016669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0CC"/>
    <w:pPr>
      <w:spacing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8E20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20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0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0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0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0CC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0CC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0CC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0CC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20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20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0C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0C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0C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0C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0C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0C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0C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20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20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0CC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20C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20CC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20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20CC"/>
    <w:pPr>
      <w:spacing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20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0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0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20C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E2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Jenkins</dc:creator>
  <cp:keywords/>
  <dc:description/>
  <cp:lastModifiedBy>David Jenkins</cp:lastModifiedBy>
  <cp:revision>1</cp:revision>
  <dcterms:created xsi:type="dcterms:W3CDTF">2025-01-19T16:24:00Z</dcterms:created>
  <dcterms:modified xsi:type="dcterms:W3CDTF">2025-01-19T16:27:00Z</dcterms:modified>
</cp:coreProperties>
</file>