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22031032"/>
        <w:docPartObj>
          <w:docPartGallery w:val="Cover Pages"/>
          <w:docPartUnique/>
        </w:docPartObj>
      </w:sdtPr>
      <w:sdtEndPr>
        <w:rPr>
          <w:rFonts w:ascii="Arial" w:hAnsi="Arial" w:cs="Arial"/>
        </w:rPr>
      </w:sdtEndPr>
      <w:sdtContent>
        <w:p w14:paraId="74709721" w14:textId="27F2AF89" w:rsidR="00780E67" w:rsidRDefault="00D43908">
          <w:pPr>
            <w:rPr>
              <w:rFonts w:ascii="Arial" w:hAnsi="Arial" w:cs="Arial"/>
            </w:rPr>
          </w:pPr>
          <w:r>
            <w:rPr>
              <w:noProof/>
            </w:rPr>
            <mc:AlternateContent>
              <mc:Choice Requires="wps">
                <w:drawing>
                  <wp:anchor distT="0" distB="0" distL="114300" distR="114300" simplePos="0" relativeHeight="251659264" behindDoc="0" locked="0" layoutInCell="1" allowOverlap="1" wp14:anchorId="0A06726B" wp14:editId="2CC8D19F">
                    <wp:simplePos x="0" y="0"/>
                    <wp:positionH relativeFrom="page">
                      <wp:posOffset>-952500</wp:posOffset>
                    </wp:positionH>
                    <wp:positionV relativeFrom="page">
                      <wp:posOffset>1485900</wp:posOffset>
                    </wp:positionV>
                    <wp:extent cx="9163050" cy="56388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9163050" cy="563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73F05CEB" w:rsidR="00780E67" w:rsidRPr="00D43908" w:rsidRDefault="00000000" w:rsidP="00D531EC">
                                <w:pPr>
                                  <w:spacing w:after="0" w:line="600" w:lineRule="auto"/>
                                  <w:jc w:val="center"/>
                                  <w:rPr>
                                    <w:color w:val="FF0000"/>
                                    <w:sz w:val="40"/>
                                    <w:szCs w:val="40"/>
                                  </w:rPr>
                                </w:pPr>
                                <w:sdt>
                                  <w:sdtPr>
                                    <w:rPr>
                                      <w:caps/>
                                      <w:kern w:val="0"/>
                                      <w:sz w:val="80"/>
                                      <w:szCs w:val="80"/>
                                      <w14:ligatures w14:val="none"/>
                                    </w:rPr>
                                    <w:alias w:val="Title"/>
                                    <w:tag w:val=""/>
                                    <w:id w:val="-1556155353"/>
                                    <w:dataBinding w:prefixMappings="xmlns:ns0='http://purl.org/dc/elements/1.1/' xmlns:ns1='http://schemas.openxmlformats.org/package/2006/metadata/core-properties' " w:xpath="/ns1:coreProperties[1]/ns0:title[1]" w:storeItemID="{6C3C8BC8-F283-45AE-878A-BAB7291924A1}"/>
                                    <w:text w:multiLine="1"/>
                                  </w:sdtPr>
                                  <w:sdtContent>
                                    <w:r w:rsidR="003C41FD">
                                      <w:rPr>
                                        <w:caps/>
                                        <w:kern w:val="0"/>
                                        <w:sz w:val="80"/>
                                        <w:szCs w:val="80"/>
                                        <w14:ligatures w14:val="none"/>
                                      </w:rPr>
                                      <w:t>HYBRITE/FLEXIBLE WORKING</w:t>
                                    </w:r>
                                  </w:sdtContent>
                                </w:sdt>
                              </w:p>
                              <w:sdt>
                                <w:sdtPr>
                                  <w:rPr>
                                    <w:sz w:val="50"/>
                                    <w:szCs w:val="5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C9F1B8D" w14:textId="0A88A48F" w:rsidR="00780E67" w:rsidRPr="00D43908" w:rsidRDefault="00D43908">
                                    <w:pPr>
                                      <w:jc w:val="right"/>
                                      <w:rPr>
                                        <w:smallCaps/>
                                        <w:color w:val="404040" w:themeColor="text1" w:themeTint="BF"/>
                                        <w:sz w:val="50"/>
                                        <w:szCs w:val="50"/>
                                      </w:rPr>
                                    </w:pPr>
                                    <w:r w:rsidRPr="00D43908">
                                      <w:rPr>
                                        <w:sz w:val="50"/>
                                        <w:szCs w:val="50"/>
                                      </w:rPr>
                                      <w:t>MANAGING PEOPLE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06726B" id="_x0000_t202" coordsize="21600,21600" o:spt="202" path="m,l,21600r21600,l21600,xe">
                    <v:stroke joinstyle="miter"/>
                    <v:path gradientshapeok="t" o:connecttype="rect"/>
                  </v:shapetype>
                  <v:shape id="Text Box 154" o:spid="_x0000_s1026" type="#_x0000_t202" style="position:absolute;margin-left:-75pt;margin-top:117pt;width:721.5pt;height:4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" filled="f" stroked="f" strokeweight=".5pt">
                    <v:textbox inset="126pt,0,54pt,0">
                      <w:txbxContent>
                        <w:p w14:paraId="3ED5D6D2" w14:textId="73F05CEB" w:rsidR="00780E67" w:rsidRPr="00D43908" w:rsidRDefault="00000000" w:rsidP="00D531EC">
                          <w:pPr>
                            <w:spacing w:after="0" w:line="600" w:lineRule="auto"/>
                            <w:jc w:val="center"/>
                            <w:rPr>
                              <w:color w:val="FF0000"/>
                              <w:sz w:val="40"/>
                              <w:szCs w:val="40"/>
                            </w:rPr>
                          </w:pPr>
                          <w:sdt>
                            <w:sdtPr>
                              <w:rPr>
                                <w:caps/>
                                <w:kern w:val="0"/>
                                <w:sz w:val="80"/>
                                <w:szCs w:val="80"/>
                                <w14:ligatures w14:val="none"/>
                              </w:rPr>
                              <w:alias w:val="Title"/>
                              <w:tag w:val=""/>
                              <w:id w:val="-1556155353"/>
                              <w:dataBinding w:prefixMappings="xmlns:ns0='http://purl.org/dc/elements/1.1/' xmlns:ns1='http://schemas.openxmlformats.org/package/2006/metadata/core-properties' " w:xpath="/ns1:coreProperties[1]/ns0:title[1]" w:storeItemID="{6C3C8BC8-F283-45AE-878A-BAB7291924A1}"/>
                              <w:text w:multiLine="1"/>
                            </w:sdtPr>
                            <w:sdtContent>
                              <w:r w:rsidR="003C41FD">
                                <w:rPr>
                                  <w:caps/>
                                  <w:kern w:val="0"/>
                                  <w:sz w:val="80"/>
                                  <w:szCs w:val="80"/>
                                  <w14:ligatures w14:val="none"/>
                                </w:rPr>
                                <w:t>HYBRITE/FLEXIBLE WORKING</w:t>
                              </w:r>
                            </w:sdtContent>
                          </w:sdt>
                        </w:p>
                        <w:sdt>
                          <w:sdtPr>
                            <w:rPr>
                              <w:sz w:val="50"/>
                              <w:szCs w:val="5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C9F1B8D" w14:textId="0A88A48F" w:rsidR="00780E67" w:rsidRPr="00D43908" w:rsidRDefault="00D43908">
                              <w:pPr>
                                <w:jc w:val="right"/>
                                <w:rPr>
                                  <w:smallCaps/>
                                  <w:color w:val="404040" w:themeColor="text1" w:themeTint="BF"/>
                                  <w:sz w:val="50"/>
                                  <w:szCs w:val="50"/>
                                </w:rPr>
                              </w:pPr>
                              <w:r w:rsidRPr="00D43908">
                                <w:rPr>
                                  <w:sz w:val="50"/>
                                  <w:szCs w:val="50"/>
                                </w:rPr>
                                <w:t>MANAGING PEOPLE</w:t>
                              </w:r>
                            </w:p>
                          </w:sdtContent>
                        </w:sdt>
                      </w:txbxContent>
                    </v:textbox>
                    <w10:wrap type="square" anchorx="page" anchory="page"/>
                  </v:shape>
                </w:pict>
              </mc:Fallback>
            </mc:AlternateContent>
          </w:r>
          <w:r w:rsidR="00D531EC">
            <w:rPr>
              <w:noProof/>
            </w:rPr>
            <mc:AlternateContent>
              <mc:Choice Requires="wpg">
                <w:drawing>
                  <wp:anchor distT="0" distB="0" distL="114300" distR="114300" simplePos="0" relativeHeight="251662336" behindDoc="0" locked="0" layoutInCell="1" allowOverlap="1" wp14:anchorId="03DB5AE4" wp14:editId="5072F88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2362200"/>
                    <wp:effectExtent l="0" t="0" r="1270" b="0"/>
                    <wp:wrapNone/>
                    <wp:docPr id="149" name="Group 149"/>
                    <wp:cNvGraphicFramePr/>
                    <a:graphic xmlns:a="http://schemas.openxmlformats.org/drawingml/2006/main">
                      <a:graphicData uri="http://schemas.microsoft.com/office/word/2010/wordprocessingGroup">
                        <wpg:wgp>
                          <wpg:cNvGrpSpPr/>
                          <wpg:grpSpPr>
                            <a:xfrm>
                              <a:off x="0" y="0"/>
                              <a:ext cx="7315200" cy="23622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445B49BE" id="Group 149" o:spid="_x0000_s1026" style="position:absolute;margin-left:0;margin-top:0;width:8in;height:186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GkUCWfWAAAABgEAAA8AAABkcnMv&#10;ZG93bnJldi54bWxMj0FPwzAMhe9I/IfISNxY2iFgKk0nQOIOo9rZbUxb0ThVkq0dvx6PC1wsPz3r&#10;+XvldnGjOlKIg2cD+SoDRdx6O3BnoP54vdmAignZ4uiZDJwowra6vCixsH7mdzruUqckhGOBBvqU&#10;pkLr2PbkMK78RCzepw8Ok8jQaRtwlnA36nWW3WuHA8uHHid66an92h2cgWfPuY7BhrypqT59z/u3&#10;DTtjrq+Wp0dQiZb0dwxnfEGHSpgaf2Ab1WhAiqTfefbyu7XoxsDtgyy6KvV//Oo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uHpeoYFAAB+GwAADgAAAAAAAAAA&#10;AAAAAAA6AgAAZHJzL2Uyb0RvYy54bWxQSwECLQAKAAAAAAAAACEAmxsUEWhkAABoZAAAFAAAAAAA&#10;AAAAAAAAAADsBwAAZHJzL21lZGlhL2ltYWdlMS5wbmdQSwECLQAUAAYACAAAACEAaRQJZ9YAAAAG&#10;AQAADwAAAAAAAAAAAAAAAACG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sidR="00585309">
            <w:rPr>
              <w:noProof/>
            </w:rPr>
            <mc:AlternateContent>
              <mc:Choice Requires="wps">
                <w:drawing>
                  <wp:anchor distT="0" distB="0" distL="114300" distR="114300" simplePos="0" relativeHeight="251661312" behindDoc="0" locked="0" layoutInCell="1" allowOverlap="1" wp14:anchorId="5FD11B13" wp14:editId="14C9F27B">
                    <wp:simplePos x="0" y="0"/>
                    <wp:positionH relativeFrom="margin">
                      <wp:align>center</wp:align>
                    </wp:positionH>
                    <wp:positionV relativeFrom="margin">
                      <wp:posOffset>6286500</wp:posOffset>
                    </wp:positionV>
                    <wp:extent cx="7315200" cy="22479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247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2"/>
                                    <w:szCs w:val="32"/>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6D494A8D" w:rsidR="0059637D" w:rsidRPr="000F4962" w:rsidRDefault="000F4962" w:rsidP="003702D8">
                                    <w:pPr>
                                      <w:spacing w:after="0" w:line="259" w:lineRule="auto"/>
                                      <w:jc w:val="center"/>
                                      <w:rPr>
                                        <w:rFonts w:ascii="Arial" w:hAnsi="Arial" w:cs="Arial"/>
                                        <w:sz w:val="32"/>
                                        <w:szCs w:val="32"/>
                                      </w:rPr>
                                    </w:pPr>
                                    <w:r w:rsidRPr="000F4962">
                                      <w:rPr>
                                        <w:rFonts w:ascii="Arial" w:hAnsi="Arial" w:cs="Arial"/>
                                        <w:sz w:val="32"/>
                                        <w:szCs w:val="32"/>
                                      </w:rPr>
                                      <w:t>BA Business Management                                                                                            LCBB</w:t>
                                    </w:r>
                                    <w:r w:rsidR="00D43908">
                                      <w:rPr>
                                        <w:rFonts w:ascii="Arial" w:hAnsi="Arial" w:cs="Arial"/>
                                        <w:sz w:val="32"/>
                                        <w:szCs w:val="32"/>
                                      </w:rPr>
                                      <w:t>5004</w:t>
                                    </w:r>
                                    <w:r w:rsidRPr="000F4962">
                                      <w:rPr>
                                        <w:rFonts w:ascii="Arial" w:hAnsi="Arial" w:cs="Arial"/>
                                        <w:sz w:val="32"/>
                                        <w:szCs w:val="32"/>
                                      </w:rPr>
                                      <w:t xml:space="preserve">_BIRM                                                         </w:t>
                                    </w:r>
                                    <w:r w:rsidR="00DA5008">
                                      <w:rPr>
                                        <w:rFonts w:ascii="Arial" w:hAnsi="Arial" w:cs="Arial"/>
                                        <w:sz w:val="32"/>
                                        <w:szCs w:val="32"/>
                                      </w:rPr>
                                      <w:t xml:space="preserve">Dr </w:t>
                                    </w:r>
                                    <w:r w:rsidR="00D43908">
                                      <w:rPr>
                                        <w:rFonts w:ascii="Arial" w:hAnsi="Arial" w:cs="Arial"/>
                                        <w:sz w:val="32"/>
                                        <w:szCs w:val="32"/>
                                      </w:rPr>
                                      <w:t>Imo Enang</w:t>
                                    </w:r>
                                    <w:r w:rsidR="003702D8" w:rsidRPr="000F4962">
                                      <w:rPr>
                                        <w:rFonts w:ascii="Arial" w:hAnsi="Arial" w:cs="Arial"/>
                                        <w:sz w:val="32"/>
                                        <w:szCs w:val="32"/>
                                      </w:rPr>
                                      <w:t xml:space="preserve">                                                                                            </w:t>
                                    </w:r>
                                    <w:r w:rsidR="00616927">
                                      <w:rPr>
                                        <w:rFonts w:ascii="Arial" w:hAnsi="Arial" w:cs="Arial"/>
                                        <w:sz w:val="32"/>
                                        <w:szCs w:val="32"/>
                                      </w:rPr>
                                      <w:t>Inna Hristova</w:t>
                                    </w:r>
                                    <w:r w:rsidRPr="000F4962">
                                      <w:rPr>
                                        <w:rFonts w:ascii="Arial" w:hAnsi="Arial" w:cs="Arial"/>
                                        <w:sz w:val="32"/>
                                        <w:szCs w:val="32"/>
                                      </w:rPr>
                                      <w:t xml:space="preserve">                                                          Student number                                                            223034</w:t>
                                    </w:r>
                                    <w:r w:rsidR="00616927">
                                      <w:rPr>
                                        <w:rFonts w:ascii="Arial" w:hAnsi="Arial" w:cs="Arial"/>
                                        <w:sz w:val="32"/>
                                        <w:szCs w:val="32"/>
                                      </w:rPr>
                                      <w:t>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FD11B13" id="Text Box 153" o:spid="_x0000_s1027" type="#_x0000_t202" style="position:absolute;margin-left:0;margin-top:495pt;width:8in;height:177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margin;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" filled="f" stroked="f" strokeweight=".5pt">
                    <v:textbox inset="126pt,0,54pt,0">
                      <w:txbxContent>
                        <w:sdt>
                          <w:sdtPr>
                            <w:rPr>
                              <w:rFonts w:ascii="Arial" w:hAnsi="Arial" w:cs="Arial"/>
                              <w:sz w:val="32"/>
                              <w:szCs w:val="32"/>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6D494A8D" w:rsidR="0059637D" w:rsidRPr="000F4962" w:rsidRDefault="000F4962" w:rsidP="003702D8">
                              <w:pPr>
                                <w:spacing w:after="0" w:line="259" w:lineRule="auto"/>
                                <w:jc w:val="center"/>
                                <w:rPr>
                                  <w:rFonts w:ascii="Arial" w:hAnsi="Arial" w:cs="Arial"/>
                                  <w:sz w:val="32"/>
                                  <w:szCs w:val="32"/>
                                </w:rPr>
                              </w:pPr>
                              <w:r w:rsidRPr="000F4962">
                                <w:rPr>
                                  <w:rFonts w:ascii="Arial" w:hAnsi="Arial" w:cs="Arial"/>
                                  <w:sz w:val="32"/>
                                  <w:szCs w:val="32"/>
                                </w:rPr>
                                <w:t>BA Business Management                                                                                            LCBB</w:t>
                              </w:r>
                              <w:r w:rsidR="00D43908">
                                <w:rPr>
                                  <w:rFonts w:ascii="Arial" w:hAnsi="Arial" w:cs="Arial"/>
                                  <w:sz w:val="32"/>
                                  <w:szCs w:val="32"/>
                                </w:rPr>
                                <w:t>5004</w:t>
                              </w:r>
                              <w:r w:rsidRPr="000F4962">
                                <w:rPr>
                                  <w:rFonts w:ascii="Arial" w:hAnsi="Arial" w:cs="Arial"/>
                                  <w:sz w:val="32"/>
                                  <w:szCs w:val="32"/>
                                </w:rPr>
                                <w:t xml:space="preserve">_BIRM                                                         </w:t>
                              </w:r>
                              <w:r w:rsidR="00DA5008">
                                <w:rPr>
                                  <w:rFonts w:ascii="Arial" w:hAnsi="Arial" w:cs="Arial"/>
                                  <w:sz w:val="32"/>
                                  <w:szCs w:val="32"/>
                                </w:rPr>
                                <w:t xml:space="preserve">Dr </w:t>
                              </w:r>
                              <w:r w:rsidR="00D43908">
                                <w:rPr>
                                  <w:rFonts w:ascii="Arial" w:hAnsi="Arial" w:cs="Arial"/>
                                  <w:sz w:val="32"/>
                                  <w:szCs w:val="32"/>
                                </w:rPr>
                                <w:t>Imo Enang</w:t>
                              </w:r>
                              <w:r w:rsidR="003702D8" w:rsidRPr="000F4962">
                                <w:rPr>
                                  <w:rFonts w:ascii="Arial" w:hAnsi="Arial" w:cs="Arial"/>
                                  <w:sz w:val="32"/>
                                  <w:szCs w:val="32"/>
                                </w:rPr>
                                <w:t xml:space="preserve">                                                                                            </w:t>
                              </w:r>
                              <w:r w:rsidR="00616927">
                                <w:rPr>
                                  <w:rFonts w:ascii="Arial" w:hAnsi="Arial" w:cs="Arial"/>
                                  <w:sz w:val="32"/>
                                  <w:szCs w:val="32"/>
                                </w:rPr>
                                <w:t>Inna Hristova</w:t>
                              </w:r>
                              <w:r w:rsidRPr="000F4962">
                                <w:rPr>
                                  <w:rFonts w:ascii="Arial" w:hAnsi="Arial" w:cs="Arial"/>
                                  <w:sz w:val="32"/>
                                  <w:szCs w:val="32"/>
                                </w:rPr>
                                <w:t xml:space="preserve">                                                          Student number                                                            223034</w:t>
                              </w:r>
                              <w:r w:rsidR="00616927">
                                <w:rPr>
                                  <w:rFonts w:ascii="Arial" w:hAnsi="Arial" w:cs="Arial"/>
                                  <w:sz w:val="32"/>
                                  <w:szCs w:val="32"/>
                                </w:rPr>
                                <w:t>3</w:t>
                              </w:r>
                            </w:p>
                          </w:sdtContent>
                        </w:sdt>
                      </w:txbxContent>
                    </v:textbox>
                    <w10:wrap type="square" anchorx="margin" anchory="margin"/>
                  </v:shape>
                </w:pict>
              </mc:Fallback>
            </mc:AlternateContent>
          </w:r>
          <w:r w:rsidR="00780E67">
            <w:rPr>
              <w:rFonts w:ascii="Arial" w:hAnsi="Arial" w:cs="Arial"/>
            </w:rPr>
            <w:br w:type="page"/>
          </w:r>
        </w:p>
      </w:sdtContent>
    </w:sdt>
    <w:p w14:paraId="539E4293" w14:textId="2FBDF950" w:rsidR="003C41FD" w:rsidRDefault="003C41FD" w:rsidP="00616927">
      <w:pPr>
        <w:tabs>
          <w:tab w:val="left" w:pos="2370"/>
        </w:tabs>
        <w:spacing w:after="0" w:line="360" w:lineRule="auto"/>
        <w:ind w:firstLine="720"/>
        <w:jc w:val="both"/>
        <w:rPr>
          <w:rFonts w:ascii="Arial" w:hAnsi="Arial" w:cs="Arial"/>
          <w:b/>
        </w:rPr>
      </w:pPr>
      <w:r w:rsidRPr="003C41FD">
        <w:rPr>
          <w:rFonts w:ascii="Arial" w:hAnsi="Arial" w:cs="Arial"/>
          <w:b/>
        </w:rPr>
        <w:lastRenderedPageBreak/>
        <w:t>Abstract</w:t>
      </w:r>
      <w:r w:rsidR="00616927">
        <w:rPr>
          <w:rFonts w:ascii="Arial" w:hAnsi="Arial" w:cs="Arial"/>
          <w:b/>
        </w:rPr>
        <w:tab/>
      </w:r>
    </w:p>
    <w:p w14:paraId="22BDDF38" w14:textId="77777777" w:rsidR="00616927" w:rsidRPr="003C41FD" w:rsidRDefault="00616927" w:rsidP="00616927">
      <w:pPr>
        <w:tabs>
          <w:tab w:val="left" w:pos="2370"/>
        </w:tabs>
        <w:spacing w:after="0" w:line="360" w:lineRule="auto"/>
        <w:ind w:firstLine="720"/>
        <w:jc w:val="both"/>
        <w:rPr>
          <w:rFonts w:ascii="Arial" w:hAnsi="Arial" w:cs="Arial"/>
          <w:b/>
        </w:rPr>
      </w:pPr>
    </w:p>
    <w:p w14:paraId="796CDFA9" w14:textId="77777777" w:rsidR="003C41FD" w:rsidRPr="003C41FD" w:rsidRDefault="003C41FD" w:rsidP="003C41FD">
      <w:pPr>
        <w:spacing w:after="0" w:line="360" w:lineRule="auto"/>
        <w:ind w:firstLine="720"/>
        <w:jc w:val="both"/>
        <w:rPr>
          <w:rFonts w:ascii="Arial" w:hAnsi="Arial" w:cs="Arial"/>
        </w:rPr>
      </w:pPr>
      <w:r w:rsidRPr="003C41FD">
        <w:rPr>
          <w:rFonts w:ascii="Arial" w:hAnsi="Arial" w:cs="Arial"/>
        </w:rPr>
        <w:t xml:space="preserve">This report will look at the arrangements for the benefits of flexibility in practice at </w:t>
      </w:r>
      <w:proofErr w:type="spellStart"/>
      <w:r w:rsidRPr="003C41FD">
        <w:rPr>
          <w:rFonts w:ascii="Arial" w:hAnsi="Arial" w:cs="Arial"/>
        </w:rPr>
        <w:t>AgroTools</w:t>
      </w:r>
      <w:proofErr w:type="spellEnd"/>
      <w:r w:rsidRPr="003C41FD">
        <w:rPr>
          <w:rFonts w:ascii="Arial" w:hAnsi="Arial" w:cs="Arial"/>
        </w:rPr>
        <w:t>, which is a manufacturing and supplying company for agricultural equipment that has factories, warehouses, and offices located in the West Midlands region. The organization notices an upward trend in the need for work flexibility as a result of the increase in such requests more from employees of different fields of the business rather than those in a preexisting segment. The paper details variety of favorable outcomes that can be achieve by adjusting the rigorous and flexible labor policies, like balanced lifestyle, low burnout and no absenteeism, improved job satisfaction and engagement of the staff. Having explained from the employer’s viewpoint, the advantages can be summarized as follows: paid off by reduced employee churn and added recruitment leverage, boosted productivity, reduced operating costs, and access of a talent pool which is unlimited in location.</w:t>
      </w:r>
    </w:p>
    <w:p w14:paraId="60CD4390" w14:textId="77777777" w:rsidR="003C41FD" w:rsidRPr="003C41FD" w:rsidRDefault="003C41FD" w:rsidP="003C41FD">
      <w:pPr>
        <w:spacing w:after="0" w:line="360" w:lineRule="auto"/>
        <w:ind w:firstLine="720"/>
        <w:jc w:val="both"/>
        <w:rPr>
          <w:rFonts w:ascii="Arial" w:hAnsi="Arial" w:cs="Arial"/>
        </w:rPr>
      </w:pPr>
      <w:r w:rsidRPr="003C41FD">
        <w:rPr>
          <w:rFonts w:ascii="Arial" w:hAnsi="Arial" w:cs="Arial"/>
        </w:rPr>
        <w:t>Though the combination of flexible working practices with the HR department requires a strategic approach that addresses key considerations proactively and flexibly, it offers an opportunity to improve employee performance and organizational effectiveness. These range from formulating sound human resource policies to studying the impact of flexibility on per-job performance, accommodating operational constraints for specific sites, complying with all legal and regulatory imperatives, rendering the necessary technology infrastructure, and providing organizational culture that ensures work filtering. The report also contains its recommendations regarding possible changes in the payment system composition, such as geographical adjustments in the pay, reviewing the schedule penalties, updating benefit eligibility criteria, and revoking the performance-bonus system norms.</w:t>
      </w:r>
    </w:p>
    <w:p w14:paraId="4AFDBA43" w14:textId="77777777" w:rsidR="003C41FD" w:rsidRDefault="003C41FD" w:rsidP="003C41FD">
      <w:pPr>
        <w:spacing w:after="0" w:line="360" w:lineRule="auto"/>
        <w:ind w:firstLine="720"/>
        <w:jc w:val="both"/>
        <w:rPr>
          <w:rFonts w:ascii="Arial" w:hAnsi="Arial" w:cs="Arial"/>
        </w:rPr>
      </w:pPr>
      <w:r w:rsidRPr="003C41FD">
        <w:rPr>
          <w:rFonts w:ascii="Arial" w:hAnsi="Arial" w:cs="Arial"/>
        </w:rPr>
        <w:t xml:space="preserve">Referring to a mixture of the main academic literature sources and the industry best practice, the analysis discovers that organizations which adopt a well-amazed flexible work forms can substantially strengthen employee engagement, satisfaction, and productivity at </w:t>
      </w:r>
      <w:proofErr w:type="spellStart"/>
      <w:r w:rsidRPr="003C41FD">
        <w:rPr>
          <w:rFonts w:ascii="Arial" w:hAnsi="Arial" w:cs="Arial"/>
        </w:rPr>
        <w:t>AgroTools</w:t>
      </w:r>
      <w:proofErr w:type="spellEnd"/>
      <w:r w:rsidRPr="003C41FD">
        <w:rPr>
          <w:rFonts w:ascii="Arial" w:hAnsi="Arial" w:cs="Arial"/>
        </w:rPr>
        <w:t>, if they are properly customized and scaled for the unique composition of the company's workforce and operation model Therefore, the role of change management with a proper approach to gaining ownership of stakeholders is highlighted to stimulate the implementation process.</w:t>
      </w:r>
    </w:p>
    <w:p w14:paraId="7BFBCB24" w14:textId="77777777" w:rsidR="004E2F5D" w:rsidRDefault="004E2F5D" w:rsidP="003C41FD">
      <w:pPr>
        <w:spacing w:after="0" w:line="360" w:lineRule="auto"/>
        <w:ind w:firstLine="720"/>
        <w:jc w:val="both"/>
        <w:rPr>
          <w:rFonts w:ascii="Arial" w:hAnsi="Arial" w:cs="Arial"/>
        </w:rPr>
      </w:pPr>
    </w:p>
    <w:p w14:paraId="5D5E7B06" w14:textId="77777777" w:rsidR="004E2F5D" w:rsidRDefault="004E2F5D" w:rsidP="003C41FD">
      <w:pPr>
        <w:spacing w:after="0" w:line="360" w:lineRule="auto"/>
        <w:ind w:firstLine="720"/>
        <w:jc w:val="both"/>
        <w:rPr>
          <w:rFonts w:ascii="Arial" w:hAnsi="Arial" w:cs="Arial"/>
        </w:rPr>
      </w:pPr>
    </w:p>
    <w:p w14:paraId="50E2A975" w14:textId="77777777" w:rsidR="004E2F5D" w:rsidRDefault="004E2F5D" w:rsidP="003C41FD">
      <w:pPr>
        <w:spacing w:after="0" w:line="360" w:lineRule="auto"/>
        <w:ind w:firstLine="720"/>
        <w:jc w:val="both"/>
        <w:rPr>
          <w:rFonts w:ascii="Arial" w:hAnsi="Arial" w:cs="Arial"/>
        </w:rPr>
      </w:pPr>
    </w:p>
    <w:p w14:paraId="6A81C913" w14:textId="77777777" w:rsidR="004E2F5D" w:rsidRDefault="004E2F5D" w:rsidP="003C41FD">
      <w:pPr>
        <w:spacing w:after="0" w:line="360" w:lineRule="auto"/>
        <w:ind w:firstLine="720"/>
        <w:jc w:val="both"/>
        <w:rPr>
          <w:rFonts w:ascii="Arial" w:hAnsi="Arial" w:cs="Arial"/>
        </w:rPr>
      </w:pPr>
    </w:p>
    <w:p w14:paraId="2F270815" w14:textId="77777777" w:rsidR="004E2F5D" w:rsidRDefault="004E2F5D" w:rsidP="003C41FD">
      <w:pPr>
        <w:spacing w:after="0" w:line="360" w:lineRule="auto"/>
        <w:ind w:firstLine="720"/>
        <w:jc w:val="both"/>
        <w:rPr>
          <w:rFonts w:ascii="Arial" w:hAnsi="Arial" w:cs="Arial"/>
        </w:rPr>
      </w:pPr>
    </w:p>
    <w:p w14:paraId="3A9F9162" w14:textId="77777777" w:rsidR="004E2F5D" w:rsidRDefault="004E2F5D" w:rsidP="004E2F5D">
      <w:pPr>
        <w:tabs>
          <w:tab w:val="center" w:pos="5040"/>
          <w:tab w:val="right" w:pos="9360"/>
        </w:tabs>
        <w:spacing w:after="0" w:line="360" w:lineRule="auto"/>
        <w:ind w:firstLine="720"/>
        <w:rPr>
          <w:rFonts w:ascii="Arial" w:hAnsi="Arial" w:cs="Arial"/>
          <w:b/>
        </w:rPr>
      </w:pPr>
      <w:r>
        <w:rPr>
          <w:rFonts w:ascii="Arial" w:hAnsi="Arial" w:cs="Arial"/>
          <w:b/>
        </w:rPr>
        <w:lastRenderedPageBreak/>
        <w:tab/>
      </w:r>
      <w:r w:rsidR="003C41FD" w:rsidRPr="003C41FD">
        <w:rPr>
          <w:rFonts w:ascii="Arial" w:hAnsi="Arial" w:cs="Arial"/>
          <w:b/>
        </w:rPr>
        <w:t xml:space="preserve">Flexible Working at </w:t>
      </w:r>
      <w:proofErr w:type="spellStart"/>
      <w:r w:rsidR="003C41FD" w:rsidRPr="003C41FD">
        <w:rPr>
          <w:rFonts w:ascii="Arial" w:hAnsi="Arial" w:cs="Arial"/>
          <w:b/>
        </w:rPr>
        <w:t>AgroTools</w:t>
      </w:r>
      <w:proofErr w:type="spellEnd"/>
      <w:r w:rsidR="003C41FD" w:rsidRPr="003C41FD">
        <w:rPr>
          <w:rFonts w:ascii="Arial" w:hAnsi="Arial" w:cs="Arial"/>
          <w:b/>
        </w:rPr>
        <w:t>: Strategies and Considerations</w:t>
      </w:r>
    </w:p>
    <w:p w14:paraId="5A814AFA" w14:textId="39883D2C" w:rsidR="003C41FD" w:rsidRPr="003C41FD" w:rsidRDefault="004E2F5D" w:rsidP="004E2F5D">
      <w:pPr>
        <w:tabs>
          <w:tab w:val="center" w:pos="5040"/>
          <w:tab w:val="right" w:pos="9360"/>
        </w:tabs>
        <w:spacing w:after="0" w:line="360" w:lineRule="auto"/>
        <w:ind w:firstLine="720"/>
        <w:rPr>
          <w:rFonts w:ascii="Arial" w:hAnsi="Arial" w:cs="Arial"/>
          <w:b/>
        </w:rPr>
      </w:pPr>
      <w:r>
        <w:rPr>
          <w:rFonts w:ascii="Arial" w:hAnsi="Arial" w:cs="Arial"/>
          <w:b/>
        </w:rPr>
        <w:tab/>
      </w:r>
    </w:p>
    <w:p w14:paraId="2D263116" w14:textId="77777777" w:rsidR="003C41FD" w:rsidRDefault="003C41FD" w:rsidP="003C41FD">
      <w:pPr>
        <w:spacing w:after="0" w:line="360" w:lineRule="auto"/>
        <w:ind w:firstLine="720"/>
        <w:jc w:val="both"/>
        <w:rPr>
          <w:rFonts w:ascii="Arial" w:hAnsi="Arial" w:cs="Arial"/>
          <w:b/>
        </w:rPr>
      </w:pPr>
      <w:r w:rsidRPr="003C41FD">
        <w:rPr>
          <w:rFonts w:ascii="Arial" w:hAnsi="Arial" w:cs="Arial"/>
          <w:b/>
        </w:rPr>
        <w:t>Introduction</w:t>
      </w:r>
    </w:p>
    <w:p w14:paraId="6B2462DF" w14:textId="77777777" w:rsidR="00616927" w:rsidRPr="003C41FD" w:rsidRDefault="00616927" w:rsidP="003C41FD">
      <w:pPr>
        <w:spacing w:after="0" w:line="360" w:lineRule="auto"/>
        <w:ind w:firstLine="720"/>
        <w:jc w:val="both"/>
        <w:rPr>
          <w:rFonts w:ascii="Arial" w:hAnsi="Arial" w:cs="Arial"/>
          <w:b/>
        </w:rPr>
      </w:pPr>
    </w:p>
    <w:p w14:paraId="2D35F1C9" w14:textId="77777777" w:rsidR="003C41FD" w:rsidRPr="003C41FD" w:rsidRDefault="003C41FD" w:rsidP="003C41FD">
      <w:pPr>
        <w:spacing w:after="0" w:line="360" w:lineRule="auto"/>
        <w:ind w:firstLine="720"/>
        <w:jc w:val="both"/>
        <w:rPr>
          <w:rFonts w:ascii="Arial" w:hAnsi="Arial" w:cs="Arial"/>
        </w:rPr>
      </w:pPr>
      <w:r w:rsidRPr="003C41FD">
        <w:rPr>
          <w:rFonts w:ascii="Arial" w:hAnsi="Arial" w:cs="Arial"/>
        </w:rPr>
        <w:t xml:space="preserve">The COVID-19 pandemic has greatly accelerated this transition towards virtual space and efficient working times across many different sectors. On the other hand, working from home has led to the diversification of expectations in regard to when and how the activities are performed as many employees now demand more flexibility when they finish their tasks (Lund et al., 2021). Human Resources Department of </w:t>
      </w:r>
      <w:proofErr w:type="spellStart"/>
      <w:r w:rsidRPr="003C41FD">
        <w:rPr>
          <w:rFonts w:ascii="Arial" w:hAnsi="Arial" w:cs="Arial"/>
        </w:rPr>
        <w:t>AgroTools</w:t>
      </w:r>
      <w:proofErr w:type="spellEnd"/>
      <w:r w:rsidRPr="003C41FD">
        <w:rPr>
          <w:rFonts w:ascii="Arial" w:hAnsi="Arial" w:cs="Arial"/>
        </w:rPr>
        <w:t xml:space="preserve"> that makes agricultural machines having factories, warehouses, and offices across many sites, has recently encountered the augmented amount of flexible work requests from the employees. You have been appointed as the New HR Manager recently. You have been required to look through some strategies to put into effect flexible work policies.</w:t>
      </w:r>
    </w:p>
    <w:p w14:paraId="098968DD" w14:textId="77777777" w:rsidR="003C41FD" w:rsidRDefault="003C41FD" w:rsidP="003C41FD">
      <w:pPr>
        <w:spacing w:after="0" w:line="360" w:lineRule="auto"/>
        <w:ind w:firstLine="720"/>
        <w:jc w:val="both"/>
        <w:rPr>
          <w:rFonts w:ascii="Arial" w:hAnsi="Arial" w:cs="Arial"/>
        </w:rPr>
      </w:pPr>
      <w:r w:rsidRPr="003C41FD">
        <w:rPr>
          <w:rFonts w:ascii="Arial" w:hAnsi="Arial" w:cs="Arial"/>
        </w:rPr>
        <w:t>The flexible work practices represent the wide spectrum of the arrangements, which stray from the 9-to-5 office schedule, and they can be both well-liked and despised. Some versions include telework, progressive working weeks, flexible schedules, shared workloads, and shift exchange (Society for Human Resource Management, 2022). Correctly structured, these policies can help energize employees with satisfied workplace environment reducing staff turnover and working productivity among the employees. On the contrary, blending flexibility into all forms of employment brings up other issues that an employer should consider the difficult ways to overcome.</w:t>
      </w:r>
    </w:p>
    <w:p w14:paraId="73D9991C" w14:textId="77777777" w:rsidR="00616927" w:rsidRPr="003C41FD" w:rsidRDefault="00616927" w:rsidP="003C41FD">
      <w:pPr>
        <w:spacing w:after="0" w:line="360" w:lineRule="auto"/>
        <w:ind w:firstLine="720"/>
        <w:jc w:val="both"/>
        <w:rPr>
          <w:rFonts w:ascii="Arial" w:hAnsi="Arial" w:cs="Arial"/>
        </w:rPr>
      </w:pPr>
    </w:p>
    <w:p w14:paraId="550A7EC2" w14:textId="77777777" w:rsidR="00616927" w:rsidRDefault="003C41FD" w:rsidP="003C41FD">
      <w:pPr>
        <w:spacing w:after="0" w:line="360" w:lineRule="auto"/>
        <w:ind w:firstLine="720"/>
        <w:jc w:val="both"/>
        <w:rPr>
          <w:rFonts w:ascii="Arial" w:hAnsi="Arial" w:cs="Arial"/>
          <w:b/>
        </w:rPr>
      </w:pPr>
      <w:r w:rsidRPr="003C41FD">
        <w:rPr>
          <w:rFonts w:ascii="Arial" w:hAnsi="Arial" w:cs="Arial"/>
          <w:b/>
        </w:rPr>
        <w:t>Benefits of Flexible Working</w:t>
      </w:r>
    </w:p>
    <w:p w14:paraId="3787CBA5" w14:textId="77777777" w:rsidR="00616927" w:rsidRDefault="00616927" w:rsidP="003C41FD">
      <w:pPr>
        <w:spacing w:after="0" w:line="360" w:lineRule="auto"/>
        <w:ind w:firstLine="720"/>
        <w:jc w:val="both"/>
        <w:rPr>
          <w:rFonts w:ascii="Arial" w:hAnsi="Arial" w:cs="Arial"/>
          <w:b/>
        </w:rPr>
      </w:pPr>
    </w:p>
    <w:p w14:paraId="5153FEEC" w14:textId="409FFF1B" w:rsidR="003C41FD" w:rsidRDefault="003C41FD" w:rsidP="003C41FD">
      <w:pPr>
        <w:spacing w:after="0" w:line="360" w:lineRule="auto"/>
        <w:ind w:firstLine="720"/>
        <w:jc w:val="both"/>
        <w:rPr>
          <w:rFonts w:ascii="Arial" w:hAnsi="Arial" w:cs="Arial"/>
        </w:rPr>
      </w:pPr>
      <w:r w:rsidRPr="003C41FD">
        <w:rPr>
          <w:rFonts w:ascii="Arial" w:hAnsi="Arial" w:cs="Arial"/>
        </w:rPr>
        <w:t>Numerous studies have demonstrated the potential advantages of flexible work programs for both employees and employers:</w:t>
      </w:r>
    </w:p>
    <w:p w14:paraId="57B99B83" w14:textId="77777777" w:rsidR="00616927" w:rsidRPr="003C41FD" w:rsidRDefault="00616927" w:rsidP="003C41FD">
      <w:pPr>
        <w:spacing w:after="0" w:line="360" w:lineRule="auto"/>
        <w:ind w:firstLine="720"/>
        <w:jc w:val="both"/>
        <w:rPr>
          <w:rFonts w:ascii="Arial" w:hAnsi="Arial" w:cs="Arial"/>
        </w:rPr>
      </w:pPr>
    </w:p>
    <w:p w14:paraId="1E677A94" w14:textId="77777777" w:rsidR="003C41FD" w:rsidRDefault="003C41FD" w:rsidP="003C41FD">
      <w:pPr>
        <w:spacing w:after="0" w:line="360" w:lineRule="auto"/>
        <w:ind w:firstLine="720"/>
        <w:jc w:val="both"/>
        <w:rPr>
          <w:rFonts w:ascii="Arial" w:hAnsi="Arial" w:cs="Arial"/>
          <w:b/>
        </w:rPr>
      </w:pPr>
      <w:r w:rsidRPr="003C41FD">
        <w:rPr>
          <w:rFonts w:ascii="Arial" w:hAnsi="Arial" w:cs="Arial"/>
          <w:b/>
        </w:rPr>
        <w:t>Employee Benefits:</w:t>
      </w:r>
    </w:p>
    <w:p w14:paraId="5C1297B6" w14:textId="77777777" w:rsidR="00616927" w:rsidRPr="003C41FD" w:rsidRDefault="00616927" w:rsidP="003C41FD">
      <w:pPr>
        <w:spacing w:after="0" w:line="360" w:lineRule="auto"/>
        <w:ind w:firstLine="720"/>
        <w:jc w:val="both"/>
        <w:rPr>
          <w:rFonts w:ascii="Arial" w:hAnsi="Arial" w:cs="Arial"/>
          <w:b/>
        </w:rPr>
      </w:pPr>
    </w:p>
    <w:p w14:paraId="02D64740" w14:textId="77777777" w:rsidR="003C41FD" w:rsidRPr="003C41FD" w:rsidRDefault="003C41FD" w:rsidP="003C41FD">
      <w:pPr>
        <w:pStyle w:val="ListParagraph"/>
        <w:numPr>
          <w:ilvl w:val="0"/>
          <w:numId w:val="12"/>
        </w:numPr>
        <w:spacing w:after="0" w:line="360" w:lineRule="auto"/>
        <w:ind w:left="0" w:firstLine="720"/>
        <w:jc w:val="both"/>
        <w:rPr>
          <w:rFonts w:ascii="Arial" w:hAnsi="Arial" w:cs="Arial"/>
        </w:rPr>
      </w:pPr>
      <w:r w:rsidRPr="003C41FD">
        <w:rPr>
          <w:rFonts w:ascii="Arial" w:hAnsi="Arial" w:cs="Arial"/>
        </w:rPr>
        <w:t xml:space="preserve">Improved work-life balance and reduced commute stress (Bloom et al., 2015) Flexible schedules and remote work options eliminate long commutes, allowing employees to better integrate their professional and personal responsibilities. This reduces stress from traffic, saves time and money on transportation costs, and provides more time for family, hobbies, and self-care activities that promote overall well-being. A Stanford study found that home-based </w:t>
      </w:r>
      <w:r w:rsidRPr="003C41FD">
        <w:rPr>
          <w:rFonts w:ascii="Arial" w:hAnsi="Arial" w:cs="Arial"/>
        </w:rPr>
        <w:lastRenderedPageBreak/>
        <w:t>workers were able to save over 8 days per year from avoiding the daily commute (Bloom et al., 2015).</w:t>
      </w:r>
    </w:p>
    <w:p w14:paraId="717820AA" w14:textId="77777777" w:rsidR="003C41FD" w:rsidRPr="003C41FD" w:rsidRDefault="003C41FD" w:rsidP="003C41FD">
      <w:pPr>
        <w:pStyle w:val="ListParagraph"/>
        <w:numPr>
          <w:ilvl w:val="0"/>
          <w:numId w:val="12"/>
        </w:numPr>
        <w:spacing w:after="0" w:line="360" w:lineRule="auto"/>
        <w:ind w:left="0" w:firstLine="720"/>
        <w:jc w:val="both"/>
        <w:rPr>
          <w:rFonts w:ascii="Arial" w:hAnsi="Arial" w:cs="Arial"/>
        </w:rPr>
      </w:pPr>
      <w:r w:rsidRPr="003C41FD">
        <w:rPr>
          <w:rFonts w:ascii="Arial" w:hAnsi="Arial" w:cs="Arial"/>
        </w:rPr>
        <w:t>Greater autonomy and control over schedules (Gajendran &amp; Harrison, 2007) Rather than being bound to rigid 9-to-5 schedules, flextime policies empower employees to start and end their days according to personal preferences. This autonomy boosts motivation, engagement, and feelings of ownership over one's role. Employees can optimize their peak productivity hours, attend to personal matters without taking full days off, and achieve a better work-life fit (Gajendran &amp; Harrison, 2007).</w:t>
      </w:r>
    </w:p>
    <w:p w14:paraId="2889FF5D" w14:textId="77777777" w:rsidR="003C41FD" w:rsidRPr="003C41FD" w:rsidRDefault="003C41FD" w:rsidP="003C41FD">
      <w:pPr>
        <w:pStyle w:val="ListParagraph"/>
        <w:numPr>
          <w:ilvl w:val="0"/>
          <w:numId w:val="12"/>
        </w:numPr>
        <w:spacing w:after="0" w:line="360" w:lineRule="auto"/>
        <w:ind w:left="0" w:firstLine="720"/>
        <w:jc w:val="both"/>
        <w:rPr>
          <w:rFonts w:ascii="Arial" w:hAnsi="Arial" w:cs="Arial"/>
        </w:rPr>
      </w:pPr>
      <w:r w:rsidRPr="003C41FD">
        <w:rPr>
          <w:rFonts w:ascii="Arial" w:hAnsi="Arial" w:cs="Arial"/>
        </w:rPr>
        <w:t>Heightened job satisfaction and engagement (Wheatley, 2017) Numerous studies link flexible work programs to higher reported job satisfaction scores across various industries. When employees have greater control over where and when they work, they feel more empowered, valued, and committed to their employer. This positive sentiment elevates engagement levels, discretionary effort, and retention rates (Wheatley, 2017; Ozimek, 2020).</w:t>
      </w:r>
    </w:p>
    <w:p w14:paraId="51166907" w14:textId="77777777" w:rsidR="003C41FD" w:rsidRDefault="003C41FD" w:rsidP="003C41FD">
      <w:pPr>
        <w:pStyle w:val="ListParagraph"/>
        <w:numPr>
          <w:ilvl w:val="0"/>
          <w:numId w:val="12"/>
        </w:numPr>
        <w:spacing w:after="0" w:line="360" w:lineRule="auto"/>
        <w:ind w:left="0" w:firstLine="720"/>
        <w:jc w:val="both"/>
        <w:rPr>
          <w:rFonts w:ascii="Arial" w:hAnsi="Arial" w:cs="Arial"/>
        </w:rPr>
      </w:pPr>
      <w:r w:rsidRPr="003C41FD">
        <w:rPr>
          <w:rFonts w:ascii="Arial" w:hAnsi="Arial" w:cs="Arial"/>
        </w:rPr>
        <w:t>Reduced burnout and absenteeism (Civita, 2020) The ability to periodically work remotely or adjust schedules acts as a reprieve from intense work conditions that can lead to physical, mental, and emotional exhaustion. Employees with flexible arrangements experience less burnout, and take fewer sick days due to reduced office exposure to illnesses and having greater opportunity to attend to personal health needs (Civita, 2020; Bloom et al., 2015).</w:t>
      </w:r>
    </w:p>
    <w:p w14:paraId="586F0BF0" w14:textId="77777777" w:rsidR="00616927" w:rsidRPr="003C41FD" w:rsidRDefault="00616927" w:rsidP="00616927">
      <w:pPr>
        <w:pStyle w:val="ListParagraph"/>
        <w:spacing w:after="0" w:line="360" w:lineRule="auto"/>
        <w:jc w:val="both"/>
        <w:rPr>
          <w:rFonts w:ascii="Arial" w:hAnsi="Arial" w:cs="Arial"/>
        </w:rPr>
      </w:pPr>
    </w:p>
    <w:p w14:paraId="63C80E01" w14:textId="77777777" w:rsidR="003C41FD" w:rsidRDefault="003C41FD" w:rsidP="003C41FD">
      <w:pPr>
        <w:spacing w:after="0" w:line="360" w:lineRule="auto"/>
        <w:ind w:firstLine="720"/>
        <w:jc w:val="both"/>
        <w:rPr>
          <w:rFonts w:ascii="Arial" w:hAnsi="Arial" w:cs="Arial"/>
          <w:b/>
        </w:rPr>
      </w:pPr>
      <w:r w:rsidRPr="003C41FD">
        <w:rPr>
          <w:rFonts w:ascii="Arial" w:hAnsi="Arial" w:cs="Arial"/>
          <w:b/>
        </w:rPr>
        <w:t>Employer Benefits:</w:t>
      </w:r>
    </w:p>
    <w:p w14:paraId="1C274705" w14:textId="77777777" w:rsidR="00616927" w:rsidRPr="003C41FD" w:rsidRDefault="00616927" w:rsidP="003C41FD">
      <w:pPr>
        <w:spacing w:after="0" w:line="360" w:lineRule="auto"/>
        <w:ind w:firstLine="720"/>
        <w:jc w:val="both"/>
        <w:rPr>
          <w:rFonts w:ascii="Arial" w:hAnsi="Arial" w:cs="Arial"/>
          <w:b/>
        </w:rPr>
      </w:pPr>
    </w:p>
    <w:p w14:paraId="0CCE1BC0" w14:textId="77777777" w:rsidR="003C41FD" w:rsidRPr="003C41FD" w:rsidRDefault="003C41FD" w:rsidP="003C41FD">
      <w:pPr>
        <w:pStyle w:val="ListParagraph"/>
        <w:numPr>
          <w:ilvl w:val="0"/>
          <w:numId w:val="12"/>
        </w:numPr>
        <w:spacing w:after="0" w:line="360" w:lineRule="auto"/>
        <w:ind w:left="0" w:firstLine="720"/>
        <w:jc w:val="both"/>
        <w:rPr>
          <w:rFonts w:ascii="Arial" w:hAnsi="Arial" w:cs="Arial"/>
        </w:rPr>
      </w:pPr>
      <w:r w:rsidRPr="003C41FD">
        <w:rPr>
          <w:rFonts w:ascii="Arial" w:hAnsi="Arial" w:cs="Arial"/>
        </w:rPr>
        <w:t>Increased employee retention and recruitment leverage (Lott, 2020) In today's competitive talent marketplace, flexible work options are becoming a key differentiator. Top candidates, especially younger professionals and working parents, actively prioritize work-life integration when evaluating job prospects. By offering flexibility, employers can retain their most valued employees while gaining an edge in attracting new talent over rivals with more rigid policies (Lott, 2020).</w:t>
      </w:r>
    </w:p>
    <w:p w14:paraId="5A0B50FE" w14:textId="77777777" w:rsidR="003C41FD" w:rsidRPr="003C41FD" w:rsidRDefault="003C41FD" w:rsidP="003C41FD">
      <w:pPr>
        <w:pStyle w:val="ListParagraph"/>
        <w:numPr>
          <w:ilvl w:val="0"/>
          <w:numId w:val="12"/>
        </w:numPr>
        <w:spacing w:after="0" w:line="360" w:lineRule="auto"/>
        <w:ind w:left="0" w:firstLine="720"/>
        <w:jc w:val="both"/>
        <w:rPr>
          <w:rFonts w:ascii="Arial" w:hAnsi="Arial" w:cs="Arial"/>
        </w:rPr>
      </w:pPr>
      <w:r w:rsidRPr="003C41FD">
        <w:rPr>
          <w:rFonts w:ascii="Arial" w:hAnsi="Arial" w:cs="Arial"/>
        </w:rPr>
        <w:t>Higher employee productivity and engagement (Ozimek, 2020) When employees feel empowered and supported in their work arrangements, studies show they tend to exhibit higher levels of effort, focus, and efficiency. They take fewer breaks, sick days, and personal time off. Enhanced engagement also translates into higher quality output. Owl Labs found that remote workers are 13% more productive than their office counterparts (Ozimek, 2020).</w:t>
      </w:r>
    </w:p>
    <w:p w14:paraId="7F2EFB9C" w14:textId="77777777" w:rsidR="003C41FD" w:rsidRPr="003C41FD" w:rsidRDefault="003C41FD" w:rsidP="003C41FD">
      <w:pPr>
        <w:pStyle w:val="ListParagraph"/>
        <w:numPr>
          <w:ilvl w:val="0"/>
          <w:numId w:val="12"/>
        </w:numPr>
        <w:spacing w:after="0" w:line="360" w:lineRule="auto"/>
        <w:ind w:left="0" w:firstLine="720"/>
        <w:jc w:val="both"/>
        <w:rPr>
          <w:rFonts w:ascii="Arial" w:hAnsi="Arial" w:cs="Arial"/>
        </w:rPr>
      </w:pPr>
      <w:r w:rsidRPr="003C41FD">
        <w:rPr>
          <w:rFonts w:ascii="Arial" w:hAnsi="Arial" w:cs="Arial"/>
        </w:rPr>
        <w:t xml:space="preserve">Reduced overhead costs for office space and related expenses (Barrero et al., 2021) With fewer employees working on-site full-time, organizations can downsize to smaller </w:t>
      </w:r>
      <w:r w:rsidRPr="003C41FD">
        <w:rPr>
          <w:rFonts w:ascii="Arial" w:hAnsi="Arial" w:cs="Arial"/>
        </w:rPr>
        <w:lastRenderedPageBreak/>
        <w:t>office footprints. They also save on associated rent, utilities, maintenance, equipment, supplies, and other facilities management costs. Stanford researchers estimated that allowing employees to work from home just part of the time could save employers over $10,000 annually per remote worker (Barrero et al., 2021).</w:t>
      </w:r>
    </w:p>
    <w:p w14:paraId="4877799F" w14:textId="77777777" w:rsidR="003C41FD" w:rsidRPr="003C41FD" w:rsidRDefault="003C41FD" w:rsidP="003C41FD">
      <w:pPr>
        <w:pStyle w:val="ListParagraph"/>
        <w:numPr>
          <w:ilvl w:val="0"/>
          <w:numId w:val="12"/>
        </w:numPr>
        <w:spacing w:after="0" w:line="360" w:lineRule="auto"/>
        <w:ind w:left="0" w:firstLine="720"/>
        <w:jc w:val="both"/>
        <w:rPr>
          <w:rFonts w:ascii="Arial" w:hAnsi="Arial" w:cs="Arial"/>
        </w:rPr>
      </w:pPr>
      <w:r w:rsidRPr="003C41FD">
        <w:rPr>
          <w:rFonts w:ascii="Arial" w:hAnsi="Arial" w:cs="Arial"/>
        </w:rPr>
        <w:t>Ability to tap into a broader talent pool beyond geographical constraints (Spreitzer et al., 2017) When roles can be performed remotely, employers can expand their recruitment efforts across regions, nationally, or even globally. This enhanced access to specialized skills and diverse backgrounds provides a considerable competitive advantage over location-bound hiring. Top organizations like GitLab have embraced an entirely remote workforce model to capitalize on these benefits (Spreitzer et al., 2017).</w:t>
      </w:r>
    </w:p>
    <w:p w14:paraId="2A819C9C" w14:textId="77777777" w:rsid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rPr>
        <w:t>While flexible work policies require careful implementation and management, the potential upsides for both employees and employers are substantial when properly leveraged. Enhanced productivity, engagement, retention, and cost savings make a strong business case, provided that flexibility strategies are intentionally aligned with operational needs and workforce preferences.</w:t>
      </w:r>
    </w:p>
    <w:p w14:paraId="051A2936" w14:textId="77777777" w:rsidR="00616927" w:rsidRPr="003C41FD" w:rsidRDefault="00616927" w:rsidP="003C41FD">
      <w:pPr>
        <w:pStyle w:val="ListParagraph"/>
        <w:spacing w:after="0" w:line="360" w:lineRule="auto"/>
        <w:ind w:left="0" w:firstLine="720"/>
        <w:jc w:val="both"/>
        <w:rPr>
          <w:rFonts w:ascii="Arial" w:hAnsi="Arial" w:cs="Arial"/>
        </w:rPr>
      </w:pPr>
    </w:p>
    <w:p w14:paraId="4961C9F7" w14:textId="77777777" w:rsidR="003C41FD" w:rsidRDefault="003C41FD" w:rsidP="003C41FD">
      <w:pPr>
        <w:spacing w:after="0" w:line="360" w:lineRule="auto"/>
        <w:ind w:firstLine="720"/>
        <w:jc w:val="both"/>
        <w:rPr>
          <w:rFonts w:ascii="Arial" w:hAnsi="Arial" w:cs="Arial"/>
          <w:b/>
        </w:rPr>
      </w:pPr>
      <w:r w:rsidRPr="003C41FD">
        <w:rPr>
          <w:rFonts w:ascii="Arial" w:hAnsi="Arial" w:cs="Arial"/>
          <w:b/>
        </w:rPr>
        <w:t>Implementation Considerations</w:t>
      </w:r>
    </w:p>
    <w:p w14:paraId="6EB7EF99" w14:textId="77777777" w:rsidR="00616927" w:rsidRPr="003C41FD" w:rsidRDefault="00616927" w:rsidP="003C41FD">
      <w:pPr>
        <w:spacing w:after="0" w:line="360" w:lineRule="auto"/>
        <w:ind w:firstLine="720"/>
        <w:jc w:val="both"/>
        <w:rPr>
          <w:rFonts w:ascii="Arial" w:hAnsi="Arial" w:cs="Arial"/>
          <w:b/>
        </w:rPr>
      </w:pPr>
    </w:p>
    <w:p w14:paraId="478DD289"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rPr>
        <w:t xml:space="preserve">While the benefits are compelling, </w:t>
      </w:r>
      <w:proofErr w:type="spellStart"/>
      <w:r w:rsidRPr="003C41FD">
        <w:rPr>
          <w:rFonts w:ascii="Arial" w:hAnsi="Arial" w:cs="Arial"/>
        </w:rPr>
        <w:t>AgroTools</w:t>
      </w:r>
      <w:proofErr w:type="spellEnd"/>
      <w:r w:rsidRPr="003C41FD">
        <w:rPr>
          <w:rFonts w:ascii="Arial" w:hAnsi="Arial" w:cs="Arial"/>
        </w:rPr>
        <w:t xml:space="preserve"> must proactively address several key factors to successfully integrate flexible working practices:</w:t>
      </w:r>
    </w:p>
    <w:p w14:paraId="26D2A863"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Personnel Policies</w:t>
      </w:r>
      <w:r w:rsidRPr="003C41FD">
        <w:rPr>
          <w:rFonts w:ascii="Arial" w:hAnsi="Arial" w:cs="Arial"/>
        </w:rPr>
        <w:t>: Clear policies must be established regarding eligibility criteria, scheduling protocols, training for managers, technology provisioning, information security, and performance measurement for remote employees (Society for Human Resource Management, 2022).</w:t>
      </w:r>
    </w:p>
    <w:p w14:paraId="7A92B6E7"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Job Suitability</w:t>
      </w:r>
      <w:r w:rsidRPr="003C41FD">
        <w:rPr>
          <w:rFonts w:ascii="Arial" w:hAnsi="Arial" w:cs="Arial"/>
        </w:rPr>
        <w:t>: Not all roles are equally conducive to flexible arrangements. Jobs with heavy in-person client interaction, equipment-dependent tasks, or strict oversight needs may be less adaptable (Brynjolfsson et al., 2020).</w:t>
      </w:r>
    </w:p>
    <w:p w14:paraId="697FAD0F"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Site Implications:</w:t>
      </w:r>
      <w:r w:rsidRPr="003C41FD">
        <w:rPr>
          <w:rFonts w:ascii="Arial" w:hAnsi="Arial" w:cs="Arial"/>
        </w:rPr>
        <w:t xml:space="preserve"> </w:t>
      </w:r>
      <w:proofErr w:type="spellStart"/>
      <w:r w:rsidRPr="003C41FD">
        <w:rPr>
          <w:rFonts w:ascii="Arial" w:hAnsi="Arial" w:cs="Arial"/>
        </w:rPr>
        <w:t>AgroTools</w:t>
      </w:r>
      <w:proofErr w:type="spellEnd"/>
      <w:r w:rsidRPr="003C41FD">
        <w:rPr>
          <w:rFonts w:ascii="Arial" w:hAnsi="Arial" w:cs="Arial"/>
        </w:rPr>
        <w:t>' manufacturing and warehousing facilities will face distinct challenges compared to the sales/admin offices. Production roles may have limited flexibility due to synchronization needs and safety requirements. Solutions like staggered shifts may be more feasible (Coenen &amp; Kok, 2014).</w:t>
      </w:r>
    </w:p>
    <w:p w14:paraId="621EFD13"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Legal Compliance</w:t>
      </w:r>
      <w:r w:rsidRPr="003C41FD">
        <w:rPr>
          <w:rFonts w:ascii="Arial" w:hAnsi="Arial" w:cs="Arial"/>
        </w:rPr>
        <w:t>: Laws governing workplace discrimination, overtime pay, workplace safety, and employee classification must be carefully adhered to when structuring flexible work programs (Rodgers, 2020).</w:t>
      </w:r>
    </w:p>
    <w:p w14:paraId="59DFBFEE"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lastRenderedPageBreak/>
        <w:t>Technology Enablement:</w:t>
      </w:r>
      <w:r w:rsidRPr="003C41FD">
        <w:rPr>
          <w:rFonts w:ascii="Arial" w:hAnsi="Arial" w:cs="Arial"/>
        </w:rPr>
        <w:t xml:space="preserve"> Robust IT infrastructure, collaboration tools, virtual private networks (VPNs), and cyber security measures are critical for supporting remote access and communication (Bick et al., 2020).</w:t>
      </w:r>
    </w:p>
    <w:p w14:paraId="77D2FB3A" w14:textId="77777777" w:rsid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Cultural Adaptation:</w:t>
      </w:r>
      <w:r w:rsidRPr="003C41FD">
        <w:rPr>
          <w:rFonts w:ascii="Arial" w:hAnsi="Arial" w:cs="Arial"/>
        </w:rPr>
        <w:t xml:space="preserve"> The transition to flexible work may require a mindset shift regarding how work is measured and managers will need training to equitably oversee distributed teams (Greer &amp; Payne, 2014).</w:t>
      </w:r>
    </w:p>
    <w:p w14:paraId="54FF0AE4" w14:textId="77777777" w:rsidR="00616927" w:rsidRPr="003C41FD" w:rsidRDefault="00616927" w:rsidP="003C41FD">
      <w:pPr>
        <w:pStyle w:val="ListParagraph"/>
        <w:spacing w:after="0" w:line="360" w:lineRule="auto"/>
        <w:ind w:left="0" w:firstLine="720"/>
        <w:jc w:val="both"/>
        <w:rPr>
          <w:rFonts w:ascii="Arial" w:hAnsi="Arial" w:cs="Arial"/>
        </w:rPr>
      </w:pPr>
    </w:p>
    <w:p w14:paraId="73FCE43E" w14:textId="5751A1A5" w:rsidR="003C41FD" w:rsidRDefault="003C41FD" w:rsidP="00616927">
      <w:pPr>
        <w:tabs>
          <w:tab w:val="left" w:pos="4980"/>
        </w:tabs>
        <w:spacing w:after="0" w:line="360" w:lineRule="auto"/>
        <w:ind w:firstLine="720"/>
        <w:jc w:val="both"/>
        <w:rPr>
          <w:rFonts w:ascii="Arial" w:hAnsi="Arial" w:cs="Arial"/>
          <w:b/>
        </w:rPr>
      </w:pPr>
      <w:r w:rsidRPr="003C41FD">
        <w:rPr>
          <w:rFonts w:ascii="Arial" w:hAnsi="Arial" w:cs="Arial"/>
          <w:b/>
        </w:rPr>
        <w:t>Potential Pay Structure Adjustments</w:t>
      </w:r>
      <w:r w:rsidR="00616927">
        <w:rPr>
          <w:rFonts w:ascii="Arial" w:hAnsi="Arial" w:cs="Arial"/>
          <w:b/>
        </w:rPr>
        <w:tab/>
      </w:r>
    </w:p>
    <w:p w14:paraId="0123F177" w14:textId="77777777" w:rsidR="00616927" w:rsidRPr="003C41FD" w:rsidRDefault="00616927" w:rsidP="00616927">
      <w:pPr>
        <w:tabs>
          <w:tab w:val="left" w:pos="4980"/>
        </w:tabs>
        <w:spacing w:after="0" w:line="360" w:lineRule="auto"/>
        <w:ind w:firstLine="720"/>
        <w:jc w:val="both"/>
        <w:rPr>
          <w:rFonts w:ascii="Arial" w:hAnsi="Arial" w:cs="Arial"/>
          <w:b/>
        </w:rPr>
      </w:pPr>
    </w:p>
    <w:p w14:paraId="47CD083F"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rPr>
        <w:t xml:space="preserve">Depending on the type of flexible arrangements adopted, </w:t>
      </w:r>
      <w:proofErr w:type="spellStart"/>
      <w:r w:rsidRPr="003C41FD">
        <w:rPr>
          <w:rFonts w:ascii="Arial" w:hAnsi="Arial" w:cs="Arial"/>
        </w:rPr>
        <w:t>AgroTools</w:t>
      </w:r>
      <w:proofErr w:type="spellEnd"/>
      <w:r w:rsidRPr="003C41FD">
        <w:rPr>
          <w:rFonts w:ascii="Arial" w:hAnsi="Arial" w:cs="Arial"/>
        </w:rPr>
        <w:t xml:space="preserve"> may need to reconfigure certain components of its compensation </w:t>
      </w:r>
      <w:proofErr w:type="spellStart"/>
      <w:proofErr w:type="gramStart"/>
      <w:r w:rsidRPr="003C41FD">
        <w:rPr>
          <w:rFonts w:ascii="Arial" w:hAnsi="Arial" w:cs="Arial"/>
        </w:rPr>
        <w:t>structure:Depending</w:t>
      </w:r>
      <w:proofErr w:type="spellEnd"/>
      <w:proofErr w:type="gramEnd"/>
      <w:r w:rsidRPr="003C41FD">
        <w:rPr>
          <w:rFonts w:ascii="Arial" w:hAnsi="Arial" w:cs="Arial"/>
        </w:rPr>
        <w:t xml:space="preserve"> on the type of flexible arrangements adopted, </w:t>
      </w:r>
      <w:proofErr w:type="spellStart"/>
      <w:r w:rsidRPr="003C41FD">
        <w:rPr>
          <w:rFonts w:ascii="Arial" w:hAnsi="Arial" w:cs="Arial"/>
        </w:rPr>
        <w:t>AgroTools</w:t>
      </w:r>
      <w:proofErr w:type="spellEnd"/>
      <w:r w:rsidRPr="003C41FD">
        <w:rPr>
          <w:rFonts w:ascii="Arial" w:hAnsi="Arial" w:cs="Arial"/>
        </w:rPr>
        <w:t xml:space="preserve"> may need to reconfigure certain components of its compensation structure:</w:t>
      </w:r>
    </w:p>
    <w:p w14:paraId="1FC23E1E"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Geographic Pay:</w:t>
      </w:r>
      <w:r w:rsidRPr="003C41FD">
        <w:rPr>
          <w:rFonts w:ascii="Arial" w:hAnsi="Arial" w:cs="Arial"/>
        </w:rPr>
        <w:t xml:space="preserve"> When the organization bring on board the remote workers within different regions, then wages may have to be adjusted to match local </w:t>
      </w:r>
      <w:proofErr w:type="spellStart"/>
      <w:r w:rsidRPr="003C41FD">
        <w:rPr>
          <w:rFonts w:ascii="Arial" w:hAnsi="Arial" w:cs="Arial"/>
        </w:rPr>
        <w:t>labour</w:t>
      </w:r>
      <w:proofErr w:type="spellEnd"/>
      <w:r w:rsidRPr="003C41FD">
        <w:rPr>
          <w:rFonts w:ascii="Arial" w:hAnsi="Arial" w:cs="Arial"/>
        </w:rPr>
        <w:t xml:space="preserve"> market dynamics and cost-of-living conditions (Bersin, 2021).</w:t>
      </w:r>
    </w:p>
    <w:p w14:paraId="79D5C795"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Schedule Premiums</w:t>
      </w:r>
      <w:r w:rsidRPr="003C41FD">
        <w:rPr>
          <w:rFonts w:ascii="Arial" w:hAnsi="Arial" w:cs="Arial"/>
        </w:rPr>
        <w:t xml:space="preserve">: For the positions with atypical working times like night-shift, weekend, or on-call rotations the question of shift premium is an issue that should be taken under review (Balkin &amp; </w:t>
      </w:r>
      <w:proofErr w:type="spellStart"/>
      <w:r w:rsidRPr="003C41FD">
        <w:rPr>
          <w:rFonts w:ascii="Arial" w:hAnsi="Arial" w:cs="Arial"/>
        </w:rPr>
        <w:t>Richebe</w:t>
      </w:r>
      <w:proofErr w:type="spellEnd"/>
      <w:r w:rsidRPr="003C41FD">
        <w:rPr>
          <w:rFonts w:ascii="Arial" w:hAnsi="Arial" w:cs="Arial"/>
        </w:rPr>
        <w:t>, 2007).</w:t>
      </w:r>
    </w:p>
    <w:p w14:paraId="1956924C"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Benefits Eligibility</w:t>
      </w:r>
      <w:r w:rsidRPr="003C41FD">
        <w:rPr>
          <w:rFonts w:ascii="Arial" w:hAnsi="Arial" w:cs="Arial"/>
        </w:rPr>
        <w:t>: Rules for health insurance, retirement contribution, paid time off and other employee benefits may need to get modified anyhow to accurately regulate variable work conditions.</w:t>
      </w:r>
    </w:p>
    <w:p w14:paraId="29372821" w14:textId="77777777" w:rsidR="003C41FD" w:rsidRDefault="003C41FD" w:rsidP="003C41FD">
      <w:pPr>
        <w:pStyle w:val="ListParagraph"/>
        <w:spacing w:after="0" w:line="360" w:lineRule="auto"/>
        <w:ind w:left="0" w:firstLine="720"/>
        <w:jc w:val="both"/>
        <w:rPr>
          <w:rFonts w:ascii="Times New Roman" w:hAnsi="Times New Roman" w:cs="Times New Roman"/>
          <w:sz w:val="24"/>
          <w:szCs w:val="24"/>
        </w:rPr>
      </w:pPr>
      <w:r w:rsidRPr="003C41FD">
        <w:rPr>
          <w:rFonts w:ascii="Arial" w:hAnsi="Arial" w:cs="Arial"/>
          <w:b/>
          <w:bCs/>
        </w:rPr>
        <w:t>Performance Pay:</w:t>
      </w:r>
      <w:r w:rsidRPr="003C41FD">
        <w:rPr>
          <w:rFonts w:ascii="Arial" w:hAnsi="Arial" w:cs="Arial"/>
        </w:rPr>
        <w:t xml:space="preserve"> For remote staff with more subjective performance appraisal, incentive compensation may be more inclined to rethink the process or standardization to maintain equality and uniformity. (Robbins &amp; Judge</w:t>
      </w:r>
      <w:r w:rsidRPr="004254BC">
        <w:rPr>
          <w:rFonts w:ascii="Times New Roman" w:hAnsi="Times New Roman" w:cs="Times New Roman"/>
          <w:sz w:val="24"/>
          <w:szCs w:val="24"/>
        </w:rPr>
        <w:t>, 2021).</w:t>
      </w:r>
    </w:p>
    <w:p w14:paraId="3BE11792" w14:textId="77777777" w:rsidR="00616927" w:rsidRPr="004254BC" w:rsidRDefault="00616927" w:rsidP="003C41FD">
      <w:pPr>
        <w:pStyle w:val="ListParagraph"/>
        <w:spacing w:after="0" w:line="360" w:lineRule="auto"/>
        <w:ind w:left="0" w:firstLine="720"/>
        <w:jc w:val="both"/>
        <w:rPr>
          <w:rFonts w:ascii="Times New Roman" w:hAnsi="Times New Roman" w:cs="Times New Roman"/>
          <w:sz w:val="24"/>
          <w:szCs w:val="24"/>
        </w:rPr>
      </w:pPr>
    </w:p>
    <w:p w14:paraId="440B4E82" w14:textId="77777777" w:rsidR="003C41FD" w:rsidRDefault="003C41FD" w:rsidP="003C41FD">
      <w:pPr>
        <w:spacing w:after="0" w:line="360" w:lineRule="auto"/>
        <w:ind w:firstLine="720"/>
        <w:jc w:val="both"/>
        <w:rPr>
          <w:rFonts w:ascii="Arial" w:hAnsi="Arial" w:cs="Arial"/>
          <w:b/>
        </w:rPr>
      </w:pPr>
      <w:r w:rsidRPr="003C41FD">
        <w:rPr>
          <w:rFonts w:ascii="Arial" w:hAnsi="Arial" w:cs="Arial"/>
          <w:b/>
        </w:rPr>
        <w:t>Promoting Employee Engagement</w:t>
      </w:r>
    </w:p>
    <w:p w14:paraId="76A2E6FD" w14:textId="77777777" w:rsidR="00616927" w:rsidRPr="003C41FD" w:rsidRDefault="00616927" w:rsidP="003C41FD">
      <w:pPr>
        <w:spacing w:after="0" w:line="360" w:lineRule="auto"/>
        <w:ind w:firstLine="720"/>
        <w:jc w:val="both"/>
        <w:rPr>
          <w:rFonts w:ascii="Arial" w:hAnsi="Arial" w:cs="Arial"/>
          <w:b/>
        </w:rPr>
      </w:pPr>
    </w:p>
    <w:p w14:paraId="00CFA6E0"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rPr>
        <w:t xml:space="preserve">To maximize the value of flexible work programs, </w:t>
      </w:r>
      <w:proofErr w:type="spellStart"/>
      <w:r w:rsidRPr="003C41FD">
        <w:rPr>
          <w:rFonts w:ascii="Arial" w:hAnsi="Arial" w:cs="Arial"/>
        </w:rPr>
        <w:t>AgroTools</w:t>
      </w:r>
      <w:proofErr w:type="spellEnd"/>
      <w:r w:rsidRPr="003C41FD">
        <w:rPr>
          <w:rFonts w:ascii="Arial" w:hAnsi="Arial" w:cs="Arial"/>
        </w:rPr>
        <w:t xml:space="preserve"> should pursue complementary initiatives to foster engagement:</w:t>
      </w:r>
    </w:p>
    <w:p w14:paraId="39418417"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Management Training:</w:t>
      </w:r>
      <w:r w:rsidRPr="003C41FD">
        <w:rPr>
          <w:rFonts w:ascii="Arial" w:hAnsi="Arial" w:cs="Arial"/>
        </w:rPr>
        <w:t xml:space="preserve"> Equipping managers with the skills to lead remote/hybrid teams, leverage virtual collaboration tools, and evaluate performance objectively (Greer &amp; Payne, 2014).</w:t>
      </w:r>
    </w:p>
    <w:p w14:paraId="21754059"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Communication Plans:</w:t>
      </w:r>
      <w:r w:rsidRPr="003C41FD">
        <w:rPr>
          <w:rFonts w:ascii="Arial" w:hAnsi="Arial" w:cs="Arial"/>
        </w:rPr>
        <w:t xml:space="preserve"> Deploying technologies and protocols to facilitate frequent team communication, feedback loops, and company-wide transparency (Davis &amp; Cates, 2018).</w:t>
      </w:r>
    </w:p>
    <w:p w14:paraId="2A325B0B"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lastRenderedPageBreak/>
        <w:t>Virtual Events:</w:t>
      </w:r>
      <w:r w:rsidRPr="003C41FD">
        <w:rPr>
          <w:rFonts w:ascii="Arial" w:hAnsi="Arial" w:cs="Arial"/>
        </w:rPr>
        <w:t xml:space="preserve"> Organizing online social activities, team-building exercises, and opportunities for co-worker bonding to maintain culture and camaraderie (Nguyen, 2020).</w:t>
      </w:r>
    </w:p>
    <w:p w14:paraId="68DB7E20"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Resource Access:</w:t>
      </w:r>
      <w:r w:rsidRPr="003C41FD">
        <w:rPr>
          <w:rFonts w:ascii="Arial" w:hAnsi="Arial" w:cs="Arial"/>
        </w:rPr>
        <w:t xml:space="preserve"> Ensuring equal access to learning/development resources, employee assistance programs, and HR support channels regardless of worksite (Ferrazzi, 2014).</w:t>
      </w:r>
    </w:p>
    <w:p w14:paraId="47827641"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Ergonomic Support:</w:t>
      </w:r>
      <w:r w:rsidRPr="003C41FD">
        <w:rPr>
          <w:rFonts w:ascii="Arial" w:hAnsi="Arial" w:cs="Arial"/>
        </w:rPr>
        <w:t xml:space="preserve"> Providing equipment, training, and workspace stipends to create safe and comfortable home/remote office setups (Ellison, 2020).</w:t>
      </w:r>
    </w:p>
    <w:p w14:paraId="72FF7347" w14:textId="77777777" w:rsid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b/>
          <w:bCs/>
        </w:rPr>
        <w:t>Work-Life Initiatives:</w:t>
      </w:r>
      <w:r w:rsidRPr="003C41FD">
        <w:rPr>
          <w:rFonts w:ascii="Arial" w:hAnsi="Arial" w:cs="Arial"/>
        </w:rPr>
        <w:t xml:space="preserve"> Offering resources like backup childcare, counseling services, flexible spending accounts to support overall work-life integration (Grover &amp; Crooker, 1995).</w:t>
      </w:r>
    </w:p>
    <w:p w14:paraId="3AD98F53" w14:textId="77777777" w:rsidR="00616927" w:rsidRPr="003C41FD" w:rsidRDefault="00616927" w:rsidP="003C41FD">
      <w:pPr>
        <w:pStyle w:val="ListParagraph"/>
        <w:spacing w:after="0" w:line="360" w:lineRule="auto"/>
        <w:ind w:left="0" w:firstLine="720"/>
        <w:jc w:val="both"/>
        <w:rPr>
          <w:rFonts w:ascii="Arial" w:hAnsi="Arial" w:cs="Arial"/>
        </w:rPr>
      </w:pPr>
    </w:p>
    <w:p w14:paraId="4CF65890" w14:textId="475C31D4" w:rsidR="003C41FD" w:rsidRDefault="003C41FD" w:rsidP="00616927">
      <w:pPr>
        <w:tabs>
          <w:tab w:val="left" w:pos="2865"/>
        </w:tabs>
        <w:spacing w:after="0" w:line="360" w:lineRule="auto"/>
        <w:ind w:firstLine="720"/>
        <w:jc w:val="both"/>
        <w:rPr>
          <w:rFonts w:ascii="Arial" w:hAnsi="Arial" w:cs="Arial"/>
          <w:b/>
        </w:rPr>
      </w:pPr>
      <w:r w:rsidRPr="003C41FD">
        <w:rPr>
          <w:rFonts w:ascii="Arial" w:hAnsi="Arial" w:cs="Arial"/>
          <w:b/>
        </w:rPr>
        <w:t>Conclusion</w:t>
      </w:r>
      <w:r w:rsidR="00616927">
        <w:rPr>
          <w:rFonts w:ascii="Arial" w:hAnsi="Arial" w:cs="Arial"/>
          <w:b/>
        </w:rPr>
        <w:tab/>
      </w:r>
    </w:p>
    <w:p w14:paraId="3ECE5498" w14:textId="77777777" w:rsidR="00616927" w:rsidRPr="003C41FD" w:rsidRDefault="00616927" w:rsidP="00616927">
      <w:pPr>
        <w:tabs>
          <w:tab w:val="left" w:pos="2865"/>
        </w:tabs>
        <w:spacing w:after="0" w:line="360" w:lineRule="auto"/>
        <w:ind w:firstLine="720"/>
        <w:jc w:val="both"/>
        <w:rPr>
          <w:rFonts w:ascii="Arial" w:hAnsi="Arial" w:cs="Arial"/>
          <w:b/>
        </w:rPr>
      </w:pPr>
    </w:p>
    <w:p w14:paraId="21B06A33"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rPr>
        <w:t xml:space="preserve">Adopting the flexible work arrangements can result in a number of advantages down the line for the </w:t>
      </w:r>
      <w:proofErr w:type="spellStart"/>
      <w:r w:rsidRPr="003C41FD">
        <w:rPr>
          <w:rFonts w:ascii="Arial" w:hAnsi="Arial" w:cs="Arial"/>
        </w:rPr>
        <w:t>AgroTools</w:t>
      </w:r>
      <w:proofErr w:type="spellEnd"/>
      <w:r w:rsidRPr="003C41FD">
        <w:rPr>
          <w:rFonts w:ascii="Arial" w:hAnsi="Arial" w:cs="Arial"/>
        </w:rPr>
        <w:t>, which include the recruitment of talent, talent retention, increasing productivity, and savings in costs in the long term, if carefully planned to fulfil business requirements. Therefore, a well thought after management change strategy must be employed as well. First of all, the organization needs to develop concrete policies and to perform detailed tasks analysis of staff transitioning to flexible positions to decide which positions and teams can be moved to a flexible work arrangement while noting positions where such an arrangement might not be viable due to operational requirements or dependency.</w:t>
      </w:r>
    </w:p>
    <w:p w14:paraId="07E6F0DC"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rPr>
        <w:t xml:space="preserve">On the other hand, a variety of challenges may be encountered when designing the organization to be flexible, differently depending on the plant location with focus on making, distribution, and back office. Construction of production lines floors and also logistics may come across hurdles which in assisting remote work for the need of parallelism, safety measures and on-site usage. Creative approaches such as </w:t>
      </w:r>
      <w:proofErr w:type="spellStart"/>
      <w:r w:rsidRPr="003C41FD">
        <w:rPr>
          <w:rFonts w:ascii="Arial" w:hAnsi="Arial" w:cs="Arial"/>
        </w:rPr>
        <w:t>timeranches</w:t>
      </w:r>
      <w:proofErr w:type="spellEnd"/>
      <w:r w:rsidRPr="003C41FD">
        <w:rPr>
          <w:rFonts w:ascii="Arial" w:hAnsi="Arial" w:cs="Arial"/>
        </w:rPr>
        <w:t xml:space="preserve"> or designated remote teams may be alternatives that are worth consideration.</w:t>
      </w:r>
    </w:p>
    <w:p w14:paraId="41B2E297"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rPr>
        <w:t>On the other hand, any flexible work policies must be done so that all the legal and human standards regarding employee classification, workplace discriminations, overtime and the safeness standards are met. With clear procedures for virtual networks and equipment provisioning, engaging virtual collaboration tools, the off-site team members can work in a secure manner as well as be as productive as those based on the worksite.</w:t>
      </w:r>
    </w:p>
    <w:p w14:paraId="06AB9D51"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rPr>
        <w:t xml:space="preserve">Human resource compensation calls for a deeper analysis of geographic salary scales, shift premiums, performance appraisal mechanisms and benefits eligibility guidelines to ensure that they are appropriate for their variable schedules and work locations. Instating an environment of engagement through relevant managerial training, comprehensible communication systems, </w:t>
      </w:r>
      <w:r w:rsidRPr="003C41FD">
        <w:rPr>
          <w:rFonts w:ascii="Arial" w:hAnsi="Arial" w:cs="Arial"/>
        </w:rPr>
        <w:lastRenderedPageBreak/>
        <w:t>engaging virtual activities, and wellness at work initiatives should remain the most prominent strategies for the year ahead.</w:t>
      </w:r>
    </w:p>
    <w:p w14:paraId="00BED378" w14:textId="77777777" w:rsid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rPr>
        <w:t xml:space="preserve">In the final analysis, the successful fixed or mobile work program execution will surely remain as an iterative procedure, where continuous assessment and improvement will be necessary to fit them to with the mutating requirements of </w:t>
      </w:r>
      <w:proofErr w:type="spellStart"/>
      <w:r w:rsidRPr="003C41FD">
        <w:rPr>
          <w:rFonts w:ascii="Arial" w:hAnsi="Arial" w:cs="Arial"/>
        </w:rPr>
        <w:t>AgroTools</w:t>
      </w:r>
      <w:proofErr w:type="spellEnd"/>
      <w:r w:rsidRPr="003C41FD">
        <w:rPr>
          <w:rFonts w:ascii="Arial" w:hAnsi="Arial" w:cs="Arial"/>
        </w:rPr>
        <w:t xml:space="preserve">' workforce and activities. A persistent mere stakeholder-based approach can definitely project the company as a swift, futuristic and dynamic organization capable of luring and holding top talent in place while boosting the business productivity. </w:t>
      </w:r>
    </w:p>
    <w:p w14:paraId="124EF216" w14:textId="77777777" w:rsidR="00616927" w:rsidRDefault="00616927" w:rsidP="003C41FD">
      <w:pPr>
        <w:pStyle w:val="ListParagraph"/>
        <w:spacing w:after="0" w:line="360" w:lineRule="auto"/>
        <w:ind w:left="0" w:firstLine="720"/>
        <w:jc w:val="both"/>
        <w:rPr>
          <w:rFonts w:ascii="Arial" w:hAnsi="Arial" w:cs="Arial"/>
        </w:rPr>
      </w:pPr>
    </w:p>
    <w:p w14:paraId="33C3480F" w14:textId="77777777" w:rsidR="003C41FD" w:rsidRDefault="003C41FD" w:rsidP="003C41FD">
      <w:pPr>
        <w:spacing w:after="0" w:line="360" w:lineRule="auto"/>
        <w:ind w:firstLine="720"/>
        <w:jc w:val="both"/>
        <w:rPr>
          <w:rFonts w:ascii="Arial" w:hAnsi="Arial" w:cs="Arial"/>
          <w:b/>
        </w:rPr>
      </w:pPr>
      <w:r w:rsidRPr="003C41FD">
        <w:rPr>
          <w:rFonts w:ascii="Arial" w:hAnsi="Arial" w:cs="Arial"/>
          <w:b/>
        </w:rPr>
        <w:t>Limitations</w:t>
      </w:r>
    </w:p>
    <w:p w14:paraId="6ABFB04A" w14:textId="77777777" w:rsidR="00616927" w:rsidRPr="003C41FD" w:rsidRDefault="00616927" w:rsidP="003C41FD">
      <w:pPr>
        <w:spacing w:after="0" w:line="360" w:lineRule="auto"/>
        <w:ind w:firstLine="720"/>
        <w:jc w:val="both"/>
        <w:rPr>
          <w:rFonts w:ascii="Arial" w:hAnsi="Arial" w:cs="Arial"/>
          <w:b/>
        </w:rPr>
      </w:pPr>
    </w:p>
    <w:p w14:paraId="65B03A65" w14:textId="77777777" w:rsidR="003C41FD" w:rsidRPr="003C41FD" w:rsidRDefault="003C41FD" w:rsidP="003C41FD">
      <w:pPr>
        <w:pStyle w:val="ListParagraph"/>
        <w:spacing w:after="0" w:line="360" w:lineRule="auto"/>
        <w:ind w:left="0" w:firstLine="720"/>
        <w:jc w:val="both"/>
        <w:rPr>
          <w:rFonts w:ascii="Arial" w:hAnsi="Arial" w:cs="Arial"/>
        </w:rPr>
      </w:pPr>
      <w:r w:rsidRPr="003C41FD">
        <w:rPr>
          <w:rFonts w:ascii="Arial" w:hAnsi="Arial" w:cs="Arial"/>
        </w:rPr>
        <w:t xml:space="preserve">This report provides a broad overview for implementing flexible work at </w:t>
      </w:r>
      <w:proofErr w:type="spellStart"/>
      <w:r w:rsidRPr="003C41FD">
        <w:rPr>
          <w:rFonts w:ascii="Arial" w:hAnsi="Arial" w:cs="Arial"/>
        </w:rPr>
        <w:t>AgroTools</w:t>
      </w:r>
      <w:proofErr w:type="spellEnd"/>
      <w:r w:rsidRPr="003C41FD">
        <w:rPr>
          <w:rFonts w:ascii="Arial" w:hAnsi="Arial" w:cs="Arial"/>
        </w:rPr>
        <w:t>, but has some inherent limitations:</w:t>
      </w:r>
    </w:p>
    <w:p w14:paraId="34BD1CF5" w14:textId="77777777" w:rsidR="003C41FD" w:rsidRPr="004E2F5D" w:rsidRDefault="003C41FD" w:rsidP="004E2F5D">
      <w:pPr>
        <w:pStyle w:val="ListParagraph"/>
        <w:numPr>
          <w:ilvl w:val="0"/>
          <w:numId w:val="12"/>
        </w:numPr>
        <w:spacing w:after="0" w:line="360" w:lineRule="auto"/>
        <w:ind w:left="0" w:firstLine="720"/>
        <w:jc w:val="both"/>
        <w:rPr>
          <w:rFonts w:ascii="Arial" w:hAnsi="Arial" w:cs="Arial"/>
        </w:rPr>
      </w:pPr>
      <w:r w:rsidRPr="003C41FD">
        <w:rPr>
          <w:rFonts w:ascii="Arial" w:hAnsi="Arial" w:cs="Arial"/>
        </w:rPr>
        <w:t>Lack of internal data on specific workforce needs,</w:t>
      </w:r>
      <w:r w:rsidRPr="004E2F5D">
        <w:rPr>
          <w:rFonts w:ascii="Arial" w:hAnsi="Arial" w:cs="Arial"/>
        </w:rPr>
        <w:t xml:space="preserve"> preferences, and job roles to inform customized recommendations</w:t>
      </w:r>
    </w:p>
    <w:p w14:paraId="560CA025" w14:textId="77777777" w:rsidR="003C41FD" w:rsidRPr="004E2F5D" w:rsidRDefault="003C41FD" w:rsidP="004E2F5D">
      <w:pPr>
        <w:pStyle w:val="ListParagraph"/>
        <w:numPr>
          <w:ilvl w:val="0"/>
          <w:numId w:val="12"/>
        </w:numPr>
        <w:spacing w:after="0" w:line="360" w:lineRule="auto"/>
        <w:ind w:left="0" w:firstLine="720"/>
        <w:jc w:val="both"/>
        <w:rPr>
          <w:rFonts w:ascii="Arial" w:hAnsi="Arial" w:cs="Arial"/>
        </w:rPr>
      </w:pPr>
      <w:r w:rsidRPr="004E2F5D">
        <w:rPr>
          <w:rFonts w:ascii="Arial" w:hAnsi="Arial" w:cs="Arial"/>
        </w:rPr>
        <w:t xml:space="preserve">Inability to fully assess </w:t>
      </w:r>
      <w:proofErr w:type="spellStart"/>
      <w:r w:rsidRPr="004E2F5D">
        <w:rPr>
          <w:rFonts w:ascii="Arial" w:hAnsi="Arial" w:cs="Arial"/>
        </w:rPr>
        <w:t>AgroTools</w:t>
      </w:r>
      <w:proofErr w:type="spellEnd"/>
      <w:r w:rsidRPr="004E2F5D">
        <w:rPr>
          <w:rFonts w:ascii="Arial" w:hAnsi="Arial" w:cs="Arial"/>
        </w:rPr>
        <w:t>' current technological capabilities, security protocols, and existing HR policies/practices</w:t>
      </w:r>
    </w:p>
    <w:p w14:paraId="3D688DAC" w14:textId="77777777" w:rsidR="003C41FD" w:rsidRPr="004E2F5D" w:rsidRDefault="003C41FD" w:rsidP="004E2F5D">
      <w:pPr>
        <w:pStyle w:val="ListParagraph"/>
        <w:numPr>
          <w:ilvl w:val="0"/>
          <w:numId w:val="12"/>
        </w:numPr>
        <w:spacing w:after="0" w:line="360" w:lineRule="auto"/>
        <w:ind w:left="0" w:firstLine="720"/>
        <w:jc w:val="both"/>
        <w:rPr>
          <w:rFonts w:ascii="Arial" w:hAnsi="Arial" w:cs="Arial"/>
        </w:rPr>
      </w:pPr>
      <w:r w:rsidRPr="004E2F5D">
        <w:rPr>
          <w:rFonts w:ascii="Arial" w:hAnsi="Arial" w:cs="Arial"/>
        </w:rPr>
        <w:t>Indirect costs and budgetary impacts are not quantified based on the general external research synthesized</w:t>
      </w:r>
    </w:p>
    <w:p w14:paraId="6F0FDE57" w14:textId="77777777" w:rsidR="003C41FD" w:rsidRPr="004E2F5D" w:rsidRDefault="003C41FD" w:rsidP="004E2F5D">
      <w:pPr>
        <w:pStyle w:val="ListParagraph"/>
        <w:numPr>
          <w:ilvl w:val="0"/>
          <w:numId w:val="12"/>
        </w:numPr>
        <w:spacing w:after="0" w:line="360" w:lineRule="auto"/>
        <w:ind w:left="0" w:firstLine="720"/>
        <w:jc w:val="both"/>
        <w:rPr>
          <w:rFonts w:ascii="Arial" w:hAnsi="Arial" w:cs="Arial"/>
        </w:rPr>
      </w:pPr>
      <w:r w:rsidRPr="004E2F5D">
        <w:rPr>
          <w:rFonts w:ascii="Arial" w:hAnsi="Arial" w:cs="Arial"/>
        </w:rPr>
        <w:t xml:space="preserve">Implementation timelines and change management specifics are not detailed due to lacking insights into </w:t>
      </w:r>
      <w:proofErr w:type="spellStart"/>
      <w:r w:rsidRPr="004E2F5D">
        <w:rPr>
          <w:rFonts w:ascii="Arial" w:hAnsi="Arial" w:cs="Arial"/>
        </w:rPr>
        <w:t>AgroTools</w:t>
      </w:r>
      <w:proofErr w:type="spellEnd"/>
      <w:r w:rsidRPr="004E2F5D">
        <w:rPr>
          <w:rFonts w:ascii="Arial" w:hAnsi="Arial" w:cs="Arial"/>
        </w:rPr>
        <w:t>' corporate culture and decision-making processes</w:t>
      </w:r>
    </w:p>
    <w:p w14:paraId="4ED1AE29" w14:textId="77777777" w:rsidR="003C41FD" w:rsidRPr="004E2F5D" w:rsidRDefault="003C41FD" w:rsidP="004E2F5D">
      <w:pPr>
        <w:pStyle w:val="ListParagraph"/>
        <w:spacing w:after="0" w:line="360" w:lineRule="auto"/>
        <w:ind w:left="0" w:firstLine="720"/>
        <w:jc w:val="both"/>
        <w:rPr>
          <w:rFonts w:ascii="Arial" w:hAnsi="Arial" w:cs="Arial"/>
        </w:rPr>
      </w:pPr>
      <w:r w:rsidRPr="004E2F5D">
        <w:rPr>
          <w:rFonts w:ascii="Arial" w:hAnsi="Arial" w:cs="Arial"/>
        </w:rPr>
        <w:t>For a more comprehensive strategy, supplementing this report with internal surveys, focus groups, policy/infrastructure audits, and financial modeling would be highly beneficial next steps (Collings et al., 2021).</w:t>
      </w:r>
    </w:p>
    <w:p w14:paraId="4FB10A30" w14:textId="77777777" w:rsidR="003C41FD" w:rsidRDefault="003C41FD" w:rsidP="004A2540">
      <w:pPr>
        <w:spacing w:after="0" w:line="360" w:lineRule="auto"/>
        <w:ind w:firstLine="720"/>
        <w:jc w:val="both"/>
        <w:rPr>
          <w:rFonts w:ascii="Arial" w:hAnsi="Arial" w:cs="Arial"/>
        </w:rPr>
      </w:pPr>
    </w:p>
    <w:p w14:paraId="402DDD09" w14:textId="77777777" w:rsidR="004E2F5D" w:rsidRDefault="004E2F5D" w:rsidP="004A2540">
      <w:pPr>
        <w:spacing w:after="0" w:line="360" w:lineRule="auto"/>
        <w:ind w:firstLine="720"/>
        <w:jc w:val="both"/>
        <w:rPr>
          <w:rFonts w:ascii="Arial" w:hAnsi="Arial" w:cs="Arial"/>
        </w:rPr>
      </w:pPr>
    </w:p>
    <w:p w14:paraId="2B0031FD" w14:textId="77777777" w:rsidR="004E2F5D" w:rsidRDefault="004E2F5D" w:rsidP="004A2540">
      <w:pPr>
        <w:spacing w:after="0" w:line="360" w:lineRule="auto"/>
        <w:ind w:firstLine="720"/>
        <w:jc w:val="both"/>
        <w:rPr>
          <w:rFonts w:ascii="Arial" w:hAnsi="Arial" w:cs="Arial"/>
        </w:rPr>
      </w:pPr>
    </w:p>
    <w:p w14:paraId="781FD29D" w14:textId="77777777" w:rsidR="004E2F5D" w:rsidRDefault="004E2F5D" w:rsidP="004A2540">
      <w:pPr>
        <w:spacing w:after="0" w:line="360" w:lineRule="auto"/>
        <w:ind w:firstLine="720"/>
        <w:jc w:val="both"/>
        <w:rPr>
          <w:rFonts w:ascii="Arial" w:hAnsi="Arial" w:cs="Arial"/>
        </w:rPr>
      </w:pPr>
    </w:p>
    <w:p w14:paraId="5FA76BB3" w14:textId="77777777" w:rsidR="004E2F5D" w:rsidRDefault="004E2F5D" w:rsidP="004A2540">
      <w:pPr>
        <w:spacing w:after="0" w:line="360" w:lineRule="auto"/>
        <w:ind w:firstLine="720"/>
        <w:jc w:val="both"/>
        <w:rPr>
          <w:rFonts w:ascii="Arial" w:hAnsi="Arial" w:cs="Arial"/>
        </w:rPr>
      </w:pPr>
    </w:p>
    <w:p w14:paraId="684EF5C3" w14:textId="77777777" w:rsidR="004E2F5D" w:rsidRDefault="004E2F5D" w:rsidP="004A2540">
      <w:pPr>
        <w:spacing w:after="0" w:line="360" w:lineRule="auto"/>
        <w:ind w:firstLine="720"/>
        <w:jc w:val="both"/>
        <w:rPr>
          <w:rFonts w:ascii="Arial" w:hAnsi="Arial" w:cs="Arial"/>
        </w:rPr>
      </w:pPr>
    </w:p>
    <w:p w14:paraId="3872D869" w14:textId="77777777" w:rsidR="004E2F5D" w:rsidRDefault="004E2F5D" w:rsidP="004A2540">
      <w:pPr>
        <w:spacing w:after="0" w:line="360" w:lineRule="auto"/>
        <w:ind w:firstLine="720"/>
        <w:jc w:val="both"/>
        <w:rPr>
          <w:rFonts w:ascii="Arial" w:hAnsi="Arial" w:cs="Arial"/>
        </w:rPr>
      </w:pPr>
    </w:p>
    <w:p w14:paraId="77AF3EB2" w14:textId="77777777" w:rsidR="004E2F5D" w:rsidRDefault="004E2F5D" w:rsidP="004A2540">
      <w:pPr>
        <w:spacing w:after="0" w:line="360" w:lineRule="auto"/>
        <w:ind w:firstLine="720"/>
        <w:jc w:val="both"/>
        <w:rPr>
          <w:rFonts w:ascii="Arial" w:hAnsi="Arial" w:cs="Arial"/>
        </w:rPr>
      </w:pPr>
    </w:p>
    <w:p w14:paraId="280B06F7" w14:textId="77777777" w:rsidR="003C41FD" w:rsidRDefault="003C41FD" w:rsidP="004A2540">
      <w:pPr>
        <w:spacing w:after="0" w:line="360" w:lineRule="auto"/>
        <w:ind w:firstLine="720"/>
        <w:jc w:val="both"/>
        <w:rPr>
          <w:rFonts w:ascii="Arial" w:hAnsi="Arial" w:cs="Arial"/>
        </w:rPr>
      </w:pPr>
    </w:p>
    <w:p w14:paraId="6FBF41BF" w14:textId="77777777" w:rsidR="003C41FD" w:rsidRDefault="003C41FD" w:rsidP="004A2540">
      <w:pPr>
        <w:spacing w:after="0" w:line="360" w:lineRule="auto"/>
        <w:ind w:firstLine="720"/>
        <w:jc w:val="both"/>
        <w:rPr>
          <w:rFonts w:ascii="Arial" w:hAnsi="Arial" w:cs="Arial"/>
        </w:rPr>
      </w:pPr>
    </w:p>
    <w:p w14:paraId="7053ED84" w14:textId="158482F6" w:rsidR="00D55136" w:rsidRPr="00CD1F1C" w:rsidRDefault="00D55136" w:rsidP="00F30A79">
      <w:pPr>
        <w:pBdr>
          <w:top w:val="single" w:sz="4" w:space="1" w:color="auto"/>
        </w:pBdr>
        <w:spacing w:after="0" w:line="360" w:lineRule="auto"/>
        <w:ind w:firstLine="720"/>
        <w:jc w:val="both"/>
        <w:rPr>
          <w:rFonts w:ascii="Arial" w:hAnsi="Arial" w:cs="Arial"/>
          <w:b/>
          <w:i/>
          <w:kern w:val="0"/>
          <w14:ligatures w14:val="none"/>
        </w:rPr>
      </w:pPr>
      <w:r w:rsidRPr="00CD1F1C">
        <w:rPr>
          <w:rFonts w:ascii="Arial" w:hAnsi="Arial" w:cs="Arial"/>
          <w:b/>
          <w:i/>
          <w:kern w:val="0"/>
          <w14:ligatures w14:val="none"/>
        </w:rPr>
        <w:lastRenderedPageBreak/>
        <w:t>Reference List</w:t>
      </w:r>
    </w:p>
    <w:p w14:paraId="0271235C" w14:textId="496641AF" w:rsidR="00B669F6" w:rsidRDefault="00B669F6" w:rsidP="00B669F6">
      <w:pPr>
        <w:spacing w:after="0" w:line="360" w:lineRule="auto"/>
        <w:jc w:val="both"/>
        <w:rPr>
          <w:rFonts w:ascii="Arial" w:hAnsi="Arial" w:cs="Arial"/>
          <w:kern w:val="0"/>
          <w14:ligatures w14:val="none"/>
        </w:rPr>
      </w:pPr>
    </w:p>
    <w:p w14:paraId="09DC2363"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 xml:space="preserve">Balkin, D.B. and </w:t>
      </w:r>
      <w:proofErr w:type="spellStart"/>
      <w:r w:rsidRPr="004E2F5D">
        <w:rPr>
          <w:rFonts w:ascii="Arial" w:hAnsi="Arial" w:cs="Arial"/>
          <w:kern w:val="0"/>
          <w14:ligatures w14:val="none"/>
        </w:rPr>
        <w:t>Richebe</w:t>
      </w:r>
      <w:proofErr w:type="spellEnd"/>
      <w:r w:rsidRPr="004E2F5D">
        <w:rPr>
          <w:rFonts w:ascii="Arial" w:hAnsi="Arial" w:cs="Arial"/>
          <w:kern w:val="0"/>
          <w14:ligatures w14:val="none"/>
        </w:rPr>
        <w:t xml:space="preserve">, N., 2007. A flexible workplace solution for the changing nature of the workforce: An analysis of IBM </w:t>
      </w:r>
      <w:proofErr w:type="spellStart"/>
      <w:r w:rsidRPr="004E2F5D">
        <w:rPr>
          <w:rFonts w:ascii="Arial" w:hAnsi="Arial" w:cs="Arial"/>
          <w:kern w:val="0"/>
          <w14:ligatures w14:val="none"/>
        </w:rPr>
        <w:t>Mobility@Work</w:t>
      </w:r>
      <w:proofErr w:type="spellEnd"/>
      <w:r w:rsidRPr="004E2F5D">
        <w:rPr>
          <w:rFonts w:ascii="Arial" w:hAnsi="Arial" w:cs="Arial"/>
          <w:kern w:val="0"/>
          <w14:ligatures w14:val="none"/>
        </w:rPr>
        <w:t>. American Journal of Business, 22(1), pp.69-77.</w:t>
      </w:r>
    </w:p>
    <w:p w14:paraId="5D463ABF"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Barrero, J.M., Bloom, N. and Davis, S.J., 2021. Why working from home will stick (No. w28731). National Bureau of Economic Research.</w:t>
      </w:r>
    </w:p>
    <w:p w14:paraId="6A488A8D"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Bersin, J., 2021. Employee experience in a hybrid world: How distributed work is impacting pay and talent at organizations. Deloitte Review, 29.</w:t>
      </w:r>
    </w:p>
    <w:p w14:paraId="7BF822E7"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Bick, A., Blandin, A. and Mertens, K., 2020. Work from home after the COVID-19 Outbreak.</w:t>
      </w:r>
    </w:p>
    <w:p w14:paraId="795FF665"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Bloom, N., Liang, J., Roberts, J. and Ying, Z.J., 2015. Does working from home work? Evidence from a Chinese experiment. The Quarterly Journal of Economics, 130(1), pp.165-218.</w:t>
      </w:r>
    </w:p>
    <w:p w14:paraId="717C71E8"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Brynjolfsson, E., Horton, J.J., Ozimek, A., Rock, D., Sharma, G. and TuYe, H.Y., 2020. COVID-19 and remote work: An early look at US data. National Bureau of Economic Research.</w:t>
      </w:r>
    </w:p>
    <w:p w14:paraId="4E2ABCCE"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Civita, N., 2020. Preventing Burnout: Building Engagement in the Remote Workplace. Management Issues.</w:t>
      </w:r>
    </w:p>
    <w:p w14:paraId="5899F77D"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Coenen, M. and Kok, R.A., 2014. Workplace flexibility and new product development performance: The role of telework and flexible work schedules. European Management Journal, 32(4), pp.564-576.</w:t>
      </w:r>
    </w:p>
    <w:p w14:paraId="25B84948"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 xml:space="preserve">Collings, D.G., Mellors, R.J., Wood, G.T. and </w:t>
      </w:r>
      <w:proofErr w:type="spellStart"/>
      <w:r w:rsidRPr="004E2F5D">
        <w:rPr>
          <w:rFonts w:ascii="Arial" w:hAnsi="Arial" w:cs="Arial"/>
          <w:kern w:val="0"/>
          <w14:ligatures w14:val="none"/>
        </w:rPr>
        <w:t>Garavan</w:t>
      </w:r>
      <w:proofErr w:type="spellEnd"/>
      <w:r w:rsidRPr="004E2F5D">
        <w:rPr>
          <w:rFonts w:ascii="Arial" w:hAnsi="Arial" w:cs="Arial"/>
          <w:kern w:val="0"/>
          <w14:ligatures w14:val="none"/>
        </w:rPr>
        <w:t>, T.N., 2021. Rethinking the HR function to promote fit for purpose organizational agility. Human Resource Management Review, 31(4), p.100798.</w:t>
      </w:r>
    </w:p>
    <w:p w14:paraId="29E024F3"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Davis, R.C. and Cates, S., 2018. Improving workplace communication through remote communication tools: A theoretical perspective. International Journal of Business Communication, 55(4), pp.563-575.</w:t>
      </w:r>
    </w:p>
    <w:p w14:paraId="16F6574C"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 xml:space="preserve">Ellison, J.K., 2020. Ergonomics For Remote Employees: Key Considerations </w:t>
      </w:r>
      <w:proofErr w:type="gramStart"/>
      <w:r w:rsidRPr="004E2F5D">
        <w:rPr>
          <w:rFonts w:ascii="Arial" w:hAnsi="Arial" w:cs="Arial"/>
          <w:kern w:val="0"/>
          <w14:ligatures w14:val="none"/>
        </w:rPr>
        <w:t>In</w:t>
      </w:r>
      <w:proofErr w:type="gramEnd"/>
      <w:r w:rsidRPr="004E2F5D">
        <w:rPr>
          <w:rFonts w:ascii="Arial" w:hAnsi="Arial" w:cs="Arial"/>
          <w:kern w:val="0"/>
          <w14:ligatures w14:val="none"/>
        </w:rPr>
        <w:t xml:space="preserve"> A Time Of COVID-19. Available at: </w:t>
      </w:r>
      <w:hyperlink r:id="rId11" w:tgtFrame="_blank" w:history="1">
        <w:r w:rsidRPr="004E2F5D">
          <w:rPr>
            <w:rFonts w:ascii="Arial" w:hAnsi="Arial" w:cs="Arial"/>
            <w:kern w:val="0"/>
            <w14:ligatures w14:val="none"/>
          </w:rPr>
          <w:t>https://www.aon.com/getmedia/19499c80-3c7f-4193-af96-5317c1891ec9/Ergonomics-For-Remote-Employees-COVID-19.aspx</w:t>
        </w:r>
      </w:hyperlink>
    </w:p>
    <w:p w14:paraId="037FA9FF"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Ferrazzi, K., 2014. Getting virtual teams right. Harvard Business Review, 92(12), pp.120-123.</w:t>
      </w:r>
    </w:p>
    <w:p w14:paraId="53A955A1"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lastRenderedPageBreak/>
        <w:t>Foss, N.J., Pedersen, T., Reinholt Fosgaard, M. and Stea, D., 2015. Why complementary HRM practices impact performance: The case of rewards, job design, and work climate in a knowledge</w:t>
      </w:r>
      <w:r w:rsidRPr="004E2F5D">
        <w:rPr>
          <w:rFonts w:ascii="Cambria Math" w:hAnsi="Cambria Math" w:cs="Cambria Math"/>
          <w:kern w:val="0"/>
          <w14:ligatures w14:val="none"/>
        </w:rPr>
        <w:t>‐</w:t>
      </w:r>
      <w:r w:rsidRPr="004E2F5D">
        <w:rPr>
          <w:rFonts w:ascii="Arial" w:hAnsi="Arial" w:cs="Arial"/>
          <w:kern w:val="0"/>
          <w14:ligatures w14:val="none"/>
        </w:rPr>
        <w:t>sharing context. Human Resource Management, 54(6), pp.955-976.</w:t>
      </w:r>
    </w:p>
    <w:p w14:paraId="2246F1F5"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Gajendran, R.S. and Harrison, D.A., 2007. The good, the bad, and the unknown about telecommuting: Meta-analysis of psychological mediators and individual consequences. Journal of Applied Psychology, 92(6), p.1524.</w:t>
      </w:r>
    </w:p>
    <w:p w14:paraId="16BD1022"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Greer, T.W. and Payne, S.C., 2014. Overcoming telework challenges: Outcomes of successful telework strategies. The Psychologist-Manager Journal, 17(2), p.87.</w:t>
      </w:r>
    </w:p>
    <w:p w14:paraId="6E20B0CE"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Grover, S.L. and Crooker, K.J., 1995. Who appreciates family</w:t>
      </w:r>
      <w:r w:rsidRPr="004E2F5D">
        <w:rPr>
          <w:rFonts w:ascii="Cambria Math" w:hAnsi="Cambria Math" w:cs="Cambria Math"/>
          <w:kern w:val="0"/>
          <w14:ligatures w14:val="none"/>
        </w:rPr>
        <w:t>‐</w:t>
      </w:r>
      <w:r w:rsidRPr="004E2F5D">
        <w:rPr>
          <w:rFonts w:ascii="Arial" w:hAnsi="Arial" w:cs="Arial"/>
          <w:kern w:val="0"/>
          <w14:ligatures w14:val="none"/>
        </w:rPr>
        <w:t>responsive human resource policies: The impact of family</w:t>
      </w:r>
      <w:r w:rsidRPr="004E2F5D">
        <w:rPr>
          <w:rFonts w:ascii="Cambria Math" w:hAnsi="Cambria Math" w:cs="Cambria Math"/>
          <w:kern w:val="0"/>
          <w14:ligatures w14:val="none"/>
        </w:rPr>
        <w:t>‐</w:t>
      </w:r>
      <w:r w:rsidRPr="004E2F5D">
        <w:rPr>
          <w:rFonts w:ascii="Arial" w:hAnsi="Arial" w:cs="Arial"/>
          <w:kern w:val="0"/>
          <w14:ligatures w14:val="none"/>
        </w:rPr>
        <w:t>friendly policies on the organizational attachment of parents and non</w:t>
      </w:r>
      <w:r w:rsidRPr="004E2F5D">
        <w:rPr>
          <w:rFonts w:ascii="Cambria Math" w:hAnsi="Cambria Math" w:cs="Cambria Math"/>
          <w:kern w:val="0"/>
          <w14:ligatures w14:val="none"/>
        </w:rPr>
        <w:t>‐</w:t>
      </w:r>
      <w:r w:rsidRPr="004E2F5D">
        <w:rPr>
          <w:rFonts w:ascii="Arial" w:hAnsi="Arial" w:cs="Arial"/>
          <w:kern w:val="0"/>
          <w14:ligatures w14:val="none"/>
        </w:rPr>
        <w:t>parents. Personnel psychology, 48(2), pp.271-288.</w:t>
      </w:r>
    </w:p>
    <w:p w14:paraId="772BC179" w14:textId="77777777" w:rsidR="004E2F5D" w:rsidRPr="004E2F5D" w:rsidRDefault="004E2F5D" w:rsidP="004E2F5D">
      <w:pPr>
        <w:pStyle w:val="ListParagraph"/>
        <w:numPr>
          <w:ilvl w:val="0"/>
          <w:numId w:val="8"/>
        </w:numPr>
        <w:spacing w:after="0" w:line="360" w:lineRule="auto"/>
        <w:ind w:left="0" w:firstLine="720"/>
        <w:jc w:val="both"/>
        <w:rPr>
          <w:rFonts w:ascii="Arial" w:hAnsi="Arial" w:cs="Arial"/>
          <w:kern w:val="0"/>
          <w14:ligatures w14:val="none"/>
        </w:rPr>
      </w:pPr>
      <w:r w:rsidRPr="004E2F5D">
        <w:rPr>
          <w:rFonts w:ascii="Arial" w:hAnsi="Arial" w:cs="Arial"/>
          <w:kern w:val="0"/>
          <w14:ligatures w14:val="none"/>
        </w:rPr>
        <w:t>Lott, Y., 2020. Recruiting and Engaging Talent through Flexible Working and Effective Job Design. In Anthropological Encounters (pp. 143-165). Palgrave Macmillan, Cham.</w:t>
      </w:r>
    </w:p>
    <w:p w14:paraId="64AA3BDC" w14:textId="77777777" w:rsidR="004E2F5D" w:rsidRPr="004E2F5D" w:rsidRDefault="004E2F5D" w:rsidP="004E2F5D">
      <w:pPr>
        <w:pStyle w:val="ListParagraph"/>
        <w:numPr>
          <w:ilvl w:val="0"/>
          <w:numId w:val="8"/>
        </w:numPr>
        <w:spacing w:after="0" w:line="360" w:lineRule="auto"/>
        <w:ind w:left="0" w:firstLine="720"/>
        <w:jc w:val="both"/>
        <w:rPr>
          <w:rFonts w:ascii="Times New Roman" w:hAnsi="Times New Roman" w:cs="Times New Roman"/>
          <w:sz w:val="24"/>
          <w:szCs w:val="24"/>
        </w:rPr>
      </w:pPr>
      <w:r w:rsidRPr="004E2F5D">
        <w:rPr>
          <w:rFonts w:ascii="Times New Roman" w:hAnsi="Times New Roman" w:cs="Times New Roman"/>
          <w:sz w:val="24"/>
          <w:szCs w:val="24"/>
        </w:rPr>
        <w:t xml:space="preserve">Lund, S., </w:t>
      </w:r>
      <w:proofErr w:type="spellStart"/>
      <w:r w:rsidRPr="004E2F5D">
        <w:rPr>
          <w:rFonts w:ascii="Times New Roman" w:hAnsi="Times New Roman" w:cs="Times New Roman"/>
          <w:sz w:val="24"/>
          <w:szCs w:val="24"/>
        </w:rPr>
        <w:t>Madgavkar</w:t>
      </w:r>
      <w:proofErr w:type="spellEnd"/>
      <w:r w:rsidRPr="004E2F5D">
        <w:rPr>
          <w:rFonts w:ascii="Times New Roman" w:hAnsi="Times New Roman" w:cs="Times New Roman"/>
          <w:sz w:val="24"/>
          <w:szCs w:val="24"/>
        </w:rPr>
        <w:t xml:space="preserve">, A., Manyika, J., Smit, S., </w:t>
      </w:r>
      <w:proofErr w:type="spellStart"/>
      <w:r w:rsidRPr="004E2F5D">
        <w:rPr>
          <w:rFonts w:ascii="Times New Roman" w:hAnsi="Times New Roman" w:cs="Times New Roman"/>
          <w:sz w:val="24"/>
          <w:szCs w:val="24"/>
        </w:rPr>
        <w:t>Ellingrud</w:t>
      </w:r>
      <w:proofErr w:type="spellEnd"/>
      <w:r w:rsidRPr="004E2F5D">
        <w:rPr>
          <w:rFonts w:ascii="Times New Roman" w:hAnsi="Times New Roman" w:cs="Times New Roman"/>
          <w:sz w:val="24"/>
          <w:szCs w:val="24"/>
        </w:rPr>
        <w:t>, K., Meaney, M. and Robinson, O., 2021. The future of work after COVID-19. McKinsey Global Institute, February, 18.</w:t>
      </w:r>
    </w:p>
    <w:p w14:paraId="71C75F54" w14:textId="77777777" w:rsidR="004E2F5D" w:rsidRPr="004E2F5D" w:rsidRDefault="004E2F5D" w:rsidP="004E2F5D">
      <w:pPr>
        <w:pStyle w:val="ListParagraph"/>
        <w:numPr>
          <w:ilvl w:val="0"/>
          <w:numId w:val="8"/>
        </w:numPr>
        <w:spacing w:after="0" w:line="360" w:lineRule="auto"/>
        <w:ind w:left="0" w:firstLine="720"/>
        <w:jc w:val="both"/>
        <w:rPr>
          <w:rFonts w:ascii="Times New Roman" w:hAnsi="Times New Roman" w:cs="Times New Roman"/>
          <w:sz w:val="24"/>
          <w:szCs w:val="24"/>
        </w:rPr>
      </w:pPr>
      <w:r w:rsidRPr="004E2F5D">
        <w:rPr>
          <w:rFonts w:ascii="Times New Roman" w:hAnsi="Times New Roman" w:cs="Times New Roman"/>
          <w:sz w:val="24"/>
          <w:szCs w:val="24"/>
        </w:rPr>
        <w:t xml:space="preserve">Mateescu, A., 2021. Technological Resistance: Case Studies of Missed Work Automation. In The </w:t>
      </w:r>
      <w:proofErr w:type="spellStart"/>
      <w:r w:rsidRPr="004E2F5D">
        <w:rPr>
          <w:rFonts w:ascii="Times New Roman" w:hAnsi="Times New Roman" w:cs="Times New Roman"/>
          <w:sz w:val="24"/>
          <w:szCs w:val="24"/>
        </w:rPr>
        <w:t>Anthroposcene</w:t>
      </w:r>
      <w:proofErr w:type="spellEnd"/>
      <w:r w:rsidRPr="004E2F5D">
        <w:rPr>
          <w:rFonts w:ascii="Times New Roman" w:hAnsi="Times New Roman" w:cs="Times New Roman"/>
          <w:sz w:val="24"/>
          <w:szCs w:val="24"/>
        </w:rPr>
        <w:t xml:space="preserve"> Before its Operational Landscape (pp. 243-266). Palgrave Macmillan, Singapore.</w:t>
      </w:r>
    </w:p>
    <w:p w14:paraId="08A115C0" w14:textId="77777777" w:rsidR="004E2F5D" w:rsidRPr="004E2F5D" w:rsidRDefault="004E2F5D" w:rsidP="004E2F5D">
      <w:pPr>
        <w:pStyle w:val="ListParagraph"/>
        <w:numPr>
          <w:ilvl w:val="0"/>
          <w:numId w:val="8"/>
        </w:numPr>
        <w:spacing w:after="0" w:line="360" w:lineRule="auto"/>
        <w:ind w:left="0" w:firstLine="720"/>
        <w:jc w:val="both"/>
        <w:rPr>
          <w:rFonts w:ascii="Times New Roman" w:hAnsi="Times New Roman" w:cs="Times New Roman"/>
          <w:sz w:val="24"/>
          <w:szCs w:val="24"/>
        </w:rPr>
      </w:pPr>
      <w:r w:rsidRPr="004E2F5D">
        <w:rPr>
          <w:rFonts w:ascii="Times New Roman" w:hAnsi="Times New Roman" w:cs="Times New Roman"/>
          <w:sz w:val="24"/>
          <w:szCs w:val="24"/>
        </w:rPr>
        <w:t>Nguyen, J., 2020. Managing remote workers: Making virtual teams a success. Harvard Business Review Digital Articles, pp.2-5.</w:t>
      </w:r>
    </w:p>
    <w:p w14:paraId="26CC2086" w14:textId="77777777" w:rsidR="004E2F5D" w:rsidRPr="004E2F5D" w:rsidRDefault="004E2F5D" w:rsidP="004E2F5D">
      <w:pPr>
        <w:pStyle w:val="ListParagraph"/>
        <w:numPr>
          <w:ilvl w:val="0"/>
          <w:numId w:val="8"/>
        </w:numPr>
        <w:spacing w:after="0" w:line="360" w:lineRule="auto"/>
        <w:ind w:left="0" w:firstLine="720"/>
        <w:jc w:val="both"/>
        <w:rPr>
          <w:rFonts w:ascii="Times New Roman" w:hAnsi="Times New Roman" w:cs="Times New Roman"/>
          <w:sz w:val="24"/>
          <w:szCs w:val="24"/>
        </w:rPr>
      </w:pPr>
      <w:r w:rsidRPr="004E2F5D">
        <w:rPr>
          <w:rFonts w:ascii="Times New Roman" w:hAnsi="Times New Roman" w:cs="Times New Roman"/>
          <w:sz w:val="24"/>
          <w:szCs w:val="24"/>
        </w:rPr>
        <w:t>Ozimek, A., 2020. The Future of Remote Work.</w:t>
      </w:r>
    </w:p>
    <w:p w14:paraId="000869E2" w14:textId="77777777" w:rsidR="004E2F5D" w:rsidRPr="004E2F5D" w:rsidRDefault="004E2F5D" w:rsidP="004E2F5D">
      <w:pPr>
        <w:pStyle w:val="ListParagraph"/>
        <w:numPr>
          <w:ilvl w:val="0"/>
          <w:numId w:val="8"/>
        </w:numPr>
        <w:spacing w:after="0" w:line="360" w:lineRule="auto"/>
        <w:ind w:left="0" w:firstLine="720"/>
        <w:jc w:val="both"/>
        <w:rPr>
          <w:rFonts w:ascii="Times New Roman" w:hAnsi="Times New Roman" w:cs="Times New Roman"/>
          <w:sz w:val="24"/>
          <w:szCs w:val="24"/>
        </w:rPr>
      </w:pPr>
      <w:proofErr w:type="spellStart"/>
      <w:r w:rsidRPr="004E2F5D">
        <w:rPr>
          <w:rFonts w:ascii="Times New Roman" w:hAnsi="Times New Roman" w:cs="Times New Roman"/>
          <w:sz w:val="24"/>
          <w:szCs w:val="24"/>
        </w:rPr>
        <w:t>Pruchno</w:t>
      </w:r>
      <w:proofErr w:type="spellEnd"/>
      <w:r w:rsidRPr="004E2F5D">
        <w:rPr>
          <w:rFonts w:ascii="Times New Roman" w:hAnsi="Times New Roman" w:cs="Times New Roman"/>
          <w:sz w:val="24"/>
          <w:szCs w:val="24"/>
        </w:rPr>
        <w:t>, R.A., Litchfield, L. and Fried, S.M., 2009. Balancing Work, Family and Life: Exploring Employment Stress among Women Caregivers. Women, Work and Family, p.115.</w:t>
      </w:r>
    </w:p>
    <w:p w14:paraId="5DD2B53A" w14:textId="77777777" w:rsidR="004E2F5D" w:rsidRPr="004E2F5D" w:rsidRDefault="004E2F5D" w:rsidP="004E2F5D">
      <w:pPr>
        <w:pStyle w:val="ListParagraph"/>
        <w:numPr>
          <w:ilvl w:val="0"/>
          <w:numId w:val="8"/>
        </w:numPr>
        <w:spacing w:after="0" w:line="360" w:lineRule="auto"/>
        <w:ind w:left="0" w:firstLine="720"/>
        <w:jc w:val="both"/>
        <w:rPr>
          <w:rFonts w:ascii="Times New Roman" w:hAnsi="Times New Roman" w:cs="Times New Roman"/>
          <w:sz w:val="24"/>
          <w:szCs w:val="24"/>
        </w:rPr>
      </w:pPr>
      <w:r w:rsidRPr="004E2F5D">
        <w:rPr>
          <w:rFonts w:ascii="Times New Roman" w:hAnsi="Times New Roman" w:cs="Times New Roman"/>
          <w:sz w:val="24"/>
          <w:szCs w:val="24"/>
        </w:rPr>
        <w:t xml:space="preserve">Robbins, S.P. and Judge, T., 2021. </w:t>
      </w:r>
      <w:proofErr w:type="spellStart"/>
      <w:r w:rsidRPr="004E2F5D">
        <w:rPr>
          <w:rFonts w:ascii="Times New Roman" w:hAnsi="Times New Roman" w:cs="Times New Roman"/>
          <w:sz w:val="24"/>
          <w:szCs w:val="24"/>
        </w:rPr>
        <w:t>Organisational</w:t>
      </w:r>
      <w:proofErr w:type="spellEnd"/>
      <w:r w:rsidRPr="004E2F5D">
        <w:rPr>
          <w:rFonts w:ascii="Times New Roman" w:hAnsi="Times New Roman" w:cs="Times New Roman"/>
          <w:sz w:val="24"/>
          <w:szCs w:val="24"/>
        </w:rPr>
        <w:t xml:space="preserve"> </w:t>
      </w:r>
      <w:proofErr w:type="spellStart"/>
      <w:r w:rsidRPr="004E2F5D">
        <w:rPr>
          <w:rFonts w:ascii="Times New Roman" w:hAnsi="Times New Roman" w:cs="Times New Roman"/>
          <w:sz w:val="24"/>
          <w:szCs w:val="24"/>
        </w:rPr>
        <w:t>Behaviour</w:t>
      </w:r>
      <w:proofErr w:type="spellEnd"/>
      <w:r w:rsidRPr="004E2F5D">
        <w:rPr>
          <w:rFonts w:ascii="Times New Roman" w:hAnsi="Times New Roman" w:cs="Times New Roman"/>
          <w:sz w:val="24"/>
          <w:szCs w:val="24"/>
        </w:rPr>
        <w:t>. Pearson.</w:t>
      </w:r>
    </w:p>
    <w:p w14:paraId="777F5FC3" w14:textId="77777777" w:rsidR="004E2F5D" w:rsidRPr="004E2F5D" w:rsidRDefault="004E2F5D" w:rsidP="004E2F5D">
      <w:pPr>
        <w:pStyle w:val="ListParagraph"/>
        <w:numPr>
          <w:ilvl w:val="0"/>
          <w:numId w:val="8"/>
        </w:numPr>
        <w:spacing w:after="0" w:line="360" w:lineRule="auto"/>
        <w:ind w:left="0" w:firstLine="720"/>
        <w:jc w:val="both"/>
        <w:rPr>
          <w:rFonts w:ascii="Times New Roman" w:hAnsi="Times New Roman" w:cs="Times New Roman"/>
          <w:sz w:val="24"/>
          <w:szCs w:val="24"/>
        </w:rPr>
      </w:pPr>
      <w:r w:rsidRPr="004E2F5D">
        <w:rPr>
          <w:rFonts w:ascii="Times New Roman" w:hAnsi="Times New Roman" w:cs="Times New Roman"/>
          <w:sz w:val="24"/>
          <w:szCs w:val="24"/>
        </w:rPr>
        <w:t>Rodgers, W.M., 2020. Legal Issues and eDiscovery update: COVID-19 era concerns and trends in workplace policies impacting remote workers. Akron L. Rev., 54, p.261.</w:t>
      </w:r>
    </w:p>
    <w:p w14:paraId="6C89C6AE" w14:textId="77777777" w:rsidR="004E2F5D" w:rsidRPr="004E2F5D" w:rsidRDefault="004E2F5D" w:rsidP="004E2F5D">
      <w:pPr>
        <w:pStyle w:val="ListParagraph"/>
        <w:numPr>
          <w:ilvl w:val="0"/>
          <w:numId w:val="8"/>
        </w:numPr>
        <w:spacing w:after="0" w:line="360" w:lineRule="auto"/>
        <w:ind w:left="0" w:firstLine="720"/>
        <w:jc w:val="both"/>
        <w:rPr>
          <w:rFonts w:ascii="Times New Roman" w:hAnsi="Times New Roman" w:cs="Times New Roman"/>
          <w:sz w:val="24"/>
          <w:szCs w:val="24"/>
        </w:rPr>
      </w:pPr>
      <w:r w:rsidRPr="004E2F5D">
        <w:rPr>
          <w:rFonts w:ascii="Times New Roman" w:hAnsi="Times New Roman" w:cs="Times New Roman"/>
          <w:sz w:val="24"/>
          <w:szCs w:val="24"/>
        </w:rPr>
        <w:t>Society for Human Resource Management, 2022. Developing and Sustaining High Performance in Virtual Work Environments. Online Resource Library, Alexandria, VA.</w:t>
      </w:r>
    </w:p>
    <w:p w14:paraId="7C97F160" w14:textId="77777777" w:rsidR="004E2F5D" w:rsidRPr="004E2F5D" w:rsidRDefault="004E2F5D" w:rsidP="004E2F5D">
      <w:pPr>
        <w:pStyle w:val="ListParagraph"/>
        <w:numPr>
          <w:ilvl w:val="0"/>
          <w:numId w:val="8"/>
        </w:numPr>
        <w:spacing w:after="0" w:line="360" w:lineRule="auto"/>
        <w:ind w:left="0" w:firstLine="720"/>
        <w:jc w:val="both"/>
        <w:rPr>
          <w:rFonts w:ascii="Times New Roman" w:hAnsi="Times New Roman" w:cs="Times New Roman"/>
          <w:sz w:val="24"/>
          <w:szCs w:val="24"/>
        </w:rPr>
      </w:pPr>
      <w:r w:rsidRPr="004E2F5D">
        <w:rPr>
          <w:rFonts w:ascii="Times New Roman" w:hAnsi="Times New Roman" w:cs="Times New Roman"/>
          <w:sz w:val="24"/>
          <w:szCs w:val="24"/>
        </w:rPr>
        <w:t>Spreitzer, G.M., Cameron, L. and Garrett, L., 2017. Alternative work arrangements: Two images of the new world of work. Annual Review of Organizational Psychology and Organizational Behavior, 4, pp.473-499.</w:t>
      </w:r>
    </w:p>
    <w:p w14:paraId="5AFF92FF" w14:textId="3BB91E08" w:rsidR="00B669F6" w:rsidRPr="004E2F5D" w:rsidRDefault="004E2F5D" w:rsidP="004E2F5D">
      <w:pPr>
        <w:pStyle w:val="ListParagraph"/>
        <w:numPr>
          <w:ilvl w:val="0"/>
          <w:numId w:val="8"/>
        </w:numPr>
        <w:spacing w:after="0" w:line="360" w:lineRule="auto"/>
        <w:ind w:left="0" w:firstLine="720"/>
        <w:jc w:val="both"/>
        <w:rPr>
          <w:rFonts w:ascii="Times New Roman" w:hAnsi="Times New Roman" w:cs="Times New Roman"/>
          <w:sz w:val="24"/>
          <w:szCs w:val="24"/>
        </w:rPr>
      </w:pPr>
      <w:r w:rsidRPr="004E2F5D">
        <w:rPr>
          <w:rFonts w:ascii="Times New Roman" w:hAnsi="Times New Roman" w:cs="Times New Roman"/>
          <w:sz w:val="24"/>
          <w:szCs w:val="24"/>
        </w:rPr>
        <w:lastRenderedPageBreak/>
        <w:t>Wheatley, D., 2017. Employee engagement and flexible workplace facilitation. Internet Journal of Values-Based Management, 10(2).</w:t>
      </w:r>
    </w:p>
    <w:sectPr w:rsidR="00B669F6" w:rsidRPr="004E2F5D" w:rsidSect="00F96A82">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C95533" w14:textId="77777777" w:rsidR="00F96A82" w:rsidRDefault="00F96A82" w:rsidP="002C1A0B">
      <w:pPr>
        <w:spacing w:after="0" w:line="240" w:lineRule="auto"/>
      </w:pPr>
      <w:r>
        <w:separator/>
      </w:r>
    </w:p>
  </w:endnote>
  <w:endnote w:type="continuationSeparator" w:id="0">
    <w:p w14:paraId="2E8D776D" w14:textId="77777777" w:rsidR="00F96A82" w:rsidRDefault="00F96A82"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E00A3" w14:textId="77777777" w:rsidR="002C1A0B" w:rsidRDefault="002C1A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sidR="00A45AB4">
          <w:rPr>
            <w:noProof/>
          </w:rPr>
          <w:t>8</w:t>
        </w:r>
        <w:r>
          <w:rPr>
            <w:noProof/>
          </w:rPr>
          <w:fldChar w:fldCharType="end"/>
        </w:r>
      </w:p>
    </w:sdtContent>
  </w:sdt>
  <w:p w14:paraId="518562E0" w14:textId="77777777" w:rsidR="002C1A0B" w:rsidRDefault="002C1A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12D62" w14:textId="77777777" w:rsidR="002C1A0B" w:rsidRDefault="002C1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9C0573" w14:textId="77777777" w:rsidR="00F96A82" w:rsidRDefault="00F96A82" w:rsidP="002C1A0B">
      <w:pPr>
        <w:spacing w:after="0" w:line="240" w:lineRule="auto"/>
      </w:pPr>
      <w:r>
        <w:separator/>
      </w:r>
    </w:p>
  </w:footnote>
  <w:footnote w:type="continuationSeparator" w:id="0">
    <w:p w14:paraId="33D9C7A4" w14:textId="77777777" w:rsidR="00F96A82" w:rsidRDefault="00F96A82" w:rsidP="002C1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B4066" w14:textId="77777777" w:rsidR="002C1A0B" w:rsidRDefault="002C1A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741BA" w14:textId="77777777" w:rsidR="002C1A0B" w:rsidRDefault="002C1A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84C79" w14:textId="77777777" w:rsidR="002C1A0B" w:rsidRDefault="002C1A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84419"/>
    <w:multiLevelType w:val="hybridMultilevel"/>
    <w:tmpl w:val="52BC8164"/>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15:restartNumberingAfterBreak="0">
    <w:nsid w:val="12FE425A"/>
    <w:multiLevelType w:val="hybridMultilevel"/>
    <w:tmpl w:val="CE589796"/>
    <w:lvl w:ilvl="0" w:tplc="D102B142">
      <w:start w:val="1"/>
      <w:numFmt w:val="upperRoman"/>
      <w:lvlText w:val="%1."/>
      <w:lvlJc w:val="right"/>
      <w:pPr>
        <w:ind w:left="720" w:hanging="360"/>
      </w:pPr>
    </w:lvl>
    <w:lvl w:ilvl="1" w:tplc="C73E5104" w:tentative="1">
      <w:start w:val="1"/>
      <w:numFmt w:val="lowerLetter"/>
      <w:lvlText w:val="%2."/>
      <w:lvlJc w:val="left"/>
      <w:pPr>
        <w:ind w:left="1440" w:hanging="360"/>
      </w:pPr>
    </w:lvl>
    <w:lvl w:ilvl="2" w:tplc="5FE89DE0" w:tentative="1">
      <w:start w:val="1"/>
      <w:numFmt w:val="lowerRoman"/>
      <w:lvlText w:val="%3."/>
      <w:lvlJc w:val="right"/>
      <w:pPr>
        <w:ind w:left="2160" w:hanging="180"/>
      </w:pPr>
    </w:lvl>
    <w:lvl w:ilvl="3" w:tplc="00AAB8A0" w:tentative="1">
      <w:start w:val="1"/>
      <w:numFmt w:val="decimal"/>
      <w:lvlText w:val="%4."/>
      <w:lvlJc w:val="left"/>
      <w:pPr>
        <w:ind w:left="2880" w:hanging="360"/>
      </w:pPr>
    </w:lvl>
    <w:lvl w:ilvl="4" w:tplc="5CBAC658" w:tentative="1">
      <w:start w:val="1"/>
      <w:numFmt w:val="lowerLetter"/>
      <w:lvlText w:val="%5."/>
      <w:lvlJc w:val="left"/>
      <w:pPr>
        <w:ind w:left="3600" w:hanging="360"/>
      </w:pPr>
    </w:lvl>
    <w:lvl w:ilvl="5" w:tplc="AB0CA09A" w:tentative="1">
      <w:start w:val="1"/>
      <w:numFmt w:val="lowerRoman"/>
      <w:lvlText w:val="%6."/>
      <w:lvlJc w:val="right"/>
      <w:pPr>
        <w:ind w:left="4320" w:hanging="180"/>
      </w:pPr>
    </w:lvl>
    <w:lvl w:ilvl="6" w:tplc="D34825AA" w:tentative="1">
      <w:start w:val="1"/>
      <w:numFmt w:val="decimal"/>
      <w:lvlText w:val="%7."/>
      <w:lvlJc w:val="left"/>
      <w:pPr>
        <w:ind w:left="5040" w:hanging="360"/>
      </w:pPr>
    </w:lvl>
    <w:lvl w:ilvl="7" w:tplc="463E4834" w:tentative="1">
      <w:start w:val="1"/>
      <w:numFmt w:val="lowerLetter"/>
      <w:lvlText w:val="%8."/>
      <w:lvlJc w:val="left"/>
      <w:pPr>
        <w:ind w:left="5760" w:hanging="360"/>
      </w:pPr>
    </w:lvl>
    <w:lvl w:ilvl="8" w:tplc="42B4518C" w:tentative="1">
      <w:start w:val="1"/>
      <w:numFmt w:val="lowerRoman"/>
      <w:lvlText w:val="%9."/>
      <w:lvlJc w:val="right"/>
      <w:pPr>
        <w:ind w:left="6480" w:hanging="180"/>
      </w:pPr>
    </w:lvl>
  </w:abstractNum>
  <w:abstractNum w:abstractNumId="2" w15:restartNumberingAfterBreak="0">
    <w:nsid w:val="1D237A0E"/>
    <w:multiLevelType w:val="hybridMultilevel"/>
    <w:tmpl w:val="561838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48E01D4"/>
    <w:multiLevelType w:val="multilevel"/>
    <w:tmpl w:val="22D802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0140E8"/>
    <w:multiLevelType w:val="multilevel"/>
    <w:tmpl w:val="242283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D921E4"/>
    <w:multiLevelType w:val="hybridMultilevel"/>
    <w:tmpl w:val="A15CC45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2628E1"/>
    <w:multiLevelType w:val="hybridMultilevel"/>
    <w:tmpl w:val="DD4E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6C39A9"/>
    <w:multiLevelType w:val="multilevel"/>
    <w:tmpl w:val="55449E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8BC540D"/>
    <w:multiLevelType w:val="hybridMultilevel"/>
    <w:tmpl w:val="7646FB04"/>
    <w:lvl w:ilvl="0" w:tplc="52FE4A10">
      <w:start w:val="1"/>
      <w:numFmt w:val="lowerRoman"/>
      <w:lvlText w:val="%1."/>
      <w:lvlJc w:val="right"/>
      <w:pPr>
        <w:ind w:left="720" w:hanging="360"/>
      </w:pPr>
    </w:lvl>
    <w:lvl w:ilvl="1" w:tplc="9A16A27A" w:tentative="1">
      <w:start w:val="1"/>
      <w:numFmt w:val="lowerLetter"/>
      <w:lvlText w:val="%2."/>
      <w:lvlJc w:val="left"/>
      <w:pPr>
        <w:ind w:left="1440" w:hanging="360"/>
      </w:pPr>
    </w:lvl>
    <w:lvl w:ilvl="2" w:tplc="AF200BE2" w:tentative="1">
      <w:start w:val="1"/>
      <w:numFmt w:val="lowerRoman"/>
      <w:lvlText w:val="%3."/>
      <w:lvlJc w:val="right"/>
      <w:pPr>
        <w:ind w:left="2160" w:hanging="180"/>
      </w:pPr>
    </w:lvl>
    <w:lvl w:ilvl="3" w:tplc="19D43344" w:tentative="1">
      <w:start w:val="1"/>
      <w:numFmt w:val="decimal"/>
      <w:lvlText w:val="%4."/>
      <w:lvlJc w:val="left"/>
      <w:pPr>
        <w:ind w:left="2880" w:hanging="360"/>
      </w:pPr>
    </w:lvl>
    <w:lvl w:ilvl="4" w:tplc="482E8BD4" w:tentative="1">
      <w:start w:val="1"/>
      <w:numFmt w:val="lowerLetter"/>
      <w:lvlText w:val="%5."/>
      <w:lvlJc w:val="left"/>
      <w:pPr>
        <w:ind w:left="3600" w:hanging="360"/>
      </w:pPr>
    </w:lvl>
    <w:lvl w:ilvl="5" w:tplc="E6027CE2" w:tentative="1">
      <w:start w:val="1"/>
      <w:numFmt w:val="lowerRoman"/>
      <w:lvlText w:val="%6."/>
      <w:lvlJc w:val="right"/>
      <w:pPr>
        <w:ind w:left="4320" w:hanging="180"/>
      </w:pPr>
    </w:lvl>
    <w:lvl w:ilvl="6" w:tplc="54E2FCDA" w:tentative="1">
      <w:start w:val="1"/>
      <w:numFmt w:val="decimal"/>
      <w:lvlText w:val="%7."/>
      <w:lvlJc w:val="left"/>
      <w:pPr>
        <w:ind w:left="5040" w:hanging="360"/>
      </w:pPr>
    </w:lvl>
    <w:lvl w:ilvl="7" w:tplc="03D453A0" w:tentative="1">
      <w:start w:val="1"/>
      <w:numFmt w:val="lowerLetter"/>
      <w:lvlText w:val="%8."/>
      <w:lvlJc w:val="left"/>
      <w:pPr>
        <w:ind w:left="5760" w:hanging="360"/>
      </w:pPr>
    </w:lvl>
    <w:lvl w:ilvl="8" w:tplc="76D073F2" w:tentative="1">
      <w:start w:val="1"/>
      <w:numFmt w:val="lowerRoman"/>
      <w:lvlText w:val="%9."/>
      <w:lvlJc w:val="right"/>
      <w:pPr>
        <w:ind w:left="6480" w:hanging="180"/>
      </w:pPr>
    </w:lvl>
  </w:abstractNum>
  <w:abstractNum w:abstractNumId="9" w15:restartNumberingAfterBreak="0">
    <w:nsid w:val="6CA00A96"/>
    <w:multiLevelType w:val="hybridMultilevel"/>
    <w:tmpl w:val="761213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F2B140D"/>
    <w:multiLevelType w:val="hybridMultilevel"/>
    <w:tmpl w:val="D21401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7172051">
    <w:abstractNumId w:val="11"/>
  </w:num>
  <w:num w:numId="2" w16cid:durableId="2065911728">
    <w:abstractNumId w:val="1"/>
  </w:num>
  <w:num w:numId="3" w16cid:durableId="1764565680">
    <w:abstractNumId w:val="8"/>
  </w:num>
  <w:num w:numId="4" w16cid:durableId="1377508752">
    <w:abstractNumId w:val="2"/>
  </w:num>
  <w:num w:numId="5" w16cid:durableId="1641618794">
    <w:abstractNumId w:val="6"/>
  </w:num>
  <w:num w:numId="6" w16cid:durableId="656809580">
    <w:abstractNumId w:val="5"/>
  </w:num>
  <w:num w:numId="7" w16cid:durableId="742921398">
    <w:abstractNumId w:val="10"/>
  </w:num>
  <w:num w:numId="8" w16cid:durableId="1390110254">
    <w:abstractNumId w:val="9"/>
  </w:num>
  <w:num w:numId="9" w16cid:durableId="2142192054">
    <w:abstractNumId w:val="4"/>
  </w:num>
  <w:num w:numId="10" w16cid:durableId="2081948340">
    <w:abstractNumId w:val="7"/>
  </w:num>
  <w:num w:numId="11" w16cid:durableId="506554693">
    <w:abstractNumId w:val="3"/>
  </w:num>
  <w:num w:numId="12" w16cid:durableId="204027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0557B6"/>
    <w:rsid w:val="000855F0"/>
    <w:rsid w:val="000D3215"/>
    <w:rsid w:val="000F4962"/>
    <w:rsid w:val="001160CA"/>
    <w:rsid w:val="00122537"/>
    <w:rsid w:val="00140374"/>
    <w:rsid w:val="00185C5E"/>
    <w:rsid w:val="001F0A76"/>
    <w:rsid w:val="0023071A"/>
    <w:rsid w:val="00233814"/>
    <w:rsid w:val="00274843"/>
    <w:rsid w:val="00290CD1"/>
    <w:rsid w:val="00294F7A"/>
    <w:rsid w:val="002B0615"/>
    <w:rsid w:val="002C1A0B"/>
    <w:rsid w:val="003702D8"/>
    <w:rsid w:val="00381F4A"/>
    <w:rsid w:val="003C41FD"/>
    <w:rsid w:val="00423B9E"/>
    <w:rsid w:val="00457CCE"/>
    <w:rsid w:val="004A2540"/>
    <w:rsid w:val="004E2F5D"/>
    <w:rsid w:val="004F7DCF"/>
    <w:rsid w:val="00522A14"/>
    <w:rsid w:val="005709F2"/>
    <w:rsid w:val="005724EC"/>
    <w:rsid w:val="00585309"/>
    <w:rsid w:val="0059637D"/>
    <w:rsid w:val="005C1B3D"/>
    <w:rsid w:val="005D245A"/>
    <w:rsid w:val="00616927"/>
    <w:rsid w:val="006227CA"/>
    <w:rsid w:val="006600C2"/>
    <w:rsid w:val="0067625D"/>
    <w:rsid w:val="006A2BA4"/>
    <w:rsid w:val="006C0A6A"/>
    <w:rsid w:val="006F140C"/>
    <w:rsid w:val="006F7B6F"/>
    <w:rsid w:val="0073041B"/>
    <w:rsid w:val="00733789"/>
    <w:rsid w:val="00734049"/>
    <w:rsid w:val="00780E67"/>
    <w:rsid w:val="007A1A5E"/>
    <w:rsid w:val="008307E9"/>
    <w:rsid w:val="008428BB"/>
    <w:rsid w:val="008C31DE"/>
    <w:rsid w:val="00903ACC"/>
    <w:rsid w:val="009341B0"/>
    <w:rsid w:val="0095166E"/>
    <w:rsid w:val="00A1125C"/>
    <w:rsid w:val="00A114C9"/>
    <w:rsid w:val="00A146F3"/>
    <w:rsid w:val="00A26FE9"/>
    <w:rsid w:val="00A45AB4"/>
    <w:rsid w:val="00AA0183"/>
    <w:rsid w:val="00B45E14"/>
    <w:rsid w:val="00B669F6"/>
    <w:rsid w:val="00C1793A"/>
    <w:rsid w:val="00CC454A"/>
    <w:rsid w:val="00CD1F1C"/>
    <w:rsid w:val="00D43908"/>
    <w:rsid w:val="00D531EC"/>
    <w:rsid w:val="00D55136"/>
    <w:rsid w:val="00D65C61"/>
    <w:rsid w:val="00D67D6E"/>
    <w:rsid w:val="00D750BD"/>
    <w:rsid w:val="00DA5008"/>
    <w:rsid w:val="00DC7B2C"/>
    <w:rsid w:val="00DD55A7"/>
    <w:rsid w:val="00E52623"/>
    <w:rsid w:val="00EA14EC"/>
    <w:rsid w:val="00F05B9B"/>
    <w:rsid w:val="00F267FC"/>
    <w:rsid w:val="00F30A79"/>
    <w:rsid w:val="00F6637C"/>
    <w:rsid w:val="00F96A82"/>
    <w:rsid w:val="00FF0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0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 w:type="character" w:styleId="Emphasis">
    <w:name w:val="Emphasis"/>
    <w:basedOn w:val="DefaultParagraphFont"/>
    <w:uiPriority w:val="20"/>
    <w:qFormat/>
    <w:rsid w:val="00D65C61"/>
    <w:rPr>
      <w:i/>
      <w:iCs/>
    </w:rPr>
  </w:style>
  <w:style w:type="paragraph" w:styleId="NormalWeb">
    <w:name w:val="Normal (Web)"/>
    <w:basedOn w:val="Normal"/>
    <w:uiPriority w:val="99"/>
    <w:unhideWhenUsed/>
    <w:rsid w:val="002338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33814"/>
    <w:rPr>
      <w:color w:val="0000FF" w:themeColor="hyperlink"/>
      <w:u w:val="single"/>
    </w:rPr>
  </w:style>
  <w:style w:type="character" w:customStyle="1" w:styleId="Heading1Char">
    <w:name w:val="Heading 1 Char"/>
    <w:basedOn w:val="DefaultParagraphFont"/>
    <w:link w:val="Heading1"/>
    <w:uiPriority w:val="9"/>
    <w:rsid w:val="00D750B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750BD"/>
    <w:pPr>
      <w:spacing w:line="259" w:lineRule="auto"/>
      <w:outlineLvl w:val="9"/>
    </w:pPr>
    <w:rPr>
      <w:kern w:val="0"/>
      <w14:ligatures w14:val="none"/>
    </w:rPr>
  </w:style>
  <w:style w:type="paragraph" w:styleId="TOC2">
    <w:name w:val="toc 2"/>
    <w:basedOn w:val="Normal"/>
    <w:next w:val="Normal"/>
    <w:autoRedefine/>
    <w:uiPriority w:val="39"/>
    <w:unhideWhenUsed/>
    <w:rsid w:val="00D750BD"/>
    <w:pPr>
      <w:spacing w:after="100" w:line="259" w:lineRule="auto"/>
      <w:ind w:left="220"/>
    </w:pPr>
    <w:rPr>
      <w:rFonts w:eastAsiaTheme="minorEastAsia" w:cs="Times New Roman"/>
      <w:kern w:val="0"/>
      <w14:ligatures w14:val="none"/>
    </w:rPr>
  </w:style>
  <w:style w:type="paragraph" w:styleId="TOC1">
    <w:name w:val="toc 1"/>
    <w:basedOn w:val="Normal"/>
    <w:next w:val="Normal"/>
    <w:autoRedefine/>
    <w:uiPriority w:val="39"/>
    <w:unhideWhenUsed/>
    <w:rsid w:val="00D750BD"/>
    <w:pPr>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D750BD"/>
    <w:pPr>
      <w:spacing w:after="100" w:line="259" w:lineRule="auto"/>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on.com/getmedia/19499c80-3c7f-4193-af96-5317c1891ec9/Ergonomics-For-Remote-Employees-COVID-19.aspx"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LCBB5004_BIRM                                                         Dr Imo Enang                                                                                            Inna Hristova                                                          Student number                                                            2230343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F85AB5-6278-4739-875F-8AC5263ED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11</Pages>
  <Words>3037</Words>
  <Characters>17312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HYBRITE/FLEXIBLE WORKING</vt:lpstr>
    </vt:vector>
  </TitlesOfParts>
  <Company/>
  <LinksUpToDate>false</LinksUpToDate>
  <CharactersWithSpaces>20309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HYBRITE/FLEXIBLE WORKING</dc:title>
  <dc:subject>MANAGING PEOPLE</dc:subject>
  <dc:creator>calebsam472@outlook.com</dc:creator>
  <cp:keywords/>
  <dc:description/>
  <cp:lastModifiedBy>Administrator</cp:lastModifiedBy>
  <cp:revision>27</cp:revision>
  <dcterms:created xsi:type="dcterms:W3CDTF">2023-06-29T14:31:00Z</dcterms:created>
  <dcterms:modified xsi:type="dcterms:W3CDTF">2024-03-24T11:25:00Z</dcterms:modified>
</cp:coreProperties>
</file>