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4688" w:rsidRDefault="00D44688" w:rsidP="00D44688"/>
    <w:p w:rsidR="00D44688" w:rsidRDefault="00D44688" w:rsidP="00D44688">
      <w:pPr>
        <w:jc w:val="center"/>
      </w:pPr>
      <w:r>
        <w:rPr>
          <w:noProof/>
          <w:lang w:eastAsia="en-GB"/>
        </w:rPr>
        <w:drawing>
          <wp:inline distT="0" distB="0" distL="0" distR="0" wp14:anchorId="5D47FFD8" wp14:editId="2E2EDA69">
            <wp:extent cx="2524125" cy="25241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4774" cy="2524774"/>
                    </a:xfrm>
                    <a:prstGeom prst="rect">
                      <a:avLst/>
                    </a:prstGeom>
                  </pic:spPr>
                </pic:pic>
              </a:graphicData>
            </a:graphic>
          </wp:inline>
        </w:drawing>
      </w:r>
    </w:p>
    <w:p w:rsidR="00D44688" w:rsidRDefault="00D44688" w:rsidP="00D44688">
      <w:pPr>
        <w:jc w:val="center"/>
      </w:pPr>
    </w:p>
    <w:p w:rsidR="00D44688" w:rsidRPr="001F7729" w:rsidRDefault="00D44688" w:rsidP="00D44688">
      <w:pPr>
        <w:spacing w:line="240" w:lineRule="auto"/>
        <w:jc w:val="center"/>
        <w:rPr>
          <w:rFonts w:cs="Arial"/>
          <w:sz w:val="72"/>
          <w:szCs w:val="72"/>
        </w:rPr>
      </w:pPr>
      <w:r w:rsidRPr="001F7729">
        <w:rPr>
          <w:rFonts w:cs="Arial"/>
          <w:sz w:val="72"/>
          <w:szCs w:val="72"/>
        </w:rPr>
        <w:t>University of Wales</w:t>
      </w:r>
    </w:p>
    <w:p w:rsidR="00D44688" w:rsidRPr="001F7729" w:rsidRDefault="00D44688" w:rsidP="00D44688">
      <w:pPr>
        <w:spacing w:line="240" w:lineRule="auto"/>
        <w:jc w:val="center"/>
        <w:rPr>
          <w:sz w:val="72"/>
          <w:szCs w:val="72"/>
        </w:rPr>
      </w:pPr>
      <w:r w:rsidRPr="001F7729">
        <w:rPr>
          <w:rFonts w:cs="Arial"/>
          <w:sz w:val="72"/>
          <w:szCs w:val="72"/>
        </w:rPr>
        <w:t>Trinity Saint David</w:t>
      </w:r>
    </w:p>
    <w:p w:rsidR="00D44688" w:rsidRDefault="00D44688" w:rsidP="00D44688">
      <w:pPr>
        <w:spacing w:line="240" w:lineRule="auto"/>
        <w:jc w:val="center"/>
        <w:rPr>
          <w:sz w:val="40"/>
          <w:szCs w:val="36"/>
        </w:rPr>
      </w:pPr>
    </w:p>
    <w:p w:rsidR="00D44688" w:rsidRDefault="00D44688" w:rsidP="00D44688">
      <w:pPr>
        <w:spacing w:line="240" w:lineRule="auto"/>
        <w:jc w:val="center"/>
        <w:rPr>
          <w:sz w:val="40"/>
          <w:szCs w:val="36"/>
        </w:rPr>
      </w:pPr>
      <w:r w:rsidRPr="001F7729">
        <w:rPr>
          <w:sz w:val="80"/>
          <w:szCs w:val="80"/>
        </w:rPr>
        <w:t>Davis Gary Watkins</w:t>
      </w:r>
      <w:r w:rsidRPr="008E7B0E">
        <w:rPr>
          <w:sz w:val="40"/>
          <w:szCs w:val="36"/>
        </w:rPr>
        <w:t xml:space="preserve"> </w:t>
      </w:r>
    </w:p>
    <w:p w:rsidR="00D44688" w:rsidRPr="008E7B0E" w:rsidRDefault="00D44688" w:rsidP="00D44688">
      <w:pPr>
        <w:spacing w:line="240" w:lineRule="auto"/>
        <w:jc w:val="center"/>
        <w:rPr>
          <w:sz w:val="40"/>
          <w:szCs w:val="36"/>
        </w:rPr>
      </w:pPr>
      <w:r w:rsidRPr="001F7729">
        <w:rPr>
          <w:noProof/>
          <w:sz w:val="22"/>
          <w:lang w:eastAsia="en-GB"/>
        </w:rPr>
        <mc:AlternateContent>
          <mc:Choice Requires="wps">
            <w:drawing>
              <wp:anchor distT="45720" distB="45720" distL="114300" distR="114300" simplePos="0" relativeHeight="251659264" behindDoc="0" locked="0" layoutInCell="1" allowOverlap="1" wp14:anchorId="567DB8EC" wp14:editId="302C1A37">
                <wp:simplePos x="0" y="0"/>
                <wp:positionH relativeFrom="margin">
                  <wp:posOffset>-523875</wp:posOffset>
                </wp:positionH>
                <wp:positionV relativeFrom="paragraph">
                  <wp:posOffset>532765</wp:posOffset>
                </wp:positionV>
                <wp:extent cx="7000875" cy="1781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0875" cy="1781175"/>
                        </a:xfrm>
                        <a:prstGeom prst="rect">
                          <a:avLst/>
                        </a:prstGeom>
                        <a:noFill/>
                        <a:ln w="9525">
                          <a:noFill/>
                          <a:miter lim="800000"/>
                          <a:headEnd/>
                          <a:tailEnd/>
                        </a:ln>
                      </wps:spPr>
                      <wps:txbx>
                        <w:txbxContent>
                          <w:p w:rsidR="00005EA7" w:rsidRDefault="00005EA7" w:rsidP="00D44688">
                            <w:pPr>
                              <w:jc w:val="center"/>
                              <w:rPr>
                                <w:color w:val="FF0000"/>
                                <w:sz w:val="56"/>
                              </w:rPr>
                            </w:pPr>
                            <w:r>
                              <w:rPr>
                                <w:color w:val="FF0000"/>
                                <w:sz w:val="56"/>
                              </w:rPr>
                              <w:t>Powertrain Design &amp; Efficiency (M5X02200</w:t>
                            </w:r>
                            <w:r w:rsidRPr="008E7B0E">
                              <w:rPr>
                                <w:color w:val="FF0000"/>
                                <w:sz w:val="56"/>
                              </w:rPr>
                              <w:t>)</w:t>
                            </w:r>
                          </w:p>
                          <w:p w:rsidR="00005EA7" w:rsidRPr="001F7729" w:rsidRDefault="00005EA7" w:rsidP="00D44688">
                            <w:pPr>
                              <w:jc w:val="center"/>
                              <w:rPr>
                                <w:color w:val="FF0000"/>
                                <w:sz w:val="56"/>
                              </w:rPr>
                            </w:pPr>
                            <w:r>
                              <w:rPr>
                                <w:color w:val="FF0000"/>
                                <w:sz w:val="56"/>
                              </w:rPr>
                              <w:t>Flow Bench Assignment</w:t>
                            </w:r>
                          </w:p>
                          <w:p w:rsidR="00005EA7" w:rsidRPr="00421975" w:rsidRDefault="00005EA7" w:rsidP="00D44688">
                            <w:pPr>
                              <w:jc w:val="center"/>
                              <w:rPr>
                                <w:color w:val="FF0000"/>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7DB8EC" id="_x0000_t202" coordsize="21600,21600" o:spt="202" path="m,l,21600r21600,l21600,xe">
                <v:stroke joinstyle="miter"/>
                <v:path gradientshapeok="t" o:connecttype="rect"/>
              </v:shapetype>
              <v:shape id="Text Box 2" o:spid="_x0000_s1026" type="#_x0000_t202" style="position:absolute;left:0;text-align:left;margin-left:-41.25pt;margin-top:41.95pt;width:551.25pt;height:140.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" filled="f" stroked="f">
                <v:textbox>
                  <w:txbxContent>
                    <w:p w:rsidR="00005EA7" w:rsidRDefault="00005EA7" w:rsidP="00D44688">
                      <w:pPr>
                        <w:jc w:val="center"/>
                        <w:rPr>
                          <w:color w:val="FF0000"/>
                          <w:sz w:val="56"/>
                        </w:rPr>
                      </w:pPr>
                      <w:r>
                        <w:rPr>
                          <w:color w:val="FF0000"/>
                          <w:sz w:val="56"/>
                        </w:rPr>
                        <w:t>Powertrain Design &amp; Efficiency (M5X02200</w:t>
                      </w:r>
                      <w:r w:rsidRPr="008E7B0E">
                        <w:rPr>
                          <w:color w:val="FF0000"/>
                          <w:sz w:val="56"/>
                        </w:rPr>
                        <w:t>)</w:t>
                      </w:r>
                    </w:p>
                    <w:p w:rsidR="00005EA7" w:rsidRPr="001F7729" w:rsidRDefault="00005EA7" w:rsidP="00D44688">
                      <w:pPr>
                        <w:jc w:val="center"/>
                        <w:rPr>
                          <w:color w:val="FF0000"/>
                          <w:sz w:val="56"/>
                        </w:rPr>
                      </w:pPr>
                      <w:r>
                        <w:rPr>
                          <w:color w:val="FF0000"/>
                          <w:sz w:val="56"/>
                        </w:rPr>
                        <w:t>Flow Bench Assignment</w:t>
                      </w:r>
                    </w:p>
                    <w:p w:rsidR="00005EA7" w:rsidRPr="00421975" w:rsidRDefault="00005EA7" w:rsidP="00D44688">
                      <w:pPr>
                        <w:jc w:val="center"/>
                        <w:rPr>
                          <w:color w:val="FF0000"/>
                          <w:sz w:val="72"/>
                          <w:szCs w:val="72"/>
                        </w:rPr>
                      </w:pPr>
                    </w:p>
                  </w:txbxContent>
                </v:textbox>
                <w10:wrap type="square" anchorx="margin"/>
              </v:shape>
            </w:pict>
          </mc:Fallback>
        </mc:AlternateContent>
      </w:r>
      <w:r w:rsidRPr="001F7729">
        <w:rPr>
          <w:sz w:val="40"/>
          <w:szCs w:val="36"/>
        </w:rPr>
        <w:t>BSc Motorsport Engineering</w:t>
      </w:r>
    </w:p>
    <w:p w:rsidR="00A579BD" w:rsidRPr="00A87294" w:rsidRDefault="00A579BD" w:rsidP="00A579BD">
      <w:pPr>
        <w:tabs>
          <w:tab w:val="left" w:pos="6891"/>
        </w:tabs>
        <w:rPr>
          <w:b/>
          <w:color w:val="FF0000"/>
          <w:sz w:val="32"/>
          <w:szCs w:val="26"/>
        </w:rPr>
      </w:pPr>
      <w:r w:rsidRPr="00814C3E">
        <w:rPr>
          <w:b/>
          <w:color w:val="FF0000"/>
          <w:sz w:val="32"/>
          <w:szCs w:val="26"/>
        </w:rPr>
        <w:lastRenderedPageBreak/>
        <w:t>1.0: Abstract</w:t>
      </w:r>
    </w:p>
    <w:p w:rsidR="00A579BD" w:rsidRPr="00475260" w:rsidRDefault="00475260" w:rsidP="00CE0702">
      <w:pPr>
        <w:spacing w:line="240" w:lineRule="auto"/>
        <w:rPr>
          <w:sz w:val="28"/>
        </w:rPr>
      </w:pPr>
      <w:r>
        <w:rPr>
          <w:sz w:val="28"/>
        </w:rPr>
        <w:t xml:space="preserve">This report will </w:t>
      </w:r>
      <w:r w:rsidR="001E4E1F">
        <w:rPr>
          <w:sz w:val="28"/>
        </w:rPr>
        <w:t>focus on the differences between a carburettor fitted induction system compared to a fuel injection fitted induction system, it will also cover the differences in flow rate of a standard cylinder head compared to a modified head, both followed by comparisons to decide which of the methods would be best used on a vehicle. The report will also include personal measurements taken from a flow bench being tested in a small group, with graphs to show the results.</w:t>
      </w:r>
    </w:p>
    <w:p w:rsidR="00A579BD" w:rsidRDefault="00A579BD" w:rsidP="00CE0702">
      <w:pPr>
        <w:spacing w:line="240" w:lineRule="auto"/>
        <w:rPr>
          <w:b/>
          <w:sz w:val="48"/>
          <w:u w:val="single"/>
        </w:rPr>
      </w:pPr>
    </w:p>
    <w:p w:rsidR="00005EA7" w:rsidRDefault="00CE0702" w:rsidP="00CE0702">
      <w:pPr>
        <w:spacing w:line="240" w:lineRule="auto"/>
        <w:rPr>
          <w:b/>
          <w:sz w:val="48"/>
          <w:u w:val="single"/>
        </w:rPr>
      </w:pPr>
      <w:r>
        <w:rPr>
          <w:b/>
          <w:sz w:val="48"/>
          <w:u w:val="single"/>
        </w:rPr>
        <w:t>Contents</w:t>
      </w:r>
    </w:p>
    <w:p w:rsidR="00CE0702" w:rsidRDefault="00CE0702" w:rsidP="00CE0702">
      <w:pPr>
        <w:pStyle w:val="ListParagraph"/>
        <w:numPr>
          <w:ilvl w:val="0"/>
          <w:numId w:val="1"/>
        </w:numPr>
        <w:spacing w:line="240" w:lineRule="auto"/>
        <w:rPr>
          <w:b/>
          <w:color w:val="FF0000"/>
          <w:sz w:val="36"/>
        </w:rPr>
      </w:pPr>
      <w:r>
        <w:rPr>
          <w:b/>
          <w:color w:val="FF0000"/>
          <w:sz w:val="36"/>
        </w:rPr>
        <w:t>Abstract</w:t>
      </w:r>
    </w:p>
    <w:p w:rsidR="00CE0702" w:rsidRDefault="00CE0702" w:rsidP="00CE0702">
      <w:pPr>
        <w:spacing w:line="240" w:lineRule="auto"/>
        <w:rPr>
          <w:b/>
          <w:color w:val="FF0000"/>
          <w:sz w:val="36"/>
        </w:rPr>
      </w:pPr>
      <w:r w:rsidRPr="00CE0702">
        <w:rPr>
          <w:b/>
          <w:color w:val="FF0000"/>
          <w:sz w:val="36"/>
        </w:rPr>
        <w:t>(1</w:t>
      </w:r>
      <w:r>
        <w:rPr>
          <w:b/>
          <w:color w:val="FF0000"/>
          <w:sz w:val="36"/>
        </w:rPr>
        <w:t xml:space="preserve">.1) </w:t>
      </w:r>
      <w:r w:rsidRPr="00CE0702">
        <w:rPr>
          <w:b/>
          <w:color w:val="FF0000"/>
          <w:sz w:val="36"/>
        </w:rPr>
        <w:t>Introduction</w:t>
      </w:r>
    </w:p>
    <w:p w:rsidR="00CE0702" w:rsidRPr="00CE0702" w:rsidRDefault="00CE0702" w:rsidP="00CE0702">
      <w:pPr>
        <w:spacing w:line="240" w:lineRule="auto"/>
        <w:rPr>
          <w:b/>
          <w:color w:val="FF0000"/>
          <w:sz w:val="36"/>
        </w:rPr>
      </w:pPr>
      <w:r>
        <w:rPr>
          <w:b/>
          <w:color w:val="FF0000"/>
          <w:sz w:val="36"/>
        </w:rPr>
        <w:t>(1.2) Comparison of Induction Systems</w:t>
      </w:r>
    </w:p>
    <w:p w:rsidR="00CE0702" w:rsidRDefault="00CE0702" w:rsidP="00C20431">
      <w:pPr>
        <w:spacing w:line="240" w:lineRule="auto"/>
        <w:ind w:left="720"/>
        <w:rPr>
          <w:color w:val="FF0000"/>
          <w:sz w:val="28"/>
          <w:szCs w:val="28"/>
        </w:rPr>
      </w:pPr>
      <w:r>
        <w:rPr>
          <w:color w:val="FF0000"/>
          <w:sz w:val="28"/>
          <w:szCs w:val="28"/>
        </w:rPr>
        <w:t xml:space="preserve">……… 1.2.1: Carburettor </w:t>
      </w:r>
      <w:r w:rsidR="00C20431">
        <w:rPr>
          <w:color w:val="FF0000"/>
          <w:sz w:val="28"/>
          <w:szCs w:val="28"/>
        </w:rPr>
        <w:t xml:space="preserve">– </w:t>
      </w:r>
      <w:r>
        <w:rPr>
          <w:color w:val="FF0000"/>
          <w:sz w:val="28"/>
          <w:szCs w:val="28"/>
        </w:rPr>
        <w:t>Single &amp; Double</w:t>
      </w:r>
    </w:p>
    <w:p w:rsidR="00C20431" w:rsidRDefault="00CE0702" w:rsidP="00C20431">
      <w:pPr>
        <w:spacing w:line="240" w:lineRule="auto"/>
        <w:ind w:left="720"/>
        <w:rPr>
          <w:color w:val="FF0000"/>
          <w:sz w:val="28"/>
          <w:szCs w:val="28"/>
        </w:rPr>
      </w:pPr>
      <w:r>
        <w:rPr>
          <w:color w:val="FF0000"/>
          <w:sz w:val="28"/>
          <w:szCs w:val="28"/>
        </w:rPr>
        <w:t>……… 1.2.2: Fuel Injection</w:t>
      </w:r>
      <w:r w:rsidR="00C20431">
        <w:rPr>
          <w:color w:val="FF0000"/>
          <w:sz w:val="28"/>
          <w:szCs w:val="28"/>
        </w:rPr>
        <w:t xml:space="preserve"> – Single Point &amp; Multi Point</w:t>
      </w:r>
    </w:p>
    <w:p w:rsidR="00C20431" w:rsidRPr="00C20431" w:rsidRDefault="00C20431" w:rsidP="00CE0702">
      <w:pPr>
        <w:spacing w:line="240" w:lineRule="auto"/>
        <w:rPr>
          <w:b/>
          <w:color w:val="FF0000"/>
          <w:sz w:val="36"/>
          <w:szCs w:val="28"/>
        </w:rPr>
      </w:pPr>
      <w:r>
        <w:rPr>
          <w:b/>
          <w:color w:val="FF0000"/>
          <w:sz w:val="36"/>
          <w:szCs w:val="28"/>
        </w:rPr>
        <w:t>(1.3) Flow Bench Head Results</w:t>
      </w:r>
    </w:p>
    <w:p w:rsidR="00CE0702" w:rsidRDefault="00C20431" w:rsidP="00CE0702">
      <w:pPr>
        <w:spacing w:line="240" w:lineRule="auto"/>
        <w:ind w:left="720"/>
        <w:rPr>
          <w:color w:val="FF0000"/>
          <w:sz w:val="28"/>
          <w:szCs w:val="28"/>
        </w:rPr>
      </w:pPr>
      <w:r>
        <w:rPr>
          <w:color w:val="FF0000"/>
          <w:sz w:val="28"/>
          <w:szCs w:val="28"/>
        </w:rPr>
        <w:t>……… 1.3.1: Standard Head</w:t>
      </w:r>
    </w:p>
    <w:p w:rsidR="00C20431" w:rsidRDefault="00C20431" w:rsidP="00CE0702">
      <w:pPr>
        <w:spacing w:line="240" w:lineRule="auto"/>
        <w:ind w:left="720"/>
        <w:rPr>
          <w:color w:val="FF0000"/>
          <w:sz w:val="28"/>
          <w:szCs w:val="28"/>
        </w:rPr>
      </w:pPr>
      <w:r>
        <w:rPr>
          <w:color w:val="FF0000"/>
          <w:sz w:val="28"/>
          <w:szCs w:val="28"/>
        </w:rPr>
        <w:t>……… 1.3.2: Modified Head</w:t>
      </w:r>
    </w:p>
    <w:p w:rsidR="00C20431" w:rsidRPr="00C47A17" w:rsidRDefault="00C20431" w:rsidP="00C20431">
      <w:pPr>
        <w:spacing w:line="240" w:lineRule="auto"/>
        <w:rPr>
          <w:b/>
          <w:color w:val="FF0000"/>
          <w:sz w:val="36"/>
          <w:szCs w:val="28"/>
        </w:rPr>
      </w:pPr>
      <w:r>
        <w:rPr>
          <w:b/>
          <w:color w:val="FF0000"/>
          <w:sz w:val="36"/>
          <w:szCs w:val="28"/>
        </w:rPr>
        <w:t>(1.</w:t>
      </w:r>
      <w:r w:rsidR="00167054">
        <w:rPr>
          <w:b/>
          <w:color w:val="FF0000"/>
          <w:sz w:val="36"/>
          <w:szCs w:val="28"/>
        </w:rPr>
        <w:t>4</w:t>
      </w:r>
      <w:r>
        <w:rPr>
          <w:b/>
          <w:color w:val="FF0000"/>
          <w:sz w:val="36"/>
          <w:szCs w:val="28"/>
        </w:rPr>
        <w:t>) Bibliography</w:t>
      </w:r>
    </w:p>
    <w:p w:rsidR="00C20431" w:rsidRDefault="00C20431" w:rsidP="00C20431">
      <w:pPr>
        <w:spacing w:line="240" w:lineRule="auto"/>
        <w:rPr>
          <w:color w:val="FF0000"/>
          <w:sz w:val="32"/>
          <w:szCs w:val="28"/>
        </w:rPr>
      </w:pPr>
      <w:r w:rsidRPr="00C47A17">
        <w:rPr>
          <w:b/>
          <w:color w:val="FF0000"/>
          <w:sz w:val="36"/>
          <w:szCs w:val="28"/>
        </w:rPr>
        <w:t>(1.</w:t>
      </w:r>
      <w:r w:rsidR="00167054">
        <w:rPr>
          <w:b/>
          <w:color w:val="FF0000"/>
          <w:sz w:val="36"/>
          <w:szCs w:val="28"/>
        </w:rPr>
        <w:t>5</w:t>
      </w:r>
      <w:r w:rsidRPr="00C47A17">
        <w:rPr>
          <w:b/>
          <w:color w:val="FF0000"/>
          <w:sz w:val="36"/>
          <w:szCs w:val="28"/>
        </w:rPr>
        <w:t>) References</w:t>
      </w:r>
      <w:r w:rsidRPr="00B927E0">
        <w:rPr>
          <w:color w:val="FF0000"/>
          <w:sz w:val="36"/>
          <w:szCs w:val="28"/>
        </w:rPr>
        <w:t xml:space="preserve"> </w:t>
      </w:r>
    </w:p>
    <w:p w:rsidR="001E4E1F" w:rsidRDefault="001E4E1F" w:rsidP="00CE0702">
      <w:pPr>
        <w:rPr>
          <w:sz w:val="28"/>
        </w:rPr>
      </w:pPr>
    </w:p>
    <w:p w:rsidR="001E4E1F" w:rsidRDefault="001E4E1F" w:rsidP="00CE0702">
      <w:pPr>
        <w:rPr>
          <w:sz w:val="28"/>
        </w:rPr>
      </w:pPr>
    </w:p>
    <w:p w:rsidR="001E4E1F" w:rsidRDefault="001E4E1F" w:rsidP="00CE0702">
      <w:pPr>
        <w:rPr>
          <w:sz w:val="28"/>
        </w:rPr>
      </w:pPr>
    </w:p>
    <w:p w:rsidR="00167054" w:rsidRDefault="00167054" w:rsidP="00CE0702">
      <w:pPr>
        <w:rPr>
          <w:b/>
          <w:color w:val="FF0000"/>
          <w:sz w:val="32"/>
        </w:rPr>
      </w:pPr>
    </w:p>
    <w:p w:rsidR="001E4E1F" w:rsidRDefault="001E4E1F" w:rsidP="00CE0702">
      <w:pPr>
        <w:rPr>
          <w:b/>
          <w:color w:val="FF0000"/>
          <w:sz w:val="32"/>
        </w:rPr>
      </w:pPr>
      <w:r>
        <w:rPr>
          <w:b/>
          <w:color w:val="FF0000"/>
          <w:sz w:val="32"/>
        </w:rPr>
        <w:lastRenderedPageBreak/>
        <w:t>1.1: Introduction</w:t>
      </w:r>
    </w:p>
    <w:p w:rsidR="001E4E1F" w:rsidRDefault="001E4E1F" w:rsidP="00CE0702">
      <w:pPr>
        <w:rPr>
          <w:b/>
          <w:color w:val="FF0000"/>
          <w:sz w:val="32"/>
        </w:rPr>
      </w:pPr>
    </w:p>
    <w:p w:rsidR="00A70BD2" w:rsidRDefault="001E4E1F" w:rsidP="00CE0702">
      <w:pPr>
        <w:rPr>
          <w:sz w:val="28"/>
        </w:rPr>
      </w:pPr>
      <w:r>
        <w:rPr>
          <w:sz w:val="28"/>
        </w:rPr>
        <w:t>As an individual, research is needed on a carburettor fitted system and a fuel injection fitted system</w:t>
      </w:r>
      <w:r w:rsidR="00A70BD2">
        <w:rPr>
          <w:sz w:val="28"/>
        </w:rPr>
        <w:t xml:space="preserve"> to determine the strengths and weaknesses of both systems, with a comparison of both to determine the most effective. </w:t>
      </w:r>
    </w:p>
    <w:p w:rsidR="00A70BD2" w:rsidRDefault="00A70BD2" w:rsidP="00CE0702">
      <w:pPr>
        <w:rPr>
          <w:sz w:val="28"/>
        </w:rPr>
      </w:pPr>
      <w:r>
        <w:rPr>
          <w:sz w:val="28"/>
        </w:rPr>
        <w:t xml:space="preserve">Then as a group there will need to be a workshop test taking place on a flow bench, this measures the flow rate able to pass through a cylinder head, then compare it to a modified cylinder head to decide if there’s a noticeable difference from any adjustments made to the head. </w:t>
      </w:r>
    </w:p>
    <w:p w:rsidR="00A70BD2" w:rsidRDefault="00A70BD2" w:rsidP="00CE0702">
      <w:pPr>
        <w:rPr>
          <w:sz w:val="28"/>
        </w:rPr>
      </w:pPr>
      <w:r>
        <w:rPr>
          <w:sz w:val="28"/>
        </w:rPr>
        <w:t>So, with the results from the flow bench, there will need to be a few graphs created to show some of the key differences in the standard cylinder head compared to the modified cylinder head</w:t>
      </w:r>
      <w:r w:rsidR="000E074B">
        <w:rPr>
          <w:sz w:val="28"/>
        </w:rPr>
        <w:t>.</w:t>
      </w:r>
    </w:p>
    <w:p w:rsidR="000E074B" w:rsidRDefault="000E074B" w:rsidP="00CE0702">
      <w:pPr>
        <w:rPr>
          <w:sz w:val="28"/>
        </w:rPr>
      </w:pPr>
    </w:p>
    <w:p w:rsidR="000E074B" w:rsidRDefault="000E074B" w:rsidP="00CE0702">
      <w:pPr>
        <w:rPr>
          <w:sz w:val="28"/>
        </w:rPr>
      </w:pPr>
      <w:r>
        <w:rPr>
          <w:sz w:val="28"/>
        </w:rPr>
        <w:t>Using the flow bench, measurements will be taken in increments of a certain amount of valve lift per test. This is adjusted by rotating the bolts which push down on the valves to open them, then the amount of rotation is measured by a DTI Gauge showing the distance that the bolt has moved downwards to calculate the amount of valve lift is being applied.</w:t>
      </w:r>
    </w:p>
    <w:p w:rsidR="000E074B" w:rsidRDefault="00ED3EBA" w:rsidP="00CE0702">
      <w:pPr>
        <w:rPr>
          <w:sz w:val="28"/>
        </w:rPr>
      </w:pPr>
      <w:r>
        <w:rPr>
          <w:sz w:val="28"/>
        </w:rPr>
        <w:t xml:space="preserve">These increments are first calculated by dividing the valve lift </w:t>
      </w:r>
    </w:p>
    <w:p w:rsidR="00632D13" w:rsidRDefault="00632D13" w:rsidP="00CE0702">
      <w:pPr>
        <w:rPr>
          <w:sz w:val="28"/>
        </w:rPr>
      </w:pPr>
    </w:p>
    <w:p w:rsidR="00632D13" w:rsidRDefault="00632D13" w:rsidP="00CE0702">
      <w:pPr>
        <w:rPr>
          <w:sz w:val="28"/>
        </w:rPr>
      </w:pPr>
    </w:p>
    <w:p w:rsidR="00632D13" w:rsidRDefault="00632D13" w:rsidP="00CE0702">
      <w:pPr>
        <w:rPr>
          <w:sz w:val="28"/>
        </w:rPr>
      </w:pPr>
    </w:p>
    <w:p w:rsidR="00632D13" w:rsidRDefault="00632D13" w:rsidP="00CE0702">
      <w:pPr>
        <w:rPr>
          <w:sz w:val="28"/>
        </w:rPr>
      </w:pPr>
    </w:p>
    <w:p w:rsidR="00632D13" w:rsidRDefault="00632D13" w:rsidP="00CE0702">
      <w:pPr>
        <w:rPr>
          <w:sz w:val="28"/>
        </w:rPr>
      </w:pPr>
    </w:p>
    <w:p w:rsidR="00632D13" w:rsidRDefault="00632D13" w:rsidP="00CE0702">
      <w:pPr>
        <w:rPr>
          <w:sz w:val="28"/>
        </w:rPr>
      </w:pPr>
    </w:p>
    <w:p w:rsidR="00632D13" w:rsidRPr="00167054" w:rsidRDefault="00632D13" w:rsidP="00CE0702">
      <w:pPr>
        <w:rPr>
          <w:b/>
          <w:color w:val="FF0000"/>
          <w:sz w:val="32"/>
        </w:rPr>
      </w:pPr>
      <w:r w:rsidRPr="00167054">
        <w:rPr>
          <w:b/>
          <w:color w:val="FF0000"/>
          <w:sz w:val="32"/>
        </w:rPr>
        <w:lastRenderedPageBreak/>
        <w:t>1.2: Comparison of Induction Systems</w:t>
      </w:r>
    </w:p>
    <w:p w:rsidR="00632D13" w:rsidRDefault="00181FCB" w:rsidP="00CE0702">
      <w:pPr>
        <w:rPr>
          <w:b/>
          <w:color w:val="FF0000"/>
          <w:sz w:val="32"/>
          <w:u w:val="single"/>
        </w:rPr>
      </w:pPr>
      <w:r>
        <w:rPr>
          <w:b/>
          <w:color w:val="FF0000"/>
          <w:sz w:val="32"/>
          <w:u w:val="single"/>
        </w:rPr>
        <w:t xml:space="preserve">1.2.1: Carburettor </w:t>
      </w:r>
    </w:p>
    <w:p w:rsidR="00181FCB" w:rsidRPr="00181FCB" w:rsidRDefault="00181FCB" w:rsidP="00181FCB">
      <w:pPr>
        <w:spacing w:line="240" w:lineRule="auto"/>
      </w:pPr>
    </w:p>
    <w:p w:rsidR="00132AD3" w:rsidRDefault="00181FCB" w:rsidP="00CE0702">
      <w:pPr>
        <w:rPr>
          <w:sz w:val="28"/>
        </w:rPr>
      </w:pPr>
      <w:r w:rsidRPr="00181FCB">
        <w:rPr>
          <w:sz w:val="28"/>
        </w:rPr>
        <w:t>Single Carburettor –</w:t>
      </w:r>
      <w:r>
        <w:rPr>
          <w:sz w:val="28"/>
        </w:rPr>
        <w:t xml:space="preserve"> A carburettor is a device which mixes the air and fuel together ready to be combusted by the engine, a carburettor can be easily adjusted to manually change the air/fuel ratio to a leaner or richer mixture. </w:t>
      </w:r>
      <w:r w:rsidR="00132AD3">
        <w:rPr>
          <w:sz w:val="28"/>
        </w:rPr>
        <w:t xml:space="preserve">It does this by holding the fuel in a chamber and measures the amount of air coming in through a venturi, then it will mix the air with the fuel being passed into the venturi from the jet. This will differ depending on the amount of air being passed through the venturi, which is controlled by the </w:t>
      </w:r>
      <w:r w:rsidR="0053792E">
        <w:rPr>
          <w:sz w:val="28"/>
        </w:rPr>
        <w:t xml:space="preserve">choke valve rotating to provide the engine with the amount of air that it needs. The amount of air depends on whether the engine is idling or accelerating, as it constantly needs different amounts of air and fuel to have an efficient combustion process. </w:t>
      </w:r>
    </w:p>
    <w:p w:rsidR="00181FCB" w:rsidRDefault="00CB7B56" w:rsidP="00CE0702">
      <w:pPr>
        <w:rPr>
          <w:sz w:val="28"/>
        </w:rPr>
      </w:pPr>
      <w:r w:rsidRPr="00CB7B56">
        <w:rPr>
          <w:noProof/>
          <w:sz w:val="28"/>
        </w:rPr>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1797685</wp:posOffset>
                </wp:positionV>
                <wp:extent cx="2276475" cy="55245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552450"/>
                        </a:xfrm>
                        <a:prstGeom prst="rect">
                          <a:avLst/>
                        </a:prstGeom>
                        <a:noFill/>
                        <a:ln w="9525">
                          <a:noFill/>
                          <a:miter lim="800000"/>
                          <a:headEnd/>
                          <a:tailEnd/>
                        </a:ln>
                      </wps:spPr>
                      <wps:txbx>
                        <w:txbxContent>
                          <w:p w:rsidR="00005EA7" w:rsidRPr="00CB7B56" w:rsidRDefault="00005EA7">
                            <w:pPr>
                              <w:rPr>
                                <w:color w:val="2F5496" w:themeColor="accent1" w:themeShade="BF"/>
                              </w:rPr>
                            </w:pPr>
                            <w:r>
                              <w:rPr>
                                <w:color w:val="2F5496" w:themeColor="accent1" w:themeShade="BF"/>
                              </w:rPr>
                              <w:t xml:space="preserve">Figure 1: Carburettor system, </w:t>
                            </w:r>
                            <w:hyperlink r:id="rId8" w:tooltip="wikipedia:User:K. Aainsqatsi" w:history="1">
                              <w:r w:rsidRPr="00CB7B56">
                                <w:rPr>
                                  <w:rStyle w:val="Hyperlink"/>
                                  <w:rFonts w:cstheme="minorHAnsi"/>
                                  <w:color w:val="2F5496" w:themeColor="accent1" w:themeShade="BF"/>
                                  <w:shd w:val="clear" w:color="auto" w:fill="F8F9FA"/>
                                </w:rPr>
                                <w:t xml:space="preserve">K. </w:t>
                              </w:r>
                              <w:proofErr w:type="spellStart"/>
                              <w:r w:rsidRPr="00CB7B56">
                                <w:rPr>
                                  <w:rStyle w:val="Hyperlink"/>
                                  <w:rFonts w:cstheme="minorHAnsi"/>
                                  <w:color w:val="2F5496" w:themeColor="accent1" w:themeShade="BF"/>
                                  <w:shd w:val="clear" w:color="auto" w:fill="F8F9FA"/>
                                </w:rPr>
                                <w:t>Aainsqatsi</w:t>
                              </w:r>
                              <w:proofErr w:type="spellEnd"/>
                            </w:hyperlink>
                            <w:r>
                              <w:rPr>
                                <w:rFonts w:cstheme="minorHAnsi"/>
                                <w:color w:val="2F5496" w:themeColor="accent1" w:themeShade="BF"/>
                              </w:rPr>
                              <w:t xml:space="preserve">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28.05pt;margin-top:141.55pt;width:179.25pt;height:43.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" filled="f" stroked="f">
                <v:textbox>
                  <w:txbxContent>
                    <w:p w:rsidR="00005EA7" w:rsidRPr="00CB7B56" w:rsidRDefault="00005EA7">
                      <w:pPr>
                        <w:rPr>
                          <w:color w:val="2F5496" w:themeColor="accent1" w:themeShade="BF"/>
                        </w:rPr>
                      </w:pPr>
                      <w:r>
                        <w:rPr>
                          <w:color w:val="2F5496" w:themeColor="accent1" w:themeShade="BF"/>
                        </w:rPr>
                        <w:t xml:space="preserve">Figure 1: Carburettor system, </w:t>
                      </w:r>
                      <w:hyperlink r:id="rId9" w:tooltip="wikipedia:User:K. Aainsqatsi" w:history="1">
                        <w:r w:rsidRPr="00CB7B56">
                          <w:rPr>
                            <w:rStyle w:val="Hyperlink"/>
                            <w:rFonts w:cstheme="minorHAnsi"/>
                            <w:color w:val="2F5496" w:themeColor="accent1" w:themeShade="BF"/>
                            <w:shd w:val="clear" w:color="auto" w:fill="F8F9FA"/>
                          </w:rPr>
                          <w:t xml:space="preserve">K. </w:t>
                        </w:r>
                        <w:proofErr w:type="spellStart"/>
                        <w:r w:rsidRPr="00CB7B56">
                          <w:rPr>
                            <w:rStyle w:val="Hyperlink"/>
                            <w:rFonts w:cstheme="minorHAnsi"/>
                            <w:color w:val="2F5496" w:themeColor="accent1" w:themeShade="BF"/>
                            <w:shd w:val="clear" w:color="auto" w:fill="F8F9FA"/>
                          </w:rPr>
                          <w:t>Aainsqatsi</w:t>
                        </w:r>
                        <w:proofErr w:type="spellEnd"/>
                      </w:hyperlink>
                      <w:r>
                        <w:rPr>
                          <w:rFonts w:cstheme="minorHAnsi"/>
                          <w:color w:val="2F5496" w:themeColor="accent1" w:themeShade="BF"/>
                        </w:rPr>
                        <w:t xml:space="preserve"> (2018)</w:t>
                      </w:r>
                    </w:p>
                  </w:txbxContent>
                </v:textbox>
                <w10:wrap anchorx="margin"/>
              </v:shape>
            </w:pict>
          </mc:Fallback>
        </mc:AlternateContent>
      </w:r>
      <w:r w:rsidR="00132AD3">
        <w:rPr>
          <w:noProof/>
        </w:rPr>
        <w:drawing>
          <wp:inline distT="0" distB="0" distL="0" distR="0">
            <wp:extent cx="3305175" cy="3101830"/>
            <wp:effectExtent l="0" t="0" r="0" b="3810"/>
            <wp:docPr id="9" name="Picture 9" descr="https://upload.wikimedia.org/wikipedia/commons/thumb/2/2b/Carburetor.svg/1024px-Carburetor.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2/2b/Carburetor.svg/1024px-Carburetor.svg.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0061" cy="3115800"/>
                    </a:xfrm>
                    <a:prstGeom prst="rect">
                      <a:avLst/>
                    </a:prstGeom>
                    <a:noFill/>
                    <a:ln>
                      <a:noFill/>
                    </a:ln>
                  </pic:spPr>
                </pic:pic>
              </a:graphicData>
            </a:graphic>
          </wp:inline>
        </w:drawing>
      </w:r>
      <w:r w:rsidR="0053792E" w:rsidRPr="0053792E">
        <w:rPr>
          <w:sz w:val="28"/>
        </w:rPr>
        <w:t xml:space="preserve"> </w:t>
      </w:r>
      <w:r>
        <w:rPr>
          <w:sz w:val="28"/>
        </w:rPr>
        <w:t xml:space="preserve">Multi Barrel – </w:t>
      </w:r>
      <w:r w:rsidR="0053792E">
        <w:rPr>
          <w:sz w:val="28"/>
        </w:rPr>
        <w:t xml:space="preserve">A carburettor can be fitted with more than just one </w:t>
      </w:r>
      <w:r w:rsidR="00111AFC">
        <w:rPr>
          <w:sz w:val="28"/>
        </w:rPr>
        <w:t xml:space="preserve">venturi, this is useful for larger engines to make sure that there is always enough air flow to the engine. These can be different sizes to progress the amount of air flow, such as using a smaller venturi for low speed driving, then under full throttle it will also take advantage of the larger venturi and provide more air to the engine, this method can be more efficient. </w:t>
      </w:r>
    </w:p>
    <w:p w:rsidR="00111AFC" w:rsidRDefault="00CB7B56" w:rsidP="00CE0702">
      <w:pPr>
        <w:rPr>
          <w:b/>
          <w:color w:val="FF0000"/>
          <w:sz w:val="32"/>
          <w:u w:val="single"/>
        </w:rPr>
      </w:pPr>
      <w:r>
        <w:rPr>
          <w:b/>
          <w:color w:val="FF0000"/>
          <w:sz w:val="32"/>
          <w:u w:val="single"/>
        </w:rPr>
        <w:lastRenderedPageBreak/>
        <w:t>1.2.2: Fuel Injection</w:t>
      </w:r>
    </w:p>
    <w:p w:rsidR="00CB7B56" w:rsidRDefault="00CB7B56" w:rsidP="00CE0702">
      <w:pPr>
        <w:rPr>
          <w:sz w:val="28"/>
        </w:rPr>
      </w:pPr>
    </w:p>
    <w:p w:rsidR="00CB7B56" w:rsidRDefault="00CB7B56" w:rsidP="00CE0702">
      <w:pPr>
        <w:rPr>
          <w:sz w:val="28"/>
        </w:rPr>
      </w:pPr>
      <w:r>
        <w:rPr>
          <w:sz w:val="28"/>
        </w:rPr>
        <w:t xml:space="preserve">Single </w:t>
      </w:r>
      <w:r w:rsidR="003F0F5E">
        <w:rPr>
          <w:sz w:val="28"/>
        </w:rPr>
        <w:t>P</w:t>
      </w:r>
      <w:r>
        <w:rPr>
          <w:sz w:val="28"/>
        </w:rPr>
        <w:t xml:space="preserve">oint – this is where an injector is positioned in the throttle body, providing fuel to many cylinders by one injector, this could cause problems if any of the cylinders weren’t getting enough fuel, but this method was very </w:t>
      </w:r>
      <w:r w:rsidR="003F0F5E">
        <w:rPr>
          <w:sz w:val="28"/>
        </w:rPr>
        <w:t>cheap,</w:t>
      </w:r>
      <w:r>
        <w:rPr>
          <w:sz w:val="28"/>
        </w:rPr>
        <w:t xml:space="preserve"> </w:t>
      </w:r>
      <w:r w:rsidR="003F0F5E">
        <w:rPr>
          <w:sz w:val="28"/>
        </w:rPr>
        <w:t xml:space="preserve">so a lot of manufacturers preferred to use this. </w:t>
      </w:r>
    </w:p>
    <w:p w:rsidR="003F0F5E" w:rsidRDefault="003F0F5E" w:rsidP="00CE0702">
      <w:pPr>
        <w:rPr>
          <w:sz w:val="28"/>
        </w:rPr>
      </w:pPr>
      <w:r>
        <w:rPr>
          <w:sz w:val="28"/>
        </w:rPr>
        <w:t xml:space="preserve">Multi Point – this method was preferred over a single point injection system as it was more reliable and efficient, instead of one injector this system used one injector per cylinder which meant that each cylinder had enough fuel to achieve an efficient combustion. This avoided any cylinder from being starved of fuel and improved the efficiency. </w:t>
      </w:r>
    </w:p>
    <w:p w:rsidR="003F0F5E" w:rsidRPr="00181FCB" w:rsidRDefault="003F0F5E" w:rsidP="00CE0702">
      <w:pPr>
        <w:rPr>
          <w:sz w:val="28"/>
        </w:rPr>
      </w:pPr>
      <w:r>
        <w:rPr>
          <w:sz w:val="28"/>
        </w:rPr>
        <w:t xml:space="preserve">Direct Injection – this method included an injector feeding fuel to each cylinder from directly inside of the combustion chamber, this maximised the efficiency as there would be no fuel lost on the way to the cylinders, instead it would just need to introduce the air into the cylinder to mix with the injected fuel. This can then be combined with the fuel by introducing a pattern on the piston head to force the airflow around the cylinder and therefore mixing with the fuel sprayed into the cylinder. </w:t>
      </w:r>
      <w:proofErr w:type="gramStart"/>
      <w:r>
        <w:rPr>
          <w:sz w:val="28"/>
        </w:rPr>
        <w:t>However</w:t>
      </w:r>
      <w:proofErr w:type="gramEnd"/>
      <w:r>
        <w:rPr>
          <w:sz w:val="28"/>
        </w:rPr>
        <w:t xml:space="preserve"> this system was much more expensive and therefore harder to maintain. </w:t>
      </w:r>
    </w:p>
    <w:p w:rsidR="00632D13" w:rsidRDefault="00632D13" w:rsidP="00CE0702">
      <w:pPr>
        <w:rPr>
          <w:b/>
          <w:color w:val="FF0000"/>
          <w:sz w:val="32"/>
        </w:rPr>
      </w:pPr>
    </w:p>
    <w:p w:rsidR="00632D13" w:rsidRDefault="00632D13" w:rsidP="00CE0702">
      <w:pPr>
        <w:rPr>
          <w:b/>
          <w:color w:val="FF0000"/>
          <w:sz w:val="32"/>
        </w:rPr>
      </w:pPr>
    </w:p>
    <w:p w:rsidR="00632D13" w:rsidRDefault="00632D13" w:rsidP="00CE0702">
      <w:pPr>
        <w:rPr>
          <w:b/>
          <w:color w:val="FF0000"/>
          <w:sz w:val="32"/>
        </w:rPr>
      </w:pPr>
    </w:p>
    <w:p w:rsidR="00632D13" w:rsidRDefault="00632D13" w:rsidP="00CE0702">
      <w:pPr>
        <w:rPr>
          <w:b/>
          <w:color w:val="FF0000"/>
          <w:sz w:val="32"/>
        </w:rPr>
      </w:pPr>
    </w:p>
    <w:p w:rsidR="00632D13" w:rsidRDefault="00632D13" w:rsidP="00CE0702">
      <w:pPr>
        <w:rPr>
          <w:b/>
          <w:color w:val="FF0000"/>
          <w:sz w:val="32"/>
        </w:rPr>
      </w:pPr>
    </w:p>
    <w:p w:rsidR="00632D13" w:rsidRDefault="00632D13" w:rsidP="00CE0702">
      <w:pPr>
        <w:rPr>
          <w:b/>
          <w:color w:val="FF0000"/>
          <w:sz w:val="32"/>
        </w:rPr>
      </w:pPr>
    </w:p>
    <w:p w:rsidR="00632D13" w:rsidRDefault="00632D13" w:rsidP="00CE0702">
      <w:pPr>
        <w:rPr>
          <w:b/>
          <w:color w:val="FF0000"/>
          <w:sz w:val="32"/>
        </w:rPr>
      </w:pPr>
    </w:p>
    <w:p w:rsidR="00632D13" w:rsidRPr="00167054" w:rsidRDefault="00632D13" w:rsidP="00CE0702">
      <w:pPr>
        <w:rPr>
          <w:b/>
          <w:color w:val="FF0000"/>
          <w:sz w:val="32"/>
        </w:rPr>
      </w:pPr>
      <w:r w:rsidRPr="00167054">
        <w:rPr>
          <w:b/>
          <w:color w:val="FF0000"/>
          <w:sz w:val="32"/>
        </w:rPr>
        <w:lastRenderedPageBreak/>
        <w:t xml:space="preserve">1.3: </w:t>
      </w:r>
      <w:r w:rsidR="00177578" w:rsidRPr="00167054">
        <w:rPr>
          <w:b/>
          <w:color w:val="FF0000"/>
          <w:sz w:val="32"/>
        </w:rPr>
        <w:t>Flow Bench Head Results</w:t>
      </w:r>
    </w:p>
    <w:p w:rsidR="00455BDC" w:rsidRPr="003F1730" w:rsidRDefault="003F1730" w:rsidP="00CE0702">
      <w:pPr>
        <w:rPr>
          <w:b/>
          <w:color w:val="FF0000"/>
          <w:sz w:val="32"/>
          <w:u w:val="single"/>
        </w:rPr>
      </w:pPr>
      <w:r w:rsidRPr="003F1730">
        <w:rPr>
          <w:b/>
          <w:color w:val="FF0000"/>
          <w:sz w:val="32"/>
          <w:u w:val="single"/>
        </w:rPr>
        <w:t>1.3.1: Standard Head</w:t>
      </w:r>
    </w:p>
    <w:tbl>
      <w:tblPr>
        <w:tblW w:w="9350" w:type="dxa"/>
        <w:tblLook w:val="04A0" w:firstRow="1" w:lastRow="0" w:firstColumn="1" w:lastColumn="0" w:noHBand="0" w:noVBand="1"/>
      </w:tblPr>
      <w:tblGrid>
        <w:gridCol w:w="326"/>
        <w:gridCol w:w="216"/>
        <w:gridCol w:w="1275"/>
        <w:gridCol w:w="216"/>
        <w:gridCol w:w="1463"/>
        <w:gridCol w:w="216"/>
        <w:gridCol w:w="1441"/>
        <w:gridCol w:w="216"/>
        <w:gridCol w:w="980"/>
        <w:gridCol w:w="216"/>
        <w:gridCol w:w="1019"/>
        <w:gridCol w:w="216"/>
        <w:gridCol w:w="1522"/>
        <w:gridCol w:w="28"/>
      </w:tblGrid>
      <w:tr w:rsidR="00455BDC" w:rsidRPr="00455BDC" w:rsidTr="00455BDC">
        <w:trPr>
          <w:trHeight w:val="300"/>
        </w:trPr>
        <w:tc>
          <w:tcPr>
            <w:tcW w:w="9350" w:type="dxa"/>
            <w:gridSpan w:val="1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5BDC" w:rsidRPr="00455BDC" w:rsidRDefault="00455BDC" w:rsidP="00455BDC">
            <w:pPr>
              <w:spacing w:before="0" w:after="0" w:line="240" w:lineRule="auto"/>
              <w:jc w:val="center"/>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Standard Head Intake</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Test pressure </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Valve Lift (mm)</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Test flow (CFM </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Bung Used</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Temp</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Potential flow% </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1.39</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19</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32</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64</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2.8</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36.5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40</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90.5</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4.2</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49.5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48</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84</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5.55</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59</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49</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70.5</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6.9</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66.5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49</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79.5</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8.3</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70.5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48</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84.5</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9.7</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47</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89</w:t>
            </w:r>
          </w:p>
        </w:tc>
      </w:tr>
      <w:tr w:rsidR="00455BDC" w:rsidRPr="00455BDC" w:rsidTr="00455BDC">
        <w:trPr>
          <w:trHeight w:val="300"/>
        </w:trPr>
        <w:tc>
          <w:tcPr>
            <w:tcW w:w="326" w:type="dxa"/>
            <w:gridSpan w:val="2"/>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w:t>
            </w:r>
          </w:p>
        </w:tc>
        <w:tc>
          <w:tcPr>
            <w:tcW w:w="149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685"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11.1</w:t>
            </w:r>
          </w:p>
        </w:tc>
        <w:tc>
          <w:tcPr>
            <w:tcW w:w="1663"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78.5</w:t>
            </w:r>
          </w:p>
        </w:tc>
        <w:tc>
          <w:tcPr>
            <w:tcW w:w="1198"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38"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48</w:t>
            </w:r>
          </w:p>
        </w:tc>
        <w:tc>
          <w:tcPr>
            <w:tcW w:w="1744"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93.5</w:t>
            </w:r>
          </w:p>
        </w:tc>
      </w:tr>
      <w:tr w:rsidR="00455BDC" w:rsidRPr="00455BDC" w:rsidTr="00455BDC">
        <w:trPr>
          <w:trHeight w:val="300"/>
        </w:trPr>
        <w:tc>
          <w:tcPr>
            <w:tcW w:w="326" w:type="dxa"/>
            <w:gridSpan w:val="2"/>
            <w:tcBorders>
              <w:top w:val="nil"/>
              <w:left w:val="nil"/>
              <w:bottom w:val="nil"/>
              <w:right w:val="nil"/>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496" w:type="dxa"/>
            <w:gridSpan w:val="2"/>
            <w:tcBorders>
              <w:top w:val="nil"/>
              <w:left w:val="nil"/>
              <w:bottom w:val="nil"/>
              <w:right w:val="nil"/>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685" w:type="dxa"/>
            <w:gridSpan w:val="2"/>
            <w:tcBorders>
              <w:top w:val="nil"/>
              <w:left w:val="nil"/>
              <w:bottom w:val="nil"/>
              <w:right w:val="nil"/>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663" w:type="dxa"/>
            <w:gridSpan w:val="2"/>
            <w:tcBorders>
              <w:top w:val="nil"/>
              <w:left w:val="nil"/>
              <w:bottom w:val="nil"/>
              <w:right w:val="nil"/>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198" w:type="dxa"/>
            <w:gridSpan w:val="2"/>
            <w:tcBorders>
              <w:top w:val="nil"/>
              <w:left w:val="nil"/>
              <w:bottom w:val="nil"/>
              <w:right w:val="nil"/>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238" w:type="dxa"/>
            <w:gridSpan w:val="2"/>
            <w:tcBorders>
              <w:top w:val="single" w:sz="4" w:space="0" w:color="auto"/>
              <w:left w:val="single" w:sz="4" w:space="0" w:color="auto"/>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Start Temp</w:t>
            </w:r>
          </w:p>
        </w:tc>
        <w:tc>
          <w:tcPr>
            <w:tcW w:w="1744" w:type="dxa"/>
            <w:gridSpan w:val="2"/>
            <w:tcBorders>
              <w:top w:val="single" w:sz="4" w:space="0" w:color="auto"/>
              <w:left w:val="nil"/>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25</w:t>
            </w:r>
          </w:p>
        </w:tc>
      </w:tr>
      <w:tr w:rsidR="00455BDC" w:rsidRPr="00455BDC" w:rsidTr="00455BDC">
        <w:trPr>
          <w:trHeight w:val="300"/>
        </w:trPr>
        <w:tc>
          <w:tcPr>
            <w:tcW w:w="326" w:type="dxa"/>
            <w:gridSpan w:val="2"/>
            <w:tcBorders>
              <w:top w:val="nil"/>
              <w:left w:val="nil"/>
              <w:bottom w:val="nil"/>
              <w:right w:val="nil"/>
            </w:tcBorders>
            <w:shd w:val="clear" w:color="000000" w:fill="FFFFFF"/>
            <w:noWrap/>
            <w:vAlign w:val="bottom"/>
          </w:tcPr>
          <w:p w:rsidR="00455BDC" w:rsidRDefault="00455BDC" w:rsidP="00455BDC">
            <w:pPr>
              <w:spacing w:before="0" w:after="0" w:line="240" w:lineRule="auto"/>
              <w:rPr>
                <w:rFonts w:ascii="Calibri" w:eastAsia="Times New Roman" w:hAnsi="Calibri" w:cs="Calibri"/>
                <w:color w:val="000000"/>
                <w:sz w:val="22"/>
                <w:szCs w:val="22"/>
                <w:lang w:eastAsia="en-GB"/>
              </w:rPr>
            </w:pPr>
          </w:p>
          <w:p w:rsidR="00455BDC" w:rsidRDefault="00455BDC" w:rsidP="00455BDC">
            <w:pPr>
              <w:spacing w:before="0" w:after="0" w:line="240" w:lineRule="auto"/>
              <w:rPr>
                <w:rFonts w:ascii="Calibri" w:eastAsia="Times New Roman" w:hAnsi="Calibri" w:cs="Calibri"/>
                <w:color w:val="000000"/>
                <w:sz w:val="22"/>
                <w:szCs w:val="22"/>
                <w:lang w:eastAsia="en-GB"/>
              </w:rPr>
            </w:pPr>
          </w:p>
          <w:p w:rsidR="00455BDC" w:rsidRPr="00455BDC" w:rsidRDefault="00455BDC" w:rsidP="00455BDC">
            <w:pPr>
              <w:spacing w:before="0" w:after="0" w:line="240" w:lineRule="auto"/>
              <w:rPr>
                <w:rFonts w:ascii="Calibri" w:eastAsia="Times New Roman" w:hAnsi="Calibri" w:cs="Calibri"/>
                <w:color w:val="000000"/>
                <w:sz w:val="22"/>
                <w:szCs w:val="22"/>
                <w:lang w:eastAsia="en-GB"/>
              </w:rPr>
            </w:pPr>
          </w:p>
        </w:tc>
        <w:tc>
          <w:tcPr>
            <w:tcW w:w="1496" w:type="dxa"/>
            <w:gridSpan w:val="2"/>
            <w:tcBorders>
              <w:top w:val="nil"/>
              <w:left w:val="nil"/>
              <w:bottom w:val="nil"/>
              <w:right w:val="nil"/>
            </w:tcBorders>
            <w:shd w:val="clear" w:color="000000" w:fill="FFFFFF"/>
            <w:noWrap/>
            <w:vAlign w:val="bottom"/>
          </w:tcPr>
          <w:p w:rsidR="00455BDC" w:rsidRDefault="00455BDC" w:rsidP="00455BDC">
            <w:pPr>
              <w:spacing w:before="0" w:after="0" w:line="240" w:lineRule="auto"/>
              <w:rPr>
                <w:rFonts w:ascii="Calibri" w:eastAsia="Times New Roman" w:hAnsi="Calibri" w:cs="Calibri"/>
                <w:color w:val="000000"/>
                <w:sz w:val="22"/>
                <w:szCs w:val="22"/>
                <w:lang w:eastAsia="en-GB"/>
              </w:rPr>
            </w:pPr>
          </w:p>
          <w:p w:rsidR="003F1730" w:rsidRPr="00455BDC" w:rsidRDefault="003F1730" w:rsidP="00455BDC">
            <w:pPr>
              <w:spacing w:before="0" w:after="0" w:line="240" w:lineRule="auto"/>
              <w:rPr>
                <w:rFonts w:ascii="Calibri" w:eastAsia="Times New Roman" w:hAnsi="Calibri" w:cs="Calibri"/>
                <w:color w:val="000000"/>
                <w:sz w:val="22"/>
                <w:szCs w:val="22"/>
                <w:lang w:eastAsia="en-GB"/>
              </w:rPr>
            </w:pPr>
          </w:p>
        </w:tc>
        <w:tc>
          <w:tcPr>
            <w:tcW w:w="1685" w:type="dxa"/>
            <w:gridSpan w:val="2"/>
            <w:tcBorders>
              <w:top w:val="nil"/>
              <w:left w:val="nil"/>
              <w:bottom w:val="nil"/>
              <w:right w:val="nil"/>
            </w:tcBorders>
            <w:shd w:val="clear" w:color="000000" w:fill="FFFFFF"/>
            <w:noWrap/>
            <w:vAlign w:val="bottom"/>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p>
        </w:tc>
        <w:tc>
          <w:tcPr>
            <w:tcW w:w="1663" w:type="dxa"/>
            <w:gridSpan w:val="2"/>
            <w:tcBorders>
              <w:top w:val="nil"/>
              <w:left w:val="nil"/>
              <w:bottom w:val="nil"/>
              <w:right w:val="nil"/>
            </w:tcBorders>
            <w:shd w:val="clear" w:color="000000" w:fill="FFFFFF"/>
            <w:noWrap/>
            <w:vAlign w:val="bottom"/>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p>
        </w:tc>
        <w:tc>
          <w:tcPr>
            <w:tcW w:w="1198" w:type="dxa"/>
            <w:gridSpan w:val="2"/>
            <w:tcBorders>
              <w:top w:val="nil"/>
              <w:left w:val="nil"/>
              <w:bottom w:val="nil"/>
            </w:tcBorders>
            <w:shd w:val="clear" w:color="000000" w:fill="FFFFFF"/>
            <w:noWrap/>
            <w:vAlign w:val="bottom"/>
          </w:tcPr>
          <w:p w:rsidR="00455BDC" w:rsidRDefault="00455BDC" w:rsidP="00455BDC">
            <w:pPr>
              <w:spacing w:before="0" w:after="0" w:line="240" w:lineRule="auto"/>
              <w:rPr>
                <w:rFonts w:ascii="Calibri" w:eastAsia="Times New Roman" w:hAnsi="Calibri" w:cs="Calibri"/>
                <w:color w:val="000000"/>
                <w:sz w:val="22"/>
                <w:szCs w:val="22"/>
                <w:lang w:eastAsia="en-GB"/>
              </w:rPr>
            </w:pPr>
          </w:p>
          <w:p w:rsidR="003F1730" w:rsidRDefault="003F1730" w:rsidP="00455BDC">
            <w:pPr>
              <w:spacing w:before="0" w:after="0" w:line="240" w:lineRule="auto"/>
              <w:rPr>
                <w:rFonts w:ascii="Calibri" w:eastAsia="Times New Roman" w:hAnsi="Calibri" w:cs="Calibri"/>
                <w:color w:val="000000"/>
                <w:sz w:val="22"/>
                <w:szCs w:val="22"/>
                <w:lang w:eastAsia="en-GB"/>
              </w:rPr>
            </w:pPr>
          </w:p>
          <w:p w:rsidR="003F1730" w:rsidRPr="00455BDC" w:rsidRDefault="003F1730" w:rsidP="00455BDC">
            <w:pPr>
              <w:spacing w:before="0" w:after="0" w:line="240" w:lineRule="auto"/>
              <w:rPr>
                <w:rFonts w:ascii="Calibri" w:eastAsia="Times New Roman" w:hAnsi="Calibri" w:cs="Calibri"/>
                <w:color w:val="000000"/>
                <w:sz w:val="22"/>
                <w:szCs w:val="22"/>
                <w:lang w:eastAsia="en-GB"/>
              </w:rPr>
            </w:pPr>
          </w:p>
        </w:tc>
        <w:tc>
          <w:tcPr>
            <w:tcW w:w="1238" w:type="dxa"/>
            <w:gridSpan w:val="2"/>
            <w:tcBorders>
              <w:top w:val="single" w:sz="4" w:space="0" w:color="auto"/>
            </w:tcBorders>
            <w:shd w:val="clear" w:color="auto" w:fill="auto"/>
            <w:noWrap/>
            <w:vAlign w:val="bottom"/>
          </w:tcPr>
          <w:p w:rsidR="00455BDC" w:rsidRDefault="00455BDC" w:rsidP="00455BDC">
            <w:pPr>
              <w:spacing w:before="0" w:after="0" w:line="240" w:lineRule="auto"/>
              <w:rPr>
                <w:rFonts w:ascii="Calibri" w:eastAsia="Times New Roman" w:hAnsi="Calibri" w:cs="Calibri"/>
                <w:color w:val="000000"/>
                <w:sz w:val="22"/>
                <w:szCs w:val="22"/>
                <w:lang w:eastAsia="en-GB"/>
              </w:rPr>
            </w:pPr>
          </w:p>
          <w:p w:rsidR="00455BDC" w:rsidRDefault="00455BDC" w:rsidP="00455BDC">
            <w:pPr>
              <w:spacing w:before="0" w:after="0" w:line="240" w:lineRule="auto"/>
              <w:rPr>
                <w:rFonts w:ascii="Calibri" w:eastAsia="Times New Roman" w:hAnsi="Calibri" w:cs="Calibri"/>
                <w:color w:val="000000"/>
                <w:sz w:val="22"/>
                <w:szCs w:val="22"/>
                <w:lang w:eastAsia="en-GB"/>
              </w:rPr>
            </w:pPr>
          </w:p>
          <w:p w:rsidR="003F1730" w:rsidRDefault="003F1730" w:rsidP="00455BDC">
            <w:pPr>
              <w:spacing w:before="0" w:after="0" w:line="240" w:lineRule="auto"/>
              <w:rPr>
                <w:rFonts w:ascii="Calibri" w:eastAsia="Times New Roman" w:hAnsi="Calibri" w:cs="Calibri"/>
                <w:color w:val="000000"/>
                <w:sz w:val="22"/>
                <w:szCs w:val="22"/>
                <w:lang w:eastAsia="en-GB"/>
              </w:rPr>
            </w:pPr>
          </w:p>
          <w:p w:rsidR="003F1730" w:rsidRDefault="003F1730" w:rsidP="00455BDC">
            <w:pPr>
              <w:spacing w:before="0" w:after="0" w:line="240" w:lineRule="auto"/>
              <w:rPr>
                <w:rFonts w:ascii="Calibri" w:eastAsia="Times New Roman" w:hAnsi="Calibri" w:cs="Calibri"/>
                <w:color w:val="000000"/>
                <w:sz w:val="22"/>
                <w:szCs w:val="22"/>
                <w:lang w:eastAsia="en-GB"/>
              </w:rPr>
            </w:pPr>
          </w:p>
          <w:p w:rsidR="003F1730" w:rsidRDefault="003F1730" w:rsidP="00455BDC">
            <w:pPr>
              <w:spacing w:before="0" w:after="0" w:line="240" w:lineRule="auto"/>
              <w:rPr>
                <w:rFonts w:ascii="Calibri" w:eastAsia="Times New Roman" w:hAnsi="Calibri" w:cs="Calibri"/>
                <w:color w:val="000000"/>
                <w:sz w:val="22"/>
                <w:szCs w:val="22"/>
                <w:lang w:eastAsia="en-GB"/>
              </w:rPr>
            </w:pPr>
          </w:p>
          <w:p w:rsidR="003F1730" w:rsidRDefault="003F1730" w:rsidP="00455BDC">
            <w:pPr>
              <w:spacing w:before="0" w:after="0" w:line="240" w:lineRule="auto"/>
              <w:rPr>
                <w:rFonts w:ascii="Calibri" w:eastAsia="Times New Roman" w:hAnsi="Calibri" w:cs="Calibri"/>
                <w:color w:val="000000"/>
                <w:sz w:val="22"/>
                <w:szCs w:val="22"/>
                <w:lang w:eastAsia="en-GB"/>
              </w:rPr>
            </w:pPr>
          </w:p>
          <w:p w:rsidR="00455BDC" w:rsidRPr="00455BDC" w:rsidRDefault="00455BDC" w:rsidP="00455BDC">
            <w:pPr>
              <w:spacing w:before="0" w:after="0" w:line="240" w:lineRule="auto"/>
              <w:rPr>
                <w:rFonts w:ascii="Calibri" w:eastAsia="Times New Roman" w:hAnsi="Calibri" w:cs="Calibri"/>
                <w:color w:val="000000"/>
                <w:sz w:val="22"/>
                <w:szCs w:val="22"/>
                <w:lang w:eastAsia="en-GB"/>
              </w:rPr>
            </w:pPr>
          </w:p>
        </w:tc>
        <w:tc>
          <w:tcPr>
            <w:tcW w:w="1744" w:type="dxa"/>
            <w:gridSpan w:val="2"/>
            <w:tcBorders>
              <w:top w:val="single" w:sz="4" w:space="0" w:color="auto"/>
            </w:tcBorders>
            <w:shd w:val="clear" w:color="auto" w:fill="auto"/>
            <w:noWrap/>
            <w:vAlign w:val="bottom"/>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p>
        </w:tc>
      </w:tr>
      <w:tr w:rsidR="00455BDC" w:rsidRPr="00455BDC" w:rsidTr="00455BDC">
        <w:trPr>
          <w:gridAfter w:val="1"/>
          <w:wAfter w:w="29" w:type="dxa"/>
          <w:trHeight w:val="300"/>
        </w:trPr>
        <w:tc>
          <w:tcPr>
            <w:tcW w:w="9321" w:type="dxa"/>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5BDC" w:rsidRPr="00455BDC" w:rsidRDefault="00455BDC" w:rsidP="00455BDC">
            <w:pPr>
              <w:spacing w:before="0" w:after="0" w:line="240" w:lineRule="auto"/>
              <w:jc w:val="center"/>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Standard Head Exhaust</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Test pressure </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Valve Lift (mm)</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Test flow (CFM </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Bung Used</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Temp</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Potential flow% </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39</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97</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2.4</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21.5</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38</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73</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3.6</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33.5</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37</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83.5</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4.8</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43</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35</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72.5</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50</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33</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84.5</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7.2</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55</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32</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93</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8.4</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59</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32</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70.5</w:t>
            </w:r>
          </w:p>
        </w:tc>
      </w:tr>
      <w:tr w:rsidR="00455BDC" w:rsidRPr="00455BDC" w:rsidTr="00455BDC">
        <w:trPr>
          <w:gridAfter w:val="1"/>
          <w:wAfter w:w="29" w:type="dxa"/>
          <w:trHeight w:val="300"/>
        </w:trPr>
        <w:tc>
          <w:tcPr>
            <w:tcW w:w="175"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w:t>
            </w:r>
          </w:p>
        </w:tc>
        <w:tc>
          <w:tcPr>
            <w:tcW w:w="1516" w:type="dxa"/>
            <w:gridSpan w:val="2"/>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08" w:type="dxa"/>
            <w:gridSpan w:val="2"/>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9.6</w:t>
            </w:r>
          </w:p>
        </w:tc>
        <w:tc>
          <w:tcPr>
            <w:tcW w:w="1686" w:type="dxa"/>
            <w:gridSpan w:val="2"/>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62</w:t>
            </w:r>
          </w:p>
        </w:tc>
        <w:tc>
          <w:tcPr>
            <w:tcW w:w="1214" w:type="dxa"/>
            <w:gridSpan w:val="2"/>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54" w:type="dxa"/>
            <w:gridSpan w:val="2"/>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31</w:t>
            </w:r>
          </w:p>
        </w:tc>
        <w:tc>
          <w:tcPr>
            <w:tcW w:w="1768" w:type="dxa"/>
            <w:gridSpan w:val="2"/>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73.5</w:t>
            </w:r>
          </w:p>
        </w:tc>
      </w:tr>
      <w:tr w:rsidR="00455BDC" w:rsidRPr="00455BDC" w:rsidTr="00455BDC">
        <w:trPr>
          <w:gridAfter w:val="1"/>
          <w:wAfter w:w="29" w:type="dxa"/>
          <w:trHeight w:val="300"/>
        </w:trPr>
        <w:tc>
          <w:tcPr>
            <w:tcW w:w="175"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p>
        </w:tc>
        <w:tc>
          <w:tcPr>
            <w:tcW w:w="1516" w:type="dxa"/>
            <w:gridSpan w:val="2"/>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708" w:type="dxa"/>
            <w:gridSpan w:val="2"/>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686" w:type="dxa"/>
            <w:gridSpan w:val="2"/>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214" w:type="dxa"/>
            <w:gridSpan w:val="2"/>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254" w:type="dxa"/>
            <w:gridSpan w:val="2"/>
            <w:tcBorders>
              <w:top w:val="nil"/>
              <w:left w:val="single" w:sz="4" w:space="0" w:color="auto"/>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Start Temp</w:t>
            </w:r>
          </w:p>
        </w:tc>
        <w:tc>
          <w:tcPr>
            <w:tcW w:w="1768" w:type="dxa"/>
            <w:gridSpan w:val="2"/>
            <w:tcBorders>
              <w:top w:val="nil"/>
              <w:left w:val="nil"/>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31</w:t>
            </w:r>
          </w:p>
        </w:tc>
      </w:tr>
    </w:tbl>
    <w:p w:rsidR="00632D13" w:rsidRDefault="00632D13" w:rsidP="00CE0702">
      <w:pPr>
        <w:rPr>
          <w:sz w:val="28"/>
        </w:rPr>
      </w:pPr>
    </w:p>
    <w:p w:rsidR="00455BDC" w:rsidRDefault="00455BDC" w:rsidP="00CE0702">
      <w:pPr>
        <w:rPr>
          <w:sz w:val="28"/>
        </w:rPr>
      </w:pPr>
    </w:p>
    <w:p w:rsidR="00455BDC" w:rsidRDefault="00455BDC" w:rsidP="00CE0702">
      <w:pPr>
        <w:rPr>
          <w:sz w:val="28"/>
        </w:rPr>
      </w:pPr>
    </w:p>
    <w:p w:rsidR="00455BDC" w:rsidRDefault="00455BDC" w:rsidP="00CE0702">
      <w:pPr>
        <w:rPr>
          <w:sz w:val="28"/>
        </w:rPr>
      </w:pPr>
    </w:p>
    <w:p w:rsidR="00455BDC" w:rsidRDefault="003F0F5E" w:rsidP="00CE0702">
      <w:pPr>
        <w:rPr>
          <w:sz w:val="28"/>
        </w:rPr>
      </w:pPr>
      <w:r w:rsidRPr="003F0F5E">
        <w:rPr>
          <w:noProof/>
          <w:sz w:val="28"/>
        </w:rPr>
        <w:lastRenderedPageBreak/>
        <mc:AlternateContent>
          <mc:Choice Requires="wps">
            <w:drawing>
              <wp:anchor distT="45720" distB="45720" distL="114300" distR="114300" simplePos="0" relativeHeight="251663360" behindDoc="0" locked="0" layoutInCell="1" allowOverlap="1">
                <wp:simplePos x="0" y="0"/>
                <wp:positionH relativeFrom="column">
                  <wp:posOffset>4352925</wp:posOffset>
                </wp:positionH>
                <wp:positionV relativeFrom="paragraph">
                  <wp:posOffset>447675</wp:posOffset>
                </wp:positionV>
                <wp:extent cx="2314575" cy="2000250"/>
                <wp:effectExtent l="0" t="0" r="9525"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2000250"/>
                        </a:xfrm>
                        <a:prstGeom prst="rect">
                          <a:avLst/>
                        </a:prstGeom>
                        <a:solidFill>
                          <a:srgbClr val="FFFFFF"/>
                        </a:solidFill>
                        <a:ln w="9525">
                          <a:noFill/>
                          <a:miter lim="800000"/>
                          <a:headEnd/>
                          <a:tailEnd/>
                        </a:ln>
                      </wps:spPr>
                      <wps:txbx>
                        <w:txbxContent>
                          <w:p w:rsidR="00005EA7" w:rsidRDefault="00005EA7">
                            <w:r>
                              <w:t>To the left is a graph to show the volumetric flow rate of the standard cylinder head from the intake side, increasing in flow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42.75pt;margin-top:35.25pt;width:182.25pt;height:15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" stroked="f">
                <v:textbox>
                  <w:txbxContent>
                    <w:p w:rsidR="00005EA7" w:rsidRDefault="00005EA7">
                      <w:r>
                        <w:t>To the left is a graph to show the volumetric flow rate of the standard cylinder head from the intake side, increasing in flow with the increase in valve lift</w:t>
                      </w:r>
                    </w:p>
                  </w:txbxContent>
                </v:textbox>
              </v:shape>
            </w:pict>
          </mc:Fallback>
        </mc:AlternateContent>
      </w:r>
      <w:r w:rsidR="00526F90">
        <w:rPr>
          <w:noProof/>
        </w:rPr>
        <w:drawing>
          <wp:inline distT="0" distB="0" distL="0" distR="0" wp14:anchorId="7F249EE5" wp14:editId="3AF0C016">
            <wp:extent cx="4181475" cy="3181350"/>
            <wp:effectExtent l="0" t="0" r="9525" b="0"/>
            <wp:docPr id="1" name="Chart 1">
              <a:extLst xmlns:a="http://schemas.openxmlformats.org/drawingml/2006/main">
                <a:ext uri="{FF2B5EF4-FFF2-40B4-BE49-F238E27FC236}">
                  <a16:creationId xmlns:a16="http://schemas.microsoft.com/office/drawing/2014/main" id="{63C75662-EF79-4A0D-8E1A-9B9106D39F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F1730" w:rsidRDefault="003F1730" w:rsidP="00CE0702">
      <w:pPr>
        <w:rPr>
          <w:sz w:val="28"/>
        </w:rPr>
      </w:pPr>
    </w:p>
    <w:p w:rsidR="00005EA7" w:rsidRDefault="00526F90" w:rsidP="00CE0702">
      <w:pPr>
        <w:rPr>
          <w:sz w:val="28"/>
        </w:rPr>
      </w:pPr>
      <w:r>
        <w:rPr>
          <w:noProof/>
        </w:rPr>
        <w:drawing>
          <wp:anchor distT="0" distB="0" distL="114300" distR="114300" simplePos="0" relativeHeight="251664384" behindDoc="0" locked="0" layoutInCell="1" allowOverlap="1" wp14:anchorId="1D6E367A">
            <wp:simplePos x="914400" y="4619625"/>
            <wp:positionH relativeFrom="column">
              <wp:align>left</wp:align>
            </wp:positionH>
            <wp:positionV relativeFrom="paragraph">
              <wp:align>top</wp:align>
            </wp:positionV>
            <wp:extent cx="4219575" cy="3905250"/>
            <wp:effectExtent l="0" t="0" r="9525" b="0"/>
            <wp:wrapSquare wrapText="bothSides"/>
            <wp:docPr id="2" name="Chart 2">
              <a:extLst xmlns:a="http://schemas.openxmlformats.org/drawingml/2006/main">
                <a:ext uri="{FF2B5EF4-FFF2-40B4-BE49-F238E27FC236}">
                  <a16:creationId xmlns:a16="http://schemas.microsoft.com/office/drawing/2014/main" id="{7661F394-6109-4914-9B4E-3F848B2CEC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005EA7" w:rsidRPr="00005EA7" w:rsidRDefault="00005EA7" w:rsidP="00005EA7">
      <w:pPr>
        <w:rPr>
          <w:sz w:val="28"/>
        </w:rPr>
      </w:pPr>
      <w:r w:rsidRPr="003F0F5E">
        <w:rPr>
          <w:noProof/>
          <w:sz w:val="28"/>
        </w:rPr>
        <mc:AlternateContent>
          <mc:Choice Requires="wps">
            <w:drawing>
              <wp:anchor distT="45720" distB="45720" distL="114300" distR="114300" simplePos="0" relativeHeight="251666432" behindDoc="0" locked="0" layoutInCell="1" allowOverlap="1" wp14:anchorId="6982B073" wp14:editId="55B81C9E">
                <wp:simplePos x="0" y="0"/>
                <wp:positionH relativeFrom="column">
                  <wp:posOffset>4391025</wp:posOffset>
                </wp:positionH>
                <wp:positionV relativeFrom="paragraph">
                  <wp:posOffset>83820</wp:posOffset>
                </wp:positionV>
                <wp:extent cx="2314575" cy="2000250"/>
                <wp:effectExtent l="0" t="0" r="9525"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2000250"/>
                        </a:xfrm>
                        <a:prstGeom prst="rect">
                          <a:avLst/>
                        </a:prstGeom>
                        <a:solidFill>
                          <a:srgbClr val="FFFFFF"/>
                        </a:solidFill>
                        <a:ln w="9525">
                          <a:noFill/>
                          <a:miter lim="800000"/>
                          <a:headEnd/>
                          <a:tailEnd/>
                        </a:ln>
                      </wps:spPr>
                      <wps:txbx>
                        <w:txbxContent>
                          <w:p w:rsidR="00005EA7" w:rsidRDefault="00005EA7" w:rsidP="00005EA7">
                            <w:r>
                              <w:t>To the left is a graph to show the volumetric flow rate of the standard cylinder head from the exhaust side, increasing in flow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82B073" id="_x0000_s1029" type="#_x0000_t202" style="position:absolute;margin-left:345.75pt;margin-top:6.6pt;width:182.25pt;height:15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" stroked="f">
                <v:textbox>
                  <w:txbxContent>
                    <w:p w:rsidR="00005EA7" w:rsidRDefault="00005EA7" w:rsidP="00005EA7">
                      <w:r>
                        <w:t>To the left is a graph to show the volumetric flow rate of the standard cylinder head from the exhaust side, increasing in flow with the increase in valve lift</w:t>
                      </w:r>
                    </w:p>
                  </w:txbxContent>
                </v:textbox>
              </v:shape>
            </w:pict>
          </mc:Fallback>
        </mc:AlternateContent>
      </w:r>
    </w:p>
    <w:p w:rsidR="00005EA7" w:rsidRDefault="00005EA7" w:rsidP="00CE0702">
      <w:pPr>
        <w:rPr>
          <w:sz w:val="28"/>
        </w:rPr>
      </w:pPr>
    </w:p>
    <w:p w:rsidR="00526F90" w:rsidRDefault="00005EA7" w:rsidP="00005EA7">
      <w:pPr>
        <w:tabs>
          <w:tab w:val="left" w:pos="1755"/>
        </w:tabs>
        <w:rPr>
          <w:sz w:val="28"/>
        </w:rPr>
      </w:pPr>
      <w:r>
        <w:rPr>
          <w:sz w:val="28"/>
        </w:rPr>
        <w:tab/>
      </w:r>
      <w:r>
        <w:rPr>
          <w:sz w:val="28"/>
        </w:rPr>
        <w:br w:type="textWrapping" w:clear="all"/>
      </w:r>
    </w:p>
    <w:p w:rsidR="00D15D4A" w:rsidRDefault="00D15D4A" w:rsidP="00CE0702">
      <w:pPr>
        <w:rPr>
          <w:sz w:val="28"/>
        </w:rPr>
      </w:pPr>
    </w:p>
    <w:p w:rsidR="00D15D4A" w:rsidRDefault="00005EA7" w:rsidP="00CE0702">
      <w:pPr>
        <w:rPr>
          <w:sz w:val="28"/>
        </w:rPr>
      </w:pPr>
      <w:r w:rsidRPr="003F0F5E">
        <w:rPr>
          <w:noProof/>
          <w:sz w:val="28"/>
        </w:rPr>
        <w:lastRenderedPageBreak/>
        <mc:AlternateContent>
          <mc:Choice Requires="wps">
            <w:drawing>
              <wp:anchor distT="45720" distB="45720" distL="114300" distR="114300" simplePos="0" relativeHeight="251668480" behindDoc="0" locked="0" layoutInCell="1" allowOverlap="1" wp14:anchorId="6982B073" wp14:editId="55B81C9E">
                <wp:simplePos x="0" y="0"/>
                <wp:positionH relativeFrom="column">
                  <wp:posOffset>4371975</wp:posOffset>
                </wp:positionH>
                <wp:positionV relativeFrom="paragraph">
                  <wp:posOffset>657225</wp:posOffset>
                </wp:positionV>
                <wp:extent cx="2314575" cy="1381125"/>
                <wp:effectExtent l="0" t="0" r="9525" b="95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flow velocity of the standard cylinder head from the intake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82B073" id="_x0000_s1030" type="#_x0000_t202" style="position:absolute;margin-left:344.25pt;margin-top:51.75pt;width:182.25pt;height:108.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" stroked="f">
                <v:textbox>
                  <w:txbxContent>
                    <w:p w:rsidR="00005EA7" w:rsidRDefault="00005EA7" w:rsidP="00005EA7">
                      <w:r>
                        <w:t>To the left is a graph to show the flow velocity of the standard cylinder head from the intake side, increasing in flow velocity with the increase in valve lift</w:t>
                      </w:r>
                    </w:p>
                  </w:txbxContent>
                </v:textbox>
              </v:shape>
            </w:pict>
          </mc:Fallback>
        </mc:AlternateContent>
      </w:r>
      <w:r w:rsidR="00181FCB">
        <w:rPr>
          <w:noProof/>
        </w:rPr>
        <w:drawing>
          <wp:inline distT="0" distB="0" distL="0" distR="0" wp14:anchorId="32717B92" wp14:editId="469E63A9">
            <wp:extent cx="4276725" cy="3714750"/>
            <wp:effectExtent l="0" t="0" r="9525" b="0"/>
            <wp:docPr id="5" name="Chart 5">
              <a:extLst xmlns:a="http://schemas.openxmlformats.org/drawingml/2006/main">
                <a:ext uri="{FF2B5EF4-FFF2-40B4-BE49-F238E27FC236}">
                  <a16:creationId xmlns:a16="http://schemas.microsoft.com/office/drawing/2014/main" id="{228F529E-F9F3-46B8-91BC-C122524E74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55BDC" w:rsidRDefault="00455BDC" w:rsidP="00CE0702">
      <w:pPr>
        <w:rPr>
          <w:sz w:val="28"/>
        </w:rPr>
      </w:pPr>
    </w:p>
    <w:p w:rsidR="003F1730" w:rsidRDefault="00005EA7" w:rsidP="00CE0702">
      <w:pPr>
        <w:rPr>
          <w:sz w:val="28"/>
        </w:rPr>
      </w:pPr>
      <w:r w:rsidRPr="003F0F5E">
        <w:rPr>
          <w:noProof/>
          <w:sz w:val="28"/>
        </w:rPr>
        <mc:AlternateContent>
          <mc:Choice Requires="wps">
            <w:drawing>
              <wp:anchor distT="45720" distB="45720" distL="114300" distR="114300" simplePos="0" relativeHeight="251670528" behindDoc="0" locked="0" layoutInCell="1" allowOverlap="1" wp14:anchorId="697ABC46" wp14:editId="2495C7C3">
                <wp:simplePos x="0" y="0"/>
                <wp:positionH relativeFrom="column">
                  <wp:posOffset>4448175</wp:posOffset>
                </wp:positionH>
                <wp:positionV relativeFrom="paragraph">
                  <wp:posOffset>807085</wp:posOffset>
                </wp:positionV>
                <wp:extent cx="2314575" cy="1381125"/>
                <wp:effectExtent l="0" t="0" r="9525"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flow velocity of the standard cylinder head from the exhaust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ABC46" id="_x0000_s1031" type="#_x0000_t202" style="position:absolute;margin-left:350.25pt;margin-top:63.55pt;width:182.25pt;height:108.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" stroked="f">
                <v:textbox>
                  <w:txbxContent>
                    <w:p w:rsidR="00005EA7" w:rsidRDefault="00005EA7" w:rsidP="00005EA7">
                      <w:r>
                        <w:t>To the left is a graph to show the flow velocity of the standard cylinder head from the exhaust side, increasing in flow velocity with the increase in valve lift</w:t>
                      </w:r>
                    </w:p>
                  </w:txbxContent>
                </v:textbox>
              </v:shape>
            </w:pict>
          </mc:Fallback>
        </mc:AlternateContent>
      </w:r>
      <w:r w:rsidR="00181FCB">
        <w:rPr>
          <w:noProof/>
        </w:rPr>
        <w:drawing>
          <wp:inline distT="0" distB="0" distL="0" distR="0" wp14:anchorId="310F6F9D" wp14:editId="3839A68A">
            <wp:extent cx="4276725" cy="3629025"/>
            <wp:effectExtent l="0" t="0" r="9525" b="9525"/>
            <wp:docPr id="6" name="Chart 6">
              <a:extLst xmlns:a="http://schemas.openxmlformats.org/drawingml/2006/main">
                <a:ext uri="{FF2B5EF4-FFF2-40B4-BE49-F238E27FC236}">
                  <a16:creationId xmlns:a16="http://schemas.microsoft.com/office/drawing/2014/main" id="{3E21BA9E-8814-4238-B3DB-4F79D2A70C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05EA7" w:rsidRPr="00005EA7" w:rsidRDefault="00005EA7" w:rsidP="00CE0702">
      <w:pPr>
        <w:rPr>
          <w:sz w:val="28"/>
        </w:rPr>
      </w:pPr>
      <w:r w:rsidRPr="003F0F5E">
        <w:rPr>
          <w:noProof/>
          <w:sz w:val="28"/>
        </w:rPr>
        <w:lastRenderedPageBreak/>
        <mc:AlternateContent>
          <mc:Choice Requires="wps">
            <w:drawing>
              <wp:anchor distT="45720" distB="45720" distL="114300" distR="114300" simplePos="0" relativeHeight="251680768" behindDoc="0" locked="0" layoutInCell="1" allowOverlap="1" wp14:anchorId="1DBC7305" wp14:editId="61954BF9">
                <wp:simplePos x="0" y="0"/>
                <wp:positionH relativeFrom="column">
                  <wp:posOffset>4419600</wp:posOffset>
                </wp:positionH>
                <wp:positionV relativeFrom="paragraph">
                  <wp:posOffset>817245</wp:posOffset>
                </wp:positionV>
                <wp:extent cx="2314575" cy="1381125"/>
                <wp:effectExtent l="0" t="0" r="9525" b="952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 xml:space="preserve">To the left is a graph to show the co-efficient of discharge of the standard cylinder head from the </w:t>
                            </w:r>
                            <w:r w:rsidR="00167054">
                              <w:t>intake</w:t>
                            </w:r>
                            <w:r>
                              <w:t xml:space="preserve"> side, increasing in </w:t>
                            </w:r>
                            <w:r w:rsidR="00167054">
                              <w:t>discharge</w:t>
                            </w:r>
                            <w:r>
                              <w:t xml:space="preserve">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BC7305" id="_x0000_s1032" type="#_x0000_t202" style="position:absolute;margin-left:348pt;margin-top:64.35pt;width:182.25pt;height:108.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" stroked="f">
                <v:textbox>
                  <w:txbxContent>
                    <w:p w:rsidR="00005EA7" w:rsidRDefault="00005EA7" w:rsidP="00005EA7">
                      <w:r>
                        <w:t xml:space="preserve">To the left is a graph to show the co-efficient of discharge of the standard cylinder head from the </w:t>
                      </w:r>
                      <w:r w:rsidR="00167054">
                        <w:t>intake</w:t>
                      </w:r>
                      <w:r>
                        <w:t xml:space="preserve"> side, increasing in </w:t>
                      </w:r>
                      <w:r w:rsidR="00167054">
                        <w:t>discharge</w:t>
                      </w:r>
                      <w:r>
                        <w:t xml:space="preserve"> with the increase in valve lift</w:t>
                      </w:r>
                    </w:p>
                  </w:txbxContent>
                </v:textbox>
              </v:shape>
            </w:pict>
          </mc:Fallback>
        </mc:AlternateContent>
      </w:r>
      <w:r>
        <w:rPr>
          <w:noProof/>
        </w:rPr>
        <w:drawing>
          <wp:inline distT="0" distB="0" distL="0" distR="0" wp14:anchorId="3807610E" wp14:editId="74A80326">
            <wp:extent cx="4333875" cy="3848100"/>
            <wp:effectExtent l="0" t="0" r="9525" b="0"/>
            <wp:docPr id="19" name="Chart 19">
              <a:extLst xmlns:a="http://schemas.openxmlformats.org/drawingml/2006/main">
                <a:ext uri="{FF2B5EF4-FFF2-40B4-BE49-F238E27FC236}">
                  <a16:creationId xmlns:a16="http://schemas.microsoft.com/office/drawing/2014/main" id="{E7F507CB-ED9B-4F9F-B752-345E330306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05EA7" w:rsidRDefault="00005EA7" w:rsidP="00CE0702">
      <w:pPr>
        <w:rPr>
          <w:b/>
          <w:color w:val="FF0000"/>
          <w:sz w:val="32"/>
          <w:u w:val="single"/>
        </w:rPr>
      </w:pPr>
    </w:p>
    <w:p w:rsidR="00005EA7" w:rsidRDefault="00167054" w:rsidP="00CE0702">
      <w:pPr>
        <w:rPr>
          <w:b/>
          <w:color w:val="FF0000"/>
          <w:sz w:val="32"/>
          <w:u w:val="single"/>
        </w:rPr>
      </w:pPr>
      <w:r w:rsidRPr="003F0F5E">
        <w:rPr>
          <w:noProof/>
          <w:sz w:val="28"/>
        </w:rPr>
        <mc:AlternateContent>
          <mc:Choice Requires="wps">
            <w:drawing>
              <wp:anchor distT="45720" distB="45720" distL="114300" distR="114300" simplePos="0" relativeHeight="251682816" behindDoc="0" locked="0" layoutInCell="1" allowOverlap="1" wp14:anchorId="0F127CC9" wp14:editId="5349ED08">
                <wp:simplePos x="0" y="0"/>
                <wp:positionH relativeFrom="column">
                  <wp:posOffset>4448175</wp:posOffset>
                </wp:positionH>
                <wp:positionV relativeFrom="paragraph">
                  <wp:posOffset>492760</wp:posOffset>
                </wp:positionV>
                <wp:extent cx="2314575" cy="1381125"/>
                <wp:effectExtent l="0" t="0" r="9525" b="952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167054" w:rsidRDefault="00167054" w:rsidP="00167054">
                            <w:r>
                              <w:t xml:space="preserve">To the left is a graph to show the co-efficient of discharge of the standard cylinder head from the </w:t>
                            </w:r>
                            <w:r>
                              <w:t>exhaust</w:t>
                            </w:r>
                            <w:r>
                              <w:t xml:space="preserve"> side, increasing in discharge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27CC9" id="_x0000_s1033" type="#_x0000_t202" style="position:absolute;margin-left:350.25pt;margin-top:38.8pt;width:182.25pt;height:108.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" stroked="f">
                <v:textbox>
                  <w:txbxContent>
                    <w:p w:rsidR="00167054" w:rsidRDefault="00167054" w:rsidP="00167054">
                      <w:r>
                        <w:t xml:space="preserve">To the left is a graph to show the co-efficient of discharge of the standard cylinder head from the </w:t>
                      </w:r>
                      <w:r>
                        <w:t>exhaust</w:t>
                      </w:r>
                      <w:r>
                        <w:t xml:space="preserve"> side, increasing in discharge with the increase in valve lift</w:t>
                      </w:r>
                    </w:p>
                  </w:txbxContent>
                </v:textbox>
              </v:shape>
            </w:pict>
          </mc:Fallback>
        </mc:AlternateContent>
      </w:r>
      <w:r w:rsidR="00005EA7">
        <w:rPr>
          <w:noProof/>
        </w:rPr>
        <w:drawing>
          <wp:inline distT="0" distB="0" distL="0" distR="0" wp14:anchorId="17ECB087" wp14:editId="6E3CDB38">
            <wp:extent cx="4371975" cy="3695700"/>
            <wp:effectExtent l="0" t="0" r="9525" b="0"/>
            <wp:docPr id="20" name="Chart 20">
              <a:extLst xmlns:a="http://schemas.openxmlformats.org/drawingml/2006/main">
                <a:ext uri="{FF2B5EF4-FFF2-40B4-BE49-F238E27FC236}">
                  <a16:creationId xmlns:a16="http://schemas.microsoft.com/office/drawing/2014/main" id="{4FF6EC2D-EA67-469A-8E67-ADCDE9AA12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3F1730" w:rsidRPr="003F1730" w:rsidRDefault="003F1730" w:rsidP="00CE0702">
      <w:pPr>
        <w:rPr>
          <w:color w:val="FF0000"/>
          <w:sz w:val="32"/>
        </w:rPr>
      </w:pPr>
      <w:r>
        <w:rPr>
          <w:b/>
          <w:color w:val="FF0000"/>
          <w:sz w:val="32"/>
          <w:u w:val="single"/>
        </w:rPr>
        <w:lastRenderedPageBreak/>
        <w:t xml:space="preserve">Modified Head </w:t>
      </w:r>
    </w:p>
    <w:tbl>
      <w:tblPr>
        <w:tblpPr w:leftFromText="180" w:rightFromText="180" w:vertAnchor="text" w:horzAnchor="margin" w:tblpY="388"/>
        <w:tblW w:w="9758" w:type="dxa"/>
        <w:tblLook w:val="04A0" w:firstRow="1" w:lastRow="0" w:firstColumn="1" w:lastColumn="0" w:noHBand="0" w:noVBand="1"/>
      </w:tblPr>
      <w:tblGrid>
        <w:gridCol w:w="328"/>
        <w:gridCol w:w="1468"/>
        <w:gridCol w:w="2087"/>
        <w:gridCol w:w="1713"/>
        <w:gridCol w:w="1176"/>
        <w:gridCol w:w="1214"/>
        <w:gridCol w:w="1772"/>
      </w:tblGrid>
      <w:tr w:rsidR="00455BDC" w:rsidRPr="00177578" w:rsidTr="00455BDC">
        <w:trPr>
          <w:trHeight w:val="300"/>
        </w:trPr>
        <w:tc>
          <w:tcPr>
            <w:tcW w:w="9758"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5BDC" w:rsidRPr="00177578" w:rsidRDefault="00455BDC" w:rsidP="00455BDC">
            <w:pPr>
              <w:spacing w:before="0" w:after="0" w:line="240" w:lineRule="auto"/>
              <w:jc w:val="center"/>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Modified Head Intake</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 </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 xml:space="preserve">Test pressure </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Valve Lift (mm) L/D</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 xml:space="preserve">Test flow (CFM) </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Bung Used</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 xml:space="preserve">Temp </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Potential flow %</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1.39</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20.5</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53</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70</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2</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2.8</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37</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50</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62.5</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3</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4.2</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56</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50</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94.5</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5.55</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67.5</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1+3+4</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47</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80.5</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5</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6.9</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83</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1+2+3+4</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45</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79</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6</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8.3</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84</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1+2+3+4</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45</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80</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7</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9.7</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89</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1+2+3+4</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40</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85</w:t>
            </w:r>
          </w:p>
        </w:tc>
      </w:tr>
      <w:tr w:rsidR="00455BDC" w:rsidRPr="00177578" w:rsidTr="00455BDC">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w:t>
            </w:r>
          </w:p>
        </w:tc>
        <w:tc>
          <w:tcPr>
            <w:tcW w:w="1468" w:type="dxa"/>
            <w:tcBorders>
              <w:top w:val="nil"/>
              <w:left w:val="nil"/>
              <w:bottom w:val="single" w:sz="4" w:space="0" w:color="auto"/>
              <w:right w:val="single" w:sz="4" w:space="0" w:color="auto"/>
            </w:tcBorders>
            <w:shd w:val="clear" w:color="000000" w:fill="8DB4E2"/>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10</w:t>
            </w:r>
          </w:p>
        </w:tc>
        <w:tc>
          <w:tcPr>
            <w:tcW w:w="2087" w:type="dxa"/>
            <w:tcBorders>
              <w:top w:val="nil"/>
              <w:left w:val="nil"/>
              <w:bottom w:val="single" w:sz="4" w:space="0" w:color="auto"/>
              <w:right w:val="single" w:sz="4" w:space="0" w:color="auto"/>
            </w:tcBorders>
            <w:shd w:val="clear" w:color="000000" w:fill="DA969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11.1</w:t>
            </w:r>
          </w:p>
        </w:tc>
        <w:tc>
          <w:tcPr>
            <w:tcW w:w="1713" w:type="dxa"/>
            <w:tcBorders>
              <w:top w:val="nil"/>
              <w:left w:val="nil"/>
              <w:bottom w:val="single" w:sz="4" w:space="0" w:color="auto"/>
              <w:right w:val="single" w:sz="4" w:space="0" w:color="auto"/>
            </w:tcBorders>
            <w:shd w:val="clear" w:color="000000" w:fill="C4D79B"/>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91</w:t>
            </w:r>
          </w:p>
        </w:tc>
        <w:tc>
          <w:tcPr>
            <w:tcW w:w="1176" w:type="dxa"/>
            <w:tcBorders>
              <w:top w:val="nil"/>
              <w:left w:val="nil"/>
              <w:bottom w:val="single" w:sz="4" w:space="0" w:color="auto"/>
              <w:right w:val="single" w:sz="4" w:space="0" w:color="auto"/>
            </w:tcBorders>
            <w:shd w:val="clear" w:color="000000" w:fill="92CDDC"/>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1+2+3+4</w:t>
            </w:r>
          </w:p>
        </w:tc>
        <w:tc>
          <w:tcPr>
            <w:tcW w:w="1214" w:type="dxa"/>
            <w:tcBorders>
              <w:top w:val="nil"/>
              <w:left w:val="nil"/>
              <w:bottom w:val="single" w:sz="4" w:space="0" w:color="auto"/>
              <w:right w:val="single" w:sz="4" w:space="0" w:color="auto"/>
            </w:tcBorders>
            <w:shd w:val="clear" w:color="000000" w:fill="FABF8F"/>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41</w:t>
            </w:r>
          </w:p>
        </w:tc>
        <w:tc>
          <w:tcPr>
            <w:tcW w:w="1772" w:type="dxa"/>
            <w:tcBorders>
              <w:top w:val="nil"/>
              <w:left w:val="nil"/>
              <w:bottom w:val="single" w:sz="4" w:space="0" w:color="auto"/>
              <w:right w:val="single" w:sz="4" w:space="0" w:color="auto"/>
            </w:tcBorders>
            <w:shd w:val="clear" w:color="000000" w:fill="DDD9C4"/>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87.5</w:t>
            </w:r>
          </w:p>
        </w:tc>
      </w:tr>
      <w:tr w:rsidR="00455BDC" w:rsidRPr="00177578" w:rsidTr="00455BDC">
        <w:trPr>
          <w:trHeight w:val="300"/>
        </w:trPr>
        <w:tc>
          <w:tcPr>
            <w:tcW w:w="328" w:type="dxa"/>
            <w:tcBorders>
              <w:top w:val="nil"/>
              <w:left w:val="nil"/>
              <w:bottom w:val="nil"/>
              <w:right w:val="nil"/>
            </w:tcBorders>
            <w:shd w:val="clear" w:color="auto" w:fill="auto"/>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p>
        </w:tc>
        <w:tc>
          <w:tcPr>
            <w:tcW w:w="1468" w:type="dxa"/>
            <w:tcBorders>
              <w:top w:val="nil"/>
              <w:left w:val="nil"/>
              <w:bottom w:val="nil"/>
              <w:right w:val="nil"/>
            </w:tcBorders>
            <w:shd w:val="clear" w:color="auto" w:fill="auto"/>
            <w:noWrap/>
            <w:vAlign w:val="bottom"/>
            <w:hideMark/>
          </w:tcPr>
          <w:p w:rsidR="00455BDC" w:rsidRPr="00177578" w:rsidRDefault="00455BDC" w:rsidP="00455BDC">
            <w:pPr>
              <w:spacing w:before="0" w:after="0" w:line="240" w:lineRule="auto"/>
              <w:rPr>
                <w:rFonts w:ascii="Times New Roman" w:eastAsia="Times New Roman" w:hAnsi="Times New Roman" w:cs="Times New Roman"/>
                <w:lang w:eastAsia="en-GB"/>
              </w:rPr>
            </w:pPr>
          </w:p>
        </w:tc>
        <w:tc>
          <w:tcPr>
            <w:tcW w:w="2087" w:type="dxa"/>
            <w:tcBorders>
              <w:top w:val="nil"/>
              <w:left w:val="nil"/>
              <w:bottom w:val="nil"/>
              <w:right w:val="nil"/>
            </w:tcBorders>
            <w:shd w:val="clear" w:color="auto" w:fill="auto"/>
            <w:noWrap/>
            <w:vAlign w:val="bottom"/>
            <w:hideMark/>
          </w:tcPr>
          <w:p w:rsidR="00455BDC" w:rsidRPr="00177578" w:rsidRDefault="00455BDC" w:rsidP="00455BDC">
            <w:pPr>
              <w:spacing w:before="0" w:after="0" w:line="240" w:lineRule="auto"/>
              <w:rPr>
                <w:rFonts w:ascii="Times New Roman" w:eastAsia="Times New Roman" w:hAnsi="Times New Roman" w:cs="Times New Roman"/>
                <w:lang w:eastAsia="en-GB"/>
              </w:rPr>
            </w:pPr>
          </w:p>
        </w:tc>
        <w:tc>
          <w:tcPr>
            <w:tcW w:w="1713" w:type="dxa"/>
            <w:tcBorders>
              <w:top w:val="nil"/>
              <w:left w:val="nil"/>
              <w:bottom w:val="nil"/>
              <w:right w:val="nil"/>
            </w:tcBorders>
            <w:shd w:val="clear" w:color="auto" w:fill="auto"/>
            <w:noWrap/>
            <w:vAlign w:val="bottom"/>
            <w:hideMark/>
          </w:tcPr>
          <w:p w:rsidR="00455BDC" w:rsidRPr="00177578" w:rsidRDefault="00455BDC" w:rsidP="00455BDC">
            <w:pPr>
              <w:spacing w:before="0" w:after="0" w:line="240" w:lineRule="auto"/>
              <w:rPr>
                <w:rFonts w:ascii="Times New Roman" w:eastAsia="Times New Roman" w:hAnsi="Times New Roman" w:cs="Times New Roman"/>
                <w:lang w:eastAsia="en-GB"/>
              </w:rPr>
            </w:pPr>
          </w:p>
        </w:tc>
        <w:tc>
          <w:tcPr>
            <w:tcW w:w="1176" w:type="dxa"/>
            <w:tcBorders>
              <w:top w:val="nil"/>
              <w:left w:val="nil"/>
              <w:bottom w:val="nil"/>
              <w:right w:val="nil"/>
            </w:tcBorders>
            <w:shd w:val="clear" w:color="auto" w:fill="auto"/>
            <w:noWrap/>
            <w:vAlign w:val="bottom"/>
            <w:hideMark/>
          </w:tcPr>
          <w:p w:rsidR="00455BDC" w:rsidRPr="00177578" w:rsidRDefault="00455BDC" w:rsidP="00455BDC">
            <w:pPr>
              <w:spacing w:before="0" w:after="0" w:line="240" w:lineRule="auto"/>
              <w:rPr>
                <w:rFonts w:ascii="Times New Roman" w:eastAsia="Times New Roman" w:hAnsi="Times New Roman" w:cs="Times New Roman"/>
                <w:lang w:eastAsia="en-GB"/>
              </w:rPr>
            </w:pPr>
          </w:p>
        </w:tc>
        <w:tc>
          <w:tcPr>
            <w:tcW w:w="1214" w:type="dxa"/>
            <w:tcBorders>
              <w:top w:val="nil"/>
              <w:left w:val="single" w:sz="4" w:space="0" w:color="auto"/>
              <w:bottom w:val="single" w:sz="4" w:space="0" w:color="auto"/>
              <w:right w:val="single" w:sz="4" w:space="0" w:color="auto"/>
            </w:tcBorders>
            <w:shd w:val="clear" w:color="000000" w:fill="00B050"/>
            <w:noWrap/>
            <w:vAlign w:val="bottom"/>
            <w:hideMark/>
          </w:tcPr>
          <w:p w:rsidR="00455BDC" w:rsidRPr="00177578" w:rsidRDefault="00455BDC" w:rsidP="00455BDC">
            <w:pPr>
              <w:spacing w:before="0" w:after="0" w:line="240" w:lineRule="auto"/>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Start Temp</w:t>
            </w:r>
          </w:p>
        </w:tc>
        <w:tc>
          <w:tcPr>
            <w:tcW w:w="1772" w:type="dxa"/>
            <w:tcBorders>
              <w:top w:val="nil"/>
              <w:left w:val="nil"/>
              <w:bottom w:val="single" w:sz="4" w:space="0" w:color="auto"/>
              <w:right w:val="single" w:sz="4" w:space="0" w:color="auto"/>
            </w:tcBorders>
            <w:shd w:val="clear" w:color="000000" w:fill="00B050"/>
            <w:noWrap/>
            <w:vAlign w:val="bottom"/>
            <w:hideMark/>
          </w:tcPr>
          <w:p w:rsidR="00455BDC" w:rsidRPr="00177578" w:rsidRDefault="00455BDC" w:rsidP="00455BDC">
            <w:pPr>
              <w:spacing w:before="0" w:after="0" w:line="240" w:lineRule="auto"/>
              <w:jc w:val="right"/>
              <w:rPr>
                <w:rFonts w:ascii="Calibri" w:eastAsia="Times New Roman" w:hAnsi="Calibri" w:cs="Calibri"/>
                <w:color w:val="000000"/>
                <w:sz w:val="22"/>
                <w:szCs w:val="22"/>
                <w:lang w:eastAsia="en-GB"/>
              </w:rPr>
            </w:pPr>
            <w:r w:rsidRPr="00177578">
              <w:rPr>
                <w:rFonts w:ascii="Calibri" w:eastAsia="Times New Roman" w:hAnsi="Calibri" w:cs="Calibri"/>
                <w:color w:val="000000"/>
                <w:sz w:val="22"/>
                <w:szCs w:val="22"/>
                <w:lang w:eastAsia="en-GB"/>
              </w:rPr>
              <w:t>24</w:t>
            </w:r>
          </w:p>
        </w:tc>
      </w:tr>
    </w:tbl>
    <w:p w:rsidR="00632D13" w:rsidRDefault="00632D13" w:rsidP="00CE0702">
      <w:pPr>
        <w:rPr>
          <w:color w:val="FF0000"/>
          <w:sz w:val="32"/>
        </w:rPr>
      </w:pPr>
    </w:p>
    <w:tbl>
      <w:tblPr>
        <w:tblW w:w="9751" w:type="dxa"/>
        <w:tblLook w:val="04A0" w:firstRow="1" w:lastRow="0" w:firstColumn="1" w:lastColumn="0" w:noHBand="0" w:noVBand="1"/>
      </w:tblPr>
      <w:tblGrid>
        <w:gridCol w:w="328"/>
        <w:gridCol w:w="1538"/>
        <w:gridCol w:w="1732"/>
        <w:gridCol w:w="1793"/>
        <w:gridCol w:w="1232"/>
        <w:gridCol w:w="1272"/>
        <w:gridCol w:w="1856"/>
      </w:tblGrid>
      <w:tr w:rsidR="00455BDC" w:rsidRPr="00455BDC" w:rsidTr="003F1730">
        <w:trPr>
          <w:trHeight w:val="300"/>
        </w:trPr>
        <w:tc>
          <w:tcPr>
            <w:tcW w:w="9751"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5BDC" w:rsidRPr="00455BDC" w:rsidRDefault="00455BDC" w:rsidP="00455BDC">
            <w:pPr>
              <w:spacing w:before="0" w:after="0" w:line="240" w:lineRule="auto"/>
              <w:jc w:val="center"/>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Modified Head Exhaust</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 xml:space="preserve">Test pressure </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Valve Lift (mm)</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Test flow (CFM)</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Bung Used</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Temp</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Potential flow %</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9.5</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93</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2.4</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22</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72</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3.6</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75</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4.8</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40</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67.5</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50</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85</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7.2</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57</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1+2+3</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97</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8.4</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62</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74</w:t>
            </w:r>
          </w:p>
        </w:tc>
      </w:tr>
      <w:tr w:rsidR="00455BDC" w:rsidRPr="00455BDC" w:rsidTr="003F1730">
        <w:trPr>
          <w:trHeight w:val="300"/>
        </w:trPr>
        <w:tc>
          <w:tcPr>
            <w:tcW w:w="328" w:type="dxa"/>
            <w:tcBorders>
              <w:top w:val="nil"/>
              <w:left w:val="single" w:sz="4" w:space="0" w:color="auto"/>
              <w:bottom w:val="single" w:sz="4" w:space="0" w:color="auto"/>
              <w:right w:val="single" w:sz="4" w:space="0" w:color="auto"/>
            </w:tcBorders>
            <w:shd w:val="clear" w:color="000000" w:fill="FFFFF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8</w:t>
            </w:r>
          </w:p>
        </w:tc>
        <w:tc>
          <w:tcPr>
            <w:tcW w:w="1538" w:type="dxa"/>
            <w:tcBorders>
              <w:top w:val="nil"/>
              <w:left w:val="nil"/>
              <w:bottom w:val="single" w:sz="4" w:space="0" w:color="auto"/>
              <w:right w:val="single" w:sz="4" w:space="0" w:color="auto"/>
            </w:tcBorders>
            <w:shd w:val="clear" w:color="000000" w:fill="8DB4E2"/>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10</w:t>
            </w:r>
          </w:p>
        </w:tc>
        <w:tc>
          <w:tcPr>
            <w:tcW w:w="1732" w:type="dxa"/>
            <w:tcBorders>
              <w:top w:val="nil"/>
              <w:left w:val="nil"/>
              <w:bottom w:val="single" w:sz="4" w:space="0" w:color="auto"/>
              <w:right w:val="single" w:sz="4" w:space="0" w:color="auto"/>
            </w:tcBorders>
            <w:shd w:val="clear" w:color="000000" w:fill="DA969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9.6</w:t>
            </w:r>
          </w:p>
        </w:tc>
        <w:tc>
          <w:tcPr>
            <w:tcW w:w="1793" w:type="dxa"/>
            <w:tcBorders>
              <w:top w:val="nil"/>
              <w:left w:val="nil"/>
              <w:bottom w:val="single" w:sz="4" w:space="0" w:color="auto"/>
              <w:right w:val="single" w:sz="4" w:space="0" w:color="auto"/>
            </w:tcBorders>
            <w:shd w:val="clear" w:color="000000" w:fill="C4D79B"/>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65</w:t>
            </w:r>
          </w:p>
        </w:tc>
        <w:tc>
          <w:tcPr>
            <w:tcW w:w="1232" w:type="dxa"/>
            <w:tcBorders>
              <w:top w:val="nil"/>
              <w:left w:val="nil"/>
              <w:bottom w:val="single" w:sz="4" w:space="0" w:color="auto"/>
              <w:right w:val="single" w:sz="4" w:space="0" w:color="auto"/>
            </w:tcBorders>
            <w:shd w:val="clear" w:color="000000" w:fill="92CDDC"/>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1+3+4</w:t>
            </w:r>
          </w:p>
        </w:tc>
        <w:tc>
          <w:tcPr>
            <w:tcW w:w="1272" w:type="dxa"/>
            <w:tcBorders>
              <w:top w:val="nil"/>
              <w:left w:val="nil"/>
              <w:bottom w:val="single" w:sz="4" w:space="0" w:color="auto"/>
              <w:right w:val="single" w:sz="4" w:space="0" w:color="auto"/>
            </w:tcBorders>
            <w:shd w:val="clear" w:color="000000" w:fill="FABF8F"/>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30</w:t>
            </w:r>
          </w:p>
        </w:tc>
        <w:tc>
          <w:tcPr>
            <w:tcW w:w="1856" w:type="dxa"/>
            <w:tcBorders>
              <w:top w:val="nil"/>
              <w:left w:val="nil"/>
              <w:bottom w:val="single" w:sz="4" w:space="0" w:color="auto"/>
              <w:right w:val="single" w:sz="4" w:space="0" w:color="auto"/>
            </w:tcBorders>
            <w:shd w:val="clear" w:color="000000" w:fill="DDD9C4"/>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78</w:t>
            </w:r>
          </w:p>
        </w:tc>
      </w:tr>
      <w:tr w:rsidR="00455BDC" w:rsidRPr="00455BDC" w:rsidTr="003F1730">
        <w:trPr>
          <w:trHeight w:val="300"/>
        </w:trPr>
        <w:tc>
          <w:tcPr>
            <w:tcW w:w="328"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p>
        </w:tc>
        <w:tc>
          <w:tcPr>
            <w:tcW w:w="1538"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732"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793"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232" w:type="dxa"/>
            <w:tcBorders>
              <w:top w:val="nil"/>
              <w:left w:val="nil"/>
              <w:bottom w:val="nil"/>
              <w:right w:val="nil"/>
            </w:tcBorders>
            <w:shd w:val="clear" w:color="auto" w:fill="auto"/>
            <w:noWrap/>
            <w:vAlign w:val="bottom"/>
            <w:hideMark/>
          </w:tcPr>
          <w:p w:rsidR="00455BDC" w:rsidRPr="00455BDC" w:rsidRDefault="00455BDC" w:rsidP="00455BDC">
            <w:pPr>
              <w:spacing w:before="0" w:after="0" w:line="240" w:lineRule="auto"/>
              <w:rPr>
                <w:rFonts w:ascii="Times New Roman" w:eastAsia="Times New Roman" w:hAnsi="Times New Roman" w:cs="Times New Roman"/>
                <w:lang w:eastAsia="en-GB"/>
              </w:rPr>
            </w:pPr>
          </w:p>
        </w:tc>
        <w:tc>
          <w:tcPr>
            <w:tcW w:w="1272" w:type="dxa"/>
            <w:tcBorders>
              <w:top w:val="nil"/>
              <w:left w:val="single" w:sz="4" w:space="0" w:color="auto"/>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Start Temp</w:t>
            </w:r>
          </w:p>
        </w:tc>
        <w:tc>
          <w:tcPr>
            <w:tcW w:w="1856" w:type="dxa"/>
            <w:tcBorders>
              <w:top w:val="nil"/>
              <w:left w:val="nil"/>
              <w:bottom w:val="single" w:sz="4" w:space="0" w:color="auto"/>
              <w:right w:val="single" w:sz="4" w:space="0" w:color="auto"/>
            </w:tcBorders>
            <w:shd w:val="clear" w:color="000000" w:fill="00B050"/>
            <w:noWrap/>
            <w:vAlign w:val="bottom"/>
            <w:hideMark/>
          </w:tcPr>
          <w:p w:rsidR="00455BDC" w:rsidRPr="00455BDC" w:rsidRDefault="00455BDC" w:rsidP="00455BDC">
            <w:pPr>
              <w:spacing w:before="0" w:after="0" w:line="240" w:lineRule="auto"/>
              <w:jc w:val="right"/>
              <w:rPr>
                <w:rFonts w:ascii="Calibri" w:eastAsia="Times New Roman" w:hAnsi="Calibri" w:cs="Calibri"/>
                <w:color w:val="000000"/>
                <w:sz w:val="22"/>
                <w:szCs w:val="22"/>
                <w:lang w:eastAsia="en-GB"/>
              </w:rPr>
            </w:pPr>
            <w:r w:rsidRPr="00455BDC">
              <w:rPr>
                <w:rFonts w:ascii="Calibri" w:eastAsia="Times New Roman" w:hAnsi="Calibri" w:cs="Calibri"/>
                <w:color w:val="000000"/>
                <w:sz w:val="22"/>
                <w:szCs w:val="22"/>
                <w:lang w:eastAsia="en-GB"/>
              </w:rPr>
              <w:t>33</w:t>
            </w:r>
          </w:p>
        </w:tc>
      </w:tr>
    </w:tbl>
    <w:p w:rsidR="00632D13" w:rsidRDefault="00005EA7" w:rsidP="00CE0702">
      <w:pPr>
        <w:rPr>
          <w:sz w:val="28"/>
        </w:rPr>
      </w:pPr>
      <w:r w:rsidRPr="003F0F5E">
        <w:rPr>
          <w:noProof/>
          <w:sz w:val="28"/>
        </w:rPr>
        <w:lastRenderedPageBreak/>
        <mc:AlternateContent>
          <mc:Choice Requires="wps">
            <w:drawing>
              <wp:anchor distT="45720" distB="45720" distL="114300" distR="114300" simplePos="0" relativeHeight="251672576" behindDoc="0" locked="0" layoutInCell="1" allowOverlap="1" wp14:anchorId="697ABC46" wp14:editId="2495C7C3">
                <wp:simplePos x="0" y="0"/>
                <wp:positionH relativeFrom="column">
                  <wp:posOffset>4295775</wp:posOffset>
                </wp:positionH>
                <wp:positionV relativeFrom="paragraph">
                  <wp:posOffset>788035</wp:posOffset>
                </wp:positionV>
                <wp:extent cx="2314575" cy="1381125"/>
                <wp:effectExtent l="0" t="0" r="9525" b="952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volumetric flow rate of the modified cylinder head from the intake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ABC46" id="_x0000_s1034" type="#_x0000_t202" style="position:absolute;margin-left:338.25pt;margin-top:62.05pt;width:182.25pt;height:108.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" stroked="f">
                <v:textbox>
                  <w:txbxContent>
                    <w:p w:rsidR="00005EA7" w:rsidRDefault="00005EA7" w:rsidP="00005EA7">
                      <w:r>
                        <w:t>To the left is a graph to show the volumetric flow rate of the modified cylinder head from the intake side, increasing in flow velocity with the increase in valve lift</w:t>
                      </w:r>
                    </w:p>
                  </w:txbxContent>
                </v:textbox>
              </v:shape>
            </w:pict>
          </mc:Fallback>
        </mc:AlternateContent>
      </w:r>
      <w:r w:rsidR="003F1730">
        <w:rPr>
          <w:noProof/>
        </w:rPr>
        <w:drawing>
          <wp:inline distT="0" distB="0" distL="0" distR="0" wp14:anchorId="1ED661F6" wp14:editId="2178DC62">
            <wp:extent cx="4076700" cy="3800475"/>
            <wp:effectExtent l="0" t="0" r="0" b="9525"/>
            <wp:docPr id="3" name="Chart 3">
              <a:extLst xmlns:a="http://schemas.openxmlformats.org/drawingml/2006/main">
                <a:ext uri="{FF2B5EF4-FFF2-40B4-BE49-F238E27FC236}">
                  <a16:creationId xmlns:a16="http://schemas.microsoft.com/office/drawing/2014/main" id="{539B46A8-015E-43AD-9B28-9ACA3EFFF6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3F1730" w:rsidRDefault="00005EA7" w:rsidP="00CE0702">
      <w:pPr>
        <w:rPr>
          <w:sz w:val="28"/>
        </w:rPr>
      </w:pPr>
      <w:r w:rsidRPr="003F0F5E">
        <w:rPr>
          <w:noProof/>
          <w:sz w:val="28"/>
        </w:rPr>
        <mc:AlternateContent>
          <mc:Choice Requires="wps">
            <w:drawing>
              <wp:anchor distT="45720" distB="45720" distL="114300" distR="114300" simplePos="0" relativeHeight="251674624" behindDoc="0" locked="0" layoutInCell="1" allowOverlap="1" wp14:anchorId="05335D76" wp14:editId="1E95293F">
                <wp:simplePos x="0" y="0"/>
                <wp:positionH relativeFrom="column">
                  <wp:posOffset>4276725</wp:posOffset>
                </wp:positionH>
                <wp:positionV relativeFrom="paragraph">
                  <wp:posOffset>1207135</wp:posOffset>
                </wp:positionV>
                <wp:extent cx="2314575" cy="1381125"/>
                <wp:effectExtent l="0" t="0" r="9525" b="952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volumetric flow rate of the modified cylinder head from the exhaust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35D76" id="_x0000_s1035" type="#_x0000_t202" style="position:absolute;margin-left:336.75pt;margin-top:95.05pt;width:182.25pt;height:108.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" stroked="f">
                <v:textbox>
                  <w:txbxContent>
                    <w:p w:rsidR="00005EA7" w:rsidRDefault="00005EA7" w:rsidP="00005EA7">
                      <w:r>
                        <w:t>To the left is a graph to show the volumetric flow rate of the modified cylinder head from the exhaust side, increasing in flow velocity with the increase in valve lift</w:t>
                      </w:r>
                    </w:p>
                  </w:txbxContent>
                </v:textbox>
              </v:shape>
            </w:pict>
          </mc:Fallback>
        </mc:AlternateContent>
      </w:r>
      <w:r w:rsidR="003F1730">
        <w:rPr>
          <w:noProof/>
        </w:rPr>
        <w:drawing>
          <wp:inline distT="0" distB="0" distL="0" distR="0" wp14:anchorId="56948D1A" wp14:editId="1BF60E17">
            <wp:extent cx="4076700" cy="4029075"/>
            <wp:effectExtent l="0" t="0" r="0" b="9525"/>
            <wp:docPr id="4" name="Chart 4">
              <a:extLst xmlns:a="http://schemas.openxmlformats.org/drawingml/2006/main">
                <a:ext uri="{FF2B5EF4-FFF2-40B4-BE49-F238E27FC236}">
                  <a16:creationId xmlns:a16="http://schemas.microsoft.com/office/drawing/2014/main" id="{8E0E8945-989F-46AA-9592-CE691CF18B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81FCB" w:rsidRDefault="00005EA7" w:rsidP="00CE0702">
      <w:pPr>
        <w:rPr>
          <w:sz w:val="28"/>
        </w:rPr>
      </w:pPr>
      <w:r w:rsidRPr="003F0F5E">
        <w:rPr>
          <w:noProof/>
          <w:sz w:val="28"/>
        </w:rPr>
        <w:lastRenderedPageBreak/>
        <mc:AlternateContent>
          <mc:Choice Requires="wps">
            <w:drawing>
              <wp:anchor distT="45720" distB="45720" distL="114300" distR="114300" simplePos="0" relativeHeight="251676672" behindDoc="0" locked="0" layoutInCell="1" allowOverlap="1" wp14:anchorId="05335D76" wp14:editId="1E95293F">
                <wp:simplePos x="0" y="0"/>
                <wp:positionH relativeFrom="column">
                  <wp:posOffset>4305300</wp:posOffset>
                </wp:positionH>
                <wp:positionV relativeFrom="paragraph">
                  <wp:posOffset>960120</wp:posOffset>
                </wp:positionV>
                <wp:extent cx="2314575" cy="1381125"/>
                <wp:effectExtent l="0" t="0" r="9525" b="952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flow velocity of the modified cylinder head from the intake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35D76" id="_x0000_s1036" type="#_x0000_t202" style="position:absolute;margin-left:339pt;margin-top:75.6pt;width:182.25pt;height:108.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" stroked="f">
                <v:textbox>
                  <w:txbxContent>
                    <w:p w:rsidR="00005EA7" w:rsidRDefault="00005EA7" w:rsidP="00005EA7">
                      <w:r>
                        <w:t>To the left is a graph to show the flow velocity of the modified cylinder head from the intake side, increasing in flow velocity with the increase in valve lift</w:t>
                      </w:r>
                    </w:p>
                  </w:txbxContent>
                </v:textbox>
              </v:shape>
            </w:pict>
          </mc:Fallback>
        </mc:AlternateContent>
      </w:r>
      <w:r w:rsidR="00181FCB">
        <w:rPr>
          <w:noProof/>
        </w:rPr>
        <w:drawing>
          <wp:inline distT="0" distB="0" distL="0" distR="0" wp14:anchorId="6A27CD55" wp14:editId="13FD12A5">
            <wp:extent cx="4162425" cy="3829050"/>
            <wp:effectExtent l="0" t="0" r="9525" b="0"/>
            <wp:docPr id="7" name="Chart 7">
              <a:extLst xmlns:a="http://schemas.openxmlformats.org/drawingml/2006/main">
                <a:ext uri="{FF2B5EF4-FFF2-40B4-BE49-F238E27FC236}">
                  <a16:creationId xmlns:a16="http://schemas.microsoft.com/office/drawing/2014/main" id="{BC2BABEA-5B8E-494B-82C5-5FC811F607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81FCB" w:rsidRDefault="00181FCB" w:rsidP="00CE0702">
      <w:pPr>
        <w:rPr>
          <w:sz w:val="28"/>
        </w:rPr>
      </w:pPr>
    </w:p>
    <w:p w:rsidR="00181FCB" w:rsidRDefault="00005EA7" w:rsidP="00CE0702">
      <w:pPr>
        <w:rPr>
          <w:sz w:val="28"/>
        </w:rPr>
      </w:pPr>
      <w:r w:rsidRPr="003F0F5E">
        <w:rPr>
          <w:noProof/>
          <w:sz w:val="28"/>
        </w:rPr>
        <mc:AlternateContent>
          <mc:Choice Requires="wps">
            <w:drawing>
              <wp:anchor distT="45720" distB="45720" distL="114300" distR="114300" simplePos="0" relativeHeight="251678720" behindDoc="0" locked="0" layoutInCell="1" allowOverlap="1" wp14:anchorId="05335D76" wp14:editId="1E95293F">
                <wp:simplePos x="0" y="0"/>
                <wp:positionH relativeFrom="column">
                  <wp:posOffset>4276725</wp:posOffset>
                </wp:positionH>
                <wp:positionV relativeFrom="paragraph">
                  <wp:posOffset>568960</wp:posOffset>
                </wp:positionV>
                <wp:extent cx="2314575" cy="1381125"/>
                <wp:effectExtent l="0" t="0" r="9525" b="952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005EA7" w:rsidRDefault="00005EA7" w:rsidP="00005EA7">
                            <w:r>
                              <w:t>To the left is a graph to show the flow velocity of the modified cylinder head from the exhaust side, increasing in flow velocity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35D76" id="_x0000_s1037" type="#_x0000_t202" style="position:absolute;margin-left:336.75pt;margin-top:44.8pt;width:182.25pt;height:108.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" stroked="f">
                <v:textbox>
                  <w:txbxContent>
                    <w:p w:rsidR="00005EA7" w:rsidRDefault="00005EA7" w:rsidP="00005EA7">
                      <w:r>
                        <w:t>To the left is a graph to show the flow velocity of the modified cylinder head from the exhaust side, increasing in flow velocity with the increase in valve lift</w:t>
                      </w:r>
                    </w:p>
                  </w:txbxContent>
                </v:textbox>
              </v:shape>
            </w:pict>
          </mc:Fallback>
        </mc:AlternateContent>
      </w:r>
      <w:r w:rsidR="00181FCB">
        <w:rPr>
          <w:noProof/>
        </w:rPr>
        <w:drawing>
          <wp:inline distT="0" distB="0" distL="0" distR="0" wp14:anchorId="46DD6B58" wp14:editId="376BED01">
            <wp:extent cx="4162425" cy="3695700"/>
            <wp:effectExtent l="0" t="0" r="9525" b="0"/>
            <wp:docPr id="8" name="Chart 8">
              <a:extLst xmlns:a="http://schemas.openxmlformats.org/drawingml/2006/main">
                <a:ext uri="{FF2B5EF4-FFF2-40B4-BE49-F238E27FC236}">
                  <a16:creationId xmlns:a16="http://schemas.microsoft.com/office/drawing/2014/main" id="{BDEA45EC-91A5-4A2E-B283-2B74EEC4F3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005EA7" w:rsidRDefault="00167054" w:rsidP="00CE0702">
      <w:pPr>
        <w:rPr>
          <w:sz w:val="28"/>
        </w:rPr>
      </w:pPr>
      <w:r w:rsidRPr="003F0F5E">
        <w:rPr>
          <w:noProof/>
          <w:sz w:val="28"/>
        </w:rPr>
        <w:lastRenderedPageBreak/>
        <mc:AlternateContent>
          <mc:Choice Requires="wps">
            <w:drawing>
              <wp:anchor distT="45720" distB="45720" distL="114300" distR="114300" simplePos="0" relativeHeight="251684864" behindDoc="0" locked="0" layoutInCell="1" allowOverlap="1" wp14:anchorId="7072F127" wp14:editId="049A502B">
                <wp:simplePos x="0" y="0"/>
                <wp:positionH relativeFrom="column">
                  <wp:posOffset>4133850</wp:posOffset>
                </wp:positionH>
                <wp:positionV relativeFrom="paragraph">
                  <wp:posOffset>693420</wp:posOffset>
                </wp:positionV>
                <wp:extent cx="2314575" cy="1381125"/>
                <wp:effectExtent l="0" t="0" r="9525"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167054" w:rsidRDefault="00167054" w:rsidP="00167054">
                            <w:r>
                              <w:t xml:space="preserve">To the left is a graph to show the </w:t>
                            </w:r>
                            <w:r>
                              <w:t>co-efficient of discharge</w:t>
                            </w:r>
                            <w:r>
                              <w:t xml:space="preserve"> of the modified cylinder head from the</w:t>
                            </w:r>
                            <w:r>
                              <w:t xml:space="preserve"> intake</w:t>
                            </w:r>
                            <w:r>
                              <w:t xml:space="preserve"> side, increasing in </w:t>
                            </w:r>
                            <w:r>
                              <w:t>discharge</w:t>
                            </w:r>
                            <w:r>
                              <w:t xml:space="preserve">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2F127" id="_x0000_s1038" type="#_x0000_t202" style="position:absolute;margin-left:325.5pt;margin-top:54.6pt;width:182.25pt;height:108.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" stroked="f">
                <v:textbox>
                  <w:txbxContent>
                    <w:p w:rsidR="00167054" w:rsidRDefault="00167054" w:rsidP="00167054">
                      <w:r>
                        <w:t xml:space="preserve">To the left is a graph to show the </w:t>
                      </w:r>
                      <w:r>
                        <w:t>co-efficient of discharge</w:t>
                      </w:r>
                      <w:r>
                        <w:t xml:space="preserve"> of the modified cylinder head from the</w:t>
                      </w:r>
                      <w:r>
                        <w:t xml:space="preserve"> intake</w:t>
                      </w:r>
                      <w:r>
                        <w:t xml:space="preserve"> side, increasing in </w:t>
                      </w:r>
                      <w:r>
                        <w:t>discharge</w:t>
                      </w:r>
                      <w:r>
                        <w:t xml:space="preserve"> with the increase in valve lift</w:t>
                      </w:r>
                    </w:p>
                  </w:txbxContent>
                </v:textbox>
              </v:shape>
            </w:pict>
          </mc:Fallback>
        </mc:AlternateContent>
      </w:r>
      <w:r>
        <w:rPr>
          <w:noProof/>
        </w:rPr>
        <w:drawing>
          <wp:inline distT="0" distB="0" distL="0" distR="0" wp14:anchorId="767C2233" wp14:editId="0C15832C">
            <wp:extent cx="3981450" cy="3848100"/>
            <wp:effectExtent l="0" t="0" r="0" b="0"/>
            <wp:docPr id="24" name="Chart 24">
              <a:extLst xmlns:a="http://schemas.openxmlformats.org/drawingml/2006/main">
                <a:ext uri="{FF2B5EF4-FFF2-40B4-BE49-F238E27FC236}">
                  <a16:creationId xmlns:a16="http://schemas.microsoft.com/office/drawing/2014/main" id="{310A478E-D425-47F0-BC41-6BC1FD278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67054" w:rsidRDefault="00167054" w:rsidP="00CE0702">
      <w:pPr>
        <w:rPr>
          <w:sz w:val="28"/>
        </w:rPr>
      </w:pPr>
    </w:p>
    <w:p w:rsidR="00167054" w:rsidRDefault="00167054" w:rsidP="00CE0702">
      <w:pPr>
        <w:rPr>
          <w:sz w:val="28"/>
        </w:rPr>
      </w:pPr>
      <w:r w:rsidRPr="003F0F5E">
        <w:rPr>
          <w:noProof/>
          <w:sz w:val="28"/>
        </w:rPr>
        <mc:AlternateContent>
          <mc:Choice Requires="wps">
            <w:drawing>
              <wp:anchor distT="45720" distB="45720" distL="114300" distR="114300" simplePos="0" relativeHeight="251686912" behindDoc="0" locked="0" layoutInCell="1" allowOverlap="1" wp14:anchorId="5FAEB2E3" wp14:editId="4C1185E8">
                <wp:simplePos x="0" y="0"/>
                <wp:positionH relativeFrom="column">
                  <wp:posOffset>4086225</wp:posOffset>
                </wp:positionH>
                <wp:positionV relativeFrom="paragraph">
                  <wp:posOffset>807085</wp:posOffset>
                </wp:positionV>
                <wp:extent cx="2314575" cy="1381125"/>
                <wp:effectExtent l="0" t="0" r="9525" b="952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381125"/>
                        </a:xfrm>
                        <a:prstGeom prst="rect">
                          <a:avLst/>
                        </a:prstGeom>
                        <a:solidFill>
                          <a:srgbClr val="FFFFFF"/>
                        </a:solidFill>
                        <a:ln w="9525">
                          <a:noFill/>
                          <a:miter lim="800000"/>
                          <a:headEnd/>
                          <a:tailEnd/>
                        </a:ln>
                      </wps:spPr>
                      <wps:txbx>
                        <w:txbxContent>
                          <w:p w:rsidR="00167054" w:rsidRDefault="00167054" w:rsidP="00167054">
                            <w:r>
                              <w:t>To the left is a graph to show the co-efficient of discharge of the modified cylinder head from the</w:t>
                            </w:r>
                            <w:r>
                              <w:t xml:space="preserve"> exhaust</w:t>
                            </w:r>
                            <w:r>
                              <w:t xml:space="preserve"> side, increasing in </w:t>
                            </w:r>
                            <w:r>
                              <w:t>discharge</w:t>
                            </w:r>
                            <w:r>
                              <w:t xml:space="preserve"> with the increase in valve lift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EB2E3" id="_x0000_s1039" type="#_x0000_t202" style="position:absolute;margin-left:321.75pt;margin-top:63.55pt;width:182.25pt;height:108.7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" stroked="f">
                <v:textbox>
                  <w:txbxContent>
                    <w:p w:rsidR="00167054" w:rsidRDefault="00167054" w:rsidP="00167054">
                      <w:r>
                        <w:t>To the left is a graph to show the co-efficient of discharge of the modified cylinder head from the</w:t>
                      </w:r>
                      <w:r>
                        <w:t xml:space="preserve"> exhaust</w:t>
                      </w:r>
                      <w:r>
                        <w:t xml:space="preserve"> side, increasing in </w:t>
                      </w:r>
                      <w:r>
                        <w:t>discharge</w:t>
                      </w:r>
                      <w:r>
                        <w:t xml:space="preserve"> with the increase in valve lift</w:t>
                      </w:r>
                    </w:p>
                  </w:txbxContent>
                </v:textbox>
              </v:shape>
            </w:pict>
          </mc:Fallback>
        </mc:AlternateContent>
      </w:r>
      <w:r>
        <w:rPr>
          <w:noProof/>
        </w:rPr>
        <w:drawing>
          <wp:inline distT="0" distB="0" distL="0" distR="0" wp14:anchorId="05C41B7A" wp14:editId="4F5ED2D0">
            <wp:extent cx="3990975" cy="3724275"/>
            <wp:effectExtent l="0" t="0" r="9525" b="9525"/>
            <wp:docPr id="25" name="Chart 25">
              <a:extLst xmlns:a="http://schemas.openxmlformats.org/drawingml/2006/main">
                <a:ext uri="{FF2B5EF4-FFF2-40B4-BE49-F238E27FC236}">
                  <a16:creationId xmlns:a16="http://schemas.microsoft.com/office/drawing/2014/main" id="{6D084784-5C1E-491A-9575-A54AE7DC6E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67054" w:rsidRPr="00167054" w:rsidRDefault="00167054" w:rsidP="00167054">
      <w:pPr>
        <w:rPr>
          <w:b/>
          <w:color w:val="FF0000"/>
          <w:sz w:val="32"/>
        </w:rPr>
      </w:pPr>
      <w:r w:rsidRPr="00167054">
        <w:rPr>
          <w:b/>
          <w:color w:val="FF0000"/>
          <w:sz w:val="32"/>
        </w:rPr>
        <w:lastRenderedPageBreak/>
        <w:t>1.</w:t>
      </w:r>
      <w:r w:rsidRPr="00167054">
        <w:rPr>
          <w:b/>
          <w:color w:val="FF0000"/>
          <w:sz w:val="32"/>
        </w:rPr>
        <w:t>4</w:t>
      </w:r>
      <w:r w:rsidRPr="00167054">
        <w:rPr>
          <w:b/>
          <w:color w:val="FF0000"/>
          <w:sz w:val="32"/>
        </w:rPr>
        <w:t xml:space="preserve">: </w:t>
      </w:r>
      <w:r w:rsidRPr="00167054">
        <w:rPr>
          <w:b/>
          <w:color w:val="FF0000"/>
          <w:sz w:val="32"/>
        </w:rPr>
        <w:t>Bibliography</w:t>
      </w:r>
    </w:p>
    <w:p w:rsidR="00167054" w:rsidRDefault="00167054" w:rsidP="00167054">
      <w:pPr>
        <w:pStyle w:val="ListParagraph"/>
        <w:numPr>
          <w:ilvl w:val="0"/>
          <w:numId w:val="2"/>
        </w:numPr>
        <w:rPr>
          <w:sz w:val="28"/>
        </w:rPr>
      </w:pPr>
      <w:r w:rsidRPr="00167054">
        <w:rPr>
          <w:sz w:val="28"/>
        </w:rPr>
        <w:t xml:space="preserve">Carburettor research, </w:t>
      </w:r>
      <w:hyperlink r:id="rId23" w:history="1">
        <w:r w:rsidRPr="00167054">
          <w:rPr>
            <w:rStyle w:val="Hyperlink"/>
            <w:sz w:val="28"/>
          </w:rPr>
          <w:t>https://en.wikipedia.org/wiki/Carburetor</w:t>
        </w:r>
      </w:hyperlink>
      <w:r w:rsidRPr="00167054">
        <w:rPr>
          <w:sz w:val="28"/>
        </w:rPr>
        <w:t>, Wikipedia, accessed (25.12.18)</w:t>
      </w:r>
    </w:p>
    <w:p w:rsidR="00167054" w:rsidRPr="00167054" w:rsidRDefault="00167054" w:rsidP="00167054">
      <w:pPr>
        <w:pStyle w:val="ListParagraph"/>
        <w:ind w:left="360"/>
        <w:rPr>
          <w:sz w:val="28"/>
        </w:rPr>
      </w:pPr>
    </w:p>
    <w:p w:rsidR="00167054" w:rsidRDefault="00382022" w:rsidP="00167054">
      <w:pPr>
        <w:pStyle w:val="ListParagraph"/>
        <w:numPr>
          <w:ilvl w:val="0"/>
          <w:numId w:val="2"/>
        </w:numPr>
        <w:rPr>
          <w:sz w:val="28"/>
        </w:rPr>
      </w:pPr>
      <w:r>
        <w:rPr>
          <w:sz w:val="28"/>
        </w:rPr>
        <w:t>F</w:t>
      </w:r>
      <w:r w:rsidR="00167054" w:rsidRPr="00167054">
        <w:rPr>
          <w:sz w:val="28"/>
        </w:rPr>
        <w:t xml:space="preserve">uel injection research, </w:t>
      </w:r>
      <w:hyperlink r:id="rId24" w:history="1">
        <w:r w:rsidR="00167054" w:rsidRPr="00167054">
          <w:rPr>
            <w:rStyle w:val="Hyperlink"/>
            <w:sz w:val="28"/>
          </w:rPr>
          <w:t>https://en.wikipedia.org/wiki/Carburetor</w:t>
        </w:r>
      </w:hyperlink>
      <w:r w:rsidR="00167054" w:rsidRPr="00167054">
        <w:rPr>
          <w:sz w:val="28"/>
        </w:rPr>
        <w:t>, Wikipedia, accessed (25.12.18)</w:t>
      </w:r>
    </w:p>
    <w:p w:rsidR="00167054" w:rsidRPr="00167054" w:rsidRDefault="00167054" w:rsidP="00167054">
      <w:pPr>
        <w:pStyle w:val="ListParagraph"/>
        <w:rPr>
          <w:sz w:val="28"/>
        </w:rPr>
      </w:pPr>
    </w:p>
    <w:p w:rsidR="00167054" w:rsidRDefault="00382022" w:rsidP="00167054">
      <w:pPr>
        <w:pStyle w:val="ListParagraph"/>
        <w:numPr>
          <w:ilvl w:val="0"/>
          <w:numId w:val="2"/>
        </w:numPr>
        <w:rPr>
          <w:sz w:val="28"/>
        </w:rPr>
      </w:pPr>
      <w:r>
        <w:rPr>
          <w:sz w:val="28"/>
        </w:rPr>
        <w:t>Flow bench results, Davis Watkins, Microsoft Excel, accessed (25.12.18)</w:t>
      </w:r>
    </w:p>
    <w:p w:rsidR="00382022" w:rsidRPr="00382022" w:rsidRDefault="00382022" w:rsidP="00382022">
      <w:pPr>
        <w:pStyle w:val="ListParagraph"/>
        <w:rPr>
          <w:sz w:val="28"/>
        </w:rPr>
      </w:pPr>
    </w:p>
    <w:p w:rsidR="00382022" w:rsidRDefault="00382022" w:rsidP="00382022">
      <w:pPr>
        <w:pStyle w:val="ListParagraph"/>
        <w:ind w:left="360"/>
        <w:rPr>
          <w:sz w:val="28"/>
        </w:rPr>
      </w:pPr>
    </w:p>
    <w:p w:rsidR="00382022" w:rsidRDefault="00382022" w:rsidP="00382022">
      <w:pPr>
        <w:pStyle w:val="ListParagraph"/>
        <w:ind w:left="360"/>
        <w:rPr>
          <w:sz w:val="28"/>
        </w:rPr>
      </w:pPr>
    </w:p>
    <w:p w:rsidR="00382022" w:rsidRDefault="00382022" w:rsidP="00382022">
      <w:pPr>
        <w:rPr>
          <w:b/>
          <w:color w:val="FF0000"/>
          <w:sz w:val="32"/>
        </w:rPr>
      </w:pPr>
      <w:r w:rsidRPr="00167054">
        <w:rPr>
          <w:b/>
          <w:color w:val="FF0000"/>
          <w:sz w:val="32"/>
        </w:rPr>
        <w:t>1.</w:t>
      </w:r>
      <w:r>
        <w:rPr>
          <w:b/>
          <w:color w:val="FF0000"/>
          <w:sz w:val="32"/>
        </w:rPr>
        <w:t>5</w:t>
      </w:r>
      <w:r w:rsidRPr="00167054">
        <w:rPr>
          <w:b/>
          <w:color w:val="FF0000"/>
          <w:sz w:val="32"/>
        </w:rPr>
        <w:t>:</w:t>
      </w:r>
      <w:r>
        <w:rPr>
          <w:b/>
          <w:color w:val="FF0000"/>
          <w:sz w:val="32"/>
        </w:rPr>
        <w:t xml:space="preserve"> References</w:t>
      </w:r>
    </w:p>
    <w:p w:rsidR="00382022" w:rsidRPr="00382022" w:rsidRDefault="00382022" w:rsidP="00382022">
      <w:pPr>
        <w:pStyle w:val="ListParagraph"/>
        <w:numPr>
          <w:ilvl w:val="0"/>
          <w:numId w:val="3"/>
        </w:numPr>
        <w:rPr>
          <w:sz w:val="40"/>
        </w:rPr>
      </w:pPr>
      <w:r>
        <w:rPr>
          <w:sz w:val="28"/>
        </w:rPr>
        <w:t xml:space="preserve">Figure 1, </w:t>
      </w:r>
      <w:hyperlink r:id="rId25" w:history="1">
        <w:r w:rsidRPr="00741EDF">
          <w:rPr>
            <w:rStyle w:val="Hyperlink"/>
            <w:sz w:val="28"/>
          </w:rPr>
          <w:t>https://en.wikipedia.org/wiki/Carburetor#/media/File:Carburetor.svg</w:t>
        </w:r>
      </w:hyperlink>
      <w:r>
        <w:rPr>
          <w:sz w:val="28"/>
        </w:rPr>
        <w:t>,</w:t>
      </w:r>
      <w:r>
        <w:rPr>
          <w:color w:val="2F5496" w:themeColor="accent1" w:themeShade="BF"/>
        </w:rPr>
        <w:t xml:space="preserve"> </w:t>
      </w:r>
      <w:hyperlink r:id="rId26" w:tooltip="wikipedia:User:K. Aainsqatsi" w:history="1">
        <w:r w:rsidRPr="00382022">
          <w:rPr>
            <w:rStyle w:val="Hyperlink"/>
            <w:rFonts w:cstheme="minorHAnsi"/>
            <w:color w:val="auto"/>
            <w:sz w:val="28"/>
            <w:shd w:val="clear" w:color="auto" w:fill="F8F9FA"/>
          </w:rPr>
          <w:t xml:space="preserve">K. </w:t>
        </w:r>
        <w:proofErr w:type="spellStart"/>
        <w:r w:rsidRPr="00382022">
          <w:rPr>
            <w:rStyle w:val="Hyperlink"/>
            <w:rFonts w:cstheme="minorHAnsi"/>
            <w:color w:val="auto"/>
            <w:sz w:val="28"/>
            <w:shd w:val="clear" w:color="auto" w:fill="F8F9FA"/>
          </w:rPr>
          <w:t>Aainsqatsi</w:t>
        </w:r>
        <w:proofErr w:type="spellEnd"/>
      </w:hyperlink>
      <w:r>
        <w:rPr>
          <w:rFonts w:cstheme="minorHAnsi"/>
          <w:sz w:val="28"/>
        </w:rPr>
        <w:t>, Wikipedia, accessed (25.12.18)</w:t>
      </w:r>
    </w:p>
    <w:p w:rsidR="00382022" w:rsidRPr="00167054" w:rsidRDefault="00382022" w:rsidP="00382022">
      <w:pPr>
        <w:pStyle w:val="ListParagraph"/>
        <w:ind w:left="360"/>
        <w:rPr>
          <w:sz w:val="28"/>
        </w:rPr>
      </w:pPr>
      <w:bookmarkStart w:id="0" w:name="_GoBack"/>
      <w:bookmarkEnd w:id="0"/>
    </w:p>
    <w:p w:rsidR="00167054" w:rsidRPr="00167054" w:rsidRDefault="00167054" w:rsidP="00167054">
      <w:pPr>
        <w:rPr>
          <w:sz w:val="28"/>
        </w:rPr>
      </w:pPr>
    </w:p>
    <w:p w:rsidR="00167054" w:rsidRPr="00632D13" w:rsidRDefault="00167054" w:rsidP="00CE0702">
      <w:pPr>
        <w:rPr>
          <w:sz w:val="28"/>
        </w:rPr>
      </w:pPr>
    </w:p>
    <w:sectPr w:rsidR="00167054" w:rsidRPr="00632D13" w:rsidSect="000528E5">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82B" w:rsidRDefault="0056082B" w:rsidP="00D44688">
      <w:pPr>
        <w:spacing w:before="0" w:after="0" w:line="240" w:lineRule="auto"/>
      </w:pPr>
      <w:r>
        <w:separator/>
      </w:r>
    </w:p>
  </w:endnote>
  <w:endnote w:type="continuationSeparator" w:id="0">
    <w:p w:rsidR="0056082B" w:rsidRDefault="0056082B" w:rsidP="00D446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208111"/>
      <w:docPartObj>
        <w:docPartGallery w:val="Page Numbers (Bottom of Page)"/>
        <w:docPartUnique/>
      </w:docPartObj>
    </w:sdtPr>
    <w:sdtEndPr>
      <w:rPr>
        <w:noProof/>
      </w:rPr>
    </w:sdtEndPr>
    <w:sdtContent>
      <w:p w:rsidR="00005EA7" w:rsidRDefault="00005E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05EA7" w:rsidRDefault="00005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82B" w:rsidRDefault="0056082B" w:rsidP="00D44688">
      <w:pPr>
        <w:spacing w:before="0" w:after="0" w:line="240" w:lineRule="auto"/>
      </w:pPr>
      <w:r>
        <w:separator/>
      </w:r>
    </w:p>
  </w:footnote>
  <w:footnote w:type="continuationSeparator" w:id="0">
    <w:p w:rsidR="0056082B" w:rsidRDefault="0056082B" w:rsidP="00D4468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5EA7" w:rsidRDefault="00005EA7">
    <w:pPr>
      <w:pStyle w:val="Header"/>
    </w:pPr>
    <w:r>
      <w:t>Davis Watkins</w:t>
    </w:r>
    <w:r>
      <w:ptab w:relativeTo="margin" w:alignment="center" w:leader="none"/>
    </w:r>
    <w:r>
      <w:t>P150289</w:t>
    </w:r>
    <w:r>
      <w:ptab w:relativeTo="margin" w:alignment="right" w:leader="none"/>
    </w:r>
    <w:r>
      <w:t>BSc M.E Year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82129"/>
    <w:multiLevelType w:val="hybridMultilevel"/>
    <w:tmpl w:val="B590E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9535964"/>
    <w:multiLevelType w:val="multilevel"/>
    <w:tmpl w:val="195429E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7E0D0C2B"/>
    <w:multiLevelType w:val="hybridMultilevel"/>
    <w:tmpl w:val="E3F6E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688"/>
    <w:rsid w:val="00005EA7"/>
    <w:rsid w:val="000528E5"/>
    <w:rsid w:val="000E074B"/>
    <w:rsid w:val="00111AFC"/>
    <w:rsid w:val="00132AD3"/>
    <w:rsid w:val="00167054"/>
    <w:rsid w:val="00177578"/>
    <w:rsid w:val="00181FCB"/>
    <w:rsid w:val="001D22A2"/>
    <w:rsid w:val="001E4E1F"/>
    <w:rsid w:val="00327003"/>
    <w:rsid w:val="00336BC1"/>
    <w:rsid w:val="00382022"/>
    <w:rsid w:val="003F0F5E"/>
    <w:rsid w:val="003F1730"/>
    <w:rsid w:val="00455BDC"/>
    <w:rsid w:val="00475260"/>
    <w:rsid w:val="00526F90"/>
    <w:rsid w:val="0053792E"/>
    <w:rsid w:val="0056082B"/>
    <w:rsid w:val="00632D13"/>
    <w:rsid w:val="009166A8"/>
    <w:rsid w:val="009F4FCD"/>
    <w:rsid w:val="00A10541"/>
    <w:rsid w:val="00A579BD"/>
    <w:rsid w:val="00A70BD2"/>
    <w:rsid w:val="00B51DCA"/>
    <w:rsid w:val="00B62AB3"/>
    <w:rsid w:val="00C20431"/>
    <w:rsid w:val="00CB7B56"/>
    <w:rsid w:val="00CE0702"/>
    <w:rsid w:val="00D15D4A"/>
    <w:rsid w:val="00D44688"/>
    <w:rsid w:val="00EA0DEC"/>
    <w:rsid w:val="00ED3E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E7A8A"/>
  <w15:chartTrackingRefBased/>
  <w15:docId w15:val="{7665AE68-E367-4732-BD54-3227AED16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4688"/>
    <w:pPr>
      <w:spacing w:before="100" w:after="200" w:line="276"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68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4688"/>
    <w:rPr>
      <w:rFonts w:eastAsiaTheme="minorEastAsia"/>
      <w:sz w:val="20"/>
      <w:szCs w:val="20"/>
    </w:rPr>
  </w:style>
  <w:style w:type="paragraph" w:styleId="Footer">
    <w:name w:val="footer"/>
    <w:basedOn w:val="Normal"/>
    <w:link w:val="FooterChar"/>
    <w:uiPriority w:val="99"/>
    <w:unhideWhenUsed/>
    <w:rsid w:val="00D4468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4688"/>
    <w:rPr>
      <w:rFonts w:eastAsiaTheme="minorEastAsia"/>
      <w:sz w:val="20"/>
      <w:szCs w:val="20"/>
    </w:rPr>
  </w:style>
  <w:style w:type="paragraph" w:styleId="ListParagraph">
    <w:name w:val="List Paragraph"/>
    <w:basedOn w:val="Normal"/>
    <w:uiPriority w:val="34"/>
    <w:qFormat/>
    <w:rsid w:val="00CE0702"/>
    <w:pPr>
      <w:ind w:left="720"/>
      <w:contextualSpacing/>
    </w:pPr>
  </w:style>
  <w:style w:type="character" w:styleId="Hyperlink">
    <w:name w:val="Hyperlink"/>
    <w:basedOn w:val="DefaultParagraphFont"/>
    <w:uiPriority w:val="99"/>
    <w:unhideWhenUsed/>
    <w:rsid w:val="00CB7B56"/>
    <w:rPr>
      <w:color w:val="0000FF"/>
      <w:u w:val="single"/>
    </w:rPr>
  </w:style>
  <w:style w:type="character" w:styleId="UnresolvedMention">
    <w:name w:val="Unresolved Mention"/>
    <w:basedOn w:val="DefaultParagraphFont"/>
    <w:uiPriority w:val="99"/>
    <w:semiHidden/>
    <w:unhideWhenUsed/>
    <w:rsid w:val="001670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330387">
      <w:bodyDiv w:val="1"/>
      <w:marLeft w:val="0"/>
      <w:marRight w:val="0"/>
      <w:marTop w:val="0"/>
      <w:marBottom w:val="0"/>
      <w:divBdr>
        <w:top w:val="none" w:sz="0" w:space="0" w:color="auto"/>
        <w:left w:val="none" w:sz="0" w:space="0" w:color="auto"/>
        <w:bottom w:val="none" w:sz="0" w:space="0" w:color="auto"/>
        <w:right w:val="none" w:sz="0" w:space="0" w:color="auto"/>
      </w:divBdr>
    </w:div>
    <w:div w:id="753279815">
      <w:bodyDiv w:val="1"/>
      <w:marLeft w:val="0"/>
      <w:marRight w:val="0"/>
      <w:marTop w:val="0"/>
      <w:marBottom w:val="0"/>
      <w:divBdr>
        <w:top w:val="none" w:sz="0" w:space="0" w:color="auto"/>
        <w:left w:val="none" w:sz="0" w:space="0" w:color="auto"/>
        <w:bottom w:val="none" w:sz="0" w:space="0" w:color="auto"/>
        <w:right w:val="none" w:sz="0" w:space="0" w:color="auto"/>
      </w:divBdr>
    </w:div>
    <w:div w:id="1259364860">
      <w:bodyDiv w:val="1"/>
      <w:marLeft w:val="0"/>
      <w:marRight w:val="0"/>
      <w:marTop w:val="0"/>
      <w:marBottom w:val="0"/>
      <w:divBdr>
        <w:top w:val="none" w:sz="0" w:space="0" w:color="auto"/>
        <w:left w:val="none" w:sz="0" w:space="0" w:color="auto"/>
        <w:bottom w:val="none" w:sz="0" w:space="0" w:color="auto"/>
        <w:right w:val="none" w:sz="0" w:space="0" w:color="auto"/>
      </w:divBdr>
    </w:div>
    <w:div w:id="203753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ser:K._Aainsqatsi" TargetMode="Externa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en.wikipedia.org/wiki/User:K._Aainsqatsi" TargetMode="External"/><Relationship Id="rId3" Type="http://schemas.openxmlformats.org/officeDocument/2006/relationships/settings" Target="settings.xml"/><Relationship Id="rId21" Type="http://schemas.openxmlformats.org/officeDocument/2006/relationships/chart" Target="charts/chart11.xml"/><Relationship Id="rId7" Type="http://schemas.openxmlformats.org/officeDocument/2006/relationships/image" Target="media/image1.jpeg"/><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en.wikipedia.org/wiki/Carburetor#/media/File:Carburetor.svg" TargetMode="Externa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yperlink" Target="https://en.wikipedia.org/wiki/Carburetor" TargetMode="Externa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en.wikipedia.org/wiki/Carburetor"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hart" Target="charts/chart9.xml"/><Relationship Id="rId4" Type="http://schemas.openxmlformats.org/officeDocument/2006/relationships/webSettings" Target="webSettings.xml"/><Relationship Id="rId9" Type="http://schemas.openxmlformats.org/officeDocument/2006/relationships/hyperlink" Target="https://en.wikipedia.org/wiki/User:K._Aainsqatsi" TargetMode="External"/><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Uni%202nd%20Year\Flow%20Benc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Uni%202nd%20Year\Flow%20Bench.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1.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Uni%202nd%20Year\Flow%20Bench.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Uni%202nd%20Year\Flow%20Bench.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Standard Intake - Volumetric Flow Rate (m₃/sec) </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Sheet1!$M$4</c:f>
              <c:strCache>
                <c:ptCount val="1"/>
                <c:pt idx="0">
                  <c:v>Test flow (CFM) </c:v>
                </c:pt>
              </c:strCache>
            </c:strRef>
          </c:tx>
          <c:spPr>
            <a:ln w="28575" cap="rnd">
              <a:solidFill>
                <a:schemeClr val="accent1"/>
              </a:solidFill>
              <a:round/>
            </a:ln>
            <a:effectLst/>
          </c:spPr>
          <c:marker>
            <c:symbol val="none"/>
          </c:marker>
          <c:cat>
            <c:numRef>
              <c:f>Sheet1!$L$5:$L$12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Sheet1!$M$5:$M$12</c:f>
              <c:numCache>
                <c:formatCode>General</c:formatCode>
                <c:ptCount val="8"/>
                <c:pt idx="0">
                  <c:v>19</c:v>
                </c:pt>
                <c:pt idx="1">
                  <c:v>36.5</c:v>
                </c:pt>
                <c:pt idx="2">
                  <c:v>49.5</c:v>
                </c:pt>
                <c:pt idx="3">
                  <c:v>59</c:v>
                </c:pt>
                <c:pt idx="4">
                  <c:v>66.5</c:v>
                </c:pt>
                <c:pt idx="5">
                  <c:v>70.5</c:v>
                </c:pt>
                <c:pt idx="6">
                  <c:v>75</c:v>
                </c:pt>
                <c:pt idx="7">
                  <c:v>78.5</c:v>
                </c:pt>
              </c:numCache>
            </c:numRef>
          </c:val>
          <c:smooth val="0"/>
          <c:extLst>
            <c:ext xmlns:c16="http://schemas.microsoft.com/office/drawing/2014/chart" uri="{C3380CC4-5D6E-409C-BE32-E72D297353CC}">
              <c16:uniqueId val="{00000000-654A-480C-B87F-58CF28E96AAB}"/>
            </c:ext>
          </c:extLst>
        </c:ser>
        <c:dLbls>
          <c:showLegendKey val="0"/>
          <c:showVal val="0"/>
          <c:showCatName val="0"/>
          <c:showSerName val="0"/>
          <c:showPercent val="0"/>
          <c:showBubbleSize val="0"/>
        </c:dLbls>
        <c:smooth val="0"/>
        <c:axId val="500917736"/>
        <c:axId val="500922328"/>
      </c:lineChart>
      <c:catAx>
        <c:axId val="500917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Valve Lift (mm)</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22328"/>
        <c:crosses val="autoZero"/>
        <c:auto val="1"/>
        <c:lblAlgn val="ctr"/>
        <c:lblOffset val="100"/>
        <c:noMultiLvlLbl val="0"/>
      </c:catAx>
      <c:valAx>
        <c:axId val="500922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Test Flow Rate (CFM)</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17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Standard Intake - Volumetric Flow Rate (m₃/sec) </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Sheet1!$M$16</c:f>
              <c:strCache>
                <c:ptCount val="1"/>
                <c:pt idx="0">
                  <c:v>Test flow (CFM) </c:v>
                </c:pt>
              </c:strCache>
            </c:strRef>
          </c:tx>
          <c:spPr>
            <a:ln w="28575" cap="rnd">
              <a:solidFill>
                <a:schemeClr val="accent1"/>
              </a:solidFill>
              <a:round/>
            </a:ln>
            <a:effectLst/>
          </c:spPr>
          <c:marker>
            <c:symbol val="none"/>
          </c:marker>
          <c:cat>
            <c:numRef>
              <c:f>Sheet1!$L$17:$L$24</c:f>
              <c:numCache>
                <c:formatCode>General</c:formatCode>
                <c:ptCount val="8"/>
                <c:pt idx="0">
                  <c:v>1.2</c:v>
                </c:pt>
                <c:pt idx="1">
                  <c:v>2.4</c:v>
                </c:pt>
                <c:pt idx="2">
                  <c:v>3.6</c:v>
                </c:pt>
                <c:pt idx="3">
                  <c:v>4.8</c:v>
                </c:pt>
                <c:pt idx="4">
                  <c:v>6</c:v>
                </c:pt>
                <c:pt idx="5">
                  <c:v>7.2</c:v>
                </c:pt>
                <c:pt idx="6">
                  <c:v>8.4</c:v>
                </c:pt>
                <c:pt idx="7">
                  <c:v>9.6</c:v>
                </c:pt>
              </c:numCache>
            </c:numRef>
          </c:cat>
          <c:val>
            <c:numRef>
              <c:f>Sheet1!$M$17:$M$24</c:f>
              <c:numCache>
                <c:formatCode>General</c:formatCode>
                <c:ptCount val="8"/>
                <c:pt idx="0">
                  <c:v>10</c:v>
                </c:pt>
                <c:pt idx="1">
                  <c:v>21.5</c:v>
                </c:pt>
                <c:pt idx="2">
                  <c:v>33.5</c:v>
                </c:pt>
                <c:pt idx="3">
                  <c:v>43</c:v>
                </c:pt>
                <c:pt idx="4">
                  <c:v>50</c:v>
                </c:pt>
                <c:pt idx="5">
                  <c:v>55</c:v>
                </c:pt>
                <c:pt idx="6">
                  <c:v>59</c:v>
                </c:pt>
                <c:pt idx="7">
                  <c:v>62</c:v>
                </c:pt>
              </c:numCache>
            </c:numRef>
          </c:val>
          <c:smooth val="0"/>
          <c:extLst>
            <c:ext xmlns:c16="http://schemas.microsoft.com/office/drawing/2014/chart" uri="{C3380CC4-5D6E-409C-BE32-E72D297353CC}">
              <c16:uniqueId val="{00000000-C0A0-4A1E-A0BB-D69A69AA2822}"/>
            </c:ext>
          </c:extLst>
        </c:ser>
        <c:dLbls>
          <c:showLegendKey val="0"/>
          <c:showVal val="0"/>
          <c:showCatName val="0"/>
          <c:showSerName val="0"/>
          <c:showPercent val="0"/>
          <c:showBubbleSize val="0"/>
        </c:dLbls>
        <c:smooth val="0"/>
        <c:axId val="497519112"/>
        <c:axId val="497517144"/>
      </c:lineChart>
      <c:catAx>
        <c:axId val="497519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Valve Lift (mm)</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517144"/>
        <c:crosses val="autoZero"/>
        <c:auto val="1"/>
        <c:lblAlgn val="ctr"/>
        <c:lblOffset val="100"/>
        <c:noMultiLvlLbl val="0"/>
      </c:catAx>
      <c:valAx>
        <c:axId val="497517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Test Flow Rate (CFM)</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519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Standard Intake - Flow Velocity (m/s)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Sheet1!$M$28</c:f>
              <c:strCache>
                <c:ptCount val="1"/>
                <c:pt idx="0">
                  <c:v>Flow Velocity (In)</c:v>
                </c:pt>
              </c:strCache>
            </c:strRef>
          </c:tx>
          <c:spPr>
            <a:ln w="28575" cap="rnd">
              <a:solidFill>
                <a:schemeClr val="accent1"/>
              </a:solidFill>
              <a:round/>
            </a:ln>
            <a:effectLst/>
          </c:spPr>
          <c:marker>
            <c:symbol val="none"/>
          </c:marker>
          <c:cat>
            <c:numRef>
              <c:f>Sheet1!$L$5:$L$12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Sheet1!$M$29:$M$36</c:f>
              <c:numCache>
                <c:formatCode>0.00</c:formatCode>
                <c:ptCount val="8"/>
                <c:pt idx="0">
                  <c:v>0.79166666666666663</c:v>
                </c:pt>
                <c:pt idx="1">
                  <c:v>1.5208333333333333</c:v>
                </c:pt>
                <c:pt idx="2">
                  <c:v>2.0625</c:v>
                </c:pt>
                <c:pt idx="3">
                  <c:v>2.4583333333333335</c:v>
                </c:pt>
                <c:pt idx="4">
                  <c:v>2.7708333333333335</c:v>
                </c:pt>
                <c:pt idx="5">
                  <c:v>2.9375</c:v>
                </c:pt>
                <c:pt idx="6">
                  <c:v>3.125</c:v>
                </c:pt>
                <c:pt idx="7">
                  <c:v>3.2708333333333335</c:v>
                </c:pt>
              </c:numCache>
            </c:numRef>
          </c:val>
          <c:smooth val="0"/>
          <c:extLst>
            <c:ext xmlns:c16="http://schemas.microsoft.com/office/drawing/2014/chart" uri="{C3380CC4-5D6E-409C-BE32-E72D297353CC}">
              <c16:uniqueId val="{00000000-4E3A-46DD-B49C-12BA3A3DFDD2}"/>
            </c:ext>
          </c:extLst>
        </c:ser>
        <c:dLbls>
          <c:showLegendKey val="0"/>
          <c:showVal val="0"/>
          <c:showCatName val="0"/>
          <c:showSerName val="0"/>
          <c:showPercent val="0"/>
          <c:showBubbleSize val="0"/>
        </c:dLbls>
        <c:smooth val="0"/>
        <c:axId val="565112928"/>
        <c:axId val="565106040"/>
      </c:lineChart>
      <c:catAx>
        <c:axId val="565112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Valve Lift (mm)</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106040"/>
        <c:crosses val="autoZero"/>
        <c:auto val="1"/>
        <c:lblAlgn val="ctr"/>
        <c:lblOffset val="100"/>
        <c:noMultiLvlLbl val="0"/>
      </c:catAx>
      <c:valAx>
        <c:axId val="565106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112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Standard Exhaust - Flow Velocity (m/s)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Sheet1!$N$28</c:f>
              <c:strCache>
                <c:ptCount val="1"/>
                <c:pt idx="0">
                  <c:v>Flow Velocity (Ex)</c:v>
                </c:pt>
              </c:strCache>
            </c:strRef>
          </c:tx>
          <c:spPr>
            <a:ln w="28575" cap="rnd">
              <a:solidFill>
                <a:schemeClr val="accent1"/>
              </a:solidFill>
              <a:round/>
            </a:ln>
            <a:effectLst/>
          </c:spPr>
          <c:marker>
            <c:symbol val="none"/>
          </c:marker>
          <c:cat>
            <c:numRef>
              <c:f>Sheet1!$L$17:$L$24</c:f>
              <c:numCache>
                <c:formatCode>General</c:formatCode>
                <c:ptCount val="8"/>
                <c:pt idx="0">
                  <c:v>1.2</c:v>
                </c:pt>
                <c:pt idx="1">
                  <c:v>2.4</c:v>
                </c:pt>
                <c:pt idx="2">
                  <c:v>3.6</c:v>
                </c:pt>
                <c:pt idx="3">
                  <c:v>4.8</c:v>
                </c:pt>
                <c:pt idx="4">
                  <c:v>6</c:v>
                </c:pt>
                <c:pt idx="5">
                  <c:v>7.2</c:v>
                </c:pt>
                <c:pt idx="6">
                  <c:v>8.4</c:v>
                </c:pt>
                <c:pt idx="7">
                  <c:v>9.6</c:v>
                </c:pt>
              </c:numCache>
            </c:numRef>
          </c:cat>
          <c:val>
            <c:numRef>
              <c:f>Sheet1!$N$29:$N$36</c:f>
              <c:numCache>
                <c:formatCode>0.00</c:formatCode>
                <c:ptCount val="8"/>
                <c:pt idx="0">
                  <c:v>0.41666666666666669</c:v>
                </c:pt>
                <c:pt idx="1">
                  <c:v>0.89583333333333337</c:v>
                </c:pt>
                <c:pt idx="2">
                  <c:v>1.3958333333333333</c:v>
                </c:pt>
                <c:pt idx="3">
                  <c:v>1.7916666666666667</c:v>
                </c:pt>
                <c:pt idx="4">
                  <c:v>2.0833333333333335</c:v>
                </c:pt>
                <c:pt idx="5">
                  <c:v>2.2916666666666665</c:v>
                </c:pt>
                <c:pt idx="6">
                  <c:v>2.4583333333333335</c:v>
                </c:pt>
                <c:pt idx="7">
                  <c:v>2.5833333333333335</c:v>
                </c:pt>
              </c:numCache>
            </c:numRef>
          </c:val>
          <c:smooth val="0"/>
          <c:extLst>
            <c:ext xmlns:c16="http://schemas.microsoft.com/office/drawing/2014/chart" uri="{C3380CC4-5D6E-409C-BE32-E72D297353CC}">
              <c16:uniqueId val="{00000000-C31B-4F83-9030-AE4A37A942C8}"/>
            </c:ext>
          </c:extLst>
        </c:ser>
        <c:dLbls>
          <c:showLegendKey val="0"/>
          <c:showVal val="0"/>
          <c:showCatName val="0"/>
          <c:showSerName val="0"/>
          <c:showPercent val="0"/>
          <c:showBubbleSize val="0"/>
        </c:dLbls>
        <c:smooth val="0"/>
        <c:axId val="546600472"/>
        <c:axId val="546601128"/>
      </c:lineChart>
      <c:catAx>
        <c:axId val="546600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Valve Lift (mm)</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601128"/>
        <c:crosses val="autoZero"/>
        <c:auto val="1"/>
        <c:lblAlgn val="ctr"/>
        <c:lblOffset val="100"/>
        <c:noMultiLvlLbl val="0"/>
      </c:catAx>
      <c:valAx>
        <c:axId val="546601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Flow Velocity (m/s)</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600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 Head -</a:t>
            </a:r>
            <a:r>
              <a:rPr lang="en-GB" baseline="0"/>
              <a:t> Co-efficient of Discharge (Cd)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Sheet1!$C$5:$C$12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Sheet1!$G$30:$G$37</c:f>
              <c:numCache>
                <c:formatCode>0.00</c:formatCode>
                <c:ptCount val="8"/>
                <c:pt idx="0">
                  <c:v>0.29285714285714287</c:v>
                </c:pt>
                <c:pt idx="1">
                  <c:v>0.59199999999999997</c:v>
                </c:pt>
                <c:pt idx="2">
                  <c:v>0.59259259259259256</c:v>
                </c:pt>
                <c:pt idx="3">
                  <c:v>0.83850931677018636</c:v>
                </c:pt>
                <c:pt idx="4">
                  <c:v>1.0506329113924051</c:v>
                </c:pt>
                <c:pt idx="5">
                  <c:v>1.05</c:v>
                </c:pt>
                <c:pt idx="6">
                  <c:v>1.0470588235294118</c:v>
                </c:pt>
                <c:pt idx="7">
                  <c:v>1.04</c:v>
                </c:pt>
              </c:numCache>
            </c:numRef>
          </c:val>
          <c:smooth val="0"/>
          <c:extLst>
            <c:ext xmlns:c16="http://schemas.microsoft.com/office/drawing/2014/chart" uri="{C3380CC4-5D6E-409C-BE32-E72D297353CC}">
              <c16:uniqueId val="{00000000-AEEB-4643-8641-860D4992A96B}"/>
            </c:ext>
          </c:extLst>
        </c:ser>
        <c:dLbls>
          <c:showLegendKey val="0"/>
          <c:showVal val="0"/>
          <c:showCatName val="0"/>
          <c:showSerName val="0"/>
          <c:showPercent val="0"/>
          <c:showBubbleSize val="0"/>
        </c:dLbls>
        <c:smooth val="0"/>
        <c:axId val="198532008"/>
        <c:axId val="198527416"/>
      </c:lineChart>
      <c:catAx>
        <c:axId val="198532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Valve</a:t>
                </a:r>
                <a:r>
                  <a:rPr lang="en-US" baseline="0"/>
                  <a:t> Lift (mm)</a:t>
                </a:r>
                <a:endParaRPr lang="en-US"/>
              </a:p>
            </c:rich>
          </c:tx>
          <c:layout>
            <c:manualLayout>
              <c:xMode val="edge"/>
              <c:yMode val="edge"/>
              <c:x val="0.40462379702537177"/>
              <c:y val="0.892569262175561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527416"/>
        <c:crosses val="autoZero"/>
        <c:auto val="1"/>
        <c:lblAlgn val="ctr"/>
        <c:lblOffset val="100"/>
        <c:noMultiLvlLbl val="0"/>
      </c:catAx>
      <c:valAx>
        <c:axId val="198527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Discharge (Cd)</a:t>
                </a:r>
                <a:endParaRPr lang="en-GB"/>
              </a:p>
            </c:rich>
          </c:tx>
          <c:layout>
            <c:manualLayout>
              <c:xMode val="edge"/>
              <c:yMode val="edge"/>
              <c:x val="3.0555555555555555E-2"/>
              <c:y val="0.2083373432487605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532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Sheet1!$C$17:$C$24</c:f>
              <c:numCache>
                <c:formatCode>General</c:formatCode>
                <c:ptCount val="8"/>
                <c:pt idx="0">
                  <c:v>1.2</c:v>
                </c:pt>
                <c:pt idx="1">
                  <c:v>2.4</c:v>
                </c:pt>
                <c:pt idx="2">
                  <c:v>3.6</c:v>
                </c:pt>
                <c:pt idx="3">
                  <c:v>4.8</c:v>
                </c:pt>
                <c:pt idx="4">
                  <c:v>6</c:v>
                </c:pt>
                <c:pt idx="5">
                  <c:v>7.2</c:v>
                </c:pt>
                <c:pt idx="6">
                  <c:v>8.4</c:v>
                </c:pt>
                <c:pt idx="7">
                  <c:v>9.6</c:v>
                </c:pt>
              </c:numCache>
            </c:numRef>
          </c:cat>
          <c:val>
            <c:numRef>
              <c:f>Sheet1!$H$30:$H$37</c:f>
              <c:numCache>
                <c:formatCode>0.00</c:formatCode>
                <c:ptCount val="8"/>
                <c:pt idx="0">
                  <c:v>0.10215053763440861</c:v>
                </c:pt>
                <c:pt idx="1">
                  <c:v>0.30555555555555558</c:v>
                </c:pt>
                <c:pt idx="2">
                  <c:v>0.4</c:v>
                </c:pt>
                <c:pt idx="3">
                  <c:v>0.59259259259259256</c:v>
                </c:pt>
                <c:pt idx="4">
                  <c:v>0.58823529411764708</c:v>
                </c:pt>
                <c:pt idx="5">
                  <c:v>0.58762886597938147</c:v>
                </c:pt>
                <c:pt idx="6">
                  <c:v>0.83783783783783783</c:v>
                </c:pt>
                <c:pt idx="7">
                  <c:v>0.83333333333333337</c:v>
                </c:pt>
              </c:numCache>
            </c:numRef>
          </c:val>
          <c:smooth val="0"/>
          <c:extLst>
            <c:ext xmlns:c16="http://schemas.microsoft.com/office/drawing/2014/chart" uri="{C3380CC4-5D6E-409C-BE32-E72D297353CC}">
              <c16:uniqueId val="{00000000-BDD3-483E-8B5E-883461280877}"/>
            </c:ext>
          </c:extLst>
        </c:ser>
        <c:dLbls>
          <c:showLegendKey val="0"/>
          <c:showVal val="0"/>
          <c:showCatName val="0"/>
          <c:showSerName val="0"/>
          <c:showPercent val="0"/>
          <c:showBubbleSize val="0"/>
        </c:dLbls>
        <c:smooth val="0"/>
        <c:axId val="502238488"/>
        <c:axId val="502239144"/>
      </c:lineChart>
      <c:catAx>
        <c:axId val="502238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Valve Lift (mm)</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239144"/>
        <c:crosses val="autoZero"/>
        <c:auto val="1"/>
        <c:lblAlgn val="ctr"/>
        <c:lblOffset val="100"/>
        <c:noMultiLvlLbl val="0"/>
      </c:catAx>
      <c:valAx>
        <c:axId val="502239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 </a:t>
                </a:r>
                <a:r>
                  <a:rPr lang="en-GB" sz="1000" b="0" i="0" baseline="0">
                    <a:effectLst/>
                  </a:rPr>
                  <a:t>Co-efficient of Discharge (Cd)</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238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Modified Intake - Volumetric Flow Rate (</a:t>
            </a:r>
            <a:r>
              <a:rPr lang="en-GB" sz="1400" b="0" i="0" u="none" strike="noStrike" baseline="0">
                <a:effectLst/>
              </a:rPr>
              <a:t>m₃/sec)</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Sheet1!$D$4</c:f>
              <c:strCache>
                <c:ptCount val="1"/>
                <c:pt idx="0">
                  <c:v>Test flow (CFM) </c:v>
                </c:pt>
              </c:strCache>
            </c:strRef>
          </c:tx>
          <c:spPr>
            <a:ln w="28575" cap="rnd">
              <a:solidFill>
                <a:srgbClr val="C00000"/>
              </a:solidFill>
              <a:round/>
            </a:ln>
            <a:effectLst/>
          </c:spPr>
          <c:marker>
            <c:symbol val="none"/>
          </c:marker>
          <c:cat>
            <c:numRef>
              <c:f>Sheet1!$C$5:$C$12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Sheet1!$D$5:$D$12</c:f>
              <c:numCache>
                <c:formatCode>General</c:formatCode>
                <c:ptCount val="8"/>
                <c:pt idx="0">
                  <c:v>20.5</c:v>
                </c:pt>
                <c:pt idx="1">
                  <c:v>37</c:v>
                </c:pt>
                <c:pt idx="2">
                  <c:v>56</c:v>
                </c:pt>
                <c:pt idx="3">
                  <c:v>67.5</c:v>
                </c:pt>
                <c:pt idx="4">
                  <c:v>83</c:v>
                </c:pt>
                <c:pt idx="5">
                  <c:v>84</c:v>
                </c:pt>
                <c:pt idx="6">
                  <c:v>89</c:v>
                </c:pt>
                <c:pt idx="7">
                  <c:v>91</c:v>
                </c:pt>
              </c:numCache>
            </c:numRef>
          </c:val>
          <c:smooth val="0"/>
          <c:extLst>
            <c:ext xmlns:c16="http://schemas.microsoft.com/office/drawing/2014/chart" uri="{C3380CC4-5D6E-409C-BE32-E72D297353CC}">
              <c16:uniqueId val="{00000000-2A1D-466E-9583-6E979C6F9463}"/>
            </c:ext>
          </c:extLst>
        </c:ser>
        <c:dLbls>
          <c:showLegendKey val="0"/>
          <c:showVal val="0"/>
          <c:showCatName val="0"/>
          <c:showSerName val="0"/>
          <c:showPercent val="0"/>
          <c:showBubbleSize val="0"/>
        </c:dLbls>
        <c:smooth val="0"/>
        <c:axId val="500919048"/>
        <c:axId val="500916096"/>
      </c:lineChart>
      <c:catAx>
        <c:axId val="500919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Valve</a:t>
                </a:r>
                <a:r>
                  <a:rPr lang="en-US" baseline="0"/>
                  <a:t> Lift (mm)</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16096"/>
        <c:crosses val="autoZero"/>
        <c:auto val="1"/>
        <c:lblAlgn val="ctr"/>
        <c:lblOffset val="100"/>
        <c:noMultiLvlLbl val="0"/>
      </c:catAx>
      <c:valAx>
        <c:axId val="500916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 Flow Rate</a:t>
                </a:r>
                <a:r>
                  <a:rPr lang="en-GB" baseline="0"/>
                  <a:t> (CFM)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190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Modified Exhaust - Volumetric Flow Rate (m₃/sec) </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Sheet1!$D$16</c:f>
              <c:strCache>
                <c:ptCount val="1"/>
                <c:pt idx="0">
                  <c:v>Test flow (CFM)</c:v>
                </c:pt>
              </c:strCache>
            </c:strRef>
          </c:tx>
          <c:spPr>
            <a:ln w="28575" cap="rnd">
              <a:solidFill>
                <a:srgbClr val="C00000"/>
              </a:solidFill>
              <a:round/>
            </a:ln>
            <a:effectLst/>
          </c:spPr>
          <c:marker>
            <c:symbol val="none"/>
          </c:marker>
          <c:cat>
            <c:numRef>
              <c:f>Sheet1!$C$17:$C$24</c:f>
              <c:numCache>
                <c:formatCode>General</c:formatCode>
                <c:ptCount val="8"/>
                <c:pt idx="0">
                  <c:v>1.2</c:v>
                </c:pt>
                <c:pt idx="1">
                  <c:v>2.4</c:v>
                </c:pt>
                <c:pt idx="2">
                  <c:v>3.6</c:v>
                </c:pt>
                <c:pt idx="3">
                  <c:v>4.8</c:v>
                </c:pt>
                <c:pt idx="4">
                  <c:v>6</c:v>
                </c:pt>
                <c:pt idx="5">
                  <c:v>7.2</c:v>
                </c:pt>
                <c:pt idx="6">
                  <c:v>8.4</c:v>
                </c:pt>
                <c:pt idx="7">
                  <c:v>9.6</c:v>
                </c:pt>
              </c:numCache>
            </c:numRef>
          </c:cat>
          <c:val>
            <c:numRef>
              <c:f>Sheet1!$D$17:$D$24</c:f>
              <c:numCache>
                <c:formatCode>General</c:formatCode>
                <c:ptCount val="8"/>
                <c:pt idx="0">
                  <c:v>9.5</c:v>
                </c:pt>
                <c:pt idx="1">
                  <c:v>22</c:v>
                </c:pt>
                <c:pt idx="2">
                  <c:v>30</c:v>
                </c:pt>
                <c:pt idx="3">
                  <c:v>40</c:v>
                </c:pt>
                <c:pt idx="4">
                  <c:v>50</c:v>
                </c:pt>
                <c:pt idx="5">
                  <c:v>57</c:v>
                </c:pt>
                <c:pt idx="6">
                  <c:v>62</c:v>
                </c:pt>
                <c:pt idx="7">
                  <c:v>65</c:v>
                </c:pt>
              </c:numCache>
            </c:numRef>
          </c:val>
          <c:smooth val="0"/>
          <c:extLst>
            <c:ext xmlns:c16="http://schemas.microsoft.com/office/drawing/2014/chart" uri="{C3380CC4-5D6E-409C-BE32-E72D297353CC}">
              <c16:uniqueId val="{00000000-D402-4396-93E1-92BB5D82BB52}"/>
            </c:ext>
          </c:extLst>
        </c:ser>
        <c:dLbls>
          <c:showLegendKey val="0"/>
          <c:showVal val="0"/>
          <c:showCatName val="0"/>
          <c:showSerName val="0"/>
          <c:showPercent val="0"/>
          <c:showBubbleSize val="0"/>
        </c:dLbls>
        <c:smooth val="0"/>
        <c:axId val="555343088"/>
        <c:axId val="555346696"/>
      </c:lineChart>
      <c:catAx>
        <c:axId val="555343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Valve Lift (mm)</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346696"/>
        <c:crosses val="autoZero"/>
        <c:auto val="1"/>
        <c:lblAlgn val="ctr"/>
        <c:lblOffset val="100"/>
        <c:noMultiLvlLbl val="0"/>
      </c:catAx>
      <c:valAx>
        <c:axId val="555346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Test Flow Rate (CFM)</a:t>
                </a:r>
                <a:endParaRPr lang="en-GB" sz="4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343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Modified Intake - Flow Velocity (m/s)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Sheet1!$D$28</c:f>
              <c:strCache>
                <c:ptCount val="1"/>
                <c:pt idx="0">
                  <c:v>Flow Velocity (In)</c:v>
                </c:pt>
              </c:strCache>
            </c:strRef>
          </c:tx>
          <c:spPr>
            <a:ln w="28575" cap="rnd">
              <a:solidFill>
                <a:srgbClr val="C00000"/>
              </a:solidFill>
              <a:round/>
            </a:ln>
            <a:effectLst/>
          </c:spPr>
          <c:marker>
            <c:symbol val="none"/>
          </c:marker>
          <c:cat>
            <c:numRef>
              <c:f>Sheet1!$C$5:$C$12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Sheet1!$D$29:$D$36</c:f>
              <c:numCache>
                <c:formatCode>0.00</c:formatCode>
                <c:ptCount val="8"/>
                <c:pt idx="0">
                  <c:v>0.85416666666666663</c:v>
                </c:pt>
                <c:pt idx="1">
                  <c:v>1.5416666666666667</c:v>
                </c:pt>
                <c:pt idx="2">
                  <c:v>2.3333333333333335</c:v>
                </c:pt>
                <c:pt idx="3">
                  <c:v>2.8125</c:v>
                </c:pt>
                <c:pt idx="4">
                  <c:v>3.4583333333333335</c:v>
                </c:pt>
                <c:pt idx="5">
                  <c:v>3.5</c:v>
                </c:pt>
                <c:pt idx="6">
                  <c:v>3.7083333333333335</c:v>
                </c:pt>
                <c:pt idx="7">
                  <c:v>3.7916666666666665</c:v>
                </c:pt>
              </c:numCache>
            </c:numRef>
          </c:val>
          <c:smooth val="0"/>
          <c:extLst>
            <c:ext xmlns:c16="http://schemas.microsoft.com/office/drawing/2014/chart" uri="{C3380CC4-5D6E-409C-BE32-E72D297353CC}">
              <c16:uniqueId val="{00000000-E26D-48B1-89E2-C4A4C99B3056}"/>
            </c:ext>
          </c:extLst>
        </c:ser>
        <c:dLbls>
          <c:showLegendKey val="0"/>
          <c:showVal val="0"/>
          <c:showCatName val="0"/>
          <c:showSerName val="0"/>
          <c:showPercent val="0"/>
          <c:showBubbleSize val="0"/>
        </c:dLbls>
        <c:smooth val="0"/>
        <c:axId val="554055880"/>
        <c:axId val="554056536"/>
      </c:lineChart>
      <c:catAx>
        <c:axId val="554055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56536"/>
        <c:crosses val="autoZero"/>
        <c:auto val="1"/>
        <c:lblAlgn val="ctr"/>
        <c:lblOffset val="100"/>
        <c:noMultiLvlLbl val="0"/>
      </c:catAx>
      <c:valAx>
        <c:axId val="554056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Flow Velocity (m/s)</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55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Modified Exhaust - Flow Velocity (m/s)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Sheet1!$E$28</c:f>
              <c:strCache>
                <c:ptCount val="1"/>
                <c:pt idx="0">
                  <c:v>Flow Velocity (Ex)</c:v>
                </c:pt>
              </c:strCache>
            </c:strRef>
          </c:tx>
          <c:spPr>
            <a:ln w="28575" cap="rnd">
              <a:solidFill>
                <a:srgbClr val="C00000"/>
              </a:solidFill>
              <a:round/>
            </a:ln>
            <a:effectLst/>
          </c:spPr>
          <c:marker>
            <c:symbol val="none"/>
          </c:marker>
          <c:cat>
            <c:numRef>
              <c:f>Sheet1!$C$17:$C$24</c:f>
              <c:numCache>
                <c:formatCode>General</c:formatCode>
                <c:ptCount val="8"/>
                <c:pt idx="0">
                  <c:v>1.2</c:v>
                </c:pt>
                <c:pt idx="1">
                  <c:v>2.4</c:v>
                </c:pt>
                <c:pt idx="2">
                  <c:v>3.6</c:v>
                </c:pt>
                <c:pt idx="3">
                  <c:v>4.8</c:v>
                </c:pt>
                <c:pt idx="4">
                  <c:v>6</c:v>
                </c:pt>
                <c:pt idx="5">
                  <c:v>7.2</c:v>
                </c:pt>
                <c:pt idx="6">
                  <c:v>8.4</c:v>
                </c:pt>
                <c:pt idx="7">
                  <c:v>9.6</c:v>
                </c:pt>
              </c:numCache>
            </c:numRef>
          </c:cat>
          <c:val>
            <c:numRef>
              <c:f>Sheet1!$E$29:$E$36</c:f>
              <c:numCache>
                <c:formatCode>0.00</c:formatCode>
                <c:ptCount val="8"/>
                <c:pt idx="0">
                  <c:v>0.39583333333333331</c:v>
                </c:pt>
                <c:pt idx="1">
                  <c:v>0.91666666666666663</c:v>
                </c:pt>
                <c:pt idx="2">
                  <c:v>1.25</c:v>
                </c:pt>
                <c:pt idx="3">
                  <c:v>1.6666666666666667</c:v>
                </c:pt>
                <c:pt idx="4">
                  <c:v>2.0833333333333335</c:v>
                </c:pt>
                <c:pt idx="5">
                  <c:v>2.375</c:v>
                </c:pt>
                <c:pt idx="6">
                  <c:v>2.5833333333333335</c:v>
                </c:pt>
                <c:pt idx="7">
                  <c:v>2.7083333333333335</c:v>
                </c:pt>
              </c:numCache>
            </c:numRef>
          </c:val>
          <c:smooth val="0"/>
          <c:extLst>
            <c:ext xmlns:c16="http://schemas.microsoft.com/office/drawing/2014/chart" uri="{C3380CC4-5D6E-409C-BE32-E72D297353CC}">
              <c16:uniqueId val="{00000000-8E47-4E2B-B34A-4C39561B01EC}"/>
            </c:ext>
          </c:extLst>
        </c:ser>
        <c:dLbls>
          <c:showLegendKey val="0"/>
          <c:showVal val="0"/>
          <c:showCatName val="0"/>
          <c:showSerName val="0"/>
          <c:showPercent val="0"/>
          <c:showBubbleSize val="0"/>
        </c:dLbls>
        <c:smooth val="0"/>
        <c:axId val="565124080"/>
        <c:axId val="565115880"/>
      </c:lineChart>
      <c:catAx>
        <c:axId val="565124080"/>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Valve Lift (mm)</a:t>
                </a:r>
                <a:endParaRPr lang="en-GB" sz="4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115880"/>
        <c:crosses val="autoZero"/>
        <c:auto val="1"/>
        <c:lblAlgn val="ctr"/>
        <c:lblOffset val="100"/>
        <c:noMultiLvlLbl val="0"/>
      </c:catAx>
      <c:valAx>
        <c:axId val="565115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Flow Velocity (m/s)</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12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t>Modified Head</a:t>
            </a:r>
            <a:r>
              <a:rPr lang="en-GB" sz="1400" baseline="0"/>
              <a:t> - Co-efficient of Discharge (Cd)</a:t>
            </a:r>
            <a:endParaRPr lang="en-GB" sz="1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rgbClr val="C00000"/>
              </a:solidFill>
              <a:round/>
            </a:ln>
            <a:effectLst/>
          </c:spPr>
          <c:marker>
            <c:symbol val="none"/>
          </c:marker>
          <c:cat>
            <c:numRef>
              <c:f>Sheet1!$L$5:$L$12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Sheet1!$P$30:$P$37</c:f>
              <c:numCache>
                <c:formatCode>0.00</c:formatCode>
                <c:ptCount val="8"/>
                <c:pt idx="0">
                  <c:v>0.296875</c:v>
                </c:pt>
                <c:pt idx="1">
                  <c:v>0.40331491712707185</c:v>
                </c:pt>
                <c:pt idx="2">
                  <c:v>0.5892857142857143</c:v>
                </c:pt>
                <c:pt idx="3">
                  <c:v>0.83687943262411346</c:v>
                </c:pt>
                <c:pt idx="4">
                  <c:v>0.83647798742138368</c:v>
                </c:pt>
                <c:pt idx="5">
                  <c:v>0.83431952662721898</c:v>
                </c:pt>
                <c:pt idx="6">
                  <c:v>0.84269662921348309</c:v>
                </c:pt>
                <c:pt idx="7">
                  <c:v>0.83957219251336901</c:v>
                </c:pt>
              </c:numCache>
            </c:numRef>
          </c:val>
          <c:smooth val="0"/>
          <c:extLst>
            <c:ext xmlns:c16="http://schemas.microsoft.com/office/drawing/2014/chart" uri="{C3380CC4-5D6E-409C-BE32-E72D297353CC}">
              <c16:uniqueId val="{00000000-1327-4FAB-9EDC-F025545D2D1B}"/>
            </c:ext>
          </c:extLst>
        </c:ser>
        <c:dLbls>
          <c:showLegendKey val="0"/>
          <c:showVal val="0"/>
          <c:showCatName val="0"/>
          <c:showSerName val="0"/>
          <c:showPercent val="0"/>
          <c:showBubbleSize val="0"/>
        </c:dLbls>
        <c:smooth val="0"/>
        <c:axId val="502240128"/>
        <c:axId val="198523152"/>
      </c:lineChart>
      <c:catAx>
        <c:axId val="502240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523152"/>
        <c:crosses val="autoZero"/>
        <c:auto val="1"/>
        <c:lblAlgn val="ctr"/>
        <c:lblOffset val="100"/>
        <c:noMultiLvlLbl val="0"/>
      </c:catAx>
      <c:valAx>
        <c:axId val="198523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Co-efficient of Discharge (Cd)</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240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Modified Head - Co-efficient of Discharge (Cd)</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rgbClr val="C00000"/>
              </a:solidFill>
              <a:round/>
            </a:ln>
            <a:effectLst/>
          </c:spPr>
          <c:marker>
            <c:symbol val="none"/>
          </c:marker>
          <c:cat>
            <c:numRef>
              <c:f>Sheet1!$M$17:$M$24</c:f>
              <c:numCache>
                <c:formatCode>General</c:formatCode>
                <c:ptCount val="8"/>
                <c:pt idx="0">
                  <c:v>10</c:v>
                </c:pt>
                <c:pt idx="1">
                  <c:v>21.5</c:v>
                </c:pt>
                <c:pt idx="2">
                  <c:v>33.5</c:v>
                </c:pt>
                <c:pt idx="3">
                  <c:v>43</c:v>
                </c:pt>
                <c:pt idx="4">
                  <c:v>50</c:v>
                </c:pt>
                <c:pt idx="5">
                  <c:v>55</c:v>
                </c:pt>
                <c:pt idx="6">
                  <c:v>59</c:v>
                </c:pt>
                <c:pt idx="7">
                  <c:v>62</c:v>
                </c:pt>
              </c:numCache>
            </c:numRef>
          </c:cat>
          <c:val>
            <c:numRef>
              <c:f>Sheet1!$Q$30:$Q$37</c:f>
              <c:numCache>
                <c:formatCode>0.00</c:formatCode>
                <c:ptCount val="8"/>
                <c:pt idx="0">
                  <c:v>0.10309278350515463</c:v>
                </c:pt>
                <c:pt idx="1">
                  <c:v>0.29452054794520549</c:v>
                </c:pt>
                <c:pt idx="2">
                  <c:v>0.40119760479041916</c:v>
                </c:pt>
                <c:pt idx="3">
                  <c:v>0.59310344827586203</c:v>
                </c:pt>
                <c:pt idx="4">
                  <c:v>0.59171597633136097</c:v>
                </c:pt>
                <c:pt idx="5">
                  <c:v>0.59139784946236562</c:v>
                </c:pt>
                <c:pt idx="6">
                  <c:v>0.83687943262411346</c:v>
                </c:pt>
                <c:pt idx="7">
                  <c:v>0.84353741496598644</c:v>
                </c:pt>
              </c:numCache>
            </c:numRef>
          </c:val>
          <c:smooth val="0"/>
          <c:extLst>
            <c:ext xmlns:c16="http://schemas.microsoft.com/office/drawing/2014/chart" uri="{C3380CC4-5D6E-409C-BE32-E72D297353CC}">
              <c16:uniqueId val="{00000000-AFEE-4E0E-82CA-57F595C5B840}"/>
            </c:ext>
          </c:extLst>
        </c:ser>
        <c:dLbls>
          <c:showLegendKey val="0"/>
          <c:showVal val="0"/>
          <c:showCatName val="0"/>
          <c:showSerName val="0"/>
          <c:showPercent val="0"/>
          <c:showBubbleSize val="0"/>
        </c:dLbls>
        <c:smooth val="0"/>
        <c:axId val="566065640"/>
        <c:axId val="566061376"/>
      </c:lineChart>
      <c:catAx>
        <c:axId val="566065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61376"/>
        <c:crosses val="autoZero"/>
        <c:auto val="1"/>
        <c:lblAlgn val="ctr"/>
        <c:lblOffset val="100"/>
        <c:noMultiLvlLbl val="0"/>
      </c:catAx>
      <c:valAx>
        <c:axId val="566061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Discharge (Cd)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65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3.png"/></Relationships>
</file>

<file path=word/drawings/drawing1.xml><?xml version="1.0" encoding="utf-8"?>
<c:userShapes xmlns:c="http://schemas.openxmlformats.org/drawingml/2006/chart">
  <cdr:relSizeAnchor xmlns:cdr="http://schemas.openxmlformats.org/drawingml/2006/chartDrawing">
    <cdr:from>
      <cdr:x>0.08542</cdr:x>
      <cdr:y>0.01634</cdr:y>
    </cdr:from>
    <cdr:to>
      <cdr:x>0.93882</cdr:x>
      <cdr:y>0.13975</cdr:y>
    </cdr:to>
    <cdr:pic>
      <cdr:nvPicPr>
        <cdr:cNvPr id="2" name="chart">
          <a:extLst xmlns:a="http://schemas.openxmlformats.org/drawingml/2006/main">
            <a:ext uri="{FF2B5EF4-FFF2-40B4-BE49-F238E27FC236}">
              <a16:creationId xmlns:a16="http://schemas.microsoft.com/office/drawing/2014/main" id="{22A63E8B-8E9D-4DD9-91FC-CE851FE61E60}"/>
            </a:ext>
          </a:extLst>
        </cdr:cNvPr>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390525" y="47625"/>
          <a:ext cx="3901778" cy="359695"/>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14</Pages>
  <Words>1009</Words>
  <Characters>5755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dc:creator>
  <cp:keywords/>
  <dc:description/>
  <cp:lastModifiedBy>davis watkins</cp:lastModifiedBy>
  <cp:revision>6</cp:revision>
  <dcterms:created xsi:type="dcterms:W3CDTF">2019-01-26T23:25:00Z</dcterms:created>
  <dcterms:modified xsi:type="dcterms:W3CDTF">2019-02-03T23:43:00Z</dcterms:modified>
</cp:coreProperties>
</file>