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4368F" w14:textId="73538B62" w:rsidR="009602AA" w:rsidRPr="00717BCA" w:rsidRDefault="009602AA" w:rsidP="009602AA">
      <w:pPr>
        <w:spacing w:line="256" w:lineRule="auto"/>
        <w:jc w:val="center"/>
        <w:rPr>
          <w:rFonts w:ascii="Arial" w:eastAsiaTheme="majorEastAsia" w:hAnsi="Arial" w:cs="Arial"/>
          <w:i/>
          <w:spacing w:val="-10"/>
          <w:kern w:val="28"/>
          <w:sz w:val="56"/>
          <w:szCs w:val="56"/>
          <w:shd w:val="clear" w:color="auto" w:fill="FFFFFF"/>
        </w:rPr>
      </w:pPr>
      <w:r w:rsidRPr="00717BCA">
        <w:rPr>
          <w:rFonts w:ascii="Arial" w:hAnsi="Arial" w:cs="Arial"/>
          <w:noProof/>
          <w:lang w:eastAsia="en-GB"/>
        </w:rPr>
        <w:drawing>
          <wp:inline distT="0" distB="0" distL="0" distR="0" wp14:anchorId="6B87390A" wp14:editId="38D669B7">
            <wp:extent cx="4552079" cy="2004060"/>
            <wp:effectExtent l="0" t="0" r="1270" b="0"/>
            <wp:docPr id="1158937209" name="Picture 1" descr="A logo with a shiel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a shield an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31372"/>
                    <a:stretch>
                      <a:fillRect/>
                    </a:stretch>
                  </pic:blipFill>
                  <pic:spPr bwMode="auto">
                    <a:xfrm>
                      <a:off x="0" y="0"/>
                      <a:ext cx="4554951" cy="2005325"/>
                    </a:xfrm>
                    <a:prstGeom prst="rect">
                      <a:avLst/>
                    </a:prstGeom>
                    <a:noFill/>
                    <a:ln>
                      <a:noFill/>
                    </a:ln>
                  </pic:spPr>
                </pic:pic>
              </a:graphicData>
            </a:graphic>
          </wp:inline>
        </w:drawing>
      </w:r>
    </w:p>
    <w:p w14:paraId="78C74A1F" w14:textId="77777777" w:rsidR="009602AA" w:rsidRPr="00717BCA" w:rsidRDefault="009602AA" w:rsidP="009602AA">
      <w:pPr>
        <w:spacing w:line="256" w:lineRule="auto"/>
        <w:rPr>
          <w:rFonts w:ascii="Arial" w:eastAsiaTheme="majorEastAsia" w:hAnsi="Arial" w:cs="Arial"/>
          <w:i/>
          <w:spacing w:val="-10"/>
          <w:kern w:val="28"/>
          <w:sz w:val="56"/>
          <w:szCs w:val="56"/>
          <w:shd w:val="clear" w:color="auto" w:fill="FFFFFF"/>
        </w:rPr>
      </w:pPr>
    </w:p>
    <w:p w14:paraId="10737C3A" w14:textId="4885A8AF" w:rsidR="009602AA" w:rsidRPr="00946485" w:rsidRDefault="002E5D84" w:rsidP="00946485">
      <w:pPr>
        <w:pStyle w:val="Heading1"/>
        <w:shd w:val="clear" w:color="auto" w:fill="FFFFFF"/>
        <w:spacing w:before="0"/>
        <w:jc w:val="center"/>
        <w:rPr>
          <w:rFonts w:cs="Arial"/>
          <w:color w:val="7B7B7B" w:themeColor="accent3" w:themeShade="BF"/>
          <w:sz w:val="48"/>
          <w:szCs w:val="48"/>
          <w:u w:val="single"/>
        </w:rPr>
      </w:pPr>
      <w:bookmarkStart w:id="0" w:name="_Toc157801442"/>
      <w:r w:rsidRPr="00946485">
        <w:rPr>
          <w:rFonts w:cs="Arial"/>
          <w:color w:val="7B7B7B" w:themeColor="accent3" w:themeShade="BF"/>
          <w:sz w:val="48"/>
          <w:szCs w:val="48"/>
          <w:u w:val="single"/>
        </w:rPr>
        <w:t>Financial</w:t>
      </w:r>
      <w:r w:rsidR="00D30736" w:rsidRPr="00946485">
        <w:rPr>
          <w:rFonts w:cs="Arial"/>
          <w:color w:val="7B7B7B" w:themeColor="accent3" w:themeShade="BF"/>
          <w:sz w:val="48"/>
          <w:szCs w:val="48"/>
          <w:u w:val="single"/>
        </w:rPr>
        <w:t xml:space="preserve"> </w:t>
      </w:r>
      <w:r w:rsidRPr="00946485">
        <w:rPr>
          <w:rFonts w:cs="Arial"/>
          <w:color w:val="7B7B7B" w:themeColor="accent3" w:themeShade="BF"/>
          <w:sz w:val="48"/>
          <w:szCs w:val="48"/>
          <w:u w:val="single"/>
        </w:rPr>
        <w:t>Management for the Hotel</w:t>
      </w:r>
      <w:r w:rsidR="00D30736" w:rsidRPr="00946485">
        <w:rPr>
          <w:rFonts w:cs="Arial"/>
          <w:color w:val="7B7B7B" w:themeColor="accent3" w:themeShade="BF"/>
          <w:sz w:val="48"/>
          <w:szCs w:val="48"/>
          <w:u w:val="single"/>
        </w:rPr>
        <w:t xml:space="preserve"> </w:t>
      </w:r>
      <w:r w:rsidRPr="00946485">
        <w:rPr>
          <w:rFonts w:cs="Arial"/>
          <w:color w:val="7B7B7B" w:themeColor="accent3" w:themeShade="BF"/>
          <w:sz w:val="48"/>
          <w:szCs w:val="48"/>
          <w:u w:val="single"/>
        </w:rPr>
        <w:t>Industry</w:t>
      </w:r>
      <w:r w:rsidR="00946485" w:rsidRPr="00946485">
        <w:rPr>
          <w:rFonts w:cs="Arial"/>
          <w:color w:val="7B7B7B" w:themeColor="accent3" w:themeShade="BF"/>
          <w:sz w:val="48"/>
          <w:szCs w:val="48"/>
          <w:u w:val="single"/>
        </w:rPr>
        <w:t xml:space="preserve"> </w:t>
      </w:r>
      <w:r w:rsidRPr="00946485">
        <w:rPr>
          <w:rFonts w:cs="Arial"/>
          <w:color w:val="7B7B7B" w:themeColor="accent3" w:themeShade="BF"/>
          <w:sz w:val="48"/>
          <w:szCs w:val="48"/>
          <w:u w:val="single"/>
        </w:rPr>
        <w:t>(BMIH</w:t>
      </w:r>
      <w:r w:rsidR="00946485" w:rsidRPr="00946485">
        <w:rPr>
          <w:rFonts w:cs="Arial"/>
          <w:color w:val="7B7B7B" w:themeColor="accent3" w:themeShade="BF"/>
          <w:sz w:val="48"/>
          <w:szCs w:val="48"/>
          <w:u w:val="single"/>
        </w:rPr>
        <w:t>5007, BMIH</w:t>
      </w:r>
      <w:r w:rsidRPr="00946485">
        <w:rPr>
          <w:rFonts w:cs="Arial"/>
          <w:color w:val="7B7B7B" w:themeColor="accent3" w:themeShade="BF"/>
          <w:sz w:val="48"/>
          <w:szCs w:val="48"/>
          <w:u w:val="single"/>
        </w:rPr>
        <w:t>5002)</w:t>
      </w:r>
      <w:bookmarkEnd w:id="0"/>
    </w:p>
    <w:p w14:paraId="654B1DE9" w14:textId="77777777" w:rsidR="00E02174" w:rsidRDefault="00E02174" w:rsidP="009602AA">
      <w:pPr>
        <w:spacing w:line="256" w:lineRule="auto"/>
        <w:jc w:val="center"/>
        <w:rPr>
          <w:rFonts w:ascii="Arial" w:eastAsiaTheme="majorEastAsia" w:hAnsi="Arial" w:cs="Arial"/>
          <w:b/>
          <w:bCs/>
          <w:i/>
          <w:spacing w:val="-10"/>
          <w:kern w:val="28"/>
          <w:sz w:val="24"/>
          <w:szCs w:val="24"/>
          <w:u w:val="single"/>
          <w:shd w:val="clear" w:color="auto" w:fill="FFFFFF"/>
        </w:rPr>
      </w:pPr>
    </w:p>
    <w:p w14:paraId="133901E3" w14:textId="6842C9F8" w:rsidR="00A8390B" w:rsidRPr="00E02174" w:rsidRDefault="00A8390B" w:rsidP="009602AA">
      <w:pPr>
        <w:spacing w:line="256" w:lineRule="auto"/>
        <w:jc w:val="center"/>
        <w:rPr>
          <w:rFonts w:ascii="Arial" w:eastAsiaTheme="majorEastAsia" w:hAnsi="Arial" w:cs="Arial"/>
          <w:b/>
          <w:bCs/>
          <w:iCs/>
          <w:color w:val="1F4E79" w:themeColor="accent1" w:themeShade="80"/>
          <w:spacing w:val="-10"/>
          <w:kern w:val="28"/>
          <w:sz w:val="36"/>
          <w:szCs w:val="36"/>
          <w:u w:val="single"/>
          <w:shd w:val="clear" w:color="auto" w:fill="FFFFFF"/>
        </w:rPr>
      </w:pPr>
      <w:r w:rsidRPr="00E02174">
        <w:rPr>
          <w:rFonts w:ascii="Arial" w:eastAsiaTheme="majorEastAsia" w:hAnsi="Arial" w:cs="Arial"/>
          <w:b/>
          <w:bCs/>
          <w:iCs/>
          <w:color w:val="1F4E79" w:themeColor="accent1" w:themeShade="80"/>
          <w:spacing w:val="-10"/>
          <w:kern w:val="28"/>
          <w:sz w:val="36"/>
          <w:szCs w:val="36"/>
          <w:u w:val="single"/>
          <w:shd w:val="clear" w:color="auto" w:fill="FFFFFF"/>
        </w:rPr>
        <w:t>Assignment 1-</w:t>
      </w:r>
      <w:r w:rsidR="00946485" w:rsidRPr="00E02174">
        <w:rPr>
          <w:rFonts w:ascii="Arial" w:eastAsiaTheme="majorEastAsia" w:hAnsi="Arial" w:cs="Arial"/>
          <w:b/>
          <w:bCs/>
          <w:iCs/>
          <w:color w:val="1F4E79" w:themeColor="accent1" w:themeShade="80"/>
          <w:spacing w:val="-10"/>
          <w:kern w:val="28"/>
          <w:sz w:val="36"/>
          <w:szCs w:val="36"/>
          <w:u w:val="single"/>
          <w:shd w:val="clear" w:color="auto" w:fill="FFFFFF"/>
        </w:rPr>
        <w:t xml:space="preserve"> Business Report</w:t>
      </w:r>
    </w:p>
    <w:p w14:paraId="044B1D2B" w14:textId="77777777" w:rsidR="00A24E8C" w:rsidRPr="00E02174" w:rsidRDefault="00A24E8C" w:rsidP="00A24E8C">
      <w:pPr>
        <w:jc w:val="center"/>
        <w:rPr>
          <w:rFonts w:ascii="Arial" w:hAnsi="Arial" w:cs="Arial"/>
          <w:b/>
          <w:bCs/>
          <w:iCs/>
          <w:color w:val="1F4E79" w:themeColor="accent1" w:themeShade="80"/>
          <w:sz w:val="36"/>
          <w:szCs w:val="36"/>
        </w:rPr>
      </w:pPr>
      <w:r w:rsidRPr="00E02174">
        <w:rPr>
          <w:rFonts w:ascii="Arial" w:hAnsi="Arial" w:cs="Arial"/>
          <w:b/>
          <w:bCs/>
          <w:iCs/>
          <w:color w:val="1F4E79" w:themeColor="accent1" w:themeShade="80"/>
          <w:sz w:val="36"/>
          <w:szCs w:val="36"/>
        </w:rPr>
        <w:t>Comparison of Corinthia and Ibis Hotels</w:t>
      </w:r>
    </w:p>
    <w:p w14:paraId="18EB5467" w14:textId="1CEE7D56" w:rsidR="00A24E8C" w:rsidRPr="00717BCA" w:rsidRDefault="00A24E8C" w:rsidP="009602AA">
      <w:pPr>
        <w:spacing w:line="256" w:lineRule="auto"/>
        <w:jc w:val="center"/>
        <w:rPr>
          <w:rFonts w:ascii="Arial" w:eastAsiaTheme="majorEastAsia" w:hAnsi="Arial" w:cs="Arial"/>
          <w:b/>
          <w:bCs/>
          <w:i/>
          <w:spacing w:val="-10"/>
          <w:kern w:val="28"/>
          <w:sz w:val="24"/>
          <w:szCs w:val="24"/>
          <w:u w:val="single"/>
          <w:shd w:val="clear" w:color="auto" w:fill="FFFFFF"/>
        </w:rPr>
      </w:pPr>
    </w:p>
    <w:p w14:paraId="39718560" w14:textId="77777777" w:rsidR="009602AA" w:rsidRPr="00717BCA" w:rsidRDefault="009602AA" w:rsidP="009602AA">
      <w:pPr>
        <w:spacing w:line="256" w:lineRule="auto"/>
        <w:jc w:val="center"/>
        <w:rPr>
          <w:rFonts w:ascii="Arial" w:hAnsi="Arial" w:cs="Arial"/>
          <w:i/>
          <w:sz w:val="24"/>
        </w:rPr>
      </w:pPr>
    </w:p>
    <w:p w14:paraId="53169894" w14:textId="387302DD" w:rsidR="009602AA" w:rsidRPr="00717BCA" w:rsidRDefault="009602AA" w:rsidP="009602AA">
      <w:pPr>
        <w:spacing w:line="256" w:lineRule="auto"/>
        <w:jc w:val="center"/>
        <w:rPr>
          <w:rFonts w:ascii="Arial" w:hAnsi="Arial" w:cs="Arial"/>
          <w:sz w:val="48"/>
          <w:szCs w:val="48"/>
        </w:rPr>
      </w:pPr>
      <w:r w:rsidRPr="00717BCA">
        <w:rPr>
          <w:rFonts w:ascii="Arial" w:hAnsi="Arial" w:cs="Arial"/>
          <w:sz w:val="48"/>
          <w:szCs w:val="48"/>
        </w:rPr>
        <w:t>Student: Nasima Akter</w:t>
      </w:r>
    </w:p>
    <w:p w14:paraId="24E84467" w14:textId="77777777" w:rsidR="009602AA" w:rsidRPr="00946485" w:rsidRDefault="009602AA" w:rsidP="009602AA">
      <w:pPr>
        <w:spacing w:line="276" w:lineRule="auto"/>
        <w:jc w:val="center"/>
        <w:rPr>
          <w:rFonts w:ascii="Arial" w:hAnsi="Arial" w:cs="Arial"/>
          <w:sz w:val="48"/>
          <w:szCs w:val="48"/>
        </w:rPr>
      </w:pPr>
      <w:r w:rsidRPr="00717BCA">
        <w:rPr>
          <w:rFonts w:ascii="Arial" w:hAnsi="Arial" w:cs="Arial"/>
          <w:sz w:val="48"/>
          <w:szCs w:val="48"/>
        </w:rPr>
        <w:t xml:space="preserve">Student ID: </w:t>
      </w:r>
      <w:r w:rsidRPr="00946485">
        <w:rPr>
          <w:rFonts w:ascii="Arial" w:hAnsi="Arial" w:cs="Arial"/>
          <w:sz w:val="48"/>
          <w:szCs w:val="48"/>
        </w:rPr>
        <w:t>2210268</w:t>
      </w:r>
    </w:p>
    <w:p w14:paraId="7D94E6B3" w14:textId="3DF8AB8C" w:rsidR="009602AA" w:rsidRPr="00946485" w:rsidRDefault="009602AA" w:rsidP="009602AA">
      <w:pPr>
        <w:spacing w:line="276" w:lineRule="auto"/>
        <w:jc w:val="center"/>
        <w:rPr>
          <w:rFonts w:ascii="Arial" w:hAnsi="Arial" w:cs="Arial"/>
          <w:sz w:val="48"/>
          <w:szCs w:val="48"/>
        </w:rPr>
      </w:pPr>
      <w:r w:rsidRPr="00946485">
        <w:rPr>
          <w:rFonts w:ascii="Arial" w:hAnsi="Arial" w:cs="Arial"/>
          <w:sz w:val="48"/>
          <w:szCs w:val="48"/>
        </w:rPr>
        <w:t xml:space="preserve">Lecturer: </w:t>
      </w:r>
      <w:r w:rsidR="00946485" w:rsidRPr="00946485">
        <w:rPr>
          <w:rFonts w:ascii="Arial" w:hAnsi="Arial" w:cs="Arial"/>
          <w:sz w:val="48"/>
          <w:szCs w:val="48"/>
        </w:rPr>
        <w:t>Jaliya De Silva</w:t>
      </w:r>
    </w:p>
    <w:p w14:paraId="54636593" w14:textId="2B172CD9" w:rsidR="009602AA" w:rsidRPr="00946485" w:rsidRDefault="009602AA" w:rsidP="009602AA">
      <w:pPr>
        <w:spacing w:line="276" w:lineRule="auto"/>
        <w:jc w:val="center"/>
        <w:rPr>
          <w:rFonts w:ascii="Arial" w:hAnsi="Arial" w:cs="Arial"/>
          <w:sz w:val="48"/>
          <w:szCs w:val="48"/>
        </w:rPr>
      </w:pPr>
      <w:r w:rsidRPr="00946485">
        <w:rPr>
          <w:rFonts w:ascii="Arial" w:hAnsi="Arial" w:cs="Arial"/>
          <w:sz w:val="48"/>
          <w:szCs w:val="48"/>
        </w:rPr>
        <w:t xml:space="preserve">Word Count: </w:t>
      </w:r>
      <w:r w:rsidR="006B2E17">
        <w:rPr>
          <w:rFonts w:ascii="Arial" w:hAnsi="Arial" w:cs="Arial"/>
          <w:sz w:val="48"/>
          <w:szCs w:val="48"/>
        </w:rPr>
        <w:t>1865</w:t>
      </w:r>
    </w:p>
    <w:p w14:paraId="3EFB7592" w14:textId="2FFD6E22" w:rsidR="0035086F" w:rsidRDefault="0035086F" w:rsidP="002E6E2B">
      <w:pPr>
        <w:spacing w:line="276" w:lineRule="auto"/>
        <w:rPr>
          <w:rFonts w:ascii="Arial" w:hAnsi="Arial" w:cs="Arial"/>
          <w:b/>
          <w:sz w:val="48"/>
          <w:szCs w:val="48"/>
        </w:rPr>
      </w:pPr>
    </w:p>
    <w:p w14:paraId="3A4D5584" w14:textId="77777777" w:rsidR="002E6E2B" w:rsidRDefault="002E6E2B" w:rsidP="002E6E2B">
      <w:pPr>
        <w:spacing w:line="276" w:lineRule="auto"/>
      </w:pPr>
    </w:p>
    <w:p w14:paraId="47E3FF9B" w14:textId="77777777" w:rsidR="00D80E07" w:rsidRDefault="00D80E07" w:rsidP="002E6E2B">
      <w:pPr>
        <w:spacing w:line="276" w:lineRule="auto"/>
      </w:pPr>
    </w:p>
    <w:sdt>
      <w:sdtPr>
        <w:rPr>
          <w:rFonts w:ascii="Arial" w:eastAsiaTheme="minorHAnsi" w:hAnsi="Arial" w:cs="Vrinda"/>
          <w:b w:val="0"/>
          <w:bCs w:val="0"/>
          <w:color w:val="auto"/>
          <w:sz w:val="24"/>
          <w:szCs w:val="30"/>
          <w:lang w:val="en-GB" w:bidi="bn-IN"/>
        </w:rPr>
        <w:id w:val="-1117984772"/>
        <w:docPartObj>
          <w:docPartGallery w:val="Table of Contents"/>
          <w:docPartUnique/>
        </w:docPartObj>
      </w:sdtPr>
      <w:sdtEndPr>
        <w:rPr>
          <w:rFonts w:asciiTheme="minorHAnsi" w:hAnsiTheme="minorHAnsi" w:cstheme="minorBidi"/>
          <w:noProof/>
          <w:sz w:val="22"/>
          <w:szCs w:val="22"/>
          <w:lang w:bidi="ar-SA"/>
        </w:rPr>
      </w:sdtEndPr>
      <w:sdtContent>
        <w:p w14:paraId="4FDA3176" w14:textId="77777777" w:rsidR="0035086F" w:rsidRPr="00421267" w:rsidRDefault="0035086F" w:rsidP="0035086F">
          <w:pPr>
            <w:pStyle w:val="TOCHeading"/>
            <w:jc w:val="center"/>
            <w:rPr>
              <w:rFonts w:ascii="Arial" w:hAnsi="Arial" w:cs="Arial"/>
              <w:color w:val="000000" w:themeColor="text1"/>
              <w:sz w:val="32"/>
              <w:szCs w:val="32"/>
            </w:rPr>
          </w:pPr>
          <w:r w:rsidRPr="00421267">
            <w:rPr>
              <w:rFonts w:ascii="Arial" w:hAnsi="Arial" w:cs="Arial"/>
              <w:color w:val="000000" w:themeColor="text1"/>
              <w:sz w:val="32"/>
              <w:szCs w:val="32"/>
            </w:rPr>
            <w:t>Table of Contents</w:t>
          </w:r>
        </w:p>
        <w:p w14:paraId="3F0CF8BF" w14:textId="542CDEF3" w:rsidR="00D75F8A" w:rsidRPr="00421267" w:rsidRDefault="0035086F" w:rsidP="00421267">
          <w:pPr>
            <w:jc w:val="both"/>
            <w:rPr>
              <w:rFonts w:ascii="Arial" w:eastAsiaTheme="minorEastAsia" w:hAnsi="Arial" w:cs="Arial"/>
              <w:b/>
              <w:bCs/>
              <w:caps/>
              <w:noProof/>
              <w:sz w:val="24"/>
              <w:szCs w:val="24"/>
              <w:lang w:eastAsia="en-GB"/>
            </w:rPr>
          </w:pPr>
          <w:r w:rsidRPr="00421267">
            <w:rPr>
              <w:rFonts w:ascii="Arial" w:hAnsi="Arial" w:cs="Arial"/>
              <w:b/>
              <w:caps/>
              <w:sz w:val="24"/>
              <w:szCs w:val="24"/>
              <w:lang w:val="en-US" w:bidi="bn-IN"/>
            </w:rPr>
            <w:fldChar w:fldCharType="begin"/>
          </w:r>
          <w:r w:rsidRPr="00421267">
            <w:rPr>
              <w:rFonts w:ascii="Arial" w:hAnsi="Arial" w:cs="Arial"/>
              <w:sz w:val="24"/>
              <w:szCs w:val="24"/>
            </w:rPr>
            <w:instrText xml:space="preserve"> TOC \o "1-3" \h \z \u </w:instrText>
          </w:r>
          <w:r w:rsidRPr="00421267">
            <w:rPr>
              <w:rFonts w:ascii="Arial" w:hAnsi="Arial" w:cs="Arial"/>
              <w:b/>
              <w:caps/>
              <w:sz w:val="24"/>
              <w:szCs w:val="24"/>
              <w:lang w:val="en-US" w:bidi="bn-IN"/>
            </w:rPr>
            <w:fldChar w:fldCharType="separate"/>
          </w:r>
          <w:hyperlink w:anchor="_Toc157801443" w:history="1">
            <w:r w:rsidR="00D75F8A" w:rsidRPr="00421267">
              <w:rPr>
                <w:rStyle w:val="Hyperlink"/>
                <w:rFonts w:ascii="Arial" w:hAnsi="Arial" w:cs="Arial"/>
                <w:noProof/>
                <w:sz w:val="24"/>
                <w:szCs w:val="24"/>
                <w:lang w:bidi="bn-IN"/>
              </w:rPr>
              <w:t>Introduction</w:t>
            </w:r>
            <w:r w:rsidR="00D75F8A" w:rsidRPr="00421267">
              <w:rPr>
                <w:rFonts w:ascii="Arial" w:hAnsi="Arial" w:cs="Arial"/>
                <w:noProof/>
                <w:webHidden/>
                <w:sz w:val="24"/>
                <w:szCs w:val="24"/>
              </w:rPr>
              <w:t>_______________________</w:t>
            </w:r>
            <w:r w:rsidR="00421267" w:rsidRPr="00421267">
              <w:rPr>
                <w:rFonts w:ascii="Arial" w:hAnsi="Arial" w:cs="Arial"/>
                <w:noProof/>
                <w:webHidden/>
                <w:sz w:val="24"/>
                <w:szCs w:val="24"/>
              </w:rPr>
              <w:t>____________________</w:t>
            </w:r>
            <w:r w:rsidR="00D75F8A" w:rsidRPr="00421267">
              <w:rPr>
                <w:rFonts w:ascii="Arial" w:hAnsi="Arial" w:cs="Arial"/>
                <w:noProof/>
                <w:webHidden/>
                <w:sz w:val="24"/>
                <w:szCs w:val="24"/>
              </w:rPr>
              <w:t>_____________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_Toc157801443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3</w:t>
            </w:r>
            <w:r w:rsidR="00D75F8A" w:rsidRPr="00421267">
              <w:rPr>
                <w:rFonts w:ascii="Arial" w:hAnsi="Arial" w:cs="Arial"/>
                <w:noProof/>
                <w:webHidden/>
                <w:sz w:val="24"/>
                <w:szCs w:val="24"/>
              </w:rPr>
              <w:fldChar w:fldCharType="end"/>
            </w:r>
          </w:hyperlink>
        </w:p>
        <w:p w14:paraId="6FAF9C16" w14:textId="04604845" w:rsidR="00D75F8A" w:rsidRPr="00421267" w:rsidRDefault="00421267" w:rsidP="00421267">
          <w:pPr>
            <w:jc w:val="both"/>
            <w:rPr>
              <w:rFonts w:ascii="Arial" w:eastAsiaTheme="minorEastAsia" w:hAnsi="Arial" w:cs="Arial"/>
              <w:b/>
              <w:bCs/>
              <w:caps/>
              <w:noProof/>
              <w:sz w:val="24"/>
              <w:szCs w:val="24"/>
              <w:lang w:eastAsia="en-GB"/>
            </w:rPr>
          </w:pPr>
          <w:hyperlink w:anchor="_Toc157801444" w:history="1">
            <w:r w:rsidR="00D75F8A" w:rsidRPr="00421267">
              <w:rPr>
                <w:rStyle w:val="Hyperlink"/>
                <w:rFonts w:ascii="Arial" w:hAnsi="Arial" w:cs="Arial"/>
                <w:noProof/>
                <w:sz w:val="24"/>
                <w:szCs w:val="24"/>
                <w:lang w:bidi="bn-IN"/>
              </w:rPr>
              <w:t>Comparative analysis of both hotels</w:t>
            </w:r>
            <w:r w:rsidR="00D75F8A" w:rsidRPr="00421267">
              <w:rPr>
                <w:rFonts w:ascii="Arial" w:hAnsi="Arial" w:cs="Arial"/>
                <w:noProof/>
                <w:webHidden/>
                <w:sz w:val="24"/>
                <w:szCs w:val="24"/>
              </w:rPr>
              <w:t>___________</w:t>
            </w:r>
            <w:r>
              <w:rPr>
                <w:rFonts w:ascii="Arial" w:hAnsi="Arial" w:cs="Arial"/>
                <w:noProof/>
                <w:webHidden/>
                <w:sz w:val="24"/>
                <w:szCs w:val="24"/>
              </w:rPr>
              <w:t>__________________</w:t>
            </w:r>
            <w:r w:rsidRPr="00421267">
              <w:rPr>
                <w:rFonts w:ascii="Arial" w:hAnsi="Arial" w:cs="Arial"/>
                <w:noProof/>
                <w:webHidden/>
                <w:sz w:val="24"/>
                <w:szCs w:val="24"/>
              </w:rPr>
              <w:t>_</w:t>
            </w:r>
            <w:r w:rsidR="00D75F8A" w:rsidRPr="00421267">
              <w:rPr>
                <w:rFonts w:ascii="Arial" w:hAnsi="Arial" w:cs="Arial"/>
                <w:noProof/>
                <w:webHidden/>
                <w:sz w:val="24"/>
                <w:szCs w:val="24"/>
              </w:rPr>
              <w:t>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_Toc157801444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4</w:t>
            </w:r>
            <w:r w:rsidR="00D75F8A" w:rsidRPr="00421267">
              <w:rPr>
                <w:rFonts w:ascii="Arial" w:hAnsi="Arial" w:cs="Arial"/>
                <w:noProof/>
                <w:webHidden/>
                <w:sz w:val="24"/>
                <w:szCs w:val="24"/>
              </w:rPr>
              <w:fldChar w:fldCharType="end"/>
            </w:r>
          </w:hyperlink>
        </w:p>
        <w:p w14:paraId="3F03FCFE" w14:textId="7B4056AC" w:rsidR="00D75F8A" w:rsidRPr="00421267" w:rsidRDefault="00421267" w:rsidP="00421267">
          <w:pPr>
            <w:jc w:val="both"/>
            <w:rPr>
              <w:rFonts w:ascii="Arial" w:eastAsiaTheme="minorEastAsia" w:hAnsi="Arial" w:cs="Arial"/>
              <w:i/>
              <w:smallCaps/>
              <w:noProof/>
              <w:sz w:val="24"/>
              <w:szCs w:val="24"/>
              <w:lang w:eastAsia="en-GB"/>
            </w:rPr>
          </w:pPr>
          <w:hyperlink w:anchor="_Toc157801445" w:history="1">
            <w:r w:rsidR="00D75F8A" w:rsidRPr="00421267">
              <w:rPr>
                <w:rStyle w:val="Hyperlink"/>
                <w:rFonts w:ascii="Arial" w:hAnsi="Arial" w:cs="Arial"/>
                <w:i/>
                <w:noProof/>
                <w:sz w:val="24"/>
                <w:szCs w:val="24"/>
                <w:lang w:bidi="bn-IN"/>
              </w:rPr>
              <w:t>Total revenue evaluation</w:t>
            </w:r>
            <w:r>
              <w:rPr>
                <w:rFonts w:ascii="Arial" w:hAnsi="Arial" w:cs="Arial"/>
                <w:i/>
                <w:noProof/>
                <w:webHidden/>
                <w:sz w:val="24"/>
                <w:szCs w:val="24"/>
              </w:rPr>
              <w:t>____________________</w:t>
            </w:r>
            <w:r w:rsidR="00D75F8A" w:rsidRPr="00421267">
              <w:rPr>
                <w:rFonts w:ascii="Arial" w:hAnsi="Arial" w:cs="Arial"/>
                <w:i/>
                <w:noProof/>
                <w:webHidden/>
                <w:sz w:val="24"/>
                <w:szCs w:val="24"/>
              </w:rPr>
              <w:t>____</w:t>
            </w:r>
            <w:r w:rsidR="00610132" w:rsidRPr="00421267">
              <w:rPr>
                <w:rFonts w:ascii="Arial" w:hAnsi="Arial" w:cs="Arial"/>
                <w:i/>
                <w:noProof/>
                <w:webHidden/>
                <w:sz w:val="24"/>
                <w:szCs w:val="24"/>
              </w:rPr>
              <w:t>_______</w:t>
            </w:r>
            <w:r>
              <w:rPr>
                <w:rFonts w:ascii="Arial" w:hAnsi="Arial" w:cs="Arial"/>
                <w:i/>
                <w:noProof/>
                <w:webHidden/>
                <w:sz w:val="24"/>
                <w:szCs w:val="24"/>
              </w:rPr>
              <w:t>_______________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_Toc157801445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4</w:t>
            </w:r>
            <w:r w:rsidR="00D75F8A" w:rsidRPr="00421267">
              <w:rPr>
                <w:rFonts w:ascii="Arial" w:hAnsi="Arial" w:cs="Arial"/>
                <w:noProof/>
                <w:webHidden/>
                <w:sz w:val="24"/>
                <w:szCs w:val="24"/>
              </w:rPr>
              <w:fldChar w:fldCharType="end"/>
            </w:r>
          </w:hyperlink>
        </w:p>
        <w:p w14:paraId="170D5FA3" w14:textId="476007EE" w:rsidR="00D75F8A" w:rsidRPr="00421267" w:rsidRDefault="00421267" w:rsidP="00421267">
          <w:pPr>
            <w:jc w:val="both"/>
            <w:rPr>
              <w:rFonts w:ascii="Arial" w:eastAsiaTheme="minorEastAsia" w:hAnsi="Arial" w:cs="Arial"/>
              <w:i/>
              <w:smallCaps/>
              <w:noProof/>
              <w:sz w:val="24"/>
              <w:szCs w:val="24"/>
              <w:lang w:eastAsia="en-GB"/>
            </w:rPr>
          </w:pPr>
          <w:hyperlink w:anchor="_Toc157801446" w:history="1">
            <w:r w:rsidR="00D75F8A" w:rsidRPr="00421267">
              <w:rPr>
                <w:rStyle w:val="Hyperlink"/>
                <w:rFonts w:ascii="Arial" w:hAnsi="Arial" w:cs="Arial"/>
                <w:i/>
                <w:noProof/>
                <w:sz w:val="24"/>
                <w:szCs w:val="24"/>
                <w:lang w:bidi="bn-IN"/>
              </w:rPr>
              <w:t>Market position evaluation</w:t>
            </w:r>
            <w:r>
              <w:rPr>
                <w:rFonts w:ascii="Arial" w:hAnsi="Arial" w:cs="Arial"/>
                <w:i/>
                <w:noProof/>
                <w:webHidden/>
                <w:sz w:val="24"/>
                <w:szCs w:val="24"/>
              </w:rPr>
              <w:t>____________________________________________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_Toc157801446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5</w:t>
            </w:r>
            <w:r w:rsidR="00D75F8A" w:rsidRPr="00421267">
              <w:rPr>
                <w:rFonts w:ascii="Arial" w:hAnsi="Arial" w:cs="Arial"/>
                <w:noProof/>
                <w:webHidden/>
                <w:sz w:val="24"/>
                <w:szCs w:val="24"/>
              </w:rPr>
              <w:fldChar w:fldCharType="end"/>
            </w:r>
          </w:hyperlink>
        </w:p>
        <w:p w14:paraId="771AAF00" w14:textId="496415E7" w:rsidR="00D75F8A" w:rsidRPr="00421267" w:rsidRDefault="00421267" w:rsidP="00421267">
          <w:pPr>
            <w:jc w:val="both"/>
            <w:rPr>
              <w:rFonts w:ascii="Arial" w:eastAsiaTheme="minorEastAsia" w:hAnsi="Arial" w:cs="Arial"/>
              <w:i/>
              <w:smallCaps/>
              <w:noProof/>
              <w:sz w:val="24"/>
              <w:szCs w:val="24"/>
              <w:lang w:eastAsia="en-GB"/>
            </w:rPr>
          </w:pPr>
          <w:hyperlink w:anchor="_Toc157801447" w:history="1">
            <w:r w:rsidR="00D75F8A" w:rsidRPr="00421267">
              <w:rPr>
                <w:rStyle w:val="Hyperlink"/>
                <w:rFonts w:ascii="Arial" w:hAnsi="Arial" w:cs="Arial"/>
                <w:i/>
                <w:noProof/>
                <w:sz w:val="24"/>
                <w:szCs w:val="24"/>
                <w:lang w:bidi="bn-IN"/>
              </w:rPr>
              <w:t>Growth Potential Evaluation</w:t>
            </w:r>
            <w:r w:rsidR="00D75F8A" w:rsidRPr="00421267">
              <w:rPr>
                <w:rFonts w:ascii="Arial" w:hAnsi="Arial" w:cs="Arial"/>
                <w:i/>
                <w:noProof/>
                <w:webHidden/>
                <w:sz w:val="24"/>
                <w:szCs w:val="24"/>
              </w:rPr>
              <w:t>______</w:t>
            </w:r>
            <w:r w:rsidRPr="00421267">
              <w:rPr>
                <w:rFonts w:ascii="Arial" w:hAnsi="Arial" w:cs="Arial"/>
                <w:i/>
                <w:noProof/>
                <w:webHidden/>
                <w:sz w:val="24"/>
                <w:szCs w:val="24"/>
              </w:rPr>
              <w:t>_________________________</w:t>
            </w:r>
            <w:r w:rsidR="00D75F8A" w:rsidRPr="00421267">
              <w:rPr>
                <w:rFonts w:ascii="Arial" w:hAnsi="Arial" w:cs="Arial"/>
                <w:i/>
                <w:noProof/>
                <w:webHidden/>
                <w:sz w:val="24"/>
                <w:szCs w:val="24"/>
              </w:rPr>
              <w:t>______</w:t>
            </w:r>
            <w:r w:rsidR="00610132" w:rsidRPr="00421267">
              <w:rPr>
                <w:rFonts w:ascii="Arial" w:hAnsi="Arial" w:cs="Arial"/>
                <w:i/>
                <w:noProof/>
                <w:webHidden/>
                <w:sz w:val="24"/>
                <w:szCs w:val="24"/>
              </w:rPr>
              <w:t>___</w:t>
            </w:r>
            <w:r w:rsidR="00D75F8A" w:rsidRPr="00421267">
              <w:rPr>
                <w:rFonts w:ascii="Arial" w:hAnsi="Arial" w:cs="Arial"/>
                <w:i/>
                <w:noProof/>
                <w:webHidden/>
                <w:sz w:val="24"/>
                <w:szCs w:val="24"/>
              </w:rPr>
              <w:t>___</w:t>
            </w:r>
            <w:r w:rsidR="00D75F8A" w:rsidRPr="00421267">
              <w:rPr>
                <w:rFonts w:ascii="Arial" w:hAnsi="Arial" w:cs="Arial"/>
                <w:i/>
                <w:noProof/>
                <w:webHidden/>
                <w:sz w:val="24"/>
                <w:szCs w:val="24"/>
              </w:rPr>
              <w:fldChar w:fldCharType="begin"/>
            </w:r>
            <w:r w:rsidR="00D75F8A" w:rsidRPr="00421267">
              <w:rPr>
                <w:rFonts w:ascii="Arial" w:hAnsi="Arial" w:cs="Arial"/>
                <w:i/>
                <w:noProof/>
                <w:webHidden/>
                <w:sz w:val="24"/>
                <w:szCs w:val="24"/>
              </w:rPr>
              <w:instrText xml:space="preserve"> PAGEREF _Toc157801447 \h </w:instrText>
            </w:r>
            <w:r w:rsidR="00D75F8A" w:rsidRPr="00421267">
              <w:rPr>
                <w:rFonts w:ascii="Arial" w:hAnsi="Arial" w:cs="Arial"/>
                <w:i/>
                <w:noProof/>
                <w:webHidden/>
                <w:sz w:val="24"/>
                <w:szCs w:val="24"/>
              </w:rPr>
            </w:r>
            <w:r w:rsidR="00D75F8A" w:rsidRPr="00421267">
              <w:rPr>
                <w:rFonts w:ascii="Arial" w:hAnsi="Arial" w:cs="Arial"/>
                <w:i/>
                <w:noProof/>
                <w:webHidden/>
                <w:sz w:val="24"/>
                <w:szCs w:val="24"/>
              </w:rPr>
              <w:fldChar w:fldCharType="separate"/>
            </w:r>
            <w:r w:rsidR="00D75F8A" w:rsidRPr="00421267">
              <w:rPr>
                <w:rFonts w:ascii="Arial" w:hAnsi="Arial" w:cs="Arial"/>
                <w:i/>
                <w:noProof/>
                <w:webHidden/>
                <w:sz w:val="24"/>
                <w:szCs w:val="24"/>
              </w:rPr>
              <w:t>6</w:t>
            </w:r>
            <w:r w:rsidR="00D75F8A" w:rsidRPr="00421267">
              <w:rPr>
                <w:rFonts w:ascii="Arial" w:hAnsi="Arial" w:cs="Arial"/>
                <w:i/>
                <w:noProof/>
                <w:webHidden/>
                <w:sz w:val="24"/>
                <w:szCs w:val="24"/>
              </w:rPr>
              <w:fldChar w:fldCharType="end"/>
            </w:r>
          </w:hyperlink>
        </w:p>
        <w:p w14:paraId="55B89B72" w14:textId="2431E238" w:rsidR="00D75F8A" w:rsidRPr="00421267" w:rsidRDefault="00421267" w:rsidP="00421267">
          <w:pPr>
            <w:jc w:val="both"/>
            <w:rPr>
              <w:rFonts w:ascii="Arial" w:eastAsiaTheme="minorEastAsia" w:hAnsi="Arial" w:cs="Arial"/>
              <w:i/>
              <w:smallCaps/>
              <w:noProof/>
              <w:sz w:val="24"/>
              <w:szCs w:val="24"/>
              <w:lang w:eastAsia="en-GB"/>
            </w:rPr>
          </w:pPr>
          <w:hyperlink w:anchor="_Toc157801448" w:history="1">
            <w:r w:rsidR="00D75F8A" w:rsidRPr="00421267">
              <w:rPr>
                <w:rStyle w:val="Hyperlink"/>
                <w:rFonts w:ascii="Arial" w:hAnsi="Arial" w:cs="Arial"/>
                <w:i/>
                <w:noProof/>
                <w:sz w:val="24"/>
                <w:szCs w:val="24"/>
                <w:lang w:bidi="bn-IN"/>
              </w:rPr>
              <w:t>Financial Commitment to CSR</w:t>
            </w:r>
            <w:r w:rsidR="00D75F8A" w:rsidRPr="00421267">
              <w:rPr>
                <w:rFonts w:ascii="Arial" w:hAnsi="Arial" w:cs="Arial"/>
                <w:i/>
                <w:noProof/>
                <w:webHidden/>
                <w:sz w:val="24"/>
                <w:szCs w:val="24"/>
              </w:rPr>
              <w:t>___________________________________</w:t>
            </w:r>
            <w:r w:rsidRPr="00421267">
              <w:rPr>
                <w:rFonts w:ascii="Arial" w:hAnsi="Arial" w:cs="Arial"/>
                <w:i/>
                <w:noProof/>
                <w:webHidden/>
                <w:sz w:val="24"/>
                <w:szCs w:val="24"/>
              </w:rPr>
              <w:t>_</w:t>
            </w:r>
            <w:r w:rsidR="00D75F8A" w:rsidRPr="00421267">
              <w:rPr>
                <w:rFonts w:ascii="Arial" w:hAnsi="Arial" w:cs="Arial"/>
                <w:i/>
                <w:noProof/>
                <w:webHidden/>
                <w:sz w:val="24"/>
                <w:szCs w:val="24"/>
              </w:rPr>
              <w:t>_____</w:t>
            </w:r>
            <w:r w:rsidR="00D75F8A" w:rsidRPr="00421267">
              <w:rPr>
                <w:rFonts w:ascii="Arial" w:hAnsi="Arial" w:cs="Arial"/>
                <w:i/>
                <w:noProof/>
                <w:webHidden/>
                <w:sz w:val="24"/>
                <w:szCs w:val="24"/>
              </w:rPr>
              <w:fldChar w:fldCharType="begin"/>
            </w:r>
            <w:r w:rsidR="00D75F8A" w:rsidRPr="00421267">
              <w:rPr>
                <w:rFonts w:ascii="Arial" w:hAnsi="Arial" w:cs="Arial"/>
                <w:i/>
                <w:noProof/>
                <w:webHidden/>
                <w:sz w:val="24"/>
                <w:szCs w:val="24"/>
              </w:rPr>
              <w:instrText xml:space="preserve"> PAGEREF _Toc157801448 \h </w:instrText>
            </w:r>
            <w:r w:rsidR="00D75F8A" w:rsidRPr="00421267">
              <w:rPr>
                <w:rFonts w:ascii="Arial" w:hAnsi="Arial" w:cs="Arial"/>
                <w:i/>
                <w:noProof/>
                <w:webHidden/>
                <w:sz w:val="24"/>
                <w:szCs w:val="24"/>
              </w:rPr>
            </w:r>
            <w:r w:rsidR="00D75F8A" w:rsidRPr="00421267">
              <w:rPr>
                <w:rFonts w:ascii="Arial" w:hAnsi="Arial" w:cs="Arial"/>
                <w:i/>
                <w:noProof/>
                <w:webHidden/>
                <w:sz w:val="24"/>
                <w:szCs w:val="24"/>
              </w:rPr>
              <w:fldChar w:fldCharType="separate"/>
            </w:r>
            <w:r w:rsidR="00D75F8A" w:rsidRPr="00421267">
              <w:rPr>
                <w:rFonts w:ascii="Arial" w:hAnsi="Arial" w:cs="Arial"/>
                <w:i/>
                <w:noProof/>
                <w:webHidden/>
                <w:sz w:val="24"/>
                <w:szCs w:val="24"/>
              </w:rPr>
              <w:t>8</w:t>
            </w:r>
            <w:r w:rsidR="00D75F8A" w:rsidRPr="00421267">
              <w:rPr>
                <w:rFonts w:ascii="Arial" w:hAnsi="Arial" w:cs="Arial"/>
                <w:i/>
                <w:noProof/>
                <w:webHidden/>
                <w:sz w:val="24"/>
                <w:szCs w:val="24"/>
              </w:rPr>
              <w:fldChar w:fldCharType="end"/>
            </w:r>
          </w:hyperlink>
        </w:p>
        <w:p w14:paraId="2630356A" w14:textId="530AF252" w:rsidR="00D75F8A" w:rsidRPr="00421267" w:rsidRDefault="00421267" w:rsidP="00421267">
          <w:pPr>
            <w:jc w:val="both"/>
            <w:rPr>
              <w:rFonts w:ascii="Arial" w:eastAsiaTheme="minorEastAsia" w:hAnsi="Arial" w:cs="Arial"/>
              <w:b/>
              <w:bCs/>
              <w:caps/>
              <w:noProof/>
              <w:sz w:val="24"/>
              <w:szCs w:val="24"/>
              <w:lang w:eastAsia="en-GB"/>
            </w:rPr>
          </w:pPr>
          <w:hyperlink w:anchor="_Toc157801449" w:history="1">
            <w:r w:rsidR="00D75F8A" w:rsidRPr="00421267">
              <w:rPr>
                <w:rStyle w:val="Hyperlink"/>
                <w:rFonts w:ascii="Arial" w:hAnsi="Arial" w:cs="Arial"/>
                <w:noProof/>
                <w:sz w:val="24"/>
                <w:szCs w:val="24"/>
                <w:lang w:bidi="bn-IN"/>
              </w:rPr>
              <w:t>Recommendations</w:t>
            </w:r>
            <w:r w:rsidRPr="00421267">
              <w:rPr>
                <w:rFonts w:ascii="Arial" w:hAnsi="Arial" w:cs="Arial"/>
                <w:noProof/>
                <w:webHidden/>
                <w:sz w:val="24"/>
                <w:szCs w:val="24"/>
              </w:rPr>
              <w:t>_____________________</w:t>
            </w:r>
            <w:r>
              <w:rPr>
                <w:rFonts w:ascii="Arial" w:hAnsi="Arial" w:cs="Arial"/>
                <w:noProof/>
                <w:webHidden/>
                <w:sz w:val="24"/>
                <w:szCs w:val="24"/>
              </w:rPr>
              <w:t>__</w:t>
            </w:r>
            <w:r w:rsidR="00D75F8A" w:rsidRPr="00421267">
              <w:rPr>
                <w:rFonts w:ascii="Arial" w:hAnsi="Arial" w:cs="Arial"/>
                <w:noProof/>
                <w:webHidden/>
                <w:sz w:val="24"/>
                <w:szCs w:val="24"/>
              </w:rPr>
              <w:t>__</w:t>
            </w:r>
            <w:r w:rsidRPr="00421267">
              <w:rPr>
                <w:rFonts w:ascii="Arial" w:hAnsi="Arial" w:cs="Arial"/>
                <w:noProof/>
                <w:webHidden/>
                <w:sz w:val="24"/>
                <w:szCs w:val="24"/>
              </w:rPr>
              <w:t>_</w:t>
            </w:r>
            <w:r w:rsidR="00D75F8A" w:rsidRPr="00421267">
              <w:rPr>
                <w:rFonts w:ascii="Arial" w:hAnsi="Arial" w:cs="Arial"/>
                <w:noProof/>
                <w:webHidden/>
                <w:sz w:val="24"/>
                <w:szCs w:val="24"/>
              </w:rPr>
              <w:t>_______________________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_Toc157801449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10</w:t>
            </w:r>
            <w:r w:rsidR="00D75F8A" w:rsidRPr="00421267">
              <w:rPr>
                <w:rFonts w:ascii="Arial" w:hAnsi="Arial" w:cs="Arial"/>
                <w:noProof/>
                <w:webHidden/>
                <w:sz w:val="24"/>
                <w:szCs w:val="24"/>
              </w:rPr>
              <w:fldChar w:fldCharType="end"/>
            </w:r>
          </w:hyperlink>
        </w:p>
        <w:p w14:paraId="227DE48C" w14:textId="17A48624" w:rsidR="00D75F8A" w:rsidRPr="00421267" w:rsidRDefault="00421267" w:rsidP="00421267">
          <w:pPr>
            <w:jc w:val="both"/>
            <w:rPr>
              <w:rFonts w:ascii="Arial" w:eastAsiaTheme="minorEastAsia" w:hAnsi="Arial" w:cs="Arial"/>
              <w:b/>
              <w:bCs/>
              <w:caps/>
              <w:noProof/>
              <w:sz w:val="24"/>
              <w:szCs w:val="24"/>
              <w:lang w:eastAsia="en-GB"/>
            </w:rPr>
          </w:pPr>
          <w:hyperlink w:anchor="_Toc157801450" w:history="1">
            <w:r w:rsidR="00D75F8A" w:rsidRPr="00421267">
              <w:rPr>
                <w:rStyle w:val="Hyperlink"/>
                <w:rFonts w:ascii="Arial" w:hAnsi="Arial" w:cs="Arial"/>
                <w:noProof/>
                <w:sz w:val="24"/>
                <w:szCs w:val="24"/>
                <w:lang w:bidi="bn-IN"/>
              </w:rPr>
              <w:t>Conclusion</w:t>
            </w:r>
            <w:r w:rsidRPr="00421267">
              <w:rPr>
                <w:rFonts w:ascii="Arial" w:hAnsi="Arial" w:cs="Arial"/>
                <w:noProof/>
                <w:webHidden/>
                <w:sz w:val="24"/>
                <w:szCs w:val="24"/>
              </w:rPr>
              <w:t>___________________</w:t>
            </w:r>
            <w:r w:rsidR="00D75F8A" w:rsidRPr="00421267">
              <w:rPr>
                <w:rFonts w:ascii="Arial" w:hAnsi="Arial" w:cs="Arial"/>
                <w:noProof/>
                <w:webHidden/>
                <w:sz w:val="24"/>
                <w:szCs w:val="24"/>
              </w:rPr>
              <w:t>______________</w:t>
            </w:r>
            <w:r w:rsidRPr="00421267">
              <w:rPr>
                <w:rFonts w:ascii="Arial" w:hAnsi="Arial" w:cs="Arial"/>
                <w:noProof/>
                <w:webHidden/>
                <w:sz w:val="24"/>
                <w:szCs w:val="24"/>
              </w:rPr>
              <w:t>_</w:t>
            </w:r>
            <w:r w:rsidR="00D75F8A" w:rsidRPr="00421267">
              <w:rPr>
                <w:rFonts w:ascii="Arial" w:hAnsi="Arial" w:cs="Arial"/>
                <w:noProof/>
                <w:webHidden/>
                <w:sz w:val="24"/>
                <w:szCs w:val="24"/>
              </w:rPr>
              <w:t>_____________________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_Toc157801450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10</w:t>
            </w:r>
            <w:r w:rsidR="00D75F8A" w:rsidRPr="00421267">
              <w:rPr>
                <w:rFonts w:ascii="Arial" w:hAnsi="Arial" w:cs="Arial"/>
                <w:noProof/>
                <w:webHidden/>
                <w:sz w:val="24"/>
                <w:szCs w:val="24"/>
              </w:rPr>
              <w:fldChar w:fldCharType="end"/>
            </w:r>
          </w:hyperlink>
        </w:p>
        <w:p w14:paraId="52B59BCF" w14:textId="7971C8D4" w:rsidR="00D75F8A" w:rsidRPr="00421267" w:rsidRDefault="00421267" w:rsidP="00421267">
          <w:pPr>
            <w:jc w:val="both"/>
            <w:rPr>
              <w:rFonts w:ascii="Arial" w:eastAsiaTheme="minorEastAsia" w:hAnsi="Arial" w:cs="Arial"/>
              <w:b/>
              <w:bCs/>
              <w:caps/>
              <w:noProof/>
              <w:sz w:val="24"/>
              <w:szCs w:val="24"/>
              <w:lang w:eastAsia="en-GB"/>
            </w:rPr>
          </w:pPr>
          <w:hyperlink w:anchor="_Toc157801451" w:history="1">
            <w:r w:rsidR="00D75F8A" w:rsidRPr="00421267">
              <w:rPr>
                <w:rStyle w:val="Hyperlink"/>
                <w:rFonts w:ascii="Arial" w:hAnsi="Arial" w:cs="Arial"/>
                <w:noProof/>
                <w:sz w:val="24"/>
                <w:szCs w:val="24"/>
                <w:lang w:bidi="bn-IN"/>
              </w:rPr>
              <w:t>References</w:t>
            </w:r>
            <w:r w:rsidR="00D75F8A" w:rsidRPr="00421267">
              <w:rPr>
                <w:rFonts w:ascii="Arial" w:hAnsi="Arial" w:cs="Arial"/>
                <w:noProof/>
                <w:webHidden/>
                <w:sz w:val="24"/>
                <w:szCs w:val="24"/>
              </w:rPr>
              <w:t>_______</w:t>
            </w:r>
            <w:r w:rsidRPr="00421267">
              <w:rPr>
                <w:rFonts w:ascii="Arial" w:hAnsi="Arial" w:cs="Arial"/>
                <w:noProof/>
                <w:webHidden/>
                <w:sz w:val="24"/>
                <w:szCs w:val="24"/>
              </w:rPr>
              <w:t>________________________</w:t>
            </w:r>
            <w:r>
              <w:rPr>
                <w:rFonts w:ascii="Arial" w:hAnsi="Arial" w:cs="Arial"/>
                <w:noProof/>
                <w:webHidden/>
                <w:sz w:val="24"/>
                <w:szCs w:val="24"/>
              </w:rPr>
              <w:t>____________</w:t>
            </w:r>
            <w:r w:rsidR="00D75F8A" w:rsidRPr="00421267">
              <w:rPr>
                <w:rFonts w:ascii="Arial" w:hAnsi="Arial" w:cs="Arial"/>
                <w:noProof/>
                <w:webHidden/>
                <w:sz w:val="24"/>
                <w:szCs w:val="24"/>
              </w:rPr>
              <w:t>____________</w:t>
            </w:r>
            <w:r w:rsidR="00D75F8A" w:rsidRPr="00421267">
              <w:rPr>
                <w:rFonts w:ascii="Arial" w:hAnsi="Arial" w:cs="Arial"/>
                <w:noProof/>
                <w:webHidden/>
                <w:sz w:val="24"/>
                <w:szCs w:val="24"/>
              </w:rPr>
              <w:fldChar w:fldCharType="begin"/>
            </w:r>
            <w:r w:rsidR="00D75F8A" w:rsidRPr="00421267">
              <w:rPr>
                <w:rFonts w:ascii="Arial" w:hAnsi="Arial" w:cs="Arial"/>
                <w:noProof/>
                <w:webHidden/>
                <w:sz w:val="24"/>
                <w:szCs w:val="24"/>
              </w:rPr>
              <w:instrText xml:space="preserve"> PAGEREF _Toc157801451 \h </w:instrText>
            </w:r>
            <w:r w:rsidR="00D75F8A" w:rsidRPr="00421267">
              <w:rPr>
                <w:rFonts w:ascii="Arial" w:hAnsi="Arial" w:cs="Arial"/>
                <w:noProof/>
                <w:webHidden/>
                <w:sz w:val="24"/>
                <w:szCs w:val="24"/>
              </w:rPr>
            </w:r>
            <w:r w:rsidR="00D75F8A" w:rsidRPr="00421267">
              <w:rPr>
                <w:rFonts w:ascii="Arial" w:hAnsi="Arial" w:cs="Arial"/>
                <w:noProof/>
                <w:webHidden/>
                <w:sz w:val="24"/>
                <w:szCs w:val="24"/>
              </w:rPr>
              <w:fldChar w:fldCharType="separate"/>
            </w:r>
            <w:r w:rsidR="00D75F8A" w:rsidRPr="00421267">
              <w:rPr>
                <w:rFonts w:ascii="Arial" w:hAnsi="Arial" w:cs="Arial"/>
                <w:noProof/>
                <w:webHidden/>
                <w:sz w:val="24"/>
                <w:szCs w:val="24"/>
              </w:rPr>
              <w:t>11</w:t>
            </w:r>
            <w:r w:rsidR="00D75F8A" w:rsidRPr="00421267">
              <w:rPr>
                <w:rFonts w:ascii="Arial" w:hAnsi="Arial" w:cs="Arial"/>
                <w:noProof/>
                <w:webHidden/>
                <w:sz w:val="24"/>
                <w:szCs w:val="24"/>
              </w:rPr>
              <w:fldChar w:fldCharType="end"/>
            </w:r>
          </w:hyperlink>
        </w:p>
        <w:p w14:paraId="0E741BCD" w14:textId="216C56F6" w:rsidR="0035086F" w:rsidRDefault="0035086F" w:rsidP="00D75F8A">
          <w:r w:rsidRPr="00421267">
            <w:rPr>
              <w:rFonts w:ascii="Arial" w:hAnsi="Arial" w:cs="Arial"/>
              <w:bCs/>
              <w:noProof/>
              <w:sz w:val="24"/>
              <w:szCs w:val="24"/>
            </w:rPr>
            <w:fldChar w:fldCharType="end"/>
          </w:r>
        </w:p>
      </w:sdtContent>
    </w:sdt>
    <w:p w14:paraId="175B38B4" w14:textId="77777777" w:rsidR="0035086F" w:rsidRDefault="0035086F" w:rsidP="0035086F">
      <w:r>
        <w:br/>
      </w:r>
      <w:bookmarkStart w:id="1" w:name="_GoBack"/>
      <w:bookmarkEnd w:id="1"/>
    </w:p>
    <w:p w14:paraId="219B11D5" w14:textId="77777777" w:rsidR="0035086F" w:rsidRDefault="0035086F" w:rsidP="0035086F">
      <w:pPr>
        <w:spacing w:line="240" w:lineRule="auto"/>
      </w:pPr>
      <w:r>
        <w:br w:type="page"/>
      </w:r>
    </w:p>
    <w:p w14:paraId="5507D3F2" w14:textId="591EA73C" w:rsidR="0035086F" w:rsidRPr="00A11F75" w:rsidRDefault="0035086F" w:rsidP="00D75F8A">
      <w:pPr>
        <w:pStyle w:val="Heading1"/>
        <w:rPr>
          <w:rFonts w:cs="Arial"/>
        </w:rPr>
      </w:pPr>
      <w:bookmarkStart w:id="2" w:name="_Toc157801443"/>
      <w:r w:rsidRPr="00A11F75">
        <w:rPr>
          <w:rFonts w:cs="Arial"/>
        </w:rPr>
        <w:lastRenderedPageBreak/>
        <w:t>Introduction</w:t>
      </w:r>
      <w:bookmarkEnd w:id="2"/>
      <w:r w:rsidRPr="00A11F75">
        <w:rPr>
          <w:rFonts w:cs="Arial"/>
        </w:rPr>
        <w:t xml:space="preserve"> </w:t>
      </w:r>
    </w:p>
    <w:p w14:paraId="3F8DF704" w14:textId="107BB9DF"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The hotel sector is dynamic and competitive, with many competitors fulfilling a variety of customer demands (Walker, 2021). We will compare two prominent hotel corporations, Corinthia hotels and Ibis hotels, in this business research. Financial management and CSR initiatives are examined in this study to determine their market position, growth potential, and future success. The report will assess Corinthia Hotels and Ibis Hotels’ revenue, market position, growth potential, and financial commitment to corporate social responsibility to uncover strategic strengths and development prospects. The insights from this report can help stakeholders make decisions in the ever-changing hotel industry.</w:t>
      </w:r>
      <w:r w:rsidRPr="00A11F75">
        <w:rPr>
          <w:rFonts w:ascii="Arial" w:hAnsi="Arial" w:cs="Arial"/>
        </w:rPr>
        <w:br w:type="page"/>
      </w:r>
    </w:p>
    <w:p w14:paraId="444A24C7" w14:textId="46F7C7C0" w:rsidR="0035086F" w:rsidRPr="00A11F75" w:rsidRDefault="0035086F" w:rsidP="00D75F8A">
      <w:pPr>
        <w:pStyle w:val="Heading1"/>
        <w:rPr>
          <w:rFonts w:cs="Arial"/>
        </w:rPr>
      </w:pPr>
      <w:bookmarkStart w:id="3" w:name="_Toc157801444"/>
      <w:r w:rsidRPr="00A11F75">
        <w:rPr>
          <w:rFonts w:cs="Arial"/>
        </w:rPr>
        <w:lastRenderedPageBreak/>
        <w:t>Comparative analysis of both hotels</w:t>
      </w:r>
      <w:bookmarkEnd w:id="3"/>
    </w:p>
    <w:p w14:paraId="6B71B557" w14:textId="54639CDD" w:rsidR="0035086F" w:rsidRPr="00A11F75" w:rsidRDefault="0035086F" w:rsidP="00D75F8A">
      <w:pPr>
        <w:pStyle w:val="Heading2"/>
        <w:rPr>
          <w:rFonts w:cs="Arial"/>
          <w:sz w:val="24"/>
          <w:szCs w:val="24"/>
        </w:rPr>
      </w:pPr>
      <w:bookmarkStart w:id="4" w:name="_Toc157801445"/>
      <w:r w:rsidRPr="00A11F75">
        <w:rPr>
          <w:rFonts w:cs="Arial"/>
          <w:sz w:val="24"/>
          <w:szCs w:val="24"/>
        </w:rPr>
        <w:t>Total revenue evaluation</w:t>
      </w:r>
      <w:bookmarkEnd w:id="4"/>
      <w:r w:rsidRPr="00A11F75">
        <w:rPr>
          <w:rFonts w:cs="Arial"/>
          <w:sz w:val="24"/>
          <w:szCs w:val="24"/>
        </w:rPr>
        <w:t xml:space="preserve"> </w:t>
      </w:r>
    </w:p>
    <w:p w14:paraId="0446BCA6" w14:textId="77777777" w:rsidR="0035086F" w:rsidRPr="00A11F75" w:rsidRDefault="0035086F" w:rsidP="00D75F8A">
      <w:pPr>
        <w:spacing w:line="360" w:lineRule="auto"/>
        <w:jc w:val="both"/>
        <w:rPr>
          <w:rFonts w:ascii="Arial" w:hAnsi="Arial" w:cs="Arial"/>
        </w:rPr>
      </w:pPr>
      <w:r w:rsidRPr="00A11F75">
        <w:rPr>
          <w:rFonts w:ascii="Arial" w:hAnsi="Arial" w:cs="Arial"/>
          <w:noProof/>
          <w:lang w:eastAsia="en-GB"/>
        </w:rPr>
        <w:drawing>
          <wp:inline distT="0" distB="0" distL="0" distR="0" wp14:anchorId="7809B14E" wp14:editId="26E3FEF7">
            <wp:extent cx="4572000" cy="2743200"/>
            <wp:effectExtent l="0" t="0" r="12700" b="12700"/>
            <wp:docPr id="1017495525" name="Chart 1">
              <a:extLst xmlns:a="http://schemas.openxmlformats.org/drawingml/2006/main">
                <a:ext uri="{FF2B5EF4-FFF2-40B4-BE49-F238E27FC236}">
                  <a16:creationId xmlns:a16="http://schemas.microsoft.com/office/drawing/2014/main" id="{24DD6C9F-BCE2-4CEA-75C3-49C934295A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8BFF177"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Figure 01: Total comparative revenue of the hotels</w:t>
      </w:r>
    </w:p>
    <w:p w14:paraId="669F2ECE"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Source: (Corinthia Hotels, 2023; IBIS Hotels, 2023b) </w:t>
      </w:r>
    </w:p>
    <w:p w14:paraId="03D3871B"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Corinthia Hotels</w:t>
      </w:r>
    </w:p>
    <w:p w14:paraId="64F2CA5B"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Luxury hospitality brand Corinthia Hotels has had mixed financial results for years. The hotel chain sold 268 million euros in 2019. The COVID-19 pandemic cut revenue to 91 million euros in 2020 (Corinthia Hotels, 2023). Global travel restrictions and lockdowns hurt hotels. Revenue climbed to 129 million euros in 2021 after the epidemic, although it was still lower. Corinthia Hotels’ income rose to €238 million in 2022 from 2019 before the pandemic (Cocks, 2022). Rise in trend illustrates hotel chain’s endurance and adaptability to market changes. Revenue streams for Corinthia Hotels include:</w:t>
      </w:r>
    </w:p>
    <w:p w14:paraId="514A0410" w14:textId="77777777" w:rsidR="0035086F" w:rsidRPr="00A11F75" w:rsidRDefault="0035086F" w:rsidP="00D75F8A">
      <w:pPr>
        <w:pStyle w:val="ListParagraph"/>
        <w:numPr>
          <w:ilvl w:val="0"/>
          <w:numId w:val="2"/>
        </w:numPr>
        <w:spacing w:after="0" w:line="360" w:lineRule="auto"/>
        <w:jc w:val="both"/>
        <w:rPr>
          <w:rFonts w:ascii="Arial" w:hAnsi="Arial" w:cs="Arial"/>
          <w:sz w:val="24"/>
          <w:szCs w:val="24"/>
        </w:rPr>
      </w:pPr>
      <w:r w:rsidRPr="00A11F75">
        <w:rPr>
          <w:rFonts w:ascii="Arial" w:hAnsi="Arial" w:cs="Arial"/>
          <w:b/>
          <w:bCs/>
          <w:sz w:val="24"/>
          <w:szCs w:val="24"/>
        </w:rPr>
        <w:t>Owned Hotels</w:t>
      </w:r>
      <w:r w:rsidRPr="00A11F75">
        <w:rPr>
          <w:rFonts w:ascii="Arial" w:hAnsi="Arial" w:cs="Arial"/>
          <w:sz w:val="24"/>
          <w:szCs w:val="24"/>
        </w:rPr>
        <w:t>: Operating hotels makes money from food and beverage sales, room reservations, and auxiliary services.</w:t>
      </w:r>
    </w:p>
    <w:p w14:paraId="1F8AAF15" w14:textId="77777777" w:rsidR="0035086F" w:rsidRPr="00A11F75" w:rsidRDefault="0035086F" w:rsidP="00D75F8A">
      <w:pPr>
        <w:pStyle w:val="ListParagraph"/>
        <w:numPr>
          <w:ilvl w:val="0"/>
          <w:numId w:val="2"/>
        </w:numPr>
        <w:spacing w:after="0" w:line="360" w:lineRule="auto"/>
        <w:jc w:val="both"/>
        <w:rPr>
          <w:rFonts w:ascii="Arial" w:hAnsi="Arial" w:cs="Arial"/>
          <w:sz w:val="24"/>
          <w:szCs w:val="24"/>
        </w:rPr>
      </w:pPr>
      <w:r w:rsidRPr="00A11F75">
        <w:rPr>
          <w:rFonts w:ascii="Arial" w:hAnsi="Arial" w:cs="Arial"/>
          <w:b/>
          <w:bCs/>
          <w:sz w:val="24"/>
          <w:szCs w:val="24"/>
        </w:rPr>
        <w:t>Rental income:</w:t>
      </w:r>
      <w:r w:rsidRPr="00A11F75">
        <w:rPr>
          <w:rFonts w:ascii="Arial" w:hAnsi="Arial" w:cs="Arial"/>
          <w:sz w:val="24"/>
          <w:szCs w:val="24"/>
        </w:rPr>
        <w:t xml:space="preserve"> Corinthia Hotels leases space to tenants or businesses for rental income (Madura, 2018).</w:t>
      </w:r>
    </w:p>
    <w:p w14:paraId="266B873B" w14:textId="77777777" w:rsidR="0035086F" w:rsidRPr="00A11F75" w:rsidRDefault="0035086F" w:rsidP="00D75F8A">
      <w:pPr>
        <w:pStyle w:val="ListParagraph"/>
        <w:numPr>
          <w:ilvl w:val="0"/>
          <w:numId w:val="2"/>
        </w:numPr>
        <w:spacing w:after="0" w:line="360" w:lineRule="auto"/>
        <w:jc w:val="both"/>
        <w:rPr>
          <w:rFonts w:ascii="Arial" w:hAnsi="Arial" w:cs="Arial"/>
          <w:sz w:val="24"/>
          <w:szCs w:val="24"/>
        </w:rPr>
      </w:pPr>
      <w:r w:rsidRPr="00A11F75">
        <w:rPr>
          <w:rFonts w:ascii="Arial" w:hAnsi="Arial" w:cs="Arial"/>
          <w:b/>
          <w:bCs/>
          <w:sz w:val="24"/>
          <w:szCs w:val="24"/>
        </w:rPr>
        <w:t>Catering Income:</w:t>
      </w:r>
      <w:r w:rsidRPr="00A11F75">
        <w:rPr>
          <w:rFonts w:ascii="Arial" w:hAnsi="Arial" w:cs="Arial"/>
          <w:sz w:val="24"/>
          <w:szCs w:val="24"/>
        </w:rPr>
        <w:t xml:space="preserve"> Corinthia Hotels’ convention, conference, wedding, and other catering services generate revenue. </w:t>
      </w:r>
    </w:p>
    <w:p w14:paraId="062FAAAB" w14:textId="77777777" w:rsidR="0035086F" w:rsidRPr="00A11F75" w:rsidRDefault="0035086F" w:rsidP="00D75F8A">
      <w:pPr>
        <w:pStyle w:val="ListParagraph"/>
        <w:numPr>
          <w:ilvl w:val="0"/>
          <w:numId w:val="2"/>
        </w:numPr>
        <w:spacing w:after="0" w:line="360" w:lineRule="auto"/>
        <w:jc w:val="both"/>
        <w:rPr>
          <w:rFonts w:ascii="Arial" w:hAnsi="Arial" w:cs="Arial"/>
          <w:sz w:val="24"/>
          <w:szCs w:val="24"/>
        </w:rPr>
      </w:pPr>
      <w:r w:rsidRPr="00A11F75">
        <w:rPr>
          <w:rFonts w:ascii="Arial" w:hAnsi="Arial" w:cs="Arial"/>
          <w:b/>
          <w:bCs/>
          <w:sz w:val="24"/>
          <w:szCs w:val="24"/>
        </w:rPr>
        <w:lastRenderedPageBreak/>
        <w:t>Third-party fee revenue:</w:t>
      </w:r>
      <w:r w:rsidRPr="00A11F75">
        <w:rPr>
          <w:rFonts w:ascii="Arial" w:hAnsi="Arial" w:cs="Arial"/>
          <w:sz w:val="24"/>
          <w:szCs w:val="24"/>
        </w:rPr>
        <w:t xml:space="preserve"> Third-party fee revenue comprises hotel management fees for owners and hospitality consultant costs (Eiteman, Stonehill and Moffett, 2020).</w:t>
      </w:r>
    </w:p>
    <w:p w14:paraId="6DB3197E"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Ibis Hotels</w:t>
      </w:r>
    </w:p>
    <w:p w14:paraId="0AE5D988" w14:textId="62E460A8"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As part of Accor, Ibis Hotels helped boost income. Accor Group’s overall revenue shows the financial health of its numerous firms, including Ibis Hotels. In 2019, the Accor Group sold €4.0 billion, demonstrating market presence and revenue growth across all hospitality </w:t>
      </w:r>
      <w:r w:rsidR="00994361" w:rsidRPr="00A11F75">
        <w:rPr>
          <w:rFonts w:ascii="Arial" w:hAnsi="Arial" w:cs="Arial"/>
          <w:sz w:val="24"/>
          <w:szCs w:val="24"/>
        </w:rPr>
        <w:t>categories</w:t>
      </w:r>
      <w:r w:rsidRPr="00A11F75">
        <w:rPr>
          <w:rFonts w:ascii="Arial" w:hAnsi="Arial" w:cs="Arial"/>
          <w:sz w:val="24"/>
          <w:szCs w:val="24"/>
        </w:rPr>
        <w:t xml:space="preserve"> (Cheng, 2020). Revenue was expected to drop to €1.6 billion in 2020 due to COVID-19. In 2021, Accor Group revenues rose to €1.725 billion (IBIS Hotels, 2023b). Despite pandemic harm, this happened. Companies showed indications of resurgence with €2.402 billion in 2022 sales (Kunst, 2023). This indicated hotel industry revival. Ibis Hotels, like Corinthia Hotels, make profit from food and beverage, facilities services, and hotel reservations. </w:t>
      </w:r>
    </w:p>
    <w:p w14:paraId="2ED6F978"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Several variables affect revenue at Accor Group’s Corinthia and Ibis Hotels:</w:t>
      </w:r>
    </w:p>
    <w:p w14:paraId="082D39E1" w14:textId="77777777" w:rsidR="0035086F" w:rsidRPr="00A11F75" w:rsidRDefault="0035086F" w:rsidP="00D75F8A">
      <w:pPr>
        <w:pStyle w:val="ListParagraph"/>
        <w:numPr>
          <w:ilvl w:val="0"/>
          <w:numId w:val="3"/>
        </w:numPr>
        <w:spacing w:after="0" w:line="360" w:lineRule="auto"/>
        <w:jc w:val="both"/>
        <w:rPr>
          <w:rFonts w:ascii="Arial" w:hAnsi="Arial" w:cs="Arial"/>
          <w:sz w:val="24"/>
          <w:szCs w:val="24"/>
        </w:rPr>
      </w:pPr>
      <w:r w:rsidRPr="00A11F75">
        <w:rPr>
          <w:rFonts w:ascii="Arial" w:hAnsi="Arial" w:cs="Arial"/>
          <w:b/>
          <w:bCs/>
          <w:sz w:val="24"/>
          <w:szCs w:val="24"/>
        </w:rPr>
        <w:t>Demand and Travel Patterns:</w:t>
      </w:r>
      <w:r w:rsidRPr="00A11F75">
        <w:rPr>
          <w:rFonts w:ascii="Arial" w:hAnsi="Arial" w:cs="Arial"/>
          <w:sz w:val="24"/>
          <w:szCs w:val="24"/>
        </w:rPr>
        <w:t xml:space="preserve"> Economic circumstances, consumer behaviour, and travel preferences impact hotel occupancy and income.</w:t>
      </w:r>
    </w:p>
    <w:p w14:paraId="4A121294" w14:textId="315798A0" w:rsidR="0035086F" w:rsidRPr="00A11F75" w:rsidRDefault="0035086F" w:rsidP="00D75F8A">
      <w:pPr>
        <w:pStyle w:val="ListParagraph"/>
        <w:numPr>
          <w:ilvl w:val="0"/>
          <w:numId w:val="3"/>
        </w:numPr>
        <w:spacing w:after="0" w:line="360" w:lineRule="auto"/>
        <w:jc w:val="both"/>
        <w:rPr>
          <w:rFonts w:ascii="Arial" w:hAnsi="Arial" w:cs="Arial"/>
          <w:sz w:val="24"/>
          <w:szCs w:val="24"/>
        </w:rPr>
      </w:pPr>
      <w:r w:rsidRPr="00A11F75">
        <w:rPr>
          <w:rFonts w:ascii="Arial" w:hAnsi="Arial" w:cs="Arial"/>
          <w:b/>
          <w:bCs/>
          <w:sz w:val="24"/>
          <w:szCs w:val="24"/>
        </w:rPr>
        <w:t>COVID-19 impact:</w:t>
      </w:r>
      <w:r w:rsidRPr="00A11F75">
        <w:rPr>
          <w:rFonts w:ascii="Arial" w:hAnsi="Arial" w:cs="Arial"/>
          <w:sz w:val="24"/>
          <w:szCs w:val="24"/>
        </w:rPr>
        <w:t xml:space="preserve"> Both hotel chains’ income fell due to pandemic-related travel restrictions, border closures, and consumer spending cuts (Atrill and </w:t>
      </w:r>
      <w:r w:rsidR="00994361" w:rsidRPr="00A11F75">
        <w:rPr>
          <w:rFonts w:ascii="Arial" w:hAnsi="Arial" w:cs="Arial"/>
          <w:sz w:val="24"/>
          <w:szCs w:val="24"/>
        </w:rPr>
        <w:t>McLaney</w:t>
      </w:r>
      <w:r w:rsidRPr="00A11F75">
        <w:rPr>
          <w:rFonts w:ascii="Arial" w:hAnsi="Arial" w:cs="Arial"/>
          <w:sz w:val="24"/>
          <w:szCs w:val="24"/>
        </w:rPr>
        <w:t>, 2021).</w:t>
      </w:r>
    </w:p>
    <w:p w14:paraId="325F8731" w14:textId="77777777" w:rsidR="0035086F" w:rsidRPr="00A11F75" w:rsidRDefault="0035086F" w:rsidP="00D75F8A">
      <w:pPr>
        <w:pStyle w:val="ListParagraph"/>
        <w:numPr>
          <w:ilvl w:val="0"/>
          <w:numId w:val="3"/>
        </w:numPr>
        <w:spacing w:after="0" w:line="360" w:lineRule="auto"/>
        <w:jc w:val="both"/>
        <w:rPr>
          <w:rFonts w:ascii="Arial" w:hAnsi="Arial" w:cs="Arial"/>
          <w:sz w:val="24"/>
          <w:szCs w:val="24"/>
        </w:rPr>
      </w:pPr>
      <w:r w:rsidRPr="00A11F75">
        <w:rPr>
          <w:rFonts w:ascii="Arial" w:hAnsi="Arial" w:cs="Arial"/>
          <w:b/>
          <w:bCs/>
          <w:sz w:val="24"/>
          <w:szCs w:val="24"/>
        </w:rPr>
        <w:t>Recovery Strategies:</w:t>
      </w:r>
      <w:r w:rsidRPr="00A11F75">
        <w:rPr>
          <w:rFonts w:ascii="Arial" w:hAnsi="Arial" w:cs="Arial"/>
          <w:sz w:val="24"/>
          <w:szCs w:val="24"/>
        </w:rPr>
        <w:t xml:space="preserve"> Corinthia Hotels and the Accor Group recovered income and weathered the storm by proactive cost reduction, process digitization, and safety regulation improvements (Drury, 2018).</w:t>
      </w:r>
    </w:p>
    <w:p w14:paraId="3AC6CFC6" w14:textId="0F39BB6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The COVID-19 epidemic hurt Corinthia Hotels and Ibis Hotels, but resilience, revenue variety, and strategic measures helped them recover. To maintain revenue growth and navigate the changing hospitality sector, adapt to market factors, deliver unique guest experiences, and prioritise sustainability.</w:t>
      </w:r>
    </w:p>
    <w:p w14:paraId="781D9F71" w14:textId="6DA24B07" w:rsidR="0035086F" w:rsidRPr="00A11F75" w:rsidRDefault="0035086F" w:rsidP="00D75F8A">
      <w:pPr>
        <w:pStyle w:val="Heading2"/>
        <w:rPr>
          <w:rFonts w:cs="Arial"/>
          <w:sz w:val="24"/>
          <w:szCs w:val="24"/>
        </w:rPr>
      </w:pPr>
      <w:bookmarkStart w:id="5" w:name="_Toc157801446"/>
      <w:r w:rsidRPr="00A11F75">
        <w:rPr>
          <w:rFonts w:cs="Arial"/>
          <w:sz w:val="24"/>
          <w:szCs w:val="24"/>
        </w:rPr>
        <w:t>Market position evaluation</w:t>
      </w:r>
      <w:bookmarkEnd w:id="5"/>
    </w:p>
    <w:p w14:paraId="237A9AF4"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Corinthia and Ibis Hotels’ hospitality market position relies on numerous things including customer demographics, market share, and brand perceptions. </w:t>
      </w:r>
    </w:p>
    <w:p w14:paraId="0BFD0A34" w14:textId="77777777" w:rsidR="00F7025B" w:rsidRPr="00A11F75" w:rsidRDefault="00F7025B" w:rsidP="00D75F8A">
      <w:pPr>
        <w:spacing w:line="360" w:lineRule="auto"/>
        <w:jc w:val="both"/>
        <w:rPr>
          <w:rFonts w:ascii="Arial" w:hAnsi="Arial" w:cs="Arial"/>
          <w:b/>
          <w:bCs/>
          <w:sz w:val="24"/>
          <w:szCs w:val="24"/>
        </w:rPr>
      </w:pPr>
    </w:p>
    <w:p w14:paraId="2BBCEE6B" w14:textId="77777777" w:rsidR="00F7025B" w:rsidRPr="00A11F75" w:rsidRDefault="00F7025B" w:rsidP="00D75F8A">
      <w:pPr>
        <w:spacing w:line="360" w:lineRule="auto"/>
        <w:jc w:val="both"/>
        <w:rPr>
          <w:rFonts w:ascii="Arial" w:hAnsi="Arial" w:cs="Arial"/>
          <w:b/>
          <w:bCs/>
          <w:sz w:val="24"/>
          <w:szCs w:val="24"/>
        </w:rPr>
      </w:pPr>
    </w:p>
    <w:p w14:paraId="130B498D" w14:textId="77777777" w:rsidR="00F7025B"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lastRenderedPageBreak/>
        <w:t>Ibis Hotels</w:t>
      </w:r>
    </w:p>
    <w:p w14:paraId="12B8DAEA" w14:textId="477C9FCD" w:rsidR="0035086F" w:rsidRPr="00A11F75" w:rsidRDefault="0035086F" w:rsidP="00D75F8A">
      <w:pPr>
        <w:spacing w:line="360" w:lineRule="auto"/>
        <w:jc w:val="both"/>
        <w:rPr>
          <w:rFonts w:ascii="Arial" w:hAnsi="Arial" w:cs="Arial"/>
          <w:b/>
          <w:bCs/>
          <w:sz w:val="24"/>
          <w:szCs w:val="24"/>
        </w:rPr>
      </w:pPr>
      <w:r w:rsidRPr="00A11F75">
        <w:rPr>
          <w:rFonts w:ascii="Arial" w:hAnsi="Arial" w:cs="Arial"/>
          <w:sz w:val="24"/>
          <w:szCs w:val="24"/>
        </w:rPr>
        <w:t xml:space="preserve">Ibis Hotels, part of the Accor Group, dominates affordable hotels and the worldwide economy. More than 1,700 hotels, including the 1000th ibis, demonstrate Accor’s economic hospitality leadership (IBIS Hotels, 2023a). A complete revamp of Accor’s economic brands, ibis, Styles, and budget, showcases its modernity and brand coherence. This initiative seeks customer happiness and commercial visibility. Accor’s ibis family rebranding created a cohesive, beautiful portfolio with simplicity, modernism, and quality of life. The ibis family’s development, over 200 hotels in two years, shows Accor’s dedication to economic growth and </w:t>
      </w:r>
      <w:proofErr w:type="gramStart"/>
      <w:r w:rsidRPr="00A11F75">
        <w:rPr>
          <w:rFonts w:ascii="Arial" w:hAnsi="Arial" w:cs="Arial"/>
          <w:sz w:val="24"/>
          <w:szCs w:val="24"/>
        </w:rPr>
        <w:t>innovation(</w:t>
      </w:r>
      <w:proofErr w:type="gramEnd"/>
      <w:r w:rsidRPr="00A11F75">
        <w:rPr>
          <w:rFonts w:ascii="Arial" w:hAnsi="Arial" w:cs="Arial"/>
          <w:sz w:val="24"/>
          <w:szCs w:val="24"/>
        </w:rPr>
        <w:t xml:space="preserve">Cheng, 2020). Performance, brand recognition, and visitor pleasure increased after restoration. Ibis’ “Sweet bed” has improved tourists’ view of the brand’s modernism and comfort, increasing customer satisfaction (IBIS Hotels, 2023a). Strategic distribution channel management has boosted revenue and economic development in key markets including the UK, Germany, and Southern Europe (Tranter, Stuart-Hill and Parker, 2014). </w:t>
      </w:r>
    </w:p>
    <w:p w14:paraId="58B30FCF"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 xml:space="preserve">Corinthia Hotels </w:t>
      </w:r>
    </w:p>
    <w:p w14:paraId="05CD6F48" w14:textId="2830C14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Corinthia Hotels offer discriminating guests’ elegance, refinement, and tailored service from the outset. Corinthia Hotels attracts wealthy guests seeking luxury and exclusivity. The company runs hotels in major European, African, and Middle Eastern cities (Eun and Resnick, 2018). The brand’s defining assets, carefully designed to represent local culture, history, and personality, show its dedication to excellence. From Budapest’s historic grandeur to London’s modern elegance, each Corinthia hotel offers a unique character and increased luxury that appeals to travellers seeking exceptional experiences (Fenech, 2023). Corinthia Hotels’ personal service and attention to detail boost its market position. Visitors are cordially </w:t>
      </w:r>
      <w:r w:rsidR="00F7025B" w:rsidRPr="00A11F75">
        <w:rPr>
          <w:rFonts w:ascii="Arial" w:hAnsi="Arial" w:cs="Arial"/>
          <w:sz w:val="24"/>
          <w:szCs w:val="24"/>
        </w:rPr>
        <w:t>welcomed,</w:t>
      </w:r>
      <w:r w:rsidRPr="00A11F75">
        <w:rPr>
          <w:rFonts w:ascii="Arial" w:hAnsi="Arial" w:cs="Arial"/>
          <w:sz w:val="24"/>
          <w:szCs w:val="24"/>
        </w:rPr>
        <w:t xml:space="preserve"> and their stay is precisely planned to meet expectations. Corinthia Hotels provide world-class gastronomy, exquisite spas, and tailored events and conventions. Corinthia Hotels may not have the worldwide reach of other Accor Group brands like Ibis, which are economy and budget brands, but its premium hospitality appeals to discerning tourists seeking unique experiences (Fenech, 2023). </w:t>
      </w:r>
    </w:p>
    <w:p w14:paraId="3101D166" w14:textId="6B218E1D" w:rsidR="00F7025B" w:rsidRDefault="00F7025B" w:rsidP="00D75F8A">
      <w:pPr>
        <w:spacing w:line="360" w:lineRule="auto"/>
        <w:jc w:val="both"/>
        <w:rPr>
          <w:rStyle w:val="Heading2Char"/>
          <w:rFonts w:cs="Arial"/>
        </w:rPr>
      </w:pPr>
    </w:p>
    <w:p w14:paraId="0155D7CE" w14:textId="77777777" w:rsidR="00610132" w:rsidRPr="00A11F75" w:rsidRDefault="00610132" w:rsidP="00D75F8A">
      <w:pPr>
        <w:spacing w:line="360" w:lineRule="auto"/>
        <w:jc w:val="both"/>
        <w:rPr>
          <w:rStyle w:val="Heading2Char"/>
          <w:rFonts w:cs="Arial"/>
        </w:rPr>
      </w:pPr>
    </w:p>
    <w:p w14:paraId="350FD2AD" w14:textId="12229F2F" w:rsidR="00F7025B" w:rsidRPr="00A11F75" w:rsidRDefault="0035086F" w:rsidP="00D75F8A">
      <w:pPr>
        <w:spacing w:line="360" w:lineRule="auto"/>
        <w:jc w:val="both"/>
        <w:rPr>
          <w:rStyle w:val="Heading2Char"/>
          <w:rFonts w:cs="Arial"/>
        </w:rPr>
      </w:pPr>
      <w:bookmarkStart w:id="6" w:name="_Toc157801447"/>
      <w:r w:rsidRPr="00A11F75">
        <w:rPr>
          <w:rStyle w:val="Heading2Char"/>
          <w:rFonts w:cs="Arial"/>
        </w:rPr>
        <w:lastRenderedPageBreak/>
        <w:t>Growth Potential Evaluation</w:t>
      </w:r>
      <w:bookmarkEnd w:id="6"/>
    </w:p>
    <w:p w14:paraId="7977C8A6" w14:textId="7C787AE6" w:rsidR="0035086F" w:rsidRPr="00A11F75" w:rsidRDefault="0035086F" w:rsidP="00D75F8A">
      <w:pPr>
        <w:spacing w:line="360" w:lineRule="auto"/>
        <w:jc w:val="both"/>
        <w:rPr>
          <w:rFonts w:ascii="Arial" w:eastAsiaTheme="majorEastAsia" w:hAnsi="Arial" w:cs="Arial"/>
          <w:b/>
          <w:color w:val="000000" w:themeColor="text1"/>
          <w:sz w:val="24"/>
          <w:szCs w:val="24"/>
          <w:lang w:val="en-US" w:bidi="bn-IN"/>
        </w:rPr>
      </w:pPr>
      <w:r w:rsidRPr="00A11F75">
        <w:rPr>
          <w:rFonts w:ascii="Arial" w:hAnsi="Arial" w:cs="Arial"/>
          <w:sz w:val="24"/>
          <w:szCs w:val="24"/>
        </w:rPr>
        <w:t xml:space="preserve">Several aspects must be considered when analysing Corinthia Hotels and Ibis Hotels’ development prospects in the competitive hospitality business. These aspects may include expansion tactics, market possibilities, and growth impediments. </w:t>
      </w:r>
    </w:p>
    <w:p w14:paraId="03598C2F"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Corinthia Hotels</w:t>
      </w:r>
    </w:p>
    <w:p w14:paraId="1D638E90"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Based on strategic development goals and market forecasts, Corinthia Hotels, known for premium services and products, have significant growth potential. Corinthia Hotels’ COVID-19 resilience and flexibility set them up for success (Corinthia Hotels, 2022). Corinthia Hotels plans to carefully expand its premium hotels in major locations globally. Corinthia Hotels seeks to attract wealthy travellers seeking tailored experiences with its luxury and personalised service. Due to the brand’s commitment on quality rather than quantity, each new facility will fit its luxury hospitality vision, maintaining its premium market position (Drury, 2018).</w:t>
      </w:r>
    </w:p>
    <w:p w14:paraId="0F60F997"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In growing markets and tourism areas, Corinthia Hotels sees expansion prospects. Corinthia Hotels may develop throughout Asia Pacific, the Middle East, and Africa by capitalising on luxury travel demand (Wild, 2018). Working with local investors and developers may also make entering new markets and improving underutilised regions easier. Corinthia Hotels may face hurdles despite growth. Competition, regulation, and economic uncertainty may be obstacles. Economic downturns and geopolitical unrest may impair consumer confidence and tourism. Hotel occupancy and revenue may suffer (Tranter, Stuart-Hill and Parker, 2014). In certain places, excessive regulatory and bureaucratic requirements may delay or hinder development plans, generating growth issues. Rival luxury hotel brands and alternative lodging choices may potentially hurt market share and growth.</w:t>
      </w:r>
    </w:p>
    <w:p w14:paraId="1653D014"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Ibis Hotels</w:t>
      </w:r>
    </w:p>
    <w:p w14:paraId="286247EA"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The Accor Group’s Ibis Hotels provide affordable, accessible, and consistent economy and budget hotels. Strategic movements and market possibilities have helped Ibis Hotels grow despite the COVID-19 epidemic (Kunst, 2023). Ibis Hotels’ growth strategy includes aggressive portfolio expansion and economic product differentiation. Using Accor’s worldwide footprint and distribution network, Ibis Hotels hopes to grow in key regions and capitalise on increased demand for cheap lodging. Ibis Styles and </w:t>
      </w:r>
      <w:r w:rsidRPr="00A11F75">
        <w:rPr>
          <w:rFonts w:ascii="Arial" w:hAnsi="Arial" w:cs="Arial"/>
          <w:sz w:val="24"/>
          <w:szCs w:val="24"/>
        </w:rPr>
        <w:lastRenderedPageBreak/>
        <w:t>ibis cheap enable the company to cater to various client segments and market preferences (Cheng, 2020).</w:t>
      </w:r>
    </w:p>
    <w:p w14:paraId="5D6D9BC5" w14:textId="7BBDE668"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Ibis Hotels sees several development potentials in expanding nations and metropolitan locations with significant demand for cheap rooms. Ibis Hotels can exploit increased demand for value-driven hospitality by servicing leisure and business travellers. Technology and digital platforms may enhance visitor experiences, operations, and revenue. Ibis Hotels may struggle due to site saturation, economic sector commoditi</w:t>
      </w:r>
      <w:r w:rsidR="00372269" w:rsidRPr="00A11F75">
        <w:rPr>
          <w:rFonts w:ascii="Arial" w:hAnsi="Arial" w:cs="Arial"/>
          <w:sz w:val="24"/>
          <w:szCs w:val="24"/>
        </w:rPr>
        <w:t>s</w:t>
      </w:r>
      <w:r w:rsidRPr="00A11F75">
        <w:rPr>
          <w:rFonts w:ascii="Arial" w:hAnsi="Arial" w:cs="Arial"/>
          <w:sz w:val="24"/>
          <w:szCs w:val="24"/>
        </w:rPr>
        <w:t>ation, and changing customer tastes (Cheng, 2020). These hurdles may limit Ibis Hotels’ growth. Competition-filled marketplaces may make market share and profitability difficult to sustain. This is feasible with ongoing innovation and distinctiveness. Economy sector commoditization and Airbnb pricing pressures may hinder revenue growth and profit margins. The move towards distinctive and immersive accommodations may also threaten budget hotels like Ibis’ basic offerings (Eiteman, Stonehill and Moffett, 2020).</w:t>
      </w:r>
    </w:p>
    <w:p w14:paraId="50FDC482" w14:textId="77777777" w:rsidR="0035086F" w:rsidRPr="00A11F75" w:rsidRDefault="0035086F" w:rsidP="00D75F8A">
      <w:pPr>
        <w:spacing w:line="360" w:lineRule="auto"/>
        <w:jc w:val="both"/>
        <w:rPr>
          <w:rFonts w:ascii="Arial" w:hAnsi="Arial" w:cs="Arial"/>
        </w:rPr>
      </w:pPr>
    </w:p>
    <w:p w14:paraId="3268974E" w14:textId="5DFD8FD5" w:rsidR="0035086F" w:rsidRPr="00A11F75" w:rsidRDefault="0035086F" w:rsidP="00D75F8A">
      <w:pPr>
        <w:pStyle w:val="Heading2"/>
        <w:rPr>
          <w:rFonts w:cs="Arial"/>
        </w:rPr>
      </w:pPr>
      <w:bookmarkStart w:id="7" w:name="_Toc157801448"/>
      <w:r w:rsidRPr="00A11F75">
        <w:rPr>
          <w:rFonts w:cs="Arial"/>
        </w:rPr>
        <w:t>Financial Commitment to CSR</w:t>
      </w:r>
      <w:bookmarkEnd w:id="7"/>
    </w:p>
    <w:p w14:paraId="71814A46"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Corinthia and Ibis Hotels’ CSR donations may illuminate their ethical business practices, community participation, and sustainability. </w:t>
      </w:r>
    </w:p>
    <w:p w14:paraId="080B4F74"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Corinthia Hotels</w:t>
      </w:r>
    </w:p>
    <w:p w14:paraId="34F3B789" w14:textId="373BA652"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Corinthia Hotels is a CSR-focused luxury hotel chain. These hotels are ethical, sustainable, and </w:t>
      </w:r>
      <w:r w:rsidR="00372269" w:rsidRPr="00A11F75">
        <w:rPr>
          <w:rFonts w:ascii="Arial" w:hAnsi="Arial" w:cs="Arial"/>
          <w:sz w:val="24"/>
          <w:szCs w:val="24"/>
        </w:rPr>
        <w:t>community minded</w:t>
      </w:r>
      <w:r w:rsidRPr="00A11F75">
        <w:rPr>
          <w:rFonts w:ascii="Arial" w:hAnsi="Arial" w:cs="Arial"/>
          <w:sz w:val="24"/>
          <w:szCs w:val="24"/>
        </w:rPr>
        <w:t>. Corinthia properties promotes responsible tourism and reduces their environmental impact across all properties. Corinthia Hotels use green practices to reduce their environmental effect (Friedland, 2014). They include water conservation, energy efficiency, waste reduction, and eco-friendly amenities.</w:t>
      </w:r>
    </w:p>
    <w:p w14:paraId="04D4C48F"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Corinthia Hotels supports their communities via philanthropy, non-profit collaborations, and volunteering. Local economies benefit from Corinthia Hotels’ educational, healthcare, and cultural assistance (Seal, 2019). This builds connections and value.</w:t>
      </w:r>
    </w:p>
    <w:p w14:paraId="718567DB"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Business ethics are part of Corinthia Hotels’ culture. These rules regulate corporate stakeholder, supplier, and employee interactions. To guarantee supply chain integrity, </w:t>
      </w:r>
      <w:r w:rsidRPr="00A11F75">
        <w:rPr>
          <w:rFonts w:ascii="Arial" w:hAnsi="Arial" w:cs="Arial"/>
          <w:sz w:val="24"/>
          <w:szCs w:val="24"/>
        </w:rPr>
        <w:lastRenderedPageBreak/>
        <w:t>transparency, and accountability, Corinthia Hotels prioritises fair employment, diversity and inclusion, and ethical sourcing (Seal, 2019).</w:t>
      </w:r>
    </w:p>
    <w:p w14:paraId="25EE2875"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Corinthia Hotels supports community development, ethics, and sustainability. Corporate social responsibility and shareholder value are shown via Corinthia Hotels’ renewable energy, environmental certifications, and staff training (Jagels, 2007).</w:t>
      </w:r>
    </w:p>
    <w:p w14:paraId="3C92D98F" w14:textId="77777777" w:rsidR="0035086F" w:rsidRPr="00A11F75" w:rsidRDefault="0035086F" w:rsidP="00D75F8A">
      <w:pPr>
        <w:spacing w:line="360" w:lineRule="auto"/>
        <w:jc w:val="both"/>
        <w:rPr>
          <w:rFonts w:ascii="Arial" w:hAnsi="Arial" w:cs="Arial"/>
          <w:b/>
          <w:bCs/>
          <w:sz w:val="24"/>
          <w:szCs w:val="24"/>
        </w:rPr>
      </w:pPr>
      <w:r w:rsidRPr="00A11F75">
        <w:rPr>
          <w:rFonts w:ascii="Arial" w:hAnsi="Arial" w:cs="Arial"/>
          <w:b/>
          <w:bCs/>
          <w:sz w:val="24"/>
          <w:szCs w:val="24"/>
        </w:rPr>
        <w:t>Ibis Hotels</w:t>
      </w:r>
    </w:p>
    <w:p w14:paraId="68B1209C"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Ibis Hotels, part of the Accor Group, offers budget-friendly hotels. Despite the COVID-19 epidemic, Ibis Hotels prioritises CSR for social and environmental effect. Ibis Hotels promotes sustainability via energy efficiency, waste management, and resource conservation (Kunst, 2023). Ibis Hotels uses energy-efficient lighting, waste reduction, and water conservation to encourage sustainable tourism.</w:t>
      </w:r>
    </w:p>
    <w:p w14:paraId="6E3CDC75"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Ibis Hotels support charities, volunteering, and community engagement. To promote the community and improve stakeholder ties, Ibis Hotels promotes education, healthcare, and social welfare. Ibis Hotels observes corporate ethics. These guidelines regulate employee, customer, and supplier interactions. To ensure honesty, justice, and openness, Ibis Hotels prioritises ethical sourcing, worker rights, and responsible corporate behaviour across their supply chain (Guilding, 2014).</w:t>
      </w:r>
    </w:p>
    <w:p w14:paraId="1AD295E4" w14:textId="072D2CEF" w:rsidR="0035086F" w:rsidRPr="00610132" w:rsidRDefault="0035086F" w:rsidP="00D75F8A">
      <w:pPr>
        <w:spacing w:line="360" w:lineRule="auto"/>
        <w:jc w:val="both"/>
        <w:rPr>
          <w:rFonts w:ascii="Arial" w:hAnsi="Arial" w:cs="Arial"/>
          <w:sz w:val="24"/>
          <w:szCs w:val="24"/>
        </w:rPr>
      </w:pPr>
      <w:r w:rsidRPr="00A11F75">
        <w:rPr>
          <w:rFonts w:ascii="Arial" w:hAnsi="Arial" w:cs="Arial"/>
          <w:sz w:val="24"/>
          <w:szCs w:val="24"/>
        </w:rPr>
        <w:t>Community development, sustainability, and ethical business practises are Ibis Hotels’ CSR priorities. For corporate social responsibility and shareholder value, Ibis Hotels invests in community participation, energy-saving technology, and staff training (Cheng, 2020).</w:t>
      </w:r>
    </w:p>
    <w:p w14:paraId="1BCCFD6F" w14:textId="07F98A36" w:rsidR="0035086F" w:rsidRPr="00A11F75" w:rsidRDefault="0035086F" w:rsidP="00D75F8A">
      <w:pPr>
        <w:pStyle w:val="Heading1"/>
        <w:rPr>
          <w:rFonts w:cs="Arial"/>
        </w:rPr>
      </w:pPr>
      <w:bookmarkStart w:id="8" w:name="_Toc157801449"/>
      <w:r w:rsidRPr="00A11F75">
        <w:rPr>
          <w:rFonts w:cs="Arial"/>
        </w:rPr>
        <w:t>Recommendations</w:t>
      </w:r>
      <w:bookmarkEnd w:id="8"/>
    </w:p>
    <w:p w14:paraId="2223483E"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 xml:space="preserve">Corinthia hotels should improve their environmental procedures across the board. After examining Corinthia Hotels’ financial management and CSR, this suggestion is made. Guilding (2014) report that customers favour socially and ecologically responsible companies. Customers value sustainability more. By investing in renewable energy, eliminating waste, and acquiring environmental certifications, Corinthia Hotels can compete and attract ecologically concerned tourists. Cocks (2022) suggest that Corinthia Hotels prioritise community involvement efforts such collaborations with local groups and charity projects to improve corporate citizenship and local communities’ economic and social development. </w:t>
      </w:r>
    </w:p>
    <w:p w14:paraId="27B8A808" w14:textId="68B3A9DA" w:rsidR="00D75F8A" w:rsidRPr="00D75F8A" w:rsidRDefault="0035086F" w:rsidP="00D75F8A">
      <w:pPr>
        <w:spacing w:line="360" w:lineRule="auto"/>
        <w:jc w:val="both"/>
        <w:rPr>
          <w:rFonts w:ascii="Arial" w:hAnsi="Arial" w:cs="Arial"/>
        </w:rPr>
      </w:pPr>
      <w:r w:rsidRPr="00A11F75">
        <w:rPr>
          <w:rFonts w:ascii="Arial" w:hAnsi="Arial" w:cs="Arial"/>
          <w:sz w:val="24"/>
          <w:szCs w:val="24"/>
        </w:rPr>
        <w:lastRenderedPageBreak/>
        <w:t>Ibis Hotels’ market position and financial commitment to CSR make technology to improve guest experience and operational efficiency appealing. Digital platforms, AI, and data analytics improve hotel operations and guest experiences (Cheng, 2020). Technology innovation boosts hospitality industry profitability and competitiveness, research suggests. Mobile check-in and check-out, personalised guest suggestions, and smart room amenities might help Ibis Hotels distinguish, improve customer satisfaction, and boost efficiency. Energy management and water-saving equipment may help Accor Group meet its sustainability targets and lessen its environmental effect (Cheng, 2020).</w:t>
      </w:r>
    </w:p>
    <w:p w14:paraId="68A90F8D" w14:textId="7F37D90C" w:rsidR="0035086F" w:rsidRPr="00A11F75" w:rsidRDefault="0035086F" w:rsidP="00D75F8A">
      <w:pPr>
        <w:pStyle w:val="Heading1"/>
        <w:rPr>
          <w:rFonts w:cs="Arial"/>
        </w:rPr>
      </w:pPr>
      <w:bookmarkStart w:id="9" w:name="_Toc157801450"/>
      <w:r w:rsidRPr="00A11F75">
        <w:rPr>
          <w:rFonts w:cs="Arial"/>
        </w:rPr>
        <w:t>Conclusion</w:t>
      </w:r>
      <w:bookmarkEnd w:id="9"/>
    </w:p>
    <w:p w14:paraId="38C69301" w14:textId="77777777" w:rsidR="0035086F" w:rsidRPr="00A11F75" w:rsidRDefault="0035086F" w:rsidP="00D75F8A">
      <w:pPr>
        <w:spacing w:line="360" w:lineRule="auto"/>
        <w:jc w:val="both"/>
        <w:rPr>
          <w:rFonts w:ascii="Arial" w:hAnsi="Arial" w:cs="Arial"/>
          <w:sz w:val="24"/>
          <w:szCs w:val="24"/>
        </w:rPr>
      </w:pPr>
      <w:r w:rsidRPr="00A11F75">
        <w:rPr>
          <w:rFonts w:ascii="Arial" w:hAnsi="Arial" w:cs="Arial"/>
          <w:sz w:val="24"/>
          <w:szCs w:val="24"/>
        </w:rPr>
        <w:t>This report analyses Corinthia and Ibis Hotels’ financial management and CSR practices to assess their market position and development prospects. Ibis Hotels’ concentration on pricing and accessibility helps it to service a larger client base than Corinthia Hotels, which promotes premium hospitality and sustainability initiatives, making it a preferred option for rich tourists seeking unique experiences. Future ambitions include technology and sustainability. These tips may help both organisations compete, satisfy customers, and flourish in the changing hospitality market. Corinthia Hotels and Ibis Hotels may strengthen market leadership, sustainable growth, and shareholder value by using these concepts and adjusting to market changes.</w:t>
      </w:r>
    </w:p>
    <w:p w14:paraId="35024DBA" w14:textId="77777777" w:rsidR="0035086F" w:rsidRPr="004654B0" w:rsidRDefault="0035086F" w:rsidP="00D75F8A">
      <w:pPr>
        <w:spacing w:line="360" w:lineRule="auto"/>
        <w:jc w:val="both"/>
        <w:rPr>
          <w:rFonts w:ascii="Arial" w:hAnsi="Arial" w:cs="Arial"/>
        </w:rPr>
      </w:pPr>
      <w:r w:rsidRPr="004654B0">
        <w:rPr>
          <w:rFonts w:ascii="Arial" w:hAnsi="Arial" w:cs="Arial"/>
        </w:rPr>
        <w:br w:type="page"/>
      </w:r>
    </w:p>
    <w:p w14:paraId="346CB389" w14:textId="77777777" w:rsidR="0035086F" w:rsidRDefault="0035086F" w:rsidP="00D75F8A">
      <w:pPr>
        <w:pStyle w:val="Heading1"/>
      </w:pPr>
      <w:bookmarkStart w:id="10" w:name="_Toc157801451"/>
      <w:r>
        <w:lastRenderedPageBreak/>
        <w:t>References</w:t>
      </w:r>
      <w:bookmarkEnd w:id="10"/>
    </w:p>
    <w:p w14:paraId="493055E0" w14:textId="25286104"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Atrill, P. and </w:t>
      </w:r>
      <w:r w:rsidR="00631570" w:rsidRPr="00BC2D54">
        <w:rPr>
          <w:rFonts w:ascii="Arial" w:hAnsi="Arial" w:cs="Arial"/>
        </w:rPr>
        <w:t>McLaney</w:t>
      </w:r>
      <w:r w:rsidRPr="00BC2D54">
        <w:rPr>
          <w:rFonts w:ascii="Arial" w:hAnsi="Arial" w:cs="Arial"/>
        </w:rPr>
        <w:t xml:space="preserve">, E.J. (2021). </w:t>
      </w:r>
      <w:r w:rsidRPr="00BC2D54">
        <w:rPr>
          <w:rFonts w:ascii="Arial" w:hAnsi="Arial" w:cs="Arial"/>
          <w:i/>
          <w:iCs/>
        </w:rPr>
        <w:t>Management accounting for decision makers</w:t>
      </w:r>
      <w:r w:rsidRPr="00BC2D54">
        <w:rPr>
          <w:rFonts w:ascii="Arial" w:hAnsi="Arial" w:cs="Arial"/>
        </w:rPr>
        <w:t xml:space="preserve">. Harlow, </w:t>
      </w:r>
      <w:r w:rsidR="00631570" w:rsidRPr="00BC2D54">
        <w:rPr>
          <w:rFonts w:ascii="Arial" w:hAnsi="Arial" w:cs="Arial"/>
        </w:rPr>
        <w:t>England;</w:t>
      </w:r>
      <w:r w:rsidRPr="00BC2D54">
        <w:rPr>
          <w:rFonts w:ascii="Arial" w:hAnsi="Arial" w:cs="Arial"/>
        </w:rPr>
        <w:t xml:space="preserve"> New York: Pearson.</w:t>
      </w:r>
    </w:p>
    <w:p w14:paraId="5E5B5AAC" w14:textId="614ACC5F"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Cheng, J. (2020). Research and Suggestions on Declining Market Shares of Ibis Budget Hotels. </w:t>
      </w:r>
      <w:r w:rsidRPr="00BC2D54">
        <w:rPr>
          <w:rFonts w:ascii="Arial" w:hAnsi="Arial" w:cs="Arial"/>
          <w:i/>
          <w:iCs/>
        </w:rPr>
        <w:t>Open Journal of Social Sciences</w:t>
      </w:r>
      <w:r w:rsidRPr="00BC2D54">
        <w:rPr>
          <w:rFonts w:ascii="Arial" w:hAnsi="Arial" w:cs="Arial"/>
        </w:rPr>
        <w:t xml:space="preserve">, [online] 08(1), p.253. </w:t>
      </w:r>
      <w:r w:rsidR="00E46818" w:rsidRPr="00BC2D54">
        <w:rPr>
          <w:rFonts w:ascii="Arial" w:hAnsi="Arial" w:cs="Arial"/>
        </w:rPr>
        <w:t>Doi: https://doi.org/10.4236/jss.2020.81018</w:t>
      </w:r>
      <w:r w:rsidRPr="00BC2D54">
        <w:rPr>
          <w:rFonts w:ascii="Arial" w:hAnsi="Arial" w:cs="Arial"/>
        </w:rPr>
        <w:t>.</w:t>
      </w:r>
    </w:p>
    <w:p w14:paraId="71B272B1"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Cocks, P. (2022). </w:t>
      </w:r>
      <w:r w:rsidRPr="00BC2D54">
        <w:rPr>
          <w:rFonts w:ascii="Arial" w:hAnsi="Arial" w:cs="Arial"/>
          <w:i/>
          <w:iCs/>
        </w:rPr>
        <w:t>Corinthia to target 4-star space under new brand to be launched by 2023</w:t>
      </w:r>
      <w:r w:rsidRPr="00BC2D54">
        <w:rPr>
          <w:rFonts w:ascii="Arial" w:hAnsi="Arial" w:cs="Arial"/>
        </w:rPr>
        <w:t>. [online] BusinessToday.com.mt. Available at: https://www.businesstoday.com.mt/business/business/1849/corinthia_to_target_4star_space_under_new_brand_to_be_launched_by_2023.</w:t>
      </w:r>
    </w:p>
    <w:p w14:paraId="65E6D3F4"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Corinthia Hotels (2022). </w:t>
      </w:r>
      <w:r w:rsidRPr="00BC2D54">
        <w:rPr>
          <w:rFonts w:ascii="Arial" w:hAnsi="Arial" w:cs="Arial"/>
          <w:i/>
          <w:iCs/>
        </w:rPr>
        <w:t>SUSTAINABILITY AT CORINTHIA</w:t>
      </w:r>
      <w:r w:rsidRPr="00BC2D54">
        <w:rPr>
          <w:rFonts w:ascii="Arial" w:hAnsi="Arial" w:cs="Arial"/>
        </w:rPr>
        <w:t>. [online] Corinthia. Available at: https://www.corinthia.com/en-gb/sustainability/.</w:t>
      </w:r>
    </w:p>
    <w:p w14:paraId="635E27F5"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Corinthia Hotels (2023). </w:t>
      </w:r>
      <w:r w:rsidRPr="00BC2D54">
        <w:rPr>
          <w:rFonts w:ascii="Arial" w:hAnsi="Arial" w:cs="Arial"/>
          <w:i/>
          <w:iCs/>
        </w:rPr>
        <w:t>Annual Report &amp; Financial Statements</w:t>
      </w:r>
      <w:r w:rsidRPr="00BC2D54">
        <w:rPr>
          <w:rFonts w:ascii="Arial" w:hAnsi="Arial" w:cs="Arial"/>
        </w:rPr>
        <w:t>. [online] Available at: https://www.corinthiagroup.com/wp-content/uploads/2023/06/37547-CORINTHIA-ANNUAL-REPORT-2022_WEB-min.pdf.</w:t>
      </w:r>
    </w:p>
    <w:p w14:paraId="2E2FC68F"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Drury, C. (2018). </w:t>
      </w:r>
      <w:r w:rsidRPr="00BC2D54">
        <w:rPr>
          <w:rFonts w:ascii="Arial" w:hAnsi="Arial" w:cs="Arial"/>
          <w:i/>
          <w:iCs/>
        </w:rPr>
        <w:t>Management and Cost Accounting</w:t>
      </w:r>
      <w:r w:rsidRPr="00BC2D54">
        <w:rPr>
          <w:rFonts w:ascii="Arial" w:hAnsi="Arial" w:cs="Arial"/>
        </w:rPr>
        <w:t>. 10th ed. Andover: Cengage Learning.</w:t>
      </w:r>
    </w:p>
    <w:p w14:paraId="79E12CA5"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Eiteman, D.K., Stonehill, A.I. and Moffett, M.H. (2020). </w:t>
      </w:r>
      <w:r w:rsidRPr="00BC2D54">
        <w:rPr>
          <w:rFonts w:ascii="Arial" w:hAnsi="Arial" w:cs="Arial"/>
          <w:i/>
          <w:iCs/>
        </w:rPr>
        <w:t>Multinational business finance</w:t>
      </w:r>
      <w:r w:rsidRPr="00BC2D54">
        <w:rPr>
          <w:rFonts w:ascii="Arial" w:hAnsi="Arial" w:cs="Arial"/>
        </w:rPr>
        <w:t>. 5th ed. New York, Ny: Pearson.</w:t>
      </w:r>
    </w:p>
    <w:p w14:paraId="4E7AA7D5" w14:textId="49F5EA96"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Eun, C.S. and Resnick, B.G. (2018). </w:t>
      </w:r>
      <w:r w:rsidRPr="00BC2D54">
        <w:rPr>
          <w:rFonts w:ascii="Arial" w:hAnsi="Arial" w:cs="Arial"/>
          <w:i/>
          <w:iCs/>
        </w:rPr>
        <w:t>International financial management</w:t>
      </w:r>
      <w:r w:rsidRPr="00BC2D54">
        <w:rPr>
          <w:rFonts w:ascii="Arial" w:hAnsi="Arial" w:cs="Arial"/>
        </w:rPr>
        <w:t xml:space="preserve">. 3rd ed. Dubuque: </w:t>
      </w:r>
      <w:r w:rsidR="00E46818" w:rsidRPr="00BC2D54">
        <w:rPr>
          <w:rFonts w:ascii="Arial" w:hAnsi="Arial" w:cs="Arial"/>
        </w:rPr>
        <w:t>McGraw-Hill</w:t>
      </w:r>
      <w:r w:rsidRPr="00BC2D54">
        <w:rPr>
          <w:rFonts w:ascii="Arial" w:hAnsi="Arial" w:cs="Arial"/>
        </w:rPr>
        <w:t xml:space="preserve"> Education.</w:t>
      </w:r>
    </w:p>
    <w:p w14:paraId="528573D0"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Fenech, R. (2023). </w:t>
      </w:r>
      <w:r w:rsidRPr="00BC2D54">
        <w:rPr>
          <w:rFonts w:ascii="Arial" w:hAnsi="Arial" w:cs="Arial"/>
          <w:i/>
          <w:iCs/>
        </w:rPr>
        <w:t>Corinthia to inaugurate seven new hotels by 2026</w:t>
      </w:r>
      <w:r w:rsidRPr="00BC2D54">
        <w:rPr>
          <w:rFonts w:ascii="Arial" w:hAnsi="Arial" w:cs="Arial"/>
        </w:rPr>
        <w:t>. [online] whoswho.mt. Available at: https://whoswho.mt/en/corinthia-to-inaugurate-seven-new-hotels-by-2026 [Accessed 1 Feb. 2024].</w:t>
      </w:r>
    </w:p>
    <w:p w14:paraId="64B8DFCE"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Friedland, J.A. (2014). </w:t>
      </w:r>
      <w:r w:rsidRPr="00BC2D54">
        <w:rPr>
          <w:rFonts w:ascii="Arial" w:hAnsi="Arial" w:cs="Arial"/>
          <w:i/>
          <w:iCs/>
        </w:rPr>
        <w:t>Understanding international business and financial transactions</w:t>
      </w:r>
      <w:r w:rsidRPr="00BC2D54">
        <w:rPr>
          <w:rFonts w:ascii="Arial" w:hAnsi="Arial" w:cs="Arial"/>
        </w:rPr>
        <w:t xml:space="preserve">. 2nd ed. New Providence, </w:t>
      </w:r>
      <w:proofErr w:type="spellStart"/>
      <w:r w:rsidRPr="00BC2D54">
        <w:rPr>
          <w:rFonts w:ascii="Arial" w:hAnsi="Arial" w:cs="Arial"/>
        </w:rPr>
        <w:t>Nj</w:t>
      </w:r>
      <w:proofErr w:type="spellEnd"/>
      <w:r w:rsidRPr="00BC2D54">
        <w:rPr>
          <w:rFonts w:ascii="Arial" w:hAnsi="Arial" w:cs="Arial"/>
        </w:rPr>
        <w:t xml:space="preserve">: </w:t>
      </w:r>
      <w:proofErr w:type="spellStart"/>
      <w:r w:rsidRPr="00BC2D54">
        <w:rPr>
          <w:rFonts w:ascii="Arial" w:hAnsi="Arial" w:cs="Arial"/>
        </w:rPr>
        <w:t>Lexisnexis</w:t>
      </w:r>
      <w:proofErr w:type="spellEnd"/>
      <w:r w:rsidRPr="00BC2D54">
        <w:rPr>
          <w:rFonts w:ascii="Arial" w:hAnsi="Arial" w:cs="Arial"/>
        </w:rPr>
        <w:t>.</w:t>
      </w:r>
    </w:p>
    <w:p w14:paraId="236EDB99"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Guilding, C. (2014). </w:t>
      </w:r>
      <w:r w:rsidRPr="00BC2D54">
        <w:rPr>
          <w:rFonts w:ascii="Arial" w:hAnsi="Arial" w:cs="Arial"/>
          <w:i/>
          <w:iCs/>
        </w:rPr>
        <w:t>Accounting essentials for hospitality managers</w:t>
      </w:r>
      <w:r w:rsidRPr="00BC2D54">
        <w:rPr>
          <w:rFonts w:ascii="Arial" w:hAnsi="Arial" w:cs="Arial"/>
        </w:rPr>
        <w:t>. 3rd ed. London: Routledge.</w:t>
      </w:r>
    </w:p>
    <w:p w14:paraId="6EEB366D"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lastRenderedPageBreak/>
        <w:t xml:space="preserve">IBIS Hotels (2022). </w:t>
      </w:r>
      <w:r w:rsidRPr="00BC2D54">
        <w:rPr>
          <w:rFonts w:ascii="Arial" w:hAnsi="Arial" w:cs="Arial"/>
          <w:i/>
          <w:iCs/>
        </w:rPr>
        <w:t>Sustainability &amp; Accessibility</w:t>
      </w:r>
      <w:r w:rsidRPr="00BC2D54">
        <w:rPr>
          <w:rFonts w:ascii="Arial" w:hAnsi="Arial" w:cs="Arial"/>
        </w:rPr>
        <w:t>. [online] ibis Styles Brisbane Elizabeth Street. Available at: https://ibisstylesbrisbaneelizabeth.com.au/sustainability.</w:t>
      </w:r>
    </w:p>
    <w:p w14:paraId="5093D621"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IBIS Hotels (2023a). </w:t>
      </w:r>
      <w:r w:rsidRPr="00BC2D54">
        <w:rPr>
          <w:rFonts w:ascii="Arial" w:hAnsi="Arial" w:cs="Arial"/>
          <w:i/>
          <w:iCs/>
        </w:rPr>
        <w:t>Ibis family reaches over 1,700 hotels and pursues its pioneering revolution - Truffaut</w:t>
      </w:r>
      <w:r w:rsidRPr="00BC2D54">
        <w:rPr>
          <w:rFonts w:ascii="Arial" w:hAnsi="Arial" w:cs="Arial"/>
        </w:rPr>
        <w:t xml:space="preserve">. [online] </w:t>
      </w:r>
      <w:proofErr w:type="spellStart"/>
      <w:r w:rsidRPr="00BC2D54">
        <w:rPr>
          <w:rFonts w:ascii="Arial" w:hAnsi="Arial" w:cs="Arial"/>
        </w:rPr>
        <w:t>Framatome</w:t>
      </w:r>
      <w:proofErr w:type="spellEnd"/>
      <w:r w:rsidRPr="00BC2D54">
        <w:rPr>
          <w:rFonts w:ascii="Arial" w:hAnsi="Arial" w:cs="Arial"/>
        </w:rPr>
        <w:t xml:space="preserve"> - </w:t>
      </w:r>
      <w:proofErr w:type="spellStart"/>
      <w:r w:rsidRPr="00BC2D54">
        <w:rPr>
          <w:rFonts w:ascii="Arial" w:hAnsi="Arial" w:cs="Arial"/>
        </w:rPr>
        <w:t>Espace</w:t>
      </w:r>
      <w:proofErr w:type="spellEnd"/>
      <w:r w:rsidRPr="00BC2D54">
        <w:rPr>
          <w:rFonts w:ascii="Arial" w:hAnsi="Arial" w:cs="Arial"/>
        </w:rPr>
        <w:t xml:space="preserve"> </w:t>
      </w:r>
      <w:proofErr w:type="spellStart"/>
      <w:r w:rsidRPr="00BC2D54">
        <w:rPr>
          <w:rFonts w:ascii="Arial" w:hAnsi="Arial" w:cs="Arial"/>
        </w:rPr>
        <w:t>presse</w:t>
      </w:r>
      <w:proofErr w:type="spellEnd"/>
      <w:r w:rsidRPr="00BC2D54">
        <w:rPr>
          <w:rFonts w:ascii="Arial" w:hAnsi="Arial" w:cs="Arial"/>
        </w:rPr>
        <w:t>. Available at: https://press.accor.com/la-famille-ibis-depasse-les-1-700-hotels-et-poursuit-sa-revolution-pionniere_5714_5714/?lang=en.</w:t>
      </w:r>
    </w:p>
    <w:p w14:paraId="528A846F"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IBIS Hotels (2023b). </w:t>
      </w:r>
      <w:r w:rsidRPr="00BC2D54">
        <w:rPr>
          <w:rFonts w:ascii="Arial" w:hAnsi="Arial" w:cs="Arial"/>
          <w:i/>
          <w:iCs/>
        </w:rPr>
        <w:t>Interim Financial Report 2023</w:t>
      </w:r>
      <w:r w:rsidRPr="00BC2D54">
        <w:rPr>
          <w:rFonts w:ascii="Arial" w:hAnsi="Arial" w:cs="Arial"/>
        </w:rPr>
        <w:t>. Accor.</w:t>
      </w:r>
    </w:p>
    <w:p w14:paraId="27076500"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Jagels, M. (2007). </w:t>
      </w:r>
      <w:r w:rsidRPr="00BC2D54">
        <w:rPr>
          <w:rFonts w:ascii="Arial" w:hAnsi="Arial" w:cs="Arial"/>
          <w:i/>
          <w:iCs/>
        </w:rPr>
        <w:t>Hospitality management accounting</w:t>
      </w:r>
      <w:r w:rsidRPr="00BC2D54">
        <w:rPr>
          <w:rFonts w:ascii="Arial" w:hAnsi="Arial" w:cs="Arial"/>
        </w:rPr>
        <w:t>. Hoboken, N.J.: Wiley-Blackwell.</w:t>
      </w:r>
    </w:p>
    <w:p w14:paraId="61BA8033"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Kunst, A. (2023). </w:t>
      </w:r>
      <w:r w:rsidRPr="00BC2D54">
        <w:rPr>
          <w:rFonts w:ascii="Arial" w:hAnsi="Arial" w:cs="Arial"/>
          <w:i/>
          <w:iCs/>
        </w:rPr>
        <w:t>Ibis brand profile UK 2022</w:t>
      </w:r>
      <w:r w:rsidRPr="00BC2D54">
        <w:rPr>
          <w:rFonts w:ascii="Arial" w:hAnsi="Arial" w:cs="Arial"/>
        </w:rPr>
        <w:t>. [online] Statista. Available at: https://www.statista.com/forecasts/1335566/ibis-hotels-brand-profile-in-the-uk.</w:t>
      </w:r>
    </w:p>
    <w:p w14:paraId="4AD4FE24"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Madura, J. (2018). </w:t>
      </w:r>
      <w:r w:rsidRPr="00BC2D54">
        <w:rPr>
          <w:rFonts w:ascii="Arial" w:hAnsi="Arial" w:cs="Arial"/>
          <w:i/>
          <w:iCs/>
        </w:rPr>
        <w:t>International financial management</w:t>
      </w:r>
      <w:r w:rsidRPr="00BC2D54">
        <w:rPr>
          <w:rFonts w:ascii="Arial" w:hAnsi="Arial" w:cs="Arial"/>
        </w:rPr>
        <w:t>. 4th ed. South Melbourne, Australia: Cengage Learning Australia.</w:t>
      </w:r>
    </w:p>
    <w:p w14:paraId="68268E35"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Seal, W. (2019). </w:t>
      </w:r>
      <w:r w:rsidRPr="00BC2D54">
        <w:rPr>
          <w:rFonts w:ascii="Arial" w:hAnsi="Arial" w:cs="Arial"/>
          <w:i/>
          <w:iCs/>
        </w:rPr>
        <w:t>Management accounting</w:t>
      </w:r>
      <w:r w:rsidRPr="00BC2D54">
        <w:rPr>
          <w:rFonts w:ascii="Arial" w:hAnsi="Arial" w:cs="Arial"/>
        </w:rPr>
        <w:t xml:space="preserve">. 6th ed. Maidenhead: </w:t>
      </w:r>
      <w:proofErr w:type="spellStart"/>
      <w:r w:rsidRPr="00BC2D54">
        <w:rPr>
          <w:rFonts w:ascii="Arial" w:hAnsi="Arial" w:cs="Arial"/>
        </w:rPr>
        <w:t>Mcgraw-Hill</w:t>
      </w:r>
      <w:proofErr w:type="spellEnd"/>
      <w:r w:rsidRPr="00BC2D54">
        <w:rPr>
          <w:rFonts w:ascii="Arial" w:hAnsi="Arial" w:cs="Arial"/>
        </w:rPr>
        <w:t xml:space="preserve"> Education.</w:t>
      </w:r>
    </w:p>
    <w:p w14:paraId="2A2A6D02" w14:textId="69F61B4B"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Tranter, K.A., Stuart-Hill, T. and Parker, J. (2014). </w:t>
      </w:r>
      <w:r w:rsidRPr="00BC2D54">
        <w:rPr>
          <w:rFonts w:ascii="Arial" w:hAnsi="Arial" w:cs="Arial"/>
          <w:i/>
          <w:iCs/>
        </w:rPr>
        <w:t xml:space="preserve">An introduction to revenue management for the hospitality </w:t>
      </w:r>
      <w:r w:rsidR="00E46818" w:rsidRPr="00BC2D54">
        <w:rPr>
          <w:rFonts w:ascii="Arial" w:hAnsi="Arial" w:cs="Arial"/>
          <w:i/>
          <w:iCs/>
        </w:rPr>
        <w:t>industry:</w:t>
      </w:r>
      <w:r w:rsidRPr="00BC2D54">
        <w:rPr>
          <w:rFonts w:ascii="Arial" w:hAnsi="Arial" w:cs="Arial"/>
          <w:i/>
          <w:iCs/>
        </w:rPr>
        <w:t xml:space="preserve"> principles and practices for the real world</w:t>
      </w:r>
      <w:r w:rsidRPr="00BC2D54">
        <w:rPr>
          <w:rFonts w:ascii="Arial" w:hAnsi="Arial" w:cs="Arial"/>
        </w:rPr>
        <w:t>. Essex: Pearson Education Limited.</w:t>
      </w:r>
    </w:p>
    <w:p w14:paraId="38A4B2D4"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Walker, J.R. (2021). </w:t>
      </w:r>
      <w:r w:rsidRPr="00BC2D54">
        <w:rPr>
          <w:rFonts w:ascii="Arial" w:hAnsi="Arial" w:cs="Arial"/>
          <w:i/>
          <w:iCs/>
        </w:rPr>
        <w:t>Introduction to hospitality</w:t>
      </w:r>
      <w:r w:rsidRPr="00BC2D54">
        <w:rPr>
          <w:rFonts w:ascii="Arial" w:hAnsi="Arial" w:cs="Arial"/>
        </w:rPr>
        <w:t>. 8th ed. Hoboken: Pearson.</w:t>
      </w:r>
    </w:p>
    <w:p w14:paraId="216D4556" w14:textId="77777777" w:rsidR="0035086F" w:rsidRPr="00BC2D54" w:rsidRDefault="0035086F" w:rsidP="00D75F8A">
      <w:pPr>
        <w:pStyle w:val="NormalWeb"/>
        <w:spacing w:before="0" w:beforeAutospacing="0" w:after="240" w:afterAutospacing="0" w:line="360" w:lineRule="auto"/>
        <w:jc w:val="both"/>
        <w:rPr>
          <w:rFonts w:ascii="Arial" w:hAnsi="Arial" w:cs="Arial"/>
        </w:rPr>
      </w:pPr>
      <w:r w:rsidRPr="00BC2D54">
        <w:rPr>
          <w:rFonts w:ascii="Arial" w:hAnsi="Arial" w:cs="Arial"/>
        </w:rPr>
        <w:t xml:space="preserve">Wild, J. (2018). </w:t>
      </w:r>
      <w:r w:rsidRPr="00BC2D54">
        <w:rPr>
          <w:rFonts w:ascii="Arial" w:hAnsi="Arial" w:cs="Arial"/>
          <w:i/>
          <w:iCs/>
        </w:rPr>
        <w:t>Fundamental Accounting Principles</w:t>
      </w:r>
      <w:r w:rsidRPr="00BC2D54">
        <w:rPr>
          <w:rFonts w:ascii="Arial" w:hAnsi="Arial" w:cs="Arial"/>
        </w:rPr>
        <w:t>. McGraw Hill.</w:t>
      </w:r>
    </w:p>
    <w:p w14:paraId="76CB9744" w14:textId="77777777" w:rsidR="0035086F" w:rsidRPr="00717BCA" w:rsidRDefault="0035086F" w:rsidP="000A194B">
      <w:pPr>
        <w:rPr>
          <w:rFonts w:ascii="Arial" w:hAnsi="Arial" w:cs="Arial"/>
        </w:rPr>
      </w:pPr>
    </w:p>
    <w:sectPr w:rsidR="0035086F" w:rsidRPr="00717BCA" w:rsidSect="00D75F8A">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rinda">
    <w:panose1 w:val="000004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9393B"/>
    <w:multiLevelType w:val="hybridMultilevel"/>
    <w:tmpl w:val="9F9E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B7193"/>
    <w:multiLevelType w:val="hybridMultilevel"/>
    <w:tmpl w:val="D2E6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71D01"/>
    <w:multiLevelType w:val="hybridMultilevel"/>
    <w:tmpl w:val="5B96F99A"/>
    <w:lvl w:ilvl="0" w:tplc="6CFA22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3CB"/>
    <w:rsid w:val="000407B7"/>
    <w:rsid w:val="00083D27"/>
    <w:rsid w:val="000A194B"/>
    <w:rsid w:val="000B5162"/>
    <w:rsid w:val="001026C9"/>
    <w:rsid w:val="00105074"/>
    <w:rsid w:val="00144518"/>
    <w:rsid w:val="001F4A3F"/>
    <w:rsid w:val="00213AF5"/>
    <w:rsid w:val="00232777"/>
    <w:rsid w:val="002459B9"/>
    <w:rsid w:val="002D6265"/>
    <w:rsid w:val="002E44EA"/>
    <w:rsid w:val="002E5D84"/>
    <w:rsid w:val="002E6E2B"/>
    <w:rsid w:val="002F5669"/>
    <w:rsid w:val="0035086F"/>
    <w:rsid w:val="00372269"/>
    <w:rsid w:val="003B56A3"/>
    <w:rsid w:val="003E1113"/>
    <w:rsid w:val="003E3C15"/>
    <w:rsid w:val="00421267"/>
    <w:rsid w:val="004654B0"/>
    <w:rsid w:val="004E5EDD"/>
    <w:rsid w:val="004E6585"/>
    <w:rsid w:val="00514C33"/>
    <w:rsid w:val="005310D5"/>
    <w:rsid w:val="00543C4A"/>
    <w:rsid w:val="00545591"/>
    <w:rsid w:val="00610132"/>
    <w:rsid w:val="00631570"/>
    <w:rsid w:val="00687015"/>
    <w:rsid w:val="00696AAE"/>
    <w:rsid w:val="006B2E17"/>
    <w:rsid w:val="00717BCA"/>
    <w:rsid w:val="007C3A30"/>
    <w:rsid w:val="008067F1"/>
    <w:rsid w:val="00833DCE"/>
    <w:rsid w:val="00847FD0"/>
    <w:rsid w:val="008631FA"/>
    <w:rsid w:val="00905EA6"/>
    <w:rsid w:val="00946485"/>
    <w:rsid w:val="009602AA"/>
    <w:rsid w:val="00994361"/>
    <w:rsid w:val="009A2DF3"/>
    <w:rsid w:val="009C2EE0"/>
    <w:rsid w:val="00A11F75"/>
    <w:rsid w:val="00A24E8C"/>
    <w:rsid w:val="00A4744F"/>
    <w:rsid w:val="00A8390B"/>
    <w:rsid w:val="00A873CB"/>
    <w:rsid w:val="00AD2A62"/>
    <w:rsid w:val="00C16895"/>
    <w:rsid w:val="00C5526E"/>
    <w:rsid w:val="00C67950"/>
    <w:rsid w:val="00C715DA"/>
    <w:rsid w:val="00C9795C"/>
    <w:rsid w:val="00CB7262"/>
    <w:rsid w:val="00D10B2A"/>
    <w:rsid w:val="00D30736"/>
    <w:rsid w:val="00D75F8A"/>
    <w:rsid w:val="00D80E07"/>
    <w:rsid w:val="00DF3CC5"/>
    <w:rsid w:val="00E02174"/>
    <w:rsid w:val="00E46818"/>
    <w:rsid w:val="00EB3BC7"/>
    <w:rsid w:val="00F54190"/>
    <w:rsid w:val="00F7025B"/>
    <w:rsid w:val="00FD11C8"/>
    <w:rsid w:val="00FF094F"/>
    <w:rsid w:val="00FF3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21C4E"/>
  <w15:chartTrackingRefBased/>
  <w15:docId w15:val="{0D043342-9E1D-47CD-95D3-12B1C983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086F"/>
    <w:pPr>
      <w:keepNext/>
      <w:keepLines/>
      <w:spacing w:before="240" w:after="0" w:line="360" w:lineRule="auto"/>
      <w:jc w:val="both"/>
      <w:outlineLvl w:val="0"/>
    </w:pPr>
    <w:rPr>
      <w:rFonts w:ascii="Arial" w:eastAsiaTheme="majorEastAsia" w:hAnsi="Arial" w:cstheme="majorBidi"/>
      <w:b/>
      <w:color w:val="000000" w:themeColor="text1"/>
      <w:sz w:val="32"/>
      <w:szCs w:val="40"/>
      <w:lang w:val="en-US" w:bidi="bn-IN"/>
    </w:rPr>
  </w:style>
  <w:style w:type="paragraph" w:styleId="Heading2">
    <w:name w:val="heading 2"/>
    <w:basedOn w:val="Normal"/>
    <w:next w:val="Normal"/>
    <w:link w:val="Heading2Char"/>
    <w:uiPriority w:val="9"/>
    <w:unhideWhenUsed/>
    <w:qFormat/>
    <w:rsid w:val="0035086F"/>
    <w:pPr>
      <w:keepNext/>
      <w:keepLines/>
      <w:spacing w:before="40" w:after="0" w:line="360" w:lineRule="auto"/>
      <w:jc w:val="both"/>
      <w:outlineLvl w:val="1"/>
    </w:pPr>
    <w:rPr>
      <w:rFonts w:ascii="Arial" w:eastAsiaTheme="majorEastAsia" w:hAnsi="Arial" w:cstheme="majorBidi"/>
      <w:b/>
      <w:color w:val="000000" w:themeColor="text1"/>
      <w:sz w:val="28"/>
      <w:szCs w:val="33"/>
      <w:lang w:val="en-US"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AAE"/>
    <w:pPr>
      <w:ind w:left="720"/>
      <w:contextualSpacing/>
    </w:pPr>
  </w:style>
  <w:style w:type="character" w:customStyle="1" w:styleId="Heading1Char">
    <w:name w:val="Heading 1 Char"/>
    <w:basedOn w:val="DefaultParagraphFont"/>
    <w:link w:val="Heading1"/>
    <w:uiPriority w:val="9"/>
    <w:rsid w:val="0035086F"/>
    <w:rPr>
      <w:rFonts w:ascii="Arial" w:eastAsiaTheme="majorEastAsia" w:hAnsi="Arial" w:cstheme="majorBidi"/>
      <w:b/>
      <w:color w:val="000000" w:themeColor="text1"/>
      <w:sz w:val="32"/>
      <w:szCs w:val="40"/>
      <w:lang w:val="en-US" w:bidi="bn-IN"/>
    </w:rPr>
  </w:style>
  <w:style w:type="character" w:customStyle="1" w:styleId="Heading2Char">
    <w:name w:val="Heading 2 Char"/>
    <w:basedOn w:val="DefaultParagraphFont"/>
    <w:link w:val="Heading2"/>
    <w:uiPriority w:val="9"/>
    <w:rsid w:val="0035086F"/>
    <w:rPr>
      <w:rFonts w:ascii="Arial" w:eastAsiaTheme="majorEastAsia" w:hAnsi="Arial" w:cstheme="majorBidi"/>
      <w:b/>
      <w:color w:val="000000" w:themeColor="text1"/>
      <w:sz w:val="28"/>
      <w:szCs w:val="33"/>
      <w:lang w:val="en-US" w:bidi="bn-IN"/>
    </w:rPr>
  </w:style>
  <w:style w:type="paragraph" w:styleId="TOCHeading">
    <w:name w:val="TOC Heading"/>
    <w:basedOn w:val="Heading1"/>
    <w:next w:val="Normal"/>
    <w:uiPriority w:val="39"/>
    <w:unhideWhenUsed/>
    <w:qFormat/>
    <w:rsid w:val="0035086F"/>
    <w:pPr>
      <w:spacing w:before="480" w:line="276" w:lineRule="auto"/>
      <w:jc w:val="left"/>
      <w:outlineLvl w:val="9"/>
    </w:pPr>
    <w:rPr>
      <w:rFonts w:asciiTheme="majorHAnsi" w:hAnsiTheme="majorHAnsi"/>
      <w:bCs/>
      <w:color w:val="2E74B5" w:themeColor="accent1" w:themeShade="BF"/>
      <w:sz w:val="28"/>
      <w:szCs w:val="28"/>
      <w:lang w:bidi="ar-SA"/>
    </w:rPr>
  </w:style>
  <w:style w:type="paragraph" w:styleId="TOC1">
    <w:name w:val="toc 1"/>
    <w:basedOn w:val="Normal"/>
    <w:next w:val="Normal"/>
    <w:autoRedefine/>
    <w:uiPriority w:val="39"/>
    <w:unhideWhenUsed/>
    <w:rsid w:val="0035086F"/>
    <w:pPr>
      <w:spacing w:before="120" w:after="120" w:line="360" w:lineRule="auto"/>
    </w:pPr>
    <w:rPr>
      <w:rFonts w:cs="Vrinda"/>
      <w:b/>
      <w:bCs/>
      <w:caps/>
      <w:sz w:val="20"/>
      <w:szCs w:val="20"/>
      <w:lang w:val="en-US" w:bidi="bn-IN"/>
    </w:rPr>
  </w:style>
  <w:style w:type="paragraph" w:styleId="TOC2">
    <w:name w:val="toc 2"/>
    <w:basedOn w:val="Normal"/>
    <w:next w:val="Normal"/>
    <w:autoRedefine/>
    <w:uiPriority w:val="39"/>
    <w:unhideWhenUsed/>
    <w:rsid w:val="0035086F"/>
    <w:pPr>
      <w:spacing w:after="0" w:line="360" w:lineRule="auto"/>
      <w:ind w:left="240"/>
    </w:pPr>
    <w:rPr>
      <w:rFonts w:cs="Vrinda"/>
      <w:smallCaps/>
      <w:sz w:val="20"/>
      <w:szCs w:val="20"/>
      <w:lang w:val="en-US" w:bidi="bn-IN"/>
    </w:rPr>
  </w:style>
  <w:style w:type="character" w:styleId="Hyperlink">
    <w:name w:val="Hyperlink"/>
    <w:basedOn w:val="DefaultParagraphFont"/>
    <w:uiPriority w:val="99"/>
    <w:unhideWhenUsed/>
    <w:rsid w:val="0035086F"/>
    <w:rPr>
      <w:color w:val="0563C1" w:themeColor="hyperlink"/>
      <w:u w:val="single"/>
    </w:rPr>
  </w:style>
  <w:style w:type="paragraph" w:styleId="NormalWeb">
    <w:name w:val="Normal (Web)"/>
    <w:basedOn w:val="Normal"/>
    <w:uiPriority w:val="99"/>
    <w:unhideWhenUsed/>
    <w:rsid w:val="0035086F"/>
    <w:pPr>
      <w:spacing w:before="100" w:beforeAutospacing="1" w:after="100" w:afterAutospacing="1" w:line="240" w:lineRule="auto"/>
    </w:pPr>
    <w:rPr>
      <w:rFonts w:ascii="Times New Roman" w:eastAsia="Times New Roman" w:hAnsi="Times New Roman" w:cs="Times New Roman"/>
      <w:sz w:val="24"/>
      <w:szCs w:val="24"/>
      <w:lang w:val="en-US" w:eastAsia="en-GB" w:bidi="bn-IN"/>
    </w:rPr>
  </w:style>
  <w:style w:type="paragraph" w:styleId="TOC3">
    <w:name w:val="toc 3"/>
    <w:basedOn w:val="Normal"/>
    <w:next w:val="Normal"/>
    <w:autoRedefine/>
    <w:uiPriority w:val="39"/>
    <w:unhideWhenUsed/>
    <w:rsid w:val="00D75F8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47483">
      <w:bodyDiv w:val="1"/>
      <w:marLeft w:val="0"/>
      <w:marRight w:val="0"/>
      <w:marTop w:val="0"/>
      <w:marBottom w:val="0"/>
      <w:divBdr>
        <w:top w:val="none" w:sz="0" w:space="0" w:color="auto"/>
        <w:left w:val="none" w:sz="0" w:space="0" w:color="auto"/>
        <w:bottom w:val="none" w:sz="0" w:space="0" w:color="auto"/>
        <w:right w:val="none" w:sz="0" w:space="0" w:color="auto"/>
      </w:divBdr>
    </w:div>
    <w:div w:id="96550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total comparaTIVE</a:t>
            </a:r>
            <a:r>
              <a:rPr lang="en-GB" baseline="0"/>
              <a:t> REVENUE (IN MILLION)</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Sheet1!$G$7</c:f>
              <c:strCache>
                <c:ptCount val="1"/>
                <c:pt idx="0">
                  <c:v>IBIS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Sheet1!$F$8:$F$11</c:f>
              <c:strCache>
                <c:ptCount val="4"/>
                <c:pt idx="0">
                  <c:v>year 2022</c:v>
                </c:pt>
                <c:pt idx="1">
                  <c:v>year 2021</c:v>
                </c:pt>
                <c:pt idx="2">
                  <c:v>year 2020</c:v>
                </c:pt>
                <c:pt idx="3">
                  <c:v>year 2019</c:v>
                </c:pt>
              </c:strCache>
            </c:strRef>
          </c:cat>
          <c:val>
            <c:numRef>
              <c:f>Sheet1!$G$8:$G$11</c:f>
              <c:numCache>
                <c:formatCode>[$€-2]\ #,##0;[Red]\-[$€-2]\ #,##0</c:formatCode>
                <c:ptCount val="4"/>
                <c:pt idx="0">
                  <c:v>2402</c:v>
                </c:pt>
                <c:pt idx="1">
                  <c:v>1725</c:v>
                </c:pt>
                <c:pt idx="2">
                  <c:v>1600</c:v>
                </c:pt>
                <c:pt idx="3">
                  <c:v>4000</c:v>
                </c:pt>
              </c:numCache>
            </c:numRef>
          </c:val>
          <c:extLst>
            <c:ext xmlns:c16="http://schemas.microsoft.com/office/drawing/2014/chart" uri="{C3380CC4-5D6E-409C-BE32-E72D297353CC}">
              <c16:uniqueId val="{00000000-AFDC-41F1-B815-56DA07A605A1}"/>
            </c:ext>
          </c:extLst>
        </c:ser>
        <c:ser>
          <c:idx val="1"/>
          <c:order val="1"/>
          <c:tx>
            <c:strRef>
              <c:f>Sheet1!$H$7</c:f>
              <c:strCache>
                <c:ptCount val="1"/>
                <c:pt idx="0">
                  <c:v>Corinthia Hotels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Sheet1!$F$8:$F$11</c:f>
              <c:strCache>
                <c:ptCount val="4"/>
                <c:pt idx="0">
                  <c:v>year 2022</c:v>
                </c:pt>
                <c:pt idx="1">
                  <c:v>year 2021</c:v>
                </c:pt>
                <c:pt idx="2">
                  <c:v>year 2020</c:v>
                </c:pt>
                <c:pt idx="3">
                  <c:v>year 2019</c:v>
                </c:pt>
              </c:strCache>
            </c:strRef>
          </c:cat>
          <c:val>
            <c:numRef>
              <c:f>Sheet1!$H$8:$H$11</c:f>
              <c:numCache>
                <c:formatCode>[$€-2]\ #,##0;[Red]\-[$€-2]\ #,##0</c:formatCode>
                <c:ptCount val="4"/>
                <c:pt idx="0">
                  <c:v>238</c:v>
                </c:pt>
                <c:pt idx="1">
                  <c:v>129</c:v>
                </c:pt>
                <c:pt idx="2">
                  <c:v>91</c:v>
                </c:pt>
                <c:pt idx="3">
                  <c:v>268</c:v>
                </c:pt>
              </c:numCache>
            </c:numRef>
          </c:val>
          <c:extLst>
            <c:ext xmlns:c16="http://schemas.microsoft.com/office/drawing/2014/chart" uri="{C3380CC4-5D6E-409C-BE32-E72D297353CC}">
              <c16:uniqueId val="{00000001-AFDC-41F1-B815-56DA07A605A1}"/>
            </c:ext>
          </c:extLst>
        </c:ser>
        <c:dLbls>
          <c:dLblPos val="outEnd"/>
          <c:showLegendKey val="0"/>
          <c:showVal val="1"/>
          <c:showCatName val="0"/>
          <c:showSerName val="0"/>
          <c:showPercent val="0"/>
          <c:showBubbleSize val="0"/>
        </c:dLbls>
        <c:gapWidth val="444"/>
        <c:overlap val="-90"/>
        <c:axId val="-1132027744"/>
        <c:axId val="-1132025568"/>
      </c:barChart>
      <c:catAx>
        <c:axId val="-1132027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32025568"/>
        <c:crosses val="autoZero"/>
        <c:auto val="1"/>
        <c:lblAlgn val="ctr"/>
        <c:lblOffset val="100"/>
        <c:noMultiLvlLbl val="0"/>
      </c:catAx>
      <c:valAx>
        <c:axId val="-1132025568"/>
        <c:scaling>
          <c:orientation val="minMax"/>
        </c:scaling>
        <c:delete val="1"/>
        <c:axPos val="l"/>
        <c:numFmt formatCode="[$€-2]\ #,##0;[Red]\-[$€-2]\ #,##0" sourceLinked="1"/>
        <c:majorTickMark val="none"/>
        <c:minorTickMark val="none"/>
        <c:tickLblPos val="nextTo"/>
        <c:crossAx val="-11320277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D21B2-40CD-407D-AE44-83B69AC7E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2767</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2024-02-02T21:35:00Z</dcterms:created>
  <dcterms:modified xsi:type="dcterms:W3CDTF">2024-02-02T22:09:00Z</dcterms:modified>
</cp:coreProperties>
</file>