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lang w:val="en-US"/>
        </w:rPr>
      </w:pPr>
      <w:r w:rsidRPr="0033182A">
        <w:rPr>
          <w:rFonts w:ascii="Arial" w:hAnsi="Arial" w:cs="Arial"/>
          <w:sz w:val="24"/>
          <w:lang w:val="en-US"/>
        </w:rPr>
        <w:t xml:space="preserve">This part of lab worksheet require you research and write a report on </w:t>
      </w:r>
      <w:r w:rsidR="00771EE2" w:rsidRPr="00771EE2">
        <w:rPr>
          <w:rFonts w:ascii="Arial" w:hAnsi="Arial" w:cs="Arial"/>
          <w:b/>
          <w:color w:val="FF0000"/>
          <w:sz w:val="24"/>
          <w:lang w:val="en-US"/>
        </w:rPr>
        <w:t>“Features of IPv6”</w:t>
      </w:r>
      <w:r w:rsidRPr="0033182A">
        <w:rPr>
          <w:rFonts w:ascii="Arial" w:hAnsi="Arial" w:cs="Arial"/>
          <w:sz w:val="24"/>
          <w:lang w:val="en-US"/>
        </w:rPr>
        <w:t xml:space="preserve">. You may discuss but not limited to structure, address types, </w:t>
      </w:r>
      <w:r w:rsidR="00771EE2">
        <w:rPr>
          <w:rFonts w:ascii="Arial" w:hAnsi="Arial" w:cs="Arial"/>
          <w:sz w:val="24"/>
          <w:lang w:val="en-US"/>
        </w:rPr>
        <w:t xml:space="preserve">advanced functionalities </w:t>
      </w:r>
      <w:r w:rsidR="00FC631C" w:rsidRPr="0033182A">
        <w:rPr>
          <w:rFonts w:ascii="Arial" w:hAnsi="Arial" w:cs="Arial"/>
          <w:sz w:val="24"/>
          <w:lang w:val="en-US"/>
        </w:rPr>
        <w:t xml:space="preserve">and </w:t>
      </w:r>
      <w:r w:rsidRPr="0033182A">
        <w:rPr>
          <w:rFonts w:ascii="Arial" w:hAnsi="Arial" w:cs="Arial"/>
          <w:sz w:val="24"/>
          <w:lang w:val="en-US"/>
        </w:rPr>
        <w:t>security</w:t>
      </w:r>
      <w:r w:rsidR="00FC631C">
        <w:rPr>
          <w:rFonts w:ascii="Arial" w:hAnsi="Arial" w:cs="Arial"/>
          <w:lang w:val="en-US"/>
        </w:rPr>
        <w:t xml:space="preserve">. </w:t>
      </w:r>
      <w:r>
        <w:rPr>
          <w:rFonts w:ascii="Arial" w:hAnsi="Arial" w:cs="Arial"/>
          <w:lang w:val="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lastRenderedPageBreak/>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3"/>
          <w:pgSz w:w="11894" w:h="16834"/>
          <w:pgMar w:top="993" w:right="695" w:bottom="1418" w:left="1418" w:header="709" w:footer="709" w:gutter="0"/>
          <w:paperSrc w:first="1" w:other="1"/>
          <w:cols w:space="720"/>
        </w:sectPr>
      </w:pPr>
    </w:p>
    <w:p w14:paraId="15F42AE9" w14:textId="630D7F86" w:rsidR="00E020C0"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1E263B" w:rsidRPr="004A1148" w14:paraId="2A7C11BA" w14:textId="77777777" w:rsidTr="003006B2">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C0FBF53" w14:textId="77777777" w:rsidR="001E263B" w:rsidRPr="004A1148" w:rsidRDefault="001E263B" w:rsidP="003006B2">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32BCB43" w14:textId="77777777" w:rsidR="001E263B" w:rsidRPr="004A1148" w:rsidRDefault="001E263B" w:rsidP="003006B2">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3221A9C6" w14:textId="77777777" w:rsidR="001E263B" w:rsidRPr="004A1148" w:rsidRDefault="001E263B" w:rsidP="003006B2">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07AE200" w14:textId="77777777" w:rsidR="001E263B" w:rsidRPr="004A1148" w:rsidRDefault="001E263B" w:rsidP="003006B2">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53D085F" w14:textId="77777777" w:rsidR="001E263B" w:rsidRPr="004A1148" w:rsidRDefault="001E263B" w:rsidP="003006B2">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176ED57" w14:textId="77777777" w:rsidR="001E263B" w:rsidRPr="004A1148" w:rsidRDefault="001E263B" w:rsidP="003006B2">
            <w:pPr>
              <w:pStyle w:val="TableHeading"/>
              <w:ind w:left="284"/>
              <w:rPr>
                <w:rFonts w:cs="Arial"/>
              </w:rPr>
            </w:pPr>
            <w:r w:rsidRPr="004A1148">
              <w:rPr>
                <w:rFonts w:cs="Arial"/>
              </w:rPr>
              <w:t>Broadcast Address</w:t>
            </w:r>
          </w:p>
        </w:tc>
      </w:tr>
      <w:tr w:rsidR="001E263B" w:rsidRPr="004A1148" w14:paraId="6007BE49" w14:textId="77777777" w:rsidTr="003006B2">
        <w:trPr>
          <w:cantSplit/>
          <w:trHeight w:val="510"/>
          <w:jc w:val="center"/>
        </w:trPr>
        <w:tc>
          <w:tcPr>
            <w:tcW w:w="1412" w:type="dxa"/>
            <w:vAlign w:val="center"/>
          </w:tcPr>
          <w:p w14:paraId="74C0CE5B" w14:textId="77777777" w:rsidR="001E263B" w:rsidRPr="004A1148" w:rsidRDefault="001E263B" w:rsidP="003006B2">
            <w:pPr>
              <w:pStyle w:val="TableText"/>
              <w:ind w:left="284"/>
              <w:rPr>
                <w:rFonts w:cs="Arial"/>
              </w:rPr>
            </w:pPr>
            <w:r>
              <w:rPr>
                <w:b/>
                <w:bCs/>
              </w:rPr>
              <w:t>B</w:t>
            </w:r>
          </w:p>
        </w:tc>
        <w:tc>
          <w:tcPr>
            <w:tcW w:w="2561" w:type="dxa"/>
            <w:vAlign w:val="center"/>
          </w:tcPr>
          <w:p w14:paraId="23B96555" w14:textId="77777777" w:rsidR="001E263B" w:rsidRPr="004A1148" w:rsidRDefault="001E263B" w:rsidP="003006B2">
            <w:pPr>
              <w:pStyle w:val="TableText"/>
              <w:rPr>
                <w:rFonts w:cs="Arial"/>
              </w:rPr>
            </w:pPr>
            <w:r>
              <w:t>172.16.2.0</w:t>
            </w:r>
          </w:p>
        </w:tc>
        <w:tc>
          <w:tcPr>
            <w:tcW w:w="2552" w:type="dxa"/>
            <w:vAlign w:val="center"/>
          </w:tcPr>
          <w:p w14:paraId="1A71337D" w14:textId="77777777" w:rsidR="001E263B" w:rsidRPr="004A1148" w:rsidRDefault="001E263B" w:rsidP="003006B2">
            <w:pPr>
              <w:pStyle w:val="TableText"/>
              <w:rPr>
                <w:rFonts w:cs="Arial"/>
              </w:rPr>
            </w:pPr>
            <w:r>
              <w:t>(255.255.248.0)21</w:t>
            </w:r>
          </w:p>
        </w:tc>
        <w:tc>
          <w:tcPr>
            <w:tcW w:w="2724" w:type="dxa"/>
            <w:vAlign w:val="center"/>
          </w:tcPr>
          <w:p w14:paraId="03D11270" w14:textId="77777777" w:rsidR="001E263B" w:rsidRPr="004A1148" w:rsidRDefault="001E263B" w:rsidP="003006B2">
            <w:pPr>
              <w:pStyle w:val="TableText"/>
              <w:rPr>
                <w:rFonts w:cs="Arial"/>
              </w:rPr>
            </w:pPr>
            <w:r>
              <w:t xml:space="preserve">172.16.2.1 </w:t>
            </w:r>
          </w:p>
        </w:tc>
        <w:tc>
          <w:tcPr>
            <w:tcW w:w="2922" w:type="dxa"/>
            <w:vAlign w:val="bottom"/>
          </w:tcPr>
          <w:p w14:paraId="06BD05DE" w14:textId="77777777" w:rsidR="001E263B" w:rsidRPr="004A1148" w:rsidRDefault="001E263B" w:rsidP="003006B2">
            <w:pPr>
              <w:pStyle w:val="TableText"/>
              <w:rPr>
                <w:rFonts w:cs="Arial"/>
              </w:rPr>
            </w:pPr>
            <w:r>
              <w:t>172.16.9.254</w:t>
            </w:r>
          </w:p>
        </w:tc>
        <w:tc>
          <w:tcPr>
            <w:tcW w:w="2905" w:type="dxa"/>
            <w:vAlign w:val="center"/>
          </w:tcPr>
          <w:p w14:paraId="1C96CB73" w14:textId="77777777" w:rsidR="001E263B" w:rsidRPr="004A1148" w:rsidRDefault="001E263B" w:rsidP="003006B2">
            <w:pPr>
              <w:pStyle w:val="TableText"/>
              <w:ind w:left="284"/>
              <w:rPr>
                <w:rFonts w:cs="Arial"/>
              </w:rPr>
            </w:pPr>
            <w:r>
              <w:t>172.16.9.255</w:t>
            </w:r>
          </w:p>
        </w:tc>
      </w:tr>
      <w:tr w:rsidR="001E263B" w:rsidRPr="004A1148" w14:paraId="61F21548" w14:textId="77777777" w:rsidTr="003006B2">
        <w:trPr>
          <w:cantSplit/>
          <w:trHeight w:val="510"/>
          <w:jc w:val="center"/>
        </w:trPr>
        <w:tc>
          <w:tcPr>
            <w:tcW w:w="1412" w:type="dxa"/>
            <w:vAlign w:val="center"/>
          </w:tcPr>
          <w:p w14:paraId="241BE99D" w14:textId="77777777" w:rsidR="001E263B" w:rsidRPr="004A1148" w:rsidRDefault="001E263B" w:rsidP="003006B2">
            <w:pPr>
              <w:pStyle w:val="TableText"/>
              <w:ind w:left="284"/>
              <w:rPr>
                <w:rFonts w:cs="Arial"/>
              </w:rPr>
            </w:pPr>
            <w:r>
              <w:rPr>
                <w:b/>
                <w:bCs/>
              </w:rPr>
              <w:t>D</w:t>
            </w:r>
          </w:p>
        </w:tc>
        <w:tc>
          <w:tcPr>
            <w:tcW w:w="2561" w:type="dxa"/>
            <w:vAlign w:val="center"/>
          </w:tcPr>
          <w:p w14:paraId="5DDDDF82" w14:textId="77777777" w:rsidR="001E263B" w:rsidRPr="004A1148" w:rsidRDefault="001E263B" w:rsidP="003006B2">
            <w:pPr>
              <w:pStyle w:val="TableText"/>
              <w:rPr>
                <w:rFonts w:cs="Arial"/>
              </w:rPr>
            </w:pPr>
            <w:r>
              <w:t>172.16.10.0</w:t>
            </w:r>
          </w:p>
        </w:tc>
        <w:tc>
          <w:tcPr>
            <w:tcW w:w="2552" w:type="dxa"/>
            <w:vAlign w:val="center"/>
          </w:tcPr>
          <w:p w14:paraId="23D47644" w14:textId="77777777" w:rsidR="001E263B" w:rsidRPr="004A1148" w:rsidRDefault="001E263B" w:rsidP="003006B2">
            <w:pPr>
              <w:pStyle w:val="TableText"/>
              <w:rPr>
                <w:rFonts w:cs="Arial"/>
              </w:rPr>
            </w:pPr>
            <w:r>
              <w:t>(255.255.254.0)23</w:t>
            </w:r>
          </w:p>
        </w:tc>
        <w:tc>
          <w:tcPr>
            <w:tcW w:w="2724" w:type="dxa"/>
            <w:vAlign w:val="center"/>
          </w:tcPr>
          <w:p w14:paraId="28C9C1BB" w14:textId="77777777" w:rsidR="001E263B" w:rsidRPr="004A1148" w:rsidRDefault="001E263B" w:rsidP="003006B2">
            <w:pPr>
              <w:pStyle w:val="TableText"/>
              <w:rPr>
                <w:rFonts w:cs="Arial"/>
              </w:rPr>
            </w:pPr>
            <w:r>
              <w:t xml:space="preserve">172.16.10.1 </w:t>
            </w:r>
          </w:p>
        </w:tc>
        <w:tc>
          <w:tcPr>
            <w:tcW w:w="2922" w:type="dxa"/>
            <w:vAlign w:val="bottom"/>
          </w:tcPr>
          <w:p w14:paraId="5F19F128" w14:textId="77777777" w:rsidR="001E263B" w:rsidRPr="004A1148" w:rsidRDefault="001E263B" w:rsidP="003006B2">
            <w:pPr>
              <w:pStyle w:val="TableText"/>
              <w:rPr>
                <w:rFonts w:cs="Arial"/>
              </w:rPr>
            </w:pPr>
            <w:r>
              <w:t>172.16.11.254</w:t>
            </w:r>
          </w:p>
        </w:tc>
        <w:tc>
          <w:tcPr>
            <w:tcW w:w="2905" w:type="dxa"/>
            <w:vAlign w:val="center"/>
          </w:tcPr>
          <w:p w14:paraId="01457DA7" w14:textId="77777777" w:rsidR="001E263B" w:rsidRPr="004A1148" w:rsidRDefault="001E263B" w:rsidP="003006B2">
            <w:pPr>
              <w:pStyle w:val="TableText"/>
              <w:ind w:left="284"/>
              <w:rPr>
                <w:rFonts w:cs="Arial"/>
              </w:rPr>
            </w:pPr>
            <w:r>
              <w:t>172.16.11.255</w:t>
            </w:r>
          </w:p>
        </w:tc>
      </w:tr>
      <w:tr w:rsidR="001E263B" w:rsidRPr="004A1148" w14:paraId="21EF805B" w14:textId="77777777" w:rsidTr="003006B2">
        <w:trPr>
          <w:cantSplit/>
          <w:trHeight w:val="510"/>
          <w:jc w:val="center"/>
        </w:trPr>
        <w:tc>
          <w:tcPr>
            <w:tcW w:w="1412" w:type="dxa"/>
            <w:vAlign w:val="center"/>
          </w:tcPr>
          <w:p w14:paraId="1F274C0B" w14:textId="77777777" w:rsidR="001E263B" w:rsidRPr="004A1148" w:rsidRDefault="001E263B" w:rsidP="003006B2">
            <w:pPr>
              <w:pStyle w:val="TableText"/>
              <w:ind w:left="284"/>
              <w:rPr>
                <w:rFonts w:cs="Arial"/>
              </w:rPr>
            </w:pPr>
            <w:r>
              <w:rPr>
                <w:b/>
                <w:bCs/>
              </w:rPr>
              <w:t>F</w:t>
            </w:r>
          </w:p>
        </w:tc>
        <w:tc>
          <w:tcPr>
            <w:tcW w:w="2561" w:type="dxa"/>
            <w:vAlign w:val="center"/>
          </w:tcPr>
          <w:p w14:paraId="419CFB9E" w14:textId="77777777" w:rsidR="001E263B" w:rsidRPr="004A1148" w:rsidRDefault="001E263B" w:rsidP="003006B2">
            <w:pPr>
              <w:pStyle w:val="TableText"/>
              <w:rPr>
                <w:rFonts w:cs="Arial"/>
              </w:rPr>
            </w:pPr>
            <w:r>
              <w:t>172.16.12.0</w:t>
            </w:r>
          </w:p>
        </w:tc>
        <w:tc>
          <w:tcPr>
            <w:tcW w:w="2552" w:type="dxa"/>
            <w:vAlign w:val="center"/>
          </w:tcPr>
          <w:p w14:paraId="3E6DAA06" w14:textId="77777777" w:rsidR="001E263B" w:rsidRPr="004A1148" w:rsidRDefault="001E263B" w:rsidP="003006B2">
            <w:pPr>
              <w:pStyle w:val="TableText"/>
              <w:rPr>
                <w:rFonts w:cs="Arial"/>
              </w:rPr>
            </w:pPr>
            <w:r>
              <w:t>(255.255.255.0)24</w:t>
            </w:r>
          </w:p>
        </w:tc>
        <w:tc>
          <w:tcPr>
            <w:tcW w:w="2724" w:type="dxa"/>
            <w:vAlign w:val="center"/>
          </w:tcPr>
          <w:p w14:paraId="102088EA" w14:textId="77777777" w:rsidR="001E263B" w:rsidRPr="004A1148" w:rsidRDefault="001E263B" w:rsidP="003006B2">
            <w:pPr>
              <w:pStyle w:val="TableText"/>
              <w:rPr>
                <w:rFonts w:cs="Arial"/>
              </w:rPr>
            </w:pPr>
            <w:r>
              <w:t xml:space="preserve">172.16.12.1 </w:t>
            </w:r>
          </w:p>
        </w:tc>
        <w:tc>
          <w:tcPr>
            <w:tcW w:w="2922" w:type="dxa"/>
            <w:vAlign w:val="bottom"/>
          </w:tcPr>
          <w:p w14:paraId="4B313F97" w14:textId="77777777" w:rsidR="001E263B" w:rsidRPr="004A1148" w:rsidRDefault="001E263B" w:rsidP="003006B2">
            <w:pPr>
              <w:pStyle w:val="TableText"/>
              <w:rPr>
                <w:rFonts w:cs="Arial"/>
              </w:rPr>
            </w:pPr>
            <w:r>
              <w:t>172.16.12.254</w:t>
            </w:r>
          </w:p>
        </w:tc>
        <w:tc>
          <w:tcPr>
            <w:tcW w:w="2905" w:type="dxa"/>
            <w:vAlign w:val="center"/>
          </w:tcPr>
          <w:p w14:paraId="3B6161BE" w14:textId="77777777" w:rsidR="001E263B" w:rsidRPr="004A1148" w:rsidRDefault="001E263B" w:rsidP="003006B2">
            <w:pPr>
              <w:pStyle w:val="TableText"/>
              <w:ind w:left="284"/>
              <w:rPr>
                <w:rFonts w:cs="Arial"/>
              </w:rPr>
            </w:pPr>
            <w:r>
              <w:t>172.16.12.255</w:t>
            </w:r>
          </w:p>
        </w:tc>
      </w:tr>
      <w:tr w:rsidR="001E263B" w:rsidRPr="004A1148" w14:paraId="1BA0BCEB" w14:textId="77777777" w:rsidTr="003006B2">
        <w:trPr>
          <w:cantSplit/>
          <w:trHeight w:val="510"/>
          <w:jc w:val="center"/>
        </w:trPr>
        <w:tc>
          <w:tcPr>
            <w:tcW w:w="1412" w:type="dxa"/>
            <w:vAlign w:val="center"/>
          </w:tcPr>
          <w:p w14:paraId="7C1BDDB9" w14:textId="77777777" w:rsidR="001E263B" w:rsidRPr="004A1148" w:rsidRDefault="001E263B" w:rsidP="003006B2">
            <w:pPr>
              <w:pStyle w:val="TableText"/>
              <w:ind w:left="284"/>
              <w:rPr>
                <w:rFonts w:cs="Arial"/>
              </w:rPr>
            </w:pPr>
            <w:r>
              <w:rPr>
                <w:b/>
                <w:bCs/>
              </w:rPr>
              <w:t>E</w:t>
            </w:r>
          </w:p>
        </w:tc>
        <w:tc>
          <w:tcPr>
            <w:tcW w:w="2561" w:type="dxa"/>
            <w:vAlign w:val="center"/>
          </w:tcPr>
          <w:p w14:paraId="54160B06" w14:textId="77777777" w:rsidR="001E263B" w:rsidRPr="004A1148" w:rsidRDefault="001E263B" w:rsidP="003006B2">
            <w:pPr>
              <w:pStyle w:val="TableText"/>
              <w:rPr>
                <w:rFonts w:cs="Arial"/>
              </w:rPr>
            </w:pPr>
            <w:r>
              <w:t>172.16.13.0</w:t>
            </w:r>
          </w:p>
        </w:tc>
        <w:tc>
          <w:tcPr>
            <w:tcW w:w="2552" w:type="dxa"/>
            <w:vAlign w:val="center"/>
          </w:tcPr>
          <w:p w14:paraId="6CB1D917" w14:textId="77777777" w:rsidR="001E263B" w:rsidRPr="004A1148" w:rsidRDefault="001E263B" w:rsidP="003006B2">
            <w:pPr>
              <w:pStyle w:val="TableText"/>
              <w:rPr>
                <w:rFonts w:cs="Arial"/>
              </w:rPr>
            </w:pPr>
            <w:r>
              <w:t>(255.255.255.192)26</w:t>
            </w:r>
          </w:p>
        </w:tc>
        <w:tc>
          <w:tcPr>
            <w:tcW w:w="2724" w:type="dxa"/>
            <w:vAlign w:val="center"/>
          </w:tcPr>
          <w:p w14:paraId="7DE2477B" w14:textId="77777777" w:rsidR="001E263B" w:rsidRPr="004A1148" w:rsidRDefault="001E263B" w:rsidP="003006B2">
            <w:pPr>
              <w:pStyle w:val="TableText"/>
              <w:rPr>
                <w:rFonts w:cs="Arial"/>
              </w:rPr>
            </w:pPr>
            <w:r>
              <w:t xml:space="preserve">172.16.13.1 </w:t>
            </w:r>
          </w:p>
        </w:tc>
        <w:tc>
          <w:tcPr>
            <w:tcW w:w="2922" w:type="dxa"/>
            <w:vAlign w:val="bottom"/>
          </w:tcPr>
          <w:p w14:paraId="6CDD2AE6" w14:textId="77777777" w:rsidR="001E263B" w:rsidRPr="004A1148" w:rsidRDefault="001E263B" w:rsidP="003006B2">
            <w:pPr>
              <w:pStyle w:val="TableText"/>
              <w:rPr>
                <w:rFonts w:cs="Arial"/>
              </w:rPr>
            </w:pPr>
            <w:r>
              <w:t>172.16.13.62</w:t>
            </w:r>
          </w:p>
        </w:tc>
        <w:tc>
          <w:tcPr>
            <w:tcW w:w="2905" w:type="dxa"/>
            <w:vAlign w:val="center"/>
          </w:tcPr>
          <w:p w14:paraId="7BC3A513" w14:textId="77777777" w:rsidR="001E263B" w:rsidRPr="004A1148" w:rsidRDefault="001E263B" w:rsidP="003006B2">
            <w:pPr>
              <w:pStyle w:val="TableText"/>
              <w:ind w:left="284"/>
              <w:rPr>
                <w:rFonts w:cs="Arial"/>
              </w:rPr>
            </w:pPr>
            <w:r>
              <w:t>172.16.13.63</w:t>
            </w:r>
          </w:p>
        </w:tc>
      </w:tr>
      <w:tr w:rsidR="001E263B" w:rsidRPr="004A1148" w14:paraId="7810CA80" w14:textId="77777777" w:rsidTr="003006B2">
        <w:trPr>
          <w:cantSplit/>
          <w:trHeight w:val="510"/>
          <w:jc w:val="center"/>
        </w:trPr>
        <w:tc>
          <w:tcPr>
            <w:tcW w:w="1412" w:type="dxa"/>
            <w:vAlign w:val="center"/>
          </w:tcPr>
          <w:p w14:paraId="007C5652" w14:textId="77777777" w:rsidR="001E263B" w:rsidRPr="004A1148" w:rsidRDefault="001E263B" w:rsidP="003006B2">
            <w:pPr>
              <w:pStyle w:val="TableText"/>
              <w:ind w:left="284"/>
              <w:rPr>
                <w:rFonts w:cs="Arial"/>
              </w:rPr>
            </w:pPr>
            <w:r>
              <w:rPr>
                <w:b/>
                <w:bCs/>
              </w:rPr>
              <w:t>A</w:t>
            </w:r>
          </w:p>
        </w:tc>
        <w:tc>
          <w:tcPr>
            <w:tcW w:w="2561" w:type="dxa"/>
            <w:vAlign w:val="center"/>
          </w:tcPr>
          <w:p w14:paraId="3D083E30" w14:textId="77777777" w:rsidR="001E263B" w:rsidRPr="004A1148" w:rsidRDefault="001E263B" w:rsidP="003006B2">
            <w:pPr>
              <w:pStyle w:val="TableText"/>
              <w:rPr>
                <w:rFonts w:cs="Arial"/>
              </w:rPr>
            </w:pPr>
            <w:r>
              <w:t>172.16.13.64</w:t>
            </w:r>
          </w:p>
        </w:tc>
        <w:tc>
          <w:tcPr>
            <w:tcW w:w="2552" w:type="dxa"/>
            <w:vAlign w:val="center"/>
          </w:tcPr>
          <w:p w14:paraId="00468C56" w14:textId="77777777" w:rsidR="001E263B" w:rsidRPr="004A1148" w:rsidRDefault="001E263B" w:rsidP="003006B2">
            <w:pPr>
              <w:pStyle w:val="TableText"/>
              <w:rPr>
                <w:rFonts w:cs="Arial"/>
              </w:rPr>
            </w:pPr>
            <w:r>
              <w:t>(255.255.255.224)27</w:t>
            </w:r>
          </w:p>
        </w:tc>
        <w:tc>
          <w:tcPr>
            <w:tcW w:w="2724" w:type="dxa"/>
            <w:vAlign w:val="center"/>
          </w:tcPr>
          <w:p w14:paraId="2D827677" w14:textId="77777777" w:rsidR="001E263B" w:rsidRPr="004A1148" w:rsidRDefault="001E263B" w:rsidP="003006B2">
            <w:pPr>
              <w:pStyle w:val="TableText"/>
              <w:rPr>
                <w:rFonts w:cs="Arial"/>
              </w:rPr>
            </w:pPr>
            <w:r>
              <w:t xml:space="preserve">172.16.13.65 </w:t>
            </w:r>
          </w:p>
        </w:tc>
        <w:tc>
          <w:tcPr>
            <w:tcW w:w="2922" w:type="dxa"/>
            <w:vAlign w:val="bottom"/>
          </w:tcPr>
          <w:p w14:paraId="0107880E" w14:textId="77777777" w:rsidR="001E263B" w:rsidRPr="004A1148" w:rsidRDefault="001E263B" w:rsidP="003006B2">
            <w:pPr>
              <w:pStyle w:val="TableText"/>
              <w:rPr>
                <w:rFonts w:cs="Arial"/>
              </w:rPr>
            </w:pPr>
            <w:r>
              <w:t>172.16.13.94</w:t>
            </w:r>
          </w:p>
        </w:tc>
        <w:tc>
          <w:tcPr>
            <w:tcW w:w="2905" w:type="dxa"/>
            <w:vAlign w:val="center"/>
          </w:tcPr>
          <w:p w14:paraId="18FB3444" w14:textId="77777777" w:rsidR="001E263B" w:rsidRPr="004A1148" w:rsidRDefault="001E263B" w:rsidP="003006B2">
            <w:pPr>
              <w:pStyle w:val="TableText"/>
              <w:ind w:left="284"/>
              <w:rPr>
                <w:rFonts w:cs="Arial"/>
              </w:rPr>
            </w:pPr>
            <w:r>
              <w:t>172.16.13.95</w:t>
            </w:r>
          </w:p>
        </w:tc>
      </w:tr>
      <w:tr w:rsidR="001E263B" w:rsidRPr="004A1148" w14:paraId="14CDCD42" w14:textId="77777777" w:rsidTr="003006B2">
        <w:trPr>
          <w:cantSplit/>
          <w:trHeight w:val="510"/>
          <w:jc w:val="center"/>
        </w:trPr>
        <w:tc>
          <w:tcPr>
            <w:tcW w:w="1412" w:type="dxa"/>
            <w:vAlign w:val="center"/>
          </w:tcPr>
          <w:p w14:paraId="373585E0" w14:textId="77777777" w:rsidR="001E263B" w:rsidRPr="004A1148" w:rsidRDefault="001E263B" w:rsidP="003006B2">
            <w:pPr>
              <w:pStyle w:val="TableText"/>
              <w:ind w:left="284"/>
              <w:rPr>
                <w:rFonts w:cs="Arial"/>
              </w:rPr>
            </w:pPr>
            <w:r>
              <w:rPr>
                <w:b/>
                <w:bCs/>
              </w:rPr>
              <w:t>C</w:t>
            </w:r>
          </w:p>
        </w:tc>
        <w:tc>
          <w:tcPr>
            <w:tcW w:w="2561" w:type="dxa"/>
            <w:vAlign w:val="center"/>
          </w:tcPr>
          <w:p w14:paraId="1B5DBDDD" w14:textId="77777777" w:rsidR="001E263B" w:rsidRPr="004A1148" w:rsidRDefault="001E263B" w:rsidP="003006B2">
            <w:pPr>
              <w:pStyle w:val="TableText"/>
              <w:rPr>
                <w:rFonts w:cs="Arial"/>
              </w:rPr>
            </w:pPr>
            <w:r>
              <w:t>172.16.13.96</w:t>
            </w:r>
          </w:p>
        </w:tc>
        <w:tc>
          <w:tcPr>
            <w:tcW w:w="2552" w:type="dxa"/>
            <w:vAlign w:val="center"/>
          </w:tcPr>
          <w:p w14:paraId="764998CE" w14:textId="77777777" w:rsidR="001E263B" w:rsidRPr="004A1148" w:rsidRDefault="001E263B" w:rsidP="003006B2">
            <w:pPr>
              <w:pStyle w:val="TableText"/>
              <w:rPr>
                <w:rFonts w:cs="Arial"/>
              </w:rPr>
            </w:pPr>
            <w:r>
              <w:t>(255.255.255.248)29</w:t>
            </w:r>
          </w:p>
        </w:tc>
        <w:tc>
          <w:tcPr>
            <w:tcW w:w="2724" w:type="dxa"/>
            <w:vAlign w:val="center"/>
          </w:tcPr>
          <w:p w14:paraId="007808A8" w14:textId="77777777" w:rsidR="001E263B" w:rsidRPr="004A1148" w:rsidRDefault="001E263B" w:rsidP="003006B2">
            <w:pPr>
              <w:pStyle w:val="TableText"/>
              <w:rPr>
                <w:rFonts w:cs="Arial"/>
              </w:rPr>
            </w:pPr>
            <w:r>
              <w:t xml:space="preserve">172.16.13.97 </w:t>
            </w:r>
          </w:p>
        </w:tc>
        <w:tc>
          <w:tcPr>
            <w:tcW w:w="2922" w:type="dxa"/>
            <w:vAlign w:val="bottom"/>
          </w:tcPr>
          <w:p w14:paraId="17F0C537" w14:textId="77777777" w:rsidR="001E263B" w:rsidRPr="004A1148" w:rsidRDefault="001E263B" w:rsidP="003006B2">
            <w:pPr>
              <w:pStyle w:val="TableText"/>
              <w:rPr>
                <w:rFonts w:cs="Arial"/>
              </w:rPr>
            </w:pPr>
            <w:r>
              <w:t>172.16.13.102</w:t>
            </w:r>
          </w:p>
        </w:tc>
        <w:tc>
          <w:tcPr>
            <w:tcW w:w="2905" w:type="dxa"/>
            <w:vAlign w:val="center"/>
          </w:tcPr>
          <w:p w14:paraId="0ACA7A98" w14:textId="77777777" w:rsidR="001E263B" w:rsidRPr="004A1148" w:rsidRDefault="001E263B" w:rsidP="003006B2">
            <w:pPr>
              <w:pStyle w:val="TableText"/>
              <w:ind w:left="284"/>
              <w:rPr>
                <w:rFonts w:cs="Arial"/>
              </w:rPr>
            </w:pPr>
            <w:r>
              <w:t>172.16.13.103</w:t>
            </w:r>
          </w:p>
        </w:tc>
      </w:tr>
      <w:tr w:rsidR="001E263B" w:rsidRPr="004A1148" w14:paraId="50894C81" w14:textId="77777777" w:rsidTr="003006B2">
        <w:trPr>
          <w:cantSplit/>
          <w:trHeight w:val="510"/>
          <w:jc w:val="center"/>
        </w:trPr>
        <w:tc>
          <w:tcPr>
            <w:tcW w:w="1412" w:type="dxa"/>
            <w:vAlign w:val="bottom"/>
          </w:tcPr>
          <w:p w14:paraId="3648295E" w14:textId="77777777" w:rsidR="001E263B" w:rsidRPr="004A1148" w:rsidRDefault="001E263B" w:rsidP="003006B2">
            <w:pPr>
              <w:pStyle w:val="TableText"/>
              <w:ind w:left="284"/>
              <w:rPr>
                <w:rFonts w:cs="Arial"/>
              </w:rPr>
            </w:pPr>
          </w:p>
        </w:tc>
        <w:tc>
          <w:tcPr>
            <w:tcW w:w="2561" w:type="dxa"/>
            <w:vAlign w:val="bottom"/>
          </w:tcPr>
          <w:p w14:paraId="0967C8D1" w14:textId="77777777" w:rsidR="001E263B" w:rsidRPr="004A1148" w:rsidRDefault="001E263B" w:rsidP="003006B2">
            <w:pPr>
              <w:pStyle w:val="TableText"/>
              <w:rPr>
                <w:rFonts w:cs="Arial"/>
              </w:rPr>
            </w:pPr>
          </w:p>
        </w:tc>
        <w:tc>
          <w:tcPr>
            <w:tcW w:w="2552" w:type="dxa"/>
          </w:tcPr>
          <w:p w14:paraId="6D8FA4A2" w14:textId="77777777" w:rsidR="001E263B" w:rsidRPr="004A1148" w:rsidRDefault="001E263B" w:rsidP="003006B2">
            <w:pPr>
              <w:pStyle w:val="TableText"/>
              <w:rPr>
                <w:rFonts w:cs="Arial"/>
              </w:rPr>
            </w:pPr>
          </w:p>
        </w:tc>
        <w:tc>
          <w:tcPr>
            <w:tcW w:w="2724" w:type="dxa"/>
            <w:vAlign w:val="bottom"/>
          </w:tcPr>
          <w:p w14:paraId="3AABC939" w14:textId="77777777" w:rsidR="001E263B" w:rsidRPr="004A1148" w:rsidRDefault="001E263B" w:rsidP="003006B2">
            <w:pPr>
              <w:pStyle w:val="TableText"/>
              <w:rPr>
                <w:rFonts w:cs="Arial"/>
              </w:rPr>
            </w:pPr>
          </w:p>
        </w:tc>
        <w:tc>
          <w:tcPr>
            <w:tcW w:w="2922" w:type="dxa"/>
            <w:vAlign w:val="bottom"/>
          </w:tcPr>
          <w:p w14:paraId="6B53589C" w14:textId="77777777" w:rsidR="001E263B" w:rsidRPr="004A1148" w:rsidRDefault="001E263B" w:rsidP="003006B2">
            <w:pPr>
              <w:pStyle w:val="TableText"/>
              <w:rPr>
                <w:rFonts w:cs="Arial"/>
              </w:rPr>
            </w:pPr>
          </w:p>
        </w:tc>
        <w:tc>
          <w:tcPr>
            <w:tcW w:w="2905" w:type="dxa"/>
            <w:vAlign w:val="bottom"/>
          </w:tcPr>
          <w:p w14:paraId="777B4EC1" w14:textId="77777777" w:rsidR="001E263B" w:rsidRPr="004A1148" w:rsidRDefault="001E263B" w:rsidP="003006B2">
            <w:pPr>
              <w:pStyle w:val="TableText"/>
              <w:ind w:left="284"/>
              <w:rPr>
                <w:rFonts w:cs="Arial"/>
              </w:rPr>
            </w:pPr>
          </w:p>
        </w:tc>
      </w:tr>
      <w:tr w:rsidR="001E263B" w:rsidRPr="004A1148" w14:paraId="4D923ABF" w14:textId="77777777" w:rsidTr="003006B2">
        <w:trPr>
          <w:cantSplit/>
          <w:trHeight w:val="510"/>
          <w:jc w:val="center"/>
        </w:trPr>
        <w:tc>
          <w:tcPr>
            <w:tcW w:w="1412" w:type="dxa"/>
            <w:vAlign w:val="bottom"/>
          </w:tcPr>
          <w:p w14:paraId="3E48DD96" w14:textId="77777777" w:rsidR="001E263B" w:rsidRPr="004A1148" w:rsidRDefault="001E263B" w:rsidP="003006B2">
            <w:pPr>
              <w:pStyle w:val="TableText"/>
              <w:ind w:left="284"/>
              <w:rPr>
                <w:rFonts w:cs="Arial"/>
              </w:rPr>
            </w:pPr>
          </w:p>
        </w:tc>
        <w:tc>
          <w:tcPr>
            <w:tcW w:w="2561" w:type="dxa"/>
            <w:vAlign w:val="bottom"/>
          </w:tcPr>
          <w:p w14:paraId="0C698C7A" w14:textId="77777777" w:rsidR="001E263B" w:rsidRPr="004A1148" w:rsidRDefault="001E263B" w:rsidP="003006B2">
            <w:pPr>
              <w:pStyle w:val="TableText"/>
              <w:rPr>
                <w:rFonts w:cs="Arial"/>
              </w:rPr>
            </w:pPr>
          </w:p>
        </w:tc>
        <w:tc>
          <w:tcPr>
            <w:tcW w:w="2552" w:type="dxa"/>
          </w:tcPr>
          <w:p w14:paraId="483ED4A6" w14:textId="77777777" w:rsidR="001E263B" w:rsidRPr="004A1148" w:rsidRDefault="001E263B" w:rsidP="003006B2">
            <w:pPr>
              <w:pStyle w:val="TableText"/>
              <w:rPr>
                <w:rFonts w:cs="Arial"/>
              </w:rPr>
            </w:pPr>
          </w:p>
        </w:tc>
        <w:tc>
          <w:tcPr>
            <w:tcW w:w="2724" w:type="dxa"/>
            <w:vAlign w:val="bottom"/>
          </w:tcPr>
          <w:p w14:paraId="2D70C437" w14:textId="77777777" w:rsidR="001E263B" w:rsidRPr="004A1148" w:rsidRDefault="001E263B" w:rsidP="003006B2">
            <w:pPr>
              <w:pStyle w:val="TableText"/>
              <w:rPr>
                <w:rFonts w:cs="Arial"/>
              </w:rPr>
            </w:pPr>
          </w:p>
        </w:tc>
        <w:tc>
          <w:tcPr>
            <w:tcW w:w="2922" w:type="dxa"/>
            <w:vAlign w:val="bottom"/>
          </w:tcPr>
          <w:p w14:paraId="5A2438A3" w14:textId="77777777" w:rsidR="001E263B" w:rsidRPr="004A1148" w:rsidRDefault="001E263B" w:rsidP="003006B2">
            <w:pPr>
              <w:pStyle w:val="TableText"/>
              <w:rPr>
                <w:rFonts w:cs="Arial"/>
              </w:rPr>
            </w:pPr>
          </w:p>
        </w:tc>
        <w:tc>
          <w:tcPr>
            <w:tcW w:w="2905" w:type="dxa"/>
            <w:vAlign w:val="bottom"/>
          </w:tcPr>
          <w:p w14:paraId="3A9DAA12" w14:textId="77777777" w:rsidR="001E263B" w:rsidRPr="004A1148" w:rsidRDefault="001E263B" w:rsidP="003006B2">
            <w:pPr>
              <w:pStyle w:val="TableText"/>
              <w:ind w:left="284"/>
              <w:rPr>
                <w:rFonts w:cs="Arial"/>
              </w:rPr>
            </w:pPr>
          </w:p>
        </w:tc>
      </w:tr>
      <w:tr w:rsidR="001E263B" w:rsidRPr="004A1148" w14:paraId="27C33BA9" w14:textId="77777777" w:rsidTr="003006B2">
        <w:trPr>
          <w:cantSplit/>
          <w:trHeight w:val="510"/>
          <w:jc w:val="center"/>
        </w:trPr>
        <w:tc>
          <w:tcPr>
            <w:tcW w:w="1412" w:type="dxa"/>
            <w:vAlign w:val="bottom"/>
          </w:tcPr>
          <w:p w14:paraId="7DE492CA" w14:textId="77777777" w:rsidR="001E263B" w:rsidRPr="004A1148" w:rsidRDefault="001E263B" w:rsidP="003006B2">
            <w:pPr>
              <w:pStyle w:val="TableText"/>
              <w:ind w:left="284"/>
              <w:rPr>
                <w:rFonts w:cs="Arial"/>
              </w:rPr>
            </w:pPr>
          </w:p>
        </w:tc>
        <w:tc>
          <w:tcPr>
            <w:tcW w:w="2561" w:type="dxa"/>
            <w:vAlign w:val="bottom"/>
          </w:tcPr>
          <w:p w14:paraId="44E054AE" w14:textId="77777777" w:rsidR="001E263B" w:rsidRPr="004A1148" w:rsidRDefault="001E263B" w:rsidP="003006B2">
            <w:pPr>
              <w:pStyle w:val="TableText"/>
              <w:rPr>
                <w:rFonts w:cs="Arial"/>
              </w:rPr>
            </w:pPr>
          </w:p>
        </w:tc>
        <w:tc>
          <w:tcPr>
            <w:tcW w:w="2552" w:type="dxa"/>
          </w:tcPr>
          <w:p w14:paraId="6D1D7671" w14:textId="77777777" w:rsidR="001E263B" w:rsidRPr="004A1148" w:rsidRDefault="001E263B" w:rsidP="003006B2">
            <w:pPr>
              <w:pStyle w:val="TableText"/>
              <w:rPr>
                <w:rFonts w:cs="Arial"/>
              </w:rPr>
            </w:pPr>
          </w:p>
        </w:tc>
        <w:tc>
          <w:tcPr>
            <w:tcW w:w="2724" w:type="dxa"/>
            <w:vAlign w:val="bottom"/>
          </w:tcPr>
          <w:p w14:paraId="1E55C816" w14:textId="77777777" w:rsidR="001E263B" w:rsidRPr="004A1148" w:rsidRDefault="001E263B" w:rsidP="003006B2">
            <w:pPr>
              <w:pStyle w:val="TableText"/>
              <w:rPr>
                <w:rFonts w:cs="Arial"/>
              </w:rPr>
            </w:pPr>
          </w:p>
        </w:tc>
        <w:tc>
          <w:tcPr>
            <w:tcW w:w="2922" w:type="dxa"/>
            <w:vAlign w:val="bottom"/>
          </w:tcPr>
          <w:p w14:paraId="5BE9B15B" w14:textId="77777777" w:rsidR="001E263B" w:rsidRPr="004A1148" w:rsidRDefault="001E263B" w:rsidP="003006B2">
            <w:pPr>
              <w:pStyle w:val="TableText"/>
              <w:rPr>
                <w:rFonts w:cs="Arial"/>
              </w:rPr>
            </w:pPr>
          </w:p>
        </w:tc>
        <w:tc>
          <w:tcPr>
            <w:tcW w:w="2905" w:type="dxa"/>
            <w:vAlign w:val="bottom"/>
          </w:tcPr>
          <w:p w14:paraId="2F45E732" w14:textId="77777777" w:rsidR="001E263B" w:rsidRPr="004A1148" w:rsidRDefault="001E263B" w:rsidP="003006B2">
            <w:pPr>
              <w:pStyle w:val="TableText"/>
              <w:ind w:left="284"/>
              <w:rPr>
                <w:rFonts w:cs="Arial"/>
              </w:rPr>
            </w:pPr>
          </w:p>
        </w:tc>
      </w:tr>
    </w:tbl>
    <w:p w14:paraId="17E22AB3" w14:textId="77777777" w:rsidR="001E263B" w:rsidRPr="001E263B" w:rsidRDefault="001E263B" w:rsidP="001E263B"/>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0434BB8B" w14:textId="77777777" w:rsidR="009B7D31" w:rsidRDefault="009B7D31" w:rsidP="009B7D31">
      <w:pPr>
        <w:pStyle w:val="PartHead"/>
        <w:numPr>
          <w:ilvl w:val="0"/>
          <w:numId w:val="21"/>
        </w:numPr>
      </w:pPr>
      <w:r>
        <w:lastRenderedPageBreak/>
        <w:t xml:space="preserve">Understanding IPv4 and IPv6 addressing (word count 1000) </w:t>
      </w:r>
    </w:p>
    <w:p w14:paraId="3A810F4C" w14:textId="27360412" w:rsidR="009B7D31" w:rsidRPr="009B7D31" w:rsidRDefault="009B7D31" w:rsidP="00984188">
      <w:pPr>
        <w:rPr>
          <w:rFonts w:ascii="Arial" w:hAnsi="Arial" w:cs="Arial"/>
          <w:lang w:val="en-US"/>
        </w:rPr>
      </w:pPr>
      <w:r w:rsidRPr="0033182A">
        <w:rPr>
          <w:rFonts w:ascii="Arial" w:hAnsi="Arial" w:cs="Arial"/>
          <w:sz w:val="24"/>
          <w:lang w:val="en-US"/>
        </w:rPr>
        <w:t xml:space="preserve">This part of lab worksheet require you research and write a report on </w:t>
      </w:r>
      <w:r w:rsidRPr="00771EE2">
        <w:rPr>
          <w:rFonts w:ascii="Arial" w:hAnsi="Arial" w:cs="Arial"/>
          <w:b/>
          <w:color w:val="FF0000"/>
          <w:sz w:val="24"/>
          <w:lang w:val="en-US"/>
        </w:rPr>
        <w:t>“Features of IPv6”</w:t>
      </w:r>
      <w:r w:rsidRPr="0033182A">
        <w:rPr>
          <w:rFonts w:ascii="Arial" w:hAnsi="Arial" w:cs="Arial"/>
          <w:sz w:val="24"/>
          <w:lang w:val="en-US"/>
        </w:rPr>
        <w:t xml:space="preserve">. You may discuss but not limited to structure, address types, </w:t>
      </w:r>
      <w:r>
        <w:rPr>
          <w:rFonts w:ascii="Arial" w:hAnsi="Arial" w:cs="Arial"/>
          <w:sz w:val="24"/>
          <w:lang w:val="en-US"/>
        </w:rPr>
        <w:t xml:space="preserve">advanced functionalities </w:t>
      </w:r>
      <w:r w:rsidRPr="0033182A">
        <w:rPr>
          <w:rFonts w:ascii="Arial" w:hAnsi="Arial" w:cs="Arial"/>
          <w:sz w:val="24"/>
          <w:lang w:val="en-US"/>
        </w:rPr>
        <w:t>and security</w:t>
      </w:r>
      <w:r>
        <w:rPr>
          <w:rFonts w:ascii="Arial" w:hAnsi="Arial" w:cs="Arial"/>
          <w:lang w:val="en-US"/>
        </w:rPr>
        <w:t xml:space="preserve">.  </w:t>
      </w:r>
    </w:p>
    <w:p w14:paraId="758484D5" w14:textId="77777777" w:rsidR="004B0052" w:rsidRPr="008C7096" w:rsidRDefault="004B0052" w:rsidP="008B6AAE">
      <w:pPr>
        <w:spacing w:line="360" w:lineRule="auto"/>
        <w:jc w:val="both"/>
        <w:rPr>
          <w:rFonts w:ascii="Arial" w:hAnsi="Arial" w:cs="Arial"/>
          <w:sz w:val="28"/>
          <w:szCs w:val="28"/>
        </w:rPr>
      </w:pPr>
      <w:r w:rsidRPr="008C7096">
        <w:rPr>
          <w:rFonts w:ascii="Arial" w:hAnsi="Arial" w:cs="Arial"/>
          <w:sz w:val="28"/>
          <w:szCs w:val="28"/>
        </w:rPr>
        <w:t>Introduction</w:t>
      </w:r>
    </w:p>
    <w:p w14:paraId="77E8CC2C" w14:textId="77777777" w:rsidR="004B0052" w:rsidRDefault="004B0052" w:rsidP="00FC107C">
      <w:pPr>
        <w:spacing w:line="360" w:lineRule="auto"/>
        <w:rPr>
          <w:rFonts w:ascii="Arial" w:hAnsi="Arial" w:cs="Arial"/>
          <w:sz w:val="24"/>
          <w:szCs w:val="24"/>
        </w:rPr>
      </w:pPr>
      <w:r w:rsidRPr="005329FA">
        <w:rPr>
          <w:rFonts w:ascii="Arial" w:hAnsi="Arial" w:cs="Arial"/>
          <w:sz w:val="24"/>
          <w:szCs w:val="24"/>
        </w:rPr>
        <w:t>This research report discuss</w:t>
      </w:r>
      <w:r>
        <w:rPr>
          <w:rFonts w:ascii="Arial" w:hAnsi="Arial" w:cs="Arial"/>
          <w:sz w:val="24"/>
          <w:szCs w:val="24"/>
        </w:rPr>
        <w:t>es</w:t>
      </w:r>
      <w:r w:rsidRPr="005329FA">
        <w:rPr>
          <w:rFonts w:ascii="Arial" w:hAnsi="Arial" w:cs="Arial"/>
          <w:sz w:val="24"/>
          <w:szCs w:val="24"/>
        </w:rPr>
        <w:t xml:space="preserve"> the features of IPV6. IPV6 is the latest internet protocol that allow devices to be identified and located across the internet. The predecessor of IPV6, IPV4 uses a 32bit addressing scheme that supports 4.3 billion devices</w:t>
      </w:r>
      <w:r>
        <w:rPr>
          <w:rFonts w:ascii="Arial" w:hAnsi="Arial" w:cs="Arial"/>
          <w:sz w:val="24"/>
          <w:szCs w:val="24"/>
        </w:rPr>
        <w:t xml:space="preserve">, however </w:t>
      </w:r>
      <w:r w:rsidRPr="005329FA">
        <w:rPr>
          <w:rFonts w:ascii="Arial" w:hAnsi="Arial" w:cs="Arial"/>
          <w:sz w:val="24"/>
          <w:szCs w:val="24"/>
        </w:rPr>
        <w:t xml:space="preserve">it has a </w:t>
      </w:r>
      <w:r>
        <w:rPr>
          <w:rFonts w:ascii="Arial" w:hAnsi="Arial" w:cs="Arial"/>
          <w:sz w:val="24"/>
          <w:szCs w:val="24"/>
        </w:rPr>
        <w:t xml:space="preserve">flaw </w:t>
      </w:r>
      <w:r w:rsidRPr="005329FA">
        <w:rPr>
          <w:rFonts w:ascii="Arial" w:hAnsi="Arial" w:cs="Arial"/>
          <w:sz w:val="24"/>
          <w:szCs w:val="24"/>
        </w:rPr>
        <w:t xml:space="preserve">in that the world is running out of addresses. </w:t>
      </w:r>
    </w:p>
    <w:p w14:paraId="38EDAA4C" w14:textId="77777777" w:rsidR="004B0052" w:rsidRPr="005329FA" w:rsidRDefault="004B0052" w:rsidP="00FC107C">
      <w:pPr>
        <w:spacing w:line="360" w:lineRule="auto"/>
        <w:rPr>
          <w:rFonts w:ascii="Arial" w:hAnsi="Arial" w:cs="Arial"/>
          <w:sz w:val="24"/>
          <w:szCs w:val="24"/>
        </w:rPr>
      </w:pPr>
      <w:r w:rsidRPr="005329FA">
        <w:rPr>
          <w:rFonts w:ascii="Arial" w:hAnsi="Arial" w:cs="Arial"/>
          <w:sz w:val="24"/>
          <w:szCs w:val="24"/>
        </w:rPr>
        <w:t>Due to the rapid growth</w:t>
      </w:r>
      <w:r>
        <w:rPr>
          <w:rFonts w:ascii="Arial" w:hAnsi="Arial" w:cs="Arial"/>
          <w:sz w:val="24"/>
          <w:szCs w:val="24"/>
        </w:rPr>
        <w:t xml:space="preserve"> in </w:t>
      </w:r>
      <w:r w:rsidRPr="005329FA">
        <w:rPr>
          <w:rFonts w:ascii="Arial" w:hAnsi="Arial" w:cs="Arial"/>
          <w:sz w:val="24"/>
          <w:szCs w:val="24"/>
        </w:rPr>
        <w:t>the</w:t>
      </w:r>
      <w:r>
        <w:rPr>
          <w:rFonts w:ascii="Arial" w:hAnsi="Arial" w:cs="Arial"/>
          <w:sz w:val="24"/>
          <w:szCs w:val="24"/>
        </w:rPr>
        <w:t xml:space="preserve"> number of</w:t>
      </w:r>
      <w:r w:rsidRPr="005329FA">
        <w:rPr>
          <w:rFonts w:ascii="Arial" w:hAnsi="Arial" w:cs="Arial"/>
          <w:sz w:val="24"/>
          <w:szCs w:val="24"/>
        </w:rPr>
        <w:t xml:space="preserve"> people using</w:t>
      </w:r>
      <w:r>
        <w:rPr>
          <w:rFonts w:ascii="Arial" w:hAnsi="Arial" w:cs="Arial"/>
          <w:sz w:val="24"/>
          <w:szCs w:val="24"/>
        </w:rPr>
        <w:t xml:space="preserve"> the</w:t>
      </w:r>
      <w:r w:rsidRPr="005329FA">
        <w:rPr>
          <w:rFonts w:ascii="Arial" w:hAnsi="Arial" w:cs="Arial"/>
          <w:sz w:val="24"/>
          <w:szCs w:val="24"/>
        </w:rPr>
        <w:t xml:space="preserve"> internet</w:t>
      </w:r>
      <w:r>
        <w:rPr>
          <w:rFonts w:ascii="Arial" w:hAnsi="Arial" w:cs="Arial"/>
          <w:sz w:val="24"/>
          <w:szCs w:val="24"/>
        </w:rPr>
        <w:t>,</w:t>
      </w:r>
      <w:r w:rsidRPr="005329FA">
        <w:rPr>
          <w:rFonts w:ascii="Arial" w:hAnsi="Arial" w:cs="Arial"/>
          <w:sz w:val="24"/>
          <w:szCs w:val="24"/>
        </w:rPr>
        <w:t xml:space="preserve"> and the purchasing of an increasing number </w:t>
      </w:r>
      <w:r>
        <w:rPr>
          <w:rFonts w:ascii="Arial" w:hAnsi="Arial" w:cs="Arial"/>
          <w:sz w:val="24"/>
          <w:szCs w:val="24"/>
        </w:rPr>
        <w:t xml:space="preserve">of </w:t>
      </w:r>
      <w:r w:rsidRPr="005329FA">
        <w:rPr>
          <w:rFonts w:ascii="Arial" w:hAnsi="Arial" w:cs="Arial"/>
          <w:sz w:val="24"/>
          <w:szCs w:val="24"/>
        </w:rPr>
        <w:t>computers, smartphones, internet of things (IoT)</w:t>
      </w:r>
      <w:r>
        <w:rPr>
          <w:rFonts w:ascii="Arial" w:hAnsi="Arial" w:cs="Arial"/>
          <w:sz w:val="24"/>
          <w:szCs w:val="24"/>
        </w:rPr>
        <w:t>, it</w:t>
      </w:r>
      <w:r w:rsidRPr="005329FA">
        <w:rPr>
          <w:rFonts w:ascii="Arial" w:hAnsi="Arial" w:cs="Arial"/>
          <w:sz w:val="24"/>
          <w:szCs w:val="24"/>
        </w:rPr>
        <w:t xml:space="preserve"> has required the implantation and migration over to IPV6. The Internet Engineering Task Force (IETF) identified this issue 20 years ago and in 1998 created IPV6 to address the problem with IPV4 as discussed by Keith Shaw </w:t>
      </w:r>
      <w:sdt>
        <w:sdtPr>
          <w:rPr>
            <w:rFonts w:ascii="Arial" w:hAnsi="Arial" w:cs="Arial"/>
            <w:sz w:val="24"/>
            <w:szCs w:val="24"/>
          </w:rPr>
          <w:id w:val="1694493185"/>
          <w:citation/>
        </w:sdtPr>
        <w:sdtEndPr/>
        <w:sdtContent>
          <w:r w:rsidRPr="005329FA">
            <w:rPr>
              <w:rFonts w:ascii="Arial" w:hAnsi="Arial" w:cs="Arial"/>
              <w:sz w:val="24"/>
              <w:szCs w:val="24"/>
            </w:rPr>
            <w:fldChar w:fldCharType="begin"/>
          </w:r>
          <w:r w:rsidRPr="005329FA">
            <w:rPr>
              <w:rFonts w:ascii="Arial" w:hAnsi="Arial" w:cs="Arial"/>
              <w:sz w:val="24"/>
              <w:szCs w:val="24"/>
            </w:rPr>
            <w:instrText xml:space="preserve"> CITATION Kei18 \l 2057 </w:instrText>
          </w:r>
          <w:r w:rsidRPr="005329FA">
            <w:rPr>
              <w:rFonts w:ascii="Arial" w:hAnsi="Arial" w:cs="Arial"/>
              <w:sz w:val="24"/>
              <w:szCs w:val="24"/>
            </w:rPr>
            <w:fldChar w:fldCharType="separate"/>
          </w:r>
          <w:r w:rsidRPr="00305F5C">
            <w:rPr>
              <w:rFonts w:ascii="Arial" w:hAnsi="Arial" w:cs="Arial"/>
              <w:noProof/>
              <w:sz w:val="24"/>
              <w:szCs w:val="24"/>
            </w:rPr>
            <w:t>[1]</w:t>
          </w:r>
          <w:r w:rsidRPr="005329FA">
            <w:rPr>
              <w:rFonts w:ascii="Arial" w:hAnsi="Arial" w:cs="Arial"/>
              <w:sz w:val="24"/>
              <w:szCs w:val="24"/>
            </w:rPr>
            <w:fldChar w:fldCharType="end"/>
          </w:r>
        </w:sdtContent>
      </w:sdt>
      <w:r w:rsidRPr="005329FA">
        <w:rPr>
          <w:rFonts w:ascii="Arial" w:hAnsi="Arial" w:cs="Arial"/>
          <w:sz w:val="24"/>
          <w:szCs w:val="24"/>
        </w:rPr>
        <w:t>.</w:t>
      </w:r>
    </w:p>
    <w:p w14:paraId="10AAF842" w14:textId="77777777" w:rsidR="004B0052" w:rsidRPr="0083359C" w:rsidRDefault="004B0052" w:rsidP="00FC107C">
      <w:pPr>
        <w:spacing w:line="360" w:lineRule="auto"/>
        <w:rPr>
          <w:rFonts w:ascii="Arial" w:hAnsi="Arial" w:cs="Arial"/>
          <w:sz w:val="28"/>
          <w:szCs w:val="28"/>
        </w:rPr>
      </w:pPr>
      <w:r w:rsidRPr="0083359C">
        <w:rPr>
          <w:rFonts w:ascii="Arial" w:hAnsi="Arial" w:cs="Arial"/>
          <w:sz w:val="28"/>
          <w:szCs w:val="28"/>
        </w:rPr>
        <w:t>IPV6 Addressing</w:t>
      </w:r>
    </w:p>
    <w:p w14:paraId="0A02BCDE" w14:textId="77777777" w:rsidR="004B0052" w:rsidRPr="005329FA" w:rsidRDefault="004B0052" w:rsidP="00FC107C">
      <w:pPr>
        <w:spacing w:line="360" w:lineRule="auto"/>
        <w:rPr>
          <w:rFonts w:ascii="Arial" w:hAnsi="Arial" w:cs="Arial"/>
          <w:sz w:val="24"/>
          <w:szCs w:val="24"/>
        </w:rPr>
      </w:pPr>
      <w:r w:rsidRPr="005329FA">
        <w:rPr>
          <w:rFonts w:ascii="Arial" w:hAnsi="Arial" w:cs="Arial"/>
          <w:sz w:val="24"/>
          <w:szCs w:val="24"/>
        </w:rPr>
        <w:t>IPV6 uses a 128bit in 8 groups of 16bits in the addressing scheme which support approximately 340 undecillion devices</w:t>
      </w:r>
      <w:r>
        <w:rPr>
          <w:rFonts w:ascii="Arial" w:hAnsi="Arial" w:cs="Arial"/>
          <w:sz w:val="24"/>
          <w:szCs w:val="24"/>
        </w:rPr>
        <w:t xml:space="preserve">. </w:t>
      </w:r>
      <w:r w:rsidRPr="002862C4">
        <w:rPr>
          <w:rFonts w:ascii="Arial" w:hAnsi="Arial" w:cs="Arial"/>
          <w:sz w:val="24"/>
          <w:szCs w:val="24"/>
        </w:rPr>
        <w:t>IPV6 addressing scheme has allowed end to end connectivity as each device can now be allocated a unique IP address without using Network address translation (NAT) to save on IP addresses</w:t>
      </w:r>
      <w:r w:rsidRPr="005329FA">
        <w:rPr>
          <w:rFonts w:ascii="Arial" w:hAnsi="Arial" w:cs="Arial"/>
          <w:sz w:val="24"/>
          <w:szCs w:val="24"/>
        </w:rPr>
        <w:t xml:space="preserve"> as mentioned by Shaw </w:t>
      </w:r>
      <w:sdt>
        <w:sdtPr>
          <w:rPr>
            <w:rFonts w:ascii="Arial" w:hAnsi="Arial" w:cs="Arial"/>
            <w:sz w:val="24"/>
            <w:szCs w:val="24"/>
          </w:rPr>
          <w:id w:val="712246036"/>
          <w:citation/>
        </w:sdtPr>
        <w:sdtEndPr/>
        <w:sdtContent>
          <w:r w:rsidRPr="005329FA">
            <w:rPr>
              <w:rFonts w:ascii="Arial" w:hAnsi="Arial" w:cs="Arial"/>
              <w:sz w:val="24"/>
              <w:szCs w:val="24"/>
            </w:rPr>
            <w:fldChar w:fldCharType="begin"/>
          </w:r>
          <w:r w:rsidRPr="005329FA">
            <w:rPr>
              <w:rFonts w:ascii="Arial" w:hAnsi="Arial" w:cs="Arial"/>
              <w:sz w:val="24"/>
              <w:szCs w:val="24"/>
            </w:rPr>
            <w:instrText xml:space="preserve"> CITATION Kei18 \l 2057 </w:instrText>
          </w:r>
          <w:r w:rsidRPr="005329FA">
            <w:rPr>
              <w:rFonts w:ascii="Arial" w:hAnsi="Arial" w:cs="Arial"/>
              <w:sz w:val="24"/>
              <w:szCs w:val="24"/>
            </w:rPr>
            <w:fldChar w:fldCharType="separate"/>
          </w:r>
          <w:r w:rsidRPr="00305F5C">
            <w:rPr>
              <w:rFonts w:ascii="Arial" w:hAnsi="Arial" w:cs="Arial"/>
              <w:noProof/>
              <w:sz w:val="24"/>
              <w:szCs w:val="24"/>
            </w:rPr>
            <w:t>[1]</w:t>
          </w:r>
          <w:r w:rsidRPr="005329FA">
            <w:rPr>
              <w:rFonts w:ascii="Arial" w:hAnsi="Arial" w:cs="Arial"/>
              <w:sz w:val="24"/>
              <w:szCs w:val="24"/>
            </w:rPr>
            <w:fldChar w:fldCharType="end"/>
          </w:r>
        </w:sdtContent>
      </w:sdt>
      <w:r w:rsidRPr="005329FA">
        <w:rPr>
          <w:rFonts w:ascii="Arial" w:hAnsi="Arial" w:cs="Arial"/>
          <w:sz w:val="24"/>
          <w:szCs w:val="24"/>
        </w:rPr>
        <w:t xml:space="preserve">. </w:t>
      </w:r>
    </w:p>
    <w:p w14:paraId="26144FAA" w14:textId="77777777" w:rsidR="004B0052" w:rsidRPr="005329FA" w:rsidRDefault="004B0052" w:rsidP="00FC107C">
      <w:pPr>
        <w:spacing w:line="360" w:lineRule="auto"/>
        <w:rPr>
          <w:rFonts w:ascii="Arial" w:hAnsi="Arial" w:cs="Arial"/>
          <w:sz w:val="24"/>
          <w:szCs w:val="24"/>
        </w:rPr>
      </w:pPr>
      <w:r w:rsidRPr="005329FA">
        <w:rPr>
          <w:rFonts w:ascii="Arial" w:hAnsi="Arial" w:cs="Arial"/>
          <w:sz w:val="24"/>
          <w:szCs w:val="24"/>
        </w:rPr>
        <w:t xml:space="preserve">Tutorials Web explains </w:t>
      </w:r>
      <w:sdt>
        <w:sdtPr>
          <w:rPr>
            <w:rFonts w:ascii="Arial" w:hAnsi="Arial" w:cs="Arial"/>
            <w:sz w:val="24"/>
            <w:szCs w:val="24"/>
          </w:rPr>
          <w:id w:val="-1441524510"/>
          <w:citation/>
        </w:sdtPr>
        <w:sdtEndPr/>
        <w:sdtContent>
          <w:r w:rsidRPr="005329FA">
            <w:rPr>
              <w:rFonts w:ascii="Arial" w:hAnsi="Arial" w:cs="Arial"/>
              <w:sz w:val="24"/>
              <w:szCs w:val="24"/>
            </w:rPr>
            <w:fldChar w:fldCharType="begin"/>
          </w:r>
          <w:r w:rsidRPr="005329FA">
            <w:rPr>
              <w:rFonts w:ascii="Arial" w:hAnsi="Arial" w:cs="Arial"/>
              <w:sz w:val="24"/>
              <w:szCs w:val="24"/>
            </w:rPr>
            <w:instrText xml:space="preserve"> CITATION Tut192 \l 2057 </w:instrText>
          </w:r>
          <w:r w:rsidRPr="005329FA">
            <w:rPr>
              <w:rFonts w:ascii="Arial" w:hAnsi="Arial" w:cs="Arial"/>
              <w:sz w:val="24"/>
              <w:szCs w:val="24"/>
            </w:rPr>
            <w:fldChar w:fldCharType="separate"/>
          </w:r>
          <w:r w:rsidRPr="00305F5C">
            <w:rPr>
              <w:rFonts w:ascii="Arial" w:hAnsi="Arial" w:cs="Arial"/>
              <w:noProof/>
              <w:sz w:val="24"/>
              <w:szCs w:val="24"/>
            </w:rPr>
            <w:t>[2]</w:t>
          </w:r>
          <w:r w:rsidRPr="005329FA">
            <w:rPr>
              <w:rFonts w:ascii="Arial" w:hAnsi="Arial" w:cs="Arial"/>
              <w:sz w:val="24"/>
              <w:szCs w:val="24"/>
            </w:rPr>
            <w:fldChar w:fldCharType="end"/>
          </w:r>
        </w:sdtContent>
      </w:sdt>
      <w:r w:rsidRPr="005329FA">
        <w:rPr>
          <w:rFonts w:ascii="Arial" w:hAnsi="Arial" w:cs="Arial"/>
          <w:sz w:val="24"/>
          <w:szCs w:val="24"/>
        </w:rPr>
        <w:t>:</w:t>
      </w:r>
    </w:p>
    <w:p w14:paraId="7440FD61" w14:textId="77777777" w:rsidR="004B0052" w:rsidRPr="005329FA" w:rsidRDefault="004B0052" w:rsidP="00FC107C">
      <w:pPr>
        <w:pStyle w:val="NormalWeb"/>
        <w:spacing w:line="360" w:lineRule="auto"/>
        <w:rPr>
          <w:rFonts w:ascii="Arial" w:hAnsi="Arial" w:cs="Arial"/>
        </w:rPr>
      </w:pPr>
      <w:r w:rsidRPr="005329FA">
        <w:rPr>
          <w:rFonts w:ascii="Arial" w:hAnsi="Arial" w:cs="Arial"/>
        </w:rPr>
        <w:t xml:space="preserve"> “IPv6 address consists of 8 groups of four hexadecimal digits separated by colons and which mainly consists of 3 segments called Global Prefix which is of 48 bits, subnet part with 16 bits and Interface ID called as Host part with 64 bits.”</w:t>
      </w:r>
    </w:p>
    <w:p w14:paraId="7C455D28" w14:textId="77777777" w:rsidR="004B0052" w:rsidRPr="00DB04D8" w:rsidRDefault="004B0052" w:rsidP="00FC107C">
      <w:pPr>
        <w:spacing w:before="100" w:beforeAutospacing="1" w:after="100" w:afterAutospacing="1" w:line="360" w:lineRule="auto"/>
        <w:rPr>
          <w:rFonts w:ascii="Arial" w:hAnsi="Arial" w:cs="Arial"/>
          <w:sz w:val="24"/>
          <w:szCs w:val="24"/>
        </w:rPr>
      </w:pPr>
      <w:r w:rsidRPr="005329FA">
        <w:rPr>
          <w:rFonts w:ascii="Arial" w:hAnsi="Arial" w:cs="Arial"/>
          <w:sz w:val="24"/>
          <w:szCs w:val="24"/>
        </w:rPr>
        <w:t>Tutorials Point explains</w:t>
      </w:r>
      <w:r w:rsidRPr="0094576C">
        <w:rPr>
          <w:rFonts w:ascii="Arial" w:hAnsi="Arial" w:cs="Arial"/>
          <w:sz w:val="24"/>
          <w:szCs w:val="24"/>
        </w:rPr>
        <w:t xml:space="preserve"> </w:t>
      </w:r>
      <w:sdt>
        <w:sdtPr>
          <w:rPr>
            <w:rFonts w:ascii="Arial" w:hAnsi="Arial" w:cs="Arial"/>
            <w:sz w:val="24"/>
            <w:szCs w:val="24"/>
          </w:rPr>
          <w:id w:val="61541302"/>
          <w:citation/>
        </w:sdtPr>
        <w:sdtEndPr/>
        <w:sdtContent>
          <w:r w:rsidRPr="005329FA">
            <w:rPr>
              <w:rFonts w:ascii="Arial" w:hAnsi="Arial" w:cs="Arial"/>
              <w:sz w:val="24"/>
              <w:szCs w:val="24"/>
            </w:rPr>
            <w:fldChar w:fldCharType="begin"/>
          </w:r>
          <w:r w:rsidRPr="005329FA">
            <w:rPr>
              <w:rFonts w:ascii="Arial" w:hAnsi="Arial" w:cs="Arial"/>
              <w:sz w:val="24"/>
              <w:szCs w:val="24"/>
            </w:rPr>
            <w:instrText xml:space="preserve"> CITATION Tut193 \l 2057 </w:instrText>
          </w:r>
          <w:r w:rsidRPr="005329FA">
            <w:rPr>
              <w:rFonts w:ascii="Arial" w:hAnsi="Arial" w:cs="Arial"/>
              <w:sz w:val="24"/>
              <w:szCs w:val="24"/>
            </w:rPr>
            <w:fldChar w:fldCharType="separate"/>
          </w:r>
          <w:r w:rsidRPr="00305F5C">
            <w:rPr>
              <w:rFonts w:ascii="Arial" w:hAnsi="Arial" w:cs="Arial"/>
              <w:noProof/>
              <w:sz w:val="24"/>
              <w:szCs w:val="24"/>
            </w:rPr>
            <w:t>[3]</w:t>
          </w:r>
          <w:r w:rsidRPr="005329FA">
            <w:rPr>
              <w:rFonts w:ascii="Arial" w:hAnsi="Arial" w:cs="Arial"/>
              <w:sz w:val="24"/>
              <w:szCs w:val="24"/>
            </w:rPr>
            <w:fldChar w:fldCharType="end"/>
          </w:r>
        </w:sdtContent>
      </w:sdt>
      <w:r w:rsidRPr="005329FA">
        <w:rPr>
          <w:rFonts w:ascii="Arial" w:hAnsi="Arial" w:cs="Arial"/>
          <w:sz w:val="24"/>
          <w:szCs w:val="24"/>
        </w:rPr>
        <w:t xml:space="preserve"> that using 16 Bits of subnet is equivalent to IPv4’s Class B Network. This has allowed 65 thousand subnet</w:t>
      </w:r>
      <w:r>
        <w:rPr>
          <w:rFonts w:ascii="Arial" w:hAnsi="Arial" w:cs="Arial"/>
          <w:sz w:val="24"/>
          <w:szCs w:val="24"/>
        </w:rPr>
        <w:t>s</w:t>
      </w:r>
      <w:r w:rsidRPr="005329FA">
        <w:rPr>
          <w:rFonts w:ascii="Arial" w:hAnsi="Arial" w:cs="Arial"/>
          <w:sz w:val="24"/>
          <w:szCs w:val="24"/>
        </w:rPr>
        <w:t xml:space="preserve"> to support large organizations. </w:t>
      </w:r>
      <w:r w:rsidRPr="00DB04D8">
        <w:rPr>
          <w:rFonts w:ascii="Arial" w:hAnsi="Arial" w:cs="Arial"/>
          <w:sz w:val="24"/>
          <w:szCs w:val="24"/>
        </w:rPr>
        <w:t>IPv6 subnetting works on the same concept as Variable Length Subnet Masking in IPv4</w:t>
      </w:r>
      <w:r>
        <w:rPr>
          <w:rFonts w:ascii="Arial" w:hAnsi="Arial" w:cs="Arial"/>
          <w:sz w:val="24"/>
          <w:szCs w:val="24"/>
        </w:rPr>
        <w:t>.</w:t>
      </w:r>
    </w:p>
    <w:p w14:paraId="0C13CF88" w14:textId="77777777" w:rsidR="004B0052" w:rsidRDefault="004B0052" w:rsidP="00FC107C">
      <w:pPr>
        <w:pStyle w:val="NormalWeb"/>
        <w:spacing w:line="360" w:lineRule="auto"/>
        <w:rPr>
          <w:rFonts w:ascii="Arial" w:hAnsi="Arial" w:cs="Arial"/>
        </w:rPr>
      </w:pPr>
      <w:r w:rsidRPr="7DDD3AED">
        <w:rPr>
          <w:rFonts w:ascii="Arial" w:hAnsi="Arial" w:cs="Arial"/>
        </w:rPr>
        <w:lastRenderedPageBreak/>
        <w:t>IPV6 doesn’t support broadcast address</w:t>
      </w:r>
      <w:r>
        <w:rPr>
          <w:rFonts w:ascii="Arial" w:hAnsi="Arial" w:cs="Arial"/>
        </w:rPr>
        <w:t xml:space="preserve"> and instead </w:t>
      </w:r>
      <w:r w:rsidRPr="7DDD3AED">
        <w:rPr>
          <w:rFonts w:ascii="Arial" w:hAnsi="Arial" w:cs="Arial"/>
        </w:rPr>
        <w:t>uses multicast address</w:t>
      </w:r>
      <w:r>
        <w:rPr>
          <w:rFonts w:ascii="Arial" w:hAnsi="Arial" w:cs="Arial"/>
        </w:rPr>
        <w:t xml:space="preserve"> to </w:t>
      </w:r>
      <w:r w:rsidRPr="7DDD3AED">
        <w:rPr>
          <w:rFonts w:ascii="Arial" w:hAnsi="Arial" w:cs="Arial"/>
        </w:rPr>
        <w:t>communicate with multiple hosts. Using multicasts is</w:t>
      </w:r>
      <w:r>
        <w:rPr>
          <w:rFonts w:ascii="Arial" w:hAnsi="Arial" w:cs="Arial"/>
        </w:rPr>
        <w:t xml:space="preserve"> more </w:t>
      </w:r>
      <w:r w:rsidRPr="7DDD3AED">
        <w:rPr>
          <w:rFonts w:ascii="Arial" w:hAnsi="Arial" w:cs="Arial"/>
        </w:rPr>
        <w:t xml:space="preserve">efficient because the packets can be targeted to a </w:t>
      </w:r>
      <w:r>
        <w:rPr>
          <w:rFonts w:ascii="Arial" w:hAnsi="Arial" w:cs="Arial"/>
        </w:rPr>
        <w:t>group of nodes</w:t>
      </w:r>
      <w:r w:rsidRPr="7DDD3AED">
        <w:rPr>
          <w:rFonts w:ascii="Arial" w:hAnsi="Arial" w:cs="Arial"/>
        </w:rPr>
        <w:t xml:space="preserve">. </w:t>
      </w:r>
      <w:r w:rsidRPr="005329FA">
        <w:rPr>
          <w:rFonts w:ascii="Arial" w:hAnsi="Arial" w:cs="Arial"/>
        </w:rPr>
        <w:t xml:space="preserve">Multicast addresses are easily identifiable because the value of an IPv6 multicast address begins with "FF", as discussed on </w:t>
      </w:r>
      <w:r>
        <w:rPr>
          <w:rFonts w:ascii="Arial" w:hAnsi="Arial" w:cs="Arial"/>
        </w:rPr>
        <w:t>Oracle’s guide</w:t>
      </w:r>
      <w:sdt>
        <w:sdtPr>
          <w:rPr>
            <w:rFonts w:ascii="Arial" w:hAnsi="Arial" w:cs="Arial"/>
          </w:rPr>
          <w:id w:val="1606069047"/>
          <w:citation/>
        </w:sdtPr>
        <w:sdtEndPr/>
        <w:sdtContent>
          <w:r>
            <w:rPr>
              <w:rFonts w:ascii="Arial" w:hAnsi="Arial" w:cs="Arial"/>
            </w:rPr>
            <w:fldChar w:fldCharType="begin"/>
          </w:r>
          <w:r>
            <w:rPr>
              <w:rFonts w:ascii="Arial" w:hAnsi="Arial" w:cs="Arial"/>
            </w:rPr>
            <w:instrText xml:space="preserve">CITATION Ora192 \l 2057 </w:instrText>
          </w:r>
          <w:r>
            <w:rPr>
              <w:rFonts w:ascii="Arial" w:hAnsi="Arial" w:cs="Arial"/>
            </w:rPr>
            <w:fldChar w:fldCharType="separate"/>
          </w:r>
          <w:r>
            <w:rPr>
              <w:rFonts w:ascii="Arial" w:hAnsi="Arial" w:cs="Arial"/>
              <w:noProof/>
            </w:rPr>
            <w:t xml:space="preserve"> </w:t>
          </w:r>
          <w:r w:rsidRPr="00305F5C">
            <w:rPr>
              <w:rFonts w:ascii="Arial" w:hAnsi="Arial" w:cs="Arial"/>
              <w:noProof/>
            </w:rPr>
            <w:t>[4]</w:t>
          </w:r>
          <w:r>
            <w:rPr>
              <w:rFonts w:ascii="Arial" w:hAnsi="Arial" w:cs="Arial"/>
            </w:rPr>
            <w:fldChar w:fldCharType="end"/>
          </w:r>
        </w:sdtContent>
      </w:sdt>
      <w:r w:rsidRPr="005329FA">
        <w:rPr>
          <w:rFonts w:ascii="Arial" w:hAnsi="Arial" w:cs="Arial"/>
        </w:rPr>
        <w:t>.</w:t>
      </w:r>
    </w:p>
    <w:p w14:paraId="6F0D3B97" w14:textId="77777777" w:rsidR="004B0052" w:rsidRDefault="004B0052" w:rsidP="00FC107C">
      <w:pPr>
        <w:pStyle w:val="NormalWeb"/>
        <w:spacing w:line="360" w:lineRule="auto"/>
        <w:rPr>
          <w:rFonts w:ascii="Arial" w:hAnsi="Arial" w:cs="Arial"/>
        </w:rPr>
      </w:pPr>
      <w:r>
        <w:rPr>
          <w:rFonts w:ascii="Arial" w:hAnsi="Arial" w:cs="Arial"/>
        </w:rPr>
        <w:t xml:space="preserve">Oracle further </w:t>
      </w:r>
      <w:sdt>
        <w:sdtPr>
          <w:rPr>
            <w:rFonts w:ascii="Arial" w:hAnsi="Arial" w:cs="Arial"/>
          </w:rPr>
          <w:id w:val="1872185910"/>
          <w:citation/>
        </w:sdtPr>
        <w:sdtEndPr/>
        <w:sdtContent>
          <w:r>
            <w:rPr>
              <w:rFonts w:ascii="Arial" w:hAnsi="Arial" w:cs="Arial"/>
            </w:rPr>
            <w:fldChar w:fldCharType="begin"/>
          </w:r>
          <w:r>
            <w:rPr>
              <w:rFonts w:ascii="Arial" w:hAnsi="Arial" w:cs="Arial"/>
            </w:rPr>
            <w:instrText xml:space="preserve"> CITATION Ora192 \l 2057 </w:instrText>
          </w:r>
          <w:r>
            <w:rPr>
              <w:rFonts w:ascii="Arial" w:hAnsi="Arial" w:cs="Arial"/>
            </w:rPr>
            <w:fldChar w:fldCharType="separate"/>
          </w:r>
          <w:r w:rsidRPr="00305F5C">
            <w:rPr>
              <w:rFonts w:ascii="Arial" w:hAnsi="Arial" w:cs="Arial"/>
              <w:noProof/>
            </w:rPr>
            <w:t>[4]</w:t>
          </w:r>
          <w:r>
            <w:rPr>
              <w:rFonts w:ascii="Arial" w:hAnsi="Arial" w:cs="Arial"/>
            </w:rPr>
            <w:fldChar w:fldCharType="end"/>
          </w:r>
        </w:sdtContent>
      </w:sdt>
      <w:r>
        <w:rPr>
          <w:rFonts w:ascii="Arial" w:hAnsi="Arial" w:cs="Arial"/>
        </w:rPr>
        <w:t xml:space="preserve"> states, </w:t>
      </w:r>
      <w:r w:rsidRPr="00F30B5A">
        <w:rPr>
          <w:rFonts w:ascii="Arial" w:hAnsi="Arial" w:cs="Arial"/>
        </w:rPr>
        <w:t>IPv6 anycast addresses identify a group of interfaces on different IPv6 nodes. Each group of interfaces is known as an anycast group. When a packet is sent to the anycast address, the anycast group member that is physically closest to the sender receives the packet.</w:t>
      </w:r>
    </w:p>
    <w:p w14:paraId="69B40FFB" w14:textId="77777777" w:rsidR="004B0052" w:rsidRPr="0083359C" w:rsidRDefault="004B0052" w:rsidP="00FC107C">
      <w:pPr>
        <w:pStyle w:val="NormalWeb"/>
        <w:spacing w:line="360" w:lineRule="auto"/>
        <w:rPr>
          <w:rFonts w:ascii="Arial" w:hAnsi="Arial" w:cs="Arial"/>
          <w:sz w:val="28"/>
          <w:szCs w:val="24"/>
        </w:rPr>
      </w:pPr>
      <w:r w:rsidRPr="0083359C">
        <w:rPr>
          <w:rFonts w:ascii="Arial" w:hAnsi="Arial" w:cs="Arial"/>
          <w:sz w:val="28"/>
          <w:szCs w:val="24"/>
        </w:rPr>
        <w:t>IPV6 Header</w:t>
      </w:r>
    </w:p>
    <w:p w14:paraId="3BD60167" w14:textId="77777777" w:rsidR="004B0052" w:rsidRDefault="004B0052" w:rsidP="00FC107C">
      <w:pPr>
        <w:spacing w:line="360" w:lineRule="auto"/>
        <w:rPr>
          <w:rFonts w:ascii="Arial" w:hAnsi="Arial" w:cs="Arial"/>
          <w:sz w:val="24"/>
          <w:szCs w:val="24"/>
        </w:rPr>
      </w:pPr>
      <w:r>
        <w:rPr>
          <w:rFonts w:ascii="Arial" w:hAnsi="Arial" w:cs="Arial"/>
          <w:sz w:val="24"/>
          <w:szCs w:val="24"/>
        </w:rPr>
        <w:t xml:space="preserve">IPV6 protocol is defined header and extension header, Oracle </w:t>
      </w:r>
      <w:sdt>
        <w:sdtPr>
          <w:rPr>
            <w:rFonts w:ascii="Arial" w:hAnsi="Arial" w:cs="Arial"/>
            <w:sz w:val="24"/>
            <w:szCs w:val="24"/>
          </w:rPr>
          <w:id w:val="701523016"/>
          <w:citation/>
        </w:sdtPr>
        <w:sdtEndPr/>
        <w:sdtContent>
          <w:r>
            <w:rPr>
              <w:rFonts w:ascii="Arial" w:hAnsi="Arial" w:cs="Arial"/>
              <w:sz w:val="24"/>
              <w:szCs w:val="24"/>
            </w:rPr>
            <w:fldChar w:fldCharType="begin"/>
          </w:r>
          <w:r>
            <w:rPr>
              <w:rFonts w:ascii="Arial" w:hAnsi="Arial" w:cs="Arial"/>
              <w:sz w:val="24"/>
              <w:szCs w:val="24"/>
            </w:rPr>
            <w:instrText xml:space="preserve"> CITATION Ora191 \l 2057 </w:instrText>
          </w:r>
          <w:r>
            <w:rPr>
              <w:rFonts w:ascii="Arial" w:hAnsi="Arial" w:cs="Arial"/>
              <w:sz w:val="24"/>
              <w:szCs w:val="24"/>
            </w:rPr>
            <w:fldChar w:fldCharType="separate"/>
          </w:r>
          <w:r w:rsidRPr="00305F5C">
            <w:rPr>
              <w:rFonts w:ascii="Arial" w:hAnsi="Arial" w:cs="Arial"/>
              <w:noProof/>
              <w:sz w:val="24"/>
              <w:szCs w:val="24"/>
            </w:rPr>
            <w:t>[5]</w:t>
          </w:r>
          <w:r>
            <w:rPr>
              <w:rFonts w:ascii="Arial" w:hAnsi="Arial" w:cs="Arial"/>
              <w:sz w:val="24"/>
              <w:szCs w:val="24"/>
            </w:rPr>
            <w:fldChar w:fldCharType="end"/>
          </w:r>
        </w:sdtContent>
      </w:sdt>
      <w:r>
        <w:rPr>
          <w:rFonts w:ascii="Arial" w:hAnsi="Arial" w:cs="Arial"/>
          <w:sz w:val="24"/>
          <w:szCs w:val="24"/>
        </w:rPr>
        <w:t xml:space="preserve"> describes each header:</w:t>
      </w:r>
    </w:p>
    <w:p w14:paraId="1C009181" w14:textId="77777777" w:rsidR="004B0052" w:rsidRPr="00D026F7" w:rsidRDefault="004B0052" w:rsidP="00FC107C">
      <w:pPr>
        <w:pStyle w:val="NormalWeb"/>
        <w:numPr>
          <w:ilvl w:val="0"/>
          <w:numId w:val="22"/>
        </w:numPr>
        <w:spacing w:beforeAutospacing="1" w:afterAutospacing="1" w:line="360" w:lineRule="auto"/>
        <w:rPr>
          <w:rFonts w:ascii="Arial" w:hAnsi="Arial" w:cs="Arial"/>
        </w:rPr>
      </w:pPr>
      <w:r w:rsidRPr="00B938C9">
        <w:rPr>
          <w:rStyle w:val="Strong"/>
          <w:rFonts w:ascii="Arial" w:hAnsi="Arial" w:cs="Arial"/>
          <w:b w:val="0"/>
          <w:bCs w:val="0"/>
        </w:rPr>
        <w:t>Version</w:t>
      </w:r>
      <w:r w:rsidRPr="00B938C9">
        <w:rPr>
          <w:rFonts w:ascii="Arial" w:hAnsi="Arial" w:cs="Arial"/>
          <w:b/>
          <w:bCs/>
        </w:rPr>
        <w:t xml:space="preserve"> </w:t>
      </w:r>
      <w:r w:rsidRPr="00D026F7">
        <w:rPr>
          <w:rFonts w:ascii="Arial" w:hAnsi="Arial" w:cs="Arial"/>
        </w:rPr>
        <w:t>– 4-bit Version number of Internet Protocol = 6.</w:t>
      </w:r>
    </w:p>
    <w:p w14:paraId="5CDAC778" w14:textId="77777777" w:rsidR="004B0052" w:rsidRPr="00D026F7" w:rsidRDefault="004B0052" w:rsidP="00FC107C">
      <w:pPr>
        <w:pStyle w:val="NormalWeb"/>
        <w:numPr>
          <w:ilvl w:val="0"/>
          <w:numId w:val="22"/>
        </w:numPr>
        <w:spacing w:beforeAutospacing="1" w:afterAutospacing="1" w:line="360" w:lineRule="auto"/>
        <w:rPr>
          <w:rFonts w:ascii="Arial" w:hAnsi="Arial" w:cs="Arial"/>
        </w:rPr>
      </w:pPr>
      <w:bookmarkStart w:id="0" w:name="indexterm-5"/>
      <w:bookmarkStart w:id="1" w:name="indexterm-6"/>
      <w:bookmarkEnd w:id="0"/>
      <w:bookmarkEnd w:id="1"/>
      <w:r w:rsidRPr="00B938C9">
        <w:rPr>
          <w:rStyle w:val="Strong"/>
          <w:rFonts w:ascii="Arial" w:hAnsi="Arial" w:cs="Arial"/>
          <w:b w:val="0"/>
          <w:bCs w:val="0"/>
        </w:rPr>
        <w:t>Traffic Class</w:t>
      </w:r>
      <w:r w:rsidRPr="00D026F7">
        <w:rPr>
          <w:rFonts w:ascii="Arial" w:hAnsi="Arial" w:cs="Arial"/>
        </w:rPr>
        <w:t xml:space="preserve"> – 8-bit traffic class field. </w:t>
      </w:r>
    </w:p>
    <w:p w14:paraId="50233CFB" w14:textId="77777777" w:rsidR="004B0052" w:rsidRPr="00D026F7" w:rsidRDefault="004B0052" w:rsidP="00FC107C">
      <w:pPr>
        <w:pStyle w:val="NormalWeb"/>
        <w:numPr>
          <w:ilvl w:val="0"/>
          <w:numId w:val="22"/>
        </w:numPr>
        <w:spacing w:beforeAutospacing="1" w:afterAutospacing="1" w:line="360" w:lineRule="auto"/>
        <w:rPr>
          <w:rFonts w:ascii="Arial" w:hAnsi="Arial" w:cs="Arial"/>
        </w:rPr>
      </w:pPr>
      <w:bookmarkStart w:id="2" w:name="indexterm-7"/>
      <w:bookmarkStart w:id="3" w:name="indexterm-8"/>
      <w:bookmarkEnd w:id="2"/>
      <w:bookmarkEnd w:id="3"/>
      <w:r w:rsidRPr="00B938C9">
        <w:rPr>
          <w:rStyle w:val="Strong"/>
          <w:rFonts w:ascii="Arial" w:hAnsi="Arial" w:cs="Arial"/>
          <w:b w:val="0"/>
          <w:bCs w:val="0"/>
        </w:rPr>
        <w:t>Flow Label</w:t>
      </w:r>
      <w:r w:rsidRPr="00D026F7">
        <w:rPr>
          <w:rFonts w:ascii="Arial" w:hAnsi="Arial" w:cs="Arial"/>
        </w:rPr>
        <w:t xml:space="preserve"> – 20-bit field. </w:t>
      </w:r>
    </w:p>
    <w:p w14:paraId="72E742B8" w14:textId="77777777" w:rsidR="004B0052" w:rsidRPr="00D026F7" w:rsidRDefault="004B0052" w:rsidP="00FC107C">
      <w:pPr>
        <w:pStyle w:val="NormalWeb"/>
        <w:numPr>
          <w:ilvl w:val="0"/>
          <w:numId w:val="22"/>
        </w:numPr>
        <w:spacing w:beforeAutospacing="1" w:afterAutospacing="1" w:line="360" w:lineRule="auto"/>
        <w:rPr>
          <w:rFonts w:ascii="Arial" w:hAnsi="Arial" w:cs="Arial"/>
        </w:rPr>
      </w:pPr>
      <w:r w:rsidRPr="004B0052">
        <w:rPr>
          <w:rStyle w:val="Strong"/>
          <w:rFonts w:ascii="Arial" w:hAnsi="Arial" w:cs="Arial"/>
          <w:b w:val="0"/>
          <w:bCs w:val="0"/>
        </w:rPr>
        <w:t>Payload Length</w:t>
      </w:r>
      <w:r w:rsidRPr="00D026F7">
        <w:rPr>
          <w:rFonts w:ascii="Arial" w:hAnsi="Arial" w:cs="Arial"/>
        </w:rPr>
        <w:t xml:space="preserve"> – 16-bit unsigned integer, which is the rest of the packet that follows the IPv6 header, in octets.</w:t>
      </w:r>
    </w:p>
    <w:p w14:paraId="2CF78F5F" w14:textId="77777777" w:rsidR="004B0052" w:rsidRPr="00D026F7" w:rsidRDefault="004B0052" w:rsidP="00FC107C">
      <w:pPr>
        <w:pStyle w:val="NormalWeb"/>
        <w:numPr>
          <w:ilvl w:val="0"/>
          <w:numId w:val="22"/>
        </w:numPr>
        <w:spacing w:beforeAutospacing="1" w:afterAutospacing="1" w:line="360" w:lineRule="auto"/>
        <w:rPr>
          <w:rFonts w:ascii="Arial" w:hAnsi="Arial" w:cs="Arial"/>
        </w:rPr>
      </w:pPr>
      <w:bookmarkStart w:id="4" w:name="indexterm-9"/>
      <w:bookmarkStart w:id="5" w:name="indexterm-10"/>
      <w:bookmarkEnd w:id="4"/>
      <w:bookmarkEnd w:id="5"/>
      <w:r w:rsidRPr="004B0052">
        <w:rPr>
          <w:rStyle w:val="Strong"/>
          <w:rFonts w:ascii="Arial" w:hAnsi="Arial" w:cs="Arial"/>
          <w:b w:val="0"/>
          <w:bCs w:val="0"/>
        </w:rPr>
        <w:t>Next Header</w:t>
      </w:r>
      <w:r w:rsidRPr="00D026F7">
        <w:rPr>
          <w:rFonts w:ascii="Arial" w:hAnsi="Arial" w:cs="Arial"/>
        </w:rPr>
        <w:t xml:space="preserve"> – 8-bit selector. Identifies the type of header that immediately follows the IPv6 header. Uses the same values as the IPv4 protocol field. </w:t>
      </w:r>
    </w:p>
    <w:p w14:paraId="3043F32C" w14:textId="77777777" w:rsidR="004B0052" w:rsidRPr="00D026F7" w:rsidRDefault="004B0052" w:rsidP="00FC107C">
      <w:pPr>
        <w:pStyle w:val="NormalWeb"/>
        <w:numPr>
          <w:ilvl w:val="0"/>
          <w:numId w:val="22"/>
        </w:numPr>
        <w:spacing w:beforeAutospacing="1" w:afterAutospacing="1" w:line="360" w:lineRule="auto"/>
        <w:rPr>
          <w:rFonts w:ascii="Arial" w:hAnsi="Arial" w:cs="Arial"/>
        </w:rPr>
      </w:pPr>
      <w:bookmarkStart w:id="6" w:name="indexterm-11"/>
      <w:bookmarkStart w:id="7" w:name="indexterm-12"/>
      <w:bookmarkEnd w:id="6"/>
      <w:bookmarkEnd w:id="7"/>
      <w:r w:rsidRPr="004B0052">
        <w:rPr>
          <w:rStyle w:val="Strong"/>
          <w:rFonts w:ascii="Arial" w:hAnsi="Arial" w:cs="Arial"/>
          <w:b w:val="0"/>
          <w:bCs w:val="0"/>
        </w:rPr>
        <w:t>Hop Limit</w:t>
      </w:r>
      <w:r w:rsidRPr="00D026F7">
        <w:rPr>
          <w:rFonts w:ascii="Arial" w:hAnsi="Arial" w:cs="Arial"/>
        </w:rPr>
        <w:t xml:space="preserve"> – 8-bit unsigned integer. Decremented by one by each node that forwards the packet. The packet is discarded if Hop Limit is decremented to zero.</w:t>
      </w:r>
    </w:p>
    <w:p w14:paraId="39D4B9A6" w14:textId="77777777" w:rsidR="004B0052" w:rsidRPr="00D026F7" w:rsidRDefault="004B0052" w:rsidP="00FC107C">
      <w:pPr>
        <w:pStyle w:val="NormalWeb"/>
        <w:numPr>
          <w:ilvl w:val="0"/>
          <w:numId w:val="22"/>
        </w:numPr>
        <w:spacing w:beforeAutospacing="1" w:afterAutospacing="1" w:line="360" w:lineRule="auto"/>
        <w:rPr>
          <w:rFonts w:ascii="Arial" w:hAnsi="Arial" w:cs="Arial"/>
        </w:rPr>
      </w:pPr>
      <w:bookmarkStart w:id="8" w:name="indexterm-13"/>
      <w:bookmarkStart w:id="9" w:name="indexterm-14"/>
      <w:bookmarkEnd w:id="8"/>
      <w:bookmarkEnd w:id="9"/>
      <w:r w:rsidRPr="004B0052">
        <w:rPr>
          <w:rStyle w:val="Strong"/>
          <w:rFonts w:ascii="Arial" w:hAnsi="Arial" w:cs="Arial"/>
          <w:b w:val="0"/>
          <w:bCs w:val="0"/>
        </w:rPr>
        <w:t>Source Address</w:t>
      </w:r>
      <w:r w:rsidRPr="00D026F7">
        <w:rPr>
          <w:rFonts w:ascii="Arial" w:hAnsi="Arial" w:cs="Arial"/>
        </w:rPr>
        <w:t xml:space="preserve"> – 128 bits. The address of the initial sender of the packet. </w:t>
      </w:r>
    </w:p>
    <w:p w14:paraId="30E2E6E7" w14:textId="77777777" w:rsidR="004B0052" w:rsidRPr="00D026F7" w:rsidRDefault="004B0052" w:rsidP="00FC107C">
      <w:pPr>
        <w:pStyle w:val="NormalWeb"/>
        <w:numPr>
          <w:ilvl w:val="0"/>
          <w:numId w:val="22"/>
        </w:numPr>
        <w:spacing w:beforeAutospacing="1" w:afterAutospacing="1" w:line="360" w:lineRule="auto"/>
        <w:rPr>
          <w:rFonts w:ascii="Arial" w:hAnsi="Arial" w:cs="Arial"/>
        </w:rPr>
      </w:pPr>
      <w:bookmarkStart w:id="10" w:name="indexterm-15"/>
      <w:bookmarkStart w:id="11" w:name="indexterm-16"/>
      <w:bookmarkEnd w:id="10"/>
      <w:bookmarkEnd w:id="11"/>
      <w:r w:rsidRPr="004B0052">
        <w:rPr>
          <w:rStyle w:val="Strong"/>
          <w:rFonts w:ascii="Arial" w:hAnsi="Arial" w:cs="Arial"/>
          <w:b w:val="0"/>
          <w:bCs w:val="0"/>
        </w:rPr>
        <w:t>Destination Address</w:t>
      </w:r>
      <w:r w:rsidRPr="00D026F7">
        <w:rPr>
          <w:rFonts w:ascii="Arial" w:hAnsi="Arial" w:cs="Arial"/>
        </w:rPr>
        <w:t xml:space="preserve"> – 128 bits. The address of the intended recipient of the packet. The intended recipient is not necessarily the recipient if an optional Routing Header is present.</w:t>
      </w:r>
    </w:p>
    <w:p w14:paraId="0BC0FE58" w14:textId="77777777" w:rsidR="004B0052" w:rsidRDefault="004B0052" w:rsidP="00FC107C">
      <w:pPr>
        <w:spacing w:line="360" w:lineRule="auto"/>
        <w:rPr>
          <w:rFonts w:ascii="Arial" w:hAnsi="Arial" w:cs="Arial"/>
          <w:sz w:val="24"/>
          <w:szCs w:val="24"/>
        </w:rPr>
      </w:pPr>
      <w:bookmarkStart w:id="12" w:name="indexterm-4"/>
      <w:bookmarkEnd w:id="12"/>
      <w:r>
        <w:rPr>
          <w:rFonts w:ascii="Arial" w:hAnsi="Arial" w:cs="Arial"/>
          <w:sz w:val="24"/>
          <w:szCs w:val="24"/>
        </w:rPr>
        <w:t xml:space="preserve">IPV6 improves on option mechanism that are placed in separate extension header </w:t>
      </w:r>
      <w:r w:rsidRPr="003F0D36">
        <w:rPr>
          <w:rFonts w:ascii="Arial" w:hAnsi="Arial" w:cs="Arial"/>
          <w:sz w:val="24"/>
          <w:szCs w:val="24"/>
        </w:rPr>
        <w:t>are located between the IPv6 header and the transport-layer header in a packet.</w:t>
      </w:r>
      <w:r w:rsidRPr="00592BB8">
        <w:t xml:space="preserve"> </w:t>
      </w:r>
      <w:r w:rsidRPr="00592BB8">
        <w:rPr>
          <w:rFonts w:ascii="Arial" w:hAnsi="Arial" w:cs="Arial"/>
          <w:sz w:val="24"/>
          <w:szCs w:val="24"/>
        </w:rPr>
        <w:t>Most IPv6 extension headers are not examined or processed by any router along a packet's delivery path until the packet arrives at its destination.</w:t>
      </w:r>
      <w:r>
        <w:rPr>
          <w:rFonts w:ascii="Arial" w:hAnsi="Arial" w:cs="Arial"/>
          <w:sz w:val="24"/>
          <w:szCs w:val="24"/>
        </w:rPr>
        <w:t xml:space="preserve"> This improves on router </w:t>
      </w:r>
      <w:r>
        <w:rPr>
          <w:rFonts w:ascii="Arial" w:hAnsi="Arial" w:cs="Arial"/>
          <w:sz w:val="24"/>
          <w:szCs w:val="24"/>
        </w:rPr>
        <w:lastRenderedPageBreak/>
        <w:t xml:space="preserve">performance for packets that contain options </w:t>
      </w:r>
      <w:r w:rsidRPr="005329FA">
        <w:rPr>
          <w:rFonts w:ascii="Arial" w:hAnsi="Arial" w:cs="Arial"/>
          <w:sz w:val="24"/>
          <w:szCs w:val="24"/>
        </w:rPr>
        <w:t xml:space="preserve">as </w:t>
      </w:r>
      <w:r>
        <w:rPr>
          <w:rFonts w:ascii="Arial" w:hAnsi="Arial" w:cs="Arial"/>
          <w:sz w:val="24"/>
          <w:szCs w:val="24"/>
        </w:rPr>
        <w:t>described</w:t>
      </w:r>
      <w:r w:rsidRPr="005329FA">
        <w:rPr>
          <w:rFonts w:ascii="Arial" w:hAnsi="Arial" w:cs="Arial"/>
          <w:sz w:val="24"/>
          <w:szCs w:val="24"/>
        </w:rPr>
        <w:t xml:space="preserve"> in</w:t>
      </w:r>
      <w:r>
        <w:rPr>
          <w:rFonts w:ascii="Arial" w:hAnsi="Arial" w:cs="Arial"/>
          <w:sz w:val="24"/>
          <w:szCs w:val="24"/>
        </w:rPr>
        <w:t xml:space="preserve"> and further explanation can be found on Oracle’s guide </w:t>
      </w:r>
      <w:sdt>
        <w:sdtPr>
          <w:rPr>
            <w:rFonts w:ascii="Arial" w:hAnsi="Arial" w:cs="Arial"/>
            <w:sz w:val="24"/>
            <w:szCs w:val="24"/>
          </w:rPr>
          <w:id w:val="1904013918"/>
          <w:citation/>
        </w:sdtPr>
        <w:sdtEndPr/>
        <w:sdtContent>
          <w:r>
            <w:rPr>
              <w:rFonts w:ascii="Arial" w:hAnsi="Arial" w:cs="Arial"/>
              <w:sz w:val="24"/>
              <w:szCs w:val="24"/>
            </w:rPr>
            <w:fldChar w:fldCharType="begin"/>
          </w:r>
          <w:r>
            <w:rPr>
              <w:rFonts w:ascii="Arial" w:hAnsi="Arial" w:cs="Arial"/>
              <w:sz w:val="24"/>
              <w:szCs w:val="24"/>
            </w:rPr>
            <w:instrText xml:space="preserve"> CITATION Ora191 \l 2057 </w:instrText>
          </w:r>
          <w:r>
            <w:rPr>
              <w:rFonts w:ascii="Arial" w:hAnsi="Arial" w:cs="Arial"/>
              <w:sz w:val="24"/>
              <w:szCs w:val="24"/>
            </w:rPr>
            <w:fldChar w:fldCharType="separate"/>
          </w:r>
          <w:r w:rsidRPr="00305F5C">
            <w:rPr>
              <w:rFonts w:ascii="Arial" w:hAnsi="Arial" w:cs="Arial"/>
              <w:noProof/>
              <w:sz w:val="24"/>
              <w:szCs w:val="24"/>
            </w:rPr>
            <w:t>[5]</w:t>
          </w:r>
          <w:r>
            <w:rPr>
              <w:rFonts w:ascii="Arial" w:hAnsi="Arial" w:cs="Arial"/>
              <w:sz w:val="24"/>
              <w:szCs w:val="24"/>
            </w:rPr>
            <w:fldChar w:fldCharType="end"/>
          </w:r>
        </w:sdtContent>
      </w:sdt>
      <w:r w:rsidRPr="005329FA">
        <w:rPr>
          <w:rFonts w:ascii="Arial" w:hAnsi="Arial" w:cs="Arial"/>
          <w:sz w:val="24"/>
          <w:szCs w:val="24"/>
        </w:rPr>
        <w:t>.</w:t>
      </w:r>
    </w:p>
    <w:p w14:paraId="05EA21F5" w14:textId="77777777" w:rsidR="004B0052" w:rsidRPr="0083359C" w:rsidRDefault="004B0052" w:rsidP="00FC107C">
      <w:pPr>
        <w:spacing w:line="360" w:lineRule="auto"/>
        <w:rPr>
          <w:rFonts w:ascii="Arial" w:hAnsi="Arial" w:cs="Arial"/>
          <w:sz w:val="28"/>
          <w:szCs w:val="28"/>
        </w:rPr>
      </w:pPr>
      <w:r w:rsidRPr="0083359C">
        <w:rPr>
          <w:rFonts w:ascii="Arial" w:hAnsi="Arial" w:cs="Arial"/>
          <w:sz w:val="28"/>
          <w:szCs w:val="28"/>
        </w:rPr>
        <w:t>IPV6 Mobility</w:t>
      </w:r>
    </w:p>
    <w:p w14:paraId="02255906" w14:textId="77777777" w:rsidR="004B0052" w:rsidRPr="005329FA" w:rsidRDefault="004B0052" w:rsidP="00FC107C">
      <w:pPr>
        <w:pStyle w:val="NormalWeb"/>
        <w:spacing w:line="360" w:lineRule="auto"/>
        <w:rPr>
          <w:rFonts w:ascii="Arial" w:hAnsi="Arial" w:cs="Arial"/>
        </w:rPr>
      </w:pPr>
      <w:r w:rsidRPr="005329FA">
        <w:rPr>
          <w:rFonts w:ascii="Arial" w:hAnsi="Arial" w:cs="Arial"/>
        </w:rPr>
        <w:t>As discussed by Oracle’s IPV6 guide</w:t>
      </w:r>
      <w:r w:rsidRPr="0094576C">
        <w:rPr>
          <w:rFonts w:ascii="Arial" w:hAnsi="Arial" w:cs="Arial"/>
          <w:b/>
          <w:bCs/>
        </w:rPr>
        <w:t xml:space="preserve"> </w:t>
      </w:r>
      <w:sdt>
        <w:sdtPr>
          <w:rPr>
            <w:rFonts w:ascii="Arial" w:hAnsi="Arial" w:cs="Arial"/>
            <w:b/>
            <w:bCs/>
          </w:rPr>
          <w:id w:val="1251848253"/>
          <w:citation/>
        </w:sdtPr>
        <w:sdtEndPr/>
        <w:sdtContent>
          <w:r w:rsidRPr="005329FA">
            <w:rPr>
              <w:rFonts w:ascii="Arial" w:hAnsi="Arial" w:cs="Arial"/>
              <w:b/>
              <w:bCs/>
            </w:rPr>
            <w:fldChar w:fldCharType="begin"/>
          </w:r>
          <w:r w:rsidRPr="005329FA">
            <w:rPr>
              <w:rFonts w:ascii="Arial" w:hAnsi="Arial" w:cs="Arial"/>
              <w:b/>
              <w:bCs/>
            </w:rPr>
            <w:instrText xml:space="preserve"> CITATION Mobility \l 2057 </w:instrText>
          </w:r>
          <w:r w:rsidRPr="005329FA">
            <w:rPr>
              <w:rFonts w:ascii="Arial" w:hAnsi="Arial" w:cs="Arial"/>
              <w:b/>
              <w:bCs/>
            </w:rPr>
            <w:fldChar w:fldCharType="separate"/>
          </w:r>
          <w:r w:rsidRPr="00305F5C">
            <w:rPr>
              <w:rFonts w:ascii="Arial" w:hAnsi="Arial" w:cs="Arial"/>
              <w:noProof/>
            </w:rPr>
            <w:t>[6]</w:t>
          </w:r>
          <w:r w:rsidRPr="005329FA">
            <w:rPr>
              <w:rFonts w:ascii="Arial" w:hAnsi="Arial" w:cs="Arial"/>
              <w:b/>
              <w:bCs/>
            </w:rPr>
            <w:fldChar w:fldCharType="end"/>
          </w:r>
        </w:sdtContent>
      </w:sdt>
      <w:r w:rsidRPr="005329FA">
        <w:rPr>
          <w:rFonts w:ascii="Arial" w:hAnsi="Arial" w:cs="Arial"/>
        </w:rPr>
        <w:t>, IPv6 mobility support solves this problem. IPv6 mobility enables a mobile node to move from one link to another link without changing the mobile node's IP address. IPv6 mobility assigns an IP address to the mobile node within its home subnet prefix on its home link. This address is known as the node's home address.</w:t>
      </w:r>
    </w:p>
    <w:p w14:paraId="6DD4E450" w14:textId="77777777" w:rsidR="004B0052" w:rsidRPr="005329FA" w:rsidRDefault="004B0052" w:rsidP="00FC107C">
      <w:pPr>
        <w:pStyle w:val="NormalWeb"/>
        <w:spacing w:line="360" w:lineRule="auto"/>
        <w:rPr>
          <w:rFonts w:ascii="Arial" w:hAnsi="Arial" w:cs="Arial"/>
        </w:rPr>
      </w:pPr>
      <w:r w:rsidRPr="005329FA">
        <w:rPr>
          <w:rFonts w:ascii="Arial" w:hAnsi="Arial" w:cs="Arial"/>
        </w:rPr>
        <w:t>Oracle does state that IPv6 mobility does not attempt to solve the following problems:</w:t>
      </w:r>
    </w:p>
    <w:p w14:paraId="1B47C68E" w14:textId="77777777" w:rsidR="004B0052" w:rsidRPr="005329FA" w:rsidRDefault="004B0052" w:rsidP="00FC107C">
      <w:pPr>
        <w:pStyle w:val="NormalWeb"/>
        <w:numPr>
          <w:ilvl w:val="0"/>
          <w:numId w:val="23"/>
        </w:numPr>
        <w:spacing w:beforeAutospacing="1" w:afterAutospacing="1" w:line="360" w:lineRule="auto"/>
        <w:rPr>
          <w:rFonts w:ascii="Arial" w:hAnsi="Arial" w:cs="Arial"/>
        </w:rPr>
      </w:pPr>
      <w:bookmarkStart w:id="13" w:name=""/>
      <w:bookmarkEnd w:id="13"/>
      <w:r w:rsidRPr="005329FA">
        <w:rPr>
          <w:rFonts w:ascii="Arial" w:hAnsi="Arial" w:cs="Arial"/>
        </w:rPr>
        <w:t>The ability to handle links with partial reachability, such as typical wireless networks. However, a movement detection procedure addresses some aspects.</w:t>
      </w:r>
    </w:p>
    <w:p w14:paraId="2B98F8F3" w14:textId="77777777" w:rsidR="004B0052" w:rsidRPr="005329FA" w:rsidRDefault="004B0052" w:rsidP="00FC107C">
      <w:pPr>
        <w:pStyle w:val="NormalWeb"/>
        <w:numPr>
          <w:ilvl w:val="0"/>
          <w:numId w:val="23"/>
        </w:numPr>
        <w:spacing w:beforeAutospacing="1" w:afterAutospacing="1" w:line="360" w:lineRule="auto"/>
        <w:rPr>
          <w:rFonts w:ascii="Arial" w:hAnsi="Arial" w:cs="Arial"/>
        </w:rPr>
      </w:pPr>
      <w:r w:rsidRPr="037B09AE">
        <w:rPr>
          <w:rFonts w:ascii="Arial" w:hAnsi="Arial" w:cs="Arial"/>
        </w:rPr>
        <w:t>Access control on a link that is being visited by a mobile node.</w:t>
      </w:r>
    </w:p>
    <w:p w14:paraId="26934112" w14:textId="77777777" w:rsidR="004B0052" w:rsidRPr="0083359C" w:rsidRDefault="004B0052" w:rsidP="00FC107C">
      <w:pPr>
        <w:spacing w:line="360" w:lineRule="auto"/>
        <w:rPr>
          <w:rFonts w:ascii="Arial" w:hAnsi="Arial" w:cs="Arial"/>
          <w:sz w:val="28"/>
          <w:szCs w:val="28"/>
        </w:rPr>
      </w:pPr>
      <w:r w:rsidRPr="0083359C">
        <w:rPr>
          <w:rFonts w:ascii="Arial" w:hAnsi="Arial" w:cs="Arial"/>
          <w:sz w:val="28"/>
          <w:szCs w:val="28"/>
        </w:rPr>
        <w:t>IT Security Improvements</w:t>
      </w:r>
    </w:p>
    <w:p w14:paraId="7A340B41" w14:textId="77777777" w:rsidR="004B0052" w:rsidRDefault="004B0052" w:rsidP="00FC107C">
      <w:pPr>
        <w:spacing w:line="360" w:lineRule="auto"/>
        <w:rPr>
          <w:rFonts w:ascii="Arial" w:hAnsi="Arial" w:cs="Arial"/>
          <w:sz w:val="24"/>
          <w:szCs w:val="24"/>
        </w:rPr>
      </w:pPr>
      <w:r w:rsidRPr="005329FA">
        <w:rPr>
          <w:rFonts w:ascii="Arial" w:hAnsi="Arial" w:cs="Arial"/>
          <w:sz w:val="24"/>
          <w:szCs w:val="24"/>
        </w:rPr>
        <w:t>IPV6 resolves two security issues that currently exist on the internet. There is a lack of effective privacy and authentication mechanism beneath the application layer.</w:t>
      </w:r>
    </w:p>
    <w:p w14:paraId="39A0B3E6" w14:textId="77777777" w:rsidR="004B0052" w:rsidRPr="005329FA" w:rsidRDefault="004B0052" w:rsidP="00FC107C">
      <w:pPr>
        <w:spacing w:line="360" w:lineRule="auto"/>
        <w:rPr>
          <w:rFonts w:ascii="Arial" w:hAnsi="Arial" w:cs="Arial"/>
          <w:sz w:val="24"/>
          <w:szCs w:val="24"/>
        </w:rPr>
      </w:pPr>
      <w:r w:rsidRPr="005329FA">
        <w:rPr>
          <w:rFonts w:ascii="Arial" w:hAnsi="Arial" w:cs="Arial"/>
          <w:sz w:val="24"/>
          <w:szCs w:val="24"/>
        </w:rPr>
        <w:t>IPv6 Authentication Header and IPv6 Encapsulating Security Payload are features of the new Internet Protocol Security (IPsec) as described by Oracle</w:t>
      </w:r>
      <w:sdt>
        <w:sdtPr>
          <w:rPr>
            <w:rFonts w:ascii="Arial" w:hAnsi="Arial" w:cs="Arial"/>
            <w:sz w:val="24"/>
            <w:szCs w:val="24"/>
          </w:rPr>
          <w:id w:val="1397783672"/>
          <w:citation/>
        </w:sdtPr>
        <w:sdtEndPr/>
        <w:sdtContent>
          <w:r w:rsidRPr="005329FA">
            <w:rPr>
              <w:rFonts w:ascii="Arial" w:hAnsi="Arial" w:cs="Arial"/>
              <w:sz w:val="24"/>
              <w:szCs w:val="24"/>
            </w:rPr>
            <w:fldChar w:fldCharType="begin"/>
          </w:r>
          <w:r w:rsidRPr="005329FA">
            <w:rPr>
              <w:rFonts w:ascii="Arial" w:hAnsi="Arial" w:cs="Arial"/>
              <w:sz w:val="24"/>
              <w:szCs w:val="24"/>
            </w:rPr>
            <w:instrText xml:space="preserve"> CITATION htt196 \l 2057 </w:instrText>
          </w:r>
          <w:r w:rsidRPr="005329FA">
            <w:rPr>
              <w:rFonts w:ascii="Arial" w:hAnsi="Arial" w:cs="Arial"/>
              <w:sz w:val="24"/>
              <w:szCs w:val="24"/>
            </w:rPr>
            <w:fldChar w:fldCharType="separate"/>
          </w:r>
          <w:r>
            <w:rPr>
              <w:rFonts w:ascii="Arial" w:hAnsi="Arial" w:cs="Arial"/>
              <w:noProof/>
              <w:sz w:val="24"/>
              <w:szCs w:val="24"/>
            </w:rPr>
            <w:t xml:space="preserve"> </w:t>
          </w:r>
          <w:r w:rsidRPr="00305F5C">
            <w:rPr>
              <w:rFonts w:ascii="Arial" w:hAnsi="Arial" w:cs="Arial"/>
              <w:noProof/>
              <w:sz w:val="24"/>
              <w:szCs w:val="24"/>
            </w:rPr>
            <w:t>[7]</w:t>
          </w:r>
          <w:r w:rsidRPr="005329FA">
            <w:rPr>
              <w:rFonts w:ascii="Arial" w:hAnsi="Arial" w:cs="Arial"/>
              <w:sz w:val="24"/>
              <w:szCs w:val="24"/>
            </w:rPr>
            <w:fldChar w:fldCharType="end"/>
          </w:r>
        </w:sdtContent>
      </w:sdt>
      <w:r w:rsidRPr="005329FA">
        <w:rPr>
          <w:rFonts w:ascii="Arial" w:hAnsi="Arial" w:cs="Arial"/>
          <w:sz w:val="24"/>
          <w:szCs w:val="24"/>
        </w:rPr>
        <w:t>.</w:t>
      </w:r>
    </w:p>
    <w:p w14:paraId="65225EFC" w14:textId="77777777" w:rsidR="004B0052" w:rsidRPr="005329FA" w:rsidRDefault="004B0052" w:rsidP="00FC107C">
      <w:pPr>
        <w:spacing w:line="360" w:lineRule="auto"/>
        <w:rPr>
          <w:rFonts w:ascii="Arial" w:hAnsi="Arial" w:cs="Arial"/>
          <w:sz w:val="24"/>
          <w:szCs w:val="24"/>
        </w:rPr>
      </w:pPr>
      <w:r w:rsidRPr="005329FA">
        <w:rPr>
          <w:rFonts w:ascii="Arial" w:hAnsi="Arial" w:cs="Arial"/>
          <w:sz w:val="24"/>
          <w:szCs w:val="24"/>
        </w:rPr>
        <w:t>Oracle</w:t>
      </w:r>
      <w:r w:rsidRPr="00E450FA">
        <w:rPr>
          <w:rFonts w:ascii="Arial" w:hAnsi="Arial" w:cs="Arial"/>
          <w:sz w:val="24"/>
          <w:szCs w:val="24"/>
        </w:rPr>
        <w:t xml:space="preserve"> </w:t>
      </w:r>
      <w:sdt>
        <w:sdtPr>
          <w:rPr>
            <w:rFonts w:ascii="Arial" w:hAnsi="Arial" w:cs="Arial"/>
            <w:sz w:val="24"/>
            <w:szCs w:val="24"/>
          </w:rPr>
          <w:id w:val="-766928479"/>
          <w:citation/>
        </w:sdtPr>
        <w:sdtEndPr/>
        <w:sdtContent>
          <w:r w:rsidRPr="005329FA">
            <w:rPr>
              <w:rFonts w:ascii="Arial" w:hAnsi="Arial" w:cs="Arial"/>
              <w:sz w:val="24"/>
              <w:szCs w:val="24"/>
            </w:rPr>
            <w:fldChar w:fldCharType="begin"/>
          </w:r>
          <w:r w:rsidRPr="005329FA">
            <w:rPr>
              <w:rFonts w:ascii="Arial" w:hAnsi="Arial" w:cs="Arial"/>
              <w:sz w:val="24"/>
              <w:szCs w:val="24"/>
            </w:rPr>
            <w:instrText xml:space="preserve"> CITATION htt196 \l 2057 </w:instrText>
          </w:r>
          <w:r w:rsidRPr="005329FA">
            <w:rPr>
              <w:rFonts w:ascii="Arial" w:hAnsi="Arial" w:cs="Arial"/>
              <w:sz w:val="24"/>
              <w:szCs w:val="24"/>
            </w:rPr>
            <w:fldChar w:fldCharType="separate"/>
          </w:r>
          <w:r w:rsidRPr="00305F5C">
            <w:rPr>
              <w:rFonts w:ascii="Arial" w:hAnsi="Arial" w:cs="Arial"/>
              <w:noProof/>
              <w:sz w:val="24"/>
              <w:szCs w:val="24"/>
            </w:rPr>
            <w:t>[7]</w:t>
          </w:r>
          <w:r w:rsidRPr="005329FA">
            <w:rPr>
              <w:rFonts w:ascii="Arial" w:hAnsi="Arial" w:cs="Arial"/>
              <w:sz w:val="24"/>
              <w:szCs w:val="24"/>
            </w:rPr>
            <w:fldChar w:fldCharType="end"/>
          </w:r>
        </w:sdtContent>
      </w:sdt>
      <w:r w:rsidRPr="005329FA">
        <w:rPr>
          <w:rFonts w:ascii="Arial" w:hAnsi="Arial" w:cs="Arial"/>
          <w:sz w:val="24"/>
          <w:szCs w:val="24"/>
        </w:rPr>
        <w:t xml:space="preserve"> further states that IPV6 introduces two extension headers that resolve these issues and provide security services. The First service is called Authentication Header that provides authentication and integrity without confidentiality, to IPv6 datagrams. The extension is algorithm independent and supports many different authentication techniques. </w:t>
      </w:r>
    </w:p>
    <w:p w14:paraId="72A2E0FB" w14:textId="77777777" w:rsidR="004B0052" w:rsidRPr="005329FA" w:rsidRDefault="004B0052" w:rsidP="00FC107C">
      <w:pPr>
        <w:spacing w:line="360" w:lineRule="auto"/>
        <w:rPr>
          <w:rFonts w:ascii="Arial" w:hAnsi="Arial" w:cs="Arial"/>
          <w:sz w:val="24"/>
          <w:szCs w:val="24"/>
        </w:rPr>
      </w:pPr>
      <w:r w:rsidRPr="005329FA">
        <w:rPr>
          <w:rFonts w:ascii="Arial" w:hAnsi="Arial" w:cs="Arial"/>
          <w:sz w:val="24"/>
          <w:szCs w:val="24"/>
        </w:rPr>
        <w:t xml:space="preserve">Using Authentication Header helps ensure interoperability within the worldwide Internet and eliminates a significant class of network attacks, including host masquerading attacks.  Using source routing with IPV6, the authentication header becomes important because of the known risks in IP source routing. The upper-layer services and protocols </w:t>
      </w:r>
      <w:r w:rsidRPr="005329FA">
        <w:rPr>
          <w:rFonts w:ascii="Arial" w:hAnsi="Arial" w:cs="Arial"/>
          <w:sz w:val="24"/>
          <w:szCs w:val="24"/>
        </w:rPr>
        <w:lastRenderedPageBreak/>
        <w:t xml:space="preserve">lack meaningful protection, however the placement of the header at the internet layer helps provide host origin authentication as stated on Oracle’s guide </w:t>
      </w:r>
      <w:sdt>
        <w:sdtPr>
          <w:rPr>
            <w:rFonts w:ascii="Arial" w:hAnsi="Arial" w:cs="Arial"/>
            <w:sz w:val="24"/>
            <w:szCs w:val="24"/>
          </w:rPr>
          <w:id w:val="-1884172945"/>
          <w:citation/>
        </w:sdtPr>
        <w:sdtEndPr/>
        <w:sdtContent>
          <w:r w:rsidRPr="005329FA">
            <w:rPr>
              <w:rFonts w:ascii="Arial" w:hAnsi="Arial" w:cs="Arial"/>
              <w:sz w:val="24"/>
              <w:szCs w:val="24"/>
            </w:rPr>
            <w:fldChar w:fldCharType="begin"/>
          </w:r>
          <w:r w:rsidRPr="005329FA">
            <w:rPr>
              <w:rFonts w:ascii="Arial" w:hAnsi="Arial" w:cs="Arial"/>
              <w:sz w:val="24"/>
              <w:szCs w:val="24"/>
            </w:rPr>
            <w:instrText xml:space="preserve"> CITATION htt196 \l 2057 </w:instrText>
          </w:r>
          <w:r w:rsidRPr="005329FA">
            <w:rPr>
              <w:rFonts w:ascii="Arial" w:hAnsi="Arial" w:cs="Arial"/>
              <w:sz w:val="24"/>
              <w:szCs w:val="24"/>
            </w:rPr>
            <w:fldChar w:fldCharType="separate"/>
          </w:r>
          <w:r w:rsidRPr="00305F5C">
            <w:rPr>
              <w:rFonts w:ascii="Arial" w:hAnsi="Arial" w:cs="Arial"/>
              <w:noProof/>
              <w:sz w:val="24"/>
              <w:szCs w:val="24"/>
            </w:rPr>
            <w:t>[7]</w:t>
          </w:r>
          <w:r w:rsidRPr="005329FA">
            <w:rPr>
              <w:rFonts w:ascii="Arial" w:hAnsi="Arial" w:cs="Arial"/>
              <w:sz w:val="24"/>
              <w:szCs w:val="24"/>
            </w:rPr>
            <w:fldChar w:fldCharType="end"/>
          </w:r>
        </w:sdtContent>
      </w:sdt>
      <w:r w:rsidRPr="005329FA">
        <w:rPr>
          <w:rFonts w:ascii="Arial" w:hAnsi="Arial" w:cs="Arial"/>
          <w:sz w:val="24"/>
          <w:szCs w:val="24"/>
        </w:rPr>
        <w:t>.</w:t>
      </w:r>
    </w:p>
    <w:p w14:paraId="6D9DEB8D" w14:textId="77777777" w:rsidR="004B0052" w:rsidRPr="005329FA" w:rsidRDefault="004B0052" w:rsidP="00FC107C">
      <w:pPr>
        <w:spacing w:line="360" w:lineRule="auto"/>
        <w:rPr>
          <w:rFonts w:ascii="Arial" w:hAnsi="Arial" w:cs="Arial"/>
          <w:sz w:val="24"/>
          <w:szCs w:val="24"/>
        </w:rPr>
      </w:pPr>
      <w:r w:rsidRPr="005329FA">
        <w:rPr>
          <w:rFonts w:ascii="Arial" w:hAnsi="Arial" w:cs="Arial"/>
          <w:sz w:val="24"/>
          <w:szCs w:val="24"/>
        </w:rPr>
        <w:t>Oracle</w:t>
      </w:r>
      <w:r>
        <w:rPr>
          <w:rFonts w:ascii="Arial" w:hAnsi="Arial" w:cs="Arial"/>
          <w:sz w:val="24"/>
          <w:szCs w:val="24"/>
        </w:rPr>
        <w:t xml:space="preserve"> </w:t>
      </w:r>
      <w:sdt>
        <w:sdtPr>
          <w:rPr>
            <w:rFonts w:ascii="Arial" w:hAnsi="Arial" w:cs="Arial"/>
            <w:sz w:val="24"/>
            <w:szCs w:val="24"/>
          </w:rPr>
          <w:id w:val="1723479766"/>
          <w:citation/>
        </w:sdtPr>
        <w:sdtEndPr/>
        <w:sdtContent>
          <w:r w:rsidRPr="005329FA">
            <w:rPr>
              <w:rFonts w:ascii="Arial" w:hAnsi="Arial" w:cs="Arial"/>
              <w:sz w:val="24"/>
              <w:szCs w:val="24"/>
            </w:rPr>
            <w:fldChar w:fldCharType="begin"/>
          </w:r>
          <w:r w:rsidRPr="005329FA">
            <w:rPr>
              <w:rFonts w:ascii="Arial" w:hAnsi="Arial" w:cs="Arial"/>
              <w:sz w:val="24"/>
              <w:szCs w:val="24"/>
            </w:rPr>
            <w:instrText xml:space="preserve"> CITATION htt196 \l 2057 </w:instrText>
          </w:r>
          <w:r w:rsidRPr="005329FA">
            <w:rPr>
              <w:rFonts w:ascii="Arial" w:hAnsi="Arial" w:cs="Arial"/>
              <w:sz w:val="24"/>
              <w:szCs w:val="24"/>
            </w:rPr>
            <w:fldChar w:fldCharType="separate"/>
          </w:r>
          <w:r w:rsidRPr="00305F5C">
            <w:rPr>
              <w:rFonts w:ascii="Arial" w:hAnsi="Arial" w:cs="Arial"/>
              <w:noProof/>
              <w:sz w:val="24"/>
              <w:szCs w:val="24"/>
            </w:rPr>
            <w:t>[7]</w:t>
          </w:r>
          <w:r w:rsidRPr="005329FA">
            <w:rPr>
              <w:rFonts w:ascii="Arial" w:hAnsi="Arial" w:cs="Arial"/>
              <w:sz w:val="24"/>
              <w:szCs w:val="24"/>
            </w:rPr>
            <w:fldChar w:fldCharType="end"/>
          </w:r>
        </w:sdtContent>
      </w:sdt>
      <w:r w:rsidRPr="005329FA">
        <w:rPr>
          <w:rFonts w:ascii="Arial" w:hAnsi="Arial" w:cs="Arial"/>
          <w:sz w:val="24"/>
          <w:szCs w:val="24"/>
        </w:rPr>
        <w:t xml:space="preserve"> states that the second security service option offered by IPV6 is called Encapsulating Security Payload (ESP). Encapsulating Security Payload provides integrity and confidentiality to IPv6 datagrams and it’s simpler than some similar security protocols, ESP remains flexible and is algorithm independent. Similar security protocols include SP3D and ISO NLSP.</w:t>
      </w:r>
    </w:p>
    <w:p w14:paraId="5E626F7D" w14:textId="77777777" w:rsidR="004B0052" w:rsidRPr="0083359C" w:rsidRDefault="004B0052" w:rsidP="00FC107C">
      <w:pPr>
        <w:pStyle w:val="NormalWeb"/>
        <w:spacing w:line="360" w:lineRule="auto"/>
        <w:rPr>
          <w:rFonts w:ascii="Arial" w:hAnsi="Arial" w:cs="Arial"/>
          <w:sz w:val="28"/>
          <w:szCs w:val="24"/>
        </w:rPr>
      </w:pPr>
      <w:r w:rsidRPr="0083359C">
        <w:rPr>
          <w:rFonts w:ascii="Arial" w:hAnsi="Arial" w:cs="Arial"/>
          <w:sz w:val="28"/>
          <w:szCs w:val="24"/>
        </w:rPr>
        <w:t>Auto-Configuration</w:t>
      </w:r>
    </w:p>
    <w:p w14:paraId="015C0494" w14:textId="77777777" w:rsidR="004B0052" w:rsidRDefault="004B0052" w:rsidP="00FC107C">
      <w:pPr>
        <w:pStyle w:val="NormalWeb"/>
        <w:spacing w:line="360" w:lineRule="auto"/>
        <w:rPr>
          <w:rFonts w:ascii="Arial" w:hAnsi="Arial" w:cs="Arial"/>
        </w:rPr>
      </w:pPr>
      <w:r>
        <w:rPr>
          <w:rFonts w:ascii="Arial" w:hAnsi="Arial" w:cs="Arial"/>
        </w:rPr>
        <w:t xml:space="preserve">Host configuration is simplified on IPV6 as it autoconfigures its interfaces in IPV6. A link-local is created as part of the autoconfiguration as discussed by Oracle </w:t>
      </w:r>
      <w:sdt>
        <w:sdtPr>
          <w:rPr>
            <w:rFonts w:ascii="Arial" w:hAnsi="Arial" w:cs="Arial"/>
          </w:rPr>
          <w:id w:val="561529876"/>
          <w:citation/>
        </w:sdtPr>
        <w:sdtEndPr/>
        <w:sdtContent>
          <w:r>
            <w:rPr>
              <w:rFonts w:ascii="Arial" w:hAnsi="Arial" w:cs="Arial"/>
            </w:rPr>
            <w:fldChar w:fldCharType="begin"/>
          </w:r>
          <w:r>
            <w:rPr>
              <w:rFonts w:ascii="Arial" w:hAnsi="Arial" w:cs="Arial"/>
            </w:rPr>
            <w:instrText xml:space="preserve"> CITATION Ora19 \l 2057 </w:instrText>
          </w:r>
          <w:r>
            <w:rPr>
              <w:rFonts w:ascii="Arial" w:hAnsi="Arial" w:cs="Arial"/>
            </w:rPr>
            <w:fldChar w:fldCharType="separate"/>
          </w:r>
          <w:r w:rsidRPr="00305F5C">
            <w:rPr>
              <w:rFonts w:ascii="Arial" w:hAnsi="Arial" w:cs="Arial"/>
              <w:noProof/>
            </w:rPr>
            <w:t>[8]</w:t>
          </w:r>
          <w:r>
            <w:rPr>
              <w:rFonts w:ascii="Arial" w:hAnsi="Arial" w:cs="Arial"/>
            </w:rPr>
            <w:fldChar w:fldCharType="end"/>
          </w:r>
        </w:sdtContent>
      </w:sdt>
      <w:r>
        <w:rPr>
          <w:rFonts w:ascii="Arial" w:hAnsi="Arial" w:cs="Arial"/>
        </w:rPr>
        <w:t xml:space="preserve">. </w:t>
      </w:r>
    </w:p>
    <w:p w14:paraId="42284009" w14:textId="77777777" w:rsidR="004B0052" w:rsidRDefault="004B0052" w:rsidP="00FC107C">
      <w:pPr>
        <w:pStyle w:val="NormalWeb"/>
        <w:spacing w:line="360" w:lineRule="auto"/>
        <w:rPr>
          <w:rFonts w:ascii="Arial" w:hAnsi="Arial" w:cs="Arial"/>
        </w:rPr>
      </w:pPr>
      <w:r>
        <w:rPr>
          <w:rFonts w:ascii="Arial" w:hAnsi="Arial" w:cs="Arial"/>
        </w:rPr>
        <w:t>Oracle quotes on</w:t>
      </w:r>
      <w:r w:rsidRPr="007376A6">
        <w:t xml:space="preserve"> </w:t>
      </w:r>
      <w:r w:rsidRPr="007376A6">
        <w:rPr>
          <w:rFonts w:ascii="Arial" w:hAnsi="Arial" w:cs="Arial"/>
        </w:rPr>
        <w:t>Stateless Address Autoconfiguration</w:t>
      </w:r>
      <w:sdt>
        <w:sdtPr>
          <w:rPr>
            <w:rFonts w:ascii="Arial" w:hAnsi="Arial" w:cs="Arial"/>
          </w:rPr>
          <w:id w:val="94064409"/>
          <w:citation/>
        </w:sdtPr>
        <w:sdtEndPr/>
        <w:sdtContent>
          <w:r>
            <w:rPr>
              <w:rFonts w:ascii="Arial" w:hAnsi="Arial" w:cs="Arial"/>
            </w:rPr>
            <w:fldChar w:fldCharType="begin"/>
          </w:r>
          <w:r>
            <w:rPr>
              <w:rFonts w:ascii="Arial" w:hAnsi="Arial" w:cs="Arial"/>
            </w:rPr>
            <w:instrText xml:space="preserve"> CITATION Ora19 \l 2057 </w:instrText>
          </w:r>
          <w:r>
            <w:rPr>
              <w:rFonts w:ascii="Arial" w:hAnsi="Arial" w:cs="Arial"/>
            </w:rPr>
            <w:fldChar w:fldCharType="separate"/>
          </w:r>
          <w:r>
            <w:rPr>
              <w:rFonts w:ascii="Arial" w:hAnsi="Arial" w:cs="Arial"/>
              <w:noProof/>
            </w:rPr>
            <w:t xml:space="preserve"> </w:t>
          </w:r>
          <w:r w:rsidRPr="00305F5C">
            <w:rPr>
              <w:rFonts w:ascii="Arial" w:hAnsi="Arial" w:cs="Arial"/>
              <w:noProof/>
            </w:rPr>
            <w:t>[8]</w:t>
          </w:r>
          <w:r>
            <w:rPr>
              <w:rFonts w:ascii="Arial" w:hAnsi="Arial" w:cs="Arial"/>
            </w:rPr>
            <w:fldChar w:fldCharType="end"/>
          </w:r>
        </w:sdtContent>
      </w:sdt>
      <w:r>
        <w:rPr>
          <w:rFonts w:ascii="Arial" w:hAnsi="Arial" w:cs="Arial"/>
        </w:rPr>
        <w:t xml:space="preserve"> :</w:t>
      </w:r>
    </w:p>
    <w:p w14:paraId="1D2D81CC" w14:textId="77777777" w:rsidR="004B0052" w:rsidRPr="00305F5C" w:rsidRDefault="004B0052" w:rsidP="00FC107C">
      <w:pPr>
        <w:pStyle w:val="NormalWeb"/>
        <w:spacing w:line="360" w:lineRule="auto"/>
        <w:ind w:left="720"/>
        <w:rPr>
          <w:rFonts w:ascii="Arial" w:hAnsi="Arial" w:cs="Arial"/>
        </w:rPr>
      </w:pPr>
      <w:r w:rsidRPr="00305F5C">
        <w:rPr>
          <w:rFonts w:ascii="Arial" w:hAnsi="Arial" w:cs="Arial"/>
        </w:rPr>
        <w:t>“The autoconfiguration process verifies its uniqueness on a link. The process also determines which information should be autoconfigured, addresses, other information, or both. The process determines if the addresses should be obtained through the stateless mechanism, the stateful mechanism, or both mechanisms.”</w:t>
      </w:r>
    </w:p>
    <w:p w14:paraId="75D93CF5" w14:textId="77777777" w:rsidR="004B0052" w:rsidRDefault="004B0052" w:rsidP="00FC107C">
      <w:pPr>
        <w:pStyle w:val="NormalWeb"/>
        <w:spacing w:line="360" w:lineRule="auto"/>
        <w:rPr>
          <w:rFonts w:ascii="Arial" w:hAnsi="Arial" w:cs="Arial"/>
        </w:rPr>
      </w:pPr>
      <w:r>
        <w:rPr>
          <w:rFonts w:ascii="Arial" w:hAnsi="Arial" w:cs="Arial"/>
        </w:rPr>
        <w:t xml:space="preserve">For more detailed explanation, please see Oracle full page </w:t>
      </w:r>
      <w:sdt>
        <w:sdtPr>
          <w:rPr>
            <w:rFonts w:ascii="Arial" w:hAnsi="Arial" w:cs="Arial"/>
          </w:rPr>
          <w:id w:val="-739866302"/>
          <w:citation/>
        </w:sdtPr>
        <w:sdtEndPr/>
        <w:sdtContent>
          <w:r>
            <w:rPr>
              <w:rFonts w:ascii="Arial" w:hAnsi="Arial" w:cs="Arial"/>
            </w:rPr>
            <w:fldChar w:fldCharType="begin"/>
          </w:r>
          <w:r>
            <w:rPr>
              <w:rFonts w:ascii="Arial" w:hAnsi="Arial" w:cs="Arial"/>
            </w:rPr>
            <w:instrText xml:space="preserve"> CITATION Ora19 \l 2057 </w:instrText>
          </w:r>
          <w:r>
            <w:rPr>
              <w:rFonts w:ascii="Arial" w:hAnsi="Arial" w:cs="Arial"/>
            </w:rPr>
            <w:fldChar w:fldCharType="separate"/>
          </w:r>
          <w:r w:rsidRPr="00305F5C">
            <w:rPr>
              <w:rFonts w:ascii="Arial" w:hAnsi="Arial" w:cs="Arial"/>
              <w:noProof/>
            </w:rPr>
            <w:t>[8]</w:t>
          </w:r>
          <w:r>
            <w:rPr>
              <w:rFonts w:ascii="Arial" w:hAnsi="Arial" w:cs="Arial"/>
            </w:rPr>
            <w:fldChar w:fldCharType="end"/>
          </w:r>
        </w:sdtContent>
      </w:sdt>
      <w:r>
        <w:rPr>
          <w:rFonts w:ascii="Arial" w:hAnsi="Arial" w:cs="Arial"/>
        </w:rPr>
        <w:t>.</w:t>
      </w:r>
    </w:p>
    <w:p w14:paraId="2A0478A5" w14:textId="77777777" w:rsidR="004B0052" w:rsidRPr="005329FA" w:rsidRDefault="004B0052" w:rsidP="004B0052">
      <w:pPr>
        <w:pStyle w:val="NormalWeb"/>
        <w:spacing w:line="360" w:lineRule="auto"/>
        <w:rPr>
          <w:rFonts w:ascii="Arial" w:hAnsi="Arial" w:cs="Arial"/>
        </w:rPr>
      </w:pPr>
    </w:p>
    <w:p w14:paraId="08950C50" w14:textId="77777777" w:rsidR="004B0052" w:rsidRDefault="004B0052" w:rsidP="004B0052">
      <w:pPr>
        <w:spacing w:line="360" w:lineRule="auto"/>
        <w:rPr>
          <w:rFonts w:ascii="Arial" w:hAnsi="Arial" w:cs="Arial"/>
          <w:sz w:val="24"/>
          <w:szCs w:val="24"/>
        </w:rPr>
      </w:pPr>
      <w:r>
        <w:rPr>
          <w:rFonts w:ascii="Arial" w:hAnsi="Arial" w:cs="Arial"/>
          <w:sz w:val="24"/>
          <w:szCs w:val="24"/>
        </w:rPr>
        <w:br w:type="page"/>
      </w:r>
    </w:p>
    <w:sdt>
      <w:sdtPr>
        <w:rPr>
          <w:rFonts w:ascii="Times New Roman" w:eastAsia="Times New Roman" w:hAnsi="Times New Roman" w:cs="Times New Roman"/>
          <w:sz w:val="20"/>
          <w:szCs w:val="20"/>
          <w:lang w:eastAsia="en-GB"/>
        </w:rPr>
        <w:id w:val="753557221"/>
        <w:docPartObj>
          <w:docPartGallery w:val="Bibliographies"/>
          <w:docPartUnique/>
        </w:docPartObj>
      </w:sdtPr>
      <w:sdtEndPr>
        <w:rPr>
          <w:rFonts w:asciiTheme="minorHAnsi" w:eastAsiaTheme="minorEastAsia" w:hAnsiTheme="minorHAnsi" w:cstheme="minorBidi"/>
          <w:sz w:val="22"/>
          <w:szCs w:val="22"/>
          <w:lang w:eastAsia="en-US"/>
        </w:rPr>
      </w:sdtEndPr>
      <w:sdtContent>
        <w:p w14:paraId="1FBA40DF" w14:textId="77777777" w:rsidR="00B938C9" w:rsidRDefault="004B0052" w:rsidP="004B0052">
          <w:pPr>
            <w:spacing w:line="360" w:lineRule="auto"/>
            <w:rPr>
              <w:rFonts w:ascii="Arial" w:hAnsi="Arial" w:cs="Arial"/>
              <w:sz w:val="24"/>
              <w:szCs w:val="24"/>
            </w:rPr>
          </w:pPr>
          <w:r w:rsidRPr="00B938C9">
            <w:rPr>
              <w:rFonts w:ascii="Arial" w:hAnsi="Arial" w:cs="Arial"/>
              <w:sz w:val="24"/>
              <w:szCs w:val="24"/>
            </w:rPr>
            <w:t>References</w:t>
          </w:r>
        </w:p>
        <w:sdt>
          <w:sdtPr>
            <w:rPr>
              <w:rFonts w:ascii="Arial" w:eastAsiaTheme="minorEastAsia" w:hAnsi="Arial" w:cs="Arial"/>
              <w:color w:val="auto"/>
              <w:sz w:val="24"/>
              <w:szCs w:val="24"/>
            </w:rPr>
            <w:id w:val="-573587230"/>
            <w:bibliography/>
          </w:sdtPr>
          <w:sdtEndPr/>
          <w:sdtContent>
            <w:p w14:paraId="17EFC159" w14:textId="645EB107" w:rsidR="004B0052" w:rsidRPr="00B938C9" w:rsidRDefault="004B0052" w:rsidP="00B938C9">
              <w:pPr>
                <w:pStyle w:val="Heading1"/>
                <w:spacing w:line="360" w:lineRule="auto"/>
                <w:rPr>
                  <w:rFonts w:ascii="Arial" w:eastAsiaTheme="minorHAnsi" w:hAnsi="Arial" w:cs="Arial"/>
                  <w:noProof/>
                  <w:sz w:val="24"/>
                  <w:szCs w:val="24"/>
                </w:rPr>
              </w:pPr>
              <w:r w:rsidRPr="00B938C9">
                <w:rPr>
                  <w:rFonts w:ascii="Arial" w:hAnsi="Arial" w:cs="Arial"/>
                  <w:sz w:val="24"/>
                  <w:szCs w:val="24"/>
                </w:rPr>
                <w:fldChar w:fldCharType="begin"/>
              </w:r>
              <w:r w:rsidRPr="00B938C9">
                <w:rPr>
                  <w:rFonts w:ascii="Arial" w:hAnsi="Arial" w:cs="Arial"/>
                  <w:sz w:val="24"/>
                  <w:szCs w:val="24"/>
                </w:rPr>
                <w:instrText xml:space="preserve"> BIBLIOGRAPHY </w:instrText>
              </w:r>
              <w:r w:rsidRPr="00B938C9">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108"/>
              </w:tblGrid>
              <w:tr w:rsidR="004B0052" w:rsidRPr="00B938C9" w14:paraId="66D38DE7" w14:textId="77777777" w:rsidTr="00B41CFB">
                <w:trPr>
                  <w:tblCellSpacing w:w="15" w:type="dxa"/>
                </w:trPr>
                <w:tc>
                  <w:tcPr>
                    <w:tcW w:w="50" w:type="pct"/>
                    <w:hideMark/>
                  </w:tcPr>
                  <w:p w14:paraId="63D92E00"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[1] </w:t>
                    </w:r>
                  </w:p>
                </w:tc>
                <w:tc>
                  <w:tcPr>
                    <w:tcW w:w="0" w:type="auto"/>
                    <w:hideMark/>
                  </w:tcPr>
                  <w:p w14:paraId="1DC69875"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K. Shaw, "What is IPv6, and why aren’t we there yet?," 27 September 2018. [Online]. Available: https://www.networkworld.com/article/3254575/what-is-ipv6-and-why-aren-t-we-there-yet.html. [Accessed 7 December 2019].</w:t>
                    </w:r>
                  </w:p>
                </w:tc>
              </w:tr>
              <w:tr w:rsidR="004B0052" w:rsidRPr="00B938C9" w14:paraId="5BEFFDA9" w14:textId="77777777" w:rsidTr="00B41CFB">
                <w:trPr>
                  <w:tblCellSpacing w:w="15" w:type="dxa"/>
                </w:trPr>
                <w:tc>
                  <w:tcPr>
                    <w:tcW w:w="50" w:type="pct"/>
                    <w:hideMark/>
                  </w:tcPr>
                  <w:p w14:paraId="5CF7C91B"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[2] </w:t>
                    </w:r>
                  </w:p>
                </w:tc>
                <w:tc>
                  <w:tcPr>
                    <w:tcW w:w="0" w:type="auto"/>
                    <w:hideMark/>
                  </w:tcPr>
                  <w:p w14:paraId="28EB0A1F"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Tutorials Web, "Ipv6 : Basics, Needs, Embedding Mac Address In Ipv6, &amp; Others," [Online]. Available: https://www.tutorialsweb.com/ipv6/IPv6-Tut-1.htm#four. [Accessed 10 December 2019].</w:t>
                    </w:r>
                  </w:p>
                </w:tc>
              </w:tr>
              <w:tr w:rsidR="004B0052" w:rsidRPr="00B938C9" w14:paraId="24280134" w14:textId="77777777" w:rsidTr="00B41CFB">
                <w:trPr>
                  <w:tblCellSpacing w:w="15" w:type="dxa"/>
                </w:trPr>
                <w:tc>
                  <w:tcPr>
                    <w:tcW w:w="50" w:type="pct"/>
                    <w:hideMark/>
                  </w:tcPr>
                  <w:p w14:paraId="20E3114A"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[3] </w:t>
                    </w:r>
                  </w:p>
                </w:tc>
                <w:tc>
                  <w:tcPr>
                    <w:tcW w:w="0" w:type="auto"/>
                    <w:hideMark/>
                  </w:tcPr>
                  <w:p w14:paraId="421B1601"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Tutorials Point, "IPv6 - Subnetting," [Online]. Available: https://www.tutorialspoint.com/ipv6/ipv6_subnetting.htm. [Accessed 10 December 2019].</w:t>
                    </w:r>
                  </w:p>
                </w:tc>
              </w:tr>
              <w:tr w:rsidR="004B0052" w:rsidRPr="00B938C9" w14:paraId="42565ABA" w14:textId="77777777" w:rsidTr="00B41CFB">
                <w:trPr>
                  <w:tblCellSpacing w:w="15" w:type="dxa"/>
                </w:trPr>
                <w:tc>
                  <w:tcPr>
                    <w:tcW w:w="50" w:type="pct"/>
                    <w:hideMark/>
                  </w:tcPr>
                  <w:p w14:paraId="2DC2DD64"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[4] </w:t>
                    </w:r>
                  </w:p>
                </w:tc>
                <w:tc>
                  <w:tcPr>
                    <w:tcW w:w="0" w:type="auto"/>
                    <w:hideMark/>
                  </w:tcPr>
                  <w:p w14:paraId="27B41355"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Oracle, "IPv6 Addressing," [Online]. Available: https://docs.oracle.com/cd/E23823_01/html/816-4554/ipv6-overview-10.html#ipv6-overview-190. [Accessed 11 December 2019].</w:t>
                    </w:r>
                  </w:p>
                </w:tc>
              </w:tr>
              <w:tr w:rsidR="004B0052" w:rsidRPr="00B938C9" w14:paraId="6E872180" w14:textId="77777777" w:rsidTr="00B41CFB">
                <w:trPr>
                  <w:tblCellSpacing w:w="15" w:type="dxa"/>
                </w:trPr>
                <w:tc>
                  <w:tcPr>
                    <w:tcW w:w="50" w:type="pct"/>
                    <w:hideMark/>
                  </w:tcPr>
                  <w:p w14:paraId="05E369EA"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[5] </w:t>
                    </w:r>
                  </w:p>
                </w:tc>
                <w:tc>
                  <w:tcPr>
                    <w:tcW w:w="0" w:type="auto"/>
                    <w:hideMark/>
                  </w:tcPr>
                  <w:p w14:paraId="0062EF68"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Oracle, "IPv6 Header and Extensions," [Online]. Available: https://docs.oracle.com/cd/E19683-01/817-0573/6mgc65bb3/index.html. [Accessed 11 December 2019].</w:t>
                    </w:r>
                  </w:p>
                </w:tc>
              </w:tr>
              <w:tr w:rsidR="004B0052" w:rsidRPr="00B938C9" w14:paraId="58502E40" w14:textId="77777777" w:rsidTr="00B41CFB">
                <w:trPr>
                  <w:tblCellSpacing w:w="15" w:type="dxa"/>
                </w:trPr>
                <w:tc>
                  <w:tcPr>
                    <w:tcW w:w="50" w:type="pct"/>
                    <w:hideMark/>
                  </w:tcPr>
                  <w:p w14:paraId="511D1899"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[6] </w:t>
                    </w:r>
                  </w:p>
                </w:tc>
                <w:tc>
                  <w:tcPr>
                    <w:tcW w:w="0" w:type="auto"/>
                    <w:hideMark/>
                  </w:tcPr>
                  <w:p w14:paraId="6445796D"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https://docs.oracle.com, "IPv6 Mobility Support," [Online]. Available: https://docs.oracle.com/cd/E19683-01/817-0573/6mgc65bb8/index.html. [Accessed 8 December 2019].</w:t>
                    </w:r>
                  </w:p>
                </w:tc>
              </w:tr>
              <w:tr w:rsidR="004B0052" w:rsidRPr="00B938C9" w14:paraId="24927C5A" w14:textId="77777777" w:rsidTr="00B41CFB">
                <w:trPr>
                  <w:tblCellSpacing w:w="15" w:type="dxa"/>
                </w:trPr>
                <w:tc>
                  <w:tcPr>
                    <w:tcW w:w="50" w:type="pct"/>
                    <w:hideMark/>
                  </w:tcPr>
                  <w:p w14:paraId="170B3D6C"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[7] </w:t>
                    </w:r>
                  </w:p>
                </w:tc>
                <w:tc>
                  <w:tcPr>
                    <w:tcW w:w="0" w:type="auto"/>
                    <w:hideMark/>
                  </w:tcPr>
                  <w:p w14:paraId="2540087D"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https://docs.oracle.com/, "IPv6 Security Improvements," [Online]. Available: https://docs.oracle.com/cd/E19683-01/817-0573/6mgc65bba/index.html. [Accessed 8 December 2019].</w:t>
                    </w:r>
                  </w:p>
                </w:tc>
              </w:tr>
              <w:tr w:rsidR="004B0052" w:rsidRPr="00B938C9" w14:paraId="130FEB6C" w14:textId="77777777" w:rsidTr="00B41CFB">
                <w:trPr>
                  <w:tblCellSpacing w:w="15" w:type="dxa"/>
                </w:trPr>
                <w:tc>
                  <w:tcPr>
                    <w:tcW w:w="50" w:type="pct"/>
                    <w:hideMark/>
                  </w:tcPr>
                  <w:p w14:paraId="22B9537A"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[8] </w:t>
                    </w:r>
                  </w:p>
                </w:tc>
                <w:tc>
                  <w:tcPr>
                    <w:tcW w:w="0" w:type="auto"/>
                    <w:hideMark/>
                  </w:tcPr>
                  <w:p w14:paraId="3AC42D70" w14:textId="77777777" w:rsidR="004B0052" w:rsidRPr="00B938C9" w:rsidRDefault="004B0052" w:rsidP="00B41CFB">
                    <w:pPr>
                      <w:pStyle w:val="Bibliography"/>
                      <w:spacing w:line="360" w:lineRule="auto"/>
                      <w:rPr>
                        <w:rFonts w:ascii="Arial" w:hAnsi="Arial" w:cs="Arial"/>
                        <w:noProof/>
                        <w:sz w:val="24"/>
                        <w:szCs w:val="24"/>
                        <w:lang w:val="en-US"/>
                      </w:rPr>
                    </w:pPr>
                    <w:r w:rsidRPr="00B938C9">
                      <w:rPr>
                        <w:rFonts w:ascii="Arial" w:hAnsi="Arial" w:cs="Arial"/>
                        <w:noProof/>
                        <w:sz w:val="24"/>
                        <w:szCs w:val="24"/>
                        <w:lang w:val="en-US"/>
                      </w:rPr>
                      <w:t xml:space="preserve">Oracle, "IPv6 Stateless Address Autoconfiguration," [Online]. Available: https://docs.oracle.com/cd/E19683-01/817-0573/6mgc65bb7/index.html. [Accessed </w:t>
                    </w:r>
                    <w:r w:rsidRPr="00B938C9">
                      <w:rPr>
                        <w:rFonts w:ascii="Arial" w:hAnsi="Arial" w:cs="Arial"/>
                        <w:noProof/>
                        <w:sz w:val="24"/>
                        <w:szCs w:val="24"/>
                        <w:lang w:val="en-US"/>
                      </w:rPr>
                      <w:lastRenderedPageBreak/>
                      <w:t>11 December 2019].</w:t>
                    </w:r>
                  </w:p>
                </w:tc>
              </w:tr>
            </w:tbl>
            <w:p w14:paraId="64C73785" w14:textId="77777777" w:rsidR="004B0052" w:rsidRPr="00B938C9" w:rsidRDefault="004B0052" w:rsidP="004B0052">
              <w:pPr>
                <w:spacing w:line="360" w:lineRule="auto"/>
                <w:rPr>
                  <w:rFonts w:ascii="Arial" w:hAnsi="Arial" w:cs="Arial"/>
                  <w:noProof/>
                  <w:sz w:val="24"/>
                  <w:szCs w:val="24"/>
                </w:rPr>
              </w:pPr>
            </w:p>
            <w:p w14:paraId="49A9C661" w14:textId="77777777" w:rsidR="004B0052" w:rsidRDefault="004B0052" w:rsidP="004B0052">
              <w:pPr>
                <w:spacing w:line="360" w:lineRule="auto"/>
              </w:pPr>
              <w:r w:rsidRPr="00B938C9">
                <w:rPr>
                  <w:rFonts w:ascii="Arial" w:hAnsi="Arial" w:cs="Arial"/>
                  <w:b/>
                  <w:bCs/>
                  <w:noProof/>
                  <w:sz w:val="24"/>
                  <w:szCs w:val="24"/>
                </w:rPr>
                <w:fldChar w:fldCharType="end"/>
              </w:r>
            </w:p>
          </w:sdtContent>
        </w:sdt>
      </w:sdtContent>
    </w:sdt>
    <w:p w14:paraId="112C41A5" w14:textId="77777777" w:rsidR="004B0052" w:rsidRDefault="004B0052" w:rsidP="004B0052">
      <w:pPr>
        <w:spacing w:line="360" w:lineRule="auto"/>
        <w:rPr>
          <w:rFonts w:ascii="Arial" w:hAnsi="Arial" w:cs="Arial"/>
          <w:sz w:val="24"/>
          <w:szCs w:val="24"/>
        </w:rPr>
      </w:pPr>
    </w:p>
    <w:p w14:paraId="441B4ED0" w14:textId="6BB7268E" w:rsidR="00C3390A" w:rsidRDefault="00C3390A" w:rsidP="00C3390A">
      <w:pPr>
        <w:spacing w:after="200" w:line="276" w:lineRule="auto"/>
      </w:pPr>
      <w:bookmarkStart w:id="14" w:name="_GoBack"/>
      <w:bookmarkEnd w:id="14"/>
    </w:p>
    <w:p w14:paraId="762C87D8" w14:textId="77777777" w:rsidR="00C3390A" w:rsidRPr="003A2D34" w:rsidRDefault="00C3390A" w:rsidP="00984188"/>
    <w:p w14:paraId="46804FC5" w14:textId="5F7CB255" w:rsidR="006D5DA8" w:rsidRPr="004A1148" w:rsidRDefault="006D5DA8" w:rsidP="00771EE2">
      <w:pPr>
        <w:rPr>
          <w:rFonts w:ascii="Arial" w:hAnsi="Arial" w:cs="Arial"/>
          <w:b/>
          <w:sz w:val="32"/>
          <w:u w:val="single"/>
        </w:rPr>
      </w:pPr>
    </w:p>
    <w:sectPr w:rsidR="006D5DA8" w:rsidRPr="004A1148" w:rsidSect="00AD7CA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71EA7" w14:textId="77777777" w:rsidR="009C7977" w:rsidRDefault="009C7977">
      <w:r>
        <w:separator/>
      </w:r>
    </w:p>
  </w:endnote>
  <w:endnote w:type="continuationSeparator" w:id="0">
    <w:p w14:paraId="1148BCA4" w14:textId="77777777" w:rsidR="009C7977" w:rsidRDefault="009C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3D3FA" w14:textId="77777777" w:rsidR="009C7977" w:rsidRDefault="009C7977">
      <w:r>
        <w:separator/>
      </w:r>
    </w:p>
  </w:footnote>
  <w:footnote w:type="continuationSeparator" w:id="0">
    <w:p w14:paraId="4B375A43" w14:textId="77777777" w:rsidR="009C7977" w:rsidRDefault="009C79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A236990"/>
    <w:multiLevelType w:val="multilevel"/>
    <w:tmpl w:val="2390D47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6"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AC131B8"/>
    <w:multiLevelType w:val="multilevel"/>
    <w:tmpl w:val="51FCC6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8"/>
  </w:num>
  <w:num w:numId="3">
    <w:abstractNumId w:val="14"/>
  </w:num>
  <w:num w:numId="4">
    <w:abstractNumId w:val="0"/>
  </w:num>
  <w:num w:numId="5">
    <w:abstractNumId w:val="1"/>
  </w:num>
  <w:num w:numId="6">
    <w:abstractNumId w:val="11"/>
  </w:num>
  <w:num w:numId="7">
    <w:abstractNumId w:val="2"/>
  </w:num>
  <w:num w:numId="8">
    <w:abstractNumId w:val="6"/>
  </w:num>
  <w:num w:numId="9">
    <w:abstractNumId w:val="6"/>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6"/>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6"/>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6"/>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2"/>
  </w:num>
  <w:num w:numId="14">
    <w:abstractNumId w:val="5"/>
  </w:num>
  <w:num w:numId="15">
    <w:abstractNumId w:val="16"/>
  </w:num>
  <w:num w:numId="16">
    <w:abstractNumId w:val="10"/>
  </w:num>
  <w:num w:numId="17">
    <w:abstractNumId w:val="6"/>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7"/>
  </w:num>
  <w:num w:numId="19">
    <w:abstractNumId w:val="15"/>
  </w:num>
  <w:num w:numId="20">
    <w:abstractNumId w:val="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263B"/>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3F34"/>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2502"/>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0052"/>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E2D2B"/>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359C"/>
    <w:rsid w:val="00835183"/>
    <w:rsid w:val="0083789E"/>
    <w:rsid w:val="008440C8"/>
    <w:rsid w:val="00847342"/>
    <w:rsid w:val="00847C8B"/>
    <w:rsid w:val="008509A4"/>
    <w:rsid w:val="008575DA"/>
    <w:rsid w:val="0086128A"/>
    <w:rsid w:val="00864BE5"/>
    <w:rsid w:val="00864EF8"/>
    <w:rsid w:val="00866FF5"/>
    <w:rsid w:val="00884733"/>
    <w:rsid w:val="00886030"/>
    <w:rsid w:val="00887D16"/>
    <w:rsid w:val="00887FCC"/>
    <w:rsid w:val="008923BB"/>
    <w:rsid w:val="00893D26"/>
    <w:rsid w:val="008A0E5F"/>
    <w:rsid w:val="008B02F5"/>
    <w:rsid w:val="008B43E7"/>
    <w:rsid w:val="008B653B"/>
    <w:rsid w:val="008B6AAE"/>
    <w:rsid w:val="008B7721"/>
    <w:rsid w:val="008C182C"/>
    <w:rsid w:val="008C7096"/>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4188"/>
    <w:rsid w:val="009871FF"/>
    <w:rsid w:val="009A1145"/>
    <w:rsid w:val="009A43AF"/>
    <w:rsid w:val="009B7D31"/>
    <w:rsid w:val="009C68DF"/>
    <w:rsid w:val="009C6E95"/>
    <w:rsid w:val="009C7977"/>
    <w:rsid w:val="009E11D1"/>
    <w:rsid w:val="009E183D"/>
    <w:rsid w:val="009E541B"/>
    <w:rsid w:val="009F0BE7"/>
    <w:rsid w:val="009F48B1"/>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38C9"/>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390A"/>
    <w:rsid w:val="00C3574B"/>
    <w:rsid w:val="00C37189"/>
    <w:rsid w:val="00C40BC6"/>
    <w:rsid w:val="00C431A6"/>
    <w:rsid w:val="00C46149"/>
    <w:rsid w:val="00C50DC2"/>
    <w:rsid w:val="00C519BA"/>
    <w:rsid w:val="00C66B33"/>
    <w:rsid w:val="00C754E5"/>
    <w:rsid w:val="00C75DF8"/>
    <w:rsid w:val="00C7673E"/>
    <w:rsid w:val="00C803C6"/>
    <w:rsid w:val="00C80527"/>
    <w:rsid w:val="00C82D8F"/>
    <w:rsid w:val="00C868FA"/>
    <w:rsid w:val="00C86B45"/>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02CE"/>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07C"/>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7">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B7D31"/>
  </w:style>
  <w:style w:type="paragraph" w:styleId="Heading1">
    <w:name w:val="heading 1"/>
    <w:basedOn w:val="Normal"/>
    <w:next w:val="Normal"/>
    <w:link w:val="Heading1Char"/>
    <w:uiPriority w:val="9"/>
    <w:qFormat/>
    <w:rsid w:val="009B7D31"/>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9B7D31"/>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unhideWhenUsed/>
    <w:qFormat/>
    <w:rsid w:val="009B7D31"/>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unhideWhenUsed/>
    <w:qFormat/>
    <w:rsid w:val="009B7D31"/>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9B7D31"/>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9B7D31"/>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9B7D31"/>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B7D31"/>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9B7D31"/>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lang w:val="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lang w:val="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lang w:val="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lang w:val="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34"/>
    <w:qFormat/>
    <w:rsid w:val="00AE2ACC"/>
    <w:pPr>
      <w:ind w:left="720"/>
      <w:contextualSpacing/>
    </w:pPr>
  </w:style>
  <w:style w:type="paragraph" w:customStyle="1" w:styleId="CMD">
    <w:name w:val="CMD"/>
    <w:basedOn w:val="Normal"/>
    <w:rsid w:val="007C4C48"/>
    <w:pPr>
      <w:spacing w:before="60" w:after="60"/>
      <w:ind w:left="720"/>
    </w:pPr>
    <w:rPr>
      <w:rFonts w:ascii="Courier New" w:eastAsia="Calibri" w:hAnsi="Courier New"/>
      <w:lang w:val="en-US"/>
    </w:rPr>
  </w:style>
  <w:style w:type="paragraph" w:customStyle="1" w:styleId="CMDOutput">
    <w:name w:val="CMD Output"/>
    <w:basedOn w:val="CMD"/>
    <w:rsid w:val="007C4C48"/>
    <w:rPr>
      <w:sz w:val="18"/>
    </w:rPr>
  </w:style>
  <w:style w:type="paragraph" w:customStyle="1" w:styleId="BodyTextL50">
    <w:name w:val="Body Text L50"/>
    <w:basedOn w:val="Normal"/>
    <w:rsid w:val="002237DA"/>
    <w:pPr>
      <w:spacing w:before="120" w:after="60"/>
      <w:ind w:left="720"/>
    </w:pPr>
    <w:rPr>
      <w:rFonts w:ascii="Arial" w:eastAsia="Calibri" w:hAnsi="Arial"/>
      <w:lang w:val="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iPriority w:val="35"/>
    <w:unhideWhenUsed/>
    <w:qFormat/>
    <w:rsid w:val="009B7D31"/>
    <w:pPr>
      <w:spacing w:after="200" w:line="240" w:lineRule="auto"/>
    </w:pPr>
    <w:rPr>
      <w:i/>
      <w:iCs/>
      <w:color w:val="1F497D" w:themeColor="text2"/>
      <w:sz w:val="18"/>
      <w:szCs w:val="18"/>
    </w:rPr>
  </w:style>
  <w:style w:type="paragraph" w:styleId="Bibliography">
    <w:name w:val="Bibliography"/>
    <w:basedOn w:val="Normal"/>
    <w:next w:val="Normal"/>
    <w:uiPriority w:val="37"/>
    <w:unhideWhenUsed/>
    <w:rsid w:val="00984188"/>
    <w:pPr>
      <w:spacing w:after="200" w:line="276" w:lineRule="auto"/>
    </w:pPr>
    <w:rPr>
      <w:rFonts w:eastAsiaTheme="minorHAnsi"/>
    </w:rPr>
  </w:style>
  <w:style w:type="character" w:customStyle="1" w:styleId="Heading1Char">
    <w:name w:val="Heading 1 Char"/>
    <w:basedOn w:val="DefaultParagraphFont"/>
    <w:link w:val="Heading1"/>
    <w:uiPriority w:val="9"/>
    <w:rsid w:val="009B7D31"/>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9B7D31"/>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rsid w:val="009B7D31"/>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rsid w:val="009B7D31"/>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9B7D31"/>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9B7D31"/>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9B7D3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B7D31"/>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9B7D31"/>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9B7D31"/>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9B7D31"/>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9B7D31"/>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9B7D31"/>
    <w:rPr>
      <w:color w:val="5A5A5A" w:themeColor="text1" w:themeTint="A5"/>
      <w:spacing w:val="15"/>
    </w:rPr>
  </w:style>
  <w:style w:type="character" w:styleId="Strong">
    <w:name w:val="Strong"/>
    <w:basedOn w:val="DefaultParagraphFont"/>
    <w:uiPriority w:val="22"/>
    <w:qFormat/>
    <w:rsid w:val="009B7D31"/>
    <w:rPr>
      <w:b/>
      <w:bCs/>
      <w:color w:val="auto"/>
    </w:rPr>
  </w:style>
  <w:style w:type="character" w:styleId="Emphasis">
    <w:name w:val="Emphasis"/>
    <w:basedOn w:val="DefaultParagraphFont"/>
    <w:uiPriority w:val="20"/>
    <w:qFormat/>
    <w:rsid w:val="009B7D31"/>
    <w:rPr>
      <w:i/>
      <w:iCs/>
      <w:color w:val="auto"/>
    </w:rPr>
  </w:style>
  <w:style w:type="paragraph" w:styleId="NoSpacing">
    <w:name w:val="No Spacing"/>
    <w:uiPriority w:val="1"/>
    <w:qFormat/>
    <w:rsid w:val="009B7D31"/>
    <w:pPr>
      <w:spacing w:after="0" w:line="240" w:lineRule="auto"/>
    </w:pPr>
  </w:style>
  <w:style w:type="paragraph" w:styleId="Quote">
    <w:name w:val="Quote"/>
    <w:basedOn w:val="Normal"/>
    <w:next w:val="Normal"/>
    <w:link w:val="QuoteChar"/>
    <w:uiPriority w:val="29"/>
    <w:qFormat/>
    <w:rsid w:val="009B7D31"/>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9B7D31"/>
    <w:rPr>
      <w:i/>
      <w:iCs/>
      <w:color w:val="404040" w:themeColor="text1" w:themeTint="BF"/>
    </w:rPr>
  </w:style>
  <w:style w:type="paragraph" w:styleId="IntenseQuote">
    <w:name w:val="Intense Quote"/>
    <w:basedOn w:val="Normal"/>
    <w:next w:val="Normal"/>
    <w:link w:val="IntenseQuoteChar"/>
    <w:uiPriority w:val="30"/>
    <w:qFormat/>
    <w:rsid w:val="009B7D31"/>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9B7D31"/>
    <w:rPr>
      <w:i/>
      <w:iCs/>
      <w:color w:val="404040" w:themeColor="text1" w:themeTint="BF"/>
    </w:rPr>
  </w:style>
  <w:style w:type="character" w:styleId="SubtleEmphasis">
    <w:name w:val="Subtle Emphasis"/>
    <w:basedOn w:val="DefaultParagraphFont"/>
    <w:uiPriority w:val="19"/>
    <w:qFormat/>
    <w:rsid w:val="009B7D31"/>
    <w:rPr>
      <w:i/>
      <w:iCs/>
      <w:color w:val="404040" w:themeColor="text1" w:themeTint="BF"/>
    </w:rPr>
  </w:style>
  <w:style w:type="character" w:styleId="IntenseEmphasis">
    <w:name w:val="Intense Emphasis"/>
    <w:basedOn w:val="DefaultParagraphFont"/>
    <w:uiPriority w:val="21"/>
    <w:qFormat/>
    <w:rsid w:val="009B7D31"/>
    <w:rPr>
      <w:b/>
      <w:bCs/>
      <w:i/>
      <w:iCs/>
      <w:color w:val="auto"/>
    </w:rPr>
  </w:style>
  <w:style w:type="character" w:styleId="SubtleReference">
    <w:name w:val="Subtle Reference"/>
    <w:basedOn w:val="DefaultParagraphFont"/>
    <w:uiPriority w:val="31"/>
    <w:qFormat/>
    <w:rsid w:val="009B7D31"/>
    <w:rPr>
      <w:smallCaps/>
      <w:color w:val="404040" w:themeColor="text1" w:themeTint="BF"/>
    </w:rPr>
  </w:style>
  <w:style w:type="character" w:styleId="IntenseReference">
    <w:name w:val="Intense Reference"/>
    <w:basedOn w:val="DefaultParagraphFont"/>
    <w:uiPriority w:val="32"/>
    <w:qFormat/>
    <w:rsid w:val="009B7D31"/>
    <w:rPr>
      <w:b/>
      <w:bCs/>
      <w:smallCaps/>
      <w:color w:val="404040" w:themeColor="text1" w:themeTint="BF"/>
      <w:spacing w:val="5"/>
    </w:rPr>
  </w:style>
  <w:style w:type="character" w:styleId="BookTitle">
    <w:name w:val="Book Title"/>
    <w:basedOn w:val="DefaultParagraphFont"/>
    <w:uiPriority w:val="33"/>
    <w:qFormat/>
    <w:rsid w:val="009B7D31"/>
    <w:rPr>
      <w:b/>
      <w:bCs/>
      <w:i/>
      <w:iCs/>
      <w:spacing w:val="5"/>
    </w:rPr>
  </w:style>
  <w:style w:type="paragraph" w:styleId="TOCHeading">
    <w:name w:val="TOC Heading"/>
    <w:basedOn w:val="Heading1"/>
    <w:next w:val="Normal"/>
    <w:uiPriority w:val="39"/>
    <w:semiHidden/>
    <w:unhideWhenUsed/>
    <w:qFormat/>
    <w:rsid w:val="009B7D3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1ee925cbc26b9f10f20061da75e3cc1a">
  <xsd:schema xmlns:xsd="http://www.w3.org/2001/XMLSchema" xmlns:xs="http://www.w3.org/2001/XMLSchema" xmlns:p="http://schemas.microsoft.com/office/2006/metadata/properties" xmlns:ns3="9d0d5cce-d4dc-4043-8325-c992d2f588cd" targetNamespace="http://schemas.microsoft.com/office/2006/metadata/properties" ma:root="true" ma:fieldsID="a996c9d9c19003189ff0d35b243b90d1"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Inf</b:Tag>
    <b:SourceType>InternetSite</b:SourceType>
    <b:Guid>{AAEECC7F-9662-415F-88F5-D8901EFEB0E5}</b:Guid>
    <b:Author>
      <b:Author>
        <b:Corporate>Information Commissioner Office</b:Corporate>
      </b:Author>
    </b:Author>
    <b:URL>https://ico.org.uk/for-organisations/guide-to-data-protection/guide-to-the-general-data-protection-regulation-gdpr/encryption/what-types-of-encryption-are-there/</b:URL>
    <b:Title>What types of encryption are there? </b:Title>
    <b:YearAccessed>2019</b:YearAccessed>
    <b:MonthAccessed>December</b:MonthAccessed>
    <b:DayAccessed>10</b:DayAccessed>
    <b:RefOrder>1</b:RefOrder>
  </b:Source>
  <b:Source>
    <b:Tag>Jos18</b:Tag>
    <b:SourceType>InternetSite</b:SourceType>
    <b:Guid>{7587122F-1A36-4374-9F3C-5994300A0F33}</b:Guid>
    <b:Author>
      <b:Author>
        <b:NameList>
          <b:Person>
            <b:Last>Lake</b:Last>
            <b:First>Josh</b:First>
          </b:Person>
        </b:NameList>
      </b:Author>
    </b:Author>
    <b:Title>Common Encryption Types, Protocols and Algorithms Explained</b:Title>
    <b:Year>2018</b:Year>
    <b:Month>December</b:Month>
    <b:Day>10</b:Day>
    <b:YearAccessed>2019</b:YearAccessed>
    <b:MonthAccessed>December</b:MonthAccessed>
    <b:DayAccessed>10</b:DayAccessed>
    <b:URL>https://www.comparitech.com/blog/information-security/encryption-types-explained/</b:URL>
    <b:RefOrder>2</b:RefOrder>
  </b:Source>
  <b:Source>
    <b:Tag>Mar18</b:Tag>
    <b:SourceType>InternetSite</b:SourceType>
    <b:Guid>{662C0BE7-DE62-463D-B998-0C30A65CF608}</b:Guid>
    <b:Author>
      <b:Author>
        <b:NameList>
          <b:Person>
            <b:Last>Margaret Rouse</b:Last>
            <b:First>Michael</b:First>
            <b:Middle>Cobb, Fred Hazan and Frank Rundatz</b:Middle>
          </b:Person>
        </b:NameList>
      </b:Author>
    </b:Author>
    <b:Title>RSA algorithm (Rivest-Shamir-Adleman) </b:Title>
    <b:Year>2018</b:Year>
    <b:Month>November</b:Month>
    <b:YearAccessed>2019</b:YearAccessed>
    <b:MonthAccessed>December</b:MonthAccessed>
    <b:DayAccessed>10</b:DayAccessed>
    <b:URL>https://searchsecurity.techtarget.com/definition/RSA</b:URL>
    <b:RefOrder>3</b:RefOrder>
  </b:Source>
  <b:Source>
    <b:Tag>Syd18</b:Tag>
    <b:SourceType>InternetSite</b:SourceType>
    <b:Guid>{6E3AF73F-2C4A-49C8-AF26-EC389C34DC60}</b:Guid>
    <b:Author>
      <b:Author>
        <b:NameList>
          <b:Person>
            <b:Last>Butler</b:Last>
            <b:First>Sydney</b:First>
          </b:Person>
        </b:NameList>
      </b:Author>
    </b:Author>
    <b:Title>What is the Strongest Encryption Today?</b:Title>
    <b:Year>2018</b:Year>
    <b:Month>August</b:Month>
    <b:Day>8</b:Day>
    <b:YearAccessed>2019</b:YearAccessed>
    <b:MonthAccessed>December</b:MonthAccessed>
    <b:DayAccessed>10</b:DayAccessed>
    <b:URL>https://www.technadu.com/strongest-encryption/37596/</b:URL>
    <b:RefOrder>4</b:RefOrder>
  </b:Source>
  <b:Source>
    <b:Tag>Figure4</b:Tag>
    <b:SourceType>InternetSite</b:SourceType>
    <b:Guid>{528DB308-6EA4-4353-B768-FCE0FED51FF9}</b:Guid>
    <b:Title>A Comparison of Cryptographic Algorithms: DES, 3DES, AES, RSA and Blowfish for Guessing Attacks Prevention - Figure 4</b:Title>
    <b:Year>2018</b:Year>
    <b:Month>August</b:Month>
    <b:Day>10</b:Day>
    <b:YearAccessed>2019</b:YearAccessed>
    <b:MonthAccessed>December</b:MonthAccessed>
    <b:DayAccessed>10</b:DayAccessed>
    <b:URL>https://symbiosisonlinepublishing.com/computer-science-technology/computerscience-information-technology32.php</b:URL>
    <b:Author>
      <b:Author>
        <b:NameList>
          <b:Person>
            <b:Last>Wahid</b:Last>
            <b:First>Mohammed</b:First>
            <b:Middle>Nazeh Abdul</b:Middle>
          </b:Person>
        </b:NameList>
      </b:Author>
    </b:Author>
    <b:RefOrder>5</b:RefOrder>
  </b:Source>
  <b:Source>
    <b:Tag>Kei18</b:Tag>
    <b:SourceType>InternetSite</b:SourceType>
    <b:Guid>{D8C6C549-C89B-45D0-8693-BDDE874B3BDB}</b:Guid>
    <b:Author>
      <b:Author>
        <b:NameList>
          <b:Person>
            <b:Last>Shaw</b:Last>
            <b:First>Keith</b:First>
          </b:Person>
        </b:NameList>
      </b:Author>
    </b:Author>
    <b:Title>What is IPv6, and why aren’t we there yet?</b:Title>
    <b:Year>2018</b:Year>
    <b:Month>September</b:Month>
    <b:Day>27</b:Day>
    <b:YearAccessed>2019</b:YearAccessed>
    <b:MonthAccessed>December</b:MonthAccessed>
    <b:DayAccessed>7</b:DayAccessed>
    <b:URL>https://www.networkworld.com/article/3254575/what-is-ipv6-and-why-aren-t-we-there-yet.html</b:URL>
    <b:RefOrder>1</b:RefOrder>
  </b:Source>
  <b:Source>
    <b:Tag>Tut192</b:Tag>
    <b:SourceType>InternetSite</b:SourceType>
    <b:Guid>{24282370-D32F-44CE-BCA3-EE2BA58F6C70}</b:Guid>
    <b:Author>
      <b:Author>
        <b:Corporate>Tutorials Web</b:Corporate>
      </b:Author>
    </b:Author>
    <b:Title>Ipv6 : Basics, Needs, Embedding Mac Address In Ipv6, &amp; Others</b:Title>
    <b:YearAccessed>2019</b:YearAccessed>
    <b:MonthAccessed>December</b:MonthAccessed>
    <b:DayAccessed>10</b:DayAccessed>
    <b:URL>https://www.tutorialsweb.com/ipv6/IPv6-Tut-1.htm#four</b:URL>
    <b:RefOrder>2</b:RefOrder>
  </b:Source>
  <b:Source>
    <b:Tag>Tut193</b:Tag>
    <b:SourceType>InternetSite</b:SourceType>
    <b:Guid>{149E037C-E246-45B5-8A91-28366EE52706}</b:Guid>
    <b:Author>
      <b:Author>
        <b:Corporate>Tutorials Point</b:Corporate>
      </b:Author>
    </b:Author>
    <b:Title>IPv6 - Subnetting</b:Title>
    <b:YearAccessed>2019</b:YearAccessed>
    <b:MonthAccessed>December</b:MonthAccessed>
    <b:DayAccessed>10</b:DayAccessed>
    <b:URL>https://www.tutorialspoint.com/ipv6/ipv6_subnetting.htm</b:URL>
    <b:RefOrder>3</b:RefOrder>
  </b:Source>
  <b:Source>
    <b:Tag>Ora192</b:Tag>
    <b:SourceType>InternetSite</b:SourceType>
    <b:Guid>{7665E82C-EEAB-4758-9221-8BF3FF7C6E21}</b:Guid>
    <b:Author>
      <b:Author>
        <b:Corporate>Oracle</b:Corporate>
      </b:Author>
    </b:Author>
    <b:Title>IPv6 Addressing</b:Title>
    <b:YearAccessed>2019</b:YearAccessed>
    <b:MonthAccessed>December</b:MonthAccessed>
    <b:DayAccessed>11</b:DayAccessed>
    <b:URL>https://docs.oracle.com/cd/E23823_01/html/816-4554/ipv6-overview-10.html#ipv6-overview-190</b:URL>
    <b:RefOrder>4</b:RefOrder>
  </b:Source>
  <b:Source>
    <b:Tag>Ora191</b:Tag>
    <b:SourceType>InternetSite</b:SourceType>
    <b:Guid>{BF1C5AF5-16F2-48BD-88F2-D4F6E6C8F070}</b:Guid>
    <b:Author>
      <b:Author>
        <b:Corporate>Oracle</b:Corporate>
      </b:Author>
    </b:Author>
    <b:Title>IPv6 Header and Extensions</b:Title>
    <b:YearAccessed>2019</b:YearAccessed>
    <b:MonthAccessed>December</b:MonthAccessed>
    <b:DayAccessed>11</b:DayAccessed>
    <b:URL>https://docs.oracle.com/cd/E19683-01/817-0573/6mgc65bb3/index.html</b:URL>
    <b:RefOrder>5</b:RefOrder>
  </b:Source>
  <b:Source>
    <b:Tag>Mobility</b:Tag>
    <b:SourceType>InternetSite</b:SourceType>
    <b:Guid>{4B3337BF-820E-48CF-82FA-C9704F2026BD}</b:Guid>
    <b:Author>
      <b:Author>
        <b:Corporate>https://docs.oracle.com</b:Corporate>
      </b:Author>
    </b:Author>
    <b:Title>IPv6 Mobility Support</b:Title>
    <b:YearAccessed>2019</b:YearAccessed>
    <b:MonthAccessed>December</b:MonthAccessed>
    <b:DayAccessed>8</b:DayAccessed>
    <b:URL>https://docs.oracle.com/cd/E19683-01/817-0573/6mgc65bb8/index.html</b:URL>
    <b:RefOrder>6</b:RefOrder>
  </b:Source>
  <b:Source>
    <b:Tag>htt196</b:Tag>
    <b:SourceType>InternetSite</b:SourceType>
    <b:Guid>{5F1B4BC5-E206-411A-A8FF-B297BCE1D0C3}</b:Guid>
    <b:Author>
      <b:Author>
        <b:Corporate>https://docs.oracle.com/</b:Corporate>
      </b:Author>
    </b:Author>
    <b:Title>IPv6 Security Improvements</b:Title>
    <b:YearAccessed>2019</b:YearAccessed>
    <b:MonthAccessed>December</b:MonthAccessed>
    <b:DayAccessed>8</b:DayAccessed>
    <b:URL>https://docs.oracle.com/cd/E19683-01/817-0573/6mgc65bba/index.html</b:URL>
    <b:RefOrder>7</b:RefOrder>
  </b:Source>
  <b:Source>
    <b:Tag>Ora19</b:Tag>
    <b:SourceType>InternetSite</b:SourceType>
    <b:Guid>{F95186BD-4BDF-41B8-9679-68E9C3ED62FD}</b:Guid>
    <b:Author>
      <b:Author>
        <b:Corporate>Oracle</b:Corporate>
      </b:Author>
    </b:Author>
    <b:Title>IPv6 Stateless Address Autoconfiguration</b:Title>
    <b:YearAccessed>2019</b:YearAccessed>
    <b:MonthAccessed>December</b:MonthAccessed>
    <b:DayAccessed>11</b:DayAccessed>
    <b:URL>https://docs.oracle.com/cd/E19683-01/817-0573/6mgc65bb7/index.html</b:URL>
    <b:RefOrder>8</b:RefOrder>
  </b:Source>
</b:Sources>
</file>

<file path=customXml/itemProps1.xml><?xml version="1.0" encoding="utf-8"?>
<ds:datastoreItem xmlns:ds="http://schemas.openxmlformats.org/officeDocument/2006/customXml" ds:itemID="{4F622453-EAAA-4211-8579-1E6F0EE9D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94067-40F8-48B3-92A1-317034657F16}">
  <ds:schemaRefs>
    <ds:schemaRef ds:uri="http://schemas.microsoft.com/sharepoint/v3/contenttype/forms"/>
  </ds:schemaRefs>
</ds:datastoreItem>
</file>

<file path=customXml/itemProps3.xml><?xml version="1.0" encoding="utf-8"?>
<ds:datastoreItem xmlns:ds="http://schemas.openxmlformats.org/officeDocument/2006/customXml" ds:itemID="{ECCE5020-1227-4A7B-86E6-0572552EF0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85EF6C2-5612-4063-94CF-C198AF8E3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29</TotalTime>
  <Pages>9</Pages>
  <Words>1485</Words>
  <Characters>8469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9935</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Joseff Thomas (1910400)</cp:lastModifiedBy>
  <cp:revision>16</cp:revision>
  <cp:lastPrinted>2014-11-07T14:47:00Z</cp:lastPrinted>
  <dcterms:created xsi:type="dcterms:W3CDTF">2019-12-11T19:06:00Z</dcterms:created>
  <dcterms:modified xsi:type="dcterms:W3CDTF">2019-12-12T18:10:00Z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0x0101008467D266DF7D29488C599703B2EBBD01</vt:lpwstr>
  </property>
</Properties>
</file>