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bCs/>
          <w:sz w:val="36"/>
          <w:szCs w:val="36"/>
        </w:rPr>
      </w:pPr>
    </w:p>
    <w:p>
      <w:pPr>
        <w:jc w:val="center"/>
        <w:rPr>
          <w:rFonts w:ascii="Times New Roman" w:hAnsi="Times New Roman" w:cs="Times New Roman"/>
          <w:b/>
          <w:bCs/>
          <w:sz w:val="36"/>
          <w:szCs w:val="36"/>
        </w:rPr>
      </w:pPr>
    </w:p>
    <w:p>
      <w:pPr>
        <w:jc w:val="center"/>
        <w:rPr>
          <w:rFonts w:ascii="Times New Roman" w:hAnsi="Times New Roman" w:cs="Times New Roman"/>
          <w:b/>
          <w:bCs/>
          <w:sz w:val="36"/>
          <w:szCs w:val="36"/>
        </w:rPr>
      </w:pPr>
    </w:p>
    <w:p>
      <w:pPr>
        <w:jc w:val="center"/>
        <w:rPr>
          <w:rFonts w:ascii="Times New Roman" w:hAnsi="Times New Roman" w:cs="Times New Roman"/>
          <w:b/>
          <w:bCs/>
          <w:sz w:val="36"/>
          <w:szCs w:val="36"/>
        </w:rPr>
      </w:pPr>
      <w:bookmarkStart w:id="3" w:name="_GoBack"/>
      <w:bookmarkEnd w:id="3"/>
    </w:p>
    <w:p>
      <w:pPr>
        <w:jc w:val="both"/>
        <w:rPr>
          <w:rFonts w:ascii="Times New Roman" w:hAnsi="Times New Roman" w:cs="Times New Roman"/>
          <w:b/>
          <w:bCs/>
          <w:sz w:val="36"/>
          <w:szCs w:val="36"/>
        </w:rPr>
      </w:pPr>
    </w:p>
    <w:p>
      <w:pPr>
        <w:widowControl/>
        <w:spacing w:line="360" w:lineRule="auto"/>
        <w:jc w:val="center"/>
        <w:rPr>
          <w:rFonts w:hint="eastAsia" w:ascii="Times New Roman" w:hAnsi="Times New Roman" w:cs="Times New Roman"/>
          <w:b/>
          <w:bCs/>
          <w:sz w:val="36"/>
          <w:szCs w:val="36"/>
        </w:rPr>
      </w:pPr>
      <w:r>
        <w:rPr>
          <w:rFonts w:hint="eastAsia" w:ascii="Times New Roman" w:hAnsi="Times New Roman" w:cs="Times New Roman"/>
          <w:b/>
          <w:bCs/>
          <w:sz w:val="36"/>
          <w:szCs w:val="36"/>
        </w:rPr>
        <w:t>Lidl assesses how Taylorism and Fordism make organizations more effective in managing.</w:t>
      </w:r>
    </w:p>
    <w:p>
      <w:pPr>
        <w:widowControl/>
        <w:spacing w:line="360" w:lineRule="auto"/>
        <w:jc w:val="center"/>
        <w:rPr>
          <w:rFonts w:hint="eastAsia" w:ascii="Times New Roman" w:hAnsi="Times New Roman" w:cs="Times New Roman"/>
          <w:b/>
          <w:bCs/>
          <w:sz w:val="36"/>
          <w:szCs w:val="36"/>
          <w:lang w:val="en-US"/>
        </w:rPr>
      </w:pPr>
    </w:p>
    <w:p>
      <w:pPr>
        <w:widowControl/>
        <w:spacing w:line="360" w:lineRule="auto"/>
        <w:jc w:val="center"/>
        <w:rPr>
          <w:rFonts w:ascii="Times New Roman" w:hAnsi="Times New Roman" w:eastAsia="宋体" w:cs="Times New Roman"/>
          <w:b/>
          <w:bCs/>
          <w:kern w:val="0"/>
          <w:sz w:val="24"/>
          <w:szCs w:val="24"/>
          <w:lang w:val="en-US"/>
        </w:rPr>
      </w:pPr>
      <w:r>
        <w:rPr>
          <w:rFonts w:ascii="Times New Roman" w:hAnsi="Times New Roman" w:eastAsia="宋体" w:cs="Times New Roman"/>
          <w:b/>
          <w:bCs/>
          <w:kern w:val="0"/>
          <w:sz w:val="24"/>
          <w:szCs w:val="24"/>
          <w:lang w:val="en-US"/>
        </w:rPr>
        <w:t>M</w:t>
      </w:r>
      <w:r>
        <w:rPr>
          <w:rFonts w:hint="eastAsia" w:ascii="Times New Roman" w:hAnsi="Times New Roman" w:eastAsia="宋体" w:cs="Times New Roman"/>
          <w:b/>
          <w:bCs/>
          <w:kern w:val="0"/>
          <w:sz w:val="24"/>
          <w:szCs w:val="24"/>
          <w:lang w:val="en-US"/>
        </w:rPr>
        <w:t>odule</w:t>
      </w:r>
      <w:r>
        <w:rPr>
          <w:rFonts w:ascii="Times New Roman" w:hAnsi="Times New Roman" w:eastAsia="宋体" w:cs="Times New Roman"/>
          <w:b/>
          <w:bCs/>
          <w:kern w:val="0"/>
          <w:sz w:val="24"/>
          <w:szCs w:val="24"/>
          <w:lang w:val="en-US"/>
        </w:rPr>
        <w:t xml:space="preserve"> N</w:t>
      </w:r>
      <w:r>
        <w:rPr>
          <w:rFonts w:hint="eastAsia" w:ascii="Times New Roman" w:hAnsi="Times New Roman" w:eastAsia="宋体" w:cs="Times New Roman"/>
          <w:b/>
          <w:bCs/>
          <w:kern w:val="0"/>
          <w:sz w:val="24"/>
          <w:szCs w:val="24"/>
          <w:lang w:val="en-US"/>
        </w:rPr>
        <w:t>ame</w:t>
      </w:r>
      <w:r>
        <w:rPr>
          <w:rFonts w:ascii="Times New Roman" w:hAnsi="Times New Roman" w:eastAsia="宋体" w:cs="Times New Roman"/>
          <w:b/>
          <w:bCs/>
          <w:kern w:val="0"/>
          <w:sz w:val="24"/>
          <w:szCs w:val="24"/>
          <w:lang w:val="en-US"/>
        </w:rPr>
        <w:t xml:space="preserve">: </w:t>
      </w:r>
      <w:r>
        <w:rPr>
          <w:rFonts w:hint="eastAsia" w:ascii="Times New Roman" w:hAnsi="Times New Roman" w:eastAsia="宋体" w:cs="Times New Roman"/>
          <w:b/>
          <w:bCs/>
          <w:kern w:val="0"/>
          <w:sz w:val="24"/>
          <w:szCs w:val="24"/>
          <w:lang w:val="en-US"/>
        </w:rPr>
        <w:t>Critical Perspectives On Management</w:t>
      </w:r>
      <w:r>
        <w:rPr>
          <w:rFonts w:ascii="Times New Roman" w:hAnsi="Times New Roman" w:eastAsia="宋体" w:cs="Times New Roman"/>
          <w:b/>
          <w:bCs/>
          <w:kern w:val="0"/>
          <w:sz w:val="24"/>
          <w:szCs w:val="24"/>
          <w:lang w:val="en-US"/>
        </w:rPr>
        <w:t xml:space="preserve"> (</w:t>
      </w:r>
      <w:r>
        <w:rPr>
          <w:rFonts w:hint="eastAsia" w:ascii="Times New Roman" w:hAnsi="Times New Roman" w:eastAsia="宋体" w:cs="Times New Roman"/>
          <w:b/>
          <w:bCs/>
          <w:kern w:val="0"/>
          <w:sz w:val="24"/>
          <w:szCs w:val="24"/>
          <w:lang w:val="en-US"/>
        </w:rPr>
        <w:t>M3X9080</w:t>
      </w:r>
      <w:r>
        <w:rPr>
          <w:rFonts w:ascii="Times New Roman" w:hAnsi="Times New Roman" w:eastAsia="宋体" w:cs="Times New Roman"/>
          <w:b/>
          <w:bCs/>
          <w:kern w:val="0"/>
          <w:sz w:val="24"/>
          <w:szCs w:val="24"/>
          <w:lang w:val="en-US"/>
        </w:rPr>
        <w:t>)</w:t>
      </w:r>
    </w:p>
    <w:p>
      <w:pPr>
        <w:widowControl/>
        <w:spacing w:line="360" w:lineRule="auto"/>
        <w:jc w:val="center"/>
        <w:rPr>
          <w:rFonts w:ascii="Times New Roman" w:hAnsi="Times New Roman" w:eastAsia="宋体" w:cs="Times New Roman"/>
          <w:b/>
          <w:bCs/>
          <w:kern w:val="0"/>
          <w:sz w:val="24"/>
          <w:szCs w:val="24"/>
          <w:lang w:val="en-US"/>
        </w:rPr>
      </w:pPr>
      <w:r>
        <w:rPr>
          <w:rFonts w:ascii="Times New Roman" w:hAnsi="Times New Roman" w:eastAsia="宋体" w:cs="Times New Roman"/>
          <w:b/>
          <w:bCs/>
          <w:kern w:val="0"/>
          <w:sz w:val="24"/>
          <w:szCs w:val="24"/>
          <w:lang w:val="en-US"/>
        </w:rPr>
        <w:t>S</w:t>
      </w:r>
      <w:r>
        <w:rPr>
          <w:rFonts w:hint="eastAsia" w:ascii="Times New Roman" w:hAnsi="Times New Roman" w:eastAsia="宋体" w:cs="Times New Roman"/>
          <w:b/>
          <w:bCs/>
          <w:kern w:val="0"/>
          <w:sz w:val="24"/>
          <w:szCs w:val="24"/>
          <w:lang w:val="en-US"/>
        </w:rPr>
        <w:t>tudent</w:t>
      </w:r>
      <w:r>
        <w:rPr>
          <w:rFonts w:ascii="Times New Roman" w:hAnsi="Times New Roman" w:eastAsia="宋体" w:cs="Times New Roman"/>
          <w:b/>
          <w:bCs/>
          <w:kern w:val="0"/>
          <w:sz w:val="24"/>
          <w:szCs w:val="24"/>
          <w:lang w:val="en-US"/>
        </w:rPr>
        <w:t xml:space="preserve"> Name: Ji</w:t>
      </w:r>
      <w:r>
        <w:rPr>
          <w:rFonts w:hint="eastAsia" w:ascii="Times New Roman" w:hAnsi="Times New Roman" w:eastAsia="宋体" w:cs="Times New Roman"/>
          <w:b/>
          <w:bCs/>
          <w:kern w:val="0"/>
          <w:sz w:val="24"/>
          <w:szCs w:val="24"/>
          <w:lang w:val="en-US"/>
        </w:rPr>
        <w:t>ng Wu</w:t>
      </w:r>
    </w:p>
    <w:p>
      <w:pPr>
        <w:widowControl/>
        <w:spacing w:line="360" w:lineRule="auto"/>
        <w:jc w:val="center"/>
        <w:rPr>
          <w:rFonts w:ascii="Times New Roman" w:hAnsi="Times New Roman" w:eastAsia="宋体" w:cs="Times New Roman"/>
          <w:b/>
          <w:bCs/>
          <w:kern w:val="0"/>
          <w:sz w:val="24"/>
          <w:szCs w:val="24"/>
          <w:lang w:val="en-US"/>
        </w:rPr>
      </w:pPr>
      <w:r>
        <w:rPr>
          <w:rFonts w:ascii="Times New Roman" w:hAnsi="Times New Roman" w:eastAsia="宋体" w:cs="Times New Roman"/>
          <w:b/>
          <w:bCs/>
          <w:kern w:val="0"/>
          <w:sz w:val="24"/>
          <w:szCs w:val="24"/>
          <w:lang w:val="en-US"/>
        </w:rPr>
        <w:t>Student Number: 190</w:t>
      </w:r>
      <w:r>
        <w:rPr>
          <w:rFonts w:hint="eastAsia" w:ascii="Times New Roman" w:hAnsi="Times New Roman" w:eastAsia="宋体" w:cs="Times New Roman"/>
          <w:b/>
          <w:bCs/>
          <w:kern w:val="0"/>
          <w:sz w:val="24"/>
          <w:szCs w:val="24"/>
          <w:lang w:val="en-US"/>
        </w:rPr>
        <w:t>0279</w:t>
      </w:r>
    </w:p>
    <w:p>
      <w:pPr>
        <w:widowControl/>
        <w:spacing w:line="360" w:lineRule="auto"/>
        <w:jc w:val="left"/>
        <w:rPr>
          <w:rFonts w:ascii="Times New Roman" w:hAnsi="Times New Roman" w:eastAsia="宋体" w:cs="Times New Roman"/>
          <w:b/>
          <w:bCs/>
          <w:kern w:val="0"/>
          <w:sz w:val="24"/>
          <w:szCs w:val="24"/>
          <w:lang w:val="en-US"/>
        </w:rPr>
      </w:pPr>
    </w:p>
    <w:p>
      <w:pPr>
        <w:widowControl/>
        <w:spacing w:line="360" w:lineRule="auto"/>
        <w:jc w:val="right"/>
        <w:rPr>
          <w:rFonts w:ascii="Times New Roman" w:hAnsi="Times New Roman" w:eastAsia="宋体" w:cs="Times New Roman"/>
          <w:b/>
          <w:bCs/>
          <w:kern w:val="0"/>
          <w:sz w:val="24"/>
          <w:szCs w:val="24"/>
          <w:lang w:val="en-US"/>
        </w:rPr>
      </w:pPr>
    </w:p>
    <w:p>
      <w:pPr>
        <w:widowControl/>
        <w:spacing w:line="360" w:lineRule="auto"/>
        <w:jc w:val="right"/>
        <w:rPr>
          <w:rFonts w:ascii="Times New Roman" w:hAnsi="Times New Roman" w:eastAsia="宋体" w:cs="Times New Roman"/>
          <w:b/>
          <w:bCs/>
          <w:kern w:val="0"/>
          <w:sz w:val="24"/>
          <w:szCs w:val="24"/>
          <w:lang w:val="en-US"/>
        </w:rPr>
      </w:pPr>
    </w:p>
    <w:p>
      <w:pPr>
        <w:widowControl/>
        <w:spacing w:line="360" w:lineRule="auto"/>
        <w:jc w:val="center"/>
        <w:rPr>
          <w:sz w:val="28"/>
          <w:szCs w:val="28"/>
        </w:rPr>
      </w:pPr>
      <w:r>
        <w:rPr>
          <w:rFonts w:hint="eastAsia" w:ascii="Times New Roman" w:hAnsi="Times New Roman" w:eastAsia="宋体" w:cs="Times New Roman"/>
          <w:b/>
          <w:bCs/>
          <w:kern w:val="0"/>
          <w:sz w:val="24"/>
          <w:szCs w:val="24"/>
          <w:lang w:val="en-US" w:eastAsia="zh-CN"/>
        </w:rPr>
        <w:t>16</w:t>
      </w:r>
      <w:r>
        <w:rPr>
          <w:rFonts w:hint="eastAsia" w:ascii="Times New Roman" w:hAnsi="Times New Roman" w:eastAsia="宋体" w:cs="Times New Roman"/>
          <w:b/>
          <w:bCs/>
          <w:kern w:val="0"/>
          <w:sz w:val="24"/>
          <w:szCs w:val="24"/>
          <w:lang w:val="en-US"/>
        </w:rPr>
        <w:t>/0</w:t>
      </w:r>
      <w:r>
        <w:rPr>
          <w:rFonts w:hint="eastAsia" w:ascii="Times New Roman" w:hAnsi="Times New Roman" w:eastAsia="宋体" w:cs="Times New Roman"/>
          <w:b/>
          <w:bCs/>
          <w:kern w:val="0"/>
          <w:sz w:val="24"/>
          <w:szCs w:val="24"/>
          <w:lang w:val="en-US" w:eastAsia="zh-CN"/>
        </w:rPr>
        <w:t>3</w:t>
      </w:r>
      <w:r>
        <w:rPr>
          <w:rFonts w:hint="eastAsia" w:ascii="Times New Roman" w:hAnsi="Times New Roman" w:eastAsia="宋体" w:cs="Times New Roman"/>
          <w:b/>
          <w:bCs/>
          <w:kern w:val="0"/>
          <w:sz w:val="24"/>
          <w:szCs w:val="24"/>
          <w:lang w:val="en-US"/>
        </w:rPr>
        <w:t>/</w:t>
      </w:r>
      <w:r>
        <w:rPr>
          <w:rFonts w:ascii="Times New Roman" w:hAnsi="Times New Roman" w:eastAsia="宋体" w:cs="Times New Roman"/>
          <w:b/>
          <w:bCs/>
          <w:kern w:val="0"/>
          <w:sz w:val="24"/>
          <w:szCs w:val="24"/>
          <w:lang w:val="en-US"/>
        </w:rPr>
        <w:t>2020</w:t>
      </w:r>
    </w:p>
    <w:p>
      <w:pPr>
        <w:pStyle w:val="2"/>
        <w:spacing w:before="312" w:after="312" w:line="360" w:lineRule="auto"/>
        <w:rPr>
          <w:sz w:val="28"/>
          <w:szCs w:val="28"/>
        </w:rPr>
      </w:pPr>
    </w:p>
    <w:p>
      <w:pPr>
        <w:pStyle w:val="2"/>
        <w:spacing w:before="312" w:after="312" w:line="360" w:lineRule="auto"/>
        <w:rPr>
          <w:sz w:val="28"/>
          <w:szCs w:val="28"/>
        </w:rPr>
      </w:pPr>
      <w:r>
        <w:rPr>
          <w:rFonts w:ascii="Calibri" w:hAnsi="Calibri" w:eastAsia="宋体" w:cs="Times New Roman"/>
          <w:kern w:val="0"/>
          <w:sz w:val="20"/>
          <w:szCs w:val="20"/>
          <w:lang w:val="en-US" w:eastAsia="en-GB"/>
        </w:rPr>
        <w:drawing>
          <wp:anchor distT="0" distB="0" distL="114300" distR="114300" simplePos="0" relativeHeight="251734016" behindDoc="0" locked="0" layoutInCell="1" allowOverlap="1">
            <wp:simplePos x="0" y="0"/>
            <wp:positionH relativeFrom="margin">
              <wp:posOffset>3395980</wp:posOffset>
            </wp:positionH>
            <wp:positionV relativeFrom="paragraph">
              <wp:posOffset>1301115</wp:posOffset>
            </wp:positionV>
            <wp:extent cx="2355215" cy="926465"/>
            <wp:effectExtent l="0" t="0" r="6985" b="6985"/>
            <wp:wrapNone/>
            <wp:docPr id="18"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1" descr="http://www.southwaleschamber.co.uk/UserFiles/Image/Uni%20of%20S%20Wales%20Trinity%20St%20Davi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355215" cy="926465"/>
                    </a:xfrm>
                    <a:prstGeom prst="rect">
                      <a:avLst/>
                    </a:prstGeom>
                    <a:noFill/>
                    <a:ln>
                      <a:noFill/>
                    </a:ln>
                  </pic:spPr>
                </pic:pic>
              </a:graphicData>
            </a:graphic>
          </wp:anchor>
        </w:drawing>
      </w:r>
    </w:p>
    <w:p>
      <w:pPr>
        <w:spacing w:line="360" w:lineRule="auto"/>
        <w:rPr>
          <w:rFonts w:ascii="Times New Roman" w:hAnsi="Times New Roman" w:cs="Times New Roman"/>
          <w:b/>
          <w:bCs/>
          <w:sz w:val="24"/>
          <w:szCs w:val="24"/>
        </w:rPr>
      </w:pPr>
    </w:p>
    <w:p>
      <w:pPr>
        <w:spacing w:line="360" w:lineRule="auto"/>
        <w:rPr>
          <w:rFonts w:ascii="Times New Roman" w:hAnsi="Times New Roman" w:cs="Times New Roman"/>
          <w:b/>
          <w:bCs/>
          <w:sz w:val="24"/>
          <w:szCs w:val="24"/>
        </w:rPr>
      </w:pPr>
    </w:p>
    <w:p>
      <w:pPr>
        <w:spacing w:line="360" w:lineRule="auto"/>
        <w:rPr>
          <w:rFonts w:ascii="Times New Roman" w:hAnsi="Times New Roman" w:cs="Times New Roman"/>
          <w:b/>
          <w:bCs/>
          <w:sz w:val="24"/>
          <w:szCs w:val="24"/>
        </w:rPr>
      </w:pPr>
    </w:p>
    <w:p>
      <w:pPr>
        <w:spacing w:line="360" w:lineRule="auto"/>
        <w:rPr>
          <w:rFonts w:ascii="Times New Roman" w:hAnsi="Times New Roman" w:cs="Times New Roman"/>
          <w:b/>
          <w:bCs/>
          <w:sz w:val="24"/>
          <w:szCs w:val="24"/>
        </w:rPr>
      </w:pPr>
    </w:p>
    <w:p>
      <w:pPr>
        <w:spacing w:line="360" w:lineRule="auto"/>
        <w:rPr>
          <w:rFonts w:ascii="Times New Roman" w:hAnsi="Times New Roman" w:cs="Times New Roman"/>
          <w:b/>
          <w:bCs/>
          <w:sz w:val="24"/>
          <w:szCs w:val="24"/>
        </w:rPr>
      </w:pPr>
    </w:p>
    <w:p>
      <w:pPr>
        <w:spacing w:line="360" w:lineRule="auto"/>
        <w:rPr>
          <w:rFonts w:ascii="Times New Roman" w:hAnsi="Times New Roman" w:cs="Times New Roman"/>
          <w:b/>
          <w:bCs/>
          <w:sz w:val="24"/>
          <w:szCs w:val="24"/>
        </w:rPr>
      </w:pPr>
    </w:p>
    <w:p>
      <w:pPr>
        <w:spacing w:line="360" w:lineRule="auto"/>
        <w:rPr>
          <w:rFonts w:ascii="Times New Roman" w:hAnsi="Times New Roman" w:cs="Times New Roman"/>
          <w:b/>
          <w:bCs/>
          <w:sz w:val="24"/>
          <w:szCs w:val="24"/>
        </w:rPr>
      </w:pPr>
    </w:p>
    <w:p>
      <w:pPr>
        <w:spacing w:line="360" w:lineRule="auto"/>
        <w:rPr>
          <w:rFonts w:ascii="Times New Roman" w:hAnsi="Times New Roman" w:cs="Times New Roman"/>
          <w:b/>
          <w:bCs/>
          <w:sz w:val="24"/>
          <w:szCs w:val="24"/>
        </w:rPr>
      </w:pPr>
      <w:r>
        <w:rPr>
          <w:rFonts w:ascii="Times New Roman" w:hAnsi="Times New Roman" w:cs="Times New Roman"/>
          <w:b/>
          <w:bCs/>
          <w:sz w:val="24"/>
          <w:szCs w:val="24"/>
        </w:rPr>
        <w:t>Introduction</w:t>
      </w:r>
    </w:p>
    <w:p>
      <w:pPr>
        <w:spacing w:line="360" w:lineRule="auto"/>
        <w:rPr>
          <w:rFonts w:ascii="Times New Roman" w:hAnsi="Times New Roman" w:cs="Times New Roman"/>
          <w:sz w:val="24"/>
          <w:szCs w:val="24"/>
        </w:rPr>
      </w:pPr>
      <w:r>
        <w:rPr>
          <w:rFonts w:ascii="Times New Roman" w:hAnsi="Times New Roman" w:cs="Times New Roman"/>
          <w:sz w:val="24"/>
          <w:szCs w:val="24"/>
        </w:rPr>
        <w:t>Beginning with the industrial revolution in the second half of the 19th century, the development of technology, labour, and markets drove the renewal of management concepts to help organizations manage their resources and improve productivity and performance (Blake and Moseley, 2010). Under such impetus, Frederick Winslow Taylor and Henry Ford put forward two classical management theories, Taylorism and Fordism. Taylorism, as a scientific management technique, aims to develop the best methods and overturns the traditional way of working based on experience (Derksen, 2014). Fordism, based on Taylorism, refers to the realization of economies of scale through standardization and assembly lines, which promotes the development of capitalism (Sheldon, 2003). Up to now, scientific management still has a great impact on organizational management. Many modern organisations still improve their effectiveness through scientific management concepts, such as analysis of work elements, selection and training of employees, division of labour, standardization, financial incentives (Nelson, 1980). Lidl is one of the organizations that uses scientific management. As a German chain of grocery stores, the success of Lidl's business is partly due to the adoption of scientific management concepts, such as division of labour, standardization (Geppert and Pastuh, 2017). In this essay, Taylorism and Fordism, as major scientific management techniques, will be discussed and analysed to explore how they help organizations improve efficiency and productivity. In addition, the limitations of the two management theories will be assessed. Following this, Lidl will be researched to evaluate the application of scientific management in existing organizations.</w:t>
      </w:r>
    </w:p>
    <w:p>
      <w:pPr>
        <w:spacing w:line="360" w:lineRule="auto"/>
        <w:rPr>
          <w:rFonts w:ascii="Times New Roman" w:hAnsi="Times New Roman" w:cs="Times New Roman"/>
          <w:sz w:val="24"/>
          <w:szCs w:val="24"/>
        </w:rPr>
      </w:pPr>
    </w:p>
    <w:p>
      <w:pPr>
        <w:spacing w:line="360" w:lineRule="auto"/>
        <w:rPr>
          <w:rFonts w:ascii="Times New Roman" w:hAnsi="Times New Roman" w:cs="Times New Roman"/>
          <w:b/>
          <w:bCs/>
          <w:sz w:val="24"/>
          <w:szCs w:val="24"/>
        </w:rPr>
      </w:pPr>
      <w:r>
        <w:rPr>
          <w:rFonts w:ascii="Times New Roman" w:hAnsi="Times New Roman" w:cs="Times New Roman"/>
          <w:b/>
          <w:bCs/>
          <w:sz w:val="24"/>
          <w:szCs w:val="24"/>
        </w:rPr>
        <w:t>Taylorism and Fordism</w:t>
      </w:r>
    </w:p>
    <w:p>
      <w:pPr>
        <w:spacing w:line="360" w:lineRule="auto"/>
        <w:rPr>
          <w:rFonts w:ascii="Times New Roman" w:hAnsi="Times New Roman" w:cs="Times New Roman"/>
          <w:sz w:val="24"/>
          <w:szCs w:val="24"/>
        </w:rPr>
      </w:pPr>
      <w:r>
        <w:rPr>
          <w:rFonts w:ascii="Times New Roman" w:hAnsi="Times New Roman" w:cs="Times New Roman"/>
          <w:sz w:val="24"/>
          <w:szCs w:val="24"/>
        </w:rPr>
        <w:t>The development of the industrial revolution and the industrialisation of manufacturing have encouraged managers to create new techniques to manage their firms' resources and boost productivity (Guidotti, 2011). In this context, Taylor put forward the concept of scientific management. Taylor believes that the traditional personal way of executing tasks based on the rule of thumb is a factor of organisation inefficiency (Caldari, 2007). Through scientific management, managers can adopt the "best method" to complete the work better, faster and cheaper through systematic and objective analysis of the work (Kanigel, 1997). Scientific management includes time management, standardization of tools and behaviours, divided foremanship, planning, guidance, task assignment, bonuses for high performance, routing system, production classification, and cost management (Nelson, 1980). All of these come from the larger philosophy of scientific management.</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One of the principles of scientific management is the scientific development of each element of a job (Taylor, 1991). This means that every element of everyone's work must be thoroughly examined and tested, finding the best method based on quantitative research and test data, and determining the best conditions and machines to replace the rules of thumb and increase productivity to ensure maximum efficiency (Doray, 1988). Managers need to analyse employees who are good at a particular job (Crowley, 2010). Its main purpose is to analyse the exact a series of operations, the use of tools, as well as the time needed for each of the basic steps, to eliminate all the wrong, slow and useless action, to collect all the fastest and best action, so as to choose the best method to done every step, enhance productivity (Sheldon, 2003).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Besides, based on scientific management, workers need to be selected and trained scientifically (Olson, 2016). Taylor suggests that managers need to selecting and training each employee, rather than letting each employee figure out how to work on their own which can lead to inefficient choices (Dewinter, 2014).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Moreover, scientific management suggests that management should cooperate with workers and scientifically educate and develop employees to ensure that work is carried out in accordance with the principles of scientific management (Nelson, 1980). Managers should ensure that employees follow the rules, methods, and standard operating procedures set by the company (Doray, 1988).</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Furthermore, based on Taylorism, there is an almost equal division of labour and responsibilities between workers and management (Chyung, 2005). Clear division of labour among groups and the separation of planning and execution are important components of scientific management (Crowley, 2010). Taylorism holds that all planning functions should be performed by managers, because supervisors and workers at the lower level are not capable of planning how to complete the work as managers and workers at the lower level lack education (Derksen, 2014). The concept of task allocation is also key to scientific management (Taylor, 1991). Task allocation is the process of breaking a large task into smaller tasks, ultimately enabling the planner to determine the best way to perform the task (Blake and Moseley, 2010). In this process, the content of the task, the mode of execution and the time of execution all need to be clearly defined (Doray, 1988).</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Therefore, based on scientific management, managers need to develop scientific working methods and set goals for employees' productivity. Employees also need to be trained to use these scientific methods to achieve production goals. The employee reward system after the goal is achieved also needs to be set up as an incentive means.</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But Taylorism has also been widely criticized. Because task allocation deprives employees of their autonomy, and only managers are allowed to make plans and decisions and workers could only execute and not participate in decision-making (Copley, 1923). This means that workers were dehumanized in scientific management (Blake and Moseley, 2010). In addition, the concept of human motivation in scientific management was very limited (Olson, 2016). Taylor believes that the only way to motivate employees to work more effectively is through financial incentives, which has been rejected with the development of management (Blake and Moseley, 2010). And Taylorism has a biased attitude towards workers. Taylorism holds that employees are lazy and cannot create productivity if they are not controlled (Olson, 2016). And there are critics who argue that Taylorism can only benefit employers, since productivity growth does not necessarily translate into higher wages and shorter working hours (Blake and Moseley, 2010).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On the basis of Taylorism, with the growth of market demand and labour force, Fordism was born. The Fordism was proposed by Ford, the founder of Ford motor. The Model T based on the Fordism changed the traditional automobile industry, in which cars were no longer expensive to make and no longer relied on skilled workers (Crowley, 2010). Fordism is also a scientific management technique, whose principle is to improve productivity through standardization, subdivision of tasks and assembly lines (Doray, 1988). Also, high wages are used as an incentive to ensure employees' commitment to continuous, repetitive work (Gartman, 2009). By standardizing products and manufacturing processes, companies no longer need craftsmen to make individual products, resulting in cheap, rapid manufacturing processes (Doray, 1988). And because the parts are interchangeable, manufacturing and servicing are simplified (Alizon et al., 2009). And because of the subdivision of tasks, each worker's tasks are specialized and repetitive, skilled workers are replaced by unskilled workers and machines, which can help the company achieve economies of scale while reducing training costs (Gantt and Taylor, 2007).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Through Fordism, the company can develop economies of scale that lead to a shift in the industry from manual production to mass production (Doray, 1988). But, like Taylorism, Fordism is also mired in criticism of dehumanization and simple motivation factor (Gartman, 2009). Under Fordism, the rhythm of workers' labour was integrated into machines, especially the speed of the assembly line movement resulted in workers only have little time to complete their tasks, which to some extent led to the oppression of workers (Doray, 1988).</w:t>
      </w:r>
    </w:p>
    <w:p>
      <w:pPr>
        <w:spacing w:line="360" w:lineRule="auto"/>
        <w:rPr>
          <w:rFonts w:ascii="Times New Roman" w:hAnsi="Times New Roman" w:cs="Times New Roman"/>
          <w:sz w:val="24"/>
          <w:szCs w:val="24"/>
        </w:rPr>
      </w:pPr>
    </w:p>
    <w:p>
      <w:pPr>
        <w:spacing w:line="360" w:lineRule="auto"/>
        <w:rPr>
          <w:rFonts w:ascii="Times New Roman" w:hAnsi="Times New Roman" w:cs="Times New Roman"/>
          <w:b/>
          <w:bCs/>
          <w:sz w:val="24"/>
          <w:szCs w:val="24"/>
        </w:rPr>
      </w:pPr>
      <w:r>
        <w:rPr>
          <w:rFonts w:ascii="Times New Roman" w:hAnsi="Times New Roman" w:cs="Times New Roman"/>
          <w:b/>
          <w:bCs/>
          <w:sz w:val="24"/>
          <w:szCs w:val="24"/>
        </w:rPr>
        <w:t>Scientific management of Lidl</w:t>
      </w:r>
    </w:p>
    <w:p>
      <w:pPr>
        <w:spacing w:line="360" w:lineRule="auto"/>
        <w:rPr>
          <w:rFonts w:ascii="Times New Roman" w:hAnsi="Times New Roman" w:cs="Times New Roman"/>
          <w:sz w:val="24"/>
          <w:szCs w:val="24"/>
        </w:rPr>
      </w:pPr>
      <w:r>
        <w:rPr>
          <w:rFonts w:ascii="Times New Roman" w:hAnsi="Times New Roman" w:cs="Times New Roman"/>
          <w:sz w:val="24"/>
          <w:szCs w:val="24"/>
        </w:rPr>
        <w:t>Scientific management, born in 1911, still resonates in business today. Lidl uses Taylorism and Fordism to some extent to help it reduce costs, increase productivity and improve profits. Lidl is a successful German chain of grocery stores, operating more than 10,800 stores in 32 countries (Lidl, 2020a). Currently, Lidl has more than 760 stores, 13 regional distribution centres and 22,000 employees in the UK (Lidl, 2020b). And Lidl already has 5.9% grocery stores market share in the UK (Statista, 2020). Its business model is to sell a large number of goods at low prices in small to medium-sized stores (Geppert et al., 2015). And its success depends partly on scientific management.</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One of the principles of scientific management techniques is to develop a best way to perform tasks through quantitative research and to set rules and regulations based on this method to improve performance (Sheldon, 2003). Lidl designed a large number of rules and regulations with precise details to ensure that tasks were completed quickly and accurately (Geppert et al, 2015). For example, cashiers in Lidl stores in Germany need to scan 40 items in one minute (Hamann and Giese, 2004). Grumbach (2008) points out that in Lidl, work tasks are set to be overloaded and time-constrained. In this way, the ability of employees can be maximized to improve the efficiency and profit of Lidl and reduce the cost.</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Second, based on scientific management, Lidl is also selecting staff. Most of Lidl's employees are part-time, but Lidl does not allow part-time employees to increase their employment in other companies in order to more accurate staffing (Grumbach, 2008). If an employee is caught working for another company at the same time, they can be dismissed (Bartlett and Ghoshal, 1989). Also for the purpose of ensuring availability, part-time employees must remain on call or they may face severe disciplinary measures (Hamann and Giese, 2004). Lidl also weeded out underperformers. One of the responsibilities of Lidl's regional managers is to put pressure on store managers to weed out employees who lack the ability to cope with high workload (Geppert and Pastuh, 2017).</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Furthermore, Lidl tries to ensure that employees follow the company's rules, methods and procedures. Lidl established a strict corporate culture and control measures, which required a lot of time management and ensured that everyone strictly followed the centralized rules and performance objectives (Geppert and Pastuh, 2017). The surveillance scandal of Lidl in 2008 revealed that Lidl sometimes even used illegal means to monitor employees (Geppert and Pastuh, 2017). Lidl monitors employees with hidden cameras and microphones in some of their stores, and based on recordings and observations, Lidl analyses employees' work processes, relationships with co-workers, and their overall attitudes toward employers (Amann and Tietz, 2012).</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And Lidl separates planning from execution. Lidl adopted a global standardization strategy, with little or no localization or change of product classification, store design, policies and procedures (Bartlett and Ghoshal, 1989). In addition, regional managers mainly perform business control tasks, while store managers are highly constrained by centrally set performance measures and budgets, which largely determine the allocation of work, leaving little room for autonomous decision-making (Artus, 2008).</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According to Fordism, Lidl, as a retail store, also standardized its workflow. Lidl places its products in the same location within different stores, and employees are required to follow a standard procedure to patrol the store and replenish (Geppert et al. 2015). This helps Lidl achieve some economies of scale and lower costs to some extent.</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And the salary standard set by Lidl is higher than the industry average, which helps Lidl attract new employees and is a compensation for low employment conditions and high pressure jobs (Geppert and Pastuh, 2017). Amann and Tietz (2012) point out that compared with demanding jobs, this kind of salary is valuable, because Lidl can obtain much more work output than the salary, thus reducing the labor cost.</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Moreover, through scientific management, Lidl has a low demand for skilled workers. Most of Lidl's employees are female, low-skilled and often of immigrant background (Artus, 2008). In a sense, this further helps Lidl to improve management efficiency, because employees will not leave under high-pressure work tasks, because it is difficult for them to find other jobs after leaving (Carré et al, 2010). And with standardization, Lidl stores need fewer employees. Lidl stores have an average of 20 employees, more than 80% of whom are part-time employees (Geppert et al. 2015). This also means that Lidl has more direct control over its employees.</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However, it is worth noting that Lidl did not avoid the limitations of scientific management techniques in the process of adopting them. Lidl's management practices have also suffer much criticism for its stores' inhuman" treatment, exploitative work practices and asymmetrical power relationships (Artus, 2008). It has the "total institution" element and attempts to "fully" control employee performance (Carré et al, 2010).</w:t>
      </w:r>
    </w:p>
    <w:p>
      <w:pPr>
        <w:spacing w:line="360" w:lineRule="auto"/>
        <w:rPr>
          <w:rFonts w:ascii="Times New Roman" w:hAnsi="Times New Roman" w:cs="Times New Roman"/>
          <w:sz w:val="24"/>
          <w:szCs w:val="24"/>
        </w:rPr>
      </w:pPr>
    </w:p>
    <w:p>
      <w:pPr>
        <w:spacing w:line="360" w:lineRule="auto"/>
        <w:rPr>
          <w:rFonts w:ascii="Times New Roman" w:hAnsi="Times New Roman" w:cs="Times New Roman"/>
          <w:b/>
          <w:bCs/>
          <w:sz w:val="24"/>
          <w:szCs w:val="24"/>
        </w:rPr>
      </w:pPr>
      <w:r>
        <w:rPr>
          <w:rFonts w:ascii="Times New Roman" w:hAnsi="Times New Roman" w:cs="Times New Roman"/>
          <w:b/>
          <w:bCs/>
          <w:sz w:val="24"/>
          <w:szCs w:val="24"/>
        </w:rPr>
        <w:t>Conclusion</w:t>
      </w:r>
    </w:p>
    <w:p>
      <w:pPr>
        <w:spacing w:line="360" w:lineRule="auto"/>
        <w:rPr>
          <w:rFonts w:ascii="Times New Roman" w:hAnsi="Times New Roman" w:cs="Times New Roman"/>
          <w:sz w:val="24"/>
          <w:szCs w:val="24"/>
        </w:rPr>
      </w:pPr>
      <w:r>
        <w:rPr>
          <w:rFonts w:ascii="Times New Roman" w:hAnsi="Times New Roman" w:cs="Times New Roman"/>
          <w:sz w:val="24"/>
          <w:szCs w:val="24"/>
        </w:rPr>
        <w:t>Taylorism and Fordism, as scientific management techniques, both help organizations manage their resources and improve their effectiveness and efficiency. Taylor points out that by conducting scientific research on the elements of work, the best way to perform a task can be discovered and laid the foundation for increased productivity. Through the selection and training of employees, organizations can obtain competent human resources and avoid the waste caused by traditional rules of thumb. Collaboration between management and employees ensures that employees conform to the organization's rules and regulations based on best practices, thereby enhancing the effectiveness of the organization. In turn, planning and execution are separated in scientific management, which based on the assumption that employees are lazy and lack the ability to make decisions. Finally, bonuses will be set up to encourage employees to be more efficient in completing tasks. On the basis of Taylorism, Ford believed that through standardization and assembly line, work efficiency could be further improved, cost could be reduced, economies of scale could be obtained, and the profitability of the organization could be improved. However, both Taylorism and Fordism are mired in criticism of dehumanization and less motivations. Under management practices of Taylorism, employees would become part of the machine. Lidl implemented Taylorism and Fordism to a certain extent, including setting strict and accurate rules and regulations, selecting employees, adopting centralized and standardized management, standardizing work processes, and setting high salaries. These scientific management techniques help Lidl reduce costs, achieve organizational goals, and improve effectiveness. But it has also been criticised for the lack of autonomy of store managers and staff, unequal power and exploitation of staff. Therefore, in general, Taylorism and Fordism are beneficial to organizational management, but their limitations cannot be ignored.</w:t>
      </w:r>
    </w:p>
    <w:p>
      <w:pPr>
        <w:widowControl/>
        <w:spacing w:line="360" w:lineRule="auto"/>
        <w:jc w:val="left"/>
        <w:rPr>
          <w:rFonts w:ascii="Times New Roman" w:hAnsi="Times New Roman" w:cs="Times New Roman"/>
          <w:sz w:val="24"/>
          <w:szCs w:val="24"/>
        </w:rPr>
      </w:pPr>
      <w:r>
        <w:rPr>
          <w:rFonts w:ascii="Times New Roman" w:hAnsi="Times New Roman" w:cs="Times New Roman"/>
          <w:sz w:val="24"/>
          <w:szCs w:val="24"/>
        </w:rPr>
        <w:br w:type="page"/>
      </w:r>
    </w:p>
    <w:p>
      <w:pPr>
        <w:spacing w:line="360" w:lineRule="auto"/>
        <w:rPr>
          <w:rFonts w:ascii="Times New Roman" w:hAnsi="Times New Roman" w:cs="Times New Roman"/>
          <w:b/>
          <w:bCs/>
          <w:sz w:val="24"/>
          <w:szCs w:val="24"/>
        </w:rPr>
      </w:pPr>
      <w:r>
        <w:rPr>
          <w:rFonts w:ascii="Times New Roman" w:hAnsi="Times New Roman" w:cs="Times New Roman"/>
          <w:b/>
          <w:bCs/>
          <w:sz w:val="24"/>
          <w:szCs w:val="24"/>
        </w:rPr>
        <w:t>R</w:t>
      </w:r>
      <w:r>
        <w:rPr>
          <w:rFonts w:hint="eastAsia" w:ascii="Times New Roman" w:hAnsi="Times New Roman" w:cs="Times New Roman"/>
          <w:b/>
          <w:bCs/>
          <w:sz w:val="24"/>
          <w:szCs w:val="24"/>
        </w:rPr>
        <w:t>eferences</w:t>
      </w:r>
    </w:p>
    <w:p>
      <w:pPr>
        <w:spacing w:line="360" w:lineRule="auto"/>
        <w:ind w:left="480" w:hanging="480" w:hangingChars="200"/>
        <w:rPr>
          <w:rFonts w:ascii="Times New Roman" w:hAnsi="Times New Roman" w:cs="Times New Roman"/>
          <w:sz w:val="24"/>
          <w:szCs w:val="24"/>
        </w:rPr>
      </w:pPr>
      <w:r>
        <w:rPr>
          <w:rFonts w:hint="eastAsia" w:ascii="Times New Roman" w:hAnsi="Times New Roman" w:cs="Times New Roman"/>
          <w:sz w:val="24"/>
          <w:szCs w:val="24"/>
        </w:rPr>
        <w:t>A</w:t>
      </w:r>
      <w:r>
        <w:rPr>
          <w:rFonts w:ascii="Times New Roman" w:hAnsi="Times New Roman" w:cs="Times New Roman"/>
          <w:sz w:val="24"/>
          <w:szCs w:val="24"/>
        </w:rPr>
        <w:t>lizon, F., Shooter, S.B., and Simpson, T.W. (2009) Henry Ford and the Model T: lessons for product platforming and mass customisation. Design Studies, 30(5). 588-605.</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Amann, S. &amp; Tietz, J. (2012) Konzern im Kontrollrausch. </w:t>
      </w:r>
      <w:r>
        <w:rPr>
          <w:rFonts w:ascii="Times New Roman" w:hAnsi="Times New Roman" w:cs="Times New Roman"/>
          <w:i/>
          <w:iCs/>
          <w:sz w:val="24"/>
          <w:szCs w:val="24"/>
        </w:rPr>
        <w:t>Der Spiegel</w:t>
      </w:r>
      <w:r>
        <w:rPr>
          <w:rFonts w:ascii="Times New Roman" w:hAnsi="Times New Roman" w:cs="Times New Roman"/>
          <w:sz w:val="24"/>
          <w:szCs w:val="24"/>
        </w:rPr>
        <w:t>, 30 April.</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Artus, I. (2008). </w:t>
      </w:r>
      <w:r>
        <w:rPr>
          <w:rFonts w:ascii="Times New Roman" w:hAnsi="Times New Roman" w:cs="Times New Roman"/>
          <w:i/>
          <w:iCs/>
          <w:sz w:val="24"/>
          <w:szCs w:val="24"/>
        </w:rPr>
        <w:t>Interessenhandeln jenseits der Norm. Mittelständische Betriebe und prekäre Dienstleistungsarbeit in Deutschland und Frankreich</w:t>
      </w:r>
      <w:r>
        <w:rPr>
          <w:rFonts w:ascii="Times New Roman" w:hAnsi="Times New Roman" w:cs="Times New Roman"/>
          <w:sz w:val="24"/>
          <w:szCs w:val="24"/>
        </w:rPr>
        <w:t>, Frankfurt am Main: Campus.</w:t>
      </w:r>
    </w:p>
    <w:p>
      <w:pPr>
        <w:spacing w:line="360" w:lineRule="auto"/>
        <w:ind w:left="480" w:hanging="480" w:hangingChars="200"/>
        <w:rPr>
          <w:rFonts w:ascii="Times New Roman" w:hAnsi="Times New Roman" w:cs="Times New Roman"/>
          <w:sz w:val="24"/>
          <w:szCs w:val="24"/>
        </w:rPr>
      </w:pPr>
      <w:bookmarkStart w:id="0" w:name="_Hlk35323122"/>
      <w:r>
        <w:rPr>
          <w:rFonts w:ascii="Times New Roman" w:hAnsi="Times New Roman" w:cs="Times New Roman"/>
          <w:sz w:val="24"/>
          <w:szCs w:val="24"/>
        </w:rPr>
        <w:t xml:space="preserve">Bartlett, C.A. &amp; Ghoshal, S. (1989). </w:t>
      </w:r>
      <w:r>
        <w:rPr>
          <w:rFonts w:ascii="Times New Roman" w:hAnsi="Times New Roman" w:cs="Times New Roman"/>
          <w:i/>
          <w:iCs/>
          <w:sz w:val="24"/>
          <w:szCs w:val="24"/>
        </w:rPr>
        <w:t>Managing across Borders: The Transnational Solution</w:t>
      </w:r>
      <w:r>
        <w:rPr>
          <w:rFonts w:ascii="Times New Roman" w:hAnsi="Times New Roman" w:cs="Times New Roman"/>
          <w:sz w:val="24"/>
          <w:szCs w:val="24"/>
        </w:rPr>
        <w:t>. Boston, MA: Harvard Business School Press.</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Blake, A.M. &amp; Moseley, J.L. (2010) One hundred years after The Principles of Scientific Management: Frederick Taylor's life and impact on the field of human performance technology. </w:t>
      </w:r>
      <w:r>
        <w:rPr>
          <w:rFonts w:ascii="Times New Roman" w:hAnsi="Times New Roman" w:cs="Times New Roman"/>
          <w:i/>
          <w:iCs/>
          <w:sz w:val="24"/>
          <w:szCs w:val="24"/>
        </w:rPr>
        <w:t>Performance Improvement</w:t>
      </w:r>
      <w:r>
        <w:rPr>
          <w:rFonts w:ascii="Times New Roman" w:hAnsi="Times New Roman" w:cs="Times New Roman"/>
          <w:sz w:val="24"/>
          <w:szCs w:val="24"/>
        </w:rPr>
        <w:t>, 49(4), 27-34.</w:t>
      </w:r>
    </w:p>
    <w:p>
      <w:pPr>
        <w:spacing w:line="360" w:lineRule="auto"/>
        <w:ind w:left="480" w:hanging="480" w:hangingChars="200"/>
        <w:rPr>
          <w:rFonts w:hint="eastAsia" w:ascii="Times New Roman" w:hAnsi="Times New Roman" w:cs="Times New Roman"/>
          <w:sz w:val="24"/>
          <w:szCs w:val="24"/>
        </w:rPr>
      </w:pPr>
      <w:r>
        <w:rPr>
          <w:rFonts w:hint="eastAsia" w:ascii="Times New Roman" w:hAnsi="Times New Roman" w:cs="Times New Roman"/>
          <w:sz w:val="24"/>
          <w:szCs w:val="24"/>
        </w:rPr>
        <w:t>C</w:t>
      </w:r>
      <w:r>
        <w:rPr>
          <w:rFonts w:ascii="Times New Roman" w:hAnsi="Times New Roman" w:cs="Times New Roman"/>
          <w:sz w:val="24"/>
          <w:szCs w:val="24"/>
        </w:rPr>
        <w:t>ald</w:t>
      </w:r>
      <w:r>
        <w:rPr>
          <w:rFonts w:hint="eastAsia" w:ascii="Times New Roman" w:hAnsi="Times New Roman" w:cs="Times New Roman"/>
          <w:sz w:val="24"/>
          <w:szCs w:val="24"/>
        </w:rPr>
        <w:t>ari,</w:t>
      </w:r>
      <w:r>
        <w:rPr>
          <w:rFonts w:ascii="Times New Roman" w:hAnsi="Times New Roman" w:cs="Times New Roman"/>
          <w:sz w:val="24"/>
          <w:szCs w:val="24"/>
        </w:rPr>
        <w:t xml:space="preserve"> K. (2007) Alfred Marshall’s critical analysis of scientific management. </w:t>
      </w:r>
      <w:r>
        <w:rPr>
          <w:rFonts w:ascii="Times New Roman" w:hAnsi="Times New Roman" w:cs="Times New Roman"/>
          <w:i/>
          <w:iCs/>
          <w:sz w:val="24"/>
          <w:szCs w:val="24"/>
        </w:rPr>
        <w:t>The European Journal of the History of Economic Thought</w:t>
      </w:r>
      <w:r>
        <w:rPr>
          <w:rFonts w:ascii="Times New Roman" w:hAnsi="Times New Roman" w:cs="Times New Roman"/>
          <w:sz w:val="24"/>
          <w:szCs w:val="24"/>
        </w:rPr>
        <w:t>, 14(1), 55-78.</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Carr</w:t>
      </w:r>
      <w:bookmarkStart w:id="1" w:name="_Hlk35321663"/>
      <w:r>
        <w:rPr>
          <w:rFonts w:ascii="Times New Roman" w:hAnsi="Times New Roman" w:cs="Times New Roman"/>
          <w:sz w:val="24"/>
          <w:szCs w:val="24"/>
        </w:rPr>
        <w:t>é</w:t>
      </w:r>
      <w:bookmarkEnd w:id="1"/>
      <w:r>
        <w:rPr>
          <w:rFonts w:ascii="Times New Roman" w:hAnsi="Times New Roman" w:cs="Times New Roman"/>
          <w:sz w:val="24"/>
          <w:szCs w:val="24"/>
        </w:rPr>
        <w:t xml:space="preserve">, F., Tilly, C. &amp; van Klaveren, M. (2010). </w:t>
      </w:r>
      <w:r>
        <w:rPr>
          <w:rFonts w:ascii="Times New Roman" w:hAnsi="Times New Roman" w:cs="Times New Roman"/>
          <w:i/>
          <w:iCs/>
          <w:sz w:val="24"/>
          <w:szCs w:val="24"/>
        </w:rPr>
        <w:t>Retail jobs in comparative perspective</w:t>
      </w:r>
      <w:r>
        <w:rPr>
          <w:rFonts w:ascii="Times New Roman" w:hAnsi="Times New Roman" w:cs="Times New Roman"/>
          <w:sz w:val="24"/>
          <w:szCs w:val="24"/>
        </w:rPr>
        <w:t>. In: Gautié, J, Schmitt, J (eds) Low-Wage Work in the Wealthy World, New York: Russell Sage Foundation, pp.211–268.</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Chyung, S.Y. (2005) Human performance technology: From</w:t>
      </w:r>
      <w:r>
        <w:rPr>
          <w:rFonts w:hint="eastAsia" w:ascii="Times New Roman" w:hAnsi="Times New Roman" w:cs="Times New Roman"/>
          <w:sz w:val="24"/>
          <w:szCs w:val="24"/>
        </w:rPr>
        <w:t xml:space="preserve"> </w:t>
      </w:r>
      <w:r>
        <w:rPr>
          <w:rFonts w:ascii="Times New Roman" w:hAnsi="Times New Roman" w:cs="Times New Roman"/>
          <w:sz w:val="24"/>
          <w:szCs w:val="24"/>
        </w:rPr>
        <w:t>Taylor’s scientific management to Gilbert’s behaviour engineering</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model. </w:t>
      </w:r>
      <w:r>
        <w:rPr>
          <w:rFonts w:ascii="Times New Roman" w:hAnsi="Times New Roman" w:cs="Times New Roman"/>
          <w:i/>
          <w:iCs/>
          <w:sz w:val="24"/>
          <w:szCs w:val="24"/>
        </w:rPr>
        <w:t>Performance Improvement</w:t>
      </w:r>
      <w:r>
        <w:rPr>
          <w:rFonts w:ascii="Times New Roman" w:hAnsi="Times New Roman" w:cs="Times New Roman"/>
          <w:sz w:val="24"/>
          <w:szCs w:val="24"/>
        </w:rPr>
        <w:t>, 44(1), 23–28.</w:t>
      </w:r>
    </w:p>
    <w:p>
      <w:pPr>
        <w:spacing w:line="360" w:lineRule="auto"/>
        <w:ind w:left="480" w:hanging="480" w:hangingChars="200"/>
        <w:rPr>
          <w:rFonts w:ascii="Times New Roman" w:hAnsi="Times New Roman" w:cs="Times New Roman"/>
          <w:sz w:val="24"/>
          <w:szCs w:val="24"/>
        </w:rPr>
      </w:pPr>
      <w:r>
        <w:rPr>
          <w:rFonts w:hint="eastAsia" w:ascii="Times New Roman" w:hAnsi="Times New Roman" w:cs="Times New Roman"/>
          <w:sz w:val="24"/>
          <w:szCs w:val="24"/>
        </w:rPr>
        <w:t>C</w:t>
      </w:r>
      <w:r>
        <w:rPr>
          <w:rFonts w:ascii="Times New Roman" w:hAnsi="Times New Roman" w:cs="Times New Roman"/>
          <w:sz w:val="24"/>
          <w:szCs w:val="24"/>
        </w:rPr>
        <w:t xml:space="preserve">opley, F.B. (1923) </w:t>
      </w:r>
      <w:r>
        <w:rPr>
          <w:rFonts w:ascii="Times New Roman" w:hAnsi="Times New Roman" w:cs="Times New Roman"/>
          <w:i/>
          <w:iCs/>
          <w:sz w:val="24"/>
          <w:szCs w:val="24"/>
        </w:rPr>
        <w:t>Fredrick W. Taylor, father of scientific management</w:t>
      </w:r>
      <w:r>
        <w:rPr>
          <w:rFonts w:ascii="Times New Roman" w:hAnsi="Times New Roman" w:cs="Times New Roman"/>
          <w:sz w:val="24"/>
          <w:szCs w:val="24"/>
        </w:rPr>
        <w:t>. London: Sage.</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Crowley, M. (2010) Neo-Taylorism at Work: Occupational Change in the Post-Fordist Era. </w:t>
      </w:r>
      <w:r>
        <w:rPr>
          <w:rFonts w:ascii="Times New Roman" w:hAnsi="Times New Roman" w:cs="Times New Roman"/>
          <w:i/>
          <w:iCs/>
          <w:sz w:val="24"/>
          <w:szCs w:val="24"/>
        </w:rPr>
        <w:t>Social Problems</w:t>
      </w:r>
      <w:r>
        <w:rPr>
          <w:rFonts w:ascii="Times New Roman" w:hAnsi="Times New Roman" w:cs="Times New Roman"/>
          <w:sz w:val="24"/>
          <w:szCs w:val="24"/>
        </w:rPr>
        <w:t>, 57(3), 421–447.</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Derksen, M., 2014. Turning Men into Machines? Scientific Management, Industrial Psychology, and the “Human Factor.” </w:t>
      </w:r>
      <w:r>
        <w:rPr>
          <w:rFonts w:ascii="Times New Roman" w:hAnsi="Times New Roman" w:cs="Times New Roman"/>
          <w:i/>
          <w:iCs/>
          <w:sz w:val="24"/>
          <w:szCs w:val="24"/>
        </w:rPr>
        <w:t>Journal of the History of the Behavioural Sciences</w:t>
      </w:r>
      <w:r>
        <w:rPr>
          <w:rFonts w:ascii="Times New Roman" w:hAnsi="Times New Roman" w:cs="Times New Roman"/>
          <w:sz w:val="24"/>
          <w:szCs w:val="24"/>
        </w:rPr>
        <w:t>, 50(2), 148–165.</w:t>
      </w:r>
    </w:p>
    <w:p>
      <w:pPr>
        <w:spacing w:line="360" w:lineRule="auto"/>
        <w:ind w:left="480" w:hanging="480" w:hangingChars="200"/>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Dewinter, J., Kocurek, C. &amp; Nichols, R. (2014) Taylorism 2.0: Gamification, scientific management and the capitalist appropriation of play. </w:t>
      </w:r>
      <w:r>
        <w:rPr>
          <w:rFonts w:ascii="Times New Roman" w:hAnsi="Times New Roman" w:cs="Times New Roman"/>
          <w:i/>
          <w:iCs/>
          <w:color w:val="3A3A3A"/>
          <w:sz w:val="24"/>
          <w:szCs w:val="24"/>
          <w:shd w:val="clear" w:color="auto" w:fill="FFFFFF"/>
        </w:rPr>
        <w:t>Journal of Gaming &amp; Virtual Worlds</w:t>
      </w:r>
      <w:r>
        <w:rPr>
          <w:rFonts w:ascii="Times New Roman" w:hAnsi="Times New Roman" w:cs="Times New Roman"/>
          <w:color w:val="3A3A3A"/>
          <w:sz w:val="24"/>
          <w:szCs w:val="24"/>
          <w:shd w:val="clear" w:color="auto" w:fill="FFFFFF"/>
        </w:rPr>
        <w:t>, 6(2), 109–127.</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Doray, B. (1988) </w:t>
      </w:r>
      <w:r>
        <w:rPr>
          <w:rFonts w:ascii="Times New Roman" w:hAnsi="Times New Roman" w:cs="Times New Roman"/>
          <w:i/>
          <w:iCs/>
          <w:sz w:val="24"/>
          <w:szCs w:val="24"/>
        </w:rPr>
        <w:t>From Taylorism to Fordism: A Rational Madness.</w:t>
      </w:r>
      <w:r>
        <w:rPr>
          <w:rFonts w:ascii="Times New Roman" w:hAnsi="Times New Roman" w:cs="Times New Roman"/>
          <w:sz w:val="24"/>
          <w:szCs w:val="24"/>
        </w:rPr>
        <w:t xml:space="preserve"> London: Free Association Books.</w:t>
      </w:r>
    </w:p>
    <w:p>
      <w:pPr>
        <w:spacing w:line="360" w:lineRule="auto"/>
        <w:ind w:left="480" w:hanging="480" w:hangingChars="200"/>
        <w:rPr>
          <w:rFonts w:ascii="Times New Roman" w:hAnsi="Times New Roman" w:cs="Times New Roman"/>
          <w:sz w:val="24"/>
          <w:szCs w:val="24"/>
        </w:rPr>
      </w:pPr>
      <w:r>
        <w:rPr>
          <w:rFonts w:hint="eastAsia" w:ascii="Times New Roman" w:hAnsi="Times New Roman" w:cs="Times New Roman"/>
          <w:sz w:val="24"/>
          <w:szCs w:val="24"/>
        </w:rPr>
        <w:t>G</w:t>
      </w:r>
      <w:r>
        <w:rPr>
          <w:rFonts w:ascii="Times New Roman" w:hAnsi="Times New Roman" w:cs="Times New Roman"/>
          <w:sz w:val="24"/>
          <w:szCs w:val="24"/>
        </w:rPr>
        <w:t>antt, H.L. and Taylor, F. (2007) The pioneers of scientific management. AACE International Transactions, 1-15.</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Gartman, D. (2009) </w:t>
      </w:r>
      <w:r>
        <w:rPr>
          <w:rFonts w:ascii="Times New Roman" w:hAnsi="Times New Roman" w:cs="Times New Roman"/>
          <w:i/>
          <w:iCs/>
          <w:sz w:val="24"/>
          <w:szCs w:val="24"/>
        </w:rPr>
        <w:t>From autos to architecture: Fordism and architectural aesthetics in the twentieth century</w:t>
      </w:r>
      <w:r>
        <w:rPr>
          <w:rFonts w:ascii="Times New Roman" w:hAnsi="Times New Roman" w:cs="Times New Roman"/>
          <w:sz w:val="24"/>
          <w:szCs w:val="24"/>
        </w:rPr>
        <w:t>, New York: Princeton Architectural Press.</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Geppert, M., Williams, K. &amp; Wortmann, M. (2015) Micro-political game playing in Lidl: A comparison of store-level employment relations. </w:t>
      </w:r>
      <w:r>
        <w:rPr>
          <w:rFonts w:ascii="Times New Roman" w:hAnsi="Times New Roman" w:cs="Times New Roman"/>
          <w:i/>
          <w:iCs/>
          <w:sz w:val="24"/>
          <w:szCs w:val="24"/>
        </w:rPr>
        <w:t>European Journal of Industrial Relations</w:t>
      </w:r>
      <w:r>
        <w:rPr>
          <w:rFonts w:ascii="Times New Roman" w:hAnsi="Times New Roman" w:cs="Times New Roman"/>
          <w:sz w:val="24"/>
          <w:szCs w:val="24"/>
        </w:rPr>
        <w:t>, 21(3), 241-257.</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Grumbach, D. (2008) Die machen einem die Ho¨lle heiß! Schlechte Arbeitsbedingungen bei Deutschlands</w:t>
      </w:r>
      <w:r>
        <w:rPr>
          <w:rFonts w:hint="eastAsia" w:ascii="Times New Roman" w:hAnsi="Times New Roman" w:cs="Times New Roman"/>
          <w:sz w:val="24"/>
          <w:szCs w:val="24"/>
        </w:rPr>
        <w:t xml:space="preserve"> </w:t>
      </w:r>
      <w:r>
        <w:rPr>
          <w:rFonts w:ascii="Times New Roman" w:hAnsi="Times New Roman" w:cs="Times New Roman"/>
          <w:sz w:val="24"/>
          <w:szCs w:val="24"/>
        </w:rPr>
        <w:t>Discountern.</w:t>
      </w:r>
      <w:r>
        <w:rPr>
          <w:rFonts w:ascii="Times New Roman" w:hAnsi="Times New Roman" w:cs="Times New Roman"/>
          <w:i/>
          <w:iCs/>
          <w:sz w:val="24"/>
          <w:szCs w:val="24"/>
        </w:rPr>
        <w:t xml:space="preserve"> Deutschlandfunk</w:t>
      </w:r>
      <w:r>
        <w:rPr>
          <w:rFonts w:ascii="Times New Roman" w:hAnsi="Times New Roman" w:cs="Times New Roman"/>
          <w:sz w:val="24"/>
          <w:szCs w:val="24"/>
        </w:rPr>
        <w:t>, 1 May.</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Guidotti, T.L. (2011) Taylorism, the Aging Workforce, and the Biopsychosocial Model. </w:t>
      </w:r>
      <w:r>
        <w:rPr>
          <w:rFonts w:ascii="Times New Roman" w:hAnsi="Times New Roman" w:cs="Times New Roman"/>
          <w:i/>
          <w:iCs/>
          <w:sz w:val="24"/>
          <w:szCs w:val="24"/>
        </w:rPr>
        <w:t>Archives of Environmental &amp; Occupational Health</w:t>
      </w:r>
      <w:r>
        <w:rPr>
          <w:rFonts w:ascii="Times New Roman" w:hAnsi="Times New Roman" w:cs="Times New Roman"/>
          <w:sz w:val="24"/>
          <w:szCs w:val="24"/>
        </w:rPr>
        <w:t>, 66(4), 191-192.</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Hamann, A. &amp; Giese, G. (2004) </w:t>
      </w:r>
      <w:r>
        <w:rPr>
          <w:rFonts w:ascii="Times New Roman" w:hAnsi="Times New Roman" w:cs="Times New Roman"/>
          <w:i/>
          <w:iCs/>
          <w:sz w:val="24"/>
          <w:szCs w:val="24"/>
        </w:rPr>
        <w:t>Schwarz-Buch Lidl. Billig auf Kosten der Beschäftigten</w:t>
      </w:r>
      <w:r>
        <w:rPr>
          <w:rFonts w:ascii="Times New Roman" w:hAnsi="Times New Roman" w:cs="Times New Roman"/>
          <w:sz w:val="24"/>
          <w:szCs w:val="24"/>
        </w:rPr>
        <w:t>. Berlin: ver.di.</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Kanigel, R. (1997) </w:t>
      </w:r>
      <w:r>
        <w:rPr>
          <w:rFonts w:ascii="Times New Roman" w:hAnsi="Times New Roman" w:cs="Times New Roman"/>
          <w:i/>
          <w:iCs/>
          <w:sz w:val="24"/>
          <w:szCs w:val="24"/>
        </w:rPr>
        <w:t>The one best way: Frederick Winslow Taylor and the enigma of efficiency.</w:t>
      </w:r>
      <w:r>
        <w:rPr>
          <w:rFonts w:ascii="Times New Roman" w:hAnsi="Times New Roman" w:cs="Times New Roman"/>
          <w:sz w:val="24"/>
          <w:szCs w:val="24"/>
        </w:rPr>
        <w:t xml:space="preserve"> New York: Viking Penguin.</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Lidl. (2020a) </w:t>
      </w:r>
      <w:r>
        <w:rPr>
          <w:rFonts w:ascii="Times New Roman" w:hAnsi="Times New Roman" w:cs="Times New Roman"/>
          <w:i/>
          <w:iCs/>
          <w:sz w:val="24"/>
          <w:szCs w:val="24"/>
        </w:rPr>
        <w:t>Welcome to Lidl</w:t>
      </w:r>
      <w:r>
        <w:rPr>
          <w:rFonts w:ascii="Times New Roman" w:hAnsi="Times New Roman" w:cs="Times New Roman"/>
          <w:sz w:val="24"/>
          <w:szCs w:val="24"/>
        </w:rPr>
        <w:t xml:space="preserve"> [Online], Available from: </w:t>
      </w:r>
      <w:r>
        <w:fldChar w:fldCharType="begin"/>
      </w:r>
      <w:r>
        <w:instrText xml:space="preserve"> HYPERLINK "https://info.lidl/en" </w:instrText>
      </w:r>
      <w:r>
        <w:fldChar w:fldCharType="separate"/>
      </w:r>
      <w:r>
        <w:rPr>
          <w:rStyle w:val="7"/>
          <w:rFonts w:ascii="Times New Roman" w:hAnsi="Times New Roman" w:cs="Times New Roman"/>
          <w:sz w:val="24"/>
          <w:szCs w:val="24"/>
        </w:rPr>
        <w:t>https://info.lidl/en</w:t>
      </w:r>
      <w:r>
        <w:rPr>
          <w:rStyle w:val="7"/>
          <w:rFonts w:ascii="Times New Roman" w:hAnsi="Times New Roman" w:cs="Times New Roman"/>
          <w:sz w:val="24"/>
          <w:szCs w:val="24"/>
        </w:rPr>
        <w:fldChar w:fldCharType="end"/>
      </w:r>
      <w:r>
        <w:rPr>
          <w:rFonts w:hint="eastAsia" w:ascii="Times New Roman" w:hAnsi="Times New Roman" w:cs="Times New Roman"/>
          <w:sz w:val="24"/>
          <w:szCs w:val="24"/>
        </w:rPr>
        <w:t xml:space="preserve"> </w:t>
      </w:r>
      <w:r>
        <w:rPr>
          <w:rFonts w:ascii="Times New Roman" w:hAnsi="Times New Roman" w:cs="Times New Roman"/>
          <w:sz w:val="24"/>
          <w:szCs w:val="24"/>
        </w:rPr>
        <w:t>[Accessed 4 March 2020].</w:t>
      </w:r>
    </w:p>
    <w:p>
      <w:pPr>
        <w:spacing w:line="360" w:lineRule="auto"/>
        <w:ind w:left="480" w:hanging="480" w:hangingChars="200"/>
        <w:jc w:val="left"/>
        <w:rPr>
          <w:rFonts w:ascii="Times New Roman" w:hAnsi="Times New Roman" w:cs="Times New Roman"/>
          <w:sz w:val="24"/>
          <w:szCs w:val="24"/>
        </w:rPr>
      </w:pPr>
      <w:r>
        <w:rPr>
          <w:rFonts w:ascii="Times New Roman" w:hAnsi="Times New Roman" w:cs="Times New Roman"/>
          <w:sz w:val="24"/>
          <w:szCs w:val="24"/>
        </w:rPr>
        <w:t xml:space="preserve">Lidl. (2020b) </w:t>
      </w:r>
      <w:r>
        <w:rPr>
          <w:rFonts w:ascii="Times New Roman" w:hAnsi="Times New Roman" w:cs="Times New Roman"/>
          <w:i/>
          <w:iCs/>
          <w:sz w:val="24"/>
          <w:szCs w:val="24"/>
        </w:rPr>
        <w:t>Lidl</w:t>
      </w:r>
      <w:r>
        <w:rPr>
          <w:rFonts w:ascii="Times New Roman" w:hAnsi="Times New Roman" w:cs="Times New Roman"/>
          <w:sz w:val="24"/>
          <w:szCs w:val="24"/>
        </w:rPr>
        <w:t xml:space="preserve"> [Online], Available from: </w:t>
      </w:r>
      <w:r>
        <w:fldChar w:fldCharType="begin"/>
      </w:r>
      <w:r>
        <w:instrText xml:space="preserve"> HYPERLINK "https://uk.trustpilot.com/review/www.lidl.co.uk" </w:instrText>
      </w:r>
      <w:r>
        <w:fldChar w:fldCharType="separate"/>
      </w:r>
      <w:r>
        <w:rPr>
          <w:rStyle w:val="7"/>
          <w:rFonts w:ascii="Times New Roman" w:hAnsi="Times New Roman" w:cs="Times New Roman"/>
          <w:sz w:val="24"/>
          <w:szCs w:val="24"/>
        </w:rPr>
        <w:t>https://uk.trustpilot.com/review/www.lidl.co.uk</w:t>
      </w:r>
      <w:r>
        <w:rPr>
          <w:rStyle w:val="7"/>
          <w:rFonts w:ascii="Times New Roman" w:hAnsi="Times New Roman" w:cs="Times New Roman"/>
          <w:sz w:val="24"/>
          <w:szCs w:val="24"/>
        </w:rPr>
        <w:fldChar w:fldCharType="end"/>
      </w:r>
      <w:r>
        <w:rPr>
          <w:rFonts w:ascii="Times New Roman" w:hAnsi="Times New Roman" w:cs="Times New Roman"/>
          <w:sz w:val="24"/>
          <w:szCs w:val="24"/>
        </w:rPr>
        <w:t xml:space="preserve"> [</w:t>
      </w:r>
      <w:bookmarkStart w:id="2" w:name="_Hlk35320986"/>
      <w:r>
        <w:rPr>
          <w:rFonts w:ascii="Times New Roman" w:hAnsi="Times New Roman" w:cs="Times New Roman"/>
          <w:sz w:val="24"/>
          <w:szCs w:val="24"/>
        </w:rPr>
        <w:t>Accessed 4 March 2020</w:t>
      </w:r>
      <w:bookmarkEnd w:id="2"/>
      <w:r>
        <w:rPr>
          <w:rFonts w:ascii="Times New Roman" w:hAnsi="Times New Roman" w:cs="Times New Roman"/>
          <w:sz w:val="24"/>
          <w:szCs w:val="24"/>
        </w:rPr>
        <w:t>].</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Nelson, D. (1980) </w:t>
      </w:r>
      <w:r>
        <w:rPr>
          <w:rFonts w:ascii="Times New Roman" w:hAnsi="Times New Roman" w:cs="Times New Roman"/>
          <w:i/>
          <w:iCs/>
          <w:sz w:val="24"/>
          <w:szCs w:val="24"/>
        </w:rPr>
        <w:t>Frederick W. Taylor and the rise of scientific management.</w:t>
      </w:r>
      <w:r>
        <w:rPr>
          <w:rFonts w:ascii="Times New Roman" w:hAnsi="Times New Roman" w:cs="Times New Roman"/>
          <w:sz w:val="24"/>
          <w:szCs w:val="24"/>
        </w:rPr>
        <w:t xml:space="preserve"> Madison: University of Wisconsin Press.</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Olson, R., (2016) </w:t>
      </w:r>
      <w:r>
        <w:rPr>
          <w:rFonts w:ascii="Times New Roman" w:hAnsi="Times New Roman" w:cs="Times New Roman"/>
          <w:i/>
          <w:iCs/>
          <w:sz w:val="24"/>
          <w:szCs w:val="24"/>
        </w:rPr>
        <w:t>Scientism and technocracy in the twentieth century: the legacy of scientific management.</w:t>
      </w:r>
      <w:r>
        <w:rPr>
          <w:rFonts w:ascii="Times New Roman" w:hAnsi="Times New Roman" w:cs="Times New Roman"/>
          <w:sz w:val="24"/>
          <w:szCs w:val="24"/>
        </w:rPr>
        <w:t xml:space="preserve"> Lanham, Maryland: Lexington Books.</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Sheldon, O., (2003)</w:t>
      </w:r>
      <w:r>
        <w:rPr>
          <w:rFonts w:ascii="Times New Roman" w:hAnsi="Times New Roman" w:cs="Times New Roman"/>
          <w:i/>
          <w:iCs/>
          <w:sz w:val="24"/>
          <w:szCs w:val="24"/>
        </w:rPr>
        <w:t xml:space="preserve"> The philosophy of management.</w:t>
      </w:r>
      <w:r>
        <w:rPr>
          <w:rFonts w:ascii="Times New Roman" w:hAnsi="Times New Roman" w:cs="Times New Roman"/>
          <w:sz w:val="24"/>
          <w:szCs w:val="24"/>
        </w:rPr>
        <w:t xml:space="preserve"> London: Routledge.</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Statista. (2020) </w:t>
      </w:r>
      <w:r>
        <w:rPr>
          <w:rFonts w:ascii="Times New Roman" w:hAnsi="Times New Roman" w:cs="Times New Roman"/>
          <w:i/>
          <w:iCs/>
          <w:sz w:val="24"/>
          <w:szCs w:val="24"/>
        </w:rPr>
        <w:t>Market share of grocery stores in Great Britain from January 2015 to January 2020</w:t>
      </w:r>
      <w:r>
        <w:rPr>
          <w:rFonts w:ascii="Times New Roman" w:hAnsi="Times New Roman" w:cs="Times New Roman"/>
          <w:sz w:val="24"/>
          <w:szCs w:val="24"/>
        </w:rPr>
        <w:t xml:space="preserve"> [Online], Available from: </w:t>
      </w:r>
      <w:r>
        <w:fldChar w:fldCharType="begin"/>
      </w:r>
      <w:r>
        <w:instrText xml:space="preserve"> HYPERLINK "https://www.statista.com/statistics/280208/grocery-market-share-in-the-united-kingdom-uk/" </w:instrText>
      </w:r>
      <w:r>
        <w:fldChar w:fldCharType="separate"/>
      </w:r>
      <w:r>
        <w:rPr>
          <w:rFonts w:ascii="Times New Roman" w:hAnsi="Times New Roman" w:cs="Times New Roman"/>
          <w:color w:val="0563C1"/>
          <w:sz w:val="24"/>
          <w:szCs w:val="24"/>
          <w:u w:val="single"/>
        </w:rPr>
        <w:t>https://www.statista.com/statistics/280208/grocery-market-share-in-the-united-kingdom-uk/</w:t>
      </w:r>
      <w:r>
        <w:rPr>
          <w:rFonts w:ascii="Times New Roman" w:hAnsi="Times New Roman" w:cs="Times New Roman"/>
          <w:color w:val="0563C1"/>
          <w:sz w:val="24"/>
          <w:szCs w:val="24"/>
          <w:u w:val="single"/>
        </w:rPr>
        <w:fldChar w:fldCharType="end"/>
      </w:r>
      <w:r>
        <w:rPr>
          <w:rFonts w:ascii="Times New Roman" w:hAnsi="Times New Roman" w:cs="Times New Roman"/>
          <w:sz w:val="24"/>
          <w:szCs w:val="24"/>
        </w:rPr>
        <w:t>, [Accessed 15 March 2020].</w:t>
      </w:r>
    </w:p>
    <w:p>
      <w:pPr>
        <w:spacing w:line="360" w:lineRule="auto"/>
        <w:ind w:left="480" w:hanging="480" w:hangingChars="200"/>
        <w:rPr>
          <w:rFonts w:ascii="Times New Roman" w:hAnsi="Times New Roman" w:cs="Times New Roman"/>
          <w:sz w:val="24"/>
          <w:szCs w:val="24"/>
        </w:rPr>
      </w:pPr>
      <w:r>
        <w:rPr>
          <w:rFonts w:ascii="Times New Roman" w:hAnsi="Times New Roman" w:cs="Times New Roman"/>
          <w:sz w:val="24"/>
          <w:szCs w:val="24"/>
        </w:rPr>
        <w:t xml:space="preserve">Taylor, F.W. (1991) </w:t>
      </w:r>
      <w:r>
        <w:rPr>
          <w:rFonts w:ascii="Times New Roman" w:hAnsi="Times New Roman" w:cs="Times New Roman"/>
          <w:i/>
          <w:iCs/>
          <w:sz w:val="24"/>
          <w:szCs w:val="24"/>
        </w:rPr>
        <w:t>The Principles of Scientific Management</w:t>
      </w:r>
      <w:r>
        <w:rPr>
          <w:rFonts w:ascii="Times New Roman" w:hAnsi="Times New Roman" w:cs="Times New Roman"/>
          <w:sz w:val="24"/>
          <w:szCs w:val="24"/>
        </w:rPr>
        <w:t>. New York: Harper &amp; Brothers.</w:t>
      </w:r>
    </w:p>
    <w:bookmarkEnd w:id="0"/>
    <w:p>
      <w:pPr>
        <w:rPr>
          <w:rFonts w:hint="eastAsia" w:ascii="Times New Roman" w:hAnsi="Times New Roman" w:cs="Times New Roman"/>
          <w:sz w:val="24"/>
          <w:szCs w:val="24"/>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43448792"/>
      <w:docPartObj>
        <w:docPartGallery w:val="AutoText"/>
      </w:docPartObj>
    </w:sdtPr>
    <w:sdtEndPr>
      <w:rPr>
        <w:rFonts w:ascii="Times New Roman" w:hAnsi="Times New Roman" w:cs="Times New Roman"/>
        <w:sz w:val="24"/>
        <w:szCs w:val="24"/>
      </w:rPr>
    </w:sdtEndPr>
    <w:sdtContent>
      <w:p>
        <w:pPr>
          <w:pStyle w:val="3"/>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rPr>
          <w:t>2</w:t>
        </w:r>
        <w:r>
          <w:rPr>
            <w:rFonts w:ascii="Times New Roman" w:hAnsi="Times New Roman" w:cs="Times New Roman"/>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14E"/>
    <w:rsid w:val="00023F2D"/>
    <w:rsid w:val="00030F9A"/>
    <w:rsid w:val="00032B98"/>
    <w:rsid w:val="00050290"/>
    <w:rsid w:val="000D0652"/>
    <w:rsid w:val="000F79C7"/>
    <w:rsid w:val="001918A0"/>
    <w:rsid w:val="001C7765"/>
    <w:rsid w:val="001F7E92"/>
    <w:rsid w:val="00200423"/>
    <w:rsid w:val="00213B6E"/>
    <w:rsid w:val="00233646"/>
    <w:rsid w:val="00250D84"/>
    <w:rsid w:val="002C1902"/>
    <w:rsid w:val="002C5643"/>
    <w:rsid w:val="002E5D96"/>
    <w:rsid w:val="00324A8B"/>
    <w:rsid w:val="00330BE7"/>
    <w:rsid w:val="003C38CD"/>
    <w:rsid w:val="003C75C8"/>
    <w:rsid w:val="003C7DF4"/>
    <w:rsid w:val="004367EA"/>
    <w:rsid w:val="00437A14"/>
    <w:rsid w:val="00446FCF"/>
    <w:rsid w:val="00447AA1"/>
    <w:rsid w:val="00460641"/>
    <w:rsid w:val="00530C38"/>
    <w:rsid w:val="00567469"/>
    <w:rsid w:val="005A19FD"/>
    <w:rsid w:val="006365AA"/>
    <w:rsid w:val="006B77D4"/>
    <w:rsid w:val="006C01FF"/>
    <w:rsid w:val="006C0E7C"/>
    <w:rsid w:val="006D4D36"/>
    <w:rsid w:val="006D6050"/>
    <w:rsid w:val="00731B27"/>
    <w:rsid w:val="007D5EBF"/>
    <w:rsid w:val="00843C10"/>
    <w:rsid w:val="00857C91"/>
    <w:rsid w:val="00957C2D"/>
    <w:rsid w:val="00960443"/>
    <w:rsid w:val="0096433A"/>
    <w:rsid w:val="009B24E8"/>
    <w:rsid w:val="00A263C1"/>
    <w:rsid w:val="00A5786D"/>
    <w:rsid w:val="00A75E01"/>
    <w:rsid w:val="00A84B48"/>
    <w:rsid w:val="00AE1404"/>
    <w:rsid w:val="00AE6A11"/>
    <w:rsid w:val="00AF5976"/>
    <w:rsid w:val="00B127C0"/>
    <w:rsid w:val="00B837EA"/>
    <w:rsid w:val="00BE71B5"/>
    <w:rsid w:val="00BF31AC"/>
    <w:rsid w:val="00BF4A8B"/>
    <w:rsid w:val="00C24377"/>
    <w:rsid w:val="00C256BE"/>
    <w:rsid w:val="00C34DD6"/>
    <w:rsid w:val="00C35FDC"/>
    <w:rsid w:val="00C43E7B"/>
    <w:rsid w:val="00CB1A3F"/>
    <w:rsid w:val="00D00099"/>
    <w:rsid w:val="00D00173"/>
    <w:rsid w:val="00D76C94"/>
    <w:rsid w:val="00DE3C37"/>
    <w:rsid w:val="00E72068"/>
    <w:rsid w:val="00E758C1"/>
    <w:rsid w:val="00EA6F85"/>
    <w:rsid w:val="00EC07BC"/>
    <w:rsid w:val="00F03FA6"/>
    <w:rsid w:val="00F6214E"/>
    <w:rsid w:val="00F9423B"/>
    <w:rsid w:val="00F9680F"/>
    <w:rsid w:val="00FF19B8"/>
    <w:rsid w:val="1CC35F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GB" w:eastAsia="zh-CN" w:bidi="ar-SA"/>
    </w:rPr>
  </w:style>
  <w:style w:type="paragraph" w:styleId="2">
    <w:name w:val="heading 1"/>
    <w:next w:val="1"/>
    <w:qFormat/>
    <w:uiPriority w:val="9"/>
    <w:pPr>
      <w:keepNext/>
      <w:keepLines/>
      <w:spacing w:before="100" w:beforeLines="100" w:after="100" w:afterLines="100" w:line="259" w:lineRule="auto"/>
      <w:outlineLvl w:val="0"/>
    </w:pPr>
    <w:rPr>
      <w:rFonts w:ascii="Times New Roman" w:hAnsi="Times New Roman" w:eastAsia="Times New Roman" w:cs="Times New Roman"/>
      <w:b/>
      <w:color w:val="000000"/>
      <w:kern w:val="0"/>
      <w:sz w:val="22"/>
      <w:szCs w:val="22"/>
      <w:lang w:val="en-GB" w:eastAsia="zh-CN" w:bidi="ar-SA"/>
    </w:rPr>
  </w:style>
  <w:style w:type="character" w:default="1" w:styleId="6">
    <w:name w:val="Default Paragraph Font"/>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unhideWhenUsed/>
    <w:uiPriority w:val="99"/>
    <w:rPr>
      <w:color w:val="0563C1" w:themeColor="hyperlink"/>
      <w:u w:val="single"/>
      <w14:textFill>
        <w14:solidFill>
          <w14:schemeClr w14:val="hlink"/>
        </w14:solidFill>
      </w14:textFill>
    </w:rPr>
  </w:style>
  <w:style w:type="character" w:customStyle="1" w:styleId="8">
    <w:name w:val="页眉 字符"/>
    <w:basedOn w:val="6"/>
    <w:link w:val="4"/>
    <w:uiPriority w:val="99"/>
    <w:rPr>
      <w:sz w:val="18"/>
      <w:szCs w:val="18"/>
      <w:lang w:val="en-GB"/>
    </w:rPr>
  </w:style>
  <w:style w:type="character" w:customStyle="1" w:styleId="9">
    <w:name w:val="页脚 字符"/>
    <w:basedOn w:val="6"/>
    <w:link w:val="3"/>
    <w:uiPriority w:val="99"/>
    <w:rPr>
      <w:sz w:val="18"/>
      <w:szCs w:val="18"/>
      <w:lang w:val="en-GB"/>
    </w:rPr>
  </w:style>
  <w:style w:type="character" w:customStyle="1" w:styleId="10">
    <w:name w:val="Unresolved Mention"/>
    <w:basedOn w:val="6"/>
    <w:semiHidden/>
    <w:unhideWhenUsed/>
    <w:uiPriority w:val="99"/>
    <w:rPr>
      <w:color w:val="605E5C"/>
      <w:shd w:val="clear" w:color="auto" w:fill="E1DFDD"/>
    </w:rPr>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2936</Words>
  <Characters>16741</Characters>
  <Lines>139</Lines>
  <Paragraphs>39</Paragraphs>
  <TotalTime>1</TotalTime>
  <ScaleCrop>false</ScaleCrop>
  <LinksUpToDate>false</LinksUpToDate>
  <CharactersWithSpaces>19638</CharactersWithSpaces>
  <Application>WPS Office_11.1.0.9440_F1E327BC-269C-435d-A152-05C5408002CA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2020-03-16T21:00:00Z</dcterms:created>
  <dc:creator>吕 厚霖</dc:creator>
  <cp:lastModifiedBy>清空记忆</cp:lastModifiedBy>
  <dcterms:modified xsi:type="dcterms:W3CDTF">2020-03-16T23:59:10Z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