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2012476973"/>
        <w:docPartObj>
          <w:docPartGallery w:val="Cover Pages"/>
          <w:docPartUnique/>
        </w:docPartObj>
      </w:sdtPr>
      <w:sdtEndPr>
        <w:rPr>
          <w:rFonts w:eastAsia="Arial"/>
          <w:sz w:val="22"/>
        </w:rPr>
      </w:sdtEndPr>
      <w:sdtContent>
        <w:p w14:paraId="1C87E239" w14:textId="0032E7F9" w:rsidR="003D121A" w:rsidRDefault="003D121A">
          <w:pPr>
            <w:pStyle w:val="NoSpacing"/>
            <w:rPr>
              <w:sz w:val="2"/>
            </w:rPr>
          </w:pPr>
        </w:p>
        <w:p w14:paraId="23FE5915" w14:textId="1C4BD4B1" w:rsidR="003D121A" w:rsidRDefault="003D121A">
          <w:r>
            <w:rPr>
              <w:noProof/>
              <w:color w:val="4472C4" w:themeColor="accent1"/>
              <w:sz w:val="36"/>
              <w:szCs w:val="36"/>
            </w:rPr>
            <mc:AlternateContent>
              <mc:Choice Requires="wpg">
                <w:drawing>
                  <wp:anchor distT="0" distB="0" distL="114300" distR="114300" simplePos="0" relativeHeight="251656704" behindDoc="1" locked="0" layoutInCell="1" allowOverlap="1" wp14:anchorId="495A6F07" wp14:editId="2EBC159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539BBE" id="Group 2" o:spid="_x0000_s1026" style="position:absolute;margin-left:0;margin-top:0;width:432.65pt;height:448.55pt;z-index:-2516597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4656" behindDoc="0" locked="0" layoutInCell="1" allowOverlap="1" wp14:anchorId="2A99A949" wp14:editId="640026E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1BEB9" w14:textId="3151D20D" w:rsidR="003D121A" w:rsidRDefault="00F6114A">
                                <w:pPr>
                                  <w:pStyle w:val="NoSpacing"/>
                                  <w:jc w:val="right"/>
                                  <w:rPr>
                                    <w:color w:val="4472C4" w:themeColor="accent1"/>
                                    <w:sz w:val="36"/>
                                    <w:szCs w:val="36"/>
                                  </w:rPr>
                                </w:pPr>
                                <w:r>
                                  <w:rPr>
                                    <w:color w:val="4472C4" w:themeColor="accent1"/>
                                    <w:sz w:val="36"/>
                                    <w:szCs w:val="36"/>
                                  </w:rPr>
                                  <w:t>Student Name: Tayyaba Anmol</w:t>
                                </w:r>
                              </w:p>
                              <w:p w14:paraId="70350DF1" w14:textId="339A5116" w:rsidR="00F6114A" w:rsidRDefault="00F6114A">
                                <w:pPr>
                                  <w:pStyle w:val="NoSpacing"/>
                                  <w:jc w:val="right"/>
                                  <w:rPr>
                                    <w:color w:val="4472C4" w:themeColor="accent1"/>
                                    <w:sz w:val="36"/>
                                    <w:szCs w:val="36"/>
                                  </w:rPr>
                                </w:pPr>
                                <w:r>
                                  <w:rPr>
                                    <w:color w:val="4472C4" w:themeColor="accent1"/>
                                    <w:sz w:val="36"/>
                                    <w:szCs w:val="36"/>
                                  </w:rPr>
                                  <w:t>Student Number: 2211907</w:t>
                                </w:r>
                              </w:p>
                              <w:p w14:paraId="3342EC4C" w14:textId="54EA2DC9" w:rsidR="00F6114A" w:rsidRDefault="00F6114A">
                                <w:pPr>
                                  <w:pStyle w:val="NoSpacing"/>
                                  <w:jc w:val="right"/>
                                  <w:rPr>
                                    <w:color w:val="4472C4" w:themeColor="accent1"/>
                                    <w:sz w:val="36"/>
                                    <w:szCs w:val="36"/>
                                  </w:rPr>
                                </w:pPr>
                                <w:r>
                                  <w:rPr>
                                    <w:color w:val="4472C4" w:themeColor="accent1"/>
                                    <w:sz w:val="36"/>
                                    <w:szCs w:val="36"/>
                                  </w:rPr>
                                  <w:t xml:space="preserve">Module </w:t>
                                </w:r>
                                <w:r w:rsidR="00E8245B">
                                  <w:rPr>
                                    <w:color w:val="4472C4" w:themeColor="accent1"/>
                                    <w:sz w:val="36"/>
                                    <w:szCs w:val="36"/>
                                  </w:rPr>
                                  <w:t>Title: Introduction</w:t>
                                </w:r>
                                <w:r>
                                  <w:rPr>
                                    <w:color w:val="4472C4" w:themeColor="accent1"/>
                                    <w:sz w:val="36"/>
                                    <w:szCs w:val="36"/>
                                  </w:rPr>
                                  <w:t xml:space="preserve"> to Public</w:t>
                                </w:r>
                                <w:r w:rsidR="00E8245B">
                                  <w:rPr>
                                    <w:color w:val="4472C4" w:themeColor="accent1"/>
                                    <w:sz w:val="36"/>
                                    <w:szCs w:val="36"/>
                                  </w:rPr>
                                  <w:t xml:space="preserve"> health</w:t>
                                </w:r>
                              </w:p>
                              <w:p w14:paraId="417774F1" w14:textId="7965A627" w:rsidR="00E8245B" w:rsidRDefault="00E8245B">
                                <w:pPr>
                                  <w:pStyle w:val="NoSpacing"/>
                                  <w:jc w:val="right"/>
                                  <w:rPr>
                                    <w:color w:val="4472C4" w:themeColor="accent1"/>
                                    <w:sz w:val="36"/>
                                    <w:szCs w:val="36"/>
                                  </w:rPr>
                                </w:pPr>
                                <w:r>
                                  <w:rPr>
                                    <w:color w:val="4472C4" w:themeColor="accent1"/>
                                    <w:sz w:val="36"/>
                                    <w:szCs w:val="36"/>
                                  </w:rPr>
                                  <w:t xml:space="preserve">Module </w:t>
                                </w:r>
                                <w:r w:rsidR="00714380">
                                  <w:rPr>
                                    <w:color w:val="4472C4" w:themeColor="accent1"/>
                                    <w:sz w:val="36"/>
                                    <w:szCs w:val="36"/>
                                  </w:rPr>
                                  <w:t>Code: LCHS</w:t>
                                </w:r>
                                <w:r>
                                  <w:rPr>
                                    <w:color w:val="4472C4" w:themeColor="accent1"/>
                                    <w:sz w:val="36"/>
                                    <w:szCs w:val="36"/>
                                  </w:rPr>
                                  <w:t>4004</w:t>
                                </w:r>
                              </w:p>
                              <w:p w14:paraId="6EAC036B" w14:textId="0458A1C3" w:rsidR="00B26666" w:rsidRDefault="00B26666">
                                <w:pPr>
                                  <w:pStyle w:val="NoSpacing"/>
                                  <w:jc w:val="right"/>
                                  <w:rPr>
                                    <w:color w:val="4472C4" w:themeColor="accent1"/>
                                    <w:sz w:val="36"/>
                                    <w:szCs w:val="36"/>
                                  </w:rPr>
                                </w:pPr>
                                <w:r>
                                  <w:rPr>
                                    <w:color w:val="4472C4" w:themeColor="accent1"/>
                                    <w:sz w:val="36"/>
                                    <w:szCs w:val="36"/>
                                  </w:rPr>
                                  <w:t>Lecturer Name: Hamdi Hussain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A99A949" id="_x0000_t202" coordsize="21600,21600" o:spt="202" path="m,l,21600r21600,l21600,xe">
                    <v:stroke joinstyle="miter"/>
                    <v:path gradientshapeok="t" o:connecttype="rect"/>
                  </v:shapetype>
                  <v:shape id="Text Box 69" o:spid="_x0000_s1026" type="#_x0000_t202" style="position:absolute;margin-left:0;margin-top:0;width:468pt;height:29.5pt;z-index:25165465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3951BEB9" w14:textId="3151D20D" w:rsidR="003D121A" w:rsidRDefault="00F6114A">
                          <w:pPr>
                            <w:pStyle w:val="NoSpacing"/>
                            <w:jc w:val="right"/>
                            <w:rPr>
                              <w:color w:val="4472C4" w:themeColor="accent1"/>
                              <w:sz w:val="36"/>
                              <w:szCs w:val="36"/>
                            </w:rPr>
                          </w:pPr>
                          <w:r>
                            <w:rPr>
                              <w:color w:val="4472C4" w:themeColor="accent1"/>
                              <w:sz w:val="36"/>
                              <w:szCs w:val="36"/>
                            </w:rPr>
                            <w:t>Student Name: Tayyaba Anmol</w:t>
                          </w:r>
                        </w:p>
                        <w:p w14:paraId="70350DF1" w14:textId="339A5116" w:rsidR="00F6114A" w:rsidRDefault="00F6114A">
                          <w:pPr>
                            <w:pStyle w:val="NoSpacing"/>
                            <w:jc w:val="right"/>
                            <w:rPr>
                              <w:color w:val="4472C4" w:themeColor="accent1"/>
                              <w:sz w:val="36"/>
                              <w:szCs w:val="36"/>
                            </w:rPr>
                          </w:pPr>
                          <w:r>
                            <w:rPr>
                              <w:color w:val="4472C4" w:themeColor="accent1"/>
                              <w:sz w:val="36"/>
                              <w:szCs w:val="36"/>
                            </w:rPr>
                            <w:t>Student Number: 2211907</w:t>
                          </w:r>
                        </w:p>
                        <w:p w14:paraId="3342EC4C" w14:textId="54EA2DC9" w:rsidR="00F6114A" w:rsidRDefault="00F6114A">
                          <w:pPr>
                            <w:pStyle w:val="NoSpacing"/>
                            <w:jc w:val="right"/>
                            <w:rPr>
                              <w:color w:val="4472C4" w:themeColor="accent1"/>
                              <w:sz w:val="36"/>
                              <w:szCs w:val="36"/>
                            </w:rPr>
                          </w:pPr>
                          <w:r>
                            <w:rPr>
                              <w:color w:val="4472C4" w:themeColor="accent1"/>
                              <w:sz w:val="36"/>
                              <w:szCs w:val="36"/>
                            </w:rPr>
                            <w:t xml:space="preserve">Module </w:t>
                          </w:r>
                          <w:r w:rsidR="00E8245B">
                            <w:rPr>
                              <w:color w:val="4472C4" w:themeColor="accent1"/>
                              <w:sz w:val="36"/>
                              <w:szCs w:val="36"/>
                            </w:rPr>
                            <w:t>Title: Introduction</w:t>
                          </w:r>
                          <w:r>
                            <w:rPr>
                              <w:color w:val="4472C4" w:themeColor="accent1"/>
                              <w:sz w:val="36"/>
                              <w:szCs w:val="36"/>
                            </w:rPr>
                            <w:t xml:space="preserve"> to Public</w:t>
                          </w:r>
                          <w:r w:rsidR="00E8245B">
                            <w:rPr>
                              <w:color w:val="4472C4" w:themeColor="accent1"/>
                              <w:sz w:val="36"/>
                              <w:szCs w:val="36"/>
                            </w:rPr>
                            <w:t xml:space="preserve"> health</w:t>
                          </w:r>
                        </w:p>
                        <w:p w14:paraId="417774F1" w14:textId="7965A627" w:rsidR="00E8245B" w:rsidRDefault="00E8245B">
                          <w:pPr>
                            <w:pStyle w:val="NoSpacing"/>
                            <w:jc w:val="right"/>
                            <w:rPr>
                              <w:color w:val="4472C4" w:themeColor="accent1"/>
                              <w:sz w:val="36"/>
                              <w:szCs w:val="36"/>
                            </w:rPr>
                          </w:pPr>
                          <w:r>
                            <w:rPr>
                              <w:color w:val="4472C4" w:themeColor="accent1"/>
                              <w:sz w:val="36"/>
                              <w:szCs w:val="36"/>
                            </w:rPr>
                            <w:t xml:space="preserve">Module </w:t>
                          </w:r>
                          <w:r w:rsidR="00714380">
                            <w:rPr>
                              <w:color w:val="4472C4" w:themeColor="accent1"/>
                              <w:sz w:val="36"/>
                              <w:szCs w:val="36"/>
                            </w:rPr>
                            <w:t>Code: LCHS</w:t>
                          </w:r>
                          <w:r>
                            <w:rPr>
                              <w:color w:val="4472C4" w:themeColor="accent1"/>
                              <w:sz w:val="36"/>
                              <w:szCs w:val="36"/>
                            </w:rPr>
                            <w:t>4004</w:t>
                          </w:r>
                        </w:p>
                        <w:p w14:paraId="6EAC036B" w14:textId="0458A1C3" w:rsidR="00B26666" w:rsidRDefault="00B26666">
                          <w:pPr>
                            <w:pStyle w:val="NoSpacing"/>
                            <w:jc w:val="right"/>
                            <w:rPr>
                              <w:color w:val="4472C4" w:themeColor="accent1"/>
                              <w:sz w:val="36"/>
                              <w:szCs w:val="36"/>
                            </w:rPr>
                          </w:pPr>
                          <w:r>
                            <w:rPr>
                              <w:color w:val="4472C4" w:themeColor="accent1"/>
                              <w:sz w:val="36"/>
                              <w:szCs w:val="36"/>
                            </w:rPr>
                            <w:t>Lecturer Name: Hamdi Hussain</w:t>
                          </w:r>
                        </w:p>
                      </w:txbxContent>
                    </v:textbox>
                    <w10:wrap anchorx="page" anchory="margin"/>
                  </v:shape>
                </w:pict>
              </mc:Fallback>
            </mc:AlternateContent>
          </w:r>
        </w:p>
        <w:p w14:paraId="203F7ECB" w14:textId="0E148B9C" w:rsidR="003D121A" w:rsidRDefault="00B26666">
          <w:pPr>
            <w:rPr>
              <w:rFonts w:ascii="Arial" w:eastAsia="Arial" w:hAnsi="Arial" w:cstheme="majorBidi"/>
              <w:color w:val="2F5496" w:themeColor="accent1" w:themeShade="BF"/>
              <w:szCs w:val="32"/>
            </w:rPr>
          </w:pPr>
          <w:r>
            <w:rPr>
              <w:noProof/>
            </w:rPr>
            <mc:AlternateContent>
              <mc:Choice Requires="wps">
                <w:drawing>
                  <wp:anchor distT="0" distB="0" distL="114300" distR="114300" simplePos="0" relativeHeight="251661824" behindDoc="0" locked="0" layoutInCell="1" allowOverlap="1" wp14:anchorId="6FAC5331" wp14:editId="1AC0D7FB">
                    <wp:simplePos x="0" y="0"/>
                    <wp:positionH relativeFrom="margin">
                      <wp:posOffset>-423601</wp:posOffset>
                    </wp:positionH>
                    <wp:positionV relativeFrom="margin">
                      <wp:posOffset>745241</wp:posOffset>
                    </wp:positionV>
                    <wp:extent cx="5943600" cy="914400"/>
                    <wp:effectExtent l="0" t="0" r="0" b="635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48729E4" w14:textId="4FF9E7E5" w:rsidR="003D121A" w:rsidRPr="00F6114A" w:rsidRDefault="00F6114A">
                                    <w:pPr>
                                      <w:pStyle w:val="NoSpacing"/>
                                      <w:rPr>
                                        <w:rFonts w:ascii="Arial" w:eastAsiaTheme="majorEastAsia" w:hAnsi="Arial" w:cs="Arial"/>
                                        <w:caps/>
                                        <w:color w:val="8496B0" w:themeColor="text2" w:themeTint="99"/>
                                        <w:sz w:val="32"/>
                                        <w:szCs w:val="32"/>
                                      </w:rPr>
                                    </w:pPr>
                                    <w:r w:rsidRPr="00F6114A">
                                      <w:rPr>
                                        <w:rFonts w:ascii="Arial" w:eastAsiaTheme="majorEastAsia" w:hAnsi="Arial" w:cs="Arial"/>
                                        <w:caps/>
                                        <w:color w:val="8496B0" w:themeColor="text2" w:themeTint="99"/>
                                        <w:sz w:val="32"/>
                                        <w:szCs w:val="32"/>
                                      </w:rPr>
                                      <w:t>Assessment componet 1</w:t>
                                    </w:r>
                                    <w:r w:rsidR="00E8133E">
                                      <w:rPr>
                                        <w:rFonts w:ascii="Arial" w:eastAsiaTheme="majorEastAsia" w:hAnsi="Arial" w:cs="Arial"/>
                                        <w:caps/>
                                        <w:color w:val="8496B0" w:themeColor="text2" w:themeTint="99"/>
                                        <w:sz w:val="32"/>
                                        <w:szCs w:val="32"/>
                                      </w:rPr>
                                      <w:t xml:space="preserve">:                              </w:t>
                                    </w:r>
                                    <w:r w:rsidRPr="00F6114A">
                                      <w:rPr>
                                        <w:rFonts w:ascii="Arial" w:eastAsiaTheme="majorEastAsia" w:hAnsi="Arial" w:cs="Arial"/>
                                        <w:caps/>
                                        <w:color w:val="8496B0" w:themeColor="text2" w:themeTint="99"/>
                                        <w:sz w:val="32"/>
                                        <w:szCs w:val="32"/>
                                      </w:rPr>
                                      <w:t>Incidence of Disease Supproting paper</w:t>
                                    </w:r>
                                  </w:p>
                                </w:sdtContent>
                              </w:sdt>
                              <w:p w14:paraId="6EF8B330" w14:textId="77777777" w:rsidR="003D121A" w:rsidRDefault="003D12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6FAC5331" id="Text Box 62" o:spid="_x0000_s1027" type="#_x0000_t202" style="position:absolute;margin-left:-33.35pt;margin-top:58.7pt;width:468pt;height:1in;z-index:251661824;visibility:visible;mso-wrap-style:square;mso-width-percent:765;mso-wrap-distance-left:9pt;mso-wrap-distance-top:0;mso-wrap-distance-right:9pt;mso-wrap-distance-bottom:0;mso-position-horizontal:absolute;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" filled="f" stroked="f" strokeweight=".5pt">
                    <v:textbox style="mso-fit-shape-to-text:t">
                      <w:txbxContent>
                        <w:sdt>
                          <w:sdtPr>
                            <w:rPr>
                              <w:rFonts w:ascii="Arial" w:eastAsiaTheme="majorEastAsia" w:hAnsi="Arial" w:cs="Arial"/>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48729E4" w14:textId="4FF9E7E5" w:rsidR="003D121A" w:rsidRPr="00F6114A" w:rsidRDefault="00F6114A">
                              <w:pPr>
                                <w:pStyle w:val="NoSpacing"/>
                                <w:rPr>
                                  <w:rFonts w:ascii="Arial" w:eastAsiaTheme="majorEastAsia" w:hAnsi="Arial" w:cs="Arial"/>
                                  <w:caps/>
                                  <w:color w:val="8496B0" w:themeColor="text2" w:themeTint="99"/>
                                  <w:sz w:val="32"/>
                                  <w:szCs w:val="32"/>
                                </w:rPr>
                              </w:pPr>
                              <w:r w:rsidRPr="00F6114A">
                                <w:rPr>
                                  <w:rFonts w:ascii="Arial" w:eastAsiaTheme="majorEastAsia" w:hAnsi="Arial" w:cs="Arial"/>
                                  <w:caps/>
                                  <w:color w:val="8496B0" w:themeColor="text2" w:themeTint="99"/>
                                  <w:sz w:val="32"/>
                                  <w:szCs w:val="32"/>
                                </w:rPr>
                                <w:t>Assessment componet 1</w:t>
                              </w:r>
                              <w:r w:rsidR="00E8133E">
                                <w:rPr>
                                  <w:rFonts w:ascii="Arial" w:eastAsiaTheme="majorEastAsia" w:hAnsi="Arial" w:cs="Arial"/>
                                  <w:caps/>
                                  <w:color w:val="8496B0" w:themeColor="text2" w:themeTint="99"/>
                                  <w:sz w:val="32"/>
                                  <w:szCs w:val="32"/>
                                </w:rPr>
                                <w:t xml:space="preserve">:                              </w:t>
                              </w:r>
                              <w:r w:rsidRPr="00F6114A">
                                <w:rPr>
                                  <w:rFonts w:ascii="Arial" w:eastAsiaTheme="majorEastAsia" w:hAnsi="Arial" w:cs="Arial"/>
                                  <w:caps/>
                                  <w:color w:val="8496B0" w:themeColor="text2" w:themeTint="99"/>
                                  <w:sz w:val="32"/>
                                  <w:szCs w:val="32"/>
                                </w:rPr>
                                <w:t>Incidence of Disease Supproting paper</w:t>
                              </w:r>
                            </w:p>
                          </w:sdtContent>
                        </w:sdt>
                        <w:p w14:paraId="6EF8B330" w14:textId="77777777" w:rsidR="003D121A" w:rsidRDefault="003D121A"/>
                      </w:txbxContent>
                    </v:textbox>
                    <w10:wrap anchorx="margin" anchory="margin"/>
                  </v:shape>
                </w:pict>
              </mc:Fallback>
            </mc:AlternateContent>
          </w:r>
          <w:r w:rsidR="003D121A">
            <w:rPr>
              <w:rFonts w:eastAsia="Arial"/>
            </w:rPr>
            <w:br w:type="page"/>
          </w:r>
        </w:p>
      </w:sdtContent>
    </w:sdt>
    <w:p w14:paraId="05EBF93E" w14:textId="77777777" w:rsidR="00AD65EF" w:rsidRPr="00AD65EF" w:rsidRDefault="00AD65EF">
      <w:pPr>
        <w:pStyle w:val="TOC1"/>
        <w:tabs>
          <w:tab w:val="right" w:leader="dot" w:pos="9016"/>
        </w:tabs>
        <w:rPr>
          <w:rFonts w:ascii="Arial" w:hAnsi="Arial" w:cs="Arial"/>
          <w:color w:val="4472C4" w:themeColor="accent1"/>
        </w:rPr>
      </w:pPr>
      <w:r w:rsidRPr="00AD65EF">
        <w:rPr>
          <w:rFonts w:ascii="Arial" w:hAnsi="Arial" w:cs="Arial"/>
          <w:color w:val="4472C4" w:themeColor="accent1"/>
        </w:rPr>
        <w:lastRenderedPageBreak/>
        <w:t>Table Of contents</w:t>
      </w:r>
    </w:p>
    <w:p w14:paraId="7EE8C908" w14:textId="2B0BFCBF" w:rsidR="0030447B" w:rsidRPr="0030447B" w:rsidRDefault="0030447B">
      <w:pPr>
        <w:pStyle w:val="TOC1"/>
        <w:tabs>
          <w:tab w:val="right" w:leader="dot" w:pos="9016"/>
        </w:tabs>
        <w:rPr>
          <w:rFonts w:ascii="Arial" w:eastAsiaTheme="minorEastAsia" w:hAnsi="Arial" w:cs="Arial"/>
          <w:noProof/>
          <w:lang w:eastAsia="en-GB"/>
        </w:rPr>
      </w:pPr>
      <w:r w:rsidRPr="0030447B">
        <w:rPr>
          <w:rFonts w:ascii="Arial" w:hAnsi="Arial" w:cs="Arial"/>
        </w:rPr>
        <w:fldChar w:fldCharType="begin"/>
      </w:r>
      <w:r w:rsidRPr="0030447B">
        <w:rPr>
          <w:rFonts w:ascii="Arial" w:hAnsi="Arial" w:cs="Arial"/>
        </w:rPr>
        <w:instrText xml:space="preserve"> TOC \o "1-8" \h \z \u </w:instrText>
      </w:r>
      <w:r w:rsidRPr="0030447B">
        <w:rPr>
          <w:rFonts w:ascii="Arial" w:hAnsi="Arial" w:cs="Arial"/>
        </w:rPr>
        <w:fldChar w:fldCharType="separate"/>
      </w:r>
      <w:hyperlink w:anchor="_Toc128948160" w:history="1">
        <w:r w:rsidRPr="0030447B">
          <w:rPr>
            <w:rStyle w:val="Hyperlink"/>
            <w:rFonts w:ascii="Arial" w:eastAsia="Arial" w:hAnsi="Arial" w:cs="Arial"/>
            <w:noProof/>
          </w:rPr>
          <w:t>Introduction:</w:t>
        </w:r>
        <w:r w:rsidRPr="0030447B">
          <w:rPr>
            <w:rFonts w:ascii="Arial" w:hAnsi="Arial" w:cs="Arial"/>
            <w:noProof/>
            <w:webHidden/>
          </w:rPr>
          <w:tab/>
        </w:r>
        <w:r w:rsidRPr="0030447B">
          <w:rPr>
            <w:rFonts w:ascii="Arial" w:hAnsi="Arial" w:cs="Arial"/>
            <w:noProof/>
            <w:webHidden/>
          </w:rPr>
          <w:fldChar w:fldCharType="begin"/>
        </w:r>
        <w:r w:rsidRPr="0030447B">
          <w:rPr>
            <w:rFonts w:ascii="Arial" w:hAnsi="Arial" w:cs="Arial"/>
            <w:noProof/>
            <w:webHidden/>
          </w:rPr>
          <w:instrText xml:space="preserve"> PAGEREF _Toc128948160 \h </w:instrText>
        </w:r>
        <w:r w:rsidRPr="0030447B">
          <w:rPr>
            <w:rFonts w:ascii="Arial" w:hAnsi="Arial" w:cs="Arial"/>
            <w:noProof/>
            <w:webHidden/>
          </w:rPr>
        </w:r>
        <w:r w:rsidRPr="0030447B">
          <w:rPr>
            <w:rFonts w:ascii="Arial" w:hAnsi="Arial" w:cs="Arial"/>
            <w:noProof/>
            <w:webHidden/>
          </w:rPr>
          <w:fldChar w:fldCharType="separate"/>
        </w:r>
        <w:r w:rsidRPr="0030447B">
          <w:rPr>
            <w:rFonts w:ascii="Arial" w:hAnsi="Arial" w:cs="Arial"/>
            <w:noProof/>
            <w:webHidden/>
          </w:rPr>
          <w:t>2</w:t>
        </w:r>
        <w:r w:rsidRPr="0030447B">
          <w:rPr>
            <w:rFonts w:ascii="Arial" w:hAnsi="Arial" w:cs="Arial"/>
            <w:noProof/>
            <w:webHidden/>
          </w:rPr>
          <w:fldChar w:fldCharType="end"/>
        </w:r>
      </w:hyperlink>
    </w:p>
    <w:p w14:paraId="437532F0" w14:textId="4230540C" w:rsidR="0030447B" w:rsidRPr="0030447B" w:rsidRDefault="00BB79EE">
      <w:pPr>
        <w:pStyle w:val="TOC2"/>
        <w:tabs>
          <w:tab w:val="right" w:leader="dot" w:pos="9016"/>
        </w:tabs>
        <w:rPr>
          <w:rFonts w:ascii="Arial" w:eastAsiaTheme="minorEastAsia" w:hAnsi="Arial" w:cs="Arial"/>
          <w:noProof/>
          <w:lang w:eastAsia="en-GB"/>
        </w:rPr>
      </w:pPr>
      <w:hyperlink w:anchor="_Toc128948161" w:history="1">
        <w:r w:rsidR="0030447B" w:rsidRPr="0030447B">
          <w:rPr>
            <w:rStyle w:val="Hyperlink"/>
            <w:rFonts w:ascii="Arial" w:eastAsia="Arial" w:hAnsi="Arial" w:cs="Arial"/>
            <w:noProof/>
          </w:rPr>
          <w:t>Definition:</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_Toc128948161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2</w:t>
        </w:r>
        <w:r w:rsidR="0030447B" w:rsidRPr="0030447B">
          <w:rPr>
            <w:rFonts w:ascii="Arial" w:hAnsi="Arial" w:cs="Arial"/>
            <w:noProof/>
            <w:webHidden/>
          </w:rPr>
          <w:fldChar w:fldCharType="end"/>
        </w:r>
      </w:hyperlink>
    </w:p>
    <w:p w14:paraId="023004EC" w14:textId="48027D74" w:rsidR="0030447B" w:rsidRPr="0030447B" w:rsidRDefault="00BB79EE">
      <w:pPr>
        <w:pStyle w:val="TOC2"/>
        <w:tabs>
          <w:tab w:val="right" w:leader="dot" w:pos="9016"/>
        </w:tabs>
        <w:rPr>
          <w:rFonts w:ascii="Arial" w:eastAsiaTheme="minorEastAsia" w:hAnsi="Arial" w:cs="Arial"/>
          <w:noProof/>
          <w:lang w:eastAsia="en-GB"/>
        </w:rPr>
      </w:pPr>
      <w:hyperlink w:anchor="_Toc128948162" w:history="1">
        <w:r w:rsidR="0030447B" w:rsidRPr="0030447B">
          <w:rPr>
            <w:rStyle w:val="Hyperlink"/>
            <w:rFonts w:ascii="Arial" w:eastAsia="Arial" w:hAnsi="Arial" w:cs="Arial"/>
            <w:noProof/>
          </w:rPr>
          <w:t>Symptoms:</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_Toc128948162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2</w:t>
        </w:r>
        <w:r w:rsidR="0030447B" w:rsidRPr="0030447B">
          <w:rPr>
            <w:rFonts w:ascii="Arial" w:hAnsi="Arial" w:cs="Arial"/>
            <w:noProof/>
            <w:webHidden/>
          </w:rPr>
          <w:fldChar w:fldCharType="end"/>
        </w:r>
      </w:hyperlink>
    </w:p>
    <w:p w14:paraId="07397C26" w14:textId="206BAF72" w:rsidR="0030447B" w:rsidRPr="0030447B" w:rsidRDefault="00BB79EE">
      <w:pPr>
        <w:pStyle w:val="TOC1"/>
        <w:tabs>
          <w:tab w:val="right" w:leader="dot" w:pos="9016"/>
        </w:tabs>
        <w:rPr>
          <w:rFonts w:ascii="Arial" w:eastAsiaTheme="minorEastAsia" w:hAnsi="Arial" w:cs="Arial"/>
          <w:noProof/>
          <w:lang w:eastAsia="en-GB"/>
        </w:rPr>
      </w:pPr>
      <w:hyperlink w:anchor="_Toc128948163" w:history="1">
        <w:r w:rsidR="0030447B" w:rsidRPr="0030447B">
          <w:rPr>
            <w:rStyle w:val="Hyperlink"/>
            <w:rFonts w:ascii="Arial" w:hAnsi="Arial" w:cs="Arial"/>
            <w:noProof/>
          </w:rPr>
          <w:t>Public Health of England strategies to Measure Influenza</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_Toc128948163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2</w:t>
        </w:r>
        <w:r w:rsidR="0030447B" w:rsidRPr="0030447B">
          <w:rPr>
            <w:rFonts w:ascii="Arial" w:hAnsi="Arial" w:cs="Arial"/>
            <w:noProof/>
            <w:webHidden/>
          </w:rPr>
          <w:fldChar w:fldCharType="end"/>
        </w:r>
      </w:hyperlink>
    </w:p>
    <w:p w14:paraId="435C69F1" w14:textId="0474EE5D" w:rsidR="0030447B" w:rsidRPr="0030447B" w:rsidRDefault="00BB79EE">
      <w:pPr>
        <w:pStyle w:val="TOC1"/>
        <w:tabs>
          <w:tab w:val="right" w:leader="dot" w:pos="9016"/>
        </w:tabs>
        <w:rPr>
          <w:rFonts w:ascii="Arial" w:eastAsiaTheme="minorEastAsia" w:hAnsi="Arial" w:cs="Arial"/>
          <w:noProof/>
          <w:lang w:eastAsia="en-GB"/>
        </w:rPr>
      </w:pPr>
      <w:hyperlink w:anchor="_Toc128948164" w:history="1">
        <w:r w:rsidR="0030447B" w:rsidRPr="0030447B">
          <w:rPr>
            <w:rStyle w:val="Hyperlink"/>
            <w:rFonts w:ascii="Arial" w:hAnsi="Arial" w:cs="Arial"/>
            <w:noProof/>
          </w:rPr>
          <w:t>Strategies to Monitor Influenza Incidence :</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_Toc128948164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3</w:t>
        </w:r>
        <w:r w:rsidR="0030447B" w:rsidRPr="0030447B">
          <w:rPr>
            <w:rFonts w:ascii="Arial" w:hAnsi="Arial" w:cs="Arial"/>
            <w:noProof/>
            <w:webHidden/>
          </w:rPr>
          <w:fldChar w:fldCharType="end"/>
        </w:r>
      </w:hyperlink>
    </w:p>
    <w:p w14:paraId="4B590C7F" w14:textId="3A12F578" w:rsidR="0030447B" w:rsidRPr="0030447B" w:rsidRDefault="00BB79EE">
      <w:pPr>
        <w:pStyle w:val="TOC1"/>
        <w:tabs>
          <w:tab w:val="right" w:leader="dot" w:pos="9016"/>
        </w:tabs>
        <w:rPr>
          <w:rFonts w:ascii="Arial" w:eastAsiaTheme="minorEastAsia" w:hAnsi="Arial" w:cs="Arial"/>
          <w:noProof/>
          <w:lang w:eastAsia="en-GB"/>
        </w:rPr>
      </w:pPr>
      <w:hyperlink w:anchor="_Toc128948165" w:history="1">
        <w:r w:rsidR="0030447B" w:rsidRPr="0030447B">
          <w:rPr>
            <w:rStyle w:val="Hyperlink"/>
            <w:rFonts w:ascii="Arial" w:hAnsi="Arial" w:cs="Arial"/>
            <w:noProof/>
          </w:rPr>
          <w:t>Strategies used in the UK to control the incidence of Influenza:</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_Toc128948165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3</w:t>
        </w:r>
        <w:r w:rsidR="0030447B" w:rsidRPr="0030447B">
          <w:rPr>
            <w:rFonts w:ascii="Arial" w:hAnsi="Arial" w:cs="Arial"/>
            <w:noProof/>
            <w:webHidden/>
          </w:rPr>
          <w:fldChar w:fldCharType="end"/>
        </w:r>
      </w:hyperlink>
    </w:p>
    <w:p w14:paraId="32413968" w14:textId="2FFCA3FC" w:rsidR="0030447B" w:rsidRPr="0030447B" w:rsidRDefault="00BB79EE">
      <w:pPr>
        <w:pStyle w:val="TOC2"/>
        <w:tabs>
          <w:tab w:val="right" w:leader="dot" w:pos="9016"/>
        </w:tabs>
        <w:rPr>
          <w:rFonts w:ascii="Arial" w:eastAsiaTheme="minorEastAsia" w:hAnsi="Arial" w:cs="Arial"/>
          <w:noProof/>
          <w:lang w:eastAsia="en-GB"/>
        </w:rPr>
      </w:pPr>
      <w:hyperlink w:anchor="_Toc128948166" w:history="1">
        <w:r w:rsidR="0030447B" w:rsidRPr="0030447B">
          <w:rPr>
            <w:rStyle w:val="Hyperlink"/>
            <w:rFonts w:ascii="Arial" w:hAnsi="Arial" w:cs="Arial"/>
            <w:noProof/>
          </w:rPr>
          <w:t>Vaccination:</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_Toc128948166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4</w:t>
        </w:r>
        <w:r w:rsidR="0030447B" w:rsidRPr="0030447B">
          <w:rPr>
            <w:rFonts w:ascii="Arial" w:hAnsi="Arial" w:cs="Arial"/>
            <w:noProof/>
            <w:webHidden/>
          </w:rPr>
          <w:fldChar w:fldCharType="end"/>
        </w:r>
      </w:hyperlink>
    </w:p>
    <w:p w14:paraId="0B441962" w14:textId="26E6371A" w:rsidR="0030447B" w:rsidRPr="0030447B" w:rsidRDefault="00BB79EE">
      <w:pPr>
        <w:pStyle w:val="TOC2"/>
        <w:tabs>
          <w:tab w:val="right" w:leader="dot" w:pos="9016"/>
        </w:tabs>
        <w:rPr>
          <w:rFonts w:ascii="Arial" w:eastAsiaTheme="minorEastAsia" w:hAnsi="Arial" w:cs="Arial"/>
          <w:noProof/>
          <w:lang w:eastAsia="en-GB"/>
        </w:rPr>
      </w:pPr>
      <w:hyperlink w:anchor="_Toc128948167" w:history="1">
        <w:r w:rsidR="0030447B" w:rsidRPr="0030447B">
          <w:rPr>
            <w:rStyle w:val="Hyperlink"/>
            <w:rFonts w:ascii="Arial" w:hAnsi="Arial" w:cs="Arial"/>
            <w:noProof/>
          </w:rPr>
          <w:t>Precautions:</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_Toc128948167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4</w:t>
        </w:r>
        <w:r w:rsidR="0030447B" w:rsidRPr="0030447B">
          <w:rPr>
            <w:rFonts w:ascii="Arial" w:hAnsi="Arial" w:cs="Arial"/>
            <w:noProof/>
            <w:webHidden/>
          </w:rPr>
          <w:fldChar w:fldCharType="end"/>
        </w:r>
      </w:hyperlink>
    </w:p>
    <w:p w14:paraId="4E8E8CD5" w14:textId="364877A1" w:rsidR="0030447B" w:rsidRPr="0030447B" w:rsidRDefault="00BB79EE">
      <w:pPr>
        <w:pStyle w:val="TOC2"/>
        <w:tabs>
          <w:tab w:val="right" w:leader="dot" w:pos="9016"/>
        </w:tabs>
        <w:rPr>
          <w:rFonts w:ascii="Arial" w:eastAsiaTheme="minorEastAsia" w:hAnsi="Arial" w:cs="Arial"/>
          <w:noProof/>
          <w:lang w:eastAsia="en-GB"/>
        </w:rPr>
      </w:pPr>
      <w:hyperlink w:anchor="_Toc128948168" w:history="1">
        <w:r w:rsidR="0030447B" w:rsidRPr="0030447B">
          <w:rPr>
            <w:rStyle w:val="Hyperlink"/>
            <w:rFonts w:ascii="Arial" w:hAnsi="Arial" w:cs="Arial"/>
            <w:noProof/>
          </w:rPr>
          <w:t>Antibiotics:</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_Toc128948168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4</w:t>
        </w:r>
        <w:r w:rsidR="0030447B" w:rsidRPr="0030447B">
          <w:rPr>
            <w:rFonts w:ascii="Arial" w:hAnsi="Arial" w:cs="Arial"/>
            <w:noProof/>
            <w:webHidden/>
          </w:rPr>
          <w:fldChar w:fldCharType="end"/>
        </w:r>
      </w:hyperlink>
    </w:p>
    <w:p w14:paraId="4DBDA51D" w14:textId="44B712D1" w:rsidR="0030447B" w:rsidRPr="0030447B" w:rsidRDefault="00BB79EE">
      <w:pPr>
        <w:pStyle w:val="TOC1"/>
        <w:tabs>
          <w:tab w:val="right" w:leader="dot" w:pos="9016"/>
        </w:tabs>
        <w:rPr>
          <w:rFonts w:ascii="Arial" w:eastAsiaTheme="minorEastAsia" w:hAnsi="Arial" w:cs="Arial"/>
          <w:noProof/>
          <w:lang w:eastAsia="en-GB"/>
        </w:rPr>
      </w:pPr>
      <w:hyperlink w:anchor="_Toc128948169" w:history="1">
        <w:r w:rsidR="0030447B" w:rsidRPr="0030447B">
          <w:rPr>
            <w:rStyle w:val="Hyperlink"/>
            <w:rFonts w:ascii="Arial" w:hAnsi="Arial" w:cs="Arial"/>
            <w:noProof/>
          </w:rPr>
          <w:t>Conclusion:</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_Toc128948169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5</w:t>
        </w:r>
        <w:r w:rsidR="0030447B" w:rsidRPr="0030447B">
          <w:rPr>
            <w:rFonts w:ascii="Arial" w:hAnsi="Arial" w:cs="Arial"/>
            <w:noProof/>
            <w:webHidden/>
          </w:rPr>
          <w:fldChar w:fldCharType="end"/>
        </w:r>
      </w:hyperlink>
    </w:p>
    <w:p w14:paraId="7F742C49" w14:textId="207561B6" w:rsidR="0030447B" w:rsidRPr="0030447B" w:rsidRDefault="00BB79EE">
      <w:pPr>
        <w:pStyle w:val="TOC1"/>
        <w:tabs>
          <w:tab w:val="right" w:leader="dot" w:pos="9016"/>
        </w:tabs>
        <w:rPr>
          <w:rFonts w:ascii="Arial" w:eastAsiaTheme="minorEastAsia" w:hAnsi="Arial" w:cs="Arial"/>
          <w:noProof/>
          <w:lang w:eastAsia="en-GB"/>
        </w:rPr>
      </w:pPr>
      <w:hyperlink w:anchor="_Toc128948170" w:history="1">
        <w:r w:rsidR="0030447B" w:rsidRPr="0030447B">
          <w:rPr>
            <w:rStyle w:val="Hyperlink"/>
            <w:rFonts w:ascii="Arial" w:eastAsia="Arial" w:hAnsi="Arial" w:cs="Arial"/>
            <w:noProof/>
          </w:rPr>
          <w:t>Reference List:</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_Toc128948170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5</w:t>
        </w:r>
        <w:r w:rsidR="0030447B" w:rsidRPr="0030447B">
          <w:rPr>
            <w:rFonts w:ascii="Arial" w:hAnsi="Arial" w:cs="Arial"/>
            <w:noProof/>
            <w:webHidden/>
          </w:rPr>
          <w:fldChar w:fldCharType="end"/>
        </w:r>
      </w:hyperlink>
    </w:p>
    <w:p w14:paraId="6EC19891" w14:textId="26D3FC29" w:rsidR="0075224A" w:rsidRPr="0030447B" w:rsidRDefault="0030447B" w:rsidP="0075224A">
      <w:pPr>
        <w:rPr>
          <w:rFonts w:ascii="Arial" w:hAnsi="Arial" w:cs="Arial"/>
        </w:rPr>
      </w:pPr>
      <w:r w:rsidRPr="0030447B">
        <w:rPr>
          <w:rFonts w:ascii="Arial" w:hAnsi="Arial" w:cs="Arial"/>
        </w:rPr>
        <w:fldChar w:fldCharType="end"/>
      </w:r>
    </w:p>
    <w:p w14:paraId="281B0E2C" w14:textId="55FCCBFF" w:rsidR="004C15A0" w:rsidRPr="0075224A" w:rsidRDefault="004C15A0">
      <w:pPr>
        <w:rPr>
          <w:rFonts w:ascii="Arial" w:eastAsia="Arial" w:hAnsi="Arial" w:cs="Arial"/>
          <w:color w:val="2F5496" w:themeColor="accent1" w:themeShade="BF"/>
          <w:szCs w:val="32"/>
        </w:rPr>
      </w:pPr>
      <w:r w:rsidRPr="0030447B">
        <w:rPr>
          <w:rFonts w:ascii="Arial" w:eastAsia="Arial" w:hAnsi="Arial" w:cs="Arial"/>
        </w:rPr>
        <w:br w:type="page"/>
      </w:r>
    </w:p>
    <w:p w14:paraId="5E5787A5" w14:textId="19865EDF" w:rsidR="00DD136D" w:rsidRDefault="44DFED8B" w:rsidP="00CA1346">
      <w:pPr>
        <w:pStyle w:val="Heading1"/>
        <w:rPr>
          <w:rFonts w:eastAsia="Arial"/>
        </w:rPr>
      </w:pPr>
      <w:bookmarkStart w:id="0" w:name="_Toc128948160"/>
      <w:r w:rsidRPr="0A0AC0F1">
        <w:rPr>
          <w:rFonts w:eastAsia="Arial"/>
        </w:rPr>
        <w:lastRenderedPageBreak/>
        <w:t>Introduction:</w:t>
      </w:r>
      <w:bookmarkEnd w:id="0"/>
    </w:p>
    <w:p w14:paraId="562BDCD3" w14:textId="0C4C8A3E" w:rsidR="4196E82B" w:rsidRDefault="4196E82B" w:rsidP="00CA1346">
      <w:pPr>
        <w:pStyle w:val="Heading2"/>
        <w:rPr>
          <w:rFonts w:eastAsia="Arial"/>
        </w:rPr>
      </w:pPr>
      <w:bookmarkStart w:id="1" w:name="_Toc128948161"/>
      <w:r w:rsidRPr="0A0AC0F1">
        <w:rPr>
          <w:rFonts w:eastAsia="Arial"/>
        </w:rPr>
        <w:t>Definition:</w:t>
      </w:r>
      <w:bookmarkEnd w:id="1"/>
    </w:p>
    <w:p w14:paraId="5C89CEB7" w14:textId="1602560B" w:rsidR="6A732D10" w:rsidRDefault="00EF7B7F" w:rsidP="0A0AC0F1">
      <w:pPr>
        <w:spacing w:line="360" w:lineRule="auto"/>
        <w:rPr>
          <w:rFonts w:ascii="Arial" w:eastAsia="Arial" w:hAnsi="Arial" w:cs="Arial"/>
        </w:rPr>
      </w:pPr>
      <w:r>
        <w:rPr>
          <w:rFonts w:ascii="Arial" w:eastAsia="Arial" w:hAnsi="Arial" w:cs="Arial"/>
        </w:rPr>
        <w:t>The influenza</w:t>
      </w:r>
      <w:r w:rsidR="6A732D10" w:rsidRPr="0A0AC0F1">
        <w:rPr>
          <w:rFonts w:ascii="Arial" w:eastAsia="Arial" w:hAnsi="Arial" w:cs="Arial"/>
        </w:rPr>
        <w:t xml:space="preserve"> virus belongs to the Orthomyxoviridae family and </w:t>
      </w:r>
      <w:r w:rsidR="5135BD65" w:rsidRPr="0A0AC0F1">
        <w:rPr>
          <w:rFonts w:ascii="Arial" w:eastAsia="Arial" w:hAnsi="Arial" w:cs="Arial"/>
        </w:rPr>
        <w:t>holds</w:t>
      </w:r>
      <w:r w:rsidR="6A732D10" w:rsidRPr="0A0AC0F1">
        <w:rPr>
          <w:rFonts w:ascii="Arial" w:eastAsia="Arial" w:hAnsi="Arial" w:cs="Arial"/>
        </w:rPr>
        <w:t xml:space="preserve"> ribonucleic acid (RNA)</w:t>
      </w:r>
      <w:r w:rsidR="01C605B3" w:rsidRPr="0A0AC0F1">
        <w:rPr>
          <w:rFonts w:ascii="Arial" w:eastAsia="Arial" w:hAnsi="Arial" w:cs="Arial"/>
        </w:rPr>
        <w:t>. Influenza</w:t>
      </w:r>
      <w:r w:rsidR="6A732D10" w:rsidRPr="0A0AC0F1">
        <w:rPr>
          <w:rFonts w:ascii="Arial" w:eastAsia="Arial" w:hAnsi="Arial" w:cs="Arial"/>
        </w:rPr>
        <w:t xml:space="preserve"> A and B viruses are the most important viruses that are highly contagious for humans and cause acute respiratory diseases</w:t>
      </w:r>
      <w:r w:rsidR="4F6A1B27" w:rsidRPr="0A0AC0F1">
        <w:rPr>
          <w:rFonts w:ascii="Arial" w:eastAsia="Arial" w:hAnsi="Arial" w:cs="Arial"/>
        </w:rPr>
        <w:t>. It can lead to mild to severe disease, and occasionally even death (Davis, 2014).</w:t>
      </w:r>
    </w:p>
    <w:p w14:paraId="7CB2B609" w14:textId="4D3B86F0" w:rsidR="22E0C838" w:rsidRDefault="22E0C838" w:rsidP="00CA1346">
      <w:pPr>
        <w:pStyle w:val="Heading2"/>
        <w:rPr>
          <w:rFonts w:eastAsia="Arial"/>
        </w:rPr>
      </w:pPr>
      <w:bookmarkStart w:id="2" w:name="_Toc128948162"/>
      <w:r w:rsidRPr="0A0AC0F1">
        <w:rPr>
          <w:rFonts w:eastAsia="Arial"/>
        </w:rPr>
        <w:t>Symptoms:</w:t>
      </w:r>
      <w:bookmarkEnd w:id="2"/>
    </w:p>
    <w:p w14:paraId="1C7A34B1" w14:textId="3F33742C" w:rsidR="71E34ACC" w:rsidRDefault="71E34ACC" w:rsidP="0A0AC0F1">
      <w:pPr>
        <w:spacing w:line="360" w:lineRule="auto"/>
        <w:rPr>
          <w:rFonts w:ascii="Arial" w:eastAsia="Arial" w:hAnsi="Arial" w:cs="Arial"/>
        </w:rPr>
      </w:pPr>
      <w:r w:rsidRPr="0A0AC0F1">
        <w:rPr>
          <w:rFonts w:ascii="Arial" w:eastAsia="Arial" w:hAnsi="Arial" w:cs="Arial"/>
        </w:rPr>
        <w:t xml:space="preserve">Infection can be detected by the quick onset of symptoms such </w:t>
      </w:r>
      <w:r w:rsidR="4337C108" w:rsidRPr="0A0AC0F1">
        <w:rPr>
          <w:rFonts w:ascii="Arial" w:eastAsia="Arial" w:hAnsi="Arial" w:cs="Arial"/>
        </w:rPr>
        <w:t xml:space="preserve">as </w:t>
      </w:r>
      <w:r w:rsidRPr="0A0AC0F1">
        <w:rPr>
          <w:rFonts w:ascii="Arial" w:eastAsia="Arial" w:hAnsi="Arial" w:cs="Arial"/>
        </w:rPr>
        <w:t>fever, cough, chills or sweats, myalgias, fatigue</w:t>
      </w:r>
      <w:r w:rsidR="00587EE5">
        <w:rPr>
          <w:rFonts w:ascii="Arial" w:eastAsia="Arial" w:hAnsi="Arial" w:cs="Arial"/>
        </w:rPr>
        <w:t>, diarrhoea and loss of appetite</w:t>
      </w:r>
      <w:r w:rsidRPr="0A0AC0F1">
        <w:rPr>
          <w:rFonts w:ascii="Arial" w:eastAsia="Arial" w:hAnsi="Arial" w:cs="Arial"/>
        </w:rPr>
        <w:t xml:space="preserve">. In an outpatient setting, most patients have clinical diagnoses that do not need laboratory </w:t>
      </w:r>
      <w:r w:rsidR="1B9CE715" w:rsidRPr="0A0AC0F1">
        <w:rPr>
          <w:rFonts w:ascii="Arial" w:eastAsia="Arial" w:hAnsi="Arial" w:cs="Arial"/>
        </w:rPr>
        <w:t>confirmation</w:t>
      </w:r>
      <w:r w:rsidR="0923146E" w:rsidRPr="0A0AC0F1">
        <w:rPr>
          <w:rFonts w:ascii="Arial" w:eastAsia="Arial" w:hAnsi="Arial" w:cs="Arial"/>
        </w:rPr>
        <w:t xml:space="preserve"> (Gaitonde, Moore</w:t>
      </w:r>
      <w:r w:rsidR="4161633B" w:rsidRPr="0A0AC0F1">
        <w:rPr>
          <w:rFonts w:ascii="Arial" w:eastAsia="Arial" w:hAnsi="Arial" w:cs="Arial"/>
        </w:rPr>
        <w:t>,</w:t>
      </w:r>
      <w:r w:rsidR="0923146E" w:rsidRPr="0A0AC0F1">
        <w:rPr>
          <w:rFonts w:ascii="Arial" w:eastAsia="Arial" w:hAnsi="Arial" w:cs="Arial"/>
        </w:rPr>
        <w:t xml:space="preserve"> and Morgan, 2019). </w:t>
      </w:r>
    </w:p>
    <w:p w14:paraId="317C49D2" w14:textId="3288C465" w:rsidR="1B9CE715" w:rsidRDefault="1B9CE715" w:rsidP="0A0AC0F1">
      <w:pPr>
        <w:spacing w:line="360" w:lineRule="auto"/>
        <w:rPr>
          <w:rFonts w:ascii="Arial" w:eastAsia="Arial" w:hAnsi="Arial" w:cs="Arial"/>
        </w:rPr>
      </w:pPr>
      <w:r w:rsidRPr="0A0AC0F1">
        <w:rPr>
          <w:rFonts w:ascii="Arial" w:eastAsia="Arial" w:hAnsi="Arial" w:cs="Arial"/>
        </w:rPr>
        <w:t>In this</w:t>
      </w:r>
      <w:r w:rsidR="638C6EA5" w:rsidRPr="0A0AC0F1">
        <w:rPr>
          <w:rFonts w:ascii="Arial" w:eastAsia="Arial" w:hAnsi="Arial" w:cs="Arial"/>
        </w:rPr>
        <w:t xml:space="preserve"> </w:t>
      </w:r>
      <w:r w:rsidR="00211527">
        <w:rPr>
          <w:rFonts w:ascii="Arial" w:eastAsia="Arial" w:hAnsi="Arial" w:cs="Arial"/>
        </w:rPr>
        <w:t>paper</w:t>
      </w:r>
      <w:r w:rsidR="2FF92FA7" w:rsidRPr="0A0AC0F1">
        <w:rPr>
          <w:rFonts w:ascii="Arial" w:eastAsia="Arial" w:hAnsi="Arial" w:cs="Arial"/>
        </w:rPr>
        <w:t>,</w:t>
      </w:r>
      <w:r w:rsidR="638C6EA5" w:rsidRPr="0A0AC0F1">
        <w:rPr>
          <w:rFonts w:ascii="Arial" w:eastAsia="Arial" w:hAnsi="Arial" w:cs="Arial"/>
        </w:rPr>
        <w:t xml:space="preserve"> </w:t>
      </w:r>
      <w:r w:rsidR="66CB920D" w:rsidRPr="0A0AC0F1">
        <w:rPr>
          <w:rFonts w:ascii="Arial" w:eastAsia="Arial" w:hAnsi="Arial" w:cs="Arial"/>
        </w:rPr>
        <w:t xml:space="preserve">the </w:t>
      </w:r>
      <w:r w:rsidR="035CBF21" w:rsidRPr="0A0AC0F1">
        <w:rPr>
          <w:rFonts w:ascii="Arial" w:eastAsia="Arial" w:hAnsi="Arial" w:cs="Arial"/>
        </w:rPr>
        <w:t xml:space="preserve">main approaches and strategies used </w:t>
      </w:r>
      <w:r w:rsidR="002C0826">
        <w:rPr>
          <w:rFonts w:ascii="Arial" w:eastAsia="Arial" w:hAnsi="Arial" w:cs="Arial"/>
        </w:rPr>
        <w:t xml:space="preserve">by </w:t>
      </w:r>
      <w:r w:rsidR="00670704">
        <w:rPr>
          <w:rFonts w:ascii="Arial" w:eastAsia="Arial" w:hAnsi="Arial" w:cs="Arial"/>
        </w:rPr>
        <w:t xml:space="preserve">the </w:t>
      </w:r>
      <w:r w:rsidR="002C0826">
        <w:rPr>
          <w:rFonts w:ascii="Arial" w:eastAsia="Arial" w:hAnsi="Arial" w:cs="Arial"/>
        </w:rPr>
        <w:t xml:space="preserve">public health of </w:t>
      </w:r>
      <w:r w:rsidR="002149E0">
        <w:rPr>
          <w:rFonts w:ascii="Arial" w:eastAsia="Arial" w:hAnsi="Arial" w:cs="Arial"/>
        </w:rPr>
        <w:t xml:space="preserve">England </w:t>
      </w:r>
      <w:r w:rsidR="035CBF21" w:rsidRPr="0A0AC0F1">
        <w:rPr>
          <w:rFonts w:ascii="Arial" w:eastAsia="Arial" w:hAnsi="Arial" w:cs="Arial"/>
        </w:rPr>
        <w:t xml:space="preserve">to measure, </w:t>
      </w:r>
      <w:r w:rsidR="00211527">
        <w:rPr>
          <w:rFonts w:ascii="Arial" w:eastAsia="Arial" w:hAnsi="Arial" w:cs="Arial"/>
        </w:rPr>
        <w:t>monitor</w:t>
      </w:r>
      <w:r w:rsidR="6957C5D6" w:rsidRPr="0A0AC0F1">
        <w:rPr>
          <w:rFonts w:ascii="Arial" w:eastAsia="Arial" w:hAnsi="Arial" w:cs="Arial"/>
        </w:rPr>
        <w:t>, and control the incidence of the</w:t>
      </w:r>
      <w:r w:rsidR="0A0AC0F1" w:rsidRPr="0A0AC0F1">
        <w:rPr>
          <w:rFonts w:ascii="Arial" w:eastAsia="Arial" w:hAnsi="Arial" w:cs="Arial"/>
        </w:rPr>
        <w:t xml:space="preserve"> Inf</w:t>
      </w:r>
      <w:r w:rsidR="035CBF21" w:rsidRPr="0A0AC0F1">
        <w:rPr>
          <w:rFonts w:ascii="Arial" w:eastAsia="Arial" w:hAnsi="Arial" w:cs="Arial"/>
        </w:rPr>
        <w:t>luenza Virus will be discussed.</w:t>
      </w:r>
    </w:p>
    <w:p w14:paraId="109F9F78" w14:textId="629B5BC9" w:rsidR="0A0AC0F1" w:rsidRDefault="0A0AC0F1" w:rsidP="0A0AC0F1">
      <w:pPr>
        <w:spacing w:line="360" w:lineRule="auto"/>
        <w:rPr>
          <w:rFonts w:ascii="Arial" w:eastAsia="Arial" w:hAnsi="Arial" w:cs="Arial"/>
        </w:rPr>
      </w:pPr>
    </w:p>
    <w:p w14:paraId="2803F15D" w14:textId="05D74773" w:rsidR="3D1AF860" w:rsidRDefault="00751C94" w:rsidP="0A0AC0F1">
      <w:pPr>
        <w:spacing w:line="360" w:lineRule="auto"/>
        <w:rPr>
          <w:rFonts w:ascii="Arial" w:eastAsia="Arial" w:hAnsi="Arial" w:cs="Arial"/>
        </w:rPr>
      </w:pPr>
      <w:bookmarkStart w:id="3" w:name="_Toc128948163"/>
      <w:r w:rsidRPr="007037A5">
        <w:rPr>
          <w:rStyle w:val="Heading1Char"/>
        </w:rPr>
        <w:t>Public Health of Engl</w:t>
      </w:r>
      <w:r w:rsidR="002F2852" w:rsidRPr="007037A5">
        <w:rPr>
          <w:rStyle w:val="Heading1Char"/>
        </w:rPr>
        <w:t>and s</w:t>
      </w:r>
      <w:r w:rsidR="3D1AF860" w:rsidRPr="007037A5">
        <w:rPr>
          <w:rStyle w:val="Heading1Char"/>
        </w:rPr>
        <w:t>trategies to Measure Influenza</w:t>
      </w:r>
      <w:bookmarkEnd w:id="3"/>
      <w:r w:rsidR="1C6D6AF9" w:rsidRPr="0A0AC0F1">
        <w:rPr>
          <w:rFonts w:ascii="Arial" w:eastAsia="Arial" w:hAnsi="Arial" w:cs="Arial"/>
        </w:rPr>
        <w:t>:</w:t>
      </w:r>
    </w:p>
    <w:p w14:paraId="2D32FE96" w14:textId="26A36156" w:rsidR="005C5D23" w:rsidRDefault="006F401E" w:rsidP="005C5D23">
      <w:pPr>
        <w:spacing w:line="360" w:lineRule="auto"/>
        <w:rPr>
          <w:rFonts w:ascii="Arial" w:eastAsia="Arial" w:hAnsi="Arial" w:cs="Arial"/>
        </w:rPr>
      </w:pPr>
      <w:r>
        <w:rPr>
          <w:rFonts w:ascii="Arial" w:eastAsia="Arial" w:hAnsi="Arial" w:cs="Arial"/>
        </w:rPr>
        <w:t>Influenza</w:t>
      </w:r>
      <w:r w:rsidR="00532DD8" w:rsidRPr="00532DD8">
        <w:rPr>
          <w:rFonts w:ascii="Arial" w:eastAsia="Arial" w:hAnsi="Arial" w:cs="Arial"/>
        </w:rPr>
        <w:t xml:space="preserve"> (flu) virus causes a very contagious and widespread sickness. It can be exceedingly dangerous and result in fatal complications, especially for people in risk groups. An average of 8,000 individuals every year pass away from influenza, which can be especially harmful </w:t>
      </w:r>
      <w:r>
        <w:rPr>
          <w:rFonts w:ascii="Arial" w:eastAsia="Arial" w:hAnsi="Arial" w:cs="Arial"/>
        </w:rPr>
        <w:t>to</w:t>
      </w:r>
      <w:r w:rsidR="00532DD8" w:rsidRPr="00532DD8">
        <w:rPr>
          <w:rFonts w:ascii="Arial" w:eastAsia="Arial" w:hAnsi="Arial" w:cs="Arial"/>
        </w:rPr>
        <w:t xml:space="preserve"> the elderly, young children, and people who already have medical conditions. The ability to reliably track influenza levels throughout the winter will have a significant impact on public health decisions both now and in the future</w:t>
      </w:r>
      <w:r w:rsidR="00DB14CA">
        <w:rPr>
          <w:rFonts w:ascii="Arial" w:eastAsia="Arial" w:hAnsi="Arial" w:cs="Arial"/>
        </w:rPr>
        <w:t xml:space="preserve"> (</w:t>
      </w:r>
      <w:r w:rsidR="00506174" w:rsidRPr="00506174">
        <w:rPr>
          <w:rFonts w:ascii="Arial" w:eastAsia="Arial" w:hAnsi="Arial" w:cs="Arial"/>
        </w:rPr>
        <w:t xml:space="preserve">Zhao, H. </w:t>
      </w:r>
      <w:r w:rsidR="00506174" w:rsidRPr="00506174">
        <w:rPr>
          <w:rFonts w:ascii="Arial" w:eastAsia="Arial" w:hAnsi="Arial" w:cs="Arial"/>
          <w:i/>
          <w:iCs/>
        </w:rPr>
        <w:t>et al.</w:t>
      </w:r>
      <w:r w:rsidR="00CC1B00">
        <w:rPr>
          <w:rFonts w:ascii="Arial" w:eastAsia="Arial" w:hAnsi="Arial" w:cs="Arial"/>
        </w:rPr>
        <w:t xml:space="preserve">, </w:t>
      </w:r>
      <w:r w:rsidR="00506174" w:rsidRPr="00506174">
        <w:rPr>
          <w:rFonts w:ascii="Arial" w:eastAsia="Arial" w:hAnsi="Arial" w:cs="Arial"/>
        </w:rPr>
        <w:t>2014)</w:t>
      </w:r>
      <w:r w:rsidR="00CC1B00">
        <w:rPr>
          <w:rFonts w:ascii="Arial" w:eastAsia="Arial" w:hAnsi="Arial" w:cs="Arial"/>
        </w:rPr>
        <w:t>.</w:t>
      </w:r>
      <w:r w:rsidR="005C5D23" w:rsidRPr="005C5D23">
        <w:rPr>
          <w:rFonts w:ascii="Arial" w:eastAsia="Arial" w:hAnsi="Arial" w:cs="Arial"/>
        </w:rPr>
        <w:t xml:space="preserve"> </w:t>
      </w:r>
    </w:p>
    <w:p w14:paraId="36B1A20D" w14:textId="64D9D6F0" w:rsidR="00414664" w:rsidRDefault="00F70685" w:rsidP="00D958E4">
      <w:pPr>
        <w:spacing w:line="360" w:lineRule="auto"/>
        <w:rPr>
          <w:rFonts w:ascii="Arial" w:eastAsia="Arial" w:hAnsi="Arial" w:cs="Arial"/>
        </w:rPr>
      </w:pPr>
      <w:r>
        <w:rPr>
          <w:rFonts w:ascii="Arial" w:eastAsia="Arial" w:hAnsi="Arial" w:cs="Arial"/>
        </w:rPr>
        <w:t xml:space="preserve">In 2018, </w:t>
      </w:r>
      <w:r w:rsidR="00632EFA" w:rsidRPr="00632EFA">
        <w:rPr>
          <w:rFonts w:ascii="Arial" w:eastAsia="Arial" w:hAnsi="Arial" w:cs="Arial"/>
        </w:rPr>
        <w:t>5,505 reports of hospitalisation due to the flu were confirmed in a network of 24 trusts in England. 3,157 people in the entire UK were admitted to an Intensive Care Unit or High Dependency Unit as a result of confirmed flu during the 2018–19 flu season, and 312 of those patients died. 2018–19 saw an estimated 1,692 flu-related fatalities</w:t>
      </w:r>
      <w:r w:rsidR="00182109">
        <w:rPr>
          <w:rFonts w:ascii="Arial" w:eastAsia="Arial" w:hAnsi="Arial" w:cs="Arial"/>
        </w:rPr>
        <w:t xml:space="preserve"> </w:t>
      </w:r>
      <w:r w:rsidR="006D58F2" w:rsidRPr="006D58F2">
        <w:rPr>
          <w:rFonts w:ascii="Arial" w:eastAsia="Arial" w:hAnsi="Arial" w:cs="Arial"/>
        </w:rPr>
        <w:t>(Doyle, 2019)</w:t>
      </w:r>
      <w:r w:rsidR="006D58F2">
        <w:rPr>
          <w:rFonts w:ascii="Arial" w:eastAsia="Arial" w:hAnsi="Arial" w:cs="Arial"/>
        </w:rPr>
        <w:t>.</w:t>
      </w:r>
    </w:p>
    <w:p w14:paraId="05F61B8D" w14:textId="29B47EC6" w:rsidR="0A0AC0F1" w:rsidRPr="006E6C88" w:rsidRDefault="003943DF" w:rsidP="006E6C88">
      <w:pPr>
        <w:spacing w:line="360" w:lineRule="auto"/>
        <w:rPr>
          <w:rFonts w:ascii="Arial" w:hAnsi="Arial" w:cs="Arial"/>
        </w:rPr>
      </w:pPr>
      <w:r w:rsidRPr="003943DF">
        <w:rPr>
          <w:rFonts w:ascii="Arial" w:hAnsi="Arial" w:cs="Arial"/>
        </w:rPr>
        <w:t xml:space="preserve">Another method to estimate the incidence of influenza is to examine vaccine effectivity. The Test Negative Case (TNCC) control design has been used to assess the vaccine's effectiveness against  influenza infection as a result of severe influenza-like illness in primary care. The average yearly age-specific influenza-associated mortality risk was highest among those 75 and older throughout the course of six seasons in England, particularly during seasons when influenza A was most prevalent. This was true despite relatively good influenza vaccine uptake among those 65 and older (H3N2). The cumulative alpha value against all-laboratory confirmed influenza during seven seasons (2010/11-2016/17) in </w:t>
      </w:r>
      <w:r w:rsidRPr="003943DF">
        <w:rPr>
          <w:rFonts w:ascii="Arial" w:hAnsi="Arial" w:cs="Arial"/>
        </w:rPr>
        <w:lastRenderedPageBreak/>
        <w:t>primary care settings throughout the UK was modest in patients 65 years of age and older</w:t>
      </w:r>
      <w:r w:rsidR="00F035B9" w:rsidRPr="006E6C88">
        <w:rPr>
          <w:rFonts w:ascii="Arial" w:hAnsi="Arial" w:cs="Arial"/>
        </w:rPr>
        <w:t xml:space="preserve"> </w:t>
      </w:r>
      <w:r w:rsidR="00632581" w:rsidRPr="006E6C88">
        <w:rPr>
          <w:rFonts w:ascii="Arial" w:hAnsi="Arial" w:cs="Arial"/>
        </w:rPr>
        <w:t>(</w:t>
      </w:r>
      <w:proofErr w:type="spellStart"/>
      <w:r w:rsidR="00632581" w:rsidRPr="006E6C88">
        <w:rPr>
          <w:rFonts w:ascii="Arial" w:hAnsi="Arial" w:cs="Arial"/>
        </w:rPr>
        <w:t>Pebody</w:t>
      </w:r>
      <w:proofErr w:type="spellEnd"/>
      <w:r w:rsidR="00632581" w:rsidRPr="006E6C88">
        <w:rPr>
          <w:rFonts w:ascii="Arial" w:hAnsi="Arial" w:cs="Arial"/>
        </w:rPr>
        <w:t xml:space="preserve"> et al.,</w:t>
      </w:r>
      <w:r w:rsidR="00BB79EE">
        <w:rPr>
          <w:rFonts w:ascii="Arial" w:hAnsi="Arial" w:cs="Arial"/>
        </w:rPr>
        <w:t xml:space="preserve"> </w:t>
      </w:r>
      <w:r w:rsidR="00632581" w:rsidRPr="006E6C88">
        <w:rPr>
          <w:rFonts w:ascii="Arial" w:hAnsi="Arial" w:cs="Arial"/>
        </w:rPr>
        <w:t>2018).</w:t>
      </w:r>
    </w:p>
    <w:p w14:paraId="7351D087" w14:textId="77777777" w:rsidR="007037A5" w:rsidRDefault="007037A5" w:rsidP="007037A5"/>
    <w:p w14:paraId="2D117E85" w14:textId="736FB2DB" w:rsidR="0909EB4C" w:rsidRDefault="00F035B9" w:rsidP="007037A5">
      <w:pPr>
        <w:pStyle w:val="Heading1"/>
      </w:pPr>
      <w:bookmarkStart w:id="4" w:name="_Toc128948164"/>
      <w:r w:rsidRPr="007037A5">
        <w:t xml:space="preserve">Strategies to </w:t>
      </w:r>
      <w:r w:rsidR="0909EB4C" w:rsidRPr="007037A5">
        <w:t>Monitor</w:t>
      </w:r>
      <w:r w:rsidRPr="007037A5">
        <w:t xml:space="preserve"> </w:t>
      </w:r>
      <w:r w:rsidR="00E12284" w:rsidRPr="007037A5">
        <w:t xml:space="preserve">Influenza </w:t>
      </w:r>
      <w:bookmarkEnd w:id="4"/>
      <w:r w:rsidR="00714380" w:rsidRPr="007037A5">
        <w:t>Incidence:</w:t>
      </w:r>
    </w:p>
    <w:p w14:paraId="7D467290" w14:textId="77777777" w:rsidR="007037A5" w:rsidRPr="007037A5" w:rsidRDefault="007037A5" w:rsidP="007037A5"/>
    <w:p w14:paraId="0B85226B" w14:textId="259FCEFD" w:rsidR="00F321FF" w:rsidRDefault="00682EED" w:rsidP="0A0AC0F1">
      <w:pPr>
        <w:spacing w:line="360" w:lineRule="auto"/>
        <w:rPr>
          <w:rFonts w:ascii="Arial" w:eastAsia="Arial" w:hAnsi="Arial" w:cs="Arial"/>
        </w:rPr>
      </w:pPr>
      <w:r w:rsidRPr="00682EED">
        <w:rPr>
          <w:rFonts w:ascii="Arial" w:eastAsia="Arial" w:hAnsi="Arial" w:cs="Arial"/>
        </w:rPr>
        <w:t>There were between 144 000 and 670 000 cases of influenza in England during the first wave of the pandemic (H1N1) in 2009, with a median estimate of 320 000 cases.</w:t>
      </w:r>
      <w:r w:rsidRPr="00BC729A">
        <w:rPr>
          <w:rFonts w:ascii="Arial" w:eastAsia="Arial" w:hAnsi="Arial" w:cs="Arial"/>
        </w:rPr>
        <w:t xml:space="preserve"> The</w:t>
      </w:r>
      <w:r w:rsidR="00BC729A" w:rsidRPr="00BC729A">
        <w:rPr>
          <w:rFonts w:ascii="Arial" w:eastAsia="Arial" w:hAnsi="Arial" w:cs="Arial"/>
        </w:rPr>
        <w:t xml:space="preserve"> initial approach in England was a containment strategy in which every suspected clinical case had a microbiologic testing and was given antiviral medication. Thus, only cases with virological verification were under observation. As the number of cases rose, a countrywide "treatment-only" phase without exposure to prophylaxis was started on July 2, 2009, to control the epidemic</w:t>
      </w:r>
      <w:r w:rsidR="00810B83">
        <w:rPr>
          <w:rFonts w:ascii="Arial" w:eastAsia="Arial" w:hAnsi="Arial" w:cs="Arial"/>
        </w:rPr>
        <w:t xml:space="preserve"> (</w:t>
      </w:r>
      <w:r w:rsidR="00AE0F81" w:rsidRPr="00AE0F81">
        <w:rPr>
          <w:rFonts w:ascii="Arial" w:eastAsia="Arial" w:hAnsi="Arial" w:cs="Arial"/>
        </w:rPr>
        <w:t>Harcourt et al., 2011)</w:t>
      </w:r>
      <w:r w:rsidR="00EA72A5" w:rsidRPr="00EA72A5">
        <w:rPr>
          <w:rFonts w:ascii="Arial" w:eastAsia="Arial" w:hAnsi="Arial" w:cs="Arial"/>
        </w:rPr>
        <w:t>.</w:t>
      </w:r>
    </w:p>
    <w:p w14:paraId="6CB51EC2" w14:textId="1B7E2D09" w:rsidR="00F321FF" w:rsidRDefault="00340809" w:rsidP="0A0AC0F1">
      <w:pPr>
        <w:spacing w:line="360" w:lineRule="auto"/>
        <w:rPr>
          <w:rFonts w:ascii="Arial" w:eastAsia="Arial" w:hAnsi="Arial" w:cs="Arial"/>
        </w:rPr>
      </w:pPr>
      <w:r w:rsidRPr="00340809">
        <w:rPr>
          <w:rFonts w:ascii="Arial" w:eastAsia="Arial" w:hAnsi="Arial" w:cs="Arial"/>
        </w:rPr>
        <w:t>The UK Severe Influenza Surveillance System (USISS), a monitoring network of 23 Trusts, was set up to keep track of confirmed seasonal influenza hospitalisations after the 2009 H1N1 influenza outbreak in England</w:t>
      </w:r>
      <w:r>
        <w:rPr>
          <w:rFonts w:ascii="Arial" w:eastAsia="Arial" w:hAnsi="Arial" w:cs="Arial"/>
        </w:rPr>
        <w:t xml:space="preserve"> </w:t>
      </w:r>
      <w:r w:rsidR="00F50B49" w:rsidRPr="00F50B49">
        <w:rPr>
          <w:rFonts w:ascii="Arial" w:eastAsia="Arial" w:hAnsi="Arial" w:cs="Arial"/>
        </w:rPr>
        <w:t xml:space="preserve">(Bolotin </w:t>
      </w:r>
      <w:r w:rsidR="00F50B49" w:rsidRPr="00F50B49">
        <w:rPr>
          <w:rFonts w:ascii="Arial" w:eastAsia="Arial" w:hAnsi="Arial" w:cs="Arial"/>
          <w:i/>
          <w:iCs/>
        </w:rPr>
        <w:t>et al.</w:t>
      </w:r>
      <w:r w:rsidR="00F50B49" w:rsidRPr="00F50B49">
        <w:rPr>
          <w:rFonts w:ascii="Arial" w:eastAsia="Arial" w:hAnsi="Arial" w:cs="Arial"/>
        </w:rPr>
        <w:t>, 2012)</w:t>
      </w:r>
      <w:r w:rsidR="00D71BAE">
        <w:rPr>
          <w:rFonts w:ascii="Arial" w:eastAsia="Arial" w:hAnsi="Arial" w:cs="Arial"/>
        </w:rPr>
        <w:t xml:space="preserve">. </w:t>
      </w:r>
    </w:p>
    <w:p w14:paraId="5FFF4EA1" w14:textId="6B4AA54E" w:rsidR="001C04B1" w:rsidRDefault="006A04D2" w:rsidP="0A0AC0F1">
      <w:pPr>
        <w:spacing w:line="360" w:lineRule="auto"/>
        <w:rPr>
          <w:rFonts w:ascii="Arial" w:eastAsia="Arial" w:hAnsi="Arial" w:cs="Arial"/>
        </w:rPr>
      </w:pPr>
      <w:r w:rsidRPr="006A04D2">
        <w:rPr>
          <w:rFonts w:ascii="Arial" w:eastAsia="Arial" w:hAnsi="Arial" w:cs="Arial"/>
        </w:rPr>
        <w:t xml:space="preserve">The primary sources of information for conventional ILI (Influenza-like illness) monitoring are </w:t>
      </w:r>
      <w:r w:rsidR="004B554E">
        <w:rPr>
          <w:rFonts w:ascii="Arial" w:eastAsia="Arial" w:hAnsi="Arial" w:cs="Arial"/>
        </w:rPr>
        <w:t xml:space="preserve">a </w:t>
      </w:r>
      <w:r w:rsidRPr="006A04D2">
        <w:rPr>
          <w:rFonts w:ascii="Arial" w:eastAsia="Arial" w:hAnsi="Arial" w:cs="Arial"/>
        </w:rPr>
        <w:t>general practitioner (GP) and hospital reports.</w:t>
      </w:r>
      <w:r w:rsidR="004B554E" w:rsidRPr="004B554E">
        <w:t xml:space="preserve"> </w:t>
      </w:r>
      <w:r w:rsidR="004B554E" w:rsidRPr="004B554E">
        <w:rPr>
          <w:rFonts w:ascii="Arial" w:eastAsia="Arial" w:hAnsi="Arial" w:cs="Arial"/>
        </w:rPr>
        <w:t>Despite its effectiveness, this strategy's biggest drawback is that it requires medical attention</w:t>
      </w:r>
      <w:r w:rsidR="001159CE">
        <w:rPr>
          <w:rFonts w:ascii="Arial" w:eastAsia="Arial" w:hAnsi="Arial" w:cs="Arial"/>
        </w:rPr>
        <w:t xml:space="preserve"> </w:t>
      </w:r>
      <w:r w:rsidR="7E05A5B6" w:rsidRPr="0A0AC0F1">
        <w:rPr>
          <w:rFonts w:ascii="Arial" w:eastAsia="Arial" w:hAnsi="Arial" w:cs="Arial"/>
        </w:rPr>
        <w:t>(Adler et al.,</w:t>
      </w:r>
      <w:r w:rsidR="00BB79EE">
        <w:rPr>
          <w:rFonts w:ascii="Arial" w:eastAsia="Arial" w:hAnsi="Arial" w:cs="Arial"/>
        </w:rPr>
        <w:t xml:space="preserve"> </w:t>
      </w:r>
      <w:r w:rsidR="7E05A5B6" w:rsidRPr="0A0AC0F1">
        <w:rPr>
          <w:rFonts w:ascii="Arial" w:eastAsia="Arial" w:hAnsi="Arial" w:cs="Arial"/>
        </w:rPr>
        <w:t>2014)</w:t>
      </w:r>
      <w:r w:rsidR="31037E63" w:rsidRPr="0A0AC0F1">
        <w:rPr>
          <w:rFonts w:ascii="Arial" w:eastAsia="Arial" w:hAnsi="Arial" w:cs="Arial"/>
        </w:rPr>
        <w:t xml:space="preserve">. </w:t>
      </w:r>
    </w:p>
    <w:p w14:paraId="77BE352E" w14:textId="529F758A" w:rsidR="31037E63" w:rsidRDefault="31037E63" w:rsidP="0A0AC0F1">
      <w:pPr>
        <w:spacing w:line="360" w:lineRule="auto"/>
        <w:rPr>
          <w:rFonts w:ascii="Arial" w:eastAsia="Arial" w:hAnsi="Arial" w:cs="Arial"/>
        </w:rPr>
      </w:pPr>
      <w:r w:rsidRPr="0A0AC0F1">
        <w:rPr>
          <w:rFonts w:ascii="Arial" w:eastAsia="Arial" w:hAnsi="Arial" w:cs="Arial"/>
        </w:rPr>
        <w:t>The Emergency Department Syndromic Surveillance System (EDSSS), NHS 111 calls, and online evaluations are all part of England's national UKHSA real-time syndromic surveillance systems. GP in-hours consultations and GP out-of-hours contacts are also included (Surveillance of influenza and other seasonal respiratory viruses in winter 2021 to 2022, 2022).</w:t>
      </w:r>
    </w:p>
    <w:p w14:paraId="1EF58B25" w14:textId="1417A5F5" w:rsidR="00A5588C" w:rsidRDefault="00A5588C" w:rsidP="00A5588C">
      <w:pPr>
        <w:spacing w:line="360" w:lineRule="auto"/>
        <w:rPr>
          <w:rFonts w:ascii="Arial" w:eastAsia="Arial" w:hAnsi="Arial" w:cs="Arial"/>
        </w:rPr>
      </w:pPr>
      <w:r>
        <w:rPr>
          <w:rFonts w:ascii="Arial" w:eastAsia="Arial" w:hAnsi="Arial" w:cs="Arial"/>
        </w:rPr>
        <w:t xml:space="preserve">Public </w:t>
      </w:r>
      <w:r w:rsidRPr="0A0AC0F1">
        <w:rPr>
          <w:rFonts w:ascii="Arial" w:eastAsia="Arial" w:hAnsi="Arial" w:cs="Arial"/>
        </w:rPr>
        <w:t xml:space="preserve">Community cohort surveys supply </w:t>
      </w:r>
      <w:r>
        <w:rPr>
          <w:rFonts w:ascii="Arial" w:eastAsia="Arial" w:hAnsi="Arial" w:cs="Arial"/>
        </w:rPr>
        <w:t>a</w:t>
      </w:r>
      <w:r w:rsidRPr="0A0AC0F1">
        <w:rPr>
          <w:rFonts w:ascii="Arial" w:eastAsia="Arial" w:hAnsi="Arial" w:cs="Arial"/>
        </w:rPr>
        <w:t xml:space="preserve"> method of finding the incidence and risk factors. This can be carried out using the internet at a reasonable cost and in a method that is convenient for participants. </w:t>
      </w:r>
      <w:r w:rsidR="002D6780" w:rsidRPr="002D6780">
        <w:rPr>
          <w:rFonts w:ascii="Arial" w:eastAsia="Arial" w:hAnsi="Arial" w:cs="Arial"/>
        </w:rPr>
        <w:t>During the H1N1 pandemic in July 2009, the UK's web-based surveillance programme "</w:t>
      </w:r>
      <w:r w:rsidR="005B4846" w:rsidRPr="002D6780">
        <w:rPr>
          <w:rFonts w:ascii="Arial" w:eastAsia="Arial" w:hAnsi="Arial" w:cs="Arial"/>
        </w:rPr>
        <w:t>Flu survey</w:t>
      </w:r>
      <w:r w:rsidR="002D6780" w:rsidRPr="002D6780">
        <w:rPr>
          <w:rFonts w:ascii="Arial" w:eastAsia="Arial" w:hAnsi="Arial" w:cs="Arial"/>
        </w:rPr>
        <w:t>" (https://flusurvey.org.uk/) was introduced</w:t>
      </w:r>
      <w:r w:rsidR="008A0CF9" w:rsidRPr="0A0AC0F1">
        <w:rPr>
          <w:rFonts w:ascii="Arial" w:eastAsia="Arial" w:hAnsi="Arial" w:cs="Arial"/>
        </w:rPr>
        <w:t xml:space="preserve"> </w:t>
      </w:r>
      <w:r w:rsidRPr="0A0AC0F1">
        <w:rPr>
          <w:rFonts w:ascii="Arial" w:eastAsia="Arial" w:hAnsi="Arial" w:cs="Arial"/>
        </w:rPr>
        <w:t>(Adler et al.,</w:t>
      </w:r>
      <w:r w:rsidR="00DB14CA">
        <w:rPr>
          <w:rFonts w:ascii="Arial" w:eastAsia="Arial" w:hAnsi="Arial" w:cs="Arial"/>
        </w:rPr>
        <w:t xml:space="preserve"> </w:t>
      </w:r>
      <w:r w:rsidRPr="0A0AC0F1">
        <w:rPr>
          <w:rFonts w:ascii="Arial" w:eastAsia="Arial" w:hAnsi="Arial" w:cs="Arial"/>
        </w:rPr>
        <w:t>2014)</w:t>
      </w:r>
      <w:r>
        <w:rPr>
          <w:rFonts w:ascii="Arial" w:eastAsia="Arial" w:hAnsi="Arial" w:cs="Arial"/>
        </w:rPr>
        <w:t>.</w:t>
      </w:r>
    </w:p>
    <w:p w14:paraId="65EE391A" w14:textId="77777777" w:rsidR="00E3652D" w:rsidRDefault="00E3652D" w:rsidP="0A0AC0F1">
      <w:pPr>
        <w:spacing w:line="360" w:lineRule="auto"/>
        <w:rPr>
          <w:rFonts w:ascii="Arial" w:eastAsia="Arial" w:hAnsi="Arial" w:cs="Arial"/>
        </w:rPr>
      </w:pPr>
    </w:p>
    <w:p w14:paraId="7759EF54" w14:textId="46CFA11B" w:rsidR="0A0AC0F1" w:rsidRDefault="005B635C" w:rsidP="007037A5">
      <w:pPr>
        <w:pStyle w:val="Heading1"/>
      </w:pPr>
      <w:bookmarkStart w:id="5" w:name="_Toc128948165"/>
      <w:r w:rsidRPr="00A13193">
        <w:t xml:space="preserve">Strategies used in the UK to control the incidence of </w:t>
      </w:r>
      <w:r w:rsidR="00A13193" w:rsidRPr="00A13193">
        <w:t>Influenza</w:t>
      </w:r>
      <w:r w:rsidR="00A13193">
        <w:t>:</w:t>
      </w:r>
      <w:bookmarkEnd w:id="5"/>
    </w:p>
    <w:p w14:paraId="230435A0" w14:textId="77777777" w:rsidR="007037A5" w:rsidRPr="007037A5" w:rsidRDefault="007037A5" w:rsidP="007037A5"/>
    <w:p w14:paraId="599105D7" w14:textId="278D3745" w:rsidR="006C100F" w:rsidRDefault="006C100F" w:rsidP="007037A5">
      <w:pPr>
        <w:pStyle w:val="Heading2"/>
      </w:pPr>
      <w:bookmarkStart w:id="6" w:name="_Toc128948166"/>
      <w:r>
        <w:t>Vaccination:</w:t>
      </w:r>
      <w:bookmarkEnd w:id="6"/>
    </w:p>
    <w:p w14:paraId="758AFE95" w14:textId="74656885" w:rsidR="00B341CB" w:rsidRDefault="00B25F91" w:rsidP="006C100F">
      <w:pPr>
        <w:spacing w:line="360" w:lineRule="auto"/>
        <w:rPr>
          <w:rFonts w:ascii="Arial" w:hAnsi="Arial" w:cs="Arial"/>
        </w:rPr>
      </w:pPr>
      <w:r w:rsidRPr="00B25F91">
        <w:rPr>
          <w:rFonts w:ascii="Arial" w:hAnsi="Arial" w:cs="Arial"/>
        </w:rPr>
        <w:t>The influenza virus is still evolving and changing, which could lead to 'antigenic drift,' as it is known. Researchers in public health are now much more equipped to describe these shifts.</w:t>
      </w:r>
      <w:r w:rsidR="00DF4830" w:rsidRPr="00DF4830">
        <w:t xml:space="preserve"> </w:t>
      </w:r>
      <w:r w:rsidR="00DF4830" w:rsidRPr="00DF4830">
        <w:rPr>
          <w:rFonts w:ascii="Arial" w:hAnsi="Arial" w:cs="Arial"/>
        </w:rPr>
        <w:lastRenderedPageBreak/>
        <w:t>Today's public health researchers are considerably better prepared to explain these changes. Historically, flu vaccines were trivalent (effective against two different influenza A strains and one strain of influenza B), but more recently, quadrivalent vaccines including two different influenza B strains have become accessible. Practitioners have employed a range of strategies to boost vaccination rates, including employing call-recall systems and the electronic medical record to find eligible patients. Vaccinations have been administered to children in schools through their schools, at-risk adults through pharmacies, and healthcare providers through their places of employment</w:t>
      </w:r>
      <w:r w:rsidR="00DF4830">
        <w:rPr>
          <w:rFonts w:ascii="Arial" w:hAnsi="Arial" w:cs="Arial"/>
        </w:rPr>
        <w:t xml:space="preserve"> (</w:t>
      </w:r>
      <w:r w:rsidR="00815795" w:rsidRPr="00815795">
        <w:rPr>
          <w:rFonts w:ascii="Arial" w:hAnsi="Arial" w:cs="Arial"/>
        </w:rPr>
        <w:t>De Lusignan, S. et al.</w:t>
      </w:r>
      <w:r w:rsidR="00406E45">
        <w:rPr>
          <w:rFonts w:ascii="Arial" w:hAnsi="Arial" w:cs="Arial"/>
        </w:rPr>
        <w:t>,2016).</w:t>
      </w:r>
    </w:p>
    <w:p w14:paraId="3FAE65C8" w14:textId="1CD43D1B" w:rsidR="007927E0" w:rsidRPr="007927E0" w:rsidRDefault="004C1BA0" w:rsidP="007927E0">
      <w:pPr>
        <w:spacing w:line="360" w:lineRule="auto"/>
        <w:rPr>
          <w:rFonts w:ascii="Arial" w:hAnsi="Arial" w:cs="Arial"/>
        </w:rPr>
      </w:pPr>
      <w:r w:rsidRPr="004C1BA0">
        <w:rPr>
          <w:rFonts w:ascii="Arial" w:hAnsi="Arial" w:cs="Arial"/>
        </w:rPr>
        <w:t>The UK Organizational Strategy for collecting, distributing, and deploying antiviral medications in the event of outbreak of influenza5 and the Primary Care Action Plan outline national distribution methods</w:t>
      </w:r>
      <w:r w:rsidR="002A28FC" w:rsidRPr="002A28FC">
        <w:rPr>
          <w:rFonts w:ascii="Arial" w:hAnsi="Arial" w:cs="Arial"/>
        </w:rPr>
        <w:t>(Lim, 2007)</w:t>
      </w:r>
      <w:r w:rsidR="002A28FC">
        <w:rPr>
          <w:rFonts w:ascii="Arial" w:hAnsi="Arial" w:cs="Arial"/>
        </w:rPr>
        <w:t>.</w:t>
      </w:r>
    </w:p>
    <w:p w14:paraId="6F84865F" w14:textId="77777777" w:rsidR="00D83DFA" w:rsidRDefault="00D83DFA" w:rsidP="007037A5">
      <w:pPr>
        <w:pStyle w:val="Heading2"/>
      </w:pPr>
      <w:bookmarkStart w:id="7" w:name="_Toc128948167"/>
      <w:r>
        <w:t>Precautions:</w:t>
      </w:r>
      <w:bookmarkEnd w:id="7"/>
    </w:p>
    <w:p w14:paraId="2479157E" w14:textId="26D5CD7C" w:rsidR="0019361F" w:rsidRDefault="003248C8" w:rsidP="006C100F">
      <w:pPr>
        <w:spacing w:line="360" w:lineRule="auto"/>
        <w:rPr>
          <w:rFonts w:ascii="Arial" w:hAnsi="Arial" w:cs="Arial"/>
        </w:rPr>
      </w:pPr>
      <w:r w:rsidRPr="003248C8">
        <w:rPr>
          <w:rFonts w:ascii="Arial" w:hAnsi="Arial" w:cs="Arial"/>
        </w:rPr>
        <w:t>When an infected individual coughs and sneezes, influenza viruses can travel from one individual to another through the airways. They can also spread by hand-to-face (nose, mouth, or eyes) contact after coming into touch with an individual or area that has been exposed with infectious droplets</w:t>
      </w:r>
      <w:r w:rsidR="0019361F" w:rsidRPr="0019361F">
        <w:rPr>
          <w:rFonts w:ascii="Arial" w:hAnsi="Arial" w:cs="Arial"/>
        </w:rPr>
        <w:t>.</w:t>
      </w:r>
    </w:p>
    <w:p w14:paraId="07604FE2" w14:textId="77777777" w:rsidR="00013A26" w:rsidRDefault="00821FBD" w:rsidP="00821FBD">
      <w:pPr>
        <w:spacing w:line="360" w:lineRule="auto"/>
        <w:rPr>
          <w:rFonts w:ascii="Arial" w:hAnsi="Arial" w:cs="Arial"/>
        </w:rPr>
      </w:pPr>
      <w:r w:rsidRPr="00821FBD">
        <w:rPr>
          <w:rFonts w:ascii="Arial" w:hAnsi="Arial" w:cs="Arial"/>
        </w:rPr>
        <w:t xml:space="preserve">Anyone suffering from pandemic influenza should: </w:t>
      </w:r>
    </w:p>
    <w:p w14:paraId="085A0EAE" w14:textId="0715D0BF" w:rsidR="00821FBD" w:rsidRPr="00821FBD" w:rsidRDefault="00013A26" w:rsidP="00821FBD">
      <w:pPr>
        <w:spacing w:line="360" w:lineRule="auto"/>
        <w:rPr>
          <w:rFonts w:ascii="Arial" w:hAnsi="Arial" w:cs="Arial"/>
        </w:rPr>
      </w:pPr>
      <w:r>
        <w:rPr>
          <w:rFonts w:ascii="Arial" w:hAnsi="Arial" w:cs="Arial"/>
        </w:rPr>
        <w:t>1.</w:t>
      </w:r>
      <w:r w:rsidR="00821FBD" w:rsidRPr="00821FBD">
        <w:rPr>
          <w:rFonts w:ascii="Arial" w:hAnsi="Arial" w:cs="Arial"/>
        </w:rPr>
        <w:t xml:space="preserve"> </w:t>
      </w:r>
      <w:r w:rsidR="006A63E2">
        <w:rPr>
          <w:rFonts w:ascii="Arial" w:hAnsi="Arial" w:cs="Arial"/>
        </w:rPr>
        <w:t>Stay at home</w:t>
      </w:r>
      <w:r w:rsidR="00821FBD" w:rsidRPr="00821FBD">
        <w:rPr>
          <w:rFonts w:ascii="Arial" w:hAnsi="Arial" w:cs="Arial"/>
        </w:rPr>
        <w:t>.</w:t>
      </w:r>
    </w:p>
    <w:p w14:paraId="2FFEF616" w14:textId="41F997A0" w:rsidR="000775DB" w:rsidRDefault="00013A26" w:rsidP="00013A26">
      <w:pPr>
        <w:spacing w:line="360" w:lineRule="auto"/>
        <w:rPr>
          <w:rFonts w:ascii="Arial" w:hAnsi="Arial" w:cs="Arial"/>
        </w:rPr>
      </w:pPr>
      <w:r>
        <w:rPr>
          <w:rFonts w:ascii="Arial" w:hAnsi="Arial" w:cs="Arial"/>
        </w:rPr>
        <w:t xml:space="preserve">2. </w:t>
      </w:r>
      <w:r w:rsidR="009800A0" w:rsidRPr="009800A0">
        <w:rPr>
          <w:rFonts w:ascii="Arial" w:hAnsi="Arial" w:cs="Arial"/>
        </w:rPr>
        <w:t>Minimize direct contact and apply comprehensive hand and respiratory hygiene techniques, such as covering the nasal and oral cavities with a tissue while coughing or sneezing and discarding the tissue as soon as it has been used.</w:t>
      </w:r>
    </w:p>
    <w:p w14:paraId="181F286D" w14:textId="45CD1A62" w:rsidR="006E4B9A" w:rsidRDefault="000775DB" w:rsidP="00BE2BF3">
      <w:pPr>
        <w:spacing w:line="360" w:lineRule="auto"/>
        <w:rPr>
          <w:rFonts w:ascii="Arial" w:hAnsi="Arial" w:cs="Arial"/>
        </w:rPr>
      </w:pPr>
      <w:r>
        <w:rPr>
          <w:rFonts w:ascii="Arial" w:hAnsi="Arial" w:cs="Arial"/>
        </w:rPr>
        <w:t xml:space="preserve">3. </w:t>
      </w:r>
      <w:r w:rsidR="00821FBD" w:rsidRPr="00013A26">
        <w:rPr>
          <w:rFonts w:ascii="Arial" w:hAnsi="Arial" w:cs="Arial"/>
        </w:rPr>
        <w:t>Wash hands often with soap and warm water, or alcohol gel if water is not easily accessible.</w:t>
      </w:r>
    </w:p>
    <w:p w14:paraId="73B444FC" w14:textId="495D7600" w:rsidR="00B26666" w:rsidRDefault="006A63E2" w:rsidP="00BE2BF3">
      <w:pPr>
        <w:spacing w:line="360" w:lineRule="auto"/>
        <w:rPr>
          <w:rFonts w:ascii="Arial" w:hAnsi="Arial" w:cs="Arial"/>
        </w:rPr>
      </w:pPr>
      <w:r>
        <w:rPr>
          <w:rFonts w:ascii="Arial" w:hAnsi="Arial" w:cs="Arial"/>
        </w:rPr>
        <w:t>4. Use a face mask to protect others</w:t>
      </w:r>
    </w:p>
    <w:p w14:paraId="75F8BB07" w14:textId="3AD082B5" w:rsidR="0003219A" w:rsidRDefault="0003219A" w:rsidP="00BE2BF3">
      <w:pPr>
        <w:spacing w:line="360" w:lineRule="auto"/>
        <w:rPr>
          <w:rFonts w:ascii="Arial" w:hAnsi="Arial" w:cs="Arial"/>
        </w:rPr>
      </w:pPr>
      <w:r>
        <w:rPr>
          <w:rFonts w:ascii="Arial" w:hAnsi="Arial" w:cs="Arial"/>
        </w:rPr>
        <w:t>5.</w:t>
      </w:r>
      <w:r w:rsidR="006E3FDC">
        <w:rPr>
          <w:rFonts w:ascii="Arial" w:hAnsi="Arial" w:cs="Arial"/>
        </w:rPr>
        <w:t xml:space="preserve"> </w:t>
      </w:r>
      <w:r>
        <w:rPr>
          <w:rFonts w:ascii="Arial" w:hAnsi="Arial" w:cs="Arial"/>
        </w:rPr>
        <w:t>Quarantine</w:t>
      </w:r>
    </w:p>
    <w:p w14:paraId="530204CB" w14:textId="77777777" w:rsidR="00153647" w:rsidRDefault="006E4B9A" w:rsidP="007037A5">
      <w:pPr>
        <w:pStyle w:val="Heading2"/>
      </w:pPr>
      <w:bookmarkStart w:id="8" w:name="_Toc128948168"/>
      <w:r>
        <w:t>Antibiotics:</w:t>
      </w:r>
      <w:bookmarkEnd w:id="8"/>
      <w:r w:rsidR="00153647">
        <w:t xml:space="preserve"> </w:t>
      </w:r>
    </w:p>
    <w:p w14:paraId="01A0E628" w14:textId="018AB1E5" w:rsidR="009B2F85" w:rsidRDefault="009B2F85" w:rsidP="00E8133E">
      <w:pPr>
        <w:spacing w:line="360" w:lineRule="auto"/>
        <w:rPr>
          <w:rFonts w:ascii="Arial" w:hAnsi="Arial" w:cs="Arial"/>
        </w:rPr>
      </w:pPr>
      <w:r w:rsidRPr="009B2F85">
        <w:rPr>
          <w:rFonts w:ascii="Arial" w:hAnsi="Arial" w:cs="Arial"/>
        </w:rPr>
        <w:t xml:space="preserve">If </w:t>
      </w:r>
      <w:r w:rsidR="0007046D" w:rsidRPr="009B2F85">
        <w:rPr>
          <w:rFonts w:ascii="Arial" w:hAnsi="Arial" w:cs="Arial"/>
        </w:rPr>
        <w:t>many</w:t>
      </w:r>
      <w:r w:rsidRPr="009B2F85">
        <w:rPr>
          <w:rFonts w:ascii="Arial" w:hAnsi="Arial" w:cs="Arial"/>
        </w:rPr>
        <w:t xml:space="preserve"> clinical patients receive antiviral treatment, the temporal profile may become flat, with a lower peak and a longer base.</w:t>
      </w:r>
      <w:r w:rsidR="00FF5DB5" w:rsidRPr="00FF5DB5">
        <w:t xml:space="preserve"> </w:t>
      </w:r>
      <w:r w:rsidR="009C1731" w:rsidRPr="009C1731">
        <w:rPr>
          <w:rFonts w:ascii="Arial" w:hAnsi="Arial" w:cs="Arial"/>
        </w:rPr>
        <w:t>Antibiotics' primary function is to prevent severe illness and death from these secondary complications</w:t>
      </w:r>
      <w:r w:rsidR="006E3FDC">
        <w:rPr>
          <w:rFonts w:ascii="Arial" w:hAnsi="Arial" w:cs="Arial"/>
        </w:rPr>
        <w:t xml:space="preserve"> (</w:t>
      </w:r>
      <w:r w:rsidR="0065763B" w:rsidRPr="0093503D">
        <w:rPr>
          <w:rFonts w:ascii="Arial" w:hAnsi="Arial" w:cs="Arial"/>
        </w:rPr>
        <w:t>UK influenza pandemic preparedness strategy 2011</w:t>
      </w:r>
      <w:r w:rsidR="006E3FDC">
        <w:rPr>
          <w:rFonts w:ascii="Arial" w:hAnsi="Arial" w:cs="Arial"/>
        </w:rPr>
        <w:t>).</w:t>
      </w:r>
    </w:p>
    <w:p w14:paraId="303A450C" w14:textId="0EFF8408" w:rsidR="008A53BD" w:rsidRDefault="008A53BD" w:rsidP="007037A5">
      <w:pPr>
        <w:pStyle w:val="Heading1"/>
      </w:pPr>
      <w:bookmarkStart w:id="9" w:name="_Toc128948169"/>
      <w:r>
        <w:t>Conclusion:</w:t>
      </w:r>
      <w:bookmarkEnd w:id="9"/>
    </w:p>
    <w:p w14:paraId="7C80736B" w14:textId="24DACE34" w:rsidR="00A80FAE" w:rsidRPr="0068174D" w:rsidRDefault="0085273F" w:rsidP="0068174D">
      <w:pPr>
        <w:spacing w:line="360" w:lineRule="auto"/>
        <w:rPr>
          <w:rFonts w:ascii="Arial" w:hAnsi="Arial" w:cs="Arial"/>
        </w:rPr>
      </w:pPr>
      <w:r w:rsidRPr="0085273F">
        <w:rPr>
          <w:rFonts w:ascii="Arial" w:hAnsi="Arial" w:cs="Arial"/>
        </w:rPr>
        <w:t xml:space="preserve">Since influenza infection can result in death and morbidity, especially in old and vulnerable people as well as in residential settings, influenza vaccination is an effective way of </w:t>
      </w:r>
      <w:r w:rsidRPr="0085273F">
        <w:rPr>
          <w:rFonts w:ascii="Arial" w:hAnsi="Arial" w:cs="Arial"/>
        </w:rPr>
        <w:lastRenderedPageBreak/>
        <w:t xml:space="preserve">prevention. Regular flu vaccinations are recommended for those who are at a high risk of infection since they offer the best protection. It can be difficult to avoid getting sick during an epidemic. </w:t>
      </w:r>
      <w:r w:rsidR="003228F2">
        <w:rPr>
          <w:rFonts w:ascii="Arial" w:hAnsi="Arial" w:cs="Arial"/>
        </w:rPr>
        <w:t>The</w:t>
      </w:r>
      <w:r w:rsidR="003228F2" w:rsidRPr="0085273F">
        <w:rPr>
          <w:rFonts w:ascii="Arial" w:hAnsi="Arial" w:cs="Arial"/>
        </w:rPr>
        <w:t xml:space="preserve"> chance</w:t>
      </w:r>
      <w:r w:rsidRPr="0085273F">
        <w:rPr>
          <w:rFonts w:ascii="Arial" w:hAnsi="Arial" w:cs="Arial"/>
        </w:rPr>
        <w:t xml:space="preserve"> of getting sick and infecting others</w:t>
      </w:r>
      <w:r w:rsidR="00FD204E">
        <w:rPr>
          <w:rFonts w:ascii="Arial" w:hAnsi="Arial" w:cs="Arial"/>
        </w:rPr>
        <w:t xml:space="preserve"> can be </w:t>
      </w:r>
      <w:r w:rsidR="008124D4">
        <w:rPr>
          <w:rFonts w:ascii="Arial" w:hAnsi="Arial" w:cs="Arial"/>
        </w:rPr>
        <w:t>reduced</w:t>
      </w:r>
      <w:r w:rsidRPr="0085273F">
        <w:rPr>
          <w:rFonts w:ascii="Arial" w:hAnsi="Arial" w:cs="Arial"/>
        </w:rPr>
        <w:t xml:space="preserve"> by avoiding busy areas. </w:t>
      </w:r>
      <w:r w:rsidR="0007046D" w:rsidRPr="00982967">
        <w:rPr>
          <w:rFonts w:ascii="Arial" w:hAnsi="Arial" w:cs="Arial"/>
        </w:rPr>
        <w:t>Flu survey</w:t>
      </w:r>
      <w:r w:rsidR="00982967" w:rsidRPr="00982967">
        <w:rPr>
          <w:rFonts w:ascii="Arial" w:hAnsi="Arial" w:cs="Arial"/>
        </w:rPr>
        <w:t xml:space="preserve"> and other participatory surveillance techniques can provide reliable information to decision-makers.</w:t>
      </w:r>
      <w:r w:rsidR="00081957" w:rsidRPr="00081957">
        <w:t xml:space="preserve"> </w:t>
      </w:r>
      <w:r w:rsidR="00081957" w:rsidRPr="00081957">
        <w:rPr>
          <w:rFonts w:ascii="Arial" w:hAnsi="Arial" w:cs="Arial"/>
        </w:rPr>
        <w:t>Internet-based surveillance can be utilised to quantify influenza-like illness and comprehend risk factors</w:t>
      </w:r>
      <w:r w:rsidR="00776525">
        <w:rPr>
          <w:rFonts w:ascii="Arial" w:hAnsi="Arial" w:cs="Arial"/>
        </w:rPr>
        <w:t xml:space="preserve"> (</w:t>
      </w:r>
      <w:r w:rsidR="00776525" w:rsidRPr="0A0AC0F1">
        <w:rPr>
          <w:rFonts w:ascii="Arial" w:eastAsia="Arial" w:hAnsi="Arial" w:cs="Arial"/>
        </w:rPr>
        <w:t>Adler et al.,2014)</w:t>
      </w:r>
      <w:r w:rsidR="002576F2">
        <w:rPr>
          <w:rFonts w:ascii="Arial" w:eastAsia="Arial" w:hAnsi="Arial" w:cs="Arial"/>
        </w:rPr>
        <w:t>.</w:t>
      </w:r>
    </w:p>
    <w:p w14:paraId="2645FF91" w14:textId="77777777" w:rsidR="00A80FAE" w:rsidRDefault="00A80FAE" w:rsidP="0A0AC0F1">
      <w:pPr>
        <w:spacing w:line="360" w:lineRule="auto"/>
        <w:rPr>
          <w:rFonts w:ascii="Arial" w:eastAsia="Arial" w:hAnsi="Arial" w:cs="Arial"/>
        </w:rPr>
      </w:pPr>
    </w:p>
    <w:p w14:paraId="1D30310B" w14:textId="77777777" w:rsidR="00A80FAE" w:rsidRDefault="00A80FAE" w:rsidP="0A0AC0F1">
      <w:pPr>
        <w:spacing w:line="360" w:lineRule="auto"/>
        <w:rPr>
          <w:rFonts w:ascii="Arial" w:eastAsia="Arial" w:hAnsi="Arial" w:cs="Arial"/>
        </w:rPr>
      </w:pPr>
    </w:p>
    <w:p w14:paraId="4DC6FCEA" w14:textId="77777777" w:rsidR="00A80FAE" w:rsidRDefault="00A80FAE" w:rsidP="0A0AC0F1">
      <w:pPr>
        <w:spacing w:line="360" w:lineRule="auto"/>
        <w:rPr>
          <w:rFonts w:ascii="Arial" w:eastAsia="Arial" w:hAnsi="Arial" w:cs="Arial"/>
        </w:rPr>
      </w:pPr>
    </w:p>
    <w:p w14:paraId="756982D9" w14:textId="5D7432A0" w:rsidR="34B835EF" w:rsidRDefault="34B835EF" w:rsidP="002576F2">
      <w:pPr>
        <w:pStyle w:val="Heading1"/>
        <w:rPr>
          <w:rFonts w:eastAsia="Arial"/>
        </w:rPr>
      </w:pPr>
      <w:bookmarkStart w:id="10" w:name="_Toc128948170"/>
      <w:r w:rsidRPr="0A0AC0F1">
        <w:rPr>
          <w:rFonts w:eastAsia="Arial"/>
        </w:rPr>
        <w:t>Reference List:</w:t>
      </w:r>
      <w:bookmarkEnd w:id="10"/>
    </w:p>
    <w:p w14:paraId="5E5359FF" w14:textId="2AF396FE" w:rsidR="00456A9D" w:rsidRPr="004C4194" w:rsidRDefault="00456A9D" w:rsidP="00456A9D">
      <w:pPr>
        <w:spacing w:line="480" w:lineRule="auto"/>
        <w:ind w:left="720" w:hanging="720"/>
        <w:rPr>
          <w:rFonts w:ascii="Arial" w:eastAsia="Arial" w:hAnsi="Arial" w:cs="Arial"/>
        </w:rPr>
      </w:pPr>
      <w:r w:rsidRPr="004C4194">
        <w:rPr>
          <w:rFonts w:ascii="Arial" w:eastAsia="Arial" w:hAnsi="Arial" w:cs="Arial"/>
        </w:rPr>
        <w:t xml:space="preserve">Adler, A. (2014) “Incidence and risk factors for influenza-like-illness in the UK: online surveillance using </w:t>
      </w:r>
      <w:r w:rsidR="0007046D" w:rsidRPr="004C4194">
        <w:rPr>
          <w:rFonts w:ascii="Arial" w:eastAsia="Arial" w:hAnsi="Arial" w:cs="Arial"/>
        </w:rPr>
        <w:t>Flu survey</w:t>
      </w:r>
      <w:r w:rsidRPr="004C4194">
        <w:rPr>
          <w:rFonts w:ascii="Arial" w:eastAsia="Arial" w:hAnsi="Arial" w:cs="Arial"/>
        </w:rPr>
        <w:t xml:space="preserve"> - BMC Infectious Diseases,” </w:t>
      </w:r>
      <w:r w:rsidRPr="004C4194">
        <w:rPr>
          <w:rFonts w:ascii="Arial" w:eastAsia="Arial" w:hAnsi="Arial" w:cs="Arial"/>
          <w:i/>
          <w:iCs/>
        </w:rPr>
        <w:t>BioMed Central</w:t>
      </w:r>
      <w:r w:rsidRPr="004C4194">
        <w:rPr>
          <w:rFonts w:ascii="Arial" w:eastAsia="Arial" w:hAnsi="Arial" w:cs="Arial"/>
        </w:rPr>
        <w:t xml:space="preserve">, 1 May. Available at: </w:t>
      </w:r>
      <w:hyperlink r:id="rId8">
        <w:r w:rsidRPr="004C4194">
          <w:rPr>
            <w:rStyle w:val="Hyperlink"/>
            <w:rFonts w:ascii="Arial" w:eastAsia="Arial" w:hAnsi="Arial" w:cs="Arial"/>
          </w:rPr>
          <w:t>https://bmcinfectdis.biomedcentral.com/articles/10.1186/1471-2334-14-232</w:t>
        </w:r>
      </w:hyperlink>
      <w:r w:rsidRPr="004C4194">
        <w:rPr>
          <w:rFonts w:ascii="Arial" w:eastAsia="Arial" w:hAnsi="Arial" w:cs="Arial"/>
        </w:rPr>
        <w:t>.</w:t>
      </w:r>
    </w:p>
    <w:p w14:paraId="1E0F817E" w14:textId="4EA4E4FF" w:rsidR="00456A9D" w:rsidRPr="004C4194" w:rsidRDefault="00456A9D" w:rsidP="004C4194">
      <w:pPr>
        <w:spacing w:line="480" w:lineRule="auto"/>
        <w:ind w:left="720" w:hanging="720"/>
        <w:rPr>
          <w:rFonts w:ascii="Arial" w:eastAsia="Arial" w:hAnsi="Arial" w:cs="Arial"/>
        </w:rPr>
      </w:pPr>
      <w:r w:rsidRPr="004C4194">
        <w:rPr>
          <w:rFonts w:ascii="Arial" w:eastAsia="Arial" w:hAnsi="Arial" w:cs="Arial"/>
        </w:rPr>
        <w:t xml:space="preserve">Bernal, J.L. and Elliot, A. (2020) </w:t>
      </w:r>
      <w:r w:rsidRPr="004C4194">
        <w:rPr>
          <w:rFonts w:ascii="Arial" w:eastAsia="Arial" w:hAnsi="Arial" w:cs="Arial"/>
          <w:i/>
          <w:iCs/>
        </w:rPr>
        <w:t>Disease Detectives: Flu detectors</w:t>
      </w:r>
      <w:r w:rsidRPr="004C4194">
        <w:rPr>
          <w:rFonts w:ascii="Arial" w:eastAsia="Arial" w:hAnsi="Arial" w:cs="Arial"/>
        </w:rPr>
        <w:t xml:space="preserve">. Available at: </w:t>
      </w:r>
      <w:hyperlink r:id="rId9" w:history="1">
        <w:r w:rsidR="004C4194" w:rsidRPr="004C4194">
          <w:rPr>
            <w:rStyle w:val="Hyperlink"/>
            <w:rFonts w:ascii="Arial" w:eastAsia="Arial" w:hAnsi="Arial" w:cs="Arial"/>
          </w:rPr>
          <w:t>https://ukhsa.blog.gov.uk/2020/01/09/flu-detectors/</w:t>
        </w:r>
      </w:hyperlink>
      <w:r w:rsidRPr="004C4194">
        <w:rPr>
          <w:rFonts w:ascii="Arial" w:eastAsia="Arial" w:hAnsi="Arial" w:cs="Arial"/>
        </w:rPr>
        <w:t>.</w:t>
      </w:r>
    </w:p>
    <w:p w14:paraId="3636FA0C" w14:textId="39B8DFD7" w:rsidR="007658F7" w:rsidRPr="00CA1346" w:rsidRDefault="004C4194" w:rsidP="00CA1346">
      <w:pPr>
        <w:spacing w:line="480" w:lineRule="auto"/>
        <w:ind w:left="720" w:hanging="720"/>
        <w:rPr>
          <w:rFonts w:ascii="Arial" w:hAnsi="Arial" w:cs="Arial"/>
        </w:rPr>
      </w:pPr>
      <w:r w:rsidRPr="004C4194">
        <w:rPr>
          <w:rFonts w:ascii="Arial" w:hAnsi="Arial" w:cs="Arial"/>
        </w:rPr>
        <w:t xml:space="preserve">Bolotin, S. </w:t>
      </w:r>
      <w:r w:rsidRPr="004C4194">
        <w:rPr>
          <w:rFonts w:ascii="Arial" w:hAnsi="Arial" w:cs="Arial"/>
          <w:i/>
          <w:iCs/>
        </w:rPr>
        <w:t>et al.</w:t>
      </w:r>
      <w:r w:rsidRPr="004C4194">
        <w:rPr>
          <w:rFonts w:ascii="Arial" w:hAnsi="Arial" w:cs="Arial"/>
        </w:rPr>
        <w:t xml:space="preserve"> (2012) “A New Sentinel Surveillance System for Severe Influenza in England Shows a Shift in Age Distribution of Hospitalised Cases in the Post Pandemic </w:t>
      </w:r>
    </w:p>
    <w:p w14:paraId="4DF474F0" w14:textId="54B08AB0" w:rsidR="007658F7" w:rsidRPr="004C4194" w:rsidRDefault="007658F7" w:rsidP="007658F7">
      <w:pPr>
        <w:spacing w:line="480" w:lineRule="auto"/>
        <w:ind w:left="720" w:hanging="720"/>
        <w:rPr>
          <w:rFonts w:ascii="Arial" w:eastAsia="Arial" w:hAnsi="Arial" w:cs="Arial"/>
        </w:rPr>
      </w:pPr>
      <w:r w:rsidRPr="0A0AC0F1">
        <w:rPr>
          <w:rFonts w:ascii="Arial" w:eastAsia="Arial" w:hAnsi="Arial" w:cs="Arial"/>
        </w:rPr>
        <w:t xml:space="preserve">Davis, L.E. (2014) “Influenza Virus,” </w:t>
      </w:r>
      <w:r w:rsidRPr="0A0AC0F1">
        <w:rPr>
          <w:rFonts w:ascii="Arial" w:eastAsia="Arial" w:hAnsi="Arial" w:cs="Arial"/>
          <w:i/>
          <w:iCs/>
        </w:rPr>
        <w:t>Encyclopaedia of the Neurological Sciences</w:t>
      </w:r>
      <w:r w:rsidRPr="0A0AC0F1">
        <w:rPr>
          <w:rFonts w:ascii="Arial" w:eastAsia="Arial" w:hAnsi="Arial" w:cs="Arial"/>
        </w:rPr>
        <w:t xml:space="preserve">, pp. 695–697. Available at: </w:t>
      </w:r>
      <w:hyperlink r:id="rId10">
        <w:r w:rsidRPr="0A0AC0F1">
          <w:rPr>
            <w:rStyle w:val="Hyperlink"/>
            <w:rFonts w:ascii="Arial" w:eastAsia="Arial" w:hAnsi="Arial" w:cs="Arial"/>
          </w:rPr>
          <w:t>https://doi.org/10.1016/b978-0-12-385157-4.00381-x</w:t>
        </w:r>
      </w:hyperlink>
      <w:r w:rsidRPr="0A0AC0F1">
        <w:rPr>
          <w:rFonts w:ascii="Arial" w:eastAsia="Arial" w:hAnsi="Arial" w:cs="Arial"/>
        </w:rPr>
        <w:t>.</w:t>
      </w:r>
    </w:p>
    <w:p w14:paraId="07DB75F4" w14:textId="77777777" w:rsidR="00F3435E" w:rsidRPr="00F3435E" w:rsidRDefault="00F3435E" w:rsidP="00F3435E">
      <w:pPr>
        <w:spacing w:line="480" w:lineRule="auto"/>
        <w:ind w:left="720" w:hanging="720"/>
        <w:rPr>
          <w:rFonts w:ascii="Arial" w:hAnsi="Arial" w:cs="Arial"/>
        </w:rPr>
      </w:pPr>
      <w:bookmarkStart w:id="11" w:name="_Hlk128746060"/>
      <w:r w:rsidRPr="00F3435E">
        <w:rPr>
          <w:rFonts w:ascii="Arial" w:hAnsi="Arial" w:cs="Arial"/>
        </w:rPr>
        <w:t xml:space="preserve">De Lusignan, S. </w:t>
      </w:r>
      <w:r w:rsidRPr="00F3435E">
        <w:rPr>
          <w:rFonts w:ascii="Arial" w:hAnsi="Arial" w:cs="Arial"/>
          <w:i/>
          <w:iCs/>
        </w:rPr>
        <w:t>et al.</w:t>
      </w:r>
      <w:r w:rsidRPr="00F3435E">
        <w:rPr>
          <w:rFonts w:ascii="Arial" w:hAnsi="Arial" w:cs="Arial"/>
        </w:rPr>
        <w:t xml:space="preserve"> </w:t>
      </w:r>
      <w:bookmarkEnd w:id="11"/>
      <w:r w:rsidRPr="00F3435E">
        <w:rPr>
          <w:rFonts w:ascii="Arial" w:hAnsi="Arial" w:cs="Arial"/>
        </w:rPr>
        <w:t xml:space="preserve">(2016) “Influenza vaccination: in the UK and across Europe,” </w:t>
      </w:r>
      <w:r w:rsidRPr="00F3435E">
        <w:rPr>
          <w:rFonts w:ascii="Arial" w:hAnsi="Arial" w:cs="Arial"/>
          <w:i/>
          <w:iCs/>
        </w:rPr>
        <w:t>British Journal of General Practice</w:t>
      </w:r>
      <w:r w:rsidRPr="00F3435E">
        <w:rPr>
          <w:rFonts w:ascii="Arial" w:hAnsi="Arial" w:cs="Arial"/>
        </w:rPr>
        <w:t>, 66(650), pp. 452–453. Available at: https://doi.org/10.3399/bjgp16x686677.</w:t>
      </w:r>
    </w:p>
    <w:p w14:paraId="6775205C" w14:textId="77777777" w:rsidR="00F3435E" w:rsidRDefault="00F3435E" w:rsidP="00F3435E">
      <w:pPr>
        <w:spacing w:line="360" w:lineRule="auto"/>
        <w:rPr>
          <w:rFonts w:ascii="Arial" w:eastAsia="Arial" w:hAnsi="Arial" w:cs="Arial"/>
        </w:rPr>
      </w:pPr>
      <w:r w:rsidRPr="000C543D">
        <w:rPr>
          <w:rFonts w:ascii="Arial" w:eastAsia="Arial" w:hAnsi="Arial" w:cs="Arial"/>
        </w:rPr>
        <w:t xml:space="preserve">Doyle, Y. (2019) Flu vaccination: The main things to know about the 2019 programme, </w:t>
      </w:r>
      <w:r w:rsidRPr="000C543D">
        <w:rPr>
          <w:rFonts w:ascii="Arial" w:eastAsia="Arial" w:hAnsi="Arial" w:cs="Arial"/>
          <w:i/>
          <w:iCs/>
        </w:rPr>
        <w:t>UK Health Security Agency</w:t>
      </w:r>
      <w:r w:rsidRPr="000C543D">
        <w:rPr>
          <w:rFonts w:ascii="Arial" w:eastAsia="Arial" w:hAnsi="Arial" w:cs="Arial"/>
        </w:rPr>
        <w:t xml:space="preserve">. Available at: https://ukhsa.blog.gov.uk/2019/10/04/flu-vaccination-the-main-things-to-know-about-the-2019-programme/ (Accessed: March 5, 2023). </w:t>
      </w:r>
    </w:p>
    <w:p w14:paraId="6CA8F358" w14:textId="5DCD0A55" w:rsidR="007658F7" w:rsidRDefault="007658F7" w:rsidP="007658F7">
      <w:pPr>
        <w:spacing w:line="480" w:lineRule="auto"/>
        <w:ind w:left="720" w:hanging="720"/>
        <w:rPr>
          <w:rFonts w:ascii="Arial" w:eastAsia="Arial" w:hAnsi="Arial" w:cs="Arial"/>
        </w:rPr>
      </w:pPr>
      <w:r w:rsidRPr="0A0AC0F1">
        <w:rPr>
          <w:rFonts w:ascii="Arial" w:eastAsia="Arial" w:hAnsi="Arial" w:cs="Arial"/>
        </w:rPr>
        <w:lastRenderedPageBreak/>
        <w:t xml:space="preserve">Gaitonde, D.Y., Moore, F.C. and Morgan, M. (2019) “Influenza: Diagnosis and Treatment.,” </w:t>
      </w:r>
      <w:r w:rsidRPr="0A0AC0F1">
        <w:rPr>
          <w:rFonts w:ascii="Arial" w:eastAsia="Arial" w:hAnsi="Arial" w:cs="Arial"/>
          <w:i/>
          <w:iCs/>
        </w:rPr>
        <w:t>American Family Physician</w:t>
      </w:r>
      <w:r w:rsidRPr="0A0AC0F1">
        <w:rPr>
          <w:rFonts w:ascii="Arial" w:eastAsia="Arial" w:hAnsi="Arial" w:cs="Arial"/>
        </w:rPr>
        <w:t>, 100(12), pp. 751–758.</w:t>
      </w:r>
    </w:p>
    <w:p w14:paraId="7210ED12" w14:textId="338B1CC1" w:rsidR="007658F7" w:rsidRDefault="007658F7" w:rsidP="00F3435E">
      <w:pPr>
        <w:spacing w:line="360" w:lineRule="auto"/>
        <w:rPr>
          <w:rFonts w:ascii="Arial" w:eastAsia="Arial" w:hAnsi="Arial" w:cs="Arial"/>
        </w:rPr>
      </w:pPr>
      <w:r w:rsidRPr="009521D0">
        <w:rPr>
          <w:rFonts w:ascii="Arial" w:eastAsia="Arial" w:hAnsi="Arial" w:cs="Arial"/>
        </w:rPr>
        <w:t xml:space="preserve">Harcourt, S.E. </w:t>
      </w:r>
      <w:r w:rsidRPr="009521D0">
        <w:rPr>
          <w:rFonts w:ascii="Arial" w:eastAsia="Arial" w:hAnsi="Arial" w:cs="Arial"/>
          <w:i/>
          <w:iCs/>
        </w:rPr>
        <w:t>et al.</w:t>
      </w:r>
      <w:r w:rsidRPr="009521D0">
        <w:rPr>
          <w:rFonts w:ascii="Arial" w:eastAsia="Arial" w:hAnsi="Arial" w:cs="Arial"/>
        </w:rPr>
        <w:t xml:space="preserve"> (2011) </w:t>
      </w:r>
      <w:r w:rsidRPr="009521D0">
        <w:rPr>
          <w:rFonts w:ascii="Arial" w:eastAsia="Arial" w:hAnsi="Arial" w:cs="Arial"/>
          <w:i/>
          <w:iCs/>
        </w:rPr>
        <w:t>Use of a large general practice syndromic surveillance system to monitor the progress of the influenza A(H1N1) pandemic 2009 in the UK: Epidemiology &amp; Infection</w:t>
      </w:r>
      <w:r w:rsidRPr="009521D0">
        <w:rPr>
          <w:rFonts w:ascii="Arial" w:eastAsia="Arial" w:hAnsi="Arial" w:cs="Arial"/>
        </w:rPr>
        <w:t xml:space="preserve">, </w:t>
      </w:r>
      <w:r w:rsidRPr="009521D0">
        <w:rPr>
          <w:rFonts w:ascii="Arial" w:eastAsia="Arial" w:hAnsi="Arial" w:cs="Arial"/>
          <w:i/>
          <w:iCs/>
        </w:rPr>
        <w:t>Cambridge Core</w:t>
      </w:r>
      <w:r w:rsidRPr="009521D0">
        <w:rPr>
          <w:rFonts w:ascii="Arial" w:eastAsia="Arial" w:hAnsi="Arial" w:cs="Arial"/>
        </w:rPr>
        <w:t xml:space="preserve">. Cambridge University Press. Available at: https://www.cambridge.org/core/journals/epidemiology-and-infection/article/use-of-a-large-general-practice-syndromic-surveillance-system-to-monitor-the-progress-of-the-influenza-ah1n1-pandemic-2009-in-the-uk/72F66C5000E52D73B7D239E829EB90A8 (Accessed: March 5, 2023). </w:t>
      </w:r>
    </w:p>
    <w:p w14:paraId="669C9413" w14:textId="77777777" w:rsidR="007658F7" w:rsidRPr="009229D3" w:rsidRDefault="007658F7" w:rsidP="007658F7">
      <w:pPr>
        <w:spacing w:line="360" w:lineRule="auto"/>
        <w:rPr>
          <w:rFonts w:ascii="Arial" w:eastAsia="Arial" w:hAnsi="Arial" w:cs="Arial"/>
        </w:rPr>
      </w:pPr>
      <w:r w:rsidRPr="009229D3">
        <w:rPr>
          <w:rFonts w:ascii="Arial" w:eastAsia="Arial" w:hAnsi="Arial" w:cs="Arial"/>
        </w:rPr>
        <w:t xml:space="preserve">Lim, W.S. (2007) “Pandemic flu: clinical management of patients with an influenza-like illness during an influenza pandemic,” </w:t>
      </w:r>
      <w:r w:rsidRPr="009229D3">
        <w:rPr>
          <w:rFonts w:ascii="Arial" w:eastAsia="Arial" w:hAnsi="Arial" w:cs="Arial"/>
          <w:i/>
          <w:iCs/>
        </w:rPr>
        <w:t>Thorax</w:t>
      </w:r>
      <w:r w:rsidRPr="009229D3">
        <w:rPr>
          <w:rFonts w:ascii="Arial" w:eastAsia="Arial" w:hAnsi="Arial" w:cs="Arial"/>
        </w:rPr>
        <w:t>, 62(suppl_1), pp. 1–46. Available at: https://doi.org/10.1136/thx.2006.073080.</w:t>
      </w:r>
    </w:p>
    <w:p w14:paraId="26D71803" w14:textId="53D9EEE6" w:rsidR="007658F7" w:rsidRDefault="007658F7" w:rsidP="007658F7">
      <w:pPr>
        <w:spacing w:line="360" w:lineRule="auto"/>
        <w:rPr>
          <w:rFonts w:ascii="Arial" w:eastAsia="Arial" w:hAnsi="Arial" w:cs="Arial"/>
        </w:rPr>
      </w:pPr>
      <w:r w:rsidRPr="001A1E53">
        <w:rPr>
          <w:rFonts w:ascii="Arial" w:eastAsia="Arial" w:hAnsi="Arial" w:cs="Arial"/>
        </w:rPr>
        <w:t xml:space="preserve">McCloskey, B. </w:t>
      </w:r>
      <w:r w:rsidRPr="001A1E53">
        <w:rPr>
          <w:rFonts w:ascii="Arial" w:eastAsia="Arial" w:hAnsi="Arial" w:cs="Arial"/>
          <w:i/>
          <w:iCs/>
        </w:rPr>
        <w:t>et al.</w:t>
      </w:r>
      <w:r w:rsidRPr="001A1E53">
        <w:rPr>
          <w:rFonts w:ascii="Arial" w:eastAsia="Arial" w:hAnsi="Arial" w:cs="Arial"/>
        </w:rPr>
        <w:t xml:space="preserve"> (2014) “London 2012 Olympic and Paralympic Games: public health surveillance and epidemiology,” </w:t>
      </w:r>
      <w:r w:rsidRPr="001A1E53">
        <w:rPr>
          <w:rFonts w:ascii="Arial" w:eastAsia="Arial" w:hAnsi="Arial" w:cs="Arial"/>
          <w:i/>
          <w:iCs/>
        </w:rPr>
        <w:t>The Lancet</w:t>
      </w:r>
      <w:r w:rsidRPr="001A1E53">
        <w:rPr>
          <w:rFonts w:ascii="Arial" w:eastAsia="Arial" w:hAnsi="Arial" w:cs="Arial"/>
        </w:rPr>
        <w:t xml:space="preserve">, 383(9934), pp. 2083–2089. Available at: </w:t>
      </w:r>
      <w:hyperlink r:id="rId11" w:history="1">
        <w:r w:rsidRPr="00290059">
          <w:rPr>
            <w:rStyle w:val="Hyperlink"/>
            <w:rFonts w:ascii="Arial" w:eastAsia="Arial" w:hAnsi="Arial" w:cs="Arial"/>
          </w:rPr>
          <w:t>https://doi.org/10.1016/s0140-6736(13)62342-9</w:t>
        </w:r>
      </w:hyperlink>
      <w:r w:rsidRPr="001A1E53">
        <w:rPr>
          <w:rFonts w:ascii="Arial" w:eastAsia="Arial" w:hAnsi="Arial" w:cs="Arial"/>
        </w:rPr>
        <w:t>.</w:t>
      </w:r>
    </w:p>
    <w:p w14:paraId="5F998C0A" w14:textId="2D904C0D" w:rsidR="007658F7" w:rsidRPr="001A1E53" w:rsidRDefault="007658F7" w:rsidP="007658F7">
      <w:pPr>
        <w:spacing w:line="360" w:lineRule="auto"/>
        <w:rPr>
          <w:rFonts w:ascii="Arial" w:eastAsia="Arial" w:hAnsi="Arial" w:cs="Arial"/>
        </w:rPr>
      </w:pPr>
      <w:r w:rsidRPr="00B968EB">
        <w:rPr>
          <w:rFonts w:ascii="Arial" w:eastAsia="Arial" w:hAnsi="Arial" w:cs="Arial"/>
        </w:rPr>
        <w:t xml:space="preserve">Pebody, R.G. </w:t>
      </w:r>
      <w:r w:rsidRPr="00B968EB">
        <w:rPr>
          <w:rFonts w:ascii="Arial" w:eastAsia="Arial" w:hAnsi="Arial" w:cs="Arial"/>
          <w:i/>
          <w:iCs/>
        </w:rPr>
        <w:t>et al.</w:t>
      </w:r>
      <w:r w:rsidRPr="00B968EB">
        <w:rPr>
          <w:rFonts w:ascii="Arial" w:eastAsia="Arial" w:hAnsi="Arial" w:cs="Arial"/>
        </w:rPr>
        <w:t xml:space="preserve"> (2018) “Uptake and effectiveness of influenza vaccine in those aged 65 years and older in the United Kingdom, influenza seasons 2010/11 to 2016/17,” </w:t>
      </w:r>
      <w:r w:rsidRPr="00B968EB">
        <w:rPr>
          <w:rFonts w:ascii="Arial" w:eastAsia="Arial" w:hAnsi="Arial" w:cs="Arial"/>
          <w:i/>
          <w:iCs/>
        </w:rPr>
        <w:t>Eurosurveillance</w:t>
      </w:r>
      <w:r w:rsidRPr="00B968EB">
        <w:rPr>
          <w:rFonts w:ascii="Arial" w:eastAsia="Arial" w:hAnsi="Arial" w:cs="Arial"/>
        </w:rPr>
        <w:t xml:space="preserve">, 23(39). Available at: https://doi.org/10.2807/1560-7917.es.2018.23.39.1800092. </w:t>
      </w:r>
    </w:p>
    <w:p w14:paraId="3F3B984E" w14:textId="77777777" w:rsidR="007658F7" w:rsidRPr="00C24607" w:rsidRDefault="007658F7" w:rsidP="007658F7">
      <w:pPr>
        <w:spacing w:line="360" w:lineRule="auto"/>
        <w:rPr>
          <w:rFonts w:ascii="Arial" w:eastAsia="Arial" w:hAnsi="Arial" w:cs="Arial"/>
        </w:rPr>
      </w:pPr>
      <w:r w:rsidRPr="00C24607">
        <w:rPr>
          <w:rFonts w:ascii="Arial" w:eastAsia="Arial" w:hAnsi="Arial" w:cs="Arial"/>
        </w:rPr>
        <w:t xml:space="preserve">Period,” </w:t>
      </w:r>
      <w:r w:rsidRPr="00C24607">
        <w:rPr>
          <w:rFonts w:ascii="Arial" w:eastAsia="Arial" w:hAnsi="Arial" w:cs="Arial"/>
          <w:i/>
          <w:iCs/>
        </w:rPr>
        <w:t>PLoS ONE</w:t>
      </w:r>
      <w:r w:rsidRPr="00C24607">
        <w:rPr>
          <w:rFonts w:ascii="Arial" w:eastAsia="Arial" w:hAnsi="Arial" w:cs="Arial"/>
        </w:rPr>
        <w:t>. Edited by B.J. Cowling, 7(1), p. e30279. Available at: https://doi.org/10.1371/journal.pone.0030279.</w:t>
      </w:r>
    </w:p>
    <w:p w14:paraId="56CE1A59" w14:textId="53158A75" w:rsidR="00A80FAE" w:rsidRPr="000C543D" w:rsidRDefault="007658F7" w:rsidP="00A80FAE">
      <w:pPr>
        <w:spacing w:line="360" w:lineRule="auto"/>
        <w:rPr>
          <w:rFonts w:ascii="Arial" w:eastAsia="Arial" w:hAnsi="Arial" w:cs="Arial"/>
        </w:rPr>
      </w:pPr>
      <w:r w:rsidRPr="00D5614A">
        <w:rPr>
          <w:rFonts w:ascii="Arial" w:eastAsia="Arial" w:hAnsi="Arial" w:cs="Arial"/>
        </w:rPr>
        <w:t xml:space="preserve">Simpson, C.R. </w:t>
      </w:r>
      <w:r w:rsidRPr="00D5614A">
        <w:rPr>
          <w:rFonts w:ascii="Arial" w:eastAsia="Arial" w:hAnsi="Arial" w:cs="Arial"/>
          <w:i/>
          <w:iCs/>
        </w:rPr>
        <w:t>et al.</w:t>
      </w:r>
      <w:r w:rsidRPr="00D5614A">
        <w:rPr>
          <w:rFonts w:ascii="Arial" w:eastAsia="Arial" w:hAnsi="Arial" w:cs="Arial"/>
        </w:rPr>
        <w:t xml:space="preserve"> (2019) “The UK’s pandemic influenza research portfolio: a model for future research on emerging infections,” </w:t>
      </w:r>
      <w:r w:rsidRPr="00D5614A">
        <w:rPr>
          <w:rFonts w:ascii="Arial" w:eastAsia="Arial" w:hAnsi="Arial" w:cs="Arial"/>
          <w:i/>
          <w:iCs/>
        </w:rPr>
        <w:t>The Lancet Infectious Diseases</w:t>
      </w:r>
      <w:r w:rsidRPr="00D5614A">
        <w:rPr>
          <w:rFonts w:ascii="Arial" w:eastAsia="Arial" w:hAnsi="Arial" w:cs="Arial"/>
        </w:rPr>
        <w:t>, 19(8), pp. e295–e300. Available at: https://doi.org/10.1016/s1473-3099(18)30786-2.</w:t>
      </w:r>
    </w:p>
    <w:p w14:paraId="69C88121" w14:textId="5F583C77" w:rsidR="00F3435E" w:rsidRDefault="00A80FAE" w:rsidP="00CA1346">
      <w:pPr>
        <w:spacing w:line="360" w:lineRule="auto"/>
        <w:rPr>
          <w:rFonts w:ascii="Arial" w:eastAsia="Arial" w:hAnsi="Arial" w:cs="Arial"/>
        </w:rPr>
      </w:pPr>
      <w:r w:rsidRPr="0093503D">
        <w:rPr>
          <w:rFonts w:ascii="Arial" w:eastAsia="Arial" w:hAnsi="Arial" w:cs="Arial"/>
          <w:i/>
          <w:iCs/>
        </w:rPr>
        <w:t>UK influenza pandemic preparedness strategy 2011 - gov.uk</w:t>
      </w:r>
      <w:r w:rsidRPr="0093503D">
        <w:rPr>
          <w:rFonts w:ascii="Arial" w:eastAsia="Arial" w:hAnsi="Arial" w:cs="Arial"/>
        </w:rPr>
        <w:t xml:space="preserve"> (no date). Available at: https://assets.publishing.service.gov.uk/government/uploads/system/uploads/attachment_data/file/213717/dh_131040.pdf (Accessed: March 5, 2023). </w:t>
      </w:r>
    </w:p>
    <w:p w14:paraId="76956865" w14:textId="6C45D08D" w:rsidR="22C1BED8" w:rsidRDefault="22C1BED8" w:rsidP="0A0AC0F1">
      <w:pPr>
        <w:spacing w:line="480" w:lineRule="auto"/>
        <w:ind w:left="720" w:hanging="720"/>
        <w:rPr>
          <w:rFonts w:ascii="Arial" w:eastAsia="Arial" w:hAnsi="Arial" w:cs="Arial"/>
        </w:rPr>
      </w:pPr>
      <w:bookmarkStart w:id="12" w:name="_Hlk128933364"/>
      <w:r w:rsidRPr="0A0AC0F1">
        <w:rPr>
          <w:rFonts w:ascii="Arial" w:eastAsia="Arial" w:hAnsi="Arial" w:cs="Arial"/>
        </w:rPr>
        <w:t xml:space="preserve">Zhao, H. </w:t>
      </w:r>
      <w:r w:rsidRPr="0A0AC0F1">
        <w:rPr>
          <w:rFonts w:ascii="Arial" w:eastAsia="Arial" w:hAnsi="Arial" w:cs="Arial"/>
          <w:i/>
          <w:iCs/>
        </w:rPr>
        <w:t>et al.</w:t>
      </w:r>
      <w:r w:rsidRPr="0A0AC0F1">
        <w:rPr>
          <w:rFonts w:ascii="Arial" w:eastAsia="Arial" w:hAnsi="Arial" w:cs="Arial"/>
        </w:rPr>
        <w:t xml:space="preserve"> (2014)</w:t>
      </w:r>
      <w:bookmarkEnd w:id="12"/>
      <w:r w:rsidRPr="0A0AC0F1">
        <w:rPr>
          <w:rFonts w:ascii="Arial" w:eastAsia="Arial" w:hAnsi="Arial" w:cs="Arial"/>
        </w:rPr>
        <w:t xml:space="preserve"> “A new laboratory-based surveillance system (Respiratory DataMart System) for influenza and other respiratory viruses in England: results and experience from 2009 to 2012,” </w:t>
      </w:r>
      <w:r w:rsidRPr="0A0AC0F1">
        <w:rPr>
          <w:rFonts w:ascii="Arial" w:eastAsia="Arial" w:hAnsi="Arial" w:cs="Arial"/>
          <w:i/>
          <w:iCs/>
        </w:rPr>
        <w:t>Eurosurveillance</w:t>
      </w:r>
      <w:r w:rsidRPr="0A0AC0F1">
        <w:rPr>
          <w:rFonts w:ascii="Arial" w:eastAsia="Arial" w:hAnsi="Arial" w:cs="Arial"/>
        </w:rPr>
        <w:t xml:space="preserve">, 19(3). Available at: </w:t>
      </w:r>
      <w:hyperlink r:id="rId12">
        <w:r w:rsidRPr="0A0AC0F1">
          <w:rPr>
            <w:rStyle w:val="Hyperlink"/>
            <w:rFonts w:ascii="Arial" w:eastAsia="Arial" w:hAnsi="Arial" w:cs="Arial"/>
          </w:rPr>
          <w:t>https://doi.org/10.2807/1560-7917.es2014.19.3.20680</w:t>
        </w:r>
      </w:hyperlink>
      <w:r w:rsidRPr="0A0AC0F1">
        <w:rPr>
          <w:rFonts w:ascii="Arial" w:eastAsia="Arial" w:hAnsi="Arial" w:cs="Arial"/>
        </w:rPr>
        <w:t>.</w:t>
      </w:r>
    </w:p>
    <w:p w14:paraId="2F8B9293" w14:textId="636F8878" w:rsidR="0A0AC0F1" w:rsidRDefault="0A0AC0F1" w:rsidP="0A0AC0F1">
      <w:pPr>
        <w:spacing w:line="360" w:lineRule="auto"/>
        <w:ind w:left="567" w:hanging="567"/>
        <w:rPr>
          <w:rFonts w:ascii="Arial" w:eastAsia="Arial" w:hAnsi="Arial" w:cs="Arial"/>
        </w:rPr>
      </w:pPr>
    </w:p>
    <w:p w14:paraId="23ED25A8" w14:textId="6EF8B895" w:rsidR="0A0AC0F1" w:rsidRDefault="0A0AC0F1" w:rsidP="0A0AC0F1">
      <w:pPr>
        <w:spacing w:line="360" w:lineRule="auto"/>
        <w:rPr>
          <w:rFonts w:ascii="Arial" w:eastAsia="Arial" w:hAnsi="Arial" w:cs="Arial"/>
        </w:rPr>
      </w:pPr>
    </w:p>
    <w:sectPr w:rsidR="0A0AC0F1" w:rsidSect="003D121A">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6240B" w14:textId="77777777" w:rsidR="007A3CE3" w:rsidRDefault="007A3CE3" w:rsidP="002576F2">
      <w:pPr>
        <w:spacing w:after="0" w:line="240" w:lineRule="auto"/>
      </w:pPr>
      <w:r>
        <w:separator/>
      </w:r>
    </w:p>
  </w:endnote>
  <w:endnote w:type="continuationSeparator" w:id="0">
    <w:p w14:paraId="4742EB0F" w14:textId="77777777" w:rsidR="007A3CE3" w:rsidRDefault="007A3CE3" w:rsidP="002576F2">
      <w:pPr>
        <w:spacing w:after="0" w:line="240" w:lineRule="auto"/>
      </w:pPr>
      <w:r>
        <w:continuationSeparator/>
      </w:r>
    </w:p>
  </w:endnote>
  <w:endnote w:type="continuationNotice" w:id="1">
    <w:p w14:paraId="6058BDC4" w14:textId="77777777" w:rsidR="007A3CE3" w:rsidRDefault="007A3C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4CF3E" w14:textId="77777777" w:rsidR="007A3CE3" w:rsidRDefault="007A3CE3" w:rsidP="002576F2">
      <w:pPr>
        <w:spacing w:after="0" w:line="240" w:lineRule="auto"/>
      </w:pPr>
      <w:r>
        <w:separator/>
      </w:r>
    </w:p>
  </w:footnote>
  <w:footnote w:type="continuationSeparator" w:id="0">
    <w:p w14:paraId="329FB781" w14:textId="77777777" w:rsidR="007A3CE3" w:rsidRDefault="007A3CE3" w:rsidP="002576F2">
      <w:pPr>
        <w:spacing w:after="0" w:line="240" w:lineRule="auto"/>
      </w:pPr>
      <w:r>
        <w:continuationSeparator/>
      </w:r>
    </w:p>
  </w:footnote>
  <w:footnote w:type="continuationNotice" w:id="1">
    <w:p w14:paraId="6CF509AB" w14:textId="77777777" w:rsidR="007A3CE3" w:rsidRDefault="007A3CE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201A33"/>
    <w:multiLevelType w:val="hybridMultilevel"/>
    <w:tmpl w:val="A6F6C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6065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37A1F8"/>
    <w:rsid w:val="00010062"/>
    <w:rsid w:val="00013A26"/>
    <w:rsid w:val="0002668A"/>
    <w:rsid w:val="0003219A"/>
    <w:rsid w:val="00043199"/>
    <w:rsid w:val="0007046D"/>
    <w:rsid w:val="000775DB"/>
    <w:rsid w:val="00081957"/>
    <w:rsid w:val="000C543D"/>
    <w:rsid w:val="001159CE"/>
    <w:rsid w:val="00153647"/>
    <w:rsid w:val="00172A83"/>
    <w:rsid w:val="00182109"/>
    <w:rsid w:val="0019361F"/>
    <w:rsid w:val="001A1E53"/>
    <w:rsid w:val="001C04B1"/>
    <w:rsid w:val="001D496D"/>
    <w:rsid w:val="001E36E3"/>
    <w:rsid w:val="00211527"/>
    <w:rsid w:val="002149E0"/>
    <w:rsid w:val="002246F7"/>
    <w:rsid w:val="002576F2"/>
    <w:rsid w:val="002A28FC"/>
    <w:rsid w:val="002C0826"/>
    <w:rsid w:val="002D6780"/>
    <w:rsid w:val="002F2852"/>
    <w:rsid w:val="00300B7C"/>
    <w:rsid w:val="0030447B"/>
    <w:rsid w:val="00311834"/>
    <w:rsid w:val="0031543C"/>
    <w:rsid w:val="003228F2"/>
    <w:rsid w:val="00322BAA"/>
    <w:rsid w:val="003248C8"/>
    <w:rsid w:val="00340809"/>
    <w:rsid w:val="00363823"/>
    <w:rsid w:val="003943DF"/>
    <w:rsid w:val="00396C46"/>
    <w:rsid w:val="003A624F"/>
    <w:rsid w:val="003D121A"/>
    <w:rsid w:val="003E1FFC"/>
    <w:rsid w:val="00406E45"/>
    <w:rsid w:val="00414664"/>
    <w:rsid w:val="00431B6C"/>
    <w:rsid w:val="00456A9D"/>
    <w:rsid w:val="004625D0"/>
    <w:rsid w:val="0047560C"/>
    <w:rsid w:val="00492872"/>
    <w:rsid w:val="004A2795"/>
    <w:rsid w:val="004B554E"/>
    <w:rsid w:val="004C15A0"/>
    <w:rsid w:val="004C1BA0"/>
    <w:rsid w:val="004C4194"/>
    <w:rsid w:val="004F303C"/>
    <w:rsid w:val="00506174"/>
    <w:rsid w:val="00522A60"/>
    <w:rsid w:val="00532DD8"/>
    <w:rsid w:val="00567DD0"/>
    <w:rsid w:val="00587EE5"/>
    <w:rsid w:val="005B4846"/>
    <w:rsid w:val="005B635C"/>
    <w:rsid w:val="005C5D23"/>
    <w:rsid w:val="005F4D6C"/>
    <w:rsid w:val="00632581"/>
    <w:rsid w:val="00632EFA"/>
    <w:rsid w:val="00657565"/>
    <w:rsid w:val="0065763B"/>
    <w:rsid w:val="00670704"/>
    <w:rsid w:val="0068174D"/>
    <w:rsid w:val="00682EED"/>
    <w:rsid w:val="006A04D2"/>
    <w:rsid w:val="006A3F9D"/>
    <w:rsid w:val="006A63E2"/>
    <w:rsid w:val="006C100F"/>
    <w:rsid w:val="006C39B0"/>
    <w:rsid w:val="006D58F2"/>
    <w:rsid w:val="006E3FDC"/>
    <w:rsid w:val="006E4B9A"/>
    <w:rsid w:val="006E6C88"/>
    <w:rsid w:val="006F3A37"/>
    <w:rsid w:val="006F401E"/>
    <w:rsid w:val="007037A5"/>
    <w:rsid w:val="00714380"/>
    <w:rsid w:val="00720028"/>
    <w:rsid w:val="00751C94"/>
    <w:rsid w:val="0075224A"/>
    <w:rsid w:val="007658F7"/>
    <w:rsid w:val="00776525"/>
    <w:rsid w:val="007927E0"/>
    <w:rsid w:val="007A3CE3"/>
    <w:rsid w:val="00810B83"/>
    <w:rsid w:val="008124D4"/>
    <w:rsid w:val="00814026"/>
    <w:rsid w:val="00815707"/>
    <w:rsid w:val="00815795"/>
    <w:rsid w:val="00821FBD"/>
    <w:rsid w:val="0084164A"/>
    <w:rsid w:val="00852191"/>
    <w:rsid w:val="0085273F"/>
    <w:rsid w:val="00884596"/>
    <w:rsid w:val="00894D9F"/>
    <w:rsid w:val="008A0CF9"/>
    <w:rsid w:val="008A53BD"/>
    <w:rsid w:val="008B2852"/>
    <w:rsid w:val="008E1F0E"/>
    <w:rsid w:val="00905D4C"/>
    <w:rsid w:val="009229D3"/>
    <w:rsid w:val="009282AB"/>
    <w:rsid w:val="0093503D"/>
    <w:rsid w:val="009521D0"/>
    <w:rsid w:val="0096151D"/>
    <w:rsid w:val="0097258A"/>
    <w:rsid w:val="009800A0"/>
    <w:rsid w:val="00982967"/>
    <w:rsid w:val="00996EDF"/>
    <w:rsid w:val="009A479C"/>
    <w:rsid w:val="009B2F85"/>
    <w:rsid w:val="009C1731"/>
    <w:rsid w:val="009F0919"/>
    <w:rsid w:val="00A04D86"/>
    <w:rsid w:val="00A13193"/>
    <w:rsid w:val="00A30C3A"/>
    <w:rsid w:val="00A5588C"/>
    <w:rsid w:val="00A80FAE"/>
    <w:rsid w:val="00A8700A"/>
    <w:rsid w:val="00A96344"/>
    <w:rsid w:val="00AD65EF"/>
    <w:rsid w:val="00AE0F81"/>
    <w:rsid w:val="00B11480"/>
    <w:rsid w:val="00B13F4E"/>
    <w:rsid w:val="00B1457C"/>
    <w:rsid w:val="00B25F91"/>
    <w:rsid w:val="00B26666"/>
    <w:rsid w:val="00B341CB"/>
    <w:rsid w:val="00B34204"/>
    <w:rsid w:val="00B968EB"/>
    <w:rsid w:val="00BA3735"/>
    <w:rsid w:val="00BB79EE"/>
    <w:rsid w:val="00BC729A"/>
    <w:rsid w:val="00BE2BF3"/>
    <w:rsid w:val="00C24607"/>
    <w:rsid w:val="00C37864"/>
    <w:rsid w:val="00CA0410"/>
    <w:rsid w:val="00CA1346"/>
    <w:rsid w:val="00CC1B00"/>
    <w:rsid w:val="00D25B6C"/>
    <w:rsid w:val="00D5614A"/>
    <w:rsid w:val="00D71BAE"/>
    <w:rsid w:val="00D83DFA"/>
    <w:rsid w:val="00D958E4"/>
    <w:rsid w:val="00DA6DB3"/>
    <w:rsid w:val="00DB14CA"/>
    <w:rsid w:val="00DD136D"/>
    <w:rsid w:val="00DF3B36"/>
    <w:rsid w:val="00DF4830"/>
    <w:rsid w:val="00E104DC"/>
    <w:rsid w:val="00E12284"/>
    <w:rsid w:val="00E3652D"/>
    <w:rsid w:val="00E376A2"/>
    <w:rsid w:val="00E40DF5"/>
    <w:rsid w:val="00E526CF"/>
    <w:rsid w:val="00E552CB"/>
    <w:rsid w:val="00E56BBA"/>
    <w:rsid w:val="00E8133E"/>
    <w:rsid w:val="00E8245B"/>
    <w:rsid w:val="00E95236"/>
    <w:rsid w:val="00EA72A5"/>
    <w:rsid w:val="00ED731D"/>
    <w:rsid w:val="00EE048C"/>
    <w:rsid w:val="00EF7B7F"/>
    <w:rsid w:val="00F035B9"/>
    <w:rsid w:val="00F321FF"/>
    <w:rsid w:val="00F3435E"/>
    <w:rsid w:val="00F42BAA"/>
    <w:rsid w:val="00F50B49"/>
    <w:rsid w:val="00F6114A"/>
    <w:rsid w:val="00F70685"/>
    <w:rsid w:val="00FA7FCD"/>
    <w:rsid w:val="00FD204E"/>
    <w:rsid w:val="00FD580B"/>
    <w:rsid w:val="00FF5DB5"/>
    <w:rsid w:val="01C605B3"/>
    <w:rsid w:val="02E121E2"/>
    <w:rsid w:val="035CBF21"/>
    <w:rsid w:val="0476AE7E"/>
    <w:rsid w:val="05E9EEDC"/>
    <w:rsid w:val="06127EDF"/>
    <w:rsid w:val="0737A1F8"/>
    <w:rsid w:val="089EE24C"/>
    <w:rsid w:val="0909EB4C"/>
    <w:rsid w:val="0923146E"/>
    <w:rsid w:val="09492F15"/>
    <w:rsid w:val="09CF3329"/>
    <w:rsid w:val="0A0AC0F1"/>
    <w:rsid w:val="0A483797"/>
    <w:rsid w:val="0C793E62"/>
    <w:rsid w:val="0DE97653"/>
    <w:rsid w:val="0ED2F556"/>
    <w:rsid w:val="0FFDF36D"/>
    <w:rsid w:val="10848D9A"/>
    <w:rsid w:val="11AC9CD4"/>
    <w:rsid w:val="11AD8B82"/>
    <w:rsid w:val="13B3E376"/>
    <w:rsid w:val="154FB3D7"/>
    <w:rsid w:val="1560FB34"/>
    <w:rsid w:val="167AFB54"/>
    <w:rsid w:val="193FA0EE"/>
    <w:rsid w:val="196D9A8F"/>
    <w:rsid w:val="1B9CE715"/>
    <w:rsid w:val="1C6D6AF9"/>
    <w:rsid w:val="1CCA1746"/>
    <w:rsid w:val="1D6E7E0D"/>
    <w:rsid w:val="1D9DE9A9"/>
    <w:rsid w:val="21526D59"/>
    <w:rsid w:val="22C1BED8"/>
    <w:rsid w:val="22E0C838"/>
    <w:rsid w:val="23830A7E"/>
    <w:rsid w:val="2839EFA8"/>
    <w:rsid w:val="28B1146B"/>
    <w:rsid w:val="29F24C02"/>
    <w:rsid w:val="2A3058D3"/>
    <w:rsid w:val="2D67F995"/>
    <w:rsid w:val="2D68CC18"/>
    <w:rsid w:val="2EBC8DC0"/>
    <w:rsid w:val="2F28AE97"/>
    <w:rsid w:val="2FF92FA7"/>
    <w:rsid w:val="31037E63"/>
    <w:rsid w:val="3362192C"/>
    <w:rsid w:val="3398C763"/>
    <w:rsid w:val="34A81F6B"/>
    <w:rsid w:val="34B835EF"/>
    <w:rsid w:val="34FDE98D"/>
    <w:rsid w:val="35714FE2"/>
    <w:rsid w:val="35B0E673"/>
    <w:rsid w:val="36953DC8"/>
    <w:rsid w:val="3892F16D"/>
    <w:rsid w:val="39584605"/>
    <w:rsid w:val="3A105D52"/>
    <w:rsid w:val="3B5E673A"/>
    <w:rsid w:val="3BAC2DB3"/>
    <w:rsid w:val="3BEA0DFF"/>
    <w:rsid w:val="3D1AF860"/>
    <w:rsid w:val="3DEB8F5C"/>
    <w:rsid w:val="3F7ECEF1"/>
    <w:rsid w:val="411A9F52"/>
    <w:rsid w:val="4161633B"/>
    <w:rsid w:val="4196E82B"/>
    <w:rsid w:val="4337C108"/>
    <w:rsid w:val="434BAD54"/>
    <w:rsid w:val="44DFED8B"/>
    <w:rsid w:val="4585A9EA"/>
    <w:rsid w:val="489C23B6"/>
    <w:rsid w:val="4A34AAC0"/>
    <w:rsid w:val="4D166EB6"/>
    <w:rsid w:val="4D623EE9"/>
    <w:rsid w:val="4E51B7AE"/>
    <w:rsid w:val="4F6A1B27"/>
    <w:rsid w:val="4FF183C3"/>
    <w:rsid w:val="5135BD65"/>
    <w:rsid w:val="5141416E"/>
    <w:rsid w:val="5213A547"/>
    <w:rsid w:val="53292485"/>
    <w:rsid w:val="53AF75A8"/>
    <w:rsid w:val="53B414FD"/>
    <w:rsid w:val="55EF4AB4"/>
    <w:rsid w:val="5643CE59"/>
    <w:rsid w:val="5888916A"/>
    <w:rsid w:val="590EA064"/>
    <w:rsid w:val="5A37D575"/>
    <w:rsid w:val="5AFE503E"/>
    <w:rsid w:val="5B017320"/>
    <w:rsid w:val="5B0C27E5"/>
    <w:rsid w:val="5BC84DF0"/>
    <w:rsid w:val="5BECD72C"/>
    <w:rsid w:val="5CCC781D"/>
    <w:rsid w:val="5EB1D1B0"/>
    <w:rsid w:val="6074D053"/>
    <w:rsid w:val="61138192"/>
    <w:rsid w:val="62914DDB"/>
    <w:rsid w:val="638C6EA5"/>
    <w:rsid w:val="63F93ABB"/>
    <w:rsid w:val="66CB920D"/>
    <w:rsid w:val="6957C5D6"/>
    <w:rsid w:val="6A732D10"/>
    <w:rsid w:val="6B80D9F6"/>
    <w:rsid w:val="6BA22DD6"/>
    <w:rsid w:val="6C798861"/>
    <w:rsid w:val="7030EC7B"/>
    <w:rsid w:val="71E34ACC"/>
    <w:rsid w:val="73A6410A"/>
    <w:rsid w:val="74F3E231"/>
    <w:rsid w:val="76F9DB92"/>
    <w:rsid w:val="7E05A5B6"/>
    <w:rsid w:val="7F1A3126"/>
    <w:rsid w:val="7FAB0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7A1F8"/>
  <w15:chartTrackingRefBased/>
  <w15:docId w15:val="{3B4FA73C-3F88-42D8-9888-CA48350D1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346"/>
    <w:pPr>
      <w:keepNext/>
      <w:keepLines/>
      <w:spacing w:before="240" w:after="0"/>
      <w:outlineLvl w:val="0"/>
    </w:pPr>
    <w:rPr>
      <w:rFonts w:ascii="Arial" w:eastAsiaTheme="majorEastAsia" w:hAnsi="Arial" w:cstheme="majorBidi"/>
      <w:color w:val="2F5496" w:themeColor="accent1" w:themeShade="BF"/>
      <w:szCs w:val="32"/>
    </w:rPr>
  </w:style>
  <w:style w:type="paragraph" w:styleId="Heading2">
    <w:name w:val="heading 2"/>
    <w:basedOn w:val="Normal"/>
    <w:next w:val="Normal"/>
    <w:link w:val="Heading2Char"/>
    <w:uiPriority w:val="9"/>
    <w:unhideWhenUsed/>
    <w:qFormat/>
    <w:rsid w:val="00CA1346"/>
    <w:pPr>
      <w:keepNext/>
      <w:keepLines/>
      <w:spacing w:before="40" w:after="0"/>
      <w:outlineLvl w:val="1"/>
    </w:pPr>
    <w:rPr>
      <w:rFonts w:ascii="Arial" w:eastAsiaTheme="majorEastAsia" w:hAnsi="Arial"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013A26"/>
    <w:pPr>
      <w:ind w:left="720"/>
      <w:contextualSpacing/>
    </w:pPr>
  </w:style>
  <w:style w:type="character" w:styleId="UnresolvedMention">
    <w:name w:val="Unresolved Mention"/>
    <w:basedOn w:val="DefaultParagraphFont"/>
    <w:uiPriority w:val="99"/>
    <w:semiHidden/>
    <w:unhideWhenUsed/>
    <w:rsid w:val="004C4194"/>
    <w:rPr>
      <w:color w:val="605E5C"/>
      <w:shd w:val="clear" w:color="auto" w:fill="E1DFDD"/>
    </w:rPr>
  </w:style>
  <w:style w:type="character" w:customStyle="1" w:styleId="Heading1Char">
    <w:name w:val="Heading 1 Char"/>
    <w:basedOn w:val="DefaultParagraphFont"/>
    <w:link w:val="Heading1"/>
    <w:uiPriority w:val="9"/>
    <w:rsid w:val="00CA1346"/>
    <w:rPr>
      <w:rFonts w:ascii="Arial" w:eastAsiaTheme="majorEastAsia" w:hAnsi="Arial" w:cstheme="majorBidi"/>
      <w:color w:val="2F5496" w:themeColor="accent1" w:themeShade="BF"/>
      <w:szCs w:val="32"/>
    </w:rPr>
  </w:style>
  <w:style w:type="character" w:customStyle="1" w:styleId="Heading2Char">
    <w:name w:val="Heading 2 Char"/>
    <w:basedOn w:val="DefaultParagraphFont"/>
    <w:link w:val="Heading2"/>
    <w:uiPriority w:val="9"/>
    <w:rsid w:val="00CA1346"/>
    <w:rPr>
      <w:rFonts w:ascii="Arial" w:eastAsiaTheme="majorEastAsia" w:hAnsi="Arial" w:cstheme="majorBidi"/>
      <w:color w:val="2F5496" w:themeColor="accent1" w:themeShade="BF"/>
      <w:szCs w:val="26"/>
    </w:rPr>
  </w:style>
  <w:style w:type="paragraph" w:styleId="Header">
    <w:name w:val="header"/>
    <w:basedOn w:val="Normal"/>
    <w:link w:val="HeaderChar"/>
    <w:uiPriority w:val="99"/>
    <w:unhideWhenUsed/>
    <w:rsid w:val="00257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6F2"/>
  </w:style>
  <w:style w:type="paragraph" w:styleId="Footer">
    <w:name w:val="footer"/>
    <w:basedOn w:val="Normal"/>
    <w:link w:val="FooterChar"/>
    <w:uiPriority w:val="99"/>
    <w:unhideWhenUsed/>
    <w:rsid w:val="00257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6F2"/>
  </w:style>
  <w:style w:type="paragraph" w:styleId="TOC1">
    <w:name w:val="toc 1"/>
    <w:basedOn w:val="Normal"/>
    <w:next w:val="Normal"/>
    <w:autoRedefine/>
    <w:uiPriority w:val="39"/>
    <w:unhideWhenUsed/>
    <w:rsid w:val="004C15A0"/>
    <w:pPr>
      <w:spacing w:after="100"/>
    </w:pPr>
  </w:style>
  <w:style w:type="paragraph" w:styleId="TOC2">
    <w:name w:val="toc 2"/>
    <w:basedOn w:val="Normal"/>
    <w:next w:val="Normal"/>
    <w:autoRedefine/>
    <w:uiPriority w:val="39"/>
    <w:unhideWhenUsed/>
    <w:rsid w:val="004C15A0"/>
    <w:pPr>
      <w:spacing w:after="100"/>
      <w:ind w:left="220"/>
    </w:pPr>
  </w:style>
  <w:style w:type="paragraph" w:styleId="TOCHeading">
    <w:name w:val="TOC Heading"/>
    <w:basedOn w:val="Heading1"/>
    <w:next w:val="Normal"/>
    <w:uiPriority w:val="39"/>
    <w:unhideWhenUsed/>
    <w:qFormat/>
    <w:rsid w:val="004C15A0"/>
    <w:pPr>
      <w:outlineLvl w:val="9"/>
    </w:pPr>
    <w:rPr>
      <w:rFonts w:asciiTheme="majorHAnsi" w:hAnsiTheme="majorHAnsi"/>
      <w:sz w:val="32"/>
      <w:lang w:eastAsia="en-GB"/>
    </w:rPr>
  </w:style>
  <w:style w:type="paragraph" w:styleId="TOC3">
    <w:name w:val="toc 3"/>
    <w:basedOn w:val="Normal"/>
    <w:next w:val="Normal"/>
    <w:autoRedefine/>
    <w:uiPriority w:val="39"/>
    <w:unhideWhenUsed/>
    <w:rsid w:val="004C15A0"/>
    <w:pPr>
      <w:spacing w:after="100"/>
      <w:ind w:left="440"/>
    </w:pPr>
    <w:rPr>
      <w:rFonts w:eastAsiaTheme="minorEastAsia" w:cs="Times New Roman"/>
      <w:lang w:eastAsia="en-GB"/>
    </w:rPr>
  </w:style>
  <w:style w:type="paragraph" w:styleId="NoSpacing">
    <w:name w:val="No Spacing"/>
    <w:link w:val="NoSpacingChar"/>
    <w:uiPriority w:val="1"/>
    <w:qFormat/>
    <w:rsid w:val="003D121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D121A"/>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6365">
      <w:bodyDiv w:val="1"/>
      <w:marLeft w:val="0"/>
      <w:marRight w:val="0"/>
      <w:marTop w:val="0"/>
      <w:marBottom w:val="0"/>
      <w:divBdr>
        <w:top w:val="none" w:sz="0" w:space="0" w:color="auto"/>
        <w:left w:val="none" w:sz="0" w:space="0" w:color="auto"/>
        <w:bottom w:val="none" w:sz="0" w:space="0" w:color="auto"/>
        <w:right w:val="none" w:sz="0" w:space="0" w:color="auto"/>
      </w:divBdr>
    </w:div>
    <w:div w:id="63916952">
      <w:bodyDiv w:val="1"/>
      <w:marLeft w:val="0"/>
      <w:marRight w:val="0"/>
      <w:marTop w:val="0"/>
      <w:marBottom w:val="0"/>
      <w:divBdr>
        <w:top w:val="none" w:sz="0" w:space="0" w:color="auto"/>
        <w:left w:val="none" w:sz="0" w:space="0" w:color="auto"/>
        <w:bottom w:val="none" w:sz="0" w:space="0" w:color="auto"/>
        <w:right w:val="none" w:sz="0" w:space="0" w:color="auto"/>
      </w:divBdr>
    </w:div>
    <w:div w:id="106631549">
      <w:bodyDiv w:val="1"/>
      <w:marLeft w:val="0"/>
      <w:marRight w:val="0"/>
      <w:marTop w:val="0"/>
      <w:marBottom w:val="0"/>
      <w:divBdr>
        <w:top w:val="none" w:sz="0" w:space="0" w:color="auto"/>
        <w:left w:val="none" w:sz="0" w:space="0" w:color="auto"/>
        <w:bottom w:val="none" w:sz="0" w:space="0" w:color="auto"/>
        <w:right w:val="none" w:sz="0" w:space="0" w:color="auto"/>
      </w:divBdr>
    </w:div>
    <w:div w:id="332028410">
      <w:bodyDiv w:val="1"/>
      <w:marLeft w:val="0"/>
      <w:marRight w:val="0"/>
      <w:marTop w:val="0"/>
      <w:marBottom w:val="0"/>
      <w:divBdr>
        <w:top w:val="none" w:sz="0" w:space="0" w:color="auto"/>
        <w:left w:val="none" w:sz="0" w:space="0" w:color="auto"/>
        <w:bottom w:val="none" w:sz="0" w:space="0" w:color="auto"/>
        <w:right w:val="none" w:sz="0" w:space="0" w:color="auto"/>
      </w:divBdr>
    </w:div>
    <w:div w:id="430467382">
      <w:bodyDiv w:val="1"/>
      <w:marLeft w:val="0"/>
      <w:marRight w:val="0"/>
      <w:marTop w:val="0"/>
      <w:marBottom w:val="0"/>
      <w:divBdr>
        <w:top w:val="none" w:sz="0" w:space="0" w:color="auto"/>
        <w:left w:val="none" w:sz="0" w:space="0" w:color="auto"/>
        <w:bottom w:val="none" w:sz="0" w:space="0" w:color="auto"/>
        <w:right w:val="none" w:sz="0" w:space="0" w:color="auto"/>
      </w:divBdr>
    </w:div>
    <w:div w:id="566499512">
      <w:bodyDiv w:val="1"/>
      <w:marLeft w:val="0"/>
      <w:marRight w:val="0"/>
      <w:marTop w:val="0"/>
      <w:marBottom w:val="0"/>
      <w:divBdr>
        <w:top w:val="none" w:sz="0" w:space="0" w:color="auto"/>
        <w:left w:val="none" w:sz="0" w:space="0" w:color="auto"/>
        <w:bottom w:val="none" w:sz="0" w:space="0" w:color="auto"/>
        <w:right w:val="none" w:sz="0" w:space="0" w:color="auto"/>
      </w:divBdr>
    </w:div>
    <w:div w:id="651251472">
      <w:bodyDiv w:val="1"/>
      <w:marLeft w:val="0"/>
      <w:marRight w:val="0"/>
      <w:marTop w:val="0"/>
      <w:marBottom w:val="0"/>
      <w:divBdr>
        <w:top w:val="none" w:sz="0" w:space="0" w:color="auto"/>
        <w:left w:val="none" w:sz="0" w:space="0" w:color="auto"/>
        <w:bottom w:val="none" w:sz="0" w:space="0" w:color="auto"/>
        <w:right w:val="none" w:sz="0" w:space="0" w:color="auto"/>
      </w:divBdr>
    </w:div>
    <w:div w:id="674724949">
      <w:bodyDiv w:val="1"/>
      <w:marLeft w:val="0"/>
      <w:marRight w:val="0"/>
      <w:marTop w:val="0"/>
      <w:marBottom w:val="0"/>
      <w:divBdr>
        <w:top w:val="none" w:sz="0" w:space="0" w:color="auto"/>
        <w:left w:val="none" w:sz="0" w:space="0" w:color="auto"/>
        <w:bottom w:val="none" w:sz="0" w:space="0" w:color="auto"/>
        <w:right w:val="none" w:sz="0" w:space="0" w:color="auto"/>
      </w:divBdr>
    </w:div>
    <w:div w:id="744566415">
      <w:bodyDiv w:val="1"/>
      <w:marLeft w:val="0"/>
      <w:marRight w:val="0"/>
      <w:marTop w:val="0"/>
      <w:marBottom w:val="0"/>
      <w:divBdr>
        <w:top w:val="none" w:sz="0" w:space="0" w:color="auto"/>
        <w:left w:val="none" w:sz="0" w:space="0" w:color="auto"/>
        <w:bottom w:val="none" w:sz="0" w:space="0" w:color="auto"/>
        <w:right w:val="none" w:sz="0" w:space="0" w:color="auto"/>
      </w:divBdr>
    </w:div>
    <w:div w:id="783767777">
      <w:bodyDiv w:val="1"/>
      <w:marLeft w:val="0"/>
      <w:marRight w:val="0"/>
      <w:marTop w:val="0"/>
      <w:marBottom w:val="0"/>
      <w:divBdr>
        <w:top w:val="none" w:sz="0" w:space="0" w:color="auto"/>
        <w:left w:val="none" w:sz="0" w:space="0" w:color="auto"/>
        <w:bottom w:val="none" w:sz="0" w:space="0" w:color="auto"/>
        <w:right w:val="none" w:sz="0" w:space="0" w:color="auto"/>
      </w:divBdr>
    </w:div>
    <w:div w:id="823202901">
      <w:bodyDiv w:val="1"/>
      <w:marLeft w:val="0"/>
      <w:marRight w:val="0"/>
      <w:marTop w:val="0"/>
      <w:marBottom w:val="0"/>
      <w:divBdr>
        <w:top w:val="none" w:sz="0" w:space="0" w:color="auto"/>
        <w:left w:val="none" w:sz="0" w:space="0" w:color="auto"/>
        <w:bottom w:val="none" w:sz="0" w:space="0" w:color="auto"/>
        <w:right w:val="none" w:sz="0" w:space="0" w:color="auto"/>
      </w:divBdr>
      <w:divsChild>
        <w:div w:id="1001079087">
          <w:marLeft w:val="0"/>
          <w:marRight w:val="0"/>
          <w:marTop w:val="0"/>
          <w:marBottom w:val="0"/>
          <w:divBdr>
            <w:top w:val="none" w:sz="0" w:space="0" w:color="auto"/>
            <w:left w:val="none" w:sz="0" w:space="0" w:color="auto"/>
            <w:bottom w:val="none" w:sz="0" w:space="0" w:color="auto"/>
            <w:right w:val="none" w:sz="0" w:space="0" w:color="auto"/>
          </w:divBdr>
          <w:divsChild>
            <w:div w:id="1695301176">
              <w:marLeft w:val="0"/>
              <w:marRight w:val="0"/>
              <w:marTop w:val="0"/>
              <w:marBottom w:val="0"/>
              <w:divBdr>
                <w:top w:val="none" w:sz="0" w:space="0" w:color="auto"/>
                <w:left w:val="none" w:sz="0" w:space="0" w:color="auto"/>
                <w:bottom w:val="none" w:sz="0" w:space="0" w:color="auto"/>
                <w:right w:val="none" w:sz="0" w:space="0" w:color="auto"/>
              </w:divBdr>
            </w:div>
            <w:div w:id="11760748">
              <w:marLeft w:val="0"/>
              <w:marRight w:val="0"/>
              <w:marTop w:val="0"/>
              <w:marBottom w:val="0"/>
              <w:divBdr>
                <w:top w:val="none" w:sz="0" w:space="0" w:color="auto"/>
                <w:left w:val="none" w:sz="0" w:space="0" w:color="auto"/>
                <w:bottom w:val="none" w:sz="0" w:space="0" w:color="auto"/>
                <w:right w:val="none" w:sz="0" w:space="0" w:color="auto"/>
              </w:divBdr>
            </w:div>
            <w:div w:id="24904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661427">
      <w:bodyDiv w:val="1"/>
      <w:marLeft w:val="0"/>
      <w:marRight w:val="0"/>
      <w:marTop w:val="0"/>
      <w:marBottom w:val="0"/>
      <w:divBdr>
        <w:top w:val="none" w:sz="0" w:space="0" w:color="auto"/>
        <w:left w:val="none" w:sz="0" w:space="0" w:color="auto"/>
        <w:bottom w:val="none" w:sz="0" w:space="0" w:color="auto"/>
        <w:right w:val="none" w:sz="0" w:space="0" w:color="auto"/>
      </w:divBdr>
      <w:divsChild>
        <w:div w:id="1526289158">
          <w:marLeft w:val="0"/>
          <w:marRight w:val="0"/>
          <w:marTop w:val="0"/>
          <w:marBottom w:val="0"/>
          <w:divBdr>
            <w:top w:val="none" w:sz="0" w:space="0" w:color="auto"/>
            <w:left w:val="none" w:sz="0" w:space="0" w:color="auto"/>
            <w:bottom w:val="none" w:sz="0" w:space="0" w:color="auto"/>
            <w:right w:val="none" w:sz="0" w:space="0" w:color="auto"/>
          </w:divBdr>
          <w:divsChild>
            <w:div w:id="924723480">
              <w:marLeft w:val="0"/>
              <w:marRight w:val="0"/>
              <w:marTop w:val="0"/>
              <w:marBottom w:val="0"/>
              <w:divBdr>
                <w:top w:val="none" w:sz="0" w:space="0" w:color="auto"/>
                <w:left w:val="none" w:sz="0" w:space="0" w:color="auto"/>
                <w:bottom w:val="none" w:sz="0" w:space="0" w:color="auto"/>
                <w:right w:val="none" w:sz="0" w:space="0" w:color="auto"/>
              </w:divBdr>
            </w:div>
            <w:div w:id="265314866">
              <w:marLeft w:val="0"/>
              <w:marRight w:val="0"/>
              <w:marTop w:val="0"/>
              <w:marBottom w:val="0"/>
              <w:divBdr>
                <w:top w:val="none" w:sz="0" w:space="0" w:color="auto"/>
                <w:left w:val="none" w:sz="0" w:space="0" w:color="auto"/>
                <w:bottom w:val="none" w:sz="0" w:space="0" w:color="auto"/>
                <w:right w:val="none" w:sz="0" w:space="0" w:color="auto"/>
              </w:divBdr>
            </w:div>
            <w:div w:id="93601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727779">
      <w:bodyDiv w:val="1"/>
      <w:marLeft w:val="0"/>
      <w:marRight w:val="0"/>
      <w:marTop w:val="0"/>
      <w:marBottom w:val="0"/>
      <w:divBdr>
        <w:top w:val="none" w:sz="0" w:space="0" w:color="auto"/>
        <w:left w:val="none" w:sz="0" w:space="0" w:color="auto"/>
        <w:bottom w:val="none" w:sz="0" w:space="0" w:color="auto"/>
        <w:right w:val="none" w:sz="0" w:space="0" w:color="auto"/>
      </w:divBdr>
    </w:div>
    <w:div w:id="1259213050">
      <w:bodyDiv w:val="1"/>
      <w:marLeft w:val="0"/>
      <w:marRight w:val="0"/>
      <w:marTop w:val="0"/>
      <w:marBottom w:val="0"/>
      <w:divBdr>
        <w:top w:val="none" w:sz="0" w:space="0" w:color="auto"/>
        <w:left w:val="none" w:sz="0" w:space="0" w:color="auto"/>
        <w:bottom w:val="none" w:sz="0" w:space="0" w:color="auto"/>
        <w:right w:val="none" w:sz="0" w:space="0" w:color="auto"/>
      </w:divBdr>
    </w:div>
    <w:div w:id="1291282089">
      <w:bodyDiv w:val="1"/>
      <w:marLeft w:val="0"/>
      <w:marRight w:val="0"/>
      <w:marTop w:val="0"/>
      <w:marBottom w:val="0"/>
      <w:divBdr>
        <w:top w:val="none" w:sz="0" w:space="0" w:color="auto"/>
        <w:left w:val="none" w:sz="0" w:space="0" w:color="auto"/>
        <w:bottom w:val="none" w:sz="0" w:space="0" w:color="auto"/>
        <w:right w:val="none" w:sz="0" w:space="0" w:color="auto"/>
      </w:divBdr>
    </w:div>
    <w:div w:id="1420834032">
      <w:bodyDiv w:val="1"/>
      <w:marLeft w:val="0"/>
      <w:marRight w:val="0"/>
      <w:marTop w:val="0"/>
      <w:marBottom w:val="0"/>
      <w:divBdr>
        <w:top w:val="none" w:sz="0" w:space="0" w:color="auto"/>
        <w:left w:val="none" w:sz="0" w:space="0" w:color="auto"/>
        <w:bottom w:val="none" w:sz="0" w:space="0" w:color="auto"/>
        <w:right w:val="none" w:sz="0" w:space="0" w:color="auto"/>
      </w:divBdr>
    </w:div>
    <w:div w:id="1490904319">
      <w:bodyDiv w:val="1"/>
      <w:marLeft w:val="0"/>
      <w:marRight w:val="0"/>
      <w:marTop w:val="0"/>
      <w:marBottom w:val="0"/>
      <w:divBdr>
        <w:top w:val="none" w:sz="0" w:space="0" w:color="auto"/>
        <w:left w:val="none" w:sz="0" w:space="0" w:color="auto"/>
        <w:bottom w:val="none" w:sz="0" w:space="0" w:color="auto"/>
        <w:right w:val="none" w:sz="0" w:space="0" w:color="auto"/>
      </w:divBdr>
    </w:div>
    <w:div w:id="1492216251">
      <w:bodyDiv w:val="1"/>
      <w:marLeft w:val="0"/>
      <w:marRight w:val="0"/>
      <w:marTop w:val="0"/>
      <w:marBottom w:val="0"/>
      <w:divBdr>
        <w:top w:val="none" w:sz="0" w:space="0" w:color="auto"/>
        <w:left w:val="none" w:sz="0" w:space="0" w:color="auto"/>
        <w:bottom w:val="none" w:sz="0" w:space="0" w:color="auto"/>
        <w:right w:val="none" w:sz="0" w:space="0" w:color="auto"/>
      </w:divBdr>
    </w:div>
    <w:div w:id="1615863453">
      <w:bodyDiv w:val="1"/>
      <w:marLeft w:val="0"/>
      <w:marRight w:val="0"/>
      <w:marTop w:val="0"/>
      <w:marBottom w:val="0"/>
      <w:divBdr>
        <w:top w:val="none" w:sz="0" w:space="0" w:color="auto"/>
        <w:left w:val="none" w:sz="0" w:space="0" w:color="auto"/>
        <w:bottom w:val="none" w:sz="0" w:space="0" w:color="auto"/>
        <w:right w:val="none" w:sz="0" w:space="0" w:color="auto"/>
      </w:divBdr>
    </w:div>
    <w:div w:id="1616325485">
      <w:bodyDiv w:val="1"/>
      <w:marLeft w:val="0"/>
      <w:marRight w:val="0"/>
      <w:marTop w:val="0"/>
      <w:marBottom w:val="0"/>
      <w:divBdr>
        <w:top w:val="none" w:sz="0" w:space="0" w:color="auto"/>
        <w:left w:val="none" w:sz="0" w:space="0" w:color="auto"/>
        <w:bottom w:val="none" w:sz="0" w:space="0" w:color="auto"/>
        <w:right w:val="none" w:sz="0" w:space="0" w:color="auto"/>
      </w:divBdr>
    </w:div>
    <w:div w:id="1678190878">
      <w:bodyDiv w:val="1"/>
      <w:marLeft w:val="0"/>
      <w:marRight w:val="0"/>
      <w:marTop w:val="0"/>
      <w:marBottom w:val="0"/>
      <w:divBdr>
        <w:top w:val="none" w:sz="0" w:space="0" w:color="auto"/>
        <w:left w:val="none" w:sz="0" w:space="0" w:color="auto"/>
        <w:bottom w:val="none" w:sz="0" w:space="0" w:color="auto"/>
        <w:right w:val="none" w:sz="0" w:space="0" w:color="auto"/>
      </w:divBdr>
    </w:div>
    <w:div w:id="1760365974">
      <w:bodyDiv w:val="1"/>
      <w:marLeft w:val="0"/>
      <w:marRight w:val="0"/>
      <w:marTop w:val="0"/>
      <w:marBottom w:val="0"/>
      <w:divBdr>
        <w:top w:val="none" w:sz="0" w:space="0" w:color="auto"/>
        <w:left w:val="none" w:sz="0" w:space="0" w:color="auto"/>
        <w:bottom w:val="none" w:sz="0" w:space="0" w:color="auto"/>
        <w:right w:val="none" w:sz="0" w:space="0" w:color="auto"/>
      </w:divBdr>
    </w:div>
    <w:div w:id="1773554156">
      <w:bodyDiv w:val="1"/>
      <w:marLeft w:val="0"/>
      <w:marRight w:val="0"/>
      <w:marTop w:val="0"/>
      <w:marBottom w:val="0"/>
      <w:divBdr>
        <w:top w:val="none" w:sz="0" w:space="0" w:color="auto"/>
        <w:left w:val="none" w:sz="0" w:space="0" w:color="auto"/>
        <w:bottom w:val="none" w:sz="0" w:space="0" w:color="auto"/>
        <w:right w:val="none" w:sz="0" w:space="0" w:color="auto"/>
      </w:divBdr>
    </w:div>
    <w:div w:id="1918828688">
      <w:bodyDiv w:val="1"/>
      <w:marLeft w:val="0"/>
      <w:marRight w:val="0"/>
      <w:marTop w:val="0"/>
      <w:marBottom w:val="0"/>
      <w:divBdr>
        <w:top w:val="none" w:sz="0" w:space="0" w:color="auto"/>
        <w:left w:val="none" w:sz="0" w:space="0" w:color="auto"/>
        <w:bottom w:val="none" w:sz="0" w:space="0" w:color="auto"/>
        <w:right w:val="none" w:sz="0" w:space="0" w:color="auto"/>
      </w:divBdr>
    </w:div>
    <w:div w:id="2078236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infectdis.biomedcentral.com/articles/10.1186/1471-2334-14-232"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807/1560-7917.es2014.19.3.2068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0140-6736(13)62342-9" TargetMode="Externa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doi.org/10.1016/b978-0-12-385157-4.00381-x" TargetMode="External"/><Relationship Id="rId4" Type="http://schemas.openxmlformats.org/officeDocument/2006/relationships/settings" Target="settings.xml"/><Relationship Id="rId9" Type="http://schemas.openxmlformats.org/officeDocument/2006/relationships/hyperlink" Target="https://ukhsa.blog.gov.uk/2020/01/09/flu-detecto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43084-5AB1-4CD8-A6D5-A882B8E85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1825</Words>
  <Characters>10409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componet 1:                              Incidence of Disease Supproting paper</dc:title>
  <dc:subject/>
  <dc:creator>Tayyaba Anmol (2211907)</dc:creator>
  <cp:keywords/>
  <dc:description/>
  <cp:lastModifiedBy>Tayyaba Anmol</cp:lastModifiedBy>
  <cp:revision>22</cp:revision>
  <dcterms:created xsi:type="dcterms:W3CDTF">2023-03-05T22:40:00Z</dcterms:created>
  <dcterms:modified xsi:type="dcterms:W3CDTF">2023-03-05T23:26:00Z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91036c05fbd3b11e920cabfdff546bd36c57c3b3280172010af6d49136dd17b4</vt:lpwstr>
  </property>
</Properties>
</file>