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76143892"/>
        <w:docPartObj>
          <w:docPartGallery w:val="Cover Pages"/>
          <w:docPartUnique/>
        </w:docPartObj>
      </w:sdtPr>
      <w:sdtEndPr/>
      <w:sdtContent>
        <w:p w14:paraId="5068036F" w14:textId="77777777" w:rsidR="008C3446" w:rsidRDefault="008C3446" w:rsidP="008C3446"/>
        <w:p w14:paraId="7E999DD9" w14:textId="77777777" w:rsidR="008C3446" w:rsidRDefault="008C3446" w:rsidP="008C3446"/>
        <w:p w14:paraId="2E81A4F4" w14:textId="77777777" w:rsidR="008C3446" w:rsidRDefault="008C3446" w:rsidP="008C3446"/>
        <w:p w14:paraId="63C1537D" w14:textId="77777777" w:rsidR="008C3446" w:rsidRDefault="008C3446" w:rsidP="008C3446"/>
        <w:p w14:paraId="227EF53D" w14:textId="77777777" w:rsidR="008C3446" w:rsidRDefault="008C3446" w:rsidP="008C3446"/>
        <w:p w14:paraId="4F67AA87" w14:textId="77777777" w:rsidR="008C3446" w:rsidRDefault="008C3446" w:rsidP="008C3446"/>
        <w:p w14:paraId="16E62435" w14:textId="77777777" w:rsidR="008C3446" w:rsidRDefault="008C3446" w:rsidP="008C3446"/>
        <w:p w14:paraId="41802D05" w14:textId="77777777" w:rsidR="008C3446" w:rsidRDefault="008C3446" w:rsidP="008C3446"/>
        <w:p w14:paraId="14BD3350" w14:textId="77777777" w:rsidR="008C3446" w:rsidRDefault="008C3446" w:rsidP="008C3446"/>
        <w:p w14:paraId="20428842" w14:textId="77777777" w:rsidR="008C3446" w:rsidRDefault="008C3446" w:rsidP="008C3446"/>
        <w:p w14:paraId="384D8C35" w14:textId="77777777" w:rsidR="008C3446" w:rsidRDefault="008C3446" w:rsidP="008C3446"/>
        <w:p w14:paraId="7207897D" w14:textId="77777777" w:rsidR="008C3446" w:rsidRDefault="008C3446" w:rsidP="008C3446"/>
        <w:p w14:paraId="7B1811CC" w14:textId="77777777" w:rsidR="008C3446" w:rsidRDefault="008C3446" w:rsidP="008C3446"/>
        <w:p w14:paraId="076ABB83" w14:textId="77777777" w:rsidR="008C3446" w:rsidRDefault="008C3446" w:rsidP="008C3446"/>
        <w:p w14:paraId="647946AB" w14:textId="77777777" w:rsidR="008C3446" w:rsidRDefault="008C3446" w:rsidP="008C3446"/>
        <w:p w14:paraId="55A86749" w14:textId="77777777" w:rsidR="008C3446" w:rsidRDefault="008C3446" w:rsidP="008C3446"/>
        <w:p w14:paraId="6B5D60CE" w14:textId="77777777" w:rsidR="008C3446" w:rsidRDefault="008C3446" w:rsidP="008C3446"/>
        <w:p w14:paraId="5563412E" w14:textId="77777777" w:rsidR="008C3446" w:rsidRDefault="008C3446" w:rsidP="008C3446"/>
        <w:p w14:paraId="31F3F04F" w14:textId="77777777" w:rsidR="008C3446" w:rsidRDefault="008C3446" w:rsidP="008C3446"/>
        <w:p w14:paraId="7A5EC8ED" w14:textId="77777777" w:rsidR="008C3446" w:rsidRDefault="008C3446" w:rsidP="008C3446"/>
        <w:p w14:paraId="763DCDE3" w14:textId="77777777" w:rsidR="008C3446" w:rsidRDefault="008C3446" w:rsidP="008C3446"/>
        <w:p w14:paraId="5FBA7A8E" w14:textId="77777777" w:rsidR="008C3446" w:rsidRDefault="008C3446" w:rsidP="008C3446"/>
        <w:p w14:paraId="63100C54" w14:textId="77777777" w:rsidR="008C3446" w:rsidRDefault="008C3446" w:rsidP="008C3446"/>
        <w:p w14:paraId="509857C5" w14:textId="77777777" w:rsidR="008C3446" w:rsidRDefault="008C3446" w:rsidP="008C3446"/>
        <w:p w14:paraId="6DEDA861" w14:textId="77777777" w:rsidR="008C3446" w:rsidRDefault="008C3446" w:rsidP="008C3446"/>
        <w:p w14:paraId="26017A37" w14:textId="77777777" w:rsidR="008C3446" w:rsidRDefault="008C3446" w:rsidP="008C3446"/>
        <w:p w14:paraId="0480B13C" w14:textId="77777777" w:rsidR="008C3446" w:rsidRDefault="008C3446" w:rsidP="008C3446"/>
        <w:p w14:paraId="479456F8" w14:textId="77777777" w:rsidR="008C3446" w:rsidRDefault="008C3446" w:rsidP="008C3446"/>
        <w:p w14:paraId="4986E236" w14:textId="77777777" w:rsidR="008C3446" w:rsidRDefault="008C3446" w:rsidP="008C3446"/>
        <w:p w14:paraId="7CA8A902" w14:textId="77777777" w:rsidR="008C3446" w:rsidRDefault="008C3446" w:rsidP="008C3446"/>
        <w:p w14:paraId="61F80661" w14:textId="77777777" w:rsidR="008C3446" w:rsidRDefault="008C3446" w:rsidP="008C3446"/>
        <w:p w14:paraId="09E1DB48" w14:textId="77777777" w:rsidR="008C3446" w:rsidRDefault="008C3446" w:rsidP="008C3446"/>
        <w:p w14:paraId="5664BE53" w14:textId="77777777" w:rsidR="008C3446" w:rsidRDefault="008C3446" w:rsidP="008C3446"/>
        <w:p w14:paraId="2DDF1AB2" w14:textId="77777777" w:rsidR="008C3446" w:rsidRDefault="008C3446" w:rsidP="008C3446"/>
        <w:p w14:paraId="720BB497" w14:textId="77777777" w:rsidR="008C3446" w:rsidRDefault="008C3446" w:rsidP="008C3446"/>
        <w:p w14:paraId="3B59E970" w14:textId="77777777" w:rsidR="008C3446" w:rsidRDefault="008C3446" w:rsidP="008C3446"/>
        <w:p w14:paraId="2D9EEB6E" w14:textId="77777777" w:rsidR="008C3446" w:rsidRDefault="008C3446" w:rsidP="008C3446"/>
        <w:p w14:paraId="4877DC80" w14:textId="77777777" w:rsidR="008C3446" w:rsidRDefault="008C3446" w:rsidP="008C3446"/>
        <w:p w14:paraId="45FBDB17" w14:textId="44BAAC7C" w:rsidR="00100CD3" w:rsidRPr="008C3446" w:rsidRDefault="00261165" w:rsidP="008C3446">
          <w:r>
            <w:rPr>
              <w:noProof/>
              <w:lang w:eastAsia="zh-CN"/>
            </w:rPr>
            <mc:AlternateContent>
              <mc:Choice Requires="wpg">
                <w:drawing>
                  <wp:anchor distT="0" distB="0" distL="114300" distR="114300" simplePos="0" relativeHeight="251660288" behindDoc="1" locked="0" layoutInCell="1" allowOverlap="1" wp14:anchorId="117721B9" wp14:editId="225568DC">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8FF1AB" w14:textId="3F0E4717" w:rsidR="00261165" w:rsidRDefault="00CF72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177C1">
                                        <w:rPr>
                                          <w:color w:val="FFFFFF" w:themeColor="background1"/>
                                          <w:sz w:val="72"/>
                                          <w:szCs w:val="72"/>
                                        </w:rPr>
                                        <w:t>ECAD4010-C: Cycle 1 Researching the Learning: what, how and why am I teaching?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17721B9" id="Group 125" o:spid="_x0000_s1026" style="position:absolute;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8FF1AB" w14:textId="3F0E4717" w:rsidR="00261165" w:rsidRDefault="00CF72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177C1">
                                  <w:rPr>
                                    <w:color w:val="FFFFFF" w:themeColor="background1"/>
                                    <w:sz w:val="72"/>
                                    <w:szCs w:val="72"/>
                                  </w:rPr>
                                  <w:t>ECAD4010-C: Cycle 1 Researching the Learning: what, how and why am I teaching?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3360" behindDoc="0" locked="0" layoutInCell="1" allowOverlap="1" wp14:anchorId="41A491AB" wp14:editId="1E63FD4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7339D" w14:textId="7334E9B3" w:rsidR="00261165" w:rsidRDefault="00CF727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61165">
                                      <w:rPr>
                                        <w:caps/>
                                        <w:color w:val="7F7F7F" w:themeColor="text1" w:themeTint="80"/>
                                        <w:sz w:val="18"/>
                                        <w:szCs w:val="18"/>
                                      </w:rPr>
                                      <w:t>University of Wales trinity saint david - carmarthen</w:t>
                                    </w:r>
                                  </w:sdtContent>
                                </w:sdt>
                                <w:r w:rsidR="00261165">
                                  <w:rPr>
                                    <w:caps/>
                                    <w:color w:val="7F7F7F" w:themeColor="text1" w:themeTint="80"/>
                                    <w:sz w:val="18"/>
                                    <w:szCs w:val="18"/>
                                  </w:rPr>
                                  <w:t> </w:t>
                                </w:r>
                                <w:r w:rsidR="0026116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261165">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1A491AB" id="_x0000_t202" coordsize="21600,21600" o:spt="202" path="m,l,21600r21600,l21600,xe">
                    <v:stroke joinstyle="miter"/>
                    <v:path gradientshapeok="t" o:connecttype="rect"/>
                  </v:shapetype>
                  <v:shape id="Text Box 128" o:spid="_x0000_s1029" type="#_x0000_t202" style="position:absolute;margin-left:0;margin-top:0;width:453pt;height:11.5pt;z-index:25166336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7F37339D" w14:textId="7334E9B3" w:rsidR="00261165" w:rsidRDefault="009379C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61165">
                                <w:rPr>
                                  <w:caps/>
                                  <w:color w:val="7F7F7F" w:themeColor="text1" w:themeTint="80"/>
                                  <w:sz w:val="18"/>
                                  <w:szCs w:val="18"/>
                                </w:rPr>
                                <w:t>University of Wales trinity saint david - carmarthen</w:t>
                              </w:r>
                            </w:sdtContent>
                          </w:sdt>
                          <w:r w:rsidR="00261165">
                            <w:rPr>
                              <w:caps/>
                              <w:color w:val="7F7F7F" w:themeColor="text1" w:themeTint="80"/>
                              <w:sz w:val="18"/>
                              <w:szCs w:val="18"/>
                            </w:rPr>
                            <w:t> </w:t>
                          </w:r>
                          <w:r w:rsidR="0026116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261165">
                                <w:rPr>
                                  <w:color w:val="7F7F7F" w:themeColor="text1" w:themeTint="80"/>
                                  <w:sz w:val="18"/>
                                  <w:szCs w:val="18"/>
                                </w:rPr>
                                <w:t xml:space="preserve">     </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2336" behindDoc="0" locked="0" layoutInCell="1" allowOverlap="1" wp14:anchorId="675E91C9" wp14:editId="320BBE8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4100A" w14:textId="1D6C3889" w:rsidR="00261165" w:rsidRDefault="00261165">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3A808CE" w14:textId="5ECFDEA3" w:rsidR="00261165" w:rsidRDefault="00261165">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75E91C9" id="Text Box 129" o:spid="_x0000_s1030" type="#_x0000_t202" style="position:absolute;margin-left:0;margin-top:0;width:453pt;height:38.15pt;z-index:25166233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p w14:paraId="03C4100A" w14:textId="1D6C3889" w:rsidR="00261165" w:rsidRDefault="00261165">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3A808CE" w14:textId="5ECFDEA3" w:rsidR="00261165" w:rsidRDefault="00261165">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0798700D" wp14:editId="4FD4618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D6198C" w14:textId="03DE72E4" w:rsidR="00261165" w:rsidRDefault="00CF727B">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261165">
                                      <w:rPr>
                                        <w:color w:val="FFFFFF" w:themeColor="background1"/>
                                        <w:sz w:val="24"/>
                                        <w:szCs w:val="24"/>
                                      </w:rPr>
                                      <w:t>Year 4</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98700D" id="Rectangle 130" o:spid="_x0000_s1031"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14:paraId="69D6198C" w14:textId="03DE72E4" w:rsidR="00261165" w:rsidRDefault="009379C9">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261165">
                                <w:rPr>
                                  <w:color w:val="FFFFFF" w:themeColor="background1"/>
                                  <w:sz w:val="24"/>
                                  <w:szCs w:val="24"/>
                                </w:rPr>
                                <w:t>Year 4</w:t>
                              </w:r>
                            </w:sdtContent>
                          </w:sdt>
                        </w:p>
                      </w:txbxContent>
                    </v:textbox>
                    <w10:wrap anchorx="margin" anchory="page"/>
                  </v:rect>
                </w:pict>
              </mc:Fallback>
            </mc:AlternateContent>
          </w:r>
        </w:p>
      </w:sdtContent>
    </w:sdt>
    <w:p w14:paraId="235FA2B8" w14:textId="77777777" w:rsidR="00100CD3" w:rsidRDefault="00100CD3" w:rsidP="00370E30">
      <w:pPr>
        <w:autoSpaceDE w:val="0"/>
        <w:autoSpaceDN w:val="0"/>
        <w:adjustRightInd w:val="0"/>
        <w:spacing w:after="158"/>
        <w:rPr>
          <w:rFonts w:ascii="Arial" w:hAnsi="Arial" w:cs="Arial"/>
          <w:color w:val="000000"/>
        </w:rPr>
      </w:pPr>
    </w:p>
    <w:p w14:paraId="74B26314" w14:textId="6A10D8F2" w:rsidR="00261165" w:rsidRPr="00100CD3" w:rsidRDefault="00261165" w:rsidP="00100CD3">
      <w:pPr>
        <w:autoSpaceDE w:val="0"/>
        <w:autoSpaceDN w:val="0"/>
        <w:adjustRightInd w:val="0"/>
        <w:spacing w:after="158"/>
        <w:jc w:val="center"/>
        <w:rPr>
          <w:rFonts w:ascii="Arial" w:hAnsi="Arial" w:cs="Arial"/>
          <w:b/>
          <w:bCs/>
          <w:color w:val="000000"/>
        </w:rPr>
      </w:pPr>
      <w:r w:rsidRPr="00100CD3">
        <w:rPr>
          <w:rFonts w:ascii="Arial" w:hAnsi="Arial" w:cs="Arial"/>
          <w:b/>
          <w:bCs/>
          <w:color w:val="000000"/>
        </w:rPr>
        <w:lastRenderedPageBreak/>
        <w:t>Please add your targets from the previous assignment</w:t>
      </w:r>
    </w:p>
    <w:tbl>
      <w:tblPr>
        <w:tblStyle w:val="TableGrid"/>
        <w:tblW w:w="0" w:type="auto"/>
        <w:tblInd w:w="-431" w:type="dxa"/>
        <w:tblLook w:val="04A0" w:firstRow="1" w:lastRow="0" w:firstColumn="1" w:lastColumn="0" w:noHBand="0" w:noVBand="1"/>
      </w:tblPr>
      <w:tblGrid>
        <w:gridCol w:w="1702"/>
        <w:gridCol w:w="8079"/>
      </w:tblGrid>
      <w:tr w:rsidR="00261165" w14:paraId="5D4010D6" w14:textId="77777777" w:rsidTr="00451834">
        <w:tc>
          <w:tcPr>
            <w:tcW w:w="1702" w:type="dxa"/>
          </w:tcPr>
          <w:p w14:paraId="0310C2E0" w14:textId="29FA15C0" w:rsidR="00261165" w:rsidRDefault="00451834" w:rsidP="00370E30">
            <w:pPr>
              <w:autoSpaceDE w:val="0"/>
              <w:autoSpaceDN w:val="0"/>
              <w:adjustRightInd w:val="0"/>
              <w:spacing w:after="158"/>
              <w:rPr>
                <w:rFonts w:ascii="Arial" w:hAnsi="Arial" w:cs="Arial"/>
                <w:color w:val="000000"/>
              </w:rPr>
            </w:pPr>
            <w:r>
              <w:rPr>
                <w:rFonts w:ascii="Arial" w:hAnsi="Arial" w:cs="Arial"/>
                <w:color w:val="000000"/>
              </w:rPr>
              <w:t>Target 1</w:t>
            </w:r>
          </w:p>
        </w:tc>
        <w:tc>
          <w:tcPr>
            <w:tcW w:w="8079" w:type="dxa"/>
          </w:tcPr>
          <w:p w14:paraId="3510B6C2" w14:textId="57532ADB" w:rsidR="00261165" w:rsidRDefault="00822438" w:rsidP="00370E30">
            <w:pPr>
              <w:autoSpaceDE w:val="0"/>
              <w:autoSpaceDN w:val="0"/>
              <w:adjustRightInd w:val="0"/>
              <w:spacing w:after="158"/>
              <w:rPr>
                <w:rFonts w:ascii="Arial" w:hAnsi="Arial" w:cs="Arial"/>
                <w:color w:val="000000"/>
              </w:rPr>
            </w:pPr>
            <w:r>
              <w:rPr>
                <w:rFonts w:ascii="Arial" w:hAnsi="Arial" w:cs="Arial"/>
                <w:color w:val="000000"/>
              </w:rPr>
              <w:t xml:space="preserve">Include dates when citing theorists. </w:t>
            </w:r>
            <w:r w:rsidR="008E46A2">
              <w:rPr>
                <w:rFonts w:ascii="Arial" w:hAnsi="Arial" w:cs="Arial"/>
                <w:color w:val="000000"/>
              </w:rPr>
              <w:t xml:space="preserve"> </w:t>
            </w:r>
          </w:p>
        </w:tc>
      </w:tr>
      <w:tr w:rsidR="00261165" w14:paraId="5A9FF554" w14:textId="77777777" w:rsidTr="00AA3F31">
        <w:trPr>
          <w:trHeight w:val="532"/>
        </w:trPr>
        <w:tc>
          <w:tcPr>
            <w:tcW w:w="1702" w:type="dxa"/>
          </w:tcPr>
          <w:p w14:paraId="7DD2C2D9" w14:textId="2BCAE5CA" w:rsidR="00261165" w:rsidRDefault="00451834" w:rsidP="00370E30">
            <w:pPr>
              <w:autoSpaceDE w:val="0"/>
              <w:autoSpaceDN w:val="0"/>
              <w:adjustRightInd w:val="0"/>
              <w:spacing w:after="158"/>
              <w:rPr>
                <w:rFonts w:ascii="Arial" w:hAnsi="Arial" w:cs="Arial"/>
                <w:color w:val="000000"/>
              </w:rPr>
            </w:pPr>
            <w:r>
              <w:rPr>
                <w:rFonts w:ascii="Arial" w:hAnsi="Arial" w:cs="Arial"/>
                <w:color w:val="000000"/>
              </w:rPr>
              <w:t>Target 2</w:t>
            </w:r>
          </w:p>
        </w:tc>
        <w:tc>
          <w:tcPr>
            <w:tcW w:w="8079" w:type="dxa"/>
          </w:tcPr>
          <w:p w14:paraId="1989E842" w14:textId="201A4EC0" w:rsidR="00261165" w:rsidRDefault="00822438" w:rsidP="00370E30">
            <w:pPr>
              <w:autoSpaceDE w:val="0"/>
              <w:autoSpaceDN w:val="0"/>
              <w:adjustRightInd w:val="0"/>
              <w:spacing w:after="158"/>
              <w:rPr>
                <w:rFonts w:ascii="Arial" w:hAnsi="Arial" w:cs="Arial"/>
                <w:color w:val="000000"/>
              </w:rPr>
            </w:pPr>
            <w:r>
              <w:rPr>
                <w:rFonts w:ascii="Arial" w:hAnsi="Arial" w:cs="Arial"/>
                <w:color w:val="000000"/>
              </w:rPr>
              <w:t xml:space="preserve">Develop the balanced viewpoint further. </w:t>
            </w:r>
          </w:p>
        </w:tc>
      </w:tr>
    </w:tbl>
    <w:p w14:paraId="6B150620" w14:textId="3952F0F8" w:rsidR="004C67EB" w:rsidRDefault="004C67EB" w:rsidP="00370E30">
      <w:pPr>
        <w:autoSpaceDE w:val="0"/>
        <w:autoSpaceDN w:val="0"/>
        <w:adjustRightInd w:val="0"/>
        <w:spacing w:after="158"/>
        <w:rPr>
          <w:rFonts w:ascii="Arial" w:hAnsi="Arial" w:cs="Arial"/>
          <w:color w:val="000000"/>
        </w:rPr>
      </w:pPr>
    </w:p>
    <w:p w14:paraId="4F021323" w14:textId="77777777" w:rsidR="000D74DD" w:rsidRDefault="000D74DD" w:rsidP="000D74DD">
      <w:pPr>
        <w:pStyle w:val="fixed"/>
        <w:spacing w:after="158"/>
        <w:rPr>
          <w:rFonts w:ascii="Arial" w:hAnsi="Arial" w:cs="Arial"/>
          <w:bCs/>
        </w:rPr>
      </w:pPr>
    </w:p>
    <w:p w14:paraId="5BD25D6D" w14:textId="49354CE6" w:rsidR="008E46A2" w:rsidRPr="000D74DD" w:rsidRDefault="000D74DD" w:rsidP="000D74DD">
      <w:pPr>
        <w:pStyle w:val="fixed"/>
        <w:spacing w:after="158"/>
        <w:rPr>
          <w:rFonts w:ascii="Arial" w:hAnsi="Arial" w:cs="Arial"/>
          <w:bCs/>
        </w:rPr>
      </w:pPr>
      <w:r>
        <w:rPr>
          <w:rFonts w:ascii="Arial" w:hAnsi="Arial" w:cs="Arial"/>
          <w:bCs/>
        </w:rPr>
        <w:t>Title: A critical analysis and evaluation of the observation research tool, ‘Leuven Scale’.</w:t>
      </w:r>
    </w:p>
    <w:p w14:paraId="3E305135" w14:textId="669A29C8" w:rsidR="008E46A2" w:rsidRPr="000D74DD" w:rsidRDefault="008E46A2" w:rsidP="00DC4C33">
      <w:pPr>
        <w:spacing w:after="158"/>
        <w:rPr>
          <w:rFonts w:ascii="Arial" w:hAnsi="Arial" w:cs="Arial"/>
          <w:color w:val="000000" w:themeColor="text1"/>
        </w:rPr>
      </w:pPr>
    </w:p>
    <w:p w14:paraId="59CBF3F6" w14:textId="0BB6D14E" w:rsidR="000D74DD" w:rsidRPr="000D74DD" w:rsidRDefault="000D74DD" w:rsidP="000D74DD">
      <w:pPr>
        <w:autoSpaceDE w:val="0"/>
        <w:autoSpaceDN w:val="0"/>
        <w:adjustRightInd w:val="0"/>
        <w:spacing w:after="158"/>
        <w:ind w:right="-720"/>
        <w:rPr>
          <w:rFonts w:ascii="Arial" w:hAnsi="Arial" w:cs="Arial"/>
          <w:color w:val="000000" w:themeColor="text1"/>
          <w:sz w:val="22"/>
          <w:szCs w:val="22"/>
        </w:rPr>
      </w:pPr>
      <w:r w:rsidRPr="000D74DD">
        <w:rPr>
          <w:rFonts w:ascii="Arial" w:hAnsi="Arial" w:cs="Arial"/>
          <w:color w:val="000000" w:themeColor="text1"/>
          <w:sz w:val="22"/>
          <w:szCs w:val="22"/>
        </w:rPr>
        <w:t xml:space="preserve">The Foundation Phase is a holistic play-based learning curriculum with a blend of practitioner-directed activities and initiated by the children (Welsh Government, 2015). It promotes the importance of outdoor environment as it provides a positive influence on the development of children’s learning, health and well-being (Welsh Government, 2014). Learning is planned to include a three-tiered model such as continuous provision, enhanced provision and focused provision where the aspects in each provision may interact with one and other e.g. activities within the focused provision may need to be increased in the continuous provision (Welsh Government Social Research, 2013). The Seven Areas of Learning holistically support outdoor learning and </w:t>
      </w:r>
      <w:proofErr w:type="gramStart"/>
      <w:r w:rsidRPr="000D74DD">
        <w:rPr>
          <w:rFonts w:ascii="Arial" w:hAnsi="Arial" w:cs="Arial"/>
          <w:color w:val="000000" w:themeColor="text1"/>
          <w:sz w:val="22"/>
          <w:szCs w:val="22"/>
        </w:rPr>
        <w:t>play, and</w:t>
      </w:r>
      <w:proofErr w:type="gramEnd"/>
      <w:r w:rsidRPr="000D74DD">
        <w:rPr>
          <w:rFonts w:ascii="Arial" w:hAnsi="Arial" w:cs="Arial"/>
          <w:color w:val="000000" w:themeColor="text1"/>
          <w:sz w:val="22"/>
          <w:szCs w:val="22"/>
        </w:rPr>
        <w:t xml:space="preserve"> create an integrated and cross-curricular approach. I chose to observe role play and to what extent the role-play environment provides opportunities for pupil involvement and learning as my research question. The importance of play is emphasised by the Welsh Government as it provides growth in children’s cognitive, emotional, physical and social development (Welsh Government, 2014). There are various forms of play alongside role-play within the Seven Areas of learning e.g. creative play, constructive play, etc. Children use their imagination to problem solve through different challenges during role-play, including using and improving their gross and fine motor skills (Jacoby-Garrett, 2018). </w:t>
      </w:r>
      <w:r>
        <w:rPr>
          <w:rFonts w:ascii="Arial" w:hAnsi="Arial" w:cs="Arial"/>
          <w:color w:val="000000" w:themeColor="text1"/>
          <w:sz w:val="22"/>
          <w:szCs w:val="22"/>
        </w:rPr>
        <w:br/>
      </w:r>
    </w:p>
    <w:p w14:paraId="3DA90AFF" w14:textId="29B6C293" w:rsidR="000D74DD" w:rsidRPr="000D74DD" w:rsidRDefault="000D74DD" w:rsidP="000D74DD">
      <w:pPr>
        <w:spacing w:after="158"/>
        <w:rPr>
          <w:rFonts w:ascii="Arial" w:hAnsi="Arial" w:cs="Arial"/>
          <w:color w:val="000000" w:themeColor="text1"/>
          <w:sz w:val="22"/>
          <w:szCs w:val="22"/>
        </w:rPr>
      </w:pPr>
      <w:r w:rsidRPr="000D74DD">
        <w:rPr>
          <w:rFonts w:ascii="Arial" w:hAnsi="Arial" w:cs="Arial"/>
          <w:color w:val="000000" w:themeColor="text1"/>
          <w:sz w:val="22"/>
          <w:szCs w:val="22"/>
        </w:rPr>
        <w:t xml:space="preserve">The pedagogy of the Foundation Phase is the holistic nature of learning, where all aspects of learning are connected and not divided into the seven areas so children are able to obtain knowledge and skills in a range of areas during one activity (Department for Children, Education, Lifelong Learning and Skills, 2008). The cross-curricular, thematic approach to teaching is promoted by the Foundation Phase to ensure the knowledge and skills of children are not restricted to one subject or area (Barnes, 2015). The United Nations Convention on the Rights of the Child (UNCRC) promotes the right that children have to play in Article 31(Children’s Commissioner for Wales, 2014). The Welsh Government advocates the value of play, such as role-play, and the positive impact it has on the children, including the contribution to the well-being of the children’s families and wider community. Welsh Government also believe that play can reduce inequality between children and reduce the negative impact that poverty can have on a child’s life (Welsh Government, 2014). Children’s personal relationships, community behaviour, academic aspirations, emotional issues and their negotiation strategies are positively developed through engaging in play </w:t>
      </w:r>
      <w:r w:rsidRPr="000D74DD">
        <w:rPr>
          <w:rFonts w:ascii="Arial" w:hAnsi="Arial" w:cs="Arial"/>
          <w:color w:val="000000" w:themeColor="text1"/>
          <w:sz w:val="22"/>
          <w:szCs w:val="22"/>
          <w:shd w:val="clear" w:color="auto" w:fill="FFFFFF"/>
        </w:rPr>
        <w:t>(Walsh, McMillan and McGuinness, 2017)</w:t>
      </w:r>
      <w:r w:rsidRPr="000D74DD">
        <w:rPr>
          <w:rFonts w:ascii="Arial" w:hAnsi="Arial" w:cs="Arial"/>
          <w:color w:val="000000" w:themeColor="text1"/>
          <w:sz w:val="22"/>
          <w:szCs w:val="22"/>
        </w:rPr>
        <w:t xml:space="preserve">. Play has been found to allow children to develop their social, emotional, physical and cognitive perspectives, as children are able to verbally cooperate with other peers, problem solve and set goals </w:t>
      </w:r>
      <w:r w:rsidRPr="000D74DD">
        <w:rPr>
          <w:rFonts w:ascii="Arial" w:hAnsi="Arial" w:cs="Arial"/>
          <w:color w:val="000000" w:themeColor="text1"/>
          <w:sz w:val="22"/>
          <w:szCs w:val="22"/>
          <w:shd w:val="clear" w:color="auto" w:fill="FFFFFF"/>
        </w:rPr>
        <w:t>(Huisman, 2014</w:t>
      </w:r>
      <w:r w:rsidRPr="000D74DD">
        <w:rPr>
          <w:rFonts w:ascii="Arial" w:hAnsi="Arial" w:cs="Arial"/>
          <w:color w:val="000000" w:themeColor="text1"/>
          <w:sz w:val="22"/>
          <w:szCs w:val="22"/>
        </w:rPr>
        <w:t xml:space="preserve">, p. 466 - 467). However, it is believed that play does not necessarily promote the metacognitive and cognitive process in children, and a more traditional formal approach to learning enhances the cognitive and intellectual behaviour of children further </w:t>
      </w:r>
      <w:r w:rsidRPr="000D74DD">
        <w:rPr>
          <w:rFonts w:ascii="Arial" w:hAnsi="Arial" w:cs="Arial"/>
          <w:color w:val="000000" w:themeColor="text1"/>
          <w:sz w:val="22"/>
          <w:szCs w:val="22"/>
          <w:shd w:val="clear" w:color="auto" w:fill="FFFFFF"/>
        </w:rPr>
        <w:t>(Walsh, McMillan and McGuinness, 2017)</w:t>
      </w:r>
      <w:r w:rsidRPr="000D74DD">
        <w:rPr>
          <w:rFonts w:ascii="Arial" w:hAnsi="Arial" w:cs="Arial"/>
          <w:color w:val="000000" w:themeColor="text1"/>
          <w:sz w:val="22"/>
          <w:szCs w:val="22"/>
        </w:rPr>
        <w:t xml:space="preserve">. Learning is most effective when children are given </w:t>
      </w:r>
      <w:r w:rsidRPr="000D74DD">
        <w:rPr>
          <w:rFonts w:ascii="Arial" w:hAnsi="Arial" w:cs="Arial"/>
          <w:color w:val="000000" w:themeColor="text1"/>
          <w:sz w:val="22"/>
          <w:szCs w:val="22"/>
        </w:rPr>
        <w:lastRenderedPageBreak/>
        <w:t xml:space="preserve">time to play without interruptions with first-hand experiences where they are able to follow their own interests and ideas (Department for Children, Education, Lifelong Learning and Skills, 2008). </w:t>
      </w:r>
      <w:proofErr w:type="spellStart"/>
      <w:r w:rsidRPr="000D74DD">
        <w:rPr>
          <w:rFonts w:ascii="Arial" w:hAnsi="Arial" w:cs="Arial"/>
          <w:color w:val="000000" w:themeColor="text1"/>
          <w:sz w:val="22"/>
          <w:szCs w:val="22"/>
        </w:rPr>
        <w:t>Ferre</w:t>
      </w:r>
      <w:proofErr w:type="spellEnd"/>
      <w:r w:rsidRPr="000D74DD">
        <w:rPr>
          <w:rFonts w:ascii="Arial" w:hAnsi="Arial" w:cs="Arial"/>
          <w:color w:val="000000" w:themeColor="text1"/>
          <w:sz w:val="22"/>
          <w:szCs w:val="22"/>
        </w:rPr>
        <w:t xml:space="preserve"> </w:t>
      </w:r>
      <w:proofErr w:type="spellStart"/>
      <w:r w:rsidRPr="000D74DD">
        <w:rPr>
          <w:rFonts w:ascii="Arial" w:hAnsi="Arial" w:cs="Arial"/>
          <w:color w:val="000000" w:themeColor="text1"/>
          <w:sz w:val="22"/>
          <w:szCs w:val="22"/>
        </w:rPr>
        <w:t>Laevers</w:t>
      </w:r>
      <w:proofErr w:type="spellEnd"/>
      <w:r w:rsidRPr="000D74DD">
        <w:rPr>
          <w:rFonts w:ascii="Arial" w:hAnsi="Arial" w:cs="Arial"/>
          <w:color w:val="000000" w:themeColor="text1"/>
          <w:sz w:val="22"/>
          <w:szCs w:val="22"/>
        </w:rPr>
        <w:t xml:space="preserve"> also believes the levels of involvement increase when children have the independence to select the activities that interest them (</w:t>
      </w:r>
      <w:proofErr w:type="spellStart"/>
      <w:r w:rsidRPr="000D74DD">
        <w:rPr>
          <w:rFonts w:ascii="Arial" w:hAnsi="Arial" w:cs="Arial"/>
          <w:color w:val="000000" w:themeColor="text1"/>
          <w:sz w:val="22"/>
          <w:szCs w:val="22"/>
        </w:rPr>
        <w:t>Laevers</w:t>
      </w:r>
      <w:proofErr w:type="spellEnd"/>
      <w:r w:rsidRPr="000D74DD">
        <w:rPr>
          <w:rFonts w:ascii="Arial" w:hAnsi="Arial" w:cs="Arial"/>
          <w:color w:val="000000" w:themeColor="text1"/>
          <w:sz w:val="22"/>
          <w:szCs w:val="22"/>
        </w:rPr>
        <w:t xml:space="preserve">, 1994). Friedrich Froebel (1782–1852) stated that through play children discover how things work and gain understanding of the world, however the play needs to be purposeful to provide the children with materials to develop, emphasising on the classroom environment (Bruce, 2012). Maria Montessori (1870 - 1952) believed that the classroom environment should be designed for the children to meet their developmental needs individually and make creative choices. However, Montessori did highlight the important role of the teacher to observe in order to establish those developmental needs (Isaacs, 2007). Play has not been seen as a factor for learning as some claim it purely uses children’s excess energy </w:t>
      </w:r>
      <w:r w:rsidRPr="000D74DD">
        <w:rPr>
          <w:rFonts w:ascii="Arial" w:hAnsi="Arial" w:cs="Arial"/>
          <w:color w:val="000000" w:themeColor="text1"/>
          <w:sz w:val="22"/>
          <w:szCs w:val="22"/>
          <w:shd w:val="clear" w:color="auto" w:fill="FFFFFF"/>
        </w:rPr>
        <w:t>(Briggs and Hansen, 2012)</w:t>
      </w:r>
      <w:r w:rsidRPr="000D74DD">
        <w:rPr>
          <w:rFonts w:ascii="Arial" w:hAnsi="Arial" w:cs="Arial"/>
          <w:color w:val="000000" w:themeColor="text1"/>
          <w:sz w:val="22"/>
          <w:szCs w:val="22"/>
        </w:rPr>
        <w:t xml:space="preserve">, and research has shown play as not holding any real value due to the lack of depth and challenge by practitioners to provide effective play for learning </w:t>
      </w:r>
      <w:r w:rsidRPr="000D74DD">
        <w:rPr>
          <w:rFonts w:ascii="Arial" w:hAnsi="Arial" w:cs="Arial"/>
          <w:color w:val="000000" w:themeColor="text1"/>
          <w:sz w:val="22"/>
          <w:szCs w:val="22"/>
          <w:shd w:val="clear" w:color="auto" w:fill="FFFFFF"/>
        </w:rPr>
        <w:t>(Walsh, McMillan and McGuinness, 2017)</w:t>
      </w:r>
      <w:r w:rsidRPr="000D74DD">
        <w:rPr>
          <w:rFonts w:ascii="Arial" w:hAnsi="Arial" w:cs="Arial"/>
          <w:color w:val="000000" w:themeColor="text1"/>
          <w:sz w:val="22"/>
          <w:szCs w:val="22"/>
        </w:rPr>
        <w:t>. The Welsh Assembly Government encourages practitioners to plan the learning environment very carefully using the Play/Active Learning document for guidance to provide stimulating resources. Children should also be involved in planning and setting up the areas of play both indoors and outdoors to provide them with ownership of their learning and prompt involvement (Department for Children, Education, Lifelong Learning and Skills, 2008). An example of good practice of learning through play is by a Primary School which will be referred to as School X. School X organised a practice called ‘Over To You Time’ where the children decide the topics they would like to study, the practitioners plan the skills they need to complete and provide the children with a choice of activities to complete those skills. The children have the flexibility of choosing when they want to play between the indoors and outdoors. This independent learning through play allows the children to practise and consolidate their skills. Through this practice of learning through play the children have become confident, ambitious learners and have strongly developed their personal and social skills (Estyn, 2019).</w:t>
      </w:r>
      <w:r>
        <w:rPr>
          <w:rFonts w:ascii="Arial" w:hAnsi="Arial" w:cs="Arial"/>
          <w:color w:val="000000" w:themeColor="text1"/>
          <w:sz w:val="22"/>
          <w:szCs w:val="22"/>
        </w:rPr>
        <w:br/>
      </w:r>
    </w:p>
    <w:p w14:paraId="3B77A5C7" w14:textId="0E3C7E15" w:rsidR="000D74DD" w:rsidRPr="000D74DD" w:rsidRDefault="000D74DD" w:rsidP="000D74DD">
      <w:pPr>
        <w:spacing w:after="158"/>
        <w:rPr>
          <w:color w:val="000000" w:themeColor="text1"/>
          <w:sz w:val="22"/>
          <w:szCs w:val="22"/>
        </w:rPr>
      </w:pPr>
      <w:r w:rsidRPr="000D74DD">
        <w:rPr>
          <w:rFonts w:ascii="Arial" w:hAnsi="Arial" w:cs="Arial"/>
          <w:color w:val="000000" w:themeColor="text1"/>
          <w:sz w:val="22"/>
          <w:szCs w:val="22"/>
        </w:rPr>
        <w:t xml:space="preserve">I chose to observe a group of children in the role-play area </w:t>
      </w:r>
      <w:r w:rsidRPr="000D74DD">
        <w:rPr>
          <w:rFonts w:ascii="Arial" w:hAnsi="Arial" w:cs="Arial"/>
          <w:color w:val="000000" w:themeColor="text1"/>
          <w:sz w:val="22"/>
          <w:szCs w:val="22"/>
          <w:shd w:val="clear" w:color="auto" w:fill="FFFFFF"/>
        </w:rPr>
        <w:t>(Department for Education, 2011)</w:t>
      </w:r>
      <w:r w:rsidRPr="000D74DD">
        <w:rPr>
          <w:rFonts w:ascii="Arial" w:hAnsi="Arial" w:cs="Arial"/>
          <w:color w:val="000000" w:themeColor="text1"/>
          <w:sz w:val="22"/>
          <w:szCs w:val="22"/>
        </w:rPr>
        <w:t>,</w:t>
      </w:r>
      <w:r w:rsidRPr="000D74DD">
        <w:rPr>
          <w:color w:val="000000" w:themeColor="text1"/>
          <w:sz w:val="22"/>
          <w:szCs w:val="22"/>
        </w:rPr>
        <w:t xml:space="preserve"> </w:t>
      </w:r>
      <w:r w:rsidRPr="000D74DD">
        <w:rPr>
          <w:rFonts w:ascii="Arial" w:hAnsi="Arial" w:cs="Arial"/>
          <w:color w:val="000000" w:themeColor="text1"/>
          <w:sz w:val="22"/>
          <w:szCs w:val="22"/>
        </w:rPr>
        <w:t xml:space="preserve">as observation within a classroom plays a critical role to provide teachers with feedback to improve their </w:t>
      </w:r>
      <w:proofErr w:type="gramStart"/>
      <w:r w:rsidRPr="000D74DD">
        <w:rPr>
          <w:rFonts w:ascii="Arial" w:hAnsi="Arial" w:cs="Arial"/>
          <w:color w:val="000000" w:themeColor="text1"/>
          <w:sz w:val="22"/>
          <w:szCs w:val="22"/>
        </w:rPr>
        <w:t>practice, and</w:t>
      </w:r>
      <w:proofErr w:type="gramEnd"/>
      <w:r w:rsidRPr="000D74DD">
        <w:rPr>
          <w:rFonts w:ascii="Arial" w:hAnsi="Arial" w:cs="Arial"/>
          <w:color w:val="000000" w:themeColor="text1"/>
          <w:sz w:val="22"/>
          <w:szCs w:val="22"/>
        </w:rPr>
        <w:t xml:space="preserve"> inspires colleagues to collaborate and discuss findings </w:t>
      </w:r>
      <w:r w:rsidRPr="000D74DD">
        <w:rPr>
          <w:rFonts w:ascii="Arial" w:hAnsi="Arial" w:cs="Arial"/>
          <w:color w:val="000000" w:themeColor="text1"/>
          <w:sz w:val="22"/>
          <w:szCs w:val="22"/>
          <w:shd w:val="clear" w:color="auto" w:fill="FFFFFF"/>
        </w:rPr>
        <w:t>(Halim, Wahid and Halim, 2018)</w:t>
      </w:r>
      <w:r w:rsidRPr="000D74DD">
        <w:rPr>
          <w:rFonts w:ascii="Arial" w:hAnsi="Arial" w:cs="Arial"/>
          <w:color w:val="000000" w:themeColor="text1"/>
          <w:sz w:val="22"/>
          <w:szCs w:val="22"/>
        </w:rPr>
        <w:t xml:space="preserve">. Observation allows practitioners to plan a curriculum to support the developmental needs of individual learners by observing their involvement, enjoyment and progress. Practitioners will know the strengths and needs of an individual child to identify a plan for their progress through observation (Department for Children, Education, Lifelong Learning and Skills, 2008). However, there are limitations to observation, such as children behaving in a different manner due to being observed which could result in unreliable data </w:t>
      </w:r>
      <w:r w:rsidRPr="000D74DD">
        <w:rPr>
          <w:rFonts w:ascii="Arial" w:hAnsi="Arial" w:cs="Arial"/>
          <w:color w:val="000000" w:themeColor="text1"/>
          <w:sz w:val="22"/>
          <w:szCs w:val="22"/>
          <w:shd w:val="clear" w:color="auto" w:fill="FFFFFF"/>
        </w:rPr>
        <w:t>(Halim, Wahid and Halim, 2018).</w:t>
      </w:r>
      <w:r w:rsidRPr="000D74DD">
        <w:rPr>
          <w:rFonts w:ascii="Arial" w:hAnsi="Arial" w:cs="Arial"/>
          <w:color w:val="000000" w:themeColor="text1"/>
          <w:sz w:val="22"/>
          <w:szCs w:val="22"/>
        </w:rPr>
        <w:t xml:space="preserve"> The results may not represent reality as the observation is interpreted through the observer who may have bias views, and what is being measured will be influenced by the process of collecting the data (NSW Government, 2019). I had planned my observation using the Leuven Scale observation schedule, including well-being and involvement as shown in Appendix 1. I observed three children in the role play area every minute for almost four minutes. The purpose of my observation was to evaluate the extent of the role-play environment on providing opportunities for pupil involvement and learning.  Using the Leuven Scale allowed me to monitor the involvement that role-play offers children as shown in my completed observation in Appendix 2. In my planning, I wanted to observe the children every minute looking very closely to score their involvement and provide a numerical value of their overall score, as this would provide me with a definite focus to answering my research question. However, as this was a one-off observation, there is not enough evidence to support my research question as children change over time and their well-being and involvement levels may be different the </w:t>
      </w:r>
      <w:r w:rsidRPr="000D74DD">
        <w:rPr>
          <w:rFonts w:ascii="Arial" w:hAnsi="Arial" w:cs="Arial"/>
          <w:color w:val="000000" w:themeColor="text1"/>
          <w:sz w:val="22"/>
          <w:szCs w:val="22"/>
        </w:rPr>
        <w:lastRenderedPageBreak/>
        <w:t xml:space="preserve">following day or week, therefore the Leuven Scale observations need to be carried out over a period of a few weeks. High levels of well-being in children alongside completing a task does not always mean the children are being challenged and deep learning is taking place. The Leuven Scale is best used to make useful assessments of targeted children that are of concern e.g. focusing on children with lower levels of involvement or well-being to understand the reasoning of these levels </w:t>
      </w:r>
      <w:r w:rsidRPr="000D74DD">
        <w:rPr>
          <w:rFonts w:ascii="Arial" w:hAnsi="Arial" w:cs="Arial"/>
          <w:color w:val="000000" w:themeColor="text1"/>
          <w:sz w:val="22"/>
          <w:szCs w:val="22"/>
          <w:shd w:val="clear" w:color="auto" w:fill="FFFFFF"/>
        </w:rPr>
        <w:t>(</w:t>
      </w:r>
      <w:proofErr w:type="spellStart"/>
      <w:r w:rsidRPr="000D74DD">
        <w:rPr>
          <w:rFonts w:ascii="Arial" w:hAnsi="Arial" w:cs="Arial"/>
          <w:color w:val="000000" w:themeColor="text1"/>
          <w:sz w:val="22"/>
          <w:szCs w:val="22"/>
          <w:shd w:val="clear" w:color="auto" w:fill="FFFFFF"/>
        </w:rPr>
        <w:t>Laevers</w:t>
      </w:r>
      <w:proofErr w:type="spellEnd"/>
      <w:r w:rsidRPr="000D74DD">
        <w:rPr>
          <w:rFonts w:ascii="Arial" w:hAnsi="Arial" w:cs="Arial"/>
          <w:color w:val="000000" w:themeColor="text1"/>
          <w:sz w:val="22"/>
          <w:szCs w:val="22"/>
          <w:shd w:val="clear" w:color="auto" w:fill="FFFFFF"/>
        </w:rPr>
        <w:t>, 2011).</w:t>
      </w:r>
      <w:r w:rsidRPr="000D74DD">
        <w:rPr>
          <w:rFonts w:ascii="Arial" w:hAnsi="Arial" w:cs="Arial"/>
          <w:color w:val="000000" w:themeColor="text1"/>
          <w:sz w:val="22"/>
          <w:szCs w:val="22"/>
        </w:rPr>
        <w:t xml:space="preserve"> This will allow the observer to assess if the child’s needs are being met during an activity, and to make changes if needs be e.g. identifying the child’s interest and change the environment, provide activities that allow children to express their feelings and emotions, etc.</w:t>
      </w:r>
      <w:r>
        <w:rPr>
          <w:color w:val="000000" w:themeColor="text1"/>
          <w:sz w:val="22"/>
          <w:szCs w:val="22"/>
        </w:rPr>
        <w:br/>
      </w:r>
    </w:p>
    <w:p w14:paraId="781F9C3B" w14:textId="77777777" w:rsidR="000D74DD" w:rsidRPr="000D74DD" w:rsidRDefault="000D74DD" w:rsidP="000D74DD">
      <w:pPr>
        <w:spacing w:after="158"/>
        <w:rPr>
          <w:rFonts w:ascii="Arial" w:hAnsi="Arial" w:cs="Arial"/>
          <w:color w:val="000000" w:themeColor="text1"/>
          <w:sz w:val="22"/>
          <w:szCs w:val="22"/>
        </w:rPr>
      </w:pPr>
      <w:r w:rsidRPr="000D74DD">
        <w:rPr>
          <w:rFonts w:ascii="Arial" w:hAnsi="Arial" w:cs="Arial"/>
          <w:color w:val="000000" w:themeColor="text1"/>
          <w:sz w:val="22"/>
          <w:szCs w:val="22"/>
        </w:rPr>
        <w:t xml:space="preserve">Educational research must be ethically conducted to benefit and minimise risk of harm. Research ethics strengthen the quality of the research and protects the participants of their rights and welfare, etc. (University of Wales Trinity Saint David, 2017) The British Educational Research Association (BERA) provides guidelines stating the responsibility of researchers. Due to undertaking my observation through video, I was unable to seek informed consent. If I was to conduct this research within the school environment, I would have gained approval of those responsible for the children through providing a consent form </w:t>
      </w:r>
      <w:r w:rsidRPr="000D74DD">
        <w:rPr>
          <w:rFonts w:ascii="Arial" w:hAnsi="Arial" w:cs="Arial"/>
          <w:color w:val="000000" w:themeColor="text1"/>
          <w:sz w:val="22"/>
          <w:szCs w:val="22"/>
          <w:shd w:val="clear" w:color="auto" w:fill="FFFFFF"/>
        </w:rPr>
        <w:t>(</w:t>
      </w:r>
      <w:proofErr w:type="spellStart"/>
      <w:r w:rsidRPr="000D74DD">
        <w:rPr>
          <w:rFonts w:ascii="Arial" w:hAnsi="Arial" w:cs="Arial"/>
          <w:color w:val="000000" w:themeColor="text1"/>
          <w:sz w:val="22"/>
          <w:szCs w:val="22"/>
          <w:shd w:val="clear" w:color="auto" w:fill="FFFFFF"/>
        </w:rPr>
        <w:t>Ramrathan</w:t>
      </w:r>
      <w:proofErr w:type="spellEnd"/>
      <w:r w:rsidRPr="000D74DD">
        <w:rPr>
          <w:rFonts w:ascii="Arial" w:hAnsi="Arial" w:cs="Arial"/>
          <w:color w:val="000000" w:themeColor="text1"/>
          <w:sz w:val="22"/>
          <w:szCs w:val="22"/>
          <w:shd w:val="clear" w:color="auto" w:fill="FFFFFF"/>
        </w:rPr>
        <w:t>, Le Grange and Higgs, 2017)</w:t>
      </w:r>
      <w:r w:rsidRPr="000D74DD">
        <w:rPr>
          <w:rFonts w:ascii="Arial" w:hAnsi="Arial" w:cs="Arial"/>
          <w:color w:val="000000" w:themeColor="text1"/>
          <w:sz w:val="22"/>
          <w:szCs w:val="22"/>
        </w:rPr>
        <w:t xml:space="preserve">. This consent form would include information on the research, why it is required and what happens with the findings. I would also provide ways for the children to be supported with assent to participate in the research such as the use of different coloured aprons that they could remove if they no longer wanted to participate in the research, or the use of stickers. During the research, children may wish to withdraw, and they have the right to do so, if this occurred, I would accept and respect this decision, as persuading the children to re-engage should be taken with care (BERA, 2018). The participant’s right to privacy is protected through confidentiality and anonymity </w:t>
      </w:r>
      <w:r w:rsidRPr="000D74DD">
        <w:rPr>
          <w:rFonts w:ascii="Arial" w:hAnsi="Arial" w:cs="Arial"/>
          <w:color w:val="000000" w:themeColor="text1"/>
          <w:sz w:val="22"/>
          <w:szCs w:val="22"/>
          <w:shd w:val="clear" w:color="auto" w:fill="FFFFFF"/>
        </w:rPr>
        <w:t>(Cohen, Manion and Morrison, 2007)</w:t>
      </w:r>
      <w:r w:rsidRPr="000D74DD">
        <w:rPr>
          <w:rFonts w:ascii="Arial" w:hAnsi="Arial" w:cs="Arial"/>
          <w:color w:val="000000" w:themeColor="text1"/>
          <w:sz w:val="22"/>
          <w:szCs w:val="22"/>
        </w:rPr>
        <w:t xml:space="preserve">. In order to protect my participants, during my observation I avoided collecting identifying information such as the names of the children, and took reasonable precautions to avoid identification in my writing e.g. I used Child 1, Child 2 etc. During research, I will always be mindful of the social relationships, specifically those formed during the research and the ways in which structural inequalities may affect these. The data I have collected during my research will be used, kept and stored securely following the General Data Protection Regulation (GDPR). My observation took place indoors, in the ‘travel agent’ role play area. I had used my observation schedule which included the Leuven Scale for well-being and involvement to score each child. The observation has allowed me to answer my research question to an extent, however, further research methods should be taken into account to strengthen the findings for this question. I would suggest using the Leuven Scale over a period of time on different focus groups to provide a true reading, or the use of case studies, interview or an experiment. Role-play did provide learning and involvement to the children where they were able to enhance their communication skills with different vocabulary. Each child had their own role and was aware of what they needed to say or do, however, in this case, some children may not have seemed to be involved, but as their role, for example, was the administrator, they would wait for confirmation from the travel agent arranging the booking to complete the confirmation ticket. This was a difficult part of the observation, as the child was involved in role-play, but as they were waiting for instructions, it may seem like involvement levels were low. The children developed their spelling, writing and problem-solving skills. Role-play offered the opportunity for children to negotiate and come to an </w:t>
      </w:r>
      <w:proofErr w:type="gramStart"/>
      <w:r w:rsidRPr="000D74DD">
        <w:rPr>
          <w:rFonts w:ascii="Arial" w:hAnsi="Arial" w:cs="Arial"/>
          <w:color w:val="000000" w:themeColor="text1"/>
          <w:sz w:val="22"/>
          <w:szCs w:val="22"/>
        </w:rPr>
        <w:t>agreement, and</w:t>
      </w:r>
      <w:proofErr w:type="gramEnd"/>
      <w:r w:rsidRPr="000D74DD">
        <w:rPr>
          <w:rFonts w:ascii="Arial" w:hAnsi="Arial" w:cs="Arial"/>
          <w:color w:val="000000" w:themeColor="text1"/>
          <w:sz w:val="22"/>
          <w:szCs w:val="22"/>
        </w:rPr>
        <w:t xml:space="preserve"> develop their thinking skills to make choices which are valuable skills for life.</w:t>
      </w:r>
    </w:p>
    <w:p w14:paraId="6FB97493" w14:textId="77777777" w:rsidR="000D74DD" w:rsidRPr="000D74DD" w:rsidRDefault="000D74DD" w:rsidP="000D74DD">
      <w:pPr>
        <w:autoSpaceDE w:val="0"/>
        <w:autoSpaceDN w:val="0"/>
        <w:adjustRightInd w:val="0"/>
        <w:spacing w:after="158"/>
        <w:ind w:right="-720"/>
        <w:rPr>
          <w:rFonts w:ascii="Arial" w:hAnsi="Arial" w:cs="Arial"/>
          <w:color w:val="000000" w:themeColor="text1"/>
          <w:sz w:val="22"/>
          <w:szCs w:val="22"/>
        </w:rPr>
      </w:pPr>
    </w:p>
    <w:p w14:paraId="38BA1008" w14:textId="77777777" w:rsidR="000D74DD" w:rsidRPr="000D74DD" w:rsidRDefault="000D74DD" w:rsidP="000D74DD">
      <w:pPr>
        <w:autoSpaceDE w:val="0"/>
        <w:autoSpaceDN w:val="0"/>
        <w:adjustRightInd w:val="0"/>
        <w:spacing w:after="158"/>
        <w:ind w:right="-720"/>
        <w:rPr>
          <w:rFonts w:ascii="Arial" w:hAnsi="Arial" w:cs="Arial"/>
          <w:color w:val="000000" w:themeColor="text1"/>
          <w:sz w:val="22"/>
          <w:szCs w:val="22"/>
        </w:rPr>
      </w:pPr>
      <w:r w:rsidRPr="000D74DD">
        <w:rPr>
          <w:rFonts w:ascii="Arial" w:hAnsi="Arial" w:cs="Arial"/>
          <w:color w:val="000000" w:themeColor="text1"/>
          <w:sz w:val="22"/>
          <w:szCs w:val="22"/>
        </w:rPr>
        <w:t xml:space="preserve">The literature review and the observation has strengthened my view on the impact that role-play has on involvement and well-being. However, there are things to consider such as the classroom environment. </w:t>
      </w:r>
      <w:r w:rsidRPr="000D74DD">
        <w:rPr>
          <w:rFonts w:ascii="Arial" w:hAnsi="Arial" w:cs="Arial"/>
          <w:color w:val="000000" w:themeColor="text1"/>
          <w:sz w:val="22"/>
          <w:szCs w:val="22"/>
        </w:rPr>
        <w:lastRenderedPageBreak/>
        <w:t>Pupil voice should be used in order to gain an understanding of the children’s interests which has proven to increase the involvement and learning through play. However, I do believe other research methods should be used to strengthen the findings of this research question as previously stated. I will be using educational research throughout my practice as it has been shown to expand and enrich practitioners’ skills. Education research allows practitioners to focus on a specific area and evaluate it. The focus of the research will shape the research question and lead to different methods, projects and answers (Evans, 2020). I would like to expand my knowledge on mindfulness and evaluate the use of it in schools. Studies are showing mental health is on the rise in young people (Mental Health Foundation, 2016), and I would like to conduct a research on whether mindfulness as part of a daily activity will help to manage stress and anxiety to help children thrive. I would like to do an observation on two different focused groups, one group participating in mindfulness daily, and the other group who do not participate in any mindfulness. I would evaluate the different levels of involvement and well-being through the use of the Leuven Scale. I would also like to interview the children who participate in mindfulness and ask how they feel before and after, and if they feel mindfulness improves their overall well-being.</w:t>
      </w:r>
    </w:p>
    <w:p w14:paraId="4341D099" w14:textId="77777777" w:rsidR="000D74DD" w:rsidRPr="000D74DD" w:rsidRDefault="000D74DD" w:rsidP="00DC4C33">
      <w:pPr>
        <w:spacing w:after="158"/>
        <w:rPr>
          <w:rFonts w:ascii="Arial" w:hAnsi="Arial" w:cs="Arial"/>
          <w:color w:val="000000" w:themeColor="text1"/>
        </w:rPr>
      </w:pPr>
    </w:p>
    <w:p w14:paraId="74045ED7" w14:textId="66B74FC5" w:rsidR="008E46A2" w:rsidRPr="00DC4C33" w:rsidRDefault="008E46A2" w:rsidP="00DC4C33">
      <w:pPr>
        <w:spacing w:after="158"/>
        <w:rPr>
          <w:rFonts w:ascii="Arial" w:hAnsi="Arial" w:cs="Arial"/>
          <w:color w:val="191C1F"/>
        </w:rPr>
      </w:pPr>
    </w:p>
    <w:p w14:paraId="217C278A" w14:textId="33058CFC" w:rsidR="008E46A2" w:rsidRDefault="008E46A2" w:rsidP="00A42C78">
      <w:pPr>
        <w:spacing w:after="158"/>
        <w:rPr>
          <w:rFonts w:ascii="Arial" w:hAnsi="Arial" w:cs="Arial"/>
          <w:color w:val="191C1F"/>
        </w:rPr>
      </w:pPr>
    </w:p>
    <w:p w14:paraId="76FE6DB2" w14:textId="6781A2DD" w:rsidR="008E46A2" w:rsidRDefault="008E46A2" w:rsidP="00A42C78">
      <w:pPr>
        <w:spacing w:after="158"/>
        <w:rPr>
          <w:rFonts w:ascii="Arial" w:hAnsi="Arial" w:cs="Arial"/>
          <w:color w:val="191C1F"/>
        </w:rPr>
      </w:pPr>
    </w:p>
    <w:p w14:paraId="7351DF4F" w14:textId="26F0D08A" w:rsidR="000D74DD" w:rsidRDefault="000D74DD" w:rsidP="00A42C78">
      <w:pPr>
        <w:spacing w:after="158"/>
        <w:rPr>
          <w:rFonts w:ascii="Arial" w:hAnsi="Arial" w:cs="Arial"/>
          <w:color w:val="191C1F"/>
        </w:rPr>
      </w:pPr>
    </w:p>
    <w:p w14:paraId="7F7CF4E7" w14:textId="77CC39A6" w:rsidR="000D74DD" w:rsidRDefault="000D74DD" w:rsidP="00A42C78">
      <w:pPr>
        <w:spacing w:after="158"/>
        <w:rPr>
          <w:rFonts w:ascii="Arial" w:hAnsi="Arial" w:cs="Arial"/>
          <w:color w:val="191C1F"/>
        </w:rPr>
      </w:pPr>
    </w:p>
    <w:p w14:paraId="70CC9FB2" w14:textId="75175C62" w:rsidR="000D74DD" w:rsidRDefault="000D74DD" w:rsidP="00A42C78">
      <w:pPr>
        <w:spacing w:after="158"/>
        <w:rPr>
          <w:rFonts w:ascii="Arial" w:hAnsi="Arial" w:cs="Arial"/>
          <w:color w:val="191C1F"/>
        </w:rPr>
      </w:pPr>
    </w:p>
    <w:p w14:paraId="1C400B06" w14:textId="5FF39C8D" w:rsidR="000D74DD" w:rsidRDefault="000D74DD" w:rsidP="00A42C78">
      <w:pPr>
        <w:spacing w:after="158"/>
        <w:rPr>
          <w:rFonts w:ascii="Arial" w:hAnsi="Arial" w:cs="Arial"/>
          <w:color w:val="191C1F"/>
        </w:rPr>
      </w:pPr>
    </w:p>
    <w:p w14:paraId="1FC9AFFB" w14:textId="1770F319" w:rsidR="000D74DD" w:rsidRDefault="000D74DD" w:rsidP="00A42C78">
      <w:pPr>
        <w:spacing w:after="158"/>
        <w:rPr>
          <w:rFonts w:ascii="Arial" w:hAnsi="Arial" w:cs="Arial"/>
          <w:color w:val="191C1F"/>
        </w:rPr>
      </w:pPr>
    </w:p>
    <w:p w14:paraId="632AC16C" w14:textId="7A4B470A" w:rsidR="000D74DD" w:rsidRDefault="000D74DD" w:rsidP="00A42C78">
      <w:pPr>
        <w:spacing w:after="158"/>
        <w:rPr>
          <w:rFonts w:ascii="Arial" w:hAnsi="Arial" w:cs="Arial"/>
          <w:color w:val="191C1F"/>
        </w:rPr>
      </w:pPr>
    </w:p>
    <w:p w14:paraId="34F13FAC" w14:textId="262478D6" w:rsidR="000D74DD" w:rsidRDefault="000D74DD" w:rsidP="00A42C78">
      <w:pPr>
        <w:spacing w:after="158"/>
        <w:rPr>
          <w:rFonts w:ascii="Arial" w:hAnsi="Arial" w:cs="Arial"/>
          <w:color w:val="191C1F"/>
        </w:rPr>
      </w:pPr>
    </w:p>
    <w:p w14:paraId="603C6AEE" w14:textId="08DF075A" w:rsidR="000D74DD" w:rsidRDefault="000D74DD" w:rsidP="00A42C78">
      <w:pPr>
        <w:spacing w:after="158"/>
        <w:rPr>
          <w:rFonts w:ascii="Arial" w:hAnsi="Arial" w:cs="Arial"/>
          <w:color w:val="191C1F"/>
        </w:rPr>
      </w:pPr>
    </w:p>
    <w:p w14:paraId="6F29C7D5" w14:textId="30E422CD" w:rsidR="000D74DD" w:rsidRDefault="000D74DD" w:rsidP="00A42C78">
      <w:pPr>
        <w:spacing w:after="158"/>
        <w:rPr>
          <w:rFonts w:ascii="Arial" w:hAnsi="Arial" w:cs="Arial"/>
          <w:color w:val="191C1F"/>
        </w:rPr>
      </w:pPr>
    </w:p>
    <w:p w14:paraId="3B17E605" w14:textId="1EE0159A" w:rsidR="000D74DD" w:rsidRDefault="000D74DD" w:rsidP="00A42C78">
      <w:pPr>
        <w:spacing w:after="158"/>
        <w:rPr>
          <w:rFonts w:ascii="Arial" w:hAnsi="Arial" w:cs="Arial"/>
          <w:color w:val="191C1F"/>
        </w:rPr>
      </w:pPr>
    </w:p>
    <w:p w14:paraId="15A968E0" w14:textId="1F290822" w:rsidR="000D74DD" w:rsidRDefault="000D74DD" w:rsidP="00A42C78">
      <w:pPr>
        <w:spacing w:after="158"/>
        <w:rPr>
          <w:rFonts w:ascii="Arial" w:hAnsi="Arial" w:cs="Arial"/>
          <w:color w:val="191C1F"/>
        </w:rPr>
      </w:pPr>
    </w:p>
    <w:p w14:paraId="0429C105" w14:textId="50DE86ED" w:rsidR="000D74DD" w:rsidRDefault="000D74DD" w:rsidP="00A42C78">
      <w:pPr>
        <w:spacing w:after="158"/>
        <w:rPr>
          <w:rFonts w:ascii="Arial" w:hAnsi="Arial" w:cs="Arial"/>
          <w:color w:val="191C1F"/>
        </w:rPr>
      </w:pPr>
    </w:p>
    <w:p w14:paraId="03EB0F16" w14:textId="6BAE826D" w:rsidR="000D74DD" w:rsidRDefault="000D74DD" w:rsidP="00A42C78">
      <w:pPr>
        <w:spacing w:after="158"/>
        <w:rPr>
          <w:rFonts w:ascii="Arial" w:hAnsi="Arial" w:cs="Arial"/>
          <w:color w:val="191C1F"/>
        </w:rPr>
      </w:pPr>
    </w:p>
    <w:p w14:paraId="20CE7BB9" w14:textId="2C6D1FE1" w:rsidR="000D74DD" w:rsidRDefault="000D74DD" w:rsidP="00A42C78">
      <w:pPr>
        <w:spacing w:after="158"/>
        <w:rPr>
          <w:rFonts w:ascii="Arial" w:hAnsi="Arial" w:cs="Arial"/>
          <w:color w:val="191C1F"/>
        </w:rPr>
      </w:pPr>
    </w:p>
    <w:p w14:paraId="6CBA98DE" w14:textId="1BC72BCE" w:rsidR="00E54652" w:rsidRDefault="00E54652" w:rsidP="000D74DD">
      <w:pPr>
        <w:rPr>
          <w:rFonts w:ascii="Arial" w:hAnsi="Arial" w:cs="Arial"/>
        </w:rPr>
      </w:pPr>
    </w:p>
    <w:p w14:paraId="42E846E4" w14:textId="63F4767D" w:rsidR="00E54652" w:rsidRDefault="00E54652" w:rsidP="000D74DD">
      <w:pPr>
        <w:rPr>
          <w:rFonts w:ascii="Arial" w:hAnsi="Arial" w:cs="Arial"/>
        </w:rPr>
      </w:pPr>
    </w:p>
    <w:p w14:paraId="34727533" w14:textId="77777777" w:rsidR="00E54652" w:rsidRPr="000D74DD" w:rsidRDefault="00E54652" w:rsidP="000D74DD">
      <w:pPr>
        <w:rPr>
          <w:rFonts w:ascii="Arial" w:hAnsi="Arial" w:cs="Arial"/>
        </w:rPr>
      </w:pPr>
    </w:p>
    <w:p w14:paraId="769BFB86" w14:textId="77777777" w:rsidR="000D74DD" w:rsidRDefault="000D74DD" w:rsidP="000D74DD"/>
    <w:p w14:paraId="590D4BAC" w14:textId="338E271E" w:rsidR="000D74DD" w:rsidRDefault="006177C1" w:rsidP="000D74DD">
      <w:r>
        <w:lastRenderedPageBreak/>
        <w:t xml:space="preserve">Reference </w:t>
      </w:r>
      <w:r>
        <w:br/>
      </w:r>
    </w:p>
    <w:p w14:paraId="6E1CF965" w14:textId="77777777" w:rsidR="000D74DD" w:rsidRDefault="000D74DD" w:rsidP="000D74DD"/>
    <w:p w14:paraId="689897D1" w14:textId="6252DA8A" w:rsidR="000D74DD" w:rsidRPr="006177C1" w:rsidRDefault="000D74DD" w:rsidP="006177C1">
      <w:pPr>
        <w:spacing w:after="158"/>
        <w:ind w:left="1080"/>
        <w:rPr>
          <w:rFonts w:ascii="Arial" w:hAnsi="Arial" w:cs="Arial"/>
          <w:b/>
          <w:bCs/>
          <w:sz w:val="22"/>
          <w:szCs w:val="22"/>
        </w:rPr>
      </w:pPr>
      <w:r w:rsidRPr="006177C1">
        <w:rPr>
          <w:rFonts w:ascii="Arial" w:hAnsi="Arial" w:cs="Arial"/>
          <w:color w:val="000000"/>
          <w:sz w:val="22"/>
          <w:szCs w:val="22"/>
        </w:rPr>
        <w:t>Barnes, J. (2015) Cross-curricular learning 3-14 (3</w:t>
      </w:r>
      <w:r w:rsidRPr="006177C1">
        <w:rPr>
          <w:rFonts w:ascii="Arial" w:hAnsi="Arial" w:cs="Arial"/>
          <w:color w:val="000000"/>
          <w:sz w:val="22"/>
          <w:szCs w:val="22"/>
          <w:vertAlign w:val="superscript"/>
        </w:rPr>
        <w:t>rd</w:t>
      </w:r>
      <w:r w:rsidRPr="006177C1">
        <w:rPr>
          <w:rFonts w:ascii="Arial" w:hAnsi="Arial" w:cs="Arial"/>
          <w:color w:val="000000"/>
          <w:sz w:val="22"/>
          <w:szCs w:val="22"/>
        </w:rPr>
        <w:t xml:space="preserve"> ed.). </w:t>
      </w:r>
      <w:proofErr w:type="spellStart"/>
      <w:proofErr w:type="gramStart"/>
      <w:r w:rsidRPr="006177C1">
        <w:rPr>
          <w:rFonts w:ascii="Arial" w:hAnsi="Arial" w:cs="Arial"/>
          <w:color w:val="000000"/>
          <w:sz w:val="22"/>
          <w:szCs w:val="22"/>
        </w:rPr>
        <w:t>London:Sage</w:t>
      </w:r>
      <w:proofErr w:type="spellEnd"/>
      <w:proofErr w:type="gramEnd"/>
      <w:r w:rsidRPr="006177C1">
        <w:rPr>
          <w:rFonts w:ascii="Arial" w:hAnsi="Arial" w:cs="Arial"/>
          <w:color w:val="000000"/>
          <w:sz w:val="22"/>
          <w:szCs w:val="22"/>
        </w:rPr>
        <w:t>.</w:t>
      </w:r>
      <w:r w:rsidRPr="006177C1">
        <w:rPr>
          <w:rFonts w:ascii="MS Gothic" w:eastAsia="MS Gothic" w:hAnsi="MS Gothic" w:cs="MS Gothic" w:hint="eastAsia"/>
          <w:color w:val="000000"/>
          <w:sz w:val="22"/>
          <w:szCs w:val="22"/>
        </w:rPr>
        <w:t> </w:t>
      </w:r>
      <w:r w:rsidRPr="006177C1">
        <w:rPr>
          <w:rFonts w:ascii="Arial" w:eastAsia="MS Gothic" w:hAnsi="Arial" w:cs="Arial"/>
          <w:color w:val="000000"/>
          <w:sz w:val="22"/>
          <w:szCs w:val="22"/>
        </w:rPr>
        <w:br/>
      </w:r>
    </w:p>
    <w:p w14:paraId="41051E25" w14:textId="1F96CB5C" w:rsidR="000D74DD" w:rsidRPr="006177C1" w:rsidRDefault="000D74DD" w:rsidP="006177C1">
      <w:pPr>
        <w:spacing w:after="158"/>
        <w:ind w:left="1080"/>
        <w:rPr>
          <w:rFonts w:ascii="Arial" w:hAnsi="Arial" w:cs="Arial"/>
          <w:sz w:val="22"/>
          <w:szCs w:val="22"/>
        </w:rPr>
      </w:pPr>
      <w:r w:rsidRPr="006177C1">
        <w:rPr>
          <w:rFonts w:ascii="Arial" w:eastAsiaTheme="minorEastAsia" w:hAnsi="Arial" w:cs="Arial"/>
          <w:sz w:val="22"/>
          <w:szCs w:val="22"/>
        </w:rPr>
        <w:t xml:space="preserve">BERA (2018) </w:t>
      </w:r>
      <w:r w:rsidRPr="006177C1">
        <w:rPr>
          <w:rFonts w:ascii="Arial" w:eastAsiaTheme="minorEastAsia" w:hAnsi="Arial" w:cs="Arial"/>
          <w:i/>
          <w:iCs/>
          <w:sz w:val="22"/>
          <w:szCs w:val="22"/>
        </w:rPr>
        <w:t xml:space="preserve">Ethical Guidelines for Educational Research </w:t>
      </w:r>
      <w:r w:rsidRPr="006177C1">
        <w:rPr>
          <w:rFonts w:ascii="Arial" w:eastAsiaTheme="minorEastAsia" w:hAnsi="Arial" w:cs="Arial"/>
          <w:sz w:val="22"/>
          <w:szCs w:val="22"/>
        </w:rPr>
        <w:t>4</w:t>
      </w:r>
      <w:r w:rsidRPr="006177C1">
        <w:rPr>
          <w:rFonts w:ascii="Arial" w:eastAsiaTheme="minorEastAsia" w:hAnsi="Arial" w:cs="Arial"/>
          <w:sz w:val="22"/>
          <w:szCs w:val="22"/>
          <w:vertAlign w:val="superscript"/>
        </w:rPr>
        <w:t>th</w:t>
      </w:r>
      <w:r w:rsidRPr="006177C1">
        <w:rPr>
          <w:rFonts w:ascii="Arial" w:eastAsiaTheme="minorEastAsia" w:hAnsi="Arial" w:cs="Arial"/>
          <w:sz w:val="22"/>
          <w:szCs w:val="22"/>
        </w:rPr>
        <w:t xml:space="preserve"> ed. Available at: </w:t>
      </w:r>
      <w:hyperlink r:id="rId9" w:history="1">
        <w:r w:rsidRPr="006177C1">
          <w:rPr>
            <w:rStyle w:val="Hyperlink"/>
            <w:rFonts w:ascii="Arial" w:eastAsiaTheme="minorEastAsia" w:hAnsi="Arial" w:cs="Arial"/>
            <w:sz w:val="22"/>
            <w:szCs w:val="22"/>
          </w:rPr>
          <w:t>https://www.bera.ac.uk/publication/ethical-guidelines-for-educational-research-2018-online#withdraw</w:t>
        </w:r>
      </w:hyperlink>
      <w:r w:rsidRPr="006177C1">
        <w:rPr>
          <w:rFonts w:ascii="Arial" w:eastAsiaTheme="minorEastAsia" w:hAnsi="Arial" w:cs="Arial"/>
          <w:sz w:val="22"/>
          <w:szCs w:val="22"/>
        </w:rPr>
        <w:t xml:space="preserve"> (Accessed: 1 May 2020).</w:t>
      </w:r>
      <w:r w:rsidRPr="006177C1">
        <w:rPr>
          <w:rFonts w:ascii="Arial" w:eastAsiaTheme="minorEastAsia" w:hAnsi="Arial" w:cs="Arial"/>
          <w:sz w:val="22"/>
          <w:szCs w:val="22"/>
        </w:rPr>
        <w:br/>
      </w:r>
    </w:p>
    <w:p w14:paraId="7C623686" w14:textId="77777777" w:rsidR="000D74DD" w:rsidRPr="006177C1" w:rsidRDefault="000D74DD" w:rsidP="006177C1">
      <w:pPr>
        <w:spacing w:after="158"/>
        <w:ind w:left="1080"/>
        <w:rPr>
          <w:rFonts w:ascii="Arial" w:hAnsi="Arial" w:cs="Arial"/>
          <w:sz w:val="22"/>
          <w:szCs w:val="22"/>
        </w:rPr>
      </w:pPr>
      <w:r w:rsidRPr="006177C1">
        <w:rPr>
          <w:rFonts w:ascii="Arial" w:hAnsi="Arial" w:cs="Arial"/>
          <w:color w:val="000000"/>
          <w:sz w:val="22"/>
          <w:szCs w:val="22"/>
          <w:shd w:val="clear" w:color="auto" w:fill="FFFFFF"/>
        </w:rPr>
        <w:t>Briggs, M. and Hansen, A. (2012)</w:t>
      </w:r>
      <w:r w:rsidRPr="006177C1">
        <w:rPr>
          <w:rStyle w:val="apple-converted-space"/>
          <w:rFonts w:ascii="Arial" w:hAnsi="Arial" w:cs="Arial"/>
          <w:color w:val="000000"/>
          <w:sz w:val="22"/>
          <w:szCs w:val="22"/>
          <w:shd w:val="clear" w:color="auto" w:fill="FFFFFF"/>
        </w:rPr>
        <w:t> </w:t>
      </w:r>
      <w:r w:rsidRPr="006177C1">
        <w:rPr>
          <w:rFonts w:ascii="Arial" w:hAnsi="Arial" w:cs="Arial"/>
          <w:i/>
          <w:iCs/>
          <w:color w:val="000000"/>
          <w:sz w:val="22"/>
          <w:szCs w:val="22"/>
        </w:rPr>
        <w:t xml:space="preserve">Play-Based Learning </w:t>
      </w:r>
      <w:proofErr w:type="gramStart"/>
      <w:r w:rsidRPr="006177C1">
        <w:rPr>
          <w:rFonts w:ascii="Arial" w:hAnsi="Arial" w:cs="Arial"/>
          <w:i/>
          <w:iCs/>
          <w:color w:val="000000"/>
          <w:sz w:val="22"/>
          <w:szCs w:val="22"/>
        </w:rPr>
        <w:t>In</w:t>
      </w:r>
      <w:proofErr w:type="gramEnd"/>
      <w:r w:rsidRPr="006177C1">
        <w:rPr>
          <w:rFonts w:ascii="Arial" w:hAnsi="Arial" w:cs="Arial"/>
          <w:i/>
          <w:iCs/>
          <w:color w:val="000000"/>
          <w:sz w:val="22"/>
          <w:szCs w:val="22"/>
        </w:rPr>
        <w:t xml:space="preserve"> The Primary School</w:t>
      </w:r>
      <w:r w:rsidRPr="006177C1">
        <w:rPr>
          <w:rFonts w:ascii="Arial" w:hAnsi="Arial" w:cs="Arial"/>
          <w:color w:val="000000"/>
          <w:sz w:val="22"/>
          <w:szCs w:val="22"/>
          <w:shd w:val="clear" w:color="auto" w:fill="FFFFFF"/>
        </w:rPr>
        <w:t>. London: Sage.</w:t>
      </w:r>
      <w:r w:rsidRPr="006177C1">
        <w:rPr>
          <w:rFonts w:ascii="Arial" w:hAnsi="Arial" w:cs="Arial"/>
          <w:color w:val="000000"/>
          <w:sz w:val="22"/>
          <w:szCs w:val="22"/>
          <w:shd w:val="clear" w:color="auto" w:fill="FFFFFF"/>
        </w:rPr>
        <w:br/>
      </w:r>
    </w:p>
    <w:p w14:paraId="5ED29EA6" w14:textId="7704391F"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Bruce, T. (2012) </w:t>
      </w:r>
      <w:r w:rsidRPr="006177C1">
        <w:rPr>
          <w:rFonts w:ascii="Arial" w:hAnsi="Arial" w:cs="Arial"/>
          <w:i/>
          <w:iCs/>
          <w:sz w:val="22"/>
          <w:szCs w:val="22"/>
        </w:rPr>
        <w:t xml:space="preserve">Early Childhood Practice Froebel Today. </w:t>
      </w:r>
      <w:r w:rsidRPr="006177C1">
        <w:rPr>
          <w:rFonts w:ascii="Arial" w:hAnsi="Arial" w:cs="Arial"/>
          <w:sz w:val="22"/>
          <w:szCs w:val="22"/>
        </w:rPr>
        <w:t xml:space="preserve">London: SAGE. </w:t>
      </w:r>
      <w:r w:rsidRPr="006177C1">
        <w:rPr>
          <w:rFonts w:ascii="Arial" w:hAnsi="Arial" w:cs="Arial"/>
          <w:sz w:val="22"/>
          <w:szCs w:val="22"/>
        </w:rPr>
        <w:br/>
      </w:r>
    </w:p>
    <w:p w14:paraId="511D3CC4" w14:textId="78105D02" w:rsidR="000D74DD" w:rsidRPr="006177C1" w:rsidRDefault="000D74DD" w:rsidP="006177C1">
      <w:pPr>
        <w:spacing w:after="158"/>
        <w:ind w:left="1080"/>
        <w:rPr>
          <w:rFonts w:ascii="Arial" w:hAnsi="Arial" w:cs="Arial"/>
          <w:b/>
          <w:bCs/>
          <w:sz w:val="22"/>
          <w:szCs w:val="22"/>
        </w:rPr>
      </w:pPr>
      <w:r w:rsidRPr="006177C1">
        <w:rPr>
          <w:rFonts w:ascii="Arial" w:hAnsi="Arial" w:cs="Arial"/>
          <w:sz w:val="22"/>
          <w:szCs w:val="22"/>
        </w:rPr>
        <w:t xml:space="preserve">Children’s Commissioner for Wales (2014) </w:t>
      </w:r>
      <w:r w:rsidRPr="006177C1">
        <w:rPr>
          <w:rFonts w:ascii="Arial" w:hAnsi="Arial" w:cs="Arial"/>
          <w:i/>
          <w:iCs/>
          <w:sz w:val="22"/>
          <w:szCs w:val="22"/>
        </w:rPr>
        <w:t xml:space="preserve">UNCRC. </w:t>
      </w:r>
      <w:r w:rsidRPr="006177C1">
        <w:rPr>
          <w:rFonts w:ascii="Arial" w:hAnsi="Arial" w:cs="Arial"/>
          <w:sz w:val="22"/>
          <w:szCs w:val="22"/>
        </w:rPr>
        <w:t xml:space="preserve">Available at: </w:t>
      </w:r>
      <w:hyperlink r:id="rId10" w:history="1">
        <w:r w:rsidRPr="006177C1">
          <w:rPr>
            <w:rStyle w:val="Hyperlink"/>
            <w:rFonts w:ascii="Arial" w:hAnsi="Arial" w:cs="Arial"/>
            <w:sz w:val="22"/>
            <w:szCs w:val="22"/>
          </w:rPr>
          <w:t>https://www.childcomwales.org.uk/uncrc-childrens-rights/uncrc/</w:t>
        </w:r>
      </w:hyperlink>
      <w:r w:rsidRPr="006177C1">
        <w:rPr>
          <w:rFonts w:ascii="Arial" w:hAnsi="Arial" w:cs="Arial"/>
          <w:sz w:val="22"/>
          <w:szCs w:val="22"/>
        </w:rPr>
        <w:t xml:space="preserve"> (Accessed: 10 May 2020).</w:t>
      </w:r>
      <w:r w:rsidRPr="006177C1">
        <w:rPr>
          <w:rFonts w:ascii="Arial" w:hAnsi="Arial" w:cs="Arial"/>
          <w:sz w:val="22"/>
          <w:szCs w:val="22"/>
        </w:rPr>
        <w:br/>
      </w:r>
    </w:p>
    <w:p w14:paraId="69B10BB5" w14:textId="77777777" w:rsidR="000D74DD" w:rsidRPr="006177C1" w:rsidRDefault="000D74DD" w:rsidP="006177C1">
      <w:pPr>
        <w:spacing w:after="158"/>
        <w:ind w:left="1080"/>
        <w:rPr>
          <w:rFonts w:ascii="Arial" w:hAnsi="Arial" w:cs="Arial"/>
          <w:sz w:val="22"/>
          <w:szCs w:val="22"/>
        </w:rPr>
      </w:pPr>
      <w:r w:rsidRPr="006177C1">
        <w:rPr>
          <w:rFonts w:ascii="Arial" w:hAnsi="Arial" w:cs="Arial"/>
          <w:color w:val="000000"/>
          <w:sz w:val="22"/>
          <w:szCs w:val="22"/>
          <w:shd w:val="clear" w:color="auto" w:fill="FFFFFF"/>
        </w:rPr>
        <w:t>Cohen, L., Manion, L. and Morrison, K. (2007)</w:t>
      </w:r>
      <w:r w:rsidRPr="006177C1">
        <w:rPr>
          <w:rStyle w:val="apple-converted-space"/>
          <w:rFonts w:ascii="Arial" w:hAnsi="Arial" w:cs="Arial"/>
          <w:color w:val="000000"/>
          <w:sz w:val="22"/>
          <w:szCs w:val="22"/>
          <w:shd w:val="clear" w:color="auto" w:fill="FFFFFF"/>
        </w:rPr>
        <w:t> </w:t>
      </w:r>
      <w:r w:rsidRPr="006177C1">
        <w:rPr>
          <w:rFonts w:ascii="Arial" w:hAnsi="Arial" w:cs="Arial"/>
          <w:i/>
          <w:iCs/>
          <w:color w:val="000000"/>
          <w:sz w:val="22"/>
          <w:szCs w:val="22"/>
        </w:rPr>
        <w:t>Research Methods in Education</w:t>
      </w:r>
      <w:r w:rsidRPr="006177C1">
        <w:rPr>
          <w:rFonts w:ascii="Arial" w:hAnsi="Arial" w:cs="Arial"/>
          <w:color w:val="000000"/>
          <w:sz w:val="22"/>
          <w:szCs w:val="22"/>
          <w:shd w:val="clear" w:color="auto" w:fill="FFFFFF"/>
        </w:rPr>
        <w:t>. 6th ed. Oxon: Routledge.</w:t>
      </w:r>
      <w:r w:rsidRPr="006177C1">
        <w:rPr>
          <w:rFonts w:ascii="Arial" w:hAnsi="Arial" w:cs="Arial"/>
          <w:color w:val="000000"/>
          <w:sz w:val="22"/>
          <w:szCs w:val="22"/>
          <w:shd w:val="clear" w:color="auto" w:fill="FFFFFF"/>
        </w:rPr>
        <w:br/>
      </w:r>
    </w:p>
    <w:p w14:paraId="481B1D28" w14:textId="26CD1495" w:rsidR="000D74DD" w:rsidRPr="006177C1" w:rsidRDefault="000D74DD" w:rsidP="006177C1">
      <w:pPr>
        <w:spacing w:after="158"/>
        <w:ind w:left="1080"/>
        <w:rPr>
          <w:rFonts w:ascii="Arial" w:hAnsi="Arial" w:cs="Arial"/>
          <w:b/>
          <w:bCs/>
          <w:sz w:val="22"/>
          <w:szCs w:val="22"/>
        </w:rPr>
      </w:pPr>
      <w:r w:rsidRPr="006177C1">
        <w:rPr>
          <w:rFonts w:ascii="Arial" w:hAnsi="Arial" w:cs="Arial"/>
          <w:sz w:val="22"/>
          <w:szCs w:val="22"/>
        </w:rPr>
        <w:t xml:space="preserve">Department for Children, Education, Lifelong Learning and Skills (2008) </w:t>
      </w:r>
      <w:r w:rsidRPr="006177C1">
        <w:rPr>
          <w:rFonts w:ascii="Arial" w:hAnsi="Arial" w:cs="Arial"/>
          <w:i/>
          <w:iCs/>
          <w:sz w:val="22"/>
          <w:szCs w:val="22"/>
        </w:rPr>
        <w:t xml:space="preserve">Learning and Teaching Pedagogy. </w:t>
      </w:r>
      <w:r w:rsidRPr="006177C1">
        <w:rPr>
          <w:rFonts w:ascii="Arial" w:hAnsi="Arial" w:cs="Arial"/>
          <w:sz w:val="22"/>
          <w:szCs w:val="22"/>
        </w:rPr>
        <w:t xml:space="preserve">Available at: </w:t>
      </w:r>
      <w:hyperlink r:id="rId11" w:history="1">
        <w:r w:rsidRPr="006177C1">
          <w:rPr>
            <w:rStyle w:val="Hyperlink"/>
            <w:rFonts w:ascii="Arial" w:hAnsi="Arial" w:cs="Arial"/>
            <w:sz w:val="22"/>
            <w:szCs w:val="22"/>
          </w:rPr>
          <w:t>https://hwb.gov.wales/storage/8f0b360f-f1f6-4bec-b11a-df88168007f9/learning-and-teaching-pedagogy.pdf</w:t>
        </w:r>
      </w:hyperlink>
      <w:r w:rsidRPr="006177C1">
        <w:rPr>
          <w:rFonts w:ascii="Arial" w:hAnsi="Arial" w:cs="Arial"/>
          <w:sz w:val="22"/>
          <w:szCs w:val="22"/>
        </w:rPr>
        <w:t xml:space="preserve"> (Accessed: 10 May 2020). </w:t>
      </w:r>
      <w:r w:rsidRPr="006177C1">
        <w:rPr>
          <w:rFonts w:ascii="Arial" w:hAnsi="Arial" w:cs="Arial"/>
          <w:sz w:val="22"/>
          <w:szCs w:val="22"/>
        </w:rPr>
        <w:br/>
      </w:r>
    </w:p>
    <w:p w14:paraId="533A71C7" w14:textId="249B5F8A"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Department for Children, Education, Lifelong Learning and Skills (2008) </w:t>
      </w:r>
      <w:r w:rsidRPr="006177C1">
        <w:rPr>
          <w:rFonts w:ascii="Arial" w:hAnsi="Arial" w:cs="Arial"/>
          <w:i/>
          <w:iCs/>
          <w:sz w:val="22"/>
          <w:szCs w:val="22"/>
        </w:rPr>
        <w:t xml:space="preserve">Play/Active Learning. </w:t>
      </w:r>
      <w:r w:rsidRPr="006177C1">
        <w:rPr>
          <w:rFonts w:ascii="Arial" w:hAnsi="Arial" w:cs="Arial"/>
          <w:sz w:val="22"/>
          <w:szCs w:val="22"/>
        </w:rPr>
        <w:t xml:space="preserve">Available at: </w:t>
      </w:r>
      <w:hyperlink r:id="rId12" w:history="1">
        <w:r w:rsidRPr="006177C1">
          <w:rPr>
            <w:rStyle w:val="Hyperlink"/>
            <w:rFonts w:ascii="Arial" w:hAnsi="Arial" w:cs="Arial"/>
            <w:sz w:val="22"/>
            <w:szCs w:val="22"/>
          </w:rPr>
          <w:t>https://hwb.gov.wales/storage/52aae98d-65ed-4065-9222-1a7876e150de/play-active-learning-overview-for-3-to-7-year-olds.pdf</w:t>
        </w:r>
      </w:hyperlink>
      <w:r w:rsidRPr="006177C1">
        <w:rPr>
          <w:rFonts w:ascii="Arial" w:hAnsi="Arial" w:cs="Arial"/>
          <w:sz w:val="22"/>
          <w:szCs w:val="22"/>
        </w:rPr>
        <w:t xml:space="preserve"> (Accessed: 10 May 2020). </w:t>
      </w:r>
      <w:r w:rsidRPr="006177C1">
        <w:rPr>
          <w:rFonts w:ascii="Arial" w:hAnsi="Arial" w:cs="Arial"/>
          <w:sz w:val="22"/>
          <w:szCs w:val="22"/>
        </w:rPr>
        <w:br/>
      </w:r>
    </w:p>
    <w:p w14:paraId="042BCEDD" w14:textId="77ACE894"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Department for Children, Education, Lifelong Learning and Skills (2008) </w:t>
      </w:r>
      <w:r w:rsidRPr="006177C1">
        <w:rPr>
          <w:rFonts w:ascii="Arial" w:hAnsi="Arial" w:cs="Arial"/>
          <w:i/>
          <w:iCs/>
          <w:sz w:val="22"/>
          <w:szCs w:val="22"/>
        </w:rPr>
        <w:t xml:space="preserve">Observing Children. </w:t>
      </w:r>
      <w:r w:rsidRPr="006177C1">
        <w:rPr>
          <w:rFonts w:ascii="Arial" w:hAnsi="Arial" w:cs="Arial"/>
          <w:sz w:val="22"/>
          <w:szCs w:val="22"/>
        </w:rPr>
        <w:t xml:space="preserve">Available at: </w:t>
      </w:r>
      <w:hyperlink r:id="rId13" w:history="1">
        <w:r w:rsidRPr="006177C1">
          <w:rPr>
            <w:rStyle w:val="Hyperlink"/>
            <w:rFonts w:ascii="Arial" w:hAnsi="Arial" w:cs="Arial"/>
            <w:sz w:val="22"/>
            <w:szCs w:val="22"/>
          </w:rPr>
          <w:t>https://s3-eu-west-1.amazonaws.com/hwb-live-storage/a8/9c/a8/ee/f299432c801d025d875da415/observing-children.pdf</w:t>
        </w:r>
      </w:hyperlink>
      <w:r w:rsidRPr="006177C1">
        <w:rPr>
          <w:rFonts w:ascii="Arial" w:hAnsi="Arial" w:cs="Arial"/>
          <w:sz w:val="22"/>
          <w:szCs w:val="22"/>
        </w:rPr>
        <w:t xml:space="preserve"> (Accessed: 12 May 2020).</w:t>
      </w:r>
      <w:r w:rsidRPr="006177C1">
        <w:rPr>
          <w:rFonts w:ascii="Arial" w:hAnsi="Arial" w:cs="Arial"/>
          <w:sz w:val="22"/>
          <w:szCs w:val="22"/>
        </w:rPr>
        <w:br/>
      </w:r>
    </w:p>
    <w:p w14:paraId="1FABB985" w14:textId="625323A3" w:rsidR="000D74DD" w:rsidRPr="006177C1" w:rsidRDefault="000D74DD" w:rsidP="006177C1">
      <w:pPr>
        <w:spacing w:after="158"/>
        <w:ind w:left="1080"/>
        <w:rPr>
          <w:rFonts w:ascii="Arial" w:hAnsi="Arial" w:cs="Arial"/>
          <w:sz w:val="22"/>
          <w:szCs w:val="22"/>
        </w:rPr>
      </w:pPr>
      <w:r w:rsidRPr="006177C1">
        <w:rPr>
          <w:rFonts w:ascii="Arial" w:hAnsi="Arial" w:cs="Arial"/>
          <w:color w:val="000000"/>
          <w:sz w:val="22"/>
          <w:szCs w:val="22"/>
          <w:shd w:val="clear" w:color="auto" w:fill="FFFFFF"/>
        </w:rPr>
        <w:t>Department for Education (2011)</w:t>
      </w:r>
      <w:r w:rsidRPr="006177C1">
        <w:rPr>
          <w:rStyle w:val="apple-converted-space"/>
          <w:rFonts w:ascii="Arial" w:hAnsi="Arial" w:cs="Arial"/>
          <w:color w:val="000000"/>
          <w:sz w:val="22"/>
          <w:szCs w:val="22"/>
          <w:shd w:val="clear" w:color="auto" w:fill="FFFFFF"/>
        </w:rPr>
        <w:t> </w:t>
      </w:r>
      <w:r w:rsidRPr="006177C1">
        <w:rPr>
          <w:rFonts w:ascii="Arial" w:hAnsi="Arial" w:cs="Arial"/>
          <w:i/>
          <w:iCs/>
          <w:color w:val="000000"/>
          <w:sz w:val="22"/>
          <w:szCs w:val="22"/>
        </w:rPr>
        <w:t>Early Years Foundation Stage: Children play at being travel agents</w:t>
      </w:r>
      <w:r w:rsidRPr="006177C1">
        <w:rPr>
          <w:rFonts w:ascii="Arial" w:hAnsi="Arial" w:cs="Arial"/>
          <w:color w:val="000000"/>
          <w:sz w:val="22"/>
          <w:szCs w:val="22"/>
          <w:shd w:val="clear" w:color="auto" w:fill="FFFFFF"/>
        </w:rPr>
        <w:t xml:space="preserve">. [video] Available at: </w:t>
      </w:r>
      <w:hyperlink r:id="rId14" w:history="1">
        <w:r w:rsidRPr="006177C1">
          <w:rPr>
            <w:rStyle w:val="Hyperlink"/>
            <w:rFonts w:ascii="Arial" w:hAnsi="Arial" w:cs="Arial"/>
            <w:sz w:val="22"/>
            <w:szCs w:val="22"/>
            <w:shd w:val="clear" w:color="auto" w:fill="FFFFFF"/>
          </w:rPr>
          <w:t>https://www.youtube.com/watch?v=yt69atPdg3I</w:t>
        </w:r>
      </w:hyperlink>
      <w:r w:rsidRPr="006177C1">
        <w:rPr>
          <w:rFonts w:ascii="Arial" w:hAnsi="Arial" w:cs="Arial"/>
          <w:color w:val="000000"/>
          <w:sz w:val="22"/>
          <w:szCs w:val="22"/>
          <w:shd w:val="clear" w:color="auto" w:fill="FFFFFF"/>
        </w:rPr>
        <w:t xml:space="preserve">  (Accessed: 7 May 2020)</w:t>
      </w:r>
      <w:r w:rsidR="006177C1" w:rsidRPr="006177C1">
        <w:rPr>
          <w:rFonts w:ascii="Arial" w:hAnsi="Arial" w:cs="Arial"/>
          <w:color w:val="000000"/>
          <w:sz w:val="22"/>
          <w:szCs w:val="22"/>
          <w:shd w:val="clear" w:color="auto" w:fill="FFFFFF"/>
        </w:rPr>
        <w:t>.</w:t>
      </w:r>
      <w:r w:rsidR="006177C1" w:rsidRPr="006177C1">
        <w:rPr>
          <w:rFonts w:ascii="Arial" w:hAnsi="Arial" w:cs="Arial"/>
          <w:color w:val="000000"/>
          <w:sz w:val="22"/>
          <w:szCs w:val="22"/>
          <w:shd w:val="clear" w:color="auto" w:fill="FFFFFF"/>
        </w:rPr>
        <w:br/>
      </w:r>
    </w:p>
    <w:p w14:paraId="19F8F6DD" w14:textId="1ECE53AC" w:rsidR="000D74DD" w:rsidRPr="006177C1" w:rsidRDefault="000D74DD" w:rsidP="006177C1">
      <w:pPr>
        <w:spacing w:after="158"/>
        <w:ind w:left="1080"/>
        <w:rPr>
          <w:rFonts w:ascii="Arial" w:hAnsi="Arial" w:cs="Arial"/>
          <w:sz w:val="22"/>
          <w:szCs w:val="22"/>
        </w:rPr>
      </w:pPr>
      <w:r w:rsidRPr="006177C1">
        <w:rPr>
          <w:rFonts w:ascii="Arial" w:hAnsi="Arial" w:cs="Arial"/>
          <w:color w:val="000000" w:themeColor="text1"/>
          <w:sz w:val="22"/>
          <w:szCs w:val="22"/>
        </w:rPr>
        <w:t xml:space="preserve">Estyn (2019) </w:t>
      </w:r>
      <w:r w:rsidRPr="006177C1">
        <w:rPr>
          <w:rFonts w:ascii="Arial" w:hAnsi="Arial" w:cs="Arial"/>
          <w:i/>
          <w:iCs/>
          <w:color w:val="000000" w:themeColor="text1"/>
          <w:sz w:val="22"/>
          <w:szCs w:val="22"/>
        </w:rPr>
        <w:t xml:space="preserve">Learning through play to support independent learning. </w:t>
      </w:r>
      <w:r w:rsidRPr="006177C1">
        <w:rPr>
          <w:rFonts w:ascii="Arial" w:hAnsi="Arial" w:cs="Arial"/>
          <w:color w:val="000000" w:themeColor="text1"/>
          <w:sz w:val="22"/>
          <w:szCs w:val="22"/>
        </w:rPr>
        <w:t xml:space="preserve">Available at: </w:t>
      </w:r>
      <w:hyperlink r:id="rId15" w:history="1">
        <w:r w:rsidR="006177C1" w:rsidRPr="006177C1">
          <w:rPr>
            <w:rStyle w:val="Hyperlink"/>
            <w:rFonts w:ascii="Arial" w:hAnsi="Arial" w:cs="Arial"/>
            <w:sz w:val="22"/>
            <w:szCs w:val="22"/>
          </w:rPr>
          <w:t>https://www.estyn.gov.wales/effective-practice/learning-through-play-support-independent-learning</w:t>
        </w:r>
      </w:hyperlink>
      <w:r w:rsidR="006177C1" w:rsidRPr="006177C1">
        <w:rPr>
          <w:rFonts w:ascii="Arial" w:hAnsi="Arial" w:cs="Arial"/>
          <w:sz w:val="22"/>
          <w:szCs w:val="22"/>
        </w:rPr>
        <w:t xml:space="preserve"> </w:t>
      </w:r>
      <w:r w:rsidR="006177C1" w:rsidRPr="006177C1">
        <w:rPr>
          <w:rFonts w:ascii="Arial" w:hAnsi="Arial" w:cs="Arial"/>
          <w:color w:val="000000" w:themeColor="text1"/>
          <w:sz w:val="22"/>
          <w:szCs w:val="22"/>
        </w:rPr>
        <w:t xml:space="preserve">(Accessed: </w:t>
      </w:r>
      <w:r w:rsidR="006177C1" w:rsidRPr="006177C1">
        <w:rPr>
          <w:rFonts w:ascii="Arial" w:hAnsi="Arial" w:cs="Arial"/>
          <w:sz w:val="22"/>
          <w:szCs w:val="22"/>
        </w:rPr>
        <w:t>10 May 2020</w:t>
      </w:r>
      <w:r w:rsidR="006177C1" w:rsidRPr="006177C1">
        <w:rPr>
          <w:rFonts w:ascii="Arial" w:hAnsi="Arial" w:cs="Arial"/>
          <w:color w:val="000000" w:themeColor="text1"/>
          <w:sz w:val="22"/>
          <w:szCs w:val="22"/>
        </w:rPr>
        <w:t>).</w:t>
      </w:r>
    </w:p>
    <w:p w14:paraId="7F234410" w14:textId="77777777" w:rsidR="000D74DD" w:rsidRPr="006177C1" w:rsidRDefault="000D74DD" w:rsidP="006177C1">
      <w:pPr>
        <w:spacing w:after="158"/>
        <w:ind w:left="1080"/>
        <w:rPr>
          <w:rFonts w:ascii="Arial" w:hAnsi="Arial" w:cs="Arial"/>
          <w:i/>
          <w:iCs/>
          <w:sz w:val="22"/>
          <w:szCs w:val="22"/>
        </w:rPr>
      </w:pPr>
      <w:r w:rsidRPr="006177C1">
        <w:rPr>
          <w:rFonts w:ascii="Arial" w:hAnsi="Arial" w:cs="Arial"/>
          <w:color w:val="000000"/>
          <w:sz w:val="22"/>
          <w:szCs w:val="22"/>
          <w:shd w:val="clear" w:color="auto" w:fill="FFFFFF"/>
        </w:rPr>
        <w:lastRenderedPageBreak/>
        <w:t xml:space="preserve">Evans, A. (2020) </w:t>
      </w:r>
      <w:r w:rsidRPr="006177C1">
        <w:rPr>
          <w:rFonts w:ascii="Arial" w:hAnsi="Arial" w:cs="Arial"/>
          <w:i/>
          <w:iCs/>
          <w:sz w:val="22"/>
          <w:szCs w:val="22"/>
          <w:lang w:val="en-US"/>
        </w:rPr>
        <w:t xml:space="preserve">Becoming a skilled researcher – Research Questions and Research Tools. </w:t>
      </w:r>
      <w:r w:rsidRPr="006177C1">
        <w:rPr>
          <w:rFonts w:ascii="Arial" w:hAnsi="Arial" w:cs="Arial"/>
          <w:sz w:val="22"/>
          <w:szCs w:val="22"/>
          <w:lang w:val="en-US"/>
        </w:rPr>
        <w:t xml:space="preserve">Available at: </w:t>
      </w:r>
      <w:hyperlink r:id="rId16" w:history="1">
        <w:r w:rsidRPr="006177C1">
          <w:rPr>
            <w:rStyle w:val="Hyperlink"/>
            <w:rFonts w:ascii="Arial" w:hAnsi="Arial" w:cs="Arial"/>
            <w:sz w:val="22"/>
            <w:szCs w:val="22"/>
            <w:lang w:val="en-US"/>
          </w:rPr>
          <w:t>https://uowtsd-my.sharepoint.com/:p:/g/personal/alison_evans2_uwtsd_ac_uk/EV8OZQFwWTxInYZ4CVMFFDEBQDRyM39aIDIG0n7ZPtkH0w?e=oeT6fk&amp;wdLOR=c2695C2A3-6A67-5B42-B1DB-5FC617B46131</w:t>
        </w:r>
      </w:hyperlink>
      <w:r w:rsidRPr="006177C1">
        <w:rPr>
          <w:rFonts w:ascii="Arial" w:hAnsi="Arial" w:cs="Arial"/>
          <w:sz w:val="22"/>
          <w:szCs w:val="22"/>
          <w:lang w:val="en-US"/>
        </w:rPr>
        <w:t xml:space="preserve"> (Accessed: 14 May 2020). </w:t>
      </w:r>
      <w:r w:rsidRPr="006177C1">
        <w:rPr>
          <w:rFonts w:ascii="Arial" w:hAnsi="Arial" w:cs="Arial"/>
          <w:sz w:val="22"/>
          <w:szCs w:val="22"/>
          <w:lang w:val="en-US"/>
        </w:rPr>
        <w:br/>
      </w:r>
    </w:p>
    <w:p w14:paraId="50BF1C6C" w14:textId="22502209" w:rsidR="000D74DD" w:rsidRPr="006177C1" w:rsidRDefault="000D74DD" w:rsidP="006177C1">
      <w:pPr>
        <w:spacing w:after="158"/>
        <w:ind w:left="1080"/>
        <w:rPr>
          <w:rFonts w:ascii="Arial" w:hAnsi="Arial" w:cs="Arial"/>
          <w:sz w:val="22"/>
          <w:szCs w:val="22"/>
        </w:rPr>
      </w:pPr>
      <w:r w:rsidRPr="006177C1">
        <w:rPr>
          <w:rFonts w:ascii="Arial" w:hAnsi="Arial" w:cs="Arial"/>
          <w:color w:val="000000"/>
          <w:sz w:val="22"/>
          <w:szCs w:val="22"/>
          <w:shd w:val="clear" w:color="auto" w:fill="FFFFFF"/>
        </w:rPr>
        <w:t>Halim, S., Wahid, R. and Halim, T. (2018) ‘Classroom Observation - A Powerful Tool for Continuous Professional Development (CPD)’, </w:t>
      </w:r>
      <w:r w:rsidRPr="006177C1">
        <w:rPr>
          <w:rFonts w:ascii="Arial" w:hAnsi="Arial" w:cs="Arial"/>
          <w:i/>
          <w:iCs/>
          <w:color w:val="000000"/>
          <w:sz w:val="22"/>
          <w:szCs w:val="22"/>
        </w:rPr>
        <w:t>IJLRES (International Journal on Language Research and Education Studies)</w:t>
      </w:r>
      <w:r w:rsidRPr="006177C1">
        <w:rPr>
          <w:rFonts w:ascii="Arial" w:hAnsi="Arial" w:cs="Arial"/>
          <w:color w:val="000000"/>
          <w:sz w:val="22"/>
          <w:szCs w:val="22"/>
          <w:shd w:val="clear" w:color="auto" w:fill="FFFFFF"/>
        </w:rPr>
        <w:t>, 2(2), pp.162 - 168. DOI: 10.30575/2017/IJLRES-2018050801</w:t>
      </w:r>
      <w:r w:rsidRPr="006177C1">
        <w:rPr>
          <w:rFonts w:ascii="Arial" w:hAnsi="Arial" w:cs="Arial"/>
          <w:color w:val="000000" w:themeColor="text1"/>
          <w:sz w:val="22"/>
          <w:szCs w:val="22"/>
        </w:rPr>
        <w:br/>
      </w:r>
    </w:p>
    <w:p w14:paraId="4EB2493B" w14:textId="77367E1F" w:rsidR="000D74DD" w:rsidRPr="006177C1" w:rsidRDefault="000D74DD" w:rsidP="006177C1">
      <w:pPr>
        <w:spacing w:after="158"/>
        <w:ind w:left="1080"/>
        <w:rPr>
          <w:rFonts w:ascii="Arial" w:hAnsi="Arial" w:cs="Arial"/>
          <w:sz w:val="22"/>
          <w:szCs w:val="22"/>
        </w:rPr>
      </w:pPr>
      <w:r w:rsidRPr="006177C1">
        <w:rPr>
          <w:rFonts w:ascii="Arial" w:hAnsi="Arial" w:cs="Arial"/>
          <w:color w:val="000000"/>
          <w:sz w:val="22"/>
          <w:szCs w:val="22"/>
          <w:shd w:val="clear" w:color="auto" w:fill="FFFFFF"/>
        </w:rPr>
        <w:t>Huisman, S. (2014) ‘The Importance of Play’,</w:t>
      </w:r>
      <w:r w:rsidRPr="006177C1">
        <w:rPr>
          <w:rStyle w:val="apple-converted-space"/>
          <w:rFonts w:ascii="Arial" w:hAnsi="Arial" w:cs="Arial"/>
          <w:color w:val="000000"/>
          <w:sz w:val="22"/>
          <w:szCs w:val="22"/>
          <w:shd w:val="clear" w:color="auto" w:fill="FFFFFF"/>
        </w:rPr>
        <w:t> </w:t>
      </w:r>
      <w:r w:rsidRPr="006177C1">
        <w:rPr>
          <w:rFonts w:ascii="Arial" w:hAnsi="Arial" w:cs="Arial"/>
          <w:i/>
          <w:iCs/>
          <w:color w:val="000000"/>
          <w:sz w:val="22"/>
          <w:szCs w:val="22"/>
        </w:rPr>
        <w:t>Childhood Education</w:t>
      </w:r>
      <w:r w:rsidRPr="006177C1">
        <w:rPr>
          <w:rFonts w:ascii="Arial" w:hAnsi="Arial" w:cs="Arial"/>
          <w:color w:val="000000"/>
          <w:sz w:val="22"/>
          <w:szCs w:val="22"/>
          <w:shd w:val="clear" w:color="auto" w:fill="FFFFFF"/>
        </w:rPr>
        <w:t xml:space="preserve">, 90(6), pp. 466 - 467. Available at: </w:t>
      </w:r>
      <w:hyperlink r:id="rId17" w:history="1">
        <w:r w:rsidRPr="006177C1">
          <w:rPr>
            <w:rStyle w:val="Hyperlink"/>
            <w:rFonts w:ascii="Arial" w:hAnsi="Arial" w:cs="Arial"/>
            <w:sz w:val="22"/>
            <w:szCs w:val="22"/>
            <w:shd w:val="clear" w:color="auto" w:fill="FFFFFF"/>
          </w:rPr>
          <w:t>https://search-proquest-com.ezproxy.uwtsd.ac.uk/docview/1644636189/fulltext/BCD570DE1F5149D6PQ/1?accountid=130472#</w:t>
        </w:r>
      </w:hyperlink>
      <w:r w:rsidRPr="006177C1">
        <w:rPr>
          <w:rFonts w:ascii="Arial" w:hAnsi="Arial" w:cs="Arial"/>
          <w:color w:val="000000"/>
          <w:sz w:val="22"/>
          <w:szCs w:val="22"/>
          <w:shd w:val="clear" w:color="auto" w:fill="FFFFFF"/>
        </w:rPr>
        <w:t xml:space="preserve"> (Accessed: 10 May 2020). </w:t>
      </w:r>
      <w:r w:rsidRPr="006177C1">
        <w:rPr>
          <w:rFonts w:ascii="Arial" w:hAnsi="Arial" w:cs="Arial"/>
          <w:color w:val="000000"/>
          <w:sz w:val="22"/>
          <w:szCs w:val="22"/>
          <w:shd w:val="clear" w:color="auto" w:fill="FFFFFF"/>
        </w:rPr>
        <w:br/>
      </w:r>
    </w:p>
    <w:p w14:paraId="28B028CA" w14:textId="009156B7"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Isaacs, B. (2007) </w:t>
      </w:r>
      <w:r w:rsidRPr="006177C1">
        <w:rPr>
          <w:rFonts w:ascii="Arial" w:hAnsi="Arial" w:cs="Arial"/>
          <w:i/>
          <w:iCs/>
          <w:sz w:val="22"/>
          <w:szCs w:val="22"/>
        </w:rPr>
        <w:t xml:space="preserve">Bringing the Montessori Approach to your Early Years Practice. </w:t>
      </w:r>
      <w:r w:rsidRPr="006177C1">
        <w:rPr>
          <w:rFonts w:ascii="Arial" w:hAnsi="Arial" w:cs="Arial"/>
          <w:sz w:val="22"/>
          <w:szCs w:val="22"/>
        </w:rPr>
        <w:t>Oxon: Routledge.</w:t>
      </w:r>
      <w:r w:rsidRPr="006177C1">
        <w:rPr>
          <w:rFonts w:ascii="Arial" w:hAnsi="Arial" w:cs="Arial"/>
          <w:sz w:val="22"/>
          <w:szCs w:val="22"/>
        </w:rPr>
        <w:br/>
      </w:r>
    </w:p>
    <w:p w14:paraId="09198462" w14:textId="62B849E0" w:rsidR="000D74DD" w:rsidRPr="006177C1" w:rsidRDefault="000D74DD" w:rsidP="006177C1">
      <w:pPr>
        <w:spacing w:after="158"/>
        <w:ind w:left="1080"/>
        <w:rPr>
          <w:rFonts w:ascii="Arial" w:hAnsi="Arial" w:cs="Arial"/>
          <w:b/>
          <w:bCs/>
          <w:sz w:val="22"/>
          <w:szCs w:val="22"/>
        </w:rPr>
      </w:pPr>
      <w:r w:rsidRPr="006177C1">
        <w:rPr>
          <w:rFonts w:ascii="Arial" w:hAnsi="Arial" w:cs="Arial"/>
          <w:color w:val="000000"/>
          <w:sz w:val="22"/>
          <w:szCs w:val="22"/>
          <w:shd w:val="clear" w:color="auto" w:fill="FFFFFF"/>
        </w:rPr>
        <w:t xml:space="preserve">Jacoby-Garrett, P. (2018) ‘Developing and Expanding Learning Through Play’. </w:t>
      </w:r>
      <w:r w:rsidRPr="006177C1">
        <w:rPr>
          <w:rFonts w:ascii="Arial" w:hAnsi="Arial" w:cs="Arial"/>
          <w:i/>
          <w:iCs/>
          <w:color w:val="000000"/>
          <w:sz w:val="22"/>
          <w:szCs w:val="22"/>
          <w:shd w:val="clear" w:color="auto" w:fill="FFFFFF"/>
        </w:rPr>
        <w:t>Parks &amp; Recreation</w:t>
      </w:r>
      <w:r w:rsidRPr="006177C1">
        <w:rPr>
          <w:rFonts w:ascii="Arial" w:hAnsi="Arial" w:cs="Arial"/>
          <w:color w:val="000000"/>
          <w:sz w:val="22"/>
          <w:szCs w:val="22"/>
          <w:shd w:val="clear" w:color="auto" w:fill="FFFFFF"/>
        </w:rPr>
        <w:t xml:space="preserve">, 53(5), pp. 24-28. Available at: </w:t>
      </w:r>
      <w:hyperlink r:id="rId18" w:anchor="db=s3h&amp;AN=129489383" w:history="1">
        <w:r w:rsidRPr="006177C1">
          <w:rPr>
            <w:rStyle w:val="Hyperlink"/>
            <w:rFonts w:ascii="Arial" w:hAnsi="Arial" w:cs="Arial"/>
            <w:sz w:val="22"/>
            <w:szCs w:val="22"/>
            <w:shd w:val="clear" w:color="auto" w:fill="FFFFFF"/>
          </w:rPr>
          <w:t>https://web-a-ebscohost-com.ezproxy.uwtsd.ac.uk/ehost/detail/detail?vid=2&amp;sid=0fed9d90-238e-4a6e-9d94-ccf7ab494865%40sdc-v-sessmgr01&amp;bdata=JnNpdGU9ZWhvc3QtbGl2ZQ%3d%3d#db=s3h&amp;AN=129489383</w:t>
        </w:r>
      </w:hyperlink>
      <w:r w:rsidRPr="006177C1">
        <w:rPr>
          <w:rFonts w:ascii="Arial" w:hAnsi="Arial" w:cs="Arial"/>
          <w:color w:val="000000"/>
          <w:sz w:val="22"/>
          <w:szCs w:val="22"/>
          <w:shd w:val="clear" w:color="auto" w:fill="FFFFFF"/>
        </w:rPr>
        <w:t xml:space="preserve">  (Accessed: </w:t>
      </w:r>
      <w:r w:rsidRPr="006177C1">
        <w:rPr>
          <w:rFonts w:ascii="Arial" w:eastAsia="Times New Roman" w:hAnsi="Arial" w:cs="Arial"/>
          <w:color w:val="000000"/>
          <w:sz w:val="22"/>
          <w:szCs w:val="22"/>
          <w:shd w:val="clear" w:color="auto" w:fill="FFFFFF"/>
          <w:lang w:eastAsia="en-GB"/>
        </w:rPr>
        <w:t>9 May 2020</w:t>
      </w:r>
      <w:r w:rsidRPr="006177C1">
        <w:rPr>
          <w:rFonts w:ascii="Arial" w:hAnsi="Arial" w:cs="Arial"/>
          <w:color w:val="000000"/>
          <w:sz w:val="22"/>
          <w:szCs w:val="22"/>
          <w:shd w:val="clear" w:color="auto" w:fill="FFFFFF"/>
        </w:rPr>
        <w:t>).</w:t>
      </w:r>
      <w:r w:rsidRPr="006177C1">
        <w:rPr>
          <w:rFonts w:ascii="Arial" w:hAnsi="Arial" w:cs="Arial"/>
          <w:color w:val="000000"/>
          <w:sz w:val="22"/>
          <w:szCs w:val="22"/>
          <w:shd w:val="clear" w:color="auto" w:fill="FFFFFF"/>
        </w:rPr>
        <w:br/>
      </w:r>
    </w:p>
    <w:p w14:paraId="32F86384" w14:textId="52F6F456" w:rsidR="000D74DD" w:rsidRPr="006177C1" w:rsidRDefault="000D74DD" w:rsidP="006177C1">
      <w:pPr>
        <w:spacing w:after="158"/>
        <w:ind w:left="1080"/>
        <w:rPr>
          <w:rFonts w:ascii="Arial" w:hAnsi="Arial" w:cs="Arial"/>
          <w:sz w:val="22"/>
          <w:szCs w:val="22"/>
        </w:rPr>
      </w:pPr>
      <w:proofErr w:type="spellStart"/>
      <w:r w:rsidRPr="006177C1">
        <w:rPr>
          <w:rFonts w:ascii="Arial" w:hAnsi="Arial" w:cs="Arial"/>
          <w:color w:val="000000"/>
          <w:sz w:val="22"/>
          <w:szCs w:val="22"/>
        </w:rPr>
        <w:t>Laevers</w:t>
      </w:r>
      <w:proofErr w:type="spellEnd"/>
      <w:r w:rsidRPr="006177C1">
        <w:rPr>
          <w:rFonts w:ascii="Arial" w:hAnsi="Arial" w:cs="Arial"/>
          <w:color w:val="000000"/>
          <w:sz w:val="22"/>
          <w:szCs w:val="22"/>
        </w:rPr>
        <w:t>, F. (1994) Defining and Assessing Quality in Early Childhood Education. Leuven: Leuven University Press.</w:t>
      </w:r>
      <w:r w:rsidRPr="006177C1">
        <w:rPr>
          <w:rFonts w:ascii="Arial" w:hAnsi="Arial" w:cs="Arial"/>
          <w:color w:val="000000"/>
          <w:sz w:val="22"/>
          <w:szCs w:val="22"/>
        </w:rPr>
        <w:br/>
      </w:r>
    </w:p>
    <w:p w14:paraId="7E0E9677" w14:textId="77777777" w:rsidR="000D74DD" w:rsidRPr="006177C1" w:rsidRDefault="000D74DD" w:rsidP="006177C1">
      <w:pPr>
        <w:spacing w:after="158"/>
        <w:ind w:left="1080"/>
        <w:rPr>
          <w:rFonts w:ascii="Arial" w:hAnsi="Arial" w:cs="Arial"/>
          <w:sz w:val="22"/>
          <w:szCs w:val="22"/>
        </w:rPr>
      </w:pPr>
      <w:proofErr w:type="spellStart"/>
      <w:r w:rsidRPr="006177C1">
        <w:rPr>
          <w:rFonts w:ascii="Arial" w:hAnsi="Arial" w:cs="Arial"/>
          <w:color w:val="000000"/>
          <w:sz w:val="22"/>
          <w:szCs w:val="22"/>
          <w:shd w:val="clear" w:color="auto" w:fill="FFFFFF"/>
        </w:rPr>
        <w:t>Laevers</w:t>
      </w:r>
      <w:proofErr w:type="spellEnd"/>
      <w:r w:rsidRPr="006177C1">
        <w:rPr>
          <w:rFonts w:ascii="Arial" w:hAnsi="Arial" w:cs="Arial"/>
          <w:color w:val="000000"/>
          <w:sz w:val="22"/>
          <w:szCs w:val="22"/>
          <w:shd w:val="clear" w:color="auto" w:fill="FFFFFF"/>
        </w:rPr>
        <w:t xml:space="preserve">, F. (2011) </w:t>
      </w:r>
      <w:proofErr w:type="gramStart"/>
      <w:r w:rsidRPr="006177C1">
        <w:rPr>
          <w:rFonts w:ascii="Arial" w:hAnsi="Arial" w:cs="Arial"/>
          <w:color w:val="000000"/>
          <w:sz w:val="22"/>
          <w:szCs w:val="22"/>
          <w:shd w:val="clear" w:color="auto" w:fill="FFFFFF"/>
        </w:rPr>
        <w:t>Child care</w:t>
      </w:r>
      <w:proofErr w:type="gramEnd"/>
      <w:r w:rsidRPr="006177C1">
        <w:rPr>
          <w:rFonts w:ascii="Arial" w:hAnsi="Arial" w:cs="Arial"/>
          <w:color w:val="000000"/>
          <w:sz w:val="22"/>
          <w:szCs w:val="22"/>
          <w:shd w:val="clear" w:color="auto" w:fill="FFFFFF"/>
        </w:rPr>
        <w:t xml:space="preserve"> – Early childhood education and care. In: </w:t>
      </w:r>
      <w:r w:rsidRPr="006177C1">
        <w:rPr>
          <w:rFonts w:ascii="Arial" w:hAnsi="Arial" w:cs="Arial"/>
          <w:i/>
          <w:iCs/>
          <w:color w:val="000000"/>
          <w:sz w:val="22"/>
          <w:szCs w:val="22"/>
        </w:rPr>
        <w:t>Experiential Education: Making Care and Education More Effective Through Well-Being and Involvement</w:t>
      </w:r>
      <w:r w:rsidRPr="006177C1">
        <w:rPr>
          <w:rFonts w:ascii="Arial" w:hAnsi="Arial" w:cs="Arial"/>
          <w:color w:val="000000"/>
          <w:sz w:val="22"/>
          <w:szCs w:val="22"/>
          <w:shd w:val="clear" w:color="auto" w:fill="FFFFFF"/>
        </w:rPr>
        <w:t xml:space="preserve">. Montreal, Quebec: Centre of Excellence for Early Childhood Development, pp.1 - 5. Available at: </w:t>
      </w:r>
      <w:hyperlink r:id="rId19" w:history="1">
        <w:r w:rsidRPr="006177C1">
          <w:rPr>
            <w:rStyle w:val="Hyperlink"/>
            <w:rFonts w:ascii="Arial" w:hAnsi="Arial" w:cs="Arial"/>
            <w:sz w:val="22"/>
            <w:szCs w:val="22"/>
            <w:shd w:val="clear" w:color="auto" w:fill="FFFFFF"/>
          </w:rPr>
          <w:t>http://expertisecentrum.cego.be/wp-content/uploads/2019/07/Laevers_2011_ChildEncyclopedia.pdf</w:t>
        </w:r>
      </w:hyperlink>
      <w:r w:rsidRPr="006177C1">
        <w:rPr>
          <w:rFonts w:ascii="Arial" w:hAnsi="Arial" w:cs="Arial"/>
          <w:color w:val="000000"/>
          <w:sz w:val="22"/>
          <w:szCs w:val="22"/>
          <w:shd w:val="clear" w:color="auto" w:fill="FFFFFF"/>
        </w:rPr>
        <w:t xml:space="preserve"> (Accessed: 12 May 2020).</w:t>
      </w:r>
      <w:r w:rsidRPr="006177C1">
        <w:rPr>
          <w:rFonts w:ascii="Arial" w:hAnsi="Arial" w:cs="Arial"/>
          <w:color w:val="000000"/>
          <w:sz w:val="22"/>
          <w:szCs w:val="22"/>
          <w:shd w:val="clear" w:color="auto" w:fill="FFFFFF"/>
        </w:rPr>
        <w:br/>
      </w:r>
    </w:p>
    <w:p w14:paraId="10AF596E" w14:textId="67086400" w:rsidR="000D74DD" w:rsidRPr="006177C1" w:rsidRDefault="000D74DD" w:rsidP="006177C1">
      <w:pPr>
        <w:spacing w:after="158"/>
        <w:ind w:left="1080"/>
        <w:rPr>
          <w:rFonts w:ascii="Arial" w:hAnsi="Arial" w:cs="Arial"/>
          <w:i/>
          <w:iCs/>
          <w:sz w:val="22"/>
          <w:szCs w:val="22"/>
        </w:rPr>
      </w:pPr>
      <w:r w:rsidRPr="006177C1">
        <w:rPr>
          <w:rFonts w:ascii="Arial" w:hAnsi="Arial" w:cs="Arial"/>
          <w:sz w:val="22"/>
          <w:szCs w:val="22"/>
          <w:lang w:val="en-US"/>
        </w:rPr>
        <w:t xml:space="preserve">Mental Health Foundation (2016) </w:t>
      </w:r>
      <w:r w:rsidRPr="006177C1">
        <w:rPr>
          <w:rFonts w:ascii="Arial" w:hAnsi="Arial" w:cs="Arial"/>
          <w:i/>
          <w:iCs/>
          <w:sz w:val="22"/>
          <w:szCs w:val="22"/>
          <w:lang w:val="en-US"/>
        </w:rPr>
        <w:t xml:space="preserve">Mental Health in Wales: Fundamental Facts 2016. </w:t>
      </w:r>
      <w:r w:rsidRPr="006177C1">
        <w:rPr>
          <w:rFonts w:ascii="Arial" w:hAnsi="Arial" w:cs="Arial"/>
          <w:sz w:val="22"/>
          <w:szCs w:val="22"/>
          <w:lang w:val="en-US"/>
        </w:rPr>
        <w:t xml:space="preserve">Available at: </w:t>
      </w:r>
      <w:hyperlink r:id="rId20" w:history="1">
        <w:r w:rsidRPr="006177C1">
          <w:rPr>
            <w:rStyle w:val="Hyperlink"/>
            <w:rFonts w:ascii="Arial" w:hAnsi="Arial" w:cs="Arial"/>
            <w:sz w:val="22"/>
            <w:szCs w:val="22"/>
            <w:lang w:val="en-US"/>
          </w:rPr>
          <w:t>https://www.mentalhealth.org.uk/sites/default/files/FF16%20Wales.pdf</w:t>
        </w:r>
      </w:hyperlink>
      <w:r w:rsidRPr="006177C1">
        <w:rPr>
          <w:rFonts w:ascii="Arial" w:hAnsi="Arial" w:cs="Arial"/>
          <w:sz w:val="22"/>
          <w:szCs w:val="22"/>
          <w:lang w:val="en-US"/>
        </w:rPr>
        <w:t xml:space="preserve"> (Accessed 14 May 2020). </w:t>
      </w:r>
      <w:r w:rsidRPr="006177C1">
        <w:rPr>
          <w:rFonts w:ascii="Arial" w:hAnsi="Arial" w:cs="Arial"/>
          <w:sz w:val="22"/>
          <w:szCs w:val="22"/>
          <w:lang w:val="en-US"/>
        </w:rPr>
        <w:br/>
      </w:r>
    </w:p>
    <w:p w14:paraId="320690BA" w14:textId="77777777"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NSW Government (2019) </w:t>
      </w:r>
      <w:r w:rsidRPr="006177C1">
        <w:rPr>
          <w:rFonts w:ascii="Arial" w:hAnsi="Arial" w:cs="Arial"/>
          <w:i/>
          <w:iCs/>
          <w:sz w:val="22"/>
          <w:szCs w:val="22"/>
        </w:rPr>
        <w:t>Observation: a guide for use in evaluation</w:t>
      </w:r>
      <w:r w:rsidRPr="006177C1">
        <w:rPr>
          <w:rFonts w:ascii="Arial" w:hAnsi="Arial" w:cs="Arial"/>
          <w:sz w:val="22"/>
          <w:szCs w:val="22"/>
        </w:rPr>
        <w:t xml:space="preserve">. Available at: </w:t>
      </w:r>
      <w:hyperlink r:id="rId21" w:history="1">
        <w:r w:rsidRPr="006177C1">
          <w:rPr>
            <w:rStyle w:val="Hyperlink"/>
            <w:rFonts w:ascii="Arial" w:hAnsi="Arial" w:cs="Arial"/>
            <w:sz w:val="22"/>
            <w:szCs w:val="22"/>
          </w:rPr>
          <w:t>https://education.nsw.gov.au/teaching-and-learning/professional-learning/evaluation-resource-hub/collecting-data/observation</w:t>
        </w:r>
      </w:hyperlink>
      <w:r w:rsidRPr="006177C1">
        <w:rPr>
          <w:rFonts w:ascii="Arial" w:hAnsi="Arial" w:cs="Arial"/>
          <w:sz w:val="22"/>
          <w:szCs w:val="22"/>
        </w:rPr>
        <w:t xml:space="preserve"> (Accessed: 12 May 2020).  </w:t>
      </w:r>
      <w:r w:rsidRPr="006177C1">
        <w:rPr>
          <w:rFonts w:ascii="Arial" w:hAnsi="Arial" w:cs="Arial"/>
          <w:sz w:val="22"/>
          <w:szCs w:val="22"/>
        </w:rPr>
        <w:br/>
      </w:r>
      <w:r w:rsidRPr="006177C1">
        <w:rPr>
          <w:rFonts w:ascii="Arial" w:hAnsi="Arial" w:cs="Arial"/>
          <w:sz w:val="22"/>
          <w:szCs w:val="22"/>
        </w:rPr>
        <w:br/>
      </w:r>
    </w:p>
    <w:p w14:paraId="40EAF926" w14:textId="77777777" w:rsidR="000D74DD" w:rsidRPr="006177C1" w:rsidRDefault="000D74DD" w:rsidP="006177C1">
      <w:pPr>
        <w:spacing w:after="158"/>
        <w:ind w:left="1080"/>
        <w:rPr>
          <w:rFonts w:ascii="Arial" w:hAnsi="Arial" w:cs="Arial"/>
          <w:sz w:val="22"/>
          <w:szCs w:val="22"/>
        </w:rPr>
      </w:pPr>
      <w:proofErr w:type="spellStart"/>
      <w:r w:rsidRPr="006177C1">
        <w:rPr>
          <w:rFonts w:ascii="Arial" w:hAnsi="Arial" w:cs="Arial"/>
          <w:color w:val="000000"/>
          <w:sz w:val="22"/>
          <w:szCs w:val="22"/>
          <w:shd w:val="clear" w:color="auto" w:fill="FFFFFF"/>
        </w:rPr>
        <w:lastRenderedPageBreak/>
        <w:t>Ramrathan</w:t>
      </w:r>
      <w:proofErr w:type="spellEnd"/>
      <w:r w:rsidRPr="006177C1">
        <w:rPr>
          <w:rFonts w:ascii="Arial" w:hAnsi="Arial" w:cs="Arial"/>
          <w:color w:val="000000"/>
          <w:sz w:val="22"/>
          <w:szCs w:val="22"/>
          <w:shd w:val="clear" w:color="auto" w:fill="FFFFFF"/>
        </w:rPr>
        <w:t>, L., Le Grange, L. and Higgs, P. (2017)</w:t>
      </w:r>
      <w:r w:rsidRPr="006177C1">
        <w:rPr>
          <w:rStyle w:val="apple-converted-space"/>
          <w:rFonts w:ascii="Arial" w:hAnsi="Arial" w:cs="Arial"/>
          <w:color w:val="000000"/>
          <w:sz w:val="22"/>
          <w:szCs w:val="22"/>
          <w:shd w:val="clear" w:color="auto" w:fill="FFFFFF"/>
        </w:rPr>
        <w:t> </w:t>
      </w:r>
      <w:r w:rsidRPr="006177C1">
        <w:rPr>
          <w:rFonts w:ascii="Arial" w:hAnsi="Arial" w:cs="Arial"/>
          <w:i/>
          <w:iCs/>
          <w:color w:val="000000"/>
          <w:sz w:val="22"/>
          <w:szCs w:val="22"/>
        </w:rPr>
        <w:t>Education Studies for Initial Teacher Development</w:t>
      </w:r>
      <w:r w:rsidRPr="006177C1">
        <w:rPr>
          <w:rFonts w:ascii="Arial" w:hAnsi="Arial" w:cs="Arial"/>
          <w:color w:val="000000"/>
          <w:sz w:val="22"/>
          <w:szCs w:val="22"/>
          <w:shd w:val="clear" w:color="auto" w:fill="FFFFFF"/>
        </w:rPr>
        <w:t>. Cape Town, South Africa: JUTA.</w:t>
      </w:r>
      <w:r w:rsidRPr="006177C1">
        <w:rPr>
          <w:rFonts w:ascii="Arial" w:hAnsi="Arial" w:cs="Arial"/>
          <w:color w:val="000000"/>
          <w:sz w:val="22"/>
          <w:szCs w:val="22"/>
          <w:shd w:val="clear" w:color="auto" w:fill="FFFFFF"/>
        </w:rPr>
        <w:br/>
      </w:r>
    </w:p>
    <w:p w14:paraId="11650EE2" w14:textId="47F14F42"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University of Wales Trinity Saint David (2017) </w:t>
      </w:r>
      <w:r w:rsidRPr="006177C1">
        <w:rPr>
          <w:rFonts w:ascii="Arial" w:hAnsi="Arial" w:cs="Arial"/>
          <w:i/>
          <w:iCs/>
          <w:sz w:val="22"/>
          <w:szCs w:val="22"/>
        </w:rPr>
        <w:t xml:space="preserve">Research Ethics &amp; Integrity Code of Practice. </w:t>
      </w:r>
      <w:r w:rsidRPr="006177C1">
        <w:rPr>
          <w:rFonts w:ascii="Arial" w:hAnsi="Arial" w:cs="Arial"/>
          <w:sz w:val="22"/>
          <w:szCs w:val="22"/>
        </w:rPr>
        <w:t xml:space="preserve">Available at: </w:t>
      </w:r>
      <w:hyperlink r:id="rId22" w:history="1">
        <w:r w:rsidRPr="006177C1">
          <w:rPr>
            <w:rStyle w:val="Hyperlink"/>
            <w:rFonts w:ascii="Arial" w:hAnsi="Arial" w:cs="Arial"/>
            <w:sz w:val="22"/>
            <w:szCs w:val="22"/>
          </w:rPr>
          <w:t>https://www.uwtsd.ac.uk/media/uwtsd-website/content-assets/documents/research/research-ethics-integrity-code-practice.pdf</w:t>
        </w:r>
      </w:hyperlink>
      <w:r w:rsidRPr="006177C1">
        <w:rPr>
          <w:rFonts w:ascii="Arial" w:hAnsi="Arial" w:cs="Arial"/>
          <w:sz w:val="22"/>
          <w:szCs w:val="22"/>
        </w:rPr>
        <w:t xml:space="preserve"> (Accessed: 13 April 2020). </w:t>
      </w:r>
      <w:r w:rsidRPr="006177C1">
        <w:rPr>
          <w:rFonts w:ascii="Arial" w:hAnsi="Arial" w:cs="Arial"/>
          <w:sz w:val="22"/>
          <w:szCs w:val="22"/>
        </w:rPr>
        <w:br/>
      </w:r>
    </w:p>
    <w:p w14:paraId="6CF8B30A" w14:textId="77777777" w:rsidR="000D74DD" w:rsidRPr="006177C1" w:rsidRDefault="000D74DD" w:rsidP="006177C1">
      <w:pPr>
        <w:spacing w:after="158"/>
        <w:ind w:left="1080"/>
        <w:rPr>
          <w:rFonts w:ascii="Arial" w:hAnsi="Arial" w:cs="Arial"/>
          <w:color w:val="0D0D0D" w:themeColor="text1" w:themeTint="F2"/>
          <w:sz w:val="22"/>
          <w:szCs w:val="22"/>
        </w:rPr>
      </w:pPr>
      <w:r w:rsidRPr="006177C1">
        <w:rPr>
          <w:rFonts w:ascii="Arial" w:hAnsi="Arial" w:cs="Arial"/>
          <w:color w:val="0D0D0D" w:themeColor="text1" w:themeTint="F2"/>
          <w:sz w:val="22"/>
          <w:szCs w:val="22"/>
          <w:shd w:val="clear" w:color="auto" w:fill="FFFFFF"/>
        </w:rPr>
        <w:t>Walsh, G., McMillan, D. and McGuinness, C. (2017)</w:t>
      </w:r>
      <w:r w:rsidRPr="006177C1">
        <w:rPr>
          <w:rStyle w:val="apple-converted-space"/>
          <w:rFonts w:ascii="Arial" w:hAnsi="Arial" w:cs="Arial"/>
          <w:color w:val="0D0D0D" w:themeColor="text1" w:themeTint="F2"/>
          <w:sz w:val="22"/>
          <w:szCs w:val="22"/>
          <w:shd w:val="clear" w:color="auto" w:fill="FFFFFF"/>
        </w:rPr>
        <w:t> </w:t>
      </w:r>
      <w:r w:rsidRPr="006177C1">
        <w:rPr>
          <w:rFonts w:ascii="Arial" w:hAnsi="Arial" w:cs="Arial"/>
          <w:i/>
          <w:iCs/>
          <w:color w:val="0D0D0D" w:themeColor="text1" w:themeTint="F2"/>
          <w:sz w:val="22"/>
          <w:szCs w:val="22"/>
        </w:rPr>
        <w:t xml:space="preserve">Playful Teaching </w:t>
      </w:r>
      <w:proofErr w:type="gramStart"/>
      <w:r w:rsidRPr="006177C1">
        <w:rPr>
          <w:rFonts w:ascii="Arial" w:hAnsi="Arial" w:cs="Arial"/>
          <w:i/>
          <w:iCs/>
          <w:color w:val="0D0D0D" w:themeColor="text1" w:themeTint="F2"/>
          <w:sz w:val="22"/>
          <w:szCs w:val="22"/>
        </w:rPr>
        <w:t>And</w:t>
      </w:r>
      <w:proofErr w:type="gramEnd"/>
      <w:r w:rsidRPr="006177C1">
        <w:rPr>
          <w:rFonts w:ascii="Arial" w:hAnsi="Arial" w:cs="Arial"/>
          <w:i/>
          <w:iCs/>
          <w:color w:val="0D0D0D" w:themeColor="text1" w:themeTint="F2"/>
          <w:sz w:val="22"/>
          <w:szCs w:val="22"/>
        </w:rPr>
        <w:t xml:space="preserve"> Learning</w:t>
      </w:r>
      <w:r w:rsidRPr="006177C1">
        <w:rPr>
          <w:rFonts w:ascii="Arial" w:hAnsi="Arial" w:cs="Arial"/>
          <w:color w:val="0D0D0D" w:themeColor="text1" w:themeTint="F2"/>
          <w:sz w:val="22"/>
          <w:szCs w:val="22"/>
          <w:shd w:val="clear" w:color="auto" w:fill="FFFFFF"/>
        </w:rPr>
        <w:t>. London: SAGE.</w:t>
      </w:r>
      <w:r w:rsidRPr="006177C1">
        <w:rPr>
          <w:rFonts w:ascii="Arial" w:hAnsi="Arial" w:cs="Arial"/>
          <w:color w:val="0D0D0D" w:themeColor="text1" w:themeTint="F2"/>
          <w:sz w:val="22"/>
          <w:szCs w:val="22"/>
          <w:shd w:val="clear" w:color="auto" w:fill="FFFFFF"/>
        </w:rPr>
        <w:br/>
      </w:r>
    </w:p>
    <w:p w14:paraId="1BF976A7" w14:textId="0F7A691A" w:rsidR="000D74DD" w:rsidRPr="006177C1" w:rsidRDefault="000D74DD" w:rsidP="006177C1">
      <w:pPr>
        <w:spacing w:after="158"/>
        <w:ind w:left="1080"/>
        <w:rPr>
          <w:rFonts w:ascii="Arial" w:hAnsi="Arial" w:cs="Arial"/>
          <w:sz w:val="22"/>
          <w:szCs w:val="22"/>
        </w:rPr>
      </w:pPr>
      <w:r w:rsidRPr="006177C1">
        <w:rPr>
          <w:rFonts w:ascii="Arial" w:hAnsi="Arial" w:cs="Arial"/>
          <w:sz w:val="22"/>
          <w:szCs w:val="22"/>
        </w:rPr>
        <w:t xml:space="preserve">Welsh Government (2014) </w:t>
      </w:r>
      <w:r w:rsidRPr="006177C1">
        <w:rPr>
          <w:rFonts w:ascii="Arial" w:hAnsi="Arial" w:cs="Arial"/>
          <w:i/>
          <w:iCs/>
          <w:sz w:val="22"/>
          <w:szCs w:val="22"/>
        </w:rPr>
        <w:t xml:space="preserve">Further steps outdoors. </w:t>
      </w:r>
      <w:r w:rsidRPr="006177C1">
        <w:rPr>
          <w:rFonts w:ascii="Arial" w:hAnsi="Arial" w:cs="Arial"/>
          <w:sz w:val="22"/>
          <w:szCs w:val="22"/>
        </w:rPr>
        <w:t xml:space="preserve">Available at: </w:t>
      </w:r>
      <w:hyperlink r:id="rId23" w:history="1">
        <w:r w:rsidRPr="006177C1">
          <w:rPr>
            <w:rStyle w:val="Hyperlink"/>
            <w:rFonts w:ascii="Arial" w:hAnsi="Arial" w:cs="Arial"/>
            <w:sz w:val="22"/>
            <w:szCs w:val="22"/>
          </w:rPr>
          <w:t>https://hwb.gov.wales/curriculum-for-wales-2008/foundation-phase/further-steps-outdoors</w:t>
        </w:r>
      </w:hyperlink>
      <w:r w:rsidRPr="006177C1">
        <w:rPr>
          <w:rFonts w:ascii="Arial" w:hAnsi="Arial" w:cs="Arial"/>
          <w:sz w:val="22"/>
          <w:szCs w:val="22"/>
        </w:rPr>
        <w:t xml:space="preserve"> (Accessed: </w:t>
      </w:r>
      <w:r w:rsidRPr="006177C1">
        <w:rPr>
          <w:rFonts w:ascii="Arial" w:eastAsia="Times New Roman" w:hAnsi="Arial" w:cs="Arial"/>
          <w:color w:val="000000"/>
          <w:sz w:val="22"/>
          <w:szCs w:val="22"/>
          <w:shd w:val="clear" w:color="auto" w:fill="FFFFFF"/>
          <w:lang w:eastAsia="en-GB"/>
        </w:rPr>
        <w:t>9 May 2020</w:t>
      </w:r>
      <w:r w:rsidRPr="006177C1">
        <w:rPr>
          <w:rFonts w:ascii="Arial" w:hAnsi="Arial" w:cs="Arial"/>
          <w:sz w:val="22"/>
          <w:szCs w:val="22"/>
        </w:rPr>
        <w:t xml:space="preserve">). </w:t>
      </w:r>
      <w:r w:rsidRPr="006177C1">
        <w:rPr>
          <w:rFonts w:ascii="Arial" w:hAnsi="Arial" w:cs="Arial"/>
          <w:sz w:val="22"/>
          <w:szCs w:val="22"/>
        </w:rPr>
        <w:br/>
      </w:r>
    </w:p>
    <w:p w14:paraId="4C49AD6C" w14:textId="661EC0EB" w:rsidR="000D74DD" w:rsidRPr="006177C1" w:rsidRDefault="000D74DD" w:rsidP="006177C1">
      <w:pPr>
        <w:spacing w:after="158"/>
        <w:ind w:left="1080"/>
        <w:rPr>
          <w:rFonts w:ascii="Arial" w:hAnsi="Arial" w:cs="Arial"/>
          <w:b/>
          <w:bCs/>
          <w:sz w:val="22"/>
          <w:szCs w:val="22"/>
        </w:rPr>
      </w:pPr>
      <w:r w:rsidRPr="006177C1">
        <w:rPr>
          <w:rFonts w:ascii="Arial" w:hAnsi="Arial" w:cs="Arial"/>
          <w:color w:val="000000"/>
          <w:sz w:val="22"/>
          <w:szCs w:val="22"/>
          <w:shd w:val="clear" w:color="auto" w:fill="FFFFFF"/>
        </w:rPr>
        <w:t xml:space="preserve">Welsh Government (2014) </w:t>
      </w:r>
      <w:r w:rsidRPr="006177C1">
        <w:rPr>
          <w:rFonts w:ascii="Arial" w:hAnsi="Arial" w:cs="Arial"/>
          <w:i/>
          <w:iCs/>
          <w:color w:val="000000"/>
          <w:sz w:val="22"/>
          <w:szCs w:val="22"/>
          <w:shd w:val="clear" w:color="auto" w:fill="FFFFFF"/>
        </w:rPr>
        <w:t>Wales – A Play Friendly Country</w:t>
      </w:r>
      <w:r w:rsidRPr="006177C1">
        <w:rPr>
          <w:rFonts w:ascii="Arial" w:hAnsi="Arial" w:cs="Arial"/>
          <w:color w:val="000000"/>
          <w:sz w:val="22"/>
          <w:szCs w:val="22"/>
          <w:shd w:val="clear" w:color="auto" w:fill="FFFFFF"/>
        </w:rPr>
        <w:t xml:space="preserve">. Available at: </w:t>
      </w:r>
      <w:hyperlink r:id="rId24" w:history="1">
        <w:r w:rsidRPr="006177C1">
          <w:rPr>
            <w:rStyle w:val="Hyperlink"/>
            <w:rFonts w:ascii="Arial" w:hAnsi="Arial" w:cs="Arial"/>
            <w:sz w:val="22"/>
            <w:szCs w:val="22"/>
            <w:shd w:val="clear" w:color="auto" w:fill="FFFFFF"/>
          </w:rPr>
          <w:t>https://gov.wales/sites/default/files/publications/2019-07/wales-a-play-friendly-country.pdf</w:t>
        </w:r>
      </w:hyperlink>
      <w:r w:rsidRPr="006177C1">
        <w:rPr>
          <w:rFonts w:ascii="Arial" w:hAnsi="Arial" w:cs="Arial"/>
          <w:color w:val="000000"/>
          <w:sz w:val="22"/>
          <w:szCs w:val="22"/>
          <w:shd w:val="clear" w:color="auto" w:fill="FFFFFF"/>
        </w:rPr>
        <w:t xml:space="preserve"> (Accessed: </w:t>
      </w:r>
      <w:r w:rsidRPr="006177C1">
        <w:rPr>
          <w:rFonts w:ascii="Arial" w:eastAsia="Times New Roman" w:hAnsi="Arial" w:cs="Arial"/>
          <w:color w:val="000000"/>
          <w:sz w:val="22"/>
          <w:szCs w:val="22"/>
          <w:shd w:val="clear" w:color="auto" w:fill="FFFFFF"/>
          <w:lang w:eastAsia="en-GB"/>
        </w:rPr>
        <w:t>9 May 2020</w:t>
      </w:r>
      <w:r w:rsidRPr="006177C1">
        <w:rPr>
          <w:rFonts w:ascii="Arial" w:hAnsi="Arial" w:cs="Arial"/>
          <w:color w:val="000000"/>
          <w:sz w:val="22"/>
          <w:szCs w:val="22"/>
          <w:shd w:val="clear" w:color="auto" w:fill="FFFFFF"/>
        </w:rPr>
        <w:t>).</w:t>
      </w:r>
      <w:r w:rsidRPr="006177C1">
        <w:rPr>
          <w:rFonts w:ascii="Arial" w:hAnsi="Arial" w:cs="Arial"/>
          <w:color w:val="000000"/>
          <w:sz w:val="22"/>
          <w:szCs w:val="22"/>
          <w:shd w:val="clear" w:color="auto" w:fill="FFFFFF"/>
        </w:rPr>
        <w:br/>
      </w:r>
    </w:p>
    <w:p w14:paraId="418EF063" w14:textId="44DBD33C" w:rsidR="000D74DD" w:rsidRPr="006177C1" w:rsidRDefault="000D74DD" w:rsidP="006177C1">
      <w:pPr>
        <w:spacing w:after="158"/>
        <w:ind w:left="1080"/>
        <w:rPr>
          <w:rFonts w:ascii="Arial" w:hAnsi="Arial" w:cs="Arial"/>
          <w:b/>
          <w:bCs/>
          <w:sz w:val="22"/>
          <w:szCs w:val="22"/>
        </w:rPr>
      </w:pPr>
      <w:r w:rsidRPr="006177C1">
        <w:rPr>
          <w:rFonts w:ascii="Arial" w:hAnsi="Arial" w:cs="Arial"/>
          <w:color w:val="000000"/>
          <w:sz w:val="22"/>
          <w:szCs w:val="22"/>
          <w:shd w:val="clear" w:color="auto" w:fill="FFFFFF"/>
        </w:rPr>
        <w:t xml:space="preserve">Welsh Government (2015) </w:t>
      </w:r>
      <w:r w:rsidRPr="006177C1">
        <w:rPr>
          <w:rFonts w:ascii="Arial" w:hAnsi="Arial" w:cs="Arial"/>
          <w:i/>
          <w:iCs/>
          <w:color w:val="000000"/>
          <w:sz w:val="22"/>
          <w:szCs w:val="22"/>
          <w:shd w:val="clear" w:color="auto" w:fill="FFFFFF"/>
        </w:rPr>
        <w:t xml:space="preserve">Foundation Phase Framework. </w:t>
      </w:r>
      <w:r w:rsidRPr="006177C1">
        <w:rPr>
          <w:rFonts w:ascii="Arial" w:hAnsi="Arial" w:cs="Arial"/>
          <w:color w:val="000000"/>
          <w:sz w:val="22"/>
          <w:szCs w:val="22"/>
          <w:shd w:val="clear" w:color="auto" w:fill="FFFFFF"/>
        </w:rPr>
        <w:t xml:space="preserve">Available at: </w:t>
      </w:r>
      <w:hyperlink r:id="rId25" w:history="1">
        <w:r w:rsidRPr="006177C1">
          <w:rPr>
            <w:rStyle w:val="Hyperlink"/>
            <w:rFonts w:ascii="Arial" w:eastAsia="Times New Roman" w:hAnsi="Arial" w:cs="Arial"/>
            <w:sz w:val="22"/>
            <w:szCs w:val="22"/>
            <w:shd w:val="clear" w:color="auto" w:fill="FFFFFF"/>
            <w:lang w:eastAsia="en-GB"/>
          </w:rPr>
          <w:t>https://hwb.gov.wales/storage/d5d8e39c-b534-40cb-a3f5-7e2e126d8077/foundation-phase-framework.pdf</w:t>
        </w:r>
      </w:hyperlink>
      <w:r w:rsidRPr="006177C1">
        <w:rPr>
          <w:rFonts w:ascii="Arial" w:hAnsi="Arial" w:cs="Arial"/>
          <w:color w:val="000000"/>
          <w:sz w:val="22"/>
          <w:szCs w:val="22"/>
          <w:shd w:val="clear" w:color="auto" w:fill="FFFFFF"/>
        </w:rPr>
        <w:t xml:space="preserve"> (Accessed: 9 May 2020). </w:t>
      </w:r>
      <w:r w:rsidRPr="006177C1">
        <w:rPr>
          <w:rFonts w:ascii="Arial" w:hAnsi="Arial" w:cs="Arial"/>
          <w:b/>
          <w:bCs/>
          <w:sz w:val="22"/>
          <w:szCs w:val="22"/>
        </w:rPr>
        <w:br/>
      </w:r>
    </w:p>
    <w:p w14:paraId="6ABBFA62" w14:textId="3EE02E72" w:rsidR="006177C1" w:rsidRDefault="000D74DD" w:rsidP="006177C1">
      <w:pPr>
        <w:spacing w:after="158"/>
        <w:ind w:left="1080"/>
        <w:rPr>
          <w:rFonts w:ascii="Arial" w:hAnsi="Arial" w:cs="Arial"/>
          <w:i/>
          <w:iCs/>
        </w:rPr>
      </w:pPr>
      <w:r w:rsidRPr="006177C1">
        <w:rPr>
          <w:rFonts w:ascii="Arial" w:hAnsi="Arial" w:cs="Arial"/>
          <w:sz w:val="22"/>
          <w:szCs w:val="22"/>
        </w:rPr>
        <w:t xml:space="preserve">Welsh Government Social Research (2013) </w:t>
      </w:r>
      <w:r w:rsidRPr="006177C1">
        <w:rPr>
          <w:rFonts w:ascii="Arial" w:hAnsi="Arial" w:cs="Arial"/>
          <w:i/>
          <w:iCs/>
          <w:sz w:val="22"/>
          <w:szCs w:val="22"/>
        </w:rPr>
        <w:t xml:space="preserve">Evaluating the Foundation Phase: Policy Logic Model and Programme Theory. </w:t>
      </w:r>
      <w:r w:rsidRPr="006177C1">
        <w:rPr>
          <w:rFonts w:ascii="Arial" w:hAnsi="Arial" w:cs="Arial"/>
          <w:sz w:val="22"/>
          <w:szCs w:val="22"/>
        </w:rPr>
        <w:t xml:space="preserve">Available at: </w:t>
      </w:r>
      <w:hyperlink r:id="rId26" w:history="1">
        <w:r w:rsidRPr="006177C1">
          <w:rPr>
            <w:rStyle w:val="Hyperlink"/>
            <w:rFonts w:ascii="Arial" w:hAnsi="Arial" w:cs="Arial"/>
            <w:sz w:val="22"/>
            <w:szCs w:val="22"/>
          </w:rPr>
          <w:t>https://orca.cf.ac.uk/88812/1/130318-evaluating-foundation-phase-policy-logic-model-programme-theory-en.pdf</w:t>
        </w:r>
      </w:hyperlink>
      <w:r w:rsidRPr="006177C1">
        <w:rPr>
          <w:rFonts w:ascii="Arial" w:hAnsi="Arial" w:cs="Arial"/>
          <w:sz w:val="22"/>
          <w:szCs w:val="22"/>
        </w:rPr>
        <w:t xml:space="preserve"> (Accessed: </w:t>
      </w:r>
      <w:r w:rsidRPr="006177C1">
        <w:rPr>
          <w:rFonts w:ascii="Arial" w:eastAsia="Times New Roman" w:hAnsi="Arial" w:cs="Arial"/>
          <w:color w:val="000000"/>
          <w:sz w:val="22"/>
          <w:szCs w:val="22"/>
          <w:shd w:val="clear" w:color="auto" w:fill="FFFFFF"/>
          <w:lang w:eastAsia="en-GB"/>
        </w:rPr>
        <w:t>9 May 2020</w:t>
      </w:r>
      <w:r w:rsidRPr="006177C1">
        <w:rPr>
          <w:rFonts w:ascii="Arial" w:hAnsi="Arial" w:cs="Arial"/>
          <w:sz w:val="22"/>
          <w:szCs w:val="22"/>
        </w:rPr>
        <w:t>).</w:t>
      </w:r>
    </w:p>
    <w:p w14:paraId="278C397B" w14:textId="2C0F050B" w:rsidR="006177C1" w:rsidRDefault="006177C1" w:rsidP="006177C1">
      <w:pPr>
        <w:spacing w:after="158"/>
        <w:rPr>
          <w:rFonts w:ascii="Arial" w:hAnsi="Arial" w:cs="Arial"/>
          <w:i/>
          <w:iCs/>
        </w:rPr>
      </w:pPr>
    </w:p>
    <w:p w14:paraId="768C8367" w14:textId="0799ED26" w:rsidR="006177C1" w:rsidRDefault="006177C1" w:rsidP="006177C1">
      <w:pPr>
        <w:spacing w:after="158"/>
        <w:rPr>
          <w:rFonts w:ascii="Arial" w:hAnsi="Arial" w:cs="Arial"/>
          <w:i/>
          <w:iCs/>
        </w:rPr>
      </w:pPr>
    </w:p>
    <w:p w14:paraId="372B7F7B" w14:textId="1AC65FC3" w:rsidR="006177C1" w:rsidRDefault="006177C1" w:rsidP="006177C1">
      <w:pPr>
        <w:spacing w:after="158"/>
        <w:rPr>
          <w:rFonts w:ascii="Arial" w:hAnsi="Arial" w:cs="Arial"/>
          <w:i/>
          <w:iCs/>
        </w:rPr>
      </w:pPr>
    </w:p>
    <w:p w14:paraId="475479A8" w14:textId="0ECBF641" w:rsidR="006177C1" w:rsidRDefault="006177C1" w:rsidP="006177C1">
      <w:pPr>
        <w:spacing w:after="158"/>
        <w:rPr>
          <w:rFonts w:ascii="Arial" w:hAnsi="Arial" w:cs="Arial"/>
          <w:i/>
          <w:iCs/>
        </w:rPr>
      </w:pPr>
    </w:p>
    <w:p w14:paraId="41B2D562" w14:textId="04B0EC2B" w:rsidR="006177C1" w:rsidRDefault="006177C1" w:rsidP="006177C1">
      <w:pPr>
        <w:spacing w:after="158"/>
        <w:rPr>
          <w:rFonts w:ascii="Arial" w:hAnsi="Arial" w:cs="Arial"/>
          <w:i/>
          <w:iCs/>
        </w:rPr>
      </w:pPr>
    </w:p>
    <w:p w14:paraId="1260DFC0" w14:textId="29749015" w:rsidR="006177C1" w:rsidRDefault="006177C1" w:rsidP="006177C1">
      <w:pPr>
        <w:spacing w:after="158"/>
        <w:rPr>
          <w:rFonts w:ascii="Arial" w:hAnsi="Arial" w:cs="Arial"/>
          <w:i/>
          <w:iCs/>
        </w:rPr>
      </w:pPr>
    </w:p>
    <w:p w14:paraId="5A4FF386" w14:textId="3962B3A4" w:rsidR="006177C1" w:rsidRDefault="006177C1" w:rsidP="006177C1">
      <w:pPr>
        <w:spacing w:after="158"/>
        <w:rPr>
          <w:rFonts w:ascii="Arial" w:hAnsi="Arial" w:cs="Arial"/>
          <w:i/>
          <w:iCs/>
        </w:rPr>
      </w:pPr>
    </w:p>
    <w:p w14:paraId="1A926775" w14:textId="77777777" w:rsidR="006177C1" w:rsidRDefault="006177C1" w:rsidP="006177C1">
      <w:pPr>
        <w:spacing w:after="158"/>
        <w:rPr>
          <w:rFonts w:ascii="Arial" w:hAnsi="Arial" w:cs="Arial"/>
          <w:i/>
          <w:iCs/>
        </w:rPr>
      </w:pPr>
    </w:p>
    <w:p w14:paraId="166F974B" w14:textId="520BC919" w:rsidR="006177C1" w:rsidRDefault="006177C1" w:rsidP="006177C1">
      <w:pPr>
        <w:spacing w:after="158"/>
        <w:rPr>
          <w:rFonts w:ascii="Arial" w:hAnsi="Arial" w:cs="Arial"/>
          <w:i/>
          <w:iCs/>
        </w:rPr>
      </w:pPr>
    </w:p>
    <w:p w14:paraId="292EAE68" w14:textId="7EE59BF3" w:rsidR="006177C1" w:rsidRDefault="006177C1" w:rsidP="006177C1">
      <w:pPr>
        <w:spacing w:after="158"/>
        <w:rPr>
          <w:rFonts w:ascii="Arial" w:hAnsi="Arial" w:cs="Arial"/>
          <w:i/>
          <w:iCs/>
        </w:rPr>
      </w:pPr>
    </w:p>
    <w:p w14:paraId="499CC71E" w14:textId="1E8F9DE5" w:rsidR="006177C1" w:rsidRDefault="006177C1" w:rsidP="006177C1">
      <w:pPr>
        <w:spacing w:after="158"/>
        <w:rPr>
          <w:rFonts w:ascii="Arial" w:hAnsi="Arial" w:cs="Arial"/>
          <w:i/>
          <w:iCs/>
        </w:rPr>
      </w:pPr>
    </w:p>
    <w:p w14:paraId="06A9256C" w14:textId="220D61CC" w:rsidR="006177C1" w:rsidRDefault="006177C1" w:rsidP="006177C1">
      <w:pPr>
        <w:spacing w:after="158"/>
        <w:rPr>
          <w:rFonts w:ascii="Arial" w:hAnsi="Arial" w:cs="Arial"/>
          <w:i/>
          <w:iCs/>
        </w:rPr>
      </w:pPr>
    </w:p>
    <w:p w14:paraId="766DA679" w14:textId="29A9A662" w:rsidR="006177C1" w:rsidRPr="006177C1" w:rsidRDefault="006177C1" w:rsidP="006177C1">
      <w:pPr>
        <w:spacing w:after="158"/>
        <w:rPr>
          <w:rFonts w:ascii="Arial" w:hAnsi="Arial" w:cs="Arial"/>
          <w:sz w:val="22"/>
          <w:szCs w:val="22"/>
        </w:rPr>
      </w:pPr>
      <w:r w:rsidRPr="006177C1">
        <w:rPr>
          <w:rFonts w:ascii="Arial" w:hAnsi="Arial" w:cs="Arial"/>
          <w:sz w:val="22"/>
          <w:szCs w:val="22"/>
        </w:rPr>
        <w:t xml:space="preserve">Appendix 1 </w:t>
      </w:r>
    </w:p>
    <w:p w14:paraId="7BF12A60" w14:textId="6DF39BB5" w:rsidR="006177C1" w:rsidRDefault="006177C1" w:rsidP="006177C1">
      <w:pPr>
        <w:spacing w:after="158"/>
        <w:rPr>
          <w:rFonts w:ascii="Arial" w:hAnsi="Arial" w:cs="Arial"/>
          <w:i/>
          <w:iCs/>
        </w:rPr>
      </w:pPr>
    </w:p>
    <w:p w14:paraId="35A97241" w14:textId="235A5B47" w:rsidR="006177C1" w:rsidRDefault="006177C1" w:rsidP="006177C1">
      <w:pPr>
        <w:spacing w:after="158"/>
        <w:rPr>
          <w:rFonts w:ascii="Arial" w:hAnsi="Arial" w:cs="Arial"/>
          <w:i/>
          <w:iCs/>
        </w:rPr>
      </w:pPr>
      <w:r w:rsidRPr="00A401D6">
        <w:rPr>
          <w:noProof/>
        </w:rPr>
        <w:drawing>
          <wp:inline distT="0" distB="0" distL="0" distR="0" wp14:anchorId="5C6C7088" wp14:editId="4174EA25">
            <wp:extent cx="5943600" cy="695198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6951980"/>
                    </a:xfrm>
                    <a:prstGeom prst="rect">
                      <a:avLst/>
                    </a:prstGeom>
                  </pic:spPr>
                </pic:pic>
              </a:graphicData>
            </a:graphic>
          </wp:inline>
        </w:drawing>
      </w:r>
    </w:p>
    <w:p w14:paraId="70346BCF" w14:textId="2618D2A5" w:rsidR="008E46A2" w:rsidRDefault="008E46A2" w:rsidP="00A42C78">
      <w:pPr>
        <w:spacing w:after="158"/>
        <w:rPr>
          <w:rFonts w:ascii="Arial" w:hAnsi="Arial" w:cs="Arial"/>
          <w:color w:val="191C1F"/>
        </w:rPr>
      </w:pPr>
    </w:p>
    <w:p w14:paraId="2155D3E4" w14:textId="2750F8AB" w:rsidR="008E46A2" w:rsidRPr="006177C1" w:rsidRDefault="006177C1" w:rsidP="00A42C78">
      <w:pPr>
        <w:spacing w:after="158"/>
        <w:rPr>
          <w:rFonts w:ascii="Arial" w:hAnsi="Arial" w:cs="Arial"/>
          <w:color w:val="191C1F"/>
          <w:sz w:val="22"/>
          <w:szCs w:val="22"/>
        </w:rPr>
      </w:pPr>
      <w:r w:rsidRPr="006177C1">
        <w:rPr>
          <w:rFonts w:ascii="Arial" w:hAnsi="Arial" w:cs="Arial"/>
          <w:color w:val="191C1F"/>
          <w:sz w:val="22"/>
          <w:szCs w:val="22"/>
        </w:rPr>
        <w:lastRenderedPageBreak/>
        <w:t xml:space="preserve">Appendix 2 </w:t>
      </w:r>
    </w:p>
    <w:p w14:paraId="68607C61" w14:textId="77777777" w:rsidR="006177C1" w:rsidRDefault="006177C1" w:rsidP="00A42C78">
      <w:pPr>
        <w:spacing w:after="158"/>
        <w:rPr>
          <w:rFonts w:ascii="Arial" w:hAnsi="Arial" w:cs="Arial"/>
          <w:color w:val="191C1F"/>
        </w:rPr>
      </w:pPr>
    </w:p>
    <w:p w14:paraId="431A671F" w14:textId="58BB37C8" w:rsidR="00947A50" w:rsidRPr="006177C1" w:rsidRDefault="00672476" w:rsidP="006177C1">
      <w:pPr>
        <w:spacing w:after="158"/>
        <w:rPr>
          <w:rFonts w:ascii="Arial" w:hAnsi="Arial" w:cs="Arial"/>
          <w:color w:val="191C1F"/>
        </w:rPr>
      </w:pPr>
      <w:r w:rsidRPr="00672476">
        <w:rPr>
          <w:rFonts w:ascii="Arial" w:hAnsi="Arial" w:cs="Arial"/>
          <w:color w:val="191C1F"/>
        </w:rPr>
        <w:drawing>
          <wp:inline distT="0" distB="0" distL="0" distR="0" wp14:anchorId="2157C8DA" wp14:editId="15638A79">
            <wp:extent cx="6603010" cy="7528560"/>
            <wp:effectExtent l="0" t="0" r="1270" b="2540"/>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11775" cy="7538554"/>
                    </a:xfrm>
                    <a:prstGeom prst="rect">
                      <a:avLst/>
                    </a:prstGeom>
                  </pic:spPr>
                </pic:pic>
              </a:graphicData>
            </a:graphic>
          </wp:inline>
        </w:drawing>
      </w:r>
    </w:p>
    <w:sectPr w:rsidR="00947A50" w:rsidRPr="006177C1" w:rsidSect="00B014CD">
      <w:headerReference w:type="default" r:id="rId29"/>
      <w:footerReference w:type="even" r:id="rId30"/>
      <w:footerReference w:type="default" r:id="rId31"/>
      <w:pgSz w:w="12240" w:h="15840"/>
      <w:pgMar w:top="1440" w:right="1440" w:bottom="1440" w:left="1440" w:header="720" w:footer="720" w:gutter="0"/>
      <w:pgNumType w:start="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826DB" w14:textId="77777777" w:rsidR="00CF727B" w:rsidRDefault="00CF727B" w:rsidP="008C3446">
      <w:r>
        <w:separator/>
      </w:r>
    </w:p>
  </w:endnote>
  <w:endnote w:type="continuationSeparator" w:id="0">
    <w:p w14:paraId="0F2183D5" w14:textId="77777777" w:rsidR="00CF727B" w:rsidRDefault="00CF727B" w:rsidP="008C34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9243212"/>
      <w:docPartObj>
        <w:docPartGallery w:val="Page Numbers (Bottom of Page)"/>
        <w:docPartUnique/>
      </w:docPartObj>
    </w:sdtPr>
    <w:sdtEndPr>
      <w:rPr>
        <w:rStyle w:val="PageNumber"/>
      </w:rPr>
    </w:sdtEndPr>
    <w:sdtContent>
      <w:p w14:paraId="6EDA0AFF" w14:textId="0F933F87" w:rsidR="00B014CD" w:rsidRDefault="00B014CD" w:rsidP="00B014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A7F7CB" w14:textId="77777777" w:rsidR="00B014CD" w:rsidRDefault="00B014CD" w:rsidP="00B014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2585320"/>
      <w:docPartObj>
        <w:docPartGallery w:val="Page Numbers (Bottom of Page)"/>
        <w:docPartUnique/>
      </w:docPartObj>
    </w:sdtPr>
    <w:sdtEndPr>
      <w:rPr>
        <w:rStyle w:val="PageNumber"/>
      </w:rPr>
    </w:sdtEndPr>
    <w:sdtContent>
      <w:p w14:paraId="12E9AAEE" w14:textId="40CF8B21" w:rsidR="00B014CD" w:rsidRDefault="00B014CD" w:rsidP="00B014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6A23BB" w14:textId="77777777" w:rsidR="00B014CD" w:rsidRDefault="00B014CD" w:rsidP="00B014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655315" w14:textId="77777777" w:rsidR="00CF727B" w:rsidRDefault="00CF727B" w:rsidP="008C3446">
      <w:r>
        <w:separator/>
      </w:r>
    </w:p>
  </w:footnote>
  <w:footnote w:type="continuationSeparator" w:id="0">
    <w:p w14:paraId="2F72A8B8" w14:textId="77777777" w:rsidR="00CF727B" w:rsidRDefault="00CF727B" w:rsidP="008C34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16D8D" w14:textId="6A4EBD1F" w:rsidR="00B014CD" w:rsidRDefault="00B014CD">
    <w:pPr>
      <w:pStyle w:val="Header"/>
    </w:pPr>
    <w:r>
      <w:t xml:space="preserve">Bethan </w:t>
    </w:r>
    <w:proofErr w:type="spellStart"/>
    <w:r>
      <w:t>Seabourne</w:t>
    </w:r>
    <w:proofErr w:type="spellEnd"/>
    <w:r>
      <w:t xml:space="preserve">   </w:t>
    </w:r>
    <w:r w:rsidR="00ED1F8B">
      <w:t xml:space="preserve">                                        </w:t>
    </w:r>
    <w:r>
      <w:t>ECAD40</w:t>
    </w:r>
    <w:r w:rsidR="000D74DD">
      <w:t>10</w:t>
    </w:r>
    <w:r>
      <w:t>-C</w:t>
    </w:r>
    <w:r w:rsidR="00ED1F8B">
      <w:t xml:space="preserve">                                                       </w:t>
    </w:r>
    <w:r>
      <w:t>1902312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8E6CBC"/>
    <w:multiLevelType w:val="hybridMultilevel"/>
    <w:tmpl w:val="9384C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D383E"/>
    <w:multiLevelType w:val="hybridMultilevel"/>
    <w:tmpl w:val="E032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36588"/>
    <w:multiLevelType w:val="hybridMultilevel"/>
    <w:tmpl w:val="C63695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31C3A"/>
    <w:multiLevelType w:val="hybridMultilevel"/>
    <w:tmpl w:val="9F4828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802"/>
    <w:rsid w:val="000B0CF0"/>
    <w:rsid w:val="000C7121"/>
    <w:rsid w:val="000D74DD"/>
    <w:rsid w:val="00100CD3"/>
    <w:rsid w:val="00130664"/>
    <w:rsid w:val="00141DF0"/>
    <w:rsid w:val="00145FF3"/>
    <w:rsid w:val="001E4674"/>
    <w:rsid w:val="00203DB0"/>
    <w:rsid w:val="00204ACA"/>
    <w:rsid w:val="00261165"/>
    <w:rsid w:val="00262D68"/>
    <w:rsid w:val="002E1A45"/>
    <w:rsid w:val="002E367F"/>
    <w:rsid w:val="002F7895"/>
    <w:rsid w:val="00323A9C"/>
    <w:rsid w:val="00333742"/>
    <w:rsid w:val="00370E30"/>
    <w:rsid w:val="00380535"/>
    <w:rsid w:val="00451834"/>
    <w:rsid w:val="00467AD0"/>
    <w:rsid w:val="00471812"/>
    <w:rsid w:val="004834B9"/>
    <w:rsid w:val="00490802"/>
    <w:rsid w:val="004C67EB"/>
    <w:rsid w:val="004D2E9D"/>
    <w:rsid w:val="004F6D9B"/>
    <w:rsid w:val="00561FDA"/>
    <w:rsid w:val="0058049B"/>
    <w:rsid w:val="006105D4"/>
    <w:rsid w:val="006177C1"/>
    <w:rsid w:val="00672476"/>
    <w:rsid w:val="006816BE"/>
    <w:rsid w:val="006A3D50"/>
    <w:rsid w:val="006A3D8E"/>
    <w:rsid w:val="006B2649"/>
    <w:rsid w:val="006B602E"/>
    <w:rsid w:val="006E39C9"/>
    <w:rsid w:val="006F3215"/>
    <w:rsid w:val="00724696"/>
    <w:rsid w:val="007403F1"/>
    <w:rsid w:val="007570B6"/>
    <w:rsid w:val="007B4710"/>
    <w:rsid w:val="007E2BA7"/>
    <w:rsid w:val="0080469C"/>
    <w:rsid w:val="00814647"/>
    <w:rsid w:val="00822438"/>
    <w:rsid w:val="0082426A"/>
    <w:rsid w:val="008369BD"/>
    <w:rsid w:val="008528FE"/>
    <w:rsid w:val="00856226"/>
    <w:rsid w:val="00871FAC"/>
    <w:rsid w:val="008A20E6"/>
    <w:rsid w:val="008B700D"/>
    <w:rsid w:val="008C3446"/>
    <w:rsid w:val="008E46A2"/>
    <w:rsid w:val="00931CDF"/>
    <w:rsid w:val="009379C9"/>
    <w:rsid w:val="00947A50"/>
    <w:rsid w:val="00963F13"/>
    <w:rsid w:val="00992D5F"/>
    <w:rsid w:val="00997C4D"/>
    <w:rsid w:val="009B3445"/>
    <w:rsid w:val="009D157E"/>
    <w:rsid w:val="009D3A1D"/>
    <w:rsid w:val="00A00B3E"/>
    <w:rsid w:val="00A42C78"/>
    <w:rsid w:val="00A57508"/>
    <w:rsid w:val="00A91F19"/>
    <w:rsid w:val="00AA3F31"/>
    <w:rsid w:val="00AF4193"/>
    <w:rsid w:val="00B014CD"/>
    <w:rsid w:val="00B030C1"/>
    <w:rsid w:val="00B31B39"/>
    <w:rsid w:val="00B357B4"/>
    <w:rsid w:val="00B36B37"/>
    <w:rsid w:val="00BD729C"/>
    <w:rsid w:val="00BE3E85"/>
    <w:rsid w:val="00C112D7"/>
    <w:rsid w:val="00C26BDB"/>
    <w:rsid w:val="00C33488"/>
    <w:rsid w:val="00C33ADA"/>
    <w:rsid w:val="00C41AF7"/>
    <w:rsid w:val="00C50C5E"/>
    <w:rsid w:val="00C569F2"/>
    <w:rsid w:val="00C75F8A"/>
    <w:rsid w:val="00C94A21"/>
    <w:rsid w:val="00CF727B"/>
    <w:rsid w:val="00D00385"/>
    <w:rsid w:val="00D265F9"/>
    <w:rsid w:val="00D36046"/>
    <w:rsid w:val="00D363B8"/>
    <w:rsid w:val="00D47EF0"/>
    <w:rsid w:val="00D652AA"/>
    <w:rsid w:val="00D93FF5"/>
    <w:rsid w:val="00DA1189"/>
    <w:rsid w:val="00DC4C33"/>
    <w:rsid w:val="00DD16CF"/>
    <w:rsid w:val="00DE2846"/>
    <w:rsid w:val="00DE303D"/>
    <w:rsid w:val="00DE3534"/>
    <w:rsid w:val="00E04052"/>
    <w:rsid w:val="00E22BBC"/>
    <w:rsid w:val="00E25C69"/>
    <w:rsid w:val="00E418AF"/>
    <w:rsid w:val="00E43A27"/>
    <w:rsid w:val="00E51187"/>
    <w:rsid w:val="00E54652"/>
    <w:rsid w:val="00E84C28"/>
    <w:rsid w:val="00ED1F8B"/>
    <w:rsid w:val="00ED794C"/>
    <w:rsid w:val="00F121E6"/>
    <w:rsid w:val="00F32C9E"/>
    <w:rsid w:val="00F3553F"/>
    <w:rsid w:val="00F52D32"/>
    <w:rsid w:val="00F81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2B25B"/>
  <w15:chartTrackingRefBased/>
  <w15:docId w15:val="{A7C9998A-97C7-7048-AB05-81E47F03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52A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42C7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1165"/>
    <w:rPr>
      <w:rFonts w:eastAsiaTheme="minorEastAsia"/>
      <w:sz w:val="22"/>
      <w:szCs w:val="22"/>
      <w:lang w:val="en-US" w:eastAsia="zh-CN"/>
    </w:rPr>
  </w:style>
  <w:style w:type="character" w:customStyle="1" w:styleId="NoSpacingChar">
    <w:name w:val="No Spacing Char"/>
    <w:basedOn w:val="DefaultParagraphFont"/>
    <w:link w:val="NoSpacing"/>
    <w:uiPriority w:val="1"/>
    <w:rsid w:val="00261165"/>
    <w:rPr>
      <w:rFonts w:eastAsiaTheme="minorEastAsia"/>
      <w:sz w:val="22"/>
      <w:szCs w:val="22"/>
      <w:lang w:val="en-US" w:eastAsia="zh-CN"/>
    </w:rPr>
  </w:style>
  <w:style w:type="paragraph" w:customStyle="1" w:styleId="fixed">
    <w:name w:val="fixed"/>
    <w:link w:val="fixedChar"/>
    <w:rsid w:val="00261165"/>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261165"/>
    <w:rPr>
      <w:rFonts w:ascii="Times New Roman" w:eastAsia="Times New Roman" w:hAnsi="Times New Roman" w:cs="Times New Roman"/>
      <w:b/>
      <w:lang w:eastAsia="en-GB"/>
    </w:rPr>
  </w:style>
  <w:style w:type="table" w:styleId="TableGrid">
    <w:name w:val="Table Grid"/>
    <w:basedOn w:val="TableNormal"/>
    <w:uiPriority w:val="39"/>
    <w:rsid w:val="002611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652A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652AA"/>
    <w:rPr>
      <w:color w:val="0563C1" w:themeColor="hyperlink"/>
      <w:u w:val="single"/>
    </w:rPr>
  </w:style>
  <w:style w:type="character" w:styleId="UnresolvedMention">
    <w:name w:val="Unresolved Mention"/>
    <w:basedOn w:val="DefaultParagraphFont"/>
    <w:uiPriority w:val="99"/>
    <w:semiHidden/>
    <w:unhideWhenUsed/>
    <w:rsid w:val="00D652AA"/>
    <w:rPr>
      <w:color w:val="605E5C"/>
      <w:shd w:val="clear" w:color="auto" w:fill="E1DFDD"/>
    </w:rPr>
  </w:style>
  <w:style w:type="paragraph" w:styleId="Header">
    <w:name w:val="header"/>
    <w:basedOn w:val="Normal"/>
    <w:link w:val="HeaderChar"/>
    <w:uiPriority w:val="99"/>
    <w:unhideWhenUsed/>
    <w:rsid w:val="008C3446"/>
    <w:pPr>
      <w:tabs>
        <w:tab w:val="center" w:pos="4513"/>
        <w:tab w:val="right" w:pos="9026"/>
      </w:tabs>
    </w:pPr>
  </w:style>
  <w:style w:type="character" w:customStyle="1" w:styleId="HeaderChar">
    <w:name w:val="Header Char"/>
    <w:basedOn w:val="DefaultParagraphFont"/>
    <w:link w:val="Header"/>
    <w:uiPriority w:val="99"/>
    <w:rsid w:val="008C3446"/>
  </w:style>
  <w:style w:type="paragraph" w:styleId="Footer">
    <w:name w:val="footer"/>
    <w:basedOn w:val="Normal"/>
    <w:link w:val="FooterChar"/>
    <w:uiPriority w:val="99"/>
    <w:unhideWhenUsed/>
    <w:rsid w:val="008C3446"/>
    <w:pPr>
      <w:tabs>
        <w:tab w:val="center" w:pos="4513"/>
        <w:tab w:val="right" w:pos="9026"/>
      </w:tabs>
    </w:pPr>
  </w:style>
  <w:style w:type="character" w:customStyle="1" w:styleId="FooterChar">
    <w:name w:val="Footer Char"/>
    <w:basedOn w:val="DefaultParagraphFont"/>
    <w:link w:val="Footer"/>
    <w:uiPriority w:val="99"/>
    <w:rsid w:val="008C3446"/>
  </w:style>
  <w:style w:type="paragraph" w:styleId="ListParagraph">
    <w:name w:val="List Paragraph"/>
    <w:basedOn w:val="Normal"/>
    <w:uiPriority w:val="34"/>
    <w:qFormat/>
    <w:rsid w:val="00947A50"/>
    <w:pPr>
      <w:ind w:left="720"/>
      <w:contextualSpacing/>
    </w:pPr>
  </w:style>
  <w:style w:type="character" w:styleId="FollowedHyperlink">
    <w:name w:val="FollowedHyperlink"/>
    <w:basedOn w:val="DefaultParagraphFont"/>
    <w:uiPriority w:val="99"/>
    <w:semiHidden/>
    <w:unhideWhenUsed/>
    <w:rsid w:val="00947A50"/>
    <w:rPr>
      <w:color w:val="954F72" w:themeColor="followedHyperlink"/>
      <w:u w:val="single"/>
    </w:rPr>
  </w:style>
  <w:style w:type="character" w:styleId="PageNumber">
    <w:name w:val="page number"/>
    <w:basedOn w:val="DefaultParagraphFont"/>
    <w:uiPriority w:val="99"/>
    <w:semiHidden/>
    <w:unhideWhenUsed/>
    <w:rsid w:val="00B014CD"/>
  </w:style>
  <w:style w:type="character" w:customStyle="1" w:styleId="Heading2Char">
    <w:name w:val="Heading 2 Char"/>
    <w:basedOn w:val="DefaultParagraphFont"/>
    <w:link w:val="Heading2"/>
    <w:uiPriority w:val="9"/>
    <w:semiHidden/>
    <w:rsid w:val="00A42C7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42C7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C4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5099496">
      <w:bodyDiv w:val="1"/>
      <w:marLeft w:val="0"/>
      <w:marRight w:val="0"/>
      <w:marTop w:val="0"/>
      <w:marBottom w:val="0"/>
      <w:divBdr>
        <w:top w:val="none" w:sz="0" w:space="0" w:color="auto"/>
        <w:left w:val="none" w:sz="0" w:space="0" w:color="auto"/>
        <w:bottom w:val="none" w:sz="0" w:space="0" w:color="auto"/>
        <w:right w:val="none" w:sz="0" w:space="0" w:color="auto"/>
      </w:divBdr>
    </w:div>
    <w:div w:id="187827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3-eu-west-1.amazonaws.com/hwb-live-storage/a8/9c/a8/ee/f299432c801d025d875da415/observing-children.pdf" TargetMode="External"/><Relationship Id="rId18" Type="http://schemas.openxmlformats.org/officeDocument/2006/relationships/hyperlink" Target="https://web-a-ebscohost-com.ezproxy.uwtsd.ac.uk/ehost/detail/detail?vid=2&amp;sid=0fed9d90-238e-4a6e-9d94-ccf7ab494865%40sdc-v-sessmgr01&amp;bdata=JnNpdGU9ZWhvc3QtbGl2ZQ%3d%3d" TargetMode="External"/><Relationship Id="rId26" Type="http://schemas.openxmlformats.org/officeDocument/2006/relationships/hyperlink" Target="https://orca.cf.ac.uk/88812/1/130318-evaluating-foundation-phase-policy-logic-model-programme-theory-en.pdf" TargetMode="External"/><Relationship Id="rId3" Type="http://schemas.openxmlformats.org/officeDocument/2006/relationships/numbering" Target="numbering.xml"/><Relationship Id="rId21" Type="http://schemas.openxmlformats.org/officeDocument/2006/relationships/hyperlink" Target="https://education.nsw.gov.au/teaching-and-learning/professional-learning/evaluation-resource-hub/collecting-data/observation" TargetMode="External"/><Relationship Id="rId7" Type="http://schemas.openxmlformats.org/officeDocument/2006/relationships/footnotes" Target="footnotes.xml"/><Relationship Id="rId12" Type="http://schemas.openxmlformats.org/officeDocument/2006/relationships/hyperlink" Target="https://hwb.gov.wales/storage/52aae98d-65ed-4065-9222-1a7876e150de/play-active-learning-overview-for-3-to-7-year-olds.pdf" TargetMode="External"/><Relationship Id="rId17" Type="http://schemas.openxmlformats.org/officeDocument/2006/relationships/hyperlink" Target="https://search-proquest-com.ezproxy.uwtsd.ac.uk/docview/1644636189/fulltext/BCD570DE1F5149D6PQ/1?accountid=130472" TargetMode="External"/><Relationship Id="rId25" Type="http://schemas.openxmlformats.org/officeDocument/2006/relationships/hyperlink" Target="https://hwb.gov.wales/storage/d5d8e39c-b534-40cb-a3f5-7e2e126d8077/foundation-phase-framework.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uowtsd-my.sharepoint.com/:p:/g/personal/alison_evans2_uwtsd_ac_uk/EV8OZQFwWTxInYZ4CVMFFDEBQDRyM39aIDIG0n7ZPtkH0w?e=oeT6fk&amp;wdLOR=c2695C2A3-6A67-5B42-B1DB-5FC617B46131" TargetMode="External"/><Relationship Id="rId20" Type="http://schemas.openxmlformats.org/officeDocument/2006/relationships/hyperlink" Target="https://www.mentalhealth.org.uk/sites/default/files/FF16%20Wales.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gov.wales/storage/8f0b360f-f1f6-4bec-b11a-df88168007f9/learning-and-teaching-pedagogy.pdf" TargetMode="External"/><Relationship Id="rId24" Type="http://schemas.openxmlformats.org/officeDocument/2006/relationships/hyperlink" Target="https://gov.wales/sites/default/files/publications/2019-07/wales-a-play-friendly-country.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styn.gov.wales/effective-practice/learning-through-play-support-independent-learning" TargetMode="External"/><Relationship Id="rId23" Type="http://schemas.openxmlformats.org/officeDocument/2006/relationships/hyperlink" Target="https://hwb.gov.wales/curriculum-for-wales-2008/foundation-phase/further-steps-outdoors" TargetMode="External"/><Relationship Id="rId28" Type="http://schemas.openxmlformats.org/officeDocument/2006/relationships/image" Target="media/image2.tiff"/><Relationship Id="rId10" Type="http://schemas.openxmlformats.org/officeDocument/2006/relationships/hyperlink" Target="https://www.childcomwales.org.uk/uncrc-childrens-rights/uncrc/" TargetMode="External"/><Relationship Id="rId19" Type="http://schemas.openxmlformats.org/officeDocument/2006/relationships/hyperlink" Target="http://expertisecentrum.cego.be/wp-content/uploads/2019/07/Laevers_2011_ChildEncyclopedia.pdf"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youtube.com/watch?v=yt69atPdg3I" TargetMode="External"/><Relationship Id="rId22" Type="http://schemas.openxmlformats.org/officeDocument/2006/relationships/hyperlink" Target="https://www.uwtsd.ac.uk/media/uwtsd-website/content-assets/documents/research/research-ethics-integrity-code-practice.pdf" TargetMode="External"/><Relationship Id="rId27" Type="http://schemas.openxmlformats.org/officeDocument/2006/relationships/image" Target="media/image1.tiff"/><Relationship Id="rId30" Type="http://schemas.openxmlformats.org/officeDocument/2006/relationships/footer" Target="foot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183447-A948-BE48-B86D-1D7057EB4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10</Pages>
  <Words>3210</Words>
  <Characters>18302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ECAD4009-C: Cycle 1 Learners, Schools and Communities: where am I teaching?</vt:lpstr>
    </vt:vector>
  </TitlesOfParts>
  <Company>University of Wales trinity saint david - carmarthen</Company>
  <LinksUpToDate>false</LinksUpToDate>
  <CharactersWithSpaces>21470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ECAD4010-C: Cycle 1 Researching the Learning: what, how and why am I teaching?</dc:title>
  <dc:subject/>
  <dc:creator>Bethan Seabourne (1902312)</dc:creator>
  <cp:keywords/>
  <dc:description/>
  <cp:lastModifiedBy>Bethan Seabourne (1902312)</cp:lastModifiedBy>
  <cp:revision>7</cp:revision>
  <dcterms:created xsi:type="dcterms:W3CDTF">2020-05-15T19:30:00Z</dcterms:created>
  <dcterms:modified xsi:type="dcterms:W3CDTF">2020-05-15T19:52:00Z</dcterms:modified>
</cp:coreProperties>
</file>