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48558" w14:textId="0277DEF4" w:rsidR="004E6000" w:rsidRPr="00A77300" w:rsidRDefault="004E6000" w:rsidP="004E6000">
      <w:pPr>
        <w:pStyle w:val="Default"/>
        <w:rPr>
          <w:lang w:val="en-GB"/>
        </w:rPr>
      </w:pPr>
    </w:p>
    <w:p w14:paraId="4BB0EC5D" w14:textId="5D688EB1" w:rsidR="00E62723" w:rsidRDefault="00E62723" w:rsidP="004E6000">
      <w:pPr>
        <w:pStyle w:val="Default"/>
      </w:pPr>
    </w:p>
    <w:p w14:paraId="0F370428" w14:textId="4CA71C91" w:rsidR="00E62723" w:rsidRDefault="00E62723" w:rsidP="004E6000">
      <w:pPr>
        <w:pStyle w:val="Default"/>
      </w:pPr>
    </w:p>
    <w:p w14:paraId="41FFBCB2" w14:textId="0AF6C039" w:rsidR="00E62723" w:rsidRDefault="00E62723" w:rsidP="004E6000">
      <w:pPr>
        <w:pStyle w:val="Default"/>
      </w:pPr>
    </w:p>
    <w:p w14:paraId="37391017" w14:textId="232B23D7" w:rsidR="00E62723" w:rsidRDefault="00E62723" w:rsidP="004E6000">
      <w:pPr>
        <w:pStyle w:val="Default"/>
      </w:pPr>
    </w:p>
    <w:p w14:paraId="490AAEA5" w14:textId="39DACAFB" w:rsidR="00E62723" w:rsidRDefault="00E62723" w:rsidP="004E6000">
      <w:pPr>
        <w:pStyle w:val="Default"/>
      </w:pPr>
    </w:p>
    <w:p w14:paraId="19A9CD43" w14:textId="22344128" w:rsidR="00E62723" w:rsidRDefault="00E62723" w:rsidP="004E6000">
      <w:pPr>
        <w:pStyle w:val="Default"/>
      </w:pPr>
    </w:p>
    <w:p w14:paraId="49B46FC0" w14:textId="2A2FF8E2" w:rsidR="00E62723" w:rsidRDefault="00E62723" w:rsidP="004E6000">
      <w:pPr>
        <w:pStyle w:val="Default"/>
      </w:pPr>
    </w:p>
    <w:p w14:paraId="0D6BD1AB" w14:textId="7C573F3F" w:rsidR="00E62723" w:rsidRDefault="00E62723" w:rsidP="004E6000">
      <w:pPr>
        <w:pStyle w:val="Default"/>
      </w:pPr>
    </w:p>
    <w:p w14:paraId="3A224195" w14:textId="4F3AC7F8" w:rsidR="00E62723" w:rsidRDefault="00E62723" w:rsidP="004E6000">
      <w:pPr>
        <w:pStyle w:val="Default"/>
      </w:pPr>
    </w:p>
    <w:p w14:paraId="1D1662F1" w14:textId="7EDE75F6" w:rsidR="00E62723" w:rsidRDefault="00E62723" w:rsidP="004E6000">
      <w:pPr>
        <w:pStyle w:val="Default"/>
      </w:pPr>
    </w:p>
    <w:p w14:paraId="37606A56" w14:textId="08DC2469" w:rsidR="00E62723" w:rsidRDefault="00E62723" w:rsidP="004E6000">
      <w:pPr>
        <w:pStyle w:val="Default"/>
      </w:pPr>
    </w:p>
    <w:p w14:paraId="73F61998" w14:textId="77777777" w:rsidR="00E62723" w:rsidRPr="00E62723" w:rsidRDefault="00E62723" w:rsidP="004E6000">
      <w:pPr>
        <w:pStyle w:val="Default"/>
        <w:rPr>
          <w:lang w:val="en-GB"/>
        </w:rPr>
      </w:pPr>
    </w:p>
    <w:p w14:paraId="63BA896C" w14:textId="0636E18F" w:rsidR="00E62723" w:rsidRDefault="00E62723" w:rsidP="00E62723">
      <w:pPr>
        <w:spacing w:line="259" w:lineRule="auto"/>
        <w:jc w:val="center"/>
        <w:rPr>
          <w:b/>
          <w:bCs/>
          <w:sz w:val="36"/>
          <w:szCs w:val="44"/>
        </w:rPr>
      </w:pPr>
      <w:r w:rsidRPr="00E62723">
        <w:rPr>
          <w:b/>
          <w:bCs/>
          <w:sz w:val="36"/>
          <w:szCs w:val="44"/>
        </w:rPr>
        <w:t>LCBB4002</w:t>
      </w:r>
    </w:p>
    <w:p w14:paraId="639B23A4" w14:textId="4F35F310" w:rsidR="00E62723" w:rsidRPr="00E62723" w:rsidRDefault="00E62723" w:rsidP="00E62723">
      <w:pPr>
        <w:spacing w:line="259" w:lineRule="auto"/>
        <w:jc w:val="center"/>
        <w:rPr>
          <w:rFonts w:eastAsiaTheme="majorEastAsia" w:cstheme="majorBidi"/>
          <w:b/>
          <w:bCs/>
          <w:color w:val="000000" w:themeColor="text1"/>
          <w:sz w:val="48"/>
          <w:szCs w:val="56"/>
        </w:rPr>
      </w:pPr>
      <w:r w:rsidRPr="00E62723">
        <w:rPr>
          <w:b/>
          <w:bCs/>
          <w:sz w:val="36"/>
          <w:szCs w:val="44"/>
        </w:rPr>
        <w:t>Community Engagement</w:t>
      </w:r>
    </w:p>
    <w:p w14:paraId="30EFD32C" w14:textId="77777777" w:rsidR="00251722" w:rsidRDefault="00251722" w:rsidP="00251722">
      <w:pPr>
        <w:jc w:val="center"/>
        <w:rPr>
          <w:b/>
          <w:sz w:val="36"/>
          <w:szCs w:val="36"/>
        </w:rPr>
      </w:pPr>
      <w:r>
        <w:rPr>
          <w:b/>
          <w:sz w:val="36"/>
          <w:szCs w:val="36"/>
        </w:rPr>
        <w:t>Student ID:2114394</w:t>
      </w:r>
    </w:p>
    <w:p w14:paraId="1A1FC0D9" w14:textId="1B7B3096" w:rsidR="00E62723" w:rsidRDefault="00E62723" w:rsidP="00E62723">
      <w:pPr>
        <w:spacing w:line="259" w:lineRule="auto"/>
        <w:jc w:val="center"/>
        <w:rPr>
          <w:rFonts w:asciiTheme="majorHAnsi" w:eastAsiaTheme="majorEastAsia" w:hAnsiTheme="majorHAnsi" w:cstheme="majorBidi"/>
          <w:color w:val="2F5496" w:themeColor="accent1" w:themeShade="BF"/>
          <w:sz w:val="32"/>
          <w:szCs w:val="32"/>
          <w:lang w:val="en-US" w:bidi="ar-SA"/>
        </w:rPr>
      </w:pPr>
      <w:bookmarkStart w:id="0" w:name="_GoBack"/>
      <w:bookmarkEnd w:id="0"/>
      <w:r>
        <w:br w:type="page"/>
      </w:r>
    </w:p>
    <w:sdt>
      <w:sdtPr>
        <w:rPr>
          <w:rFonts w:ascii="Times New Roman" w:eastAsiaTheme="minorHAnsi" w:hAnsi="Times New Roman" w:cstheme="minorBidi"/>
          <w:color w:val="auto"/>
          <w:sz w:val="22"/>
          <w:szCs w:val="28"/>
          <w:lang w:val="en-GB" w:bidi="bn-BD"/>
        </w:rPr>
        <w:id w:val="2132973082"/>
        <w:docPartObj>
          <w:docPartGallery w:val="Table of Contents"/>
          <w:docPartUnique/>
        </w:docPartObj>
      </w:sdtPr>
      <w:sdtEndPr>
        <w:rPr>
          <w:b/>
          <w:bCs/>
          <w:noProof/>
        </w:rPr>
      </w:sdtEndPr>
      <w:sdtContent>
        <w:p w14:paraId="3DF86F58" w14:textId="24C7A55E" w:rsidR="00E62723" w:rsidRPr="00E62723" w:rsidRDefault="00E62723" w:rsidP="00E62723">
          <w:pPr>
            <w:pStyle w:val="TOCHeading"/>
            <w:spacing w:line="360" w:lineRule="auto"/>
            <w:rPr>
              <w:rFonts w:ascii="Times New Roman" w:hAnsi="Times New Roman" w:cs="Times New Roman"/>
              <w:b/>
              <w:bCs/>
            </w:rPr>
          </w:pPr>
          <w:r w:rsidRPr="00E62723">
            <w:rPr>
              <w:rFonts w:ascii="Times New Roman" w:hAnsi="Times New Roman" w:cs="Times New Roman"/>
              <w:b/>
              <w:bCs/>
            </w:rPr>
            <w:t>Table of Contents</w:t>
          </w:r>
        </w:p>
        <w:p w14:paraId="5E8ADCA6" w14:textId="4C9DC8F2" w:rsidR="00DB4D8A" w:rsidRDefault="00E62723">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02140974" w:history="1">
            <w:r w:rsidR="00DB4D8A" w:rsidRPr="008D5E05">
              <w:rPr>
                <w:rStyle w:val="Hyperlink"/>
                <w:noProof/>
              </w:rPr>
              <w:t>Introduction</w:t>
            </w:r>
            <w:r w:rsidR="00DB4D8A">
              <w:rPr>
                <w:noProof/>
                <w:webHidden/>
              </w:rPr>
              <w:tab/>
            </w:r>
            <w:r w:rsidR="00DB4D8A">
              <w:rPr>
                <w:noProof/>
                <w:webHidden/>
              </w:rPr>
              <w:fldChar w:fldCharType="begin"/>
            </w:r>
            <w:r w:rsidR="00DB4D8A">
              <w:rPr>
                <w:noProof/>
                <w:webHidden/>
              </w:rPr>
              <w:instrText xml:space="preserve"> PAGEREF _Toc102140974 \h </w:instrText>
            </w:r>
            <w:r w:rsidR="00DB4D8A">
              <w:rPr>
                <w:noProof/>
                <w:webHidden/>
              </w:rPr>
            </w:r>
            <w:r w:rsidR="00DB4D8A">
              <w:rPr>
                <w:noProof/>
                <w:webHidden/>
              </w:rPr>
              <w:fldChar w:fldCharType="separate"/>
            </w:r>
            <w:r w:rsidR="00DB4D8A">
              <w:rPr>
                <w:noProof/>
                <w:webHidden/>
              </w:rPr>
              <w:t>3</w:t>
            </w:r>
            <w:r w:rsidR="00DB4D8A">
              <w:rPr>
                <w:noProof/>
                <w:webHidden/>
              </w:rPr>
              <w:fldChar w:fldCharType="end"/>
            </w:r>
          </w:hyperlink>
        </w:p>
        <w:p w14:paraId="103FB3EF" w14:textId="5E67550F" w:rsidR="00DB4D8A" w:rsidRDefault="006B7558">
          <w:pPr>
            <w:pStyle w:val="TOC1"/>
            <w:tabs>
              <w:tab w:val="right" w:leader="dot" w:pos="9016"/>
            </w:tabs>
            <w:rPr>
              <w:rFonts w:asciiTheme="minorHAnsi" w:eastAsiaTheme="minorEastAsia" w:hAnsiTheme="minorHAnsi"/>
              <w:noProof/>
            </w:rPr>
          </w:pPr>
          <w:hyperlink w:anchor="_Toc102140975" w:history="1">
            <w:r w:rsidR="00DB4D8A" w:rsidRPr="008D5E05">
              <w:rPr>
                <w:rStyle w:val="Hyperlink"/>
                <w:noProof/>
              </w:rPr>
              <w:t>Understanding and evaluating the concept of community engagement and adopting principles and standards that will enable one to engage with stakeholders across different organisations</w:t>
            </w:r>
            <w:r w:rsidR="00DB4D8A">
              <w:rPr>
                <w:noProof/>
                <w:webHidden/>
              </w:rPr>
              <w:tab/>
            </w:r>
            <w:r w:rsidR="00DB4D8A">
              <w:rPr>
                <w:noProof/>
                <w:webHidden/>
              </w:rPr>
              <w:fldChar w:fldCharType="begin"/>
            </w:r>
            <w:r w:rsidR="00DB4D8A">
              <w:rPr>
                <w:noProof/>
                <w:webHidden/>
              </w:rPr>
              <w:instrText xml:space="preserve"> PAGEREF _Toc102140975 \h </w:instrText>
            </w:r>
            <w:r w:rsidR="00DB4D8A">
              <w:rPr>
                <w:noProof/>
                <w:webHidden/>
              </w:rPr>
            </w:r>
            <w:r w:rsidR="00DB4D8A">
              <w:rPr>
                <w:noProof/>
                <w:webHidden/>
              </w:rPr>
              <w:fldChar w:fldCharType="separate"/>
            </w:r>
            <w:r w:rsidR="00DB4D8A">
              <w:rPr>
                <w:noProof/>
                <w:webHidden/>
              </w:rPr>
              <w:t>3</w:t>
            </w:r>
            <w:r w:rsidR="00DB4D8A">
              <w:rPr>
                <w:noProof/>
                <w:webHidden/>
              </w:rPr>
              <w:fldChar w:fldCharType="end"/>
            </w:r>
          </w:hyperlink>
        </w:p>
        <w:p w14:paraId="76E69350" w14:textId="627190DD" w:rsidR="00DB4D8A" w:rsidRDefault="006B7558">
          <w:pPr>
            <w:pStyle w:val="TOC1"/>
            <w:tabs>
              <w:tab w:val="right" w:leader="dot" w:pos="9016"/>
            </w:tabs>
            <w:rPr>
              <w:rFonts w:asciiTheme="minorHAnsi" w:eastAsiaTheme="minorEastAsia" w:hAnsiTheme="minorHAnsi"/>
              <w:noProof/>
            </w:rPr>
          </w:pPr>
          <w:hyperlink w:anchor="_Toc102140976" w:history="1">
            <w:r w:rsidR="00DB4D8A" w:rsidRPr="008D5E05">
              <w:rPr>
                <w:rStyle w:val="Hyperlink"/>
                <w:noProof/>
              </w:rPr>
              <w:t>Developing and evaluating interpersonal skills that stimulate one’s creative thinking and apply logical thinking in real-world situations</w:t>
            </w:r>
            <w:r w:rsidR="00DB4D8A">
              <w:rPr>
                <w:noProof/>
                <w:webHidden/>
              </w:rPr>
              <w:tab/>
            </w:r>
            <w:r w:rsidR="00DB4D8A">
              <w:rPr>
                <w:noProof/>
                <w:webHidden/>
              </w:rPr>
              <w:fldChar w:fldCharType="begin"/>
            </w:r>
            <w:r w:rsidR="00DB4D8A">
              <w:rPr>
                <w:noProof/>
                <w:webHidden/>
              </w:rPr>
              <w:instrText xml:space="preserve"> PAGEREF _Toc102140976 \h </w:instrText>
            </w:r>
            <w:r w:rsidR="00DB4D8A">
              <w:rPr>
                <w:noProof/>
                <w:webHidden/>
              </w:rPr>
            </w:r>
            <w:r w:rsidR="00DB4D8A">
              <w:rPr>
                <w:noProof/>
                <w:webHidden/>
              </w:rPr>
              <w:fldChar w:fldCharType="separate"/>
            </w:r>
            <w:r w:rsidR="00DB4D8A">
              <w:rPr>
                <w:noProof/>
                <w:webHidden/>
              </w:rPr>
              <w:t>5</w:t>
            </w:r>
            <w:r w:rsidR="00DB4D8A">
              <w:rPr>
                <w:noProof/>
                <w:webHidden/>
              </w:rPr>
              <w:fldChar w:fldCharType="end"/>
            </w:r>
          </w:hyperlink>
        </w:p>
        <w:p w14:paraId="06AE6CCF" w14:textId="6658CC83" w:rsidR="00DB4D8A" w:rsidRDefault="006B7558">
          <w:pPr>
            <w:pStyle w:val="TOC1"/>
            <w:tabs>
              <w:tab w:val="right" w:leader="dot" w:pos="9016"/>
            </w:tabs>
            <w:rPr>
              <w:rFonts w:asciiTheme="minorHAnsi" w:eastAsiaTheme="minorEastAsia" w:hAnsiTheme="minorHAnsi"/>
              <w:noProof/>
            </w:rPr>
          </w:pPr>
          <w:hyperlink w:anchor="_Toc102140977" w:history="1">
            <w:r w:rsidR="00DB4D8A" w:rsidRPr="008D5E05">
              <w:rPr>
                <w:rStyle w:val="Hyperlink"/>
                <w:noProof/>
              </w:rPr>
              <w:t>Conclusion</w:t>
            </w:r>
            <w:r w:rsidR="00DB4D8A">
              <w:rPr>
                <w:noProof/>
                <w:webHidden/>
              </w:rPr>
              <w:tab/>
            </w:r>
            <w:r w:rsidR="00DB4D8A">
              <w:rPr>
                <w:noProof/>
                <w:webHidden/>
              </w:rPr>
              <w:fldChar w:fldCharType="begin"/>
            </w:r>
            <w:r w:rsidR="00DB4D8A">
              <w:rPr>
                <w:noProof/>
                <w:webHidden/>
              </w:rPr>
              <w:instrText xml:space="preserve"> PAGEREF _Toc102140977 \h </w:instrText>
            </w:r>
            <w:r w:rsidR="00DB4D8A">
              <w:rPr>
                <w:noProof/>
                <w:webHidden/>
              </w:rPr>
            </w:r>
            <w:r w:rsidR="00DB4D8A">
              <w:rPr>
                <w:noProof/>
                <w:webHidden/>
              </w:rPr>
              <w:fldChar w:fldCharType="separate"/>
            </w:r>
            <w:r w:rsidR="00DB4D8A">
              <w:rPr>
                <w:noProof/>
                <w:webHidden/>
              </w:rPr>
              <w:t>7</w:t>
            </w:r>
            <w:r w:rsidR="00DB4D8A">
              <w:rPr>
                <w:noProof/>
                <w:webHidden/>
              </w:rPr>
              <w:fldChar w:fldCharType="end"/>
            </w:r>
          </w:hyperlink>
        </w:p>
        <w:p w14:paraId="6C9107B4" w14:textId="413B999C" w:rsidR="00DB4D8A" w:rsidRDefault="006B7558">
          <w:pPr>
            <w:pStyle w:val="TOC1"/>
            <w:tabs>
              <w:tab w:val="right" w:leader="dot" w:pos="9016"/>
            </w:tabs>
            <w:rPr>
              <w:rFonts w:asciiTheme="minorHAnsi" w:eastAsiaTheme="minorEastAsia" w:hAnsiTheme="minorHAnsi"/>
              <w:noProof/>
            </w:rPr>
          </w:pPr>
          <w:hyperlink w:anchor="_Toc102140978" w:history="1">
            <w:r w:rsidR="00DB4D8A" w:rsidRPr="008D5E05">
              <w:rPr>
                <w:rStyle w:val="Hyperlink"/>
                <w:noProof/>
              </w:rPr>
              <w:t>References</w:t>
            </w:r>
            <w:r w:rsidR="00DB4D8A">
              <w:rPr>
                <w:noProof/>
                <w:webHidden/>
              </w:rPr>
              <w:tab/>
            </w:r>
            <w:r w:rsidR="00DB4D8A">
              <w:rPr>
                <w:noProof/>
                <w:webHidden/>
              </w:rPr>
              <w:fldChar w:fldCharType="begin"/>
            </w:r>
            <w:r w:rsidR="00DB4D8A">
              <w:rPr>
                <w:noProof/>
                <w:webHidden/>
              </w:rPr>
              <w:instrText xml:space="preserve"> PAGEREF _Toc102140978 \h </w:instrText>
            </w:r>
            <w:r w:rsidR="00DB4D8A">
              <w:rPr>
                <w:noProof/>
                <w:webHidden/>
              </w:rPr>
            </w:r>
            <w:r w:rsidR="00DB4D8A">
              <w:rPr>
                <w:noProof/>
                <w:webHidden/>
              </w:rPr>
              <w:fldChar w:fldCharType="separate"/>
            </w:r>
            <w:r w:rsidR="00DB4D8A">
              <w:rPr>
                <w:noProof/>
                <w:webHidden/>
              </w:rPr>
              <w:t>8</w:t>
            </w:r>
            <w:r w:rsidR="00DB4D8A">
              <w:rPr>
                <w:noProof/>
                <w:webHidden/>
              </w:rPr>
              <w:fldChar w:fldCharType="end"/>
            </w:r>
          </w:hyperlink>
        </w:p>
        <w:p w14:paraId="7ED46964" w14:textId="12E181AC" w:rsidR="00E62723" w:rsidRDefault="00E62723">
          <w:r>
            <w:rPr>
              <w:b/>
              <w:bCs/>
              <w:noProof/>
            </w:rPr>
            <w:fldChar w:fldCharType="end"/>
          </w:r>
        </w:p>
      </w:sdtContent>
    </w:sdt>
    <w:p w14:paraId="6443439B" w14:textId="77777777" w:rsidR="00E62723" w:rsidRDefault="00E62723">
      <w:pPr>
        <w:spacing w:line="259" w:lineRule="auto"/>
        <w:jc w:val="left"/>
        <w:rPr>
          <w:rFonts w:eastAsiaTheme="majorEastAsia" w:cstheme="majorBidi"/>
          <w:b/>
          <w:color w:val="000000" w:themeColor="text1"/>
          <w:sz w:val="32"/>
          <w:szCs w:val="40"/>
        </w:rPr>
      </w:pPr>
      <w:r>
        <w:br w:type="page"/>
      </w:r>
    </w:p>
    <w:p w14:paraId="4CA42013" w14:textId="51B33D4B" w:rsidR="0067658E" w:rsidRDefault="004E6000" w:rsidP="0067658E">
      <w:pPr>
        <w:pStyle w:val="Heading1"/>
      </w:pPr>
      <w:bookmarkStart w:id="1" w:name="_Toc102140974"/>
      <w:r>
        <w:lastRenderedPageBreak/>
        <w:t>Introduction</w:t>
      </w:r>
      <w:bookmarkEnd w:id="1"/>
    </w:p>
    <w:p w14:paraId="4C2CEE7F" w14:textId="47668E71" w:rsidR="0067658E" w:rsidRDefault="00222963" w:rsidP="004E6000">
      <w:r>
        <w:t xml:space="preserve">A community can be formed from a physical aspect or an </w:t>
      </w:r>
      <w:r w:rsidR="005C31E2">
        <w:t>interesting</w:t>
      </w:r>
      <w:r>
        <w:t xml:space="preserve"> aspect</w:t>
      </w:r>
      <w:r w:rsidR="005C31E2">
        <w:t>,</w:t>
      </w:r>
      <w:r>
        <w:t xml:space="preserve"> and it is the place for those individuals to share a sense of affiliation</w:t>
      </w:r>
      <w:r w:rsidR="005C31E2">
        <w:t>,</w:t>
      </w:r>
      <w:r>
        <w:t xml:space="preserve"> and an example can be a health service </w:t>
      </w:r>
      <w:r w:rsidRPr="008E5067">
        <w:t xml:space="preserve">or sports club based </w:t>
      </w:r>
      <w:r w:rsidR="00DB4D8A">
        <w:t>i</w:t>
      </w:r>
      <w:r w:rsidRPr="008E5067">
        <w:t xml:space="preserve">n </w:t>
      </w:r>
      <w:r w:rsidR="00DB4D8A">
        <w:t xml:space="preserve">the </w:t>
      </w:r>
      <w:r w:rsidRPr="008E5067">
        <w:t>UK</w:t>
      </w:r>
      <w:r>
        <w:t xml:space="preserve">. Here, we take Unilever Ltd as the report’s focus area as it is said to give importance to </w:t>
      </w:r>
      <w:r w:rsidR="005C31E2" w:rsidRPr="005C31E2">
        <w:t>its employees' social engagements and group participation</w:t>
      </w:r>
      <w:r>
        <w:t xml:space="preserve">. </w:t>
      </w:r>
      <w:r w:rsidR="000862E4">
        <w:t xml:space="preserve">The entire </w:t>
      </w:r>
      <w:r w:rsidR="005C31E2">
        <w:t>piece</w:t>
      </w:r>
      <w:r w:rsidR="000862E4">
        <w:t xml:space="preserve"> has been divided into two main sections. The first part of this </w:t>
      </w:r>
      <w:r w:rsidR="005C31E2">
        <w:t xml:space="preserve">report discusses the </w:t>
      </w:r>
      <w:r w:rsidR="000862E4">
        <w:t>u</w:t>
      </w:r>
      <w:r w:rsidR="0067658E">
        <w:t>nderstand</w:t>
      </w:r>
      <w:r w:rsidR="000862E4">
        <w:t>ing</w:t>
      </w:r>
      <w:r w:rsidR="0067658E">
        <w:t xml:space="preserve"> and evaluat</w:t>
      </w:r>
      <w:r w:rsidR="000862E4">
        <w:t>ion of</w:t>
      </w:r>
      <w:r w:rsidR="0067658E">
        <w:t xml:space="preserve"> the concept of community engagement</w:t>
      </w:r>
      <w:r w:rsidR="000862E4">
        <w:t xml:space="preserve"> and </w:t>
      </w:r>
      <w:r w:rsidR="0067658E">
        <w:t>adop</w:t>
      </w:r>
      <w:r w:rsidR="000862E4">
        <w:t>ting</w:t>
      </w:r>
      <w:r w:rsidR="0067658E">
        <w:t xml:space="preserve"> principles and standards that will enable </w:t>
      </w:r>
      <w:r w:rsidR="000862E4">
        <w:t>one</w:t>
      </w:r>
      <w:r w:rsidR="0067658E">
        <w:t xml:space="preserve"> to engage with stakeholders across different organisations.</w:t>
      </w:r>
      <w:r w:rsidR="000862E4">
        <w:t xml:space="preserve"> The </w:t>
      </w:r>
      <w:r w:rsidR="005C31E2">
        <w:t>following</w:t>
      </w:r>
      <w:r w:rsidR="000862E4">
        <w:t xml:space="preserve"> section discusses </w:t>
      </w:r>
      <w:r w:rsidR="005C31E2">
        <w:t>developing and evaluating</w:t>
      </w:r>
      <w:r w:rsidR="005C31E2" w:rsidRPr="005C31E2">
        <w:t xml:space="preserve"> interpersonal skills that help stimulate an individual’s creative thinking and apply</w:t>
      </w:r>
      <w:r w:rsidR="0067658E">
        <w:t xml:space="preserve"> logical thinking in real-world situations</w:t>
      </w:r>
      <w:r w:rsidR="000862E4">
        <w:t>.</w:t>
      </w:r>
    </w:p>
    <w:p w14:paraId="02F6B398" w14:textId="2AFE379B" w:rsidR="00E034E5" w:rsidRDefault="00E034E5" w:rsidP="00E034E5">
      <w:pPr>
        <w:pStyle w:val="Heading1"/>
      </w:pPr>
      <w:bookmarkStart w:id="2" w:name="_Toc102140975"/>
      <w:r>
        <w:t>Understanding and evaluating the concept of community engagement</w:t>
      </w:r>
      <w:r w:rsidR="00776C17">
        <w:t xml:space="preserve"> and adopting principles and standards that will enable one to engage with stakeholders across different organisations</w:t>
      </w:r>
      <w:bookmarkEnd w:id="2"/>
    </w:p>
    <w:p w14:paraId="2872EC14" w14:textId="429BCE09" w:rsidR="008E5067" w:rsidRDefault="00E50FC0" w:rsidP="00E034E5">
      <w:r>
        <w:t xml:space="preserve">One </w:t>
      </w:r>
      <w:r w:rsidR="0021462A">
        <w:t>cannot describe</w:t>
      </w:r>
      <w:r>
        <w:t xml:space="preserve"> the concept of community engagement as a whole because the very concept is a diverse </w:t>
      </w:r>
      <w:r w:rsidR="00470A87">
        <w:t>one to cover</w:t>
      </w:r>
      <w:r w:rsidR="005C31E2">
        <w:t>,</w:t>
      </w:r>
      <w:r w:rsidR="00470A87">
        <w:t xml:space="preserve"> but we can certainly get a general idea. </w:t>
      </w:r>
      <w:r>
        <w:t>By community engagement</w:t>
      </w:r>
      <w:r w:rsidR="0021462A">
        <w:t xml:space="preserve">, one means the involvement among a community that helps </w:t>
      </w:r>
      <w:r w:rsidR="005C31E2" w:rsidRPr="005C31E2">
        <w:t>lead to a long-term, sustainable result and the decision making, procedure, discussion, connection,</w:t>
      </w:r>
      <w:r w:rsidR="0021462A">
        <w:t xml:space="preserve"> and execution that aims </w:t>
      </w:r>
      <w:r w:rsidR="005C31E2">
        <w:t>to involve better</w:t>
      </w:r>
      <w:r w:rsidR="0021462A">
        <w:t xml:space="preserve"> the people of that </w:t>
      </w:r>
      <w:r w:rsidR="005C31E2">
        <w:t>particular</w:t>
      </w:r>
      <w:r w:rsidR="0021462A">
        <w:t xml:space="preserve"> community</w:t>
      </w:r>
      <w:r w:rsidR="00EE6265">
        <w:t xml:space="preserve"> </w:t>
      </w:r>
      <w:r w:rsidR="00EE6265" w:rsidRPr="00EE6265">
        <w:t>(Kearney and Candy, 2014)</w:t>
      </w:r>
      <w:r w:rsidR="0021462A">
        <w:t>.</w:t>
      </w:r>
      <w:r w:rsidR="00776C17">
        <w:t xml:space="preserve"> The very term </w:t>
      </w:r>
      <w:r w:rsidR="005C31E2" w:rsidRPr="005C31E2">
        <w:t>discussed here can also be used while encompassing many types of individuals, including stakeholders, lobby groups,</w:t>
      </w:r>
      <w:r w:rsidR="00776C17">
        <w:t xml:space="preserve"> and citizen</w:t>
      </w:r>
      <w:r w:rsidR="003F3C10">
        <w:t xml:space="preserve">s. A community can be formed from a physical aspect or an </w:t>
      </w:r>
      <w:r w:rsidR="005C31E2">
        <w:t>interesting</w:t>
      </w:r>
      <w:r w:rsidR="003F3C10">
        <w:t xml:space="preserve"> aspect</w:t>
      </w:r>
      <w:r w:rsidR="005C31E2">
        <w:t>,</w:t>
      </w:r>
      <w:r w:rsidR="003F3C10">
        <w:t xml:space="preserve"> and it is the place for those individuals to share a sense of affiliation</w:t>
      </w:r>
      <w:r w:rsidR="005C31E2">
        <w:t>,</w:t>
      </w:r>
      <w:r w:rsidR="003F3C10">
        <w:t xml:space="preserve"> and an example can be </w:t>
      </w:r>
      <w:r w:rsidR="008E5067">
        <w:t>a</w:t>
      </w:r>
      <w:r w:rsidR="003F3C10">
        <w:t xml:space="preserve"> </w:t>
      </w:r>
      <w:r w:rsidR="008E5067">
        <w:t xml:space="preserve">health service </w:t>
      </w:r>
      <w:r w:rsidR="003F3C10" w:rsidRPr="008E5067">
        <w:t xml:space="preserve">or sports club based </w:t>
      </w:r>
      <w:r w:rsidR="00DB4D8A">
        <w:t>i</w:t>
      </w:r>
      <w:r w:rsidR="003F3C10" w:rsidRPr="008E5067">
        <w:t xml:space="preserve">n </w:t>
      </w:r>
      <w:r w:rsidR="00DB4D8A">
        <w:t xml:space="preserve">the </w:t>
      </w:r>
      <w:r w:rsidR="003F3C10" w:rsidRPr="008E5067">
        <w:t>UK</w:t>
      </w:r>
      <w:r w:rsidR="00EE6265">
        <w:t xml:space="preserve"> </w:t>
      </w:r>
      <w:r w:rsidR="00EE6265" w:rsidRPr="00EE6265">
        <w:t>(Marsh, 2017)</w:t>
      </w:r>
      <w:r w:rsidR="003F3C10">
        <w:t xml:space="preserve">. </w:t>
      </w:r>
      <w:r w:rsidR="008E5067">
        <w:t xml:space="preserve">Here, we take </w:t>
      </w:r>
      <w:r w:rsidR="00007515">
        <w:t>Unilever Ltd</w:t>
      </w:r>
      <w:r w:rsidR="008E5067">
        <w:t xml:space="preserve"> as the report’s focus area as it is said to </w:t>
      </w:r>
      <w:r w:rsidR="00007515">
        <w:t>give importance to</w:t>
      </w:r>
      <w:r w:rsidR="008E5067">
        <w:t xml:space="preserve"> </w:t>
      </w:r>
      <w:r w:rsidR="005C31E2" w:rsidRPr="005C31E2">
        <w:t xml:space="preserve">its employees' social engagements and group participation </w:t>
      </w:r>
      <w:r w:rsidR="00EE6265" w:rsidRPr="00EE6265">
        <w:t>(</w:t>
      </w:r>
      <w:r w:rsidR="00EE6265">
        <w:t xml:space="preserve">Unilever UK, </w:t>
      </w:r>
      <w:r w:rsidR="00EE6265" w:rsidRPr="00EE6265">
        <w:t>2022)</w:t>
      </w:r>
      <w:r w:rsidR="002374AC">
        <w:t>.</w:t>
      </w:r>
    </w:p>
    <w:p w14:paraId="3BDDB3DD" w14:textId="1EEA7944" w:rsidR="00E034E5" w:rsidRDefault="00312B1B" w:rsidP="00E034E5">
      <w:r>
        <w:t xml:space="preserve">So, a deliberate process aimed at engaging with </w:t>
      </w:r>
      <w:r w:rsidR="00DB4D8A">
        <w:t xml:space="preserve">a </w:t>
      </w:r>
      <w:r w:rsidR="005C31E2">
        <w:t>recognised</w:t>
      </w:r>
      <w:r>
        <w:t xml:space="preserve"> set of individuals and solv</w:t>
      </w:r>
      <w:r w:rsidR="00DB4D8A">
        <w:t>ing</w:t>
      </w:r>
      <w:r>
        <w:t xml:space="preserve"> challenges that impact their wellbeing, linking aspect</w:t>
      </w:r>
      <w:r w:rsidR="00DB4D8A">
        <w:t>s</w:t>
      </w:r>
      <w:r>
        <w:t xml:space="preserve"> such as geography or a particular interest</w:t>
      </w:r>
      <w:r w:rsidR="005C31E2">
        <w:t>,</w:t>
      </w:r>
      <w:r>
        <w:t xml:space="preserve"> is called community engagement.</w:t>
      </w:r>
      <w:r w:rsidR="00D47317">
        <w:t xml:space="preserve"> The term community itself </w:t>
      </w:r>
      <w:r w:rsidR="005C31E2">
        <w:t>emphasises</w:t>
      </w:r>
      <w:r w:rsidR="00D47317">
        <w:t xml:space="preserve"> the scope of collectivism, variety and diversion in the concept of group engagement</w:t>
      </w:r>
      <w:r w:rsidR="00EE6265">
        <w:t xml:space="preserve"> </w:t>
      </w:r>
      <w:r w:rsidR="00EE6265" w:rsidRPr="00EE6265">
        <w:t>(Marsh, 2017)</w:t>
      </w:r>
      <w:r w:rsidR="00D47317">
        <w:t>.</w:t>
      </w:r>
      <w:r w:rsidR="00AD24FD">
        <w:t xml:space="preserve"> The community engagement concept is also a mixture of science and arts as it includes </w:t>
      </w:r>
      <w:r w:rsidR="00DB4D8A">
        <w:t>a</w:t>
      </w:r>
      <w:r w:rsidR="00AD24FD">
        <w:t xml:space="preserve"> variety of topics into one topic. While art supports the sensible, </w:t>
      </w:r>
      <w:r w:rsidR="00AC4A04">
        <w:t>knowledgeable</w:t>
      </w:r>
      <w:r w:rsidR="00AD24FD">
        <w:t>, competen</w:t>
      </w:r>
      <w:r w:rsidR="00DB4D8A">
        <w:t>t</w:t>
      </w:r>
      <w:r w:rsidR="00AD24FD">
        <w:t xml:space="preserve"> side of the concept, science </w:t>
      </w:r>
      <w:r w:rsidR="00AC4A04">
        <w:t xml:space="preserve">helps it to adapt </w:t>
      </w:r>
      <w:r w:rsidR="00DB4D8A">
        <w:t>to</w:t>
      </w:r>
      <w:r w:rsidR="00AC4A04">
        <w:t xml:space="preserve"> the goals.</w:t>
      </w:r>
    </w:p>
    <w:p w14:paraId="74ACE944" w14:textId="6E3C0330" w:rsidR="004B574E" w:rsidRDefault="004B574E" w:rsidP="00E034E5">
      <w:r>
        <w:t xml:space="preserve">The limitations of the concept of community engagement are mentionable here. The applying side of it can be time-consuming </w:t>
      </w:r>
      <w:r w:rsidR="005C31E2">
        <w:t>and</w:t>
      </w:r>
      <w:r>
        <w:t xml:space="preserve"> requires devoted resources such as money, ability variation and time</w:t>
      </w:r>
      <w:r w:rsidR="005C31E2">
        <w:t>,</w:t>
      </w:r>
      <w:r>
        <w:t xml:space="preserve"> which is not always easy. However, the </w:t>
      </w:r>
      <w:r w:rsidR="005C31E2">
        <w:t>practical</w:t>
      </w:r>
      <w:r>
        <w:t xml:space="preserve"> side of it overshadows its limitations. The community engagement concept is a widely used one and is popular</w:t>
      </w:r>
      <w:r w:rsidR="005C31E2">
        <w:t>,</w:t>
      </w:r>
      <w:r>
        <w:t xml:space="preserve"> too</w:t>
      </w:r>
      <w:r w:rsidR="005C31E2">
        <w:t>,</w:t>
      </w:r>
      <w:r>
        <w:t xml:space="preserve"> and it can be seen to have been applied </w:t>
      </w:r>
      <w:r>
        <w:lastRenderedPageBreak/>
        <w:t>not only in the UK but in the countries around the world</w:t>
      </w:r>
      <w:r w:rsidR="0012479D">
        <w:t xml:space="preserve"> </w:t>
      </w:r>
      <w:r w:rsidR="0012479D" w:rsidRPr="0012479D">
        <w:t>(Types of Community Engagement, 2022)</w:t>
      </w:r>
      <w:r>
        <w:t xml:space="preserve">. Making and executing successful group engagement plans requires a </w:t>
      </w:r>
      <w:r w:rsidR="000241E8">
        <w:t>thorough</w:t>
      </w:r>
      <w:r>
        <w:t xml:space="preserve"> understanding of the most recent tools</w:t>
      </w:r>
      <w:r w:rsidR="005C31E2">
        <w:t>, methodologies,</w:t>
      </w:r>
      <w:r>
        <w:t xml:space="preserve"> and data.</w:t>
      </w:r>
    </w:p>
    <w:p w14:paraId="1147A8DE" w14:textId="0CC74B39" w:rsidR="00776C17" w:rsidRDefault="008E5067" w:rsidP="005C6684">
      <w:r>
        <w:t xml:space="preserve">Now, </w:t>
      </w:r>
      <w:r w:rsidRPr="008E5067">
        <w:t>adopting principles and standards that will enable one to engage with stakeholders across different organisations</w:t>
      </w:r>
      <w:r w:rsidR="005C31E2">
        <w:t>. First</w:t>
      </w:r>
      <w:r>
        <w:t>,</w:t>
      </w:r>
      <w:r w:rsidR="000636E1">
        <w:t xml:space="preserve"> the need for engagement of stakeholders needs to be understood</w:t>
      </w:r>
      <w:r w:rsidR="005C31E2">
        <w:t>,</w:t>
      </w:r>
      <w:r w:rsidR="000636E1">
        <w:t xml:space="preserve"> and it includes the understanding of the business entity, its objectives and engagement processes</w:t>
      </w:r>
      <w:r w:rsidR="00EE6265">
        <w:t xml:space="preserve"> </w:t>
      </w:r>
      <w:r w:rsidR="00EE6265" w:rsidRPr="00EE6265">
        <w:t>(Kearney and Candy, 2014)</w:t>
      </w:r>
      <w:r w:rsidR="000636E1">
        <w:t>. Then</w:t>
      </w:r>
      <w:r>
        <w:t xml:space="preserve"> one needs to identify the stakeholders. </w:t>
      </w:r>
      <w:r w:rsidR="005D4630">
        <w:t xml:space="preserve">An </w:t>
      </w:r>
      <w:r w:rsidR="005C31E2">
        <w:t>organisation</w:t>
      </w:r>
      <w:r w:rsidR="005D4630">
        <w:t xml:space="preserve"> engages with its stakeholders to perform its </w:t>
      </w:r>
      <w:r w:rsidR="005B3A18">
        <w:t>day-to-day</w:t>
      </w:r>
      <w:r w:rsidR="005D4630">
        <w:t xml:space="preserve"> activities</w:t>
      </w:r>
      <w:r w:rsidR="005C31E2" w:rsidRPr="005C31E2">
        <w:t xml:space="preserve">. Thus, </w:t>
      </w:r>
      <w:r w:rsidR="005C31E2">
        <w:t>one must build</w:t>
      </w:r>
      <w:r w:rsidR="005C31E2" w:rsidRPr="005C31E2">
        <w:t xml:space="preserve"> an understanding of the stakeholders present in the </w:t>
      </w:r>
      <w:r w:rsidR="005C31E2">
        <w:t>organisation</w:t>
      </w:r>
      <w:r w:rsidR="005C31E2" w:rsidRPr="005C31E2">
        <w:t xml:space="preserve"> to </w:t>
      </w:r>
      <w:r w:rsidR="005C31E2">
        <w:t>correctly</w:t>
      </w:r>
      <w:r w:rsidR="005C31E2" w:rsidRPr="005C31E2">
        <w:t xml:space="preserve"> identify the relationship they expect from the </w:t>
      </w:r>
      <w:r w:rsidR="005C31E2">
        <w:t>organisation</w:t>
      </w:r>
      <w:r w:rsidR="005C31E2" w:rsidRPr="005C31E2">
        <w:t xml:space="preserve"> and similarly to identify what the </w:t>
      </w:r>
      <w:r w:rsidR="005C31E2">
        <w:t>organisation</w:t>
      </w:r>
      <w:r w:rsidR="005C31E2" w:rsidRPr="005C31E2">
        <w:t xml:space="preserve"> expects</w:t>
      </w:r>
      <w:r w:rsidR="00D8738F">
        <w:t xml:space="preserve"> from them.</w:t>
      </w:r>
      <w:r w:rsidR="0075170A">
        <w:t xml:space="preserve"> For our chosen </w:t>
      </w:r>
      <w:r w:rsidR="005B3A18">
        <w:t>Unilever Ltd</w:t>
      </w:r>
      <w:r w:rsidR="0075170A">
        <w:t xml:space="preserve">, the relevant stakeholders would be </w:t>
      </w:r>
      <w:r w:rsidR="005B3A18">
        <w:t xml:space="preserve">the employees, suppliers, consumer </w:t>
      </w:r>
      <w:r w:rsidR="005C31E2" w:rsidRPr="005C31E2">
        <w:t>groups, volunteers, founding members, government, newspapers, media,</w:t>
      </w:r>
      <w:r w:rsidR="005B3A18">
        <w:t xml:space="preserve"> and even the general public. </w:t>
      </w:r>
      <w:r w:rsidR="00790782">
        <w:t>Thirdly</w:t>
      </w:r>
      <w:r w:rsidR="005B3A18">
        <w:t xml:space="preserve">, </w:t>
      </w:r>
      <w:r w:rsidR="0046356B">
        <w:t xml:space="preserve">the director’s duty </w:t>
      </w:r>
      <w:r w:rsidR="00DB4D8A">
        <w:t>to</w:t>
      </w:r>
      <w:r w:rsidR="0046356B">
        <w:t xml:space="preserve"> the </w:t>
      </w:r>
      <w:r w:rsidR="005C31E2">
        <w:t>organisation</w:t>
      </w:r>
      <w:r w:rsidR="0046356B">
        <w:t xml:space="preserve"> needs to be </w:t>
      </w:r>
      <w:r w:rsidR="005C31E2">
        <w:t>recognised</w:t>
      </w:r>
      <w:r w:rsidR="0046356B">
        <w:t xml:space="preserve"> and that is to act with sincerity, honesty and good faith. The directors of Unilever need to </w:t>
      </w:r>
      <w:r w:rsidR="005C31E2">
        <w:t>work</w:t>
      </w:r>
      <w:r w:rsidR="0046356B">
        <w:t xml:space="preserve"> </w:t>
      </w:r>
      <w:r w:rsidR="00DB4D8A">
        <w:t>in</w:t>
      </w:r>
      <w:r w:rsidR="0046356B">
        <w:t xml:space="preserve"> the </w:t>
      </w:r>
      <w:r w:rsidR="005C31E2">
        <w:t>company’s best interest, which</w:t>
      </w:r>
      <w:r w:rsidR="000D3907">
        <w:t xml:space="preserve"> will serve the best interest of the stakeholders. Some statutory obligations</w:t>
      </w:r>
      <w:r w:rsidR="005C31E2">
        <w:t>,</w:t>
      </w:r>
      <w:r w:rsidR="000D3907">
        <w:t xml:space="preserve"> such as health and safety regulations</w:t>
      </w:r>
      <w:r w:rsidR="005C31E2">
        <w:t>,</w:t>
      </w:r>
      <w:r w:rsidR="000D3907">
        <w:t xml:space="preserve"> are some of the duties that </w:t>
      </w:r>
      <w:r w:rsidR="005C31E2">
        <w:t>raise</w:t>
      </w:r>
      <w:r w:rsidR="000D3907">
        <w:t xml:space="preserve"> responsib</w:t>
      </w:r>
      <w:r w:rsidR="00DB4D8A">
        <w:t>ilit</w:t>
      </w:r>
      <w:r w:rsidR="000D3907">
        <w:t>y towards the stakeholders.</w:t>
      </w:r>
      <w:r w:rsidR="00790782">
        <w:t xml:space="preserve"> Fourthly, </w:t>
      </w:r>
      <w:r w:rsidR="005C31E2" w:rsidRPr="005C31E2">
        <w:t xml:space="preserve">building trust is a fundamental concept </w:t>
      </w:r>
      <w:r w:rsidR="005C31E2">
        <w:t>for adding</w:t>
      </w:r>
      <w:r w:rsidR="005C31E2" w:rsidRPr="005C31E2">
        <w:t xml:space="preserve"> meaning to group engagement</w:t>
      </w:r>
      <w:r w:rsidR="0012479D">
        <w:t xml:space="preserve"> </w:t>
      </w:r>
      <w:r w:rsidR="0012479D" w:rsidRPr="0012479D">
        <w:t>(Useful Concepts | Principles of Community Engagement | ATSDR, 2022)</w:t>
      </w:r>
      <w:r w:rsidR="00E135E8">
        <w:t>. Trust helps in building a solid foundation between the stakeholders.</w:t>
      </w:r>
      <w:r w:rsidR="005C31E2">
        <w:t xml:space="preserve"> </w:t>
      </w:r>
      <w:r w:rsidR="00E135E8">
        <w:t xml:space="preserve">Unilever Ltd regularly communicates with its communities to make them feel included in every </w:t>
      </w:r>
      <w:r w:rsidR="005C31E2">
        <w:t>minor</w:t>
      </w:r>
      <w:r w:rsidR="00E135E8">
        <w:t xml:space="preserve"> </w:t>
      </w:r>
      <w:r w:rsidR="00842DA0">
        <w:t>issue</w:t>
      </w:r>
      <w:r w:rsidR="00E135E8">
        <w:t xml:space="preserve"> and </w:t>
      </w:r>
      <w:r w:rsidR="005938F7">
        <w:t xml:space="preserve">holds </w:t>
      </w:r>
      <w:r w:rsidR="005938F7" w:rsidRPr="00E14C69">
        <w:rPr>
          <w:i/>
          <w:iCs/>
        </w:rPr>
        <w:t>informal programs</w:t>
      </w:r>
      <w:r w:rsidR="00676D6C">
        <w:t xml:space="preserve">, </w:t>
      </w:r>
      <w:r w:rsidR="005938F7" w:rsidRPr="00E14C69">
        <w:rPr>
          <w:i/>
          <w:iCs/>
        </w:rPr>
        <w:t>get together</w:t>
      </w:r>
      <w:r w:rsidR="005C31E2">
        <w:rPr>
          <w:i/>
          <w:iCs/>
        </w:rPr>
        <w:t>,</w:t>
      </w:r>
      <w:r w:rsidR="005938F7">
        <w:t xml:space="preserve"> </w:t>
      </w:r>
      <w:r w:rsidR="00676D6C">
        <w:t xml:space="preserve">and regular </w:t>
      </w:r>
      <w:r w:rsidR="00676D6C" w:rsidRPr="00EE549D">
        <w:rPr>
          <w:i/>
          <w:iCs/>
        </w:rPr>
        <w:t>social media interactions</w:t>
      </w:r>
      <w:r w:rsidR="00676D6C">
        <w:t xml:space="preserve"> </w:t>
      </w:r>
      <w:r w:rsidR="005938F7">
        <w:t xml:space="preserve">to build a trustworthy relationship among the stakeholders. Fifthly, broad research needs to be carried out </w:t>
      </w:r>
      <w:r w:rsidR="005C31E2">
        <w:t>to plan the consultation. The</w:t>
      </w:r>
      <w:r w:rsidR="005938F7">
        <w:t xml:space="preserve"> consultation stage needs </w:t>
      </w:r>
      <w:r w:rsidR="005C31E2">
        <w:t>to represent the organisation properly,</w:t>
      </w:r>
      <w:r w:rsidR="005938F7">
        <w:t xml:space="preserve"> and the stakeholders should be responsive, </w:t>
      </w:r>
      <w:r w:rsidR="00DB4D8A">
        <w:t xml:space="preserve">the </w:t>
      </w:r>
      <w:r w:rsidR="005938F7">
        <w:t xml:space="preserve">framework focused, thorough, sensible and tangible. Some of </w:t>
      </w:r>
      <w:r w:rsidR="005C31E2" w:rsidRPr="005C31E2">
        <w:t>Unilever's well-known consultation techniques are holding focus groups, surveys,</w:t>
      </w:r>
      <w:r w:rsidR="005938F7">
        <w:t xml:space="preserve"> and workshops.</w:t>
      </w:r>
      <w:r w:rsidR="00E24A8E">
        <w:t xml:space="preserve"> Sixthly, proper response and implementation are </w:t>
      </w:r>
      <w:r w:rsidR="005C31E2">
        <w:t>made</w:t>
      </w:r>
      <w:r w:rsidR="00E24A8E">
        <w:t xml:space="preserve"> by Unilever</w:t>
      </w:r>
      <w:r w:rsidR="005C6684">
        <w:t xml:space="preserve">. In the last step, it is critical to keep track of the data and understanding gathered throughout the whole process. </w:t>
      </w:r>
      <w:r w:rsidR="00C17E9E" w:rsidRPr="00C17E9E">
        <w:t xml:space="preserve">It's </w:t>
      </w:r>
      <w:r w:rsidR="005C31E2">
        <w:t>vital</w:t>
      </w:r>
      <w:r w:rsidR="00C17E9E" w:rsidRPr="00C17E9E">
        <w:t xml:space="preserve"> to keep track of the knowledge and information gathered throughout the engagement process. Various international standards can be used as a starting point for developing monitoring and evaluation capacity</w:t>
      </w:r>
      <w:r w:rsidR="005B1C66" w:rsidRPr="005B1C66">
        <w:t>. Organizations should use their expertise and experience in knowledge management systems and evaluate outputs and outcomes from other business operations</w:t>
      </w:r>
      <w:r w:rsidR="00C17E9E" w:rsidRPr="00C17E9E">
        <w:t xml:space="preserve"> to ensure effective monitoring and evaluation. This job necessitates putting lessons learned into practice and</w:t>
      </w:r>
      <w:r w:rsidR="005B1C66">
        <w:t>,</w:t>
      </w:r>
      <w:r w:rsidR="00C17E9E" w:rsidRPr="00C17E9E">
        <w:t xml:space="preserve"> comprehending their consequences for future participation</w:t>
      </w:r>
      <w:r w:rsidR="00C17E9E">
        <w:t>,</w:t>
      </w:r>
      <w:r w:rsidR="00C17E9E" w:rsidRPr="00C17E9E">
        <w:t xml:space="preserve"> </w:t>
      </w:r>
      <w:r w:rsidR="005B1C66">
        <w:t xml:space="preserve">and </w:t>
      </w:r>
      <w:r w:rsidR="005C6684">
        <w:t>understanding their implications for future engagement are</w:t>
      </w:r>
      <w:r w:rsidR="00C17E9E">
        <w:t xml:space="preserve"> </w:t>
      </w:r>
      <w:r w:rsidR="005C6684">
        <w:t xml:space="preserve">critical aspects </w:t>
      </w:r>
      <w:r w:rsidR="00DB4D8A">
        <w:t>of</w:t>
      </w:r>
      <w:r w:rsidR="005C6684">
        <w:t xml:space="preserve"> this role</w:t>
      </w:r>
      <w:r w:rsidR="0012479D">
        <w:t xml:space="preserve"> </w:t>
      </w:r>
      <w:r w:rsidR="0012479D" w:rsidRPr="0012479D">
        <w:t>(Kearney and Candy, 2014)</w:t>
      </w:r>
      <w:r w:rsidR="005C6684">
        <w:t>.</w:t>
      </w:r>
    </w:p>
    <w:p w14:paraId="2F8426FB" w14:textId="77777777" w:rsidR="003A715E" w:rsidRDefault="003A715E">
      <w:pPr>
        <w:spacing w:line="259" w:lineRule="auto"/>
        <w:jc w:val="left"/>
        <w:rPr>
          <w:rFonts w:eastAsiaTheme="majorEastAsia" w:cstheme="majorBidi"/>
          <w:b/>
          <w:color w:val="000000" w:themeColor="text1"/>
          <w:sz w:val="32"/>
          <w:szCs w:val="40"/>
        </w:rPr>
      </w:pPr>
      <w:r>
        <w:br w:type="page"/>
      </w:r>
    </w:p>
    <w:p w14:paraId="0985044C" w14:textId="7E1C2217" w:rsidR="00FA740B" w:rsidRDefault="00E034E5" w:rsidP="00E034E5">
      <w:pPr>
        <w:pStyle w:val="Heading1"/>
      </w:pPr>
      <w:bookmarkStart w:id="3" w:name="_Toc102140976"/>
      <w:r>
        <w:lastRenderedPageBreak/>
        <w:t>Developing and evaluating interpersonal skills that stimulate one’s creative thinking and apply logical thinking in real-world situations</w:t>
      </w:r>
      <w:bookmarkEnd w:id="3"/>
    </w:p>
    <w:p w14:paraId="341E1F6A" w14:textId="5FE92A88" w:rsidR="00315997" w:rsidRDefault="000350B9" w:rsidP="000350B9">
      <w:r>
        <w:t>There are various interpersonal abilities which can be defined as the abilities that an individual needs to utilize to properly communicate and engage with others in a group engagement</w:t>
      </w:r>
      <w:r w:rsidR="00A94C05">
        <w:t xml:space="preserve"> </w:t>
      </w:r>
      <w:r w:rsidR="00A94C05" w:rsidRPr="00A94C05">
        <w:t>(Interpersonal Skills Definitions and Types, 2022)</w:t>
      </w:r>
      <w:r>
        <w:t xml:space="preserve">. </w:t>
      </w:r>
      <w:r w:rsidR="008B09ED">
        <w:t xml:space="preserve">Some of the communication abilities include knowing what, when and how to say something in a given situation for the best outcome. Again, </w:t>
      </w:r>
      <w:r w:rsidR="00704152">
        <w:t>nonverbal</w:t>
      </w:r>
      <w:r w:rsidR="008B09ED">
        <w:t xml:space="preserve"> communication skills </w:t>
      </w:r>
      <w:r w:rsidR="00704152">
        <w:t>refer</w:t>
      </w:r>
      <w:r w:rsidR="008B09ED">
        <w:t xml:space="preserve"> to the </w:t>
      </w:r>
      <w:r w:rsidR="007D3E22">
        <w:t>cue</w:t>
      </w:r>
      <w:r w:rsidR="008B09ED">
        <w:t xml:space="preserve">s that one gives from their body language or vocal tone. </w:t>
      </w:r>
      <w:r w:rsidR="007D3E22">
        <w:t xml:space="preserve">Listening skills are also needed to catch the </w:t>
      </w:r>
      <w:r w:rsidR="005B1C66">
        <w:t>signals</w:t>
      </w:r>
      <w:r>
        <w:t xml:space="preserve"> </w:t>
      </w:r>
      <w:r w:rsidR="007D3E22">
        <w:t xml:space="preserve">conveyed by others through verbal and </w:t>
      </w:r>
      <w:r w:rsidR="00704152">
        <w:t>nonverbal</w:t>
      </w:r>
      <w:r w:rsidR="007D3E22">
        <w:t xml:space="preserve"> communication skills</w:t>
      </w:r>
      <w:r w:rsidR="00A94C05">
        <w:t xml:space="preserve"> </w:t>
      </w:r>
      <w:r w:rsidR="00A94C05" w:rsidRPr="00A94C05">
        <w:t>(Wright, 2019)</w:t>
      </w:r>
      <w:r w:rsidR="007D3E22">
        <w:t xml:space="preserve">. </w:t>
      </w:r>
      <w:r w:rsidR="00A67B85">
        <w:t xml:space="preserve">Teamwork is another crucial interpersonal skill which escalates the output generation if an individual works in a group. Negotiation is another needed skill to </w:t>
      </w:r>
      <w:r w:rsidR="005B1C66">
        <w:t>communicate</w:t>
      </w:r>
      <w:r w:rsidR="00A67B85">
        <w:t xml:space="preserve"> with others being in a mutual standpoint.</w:t>
      </w:r>
      <w:r w:rsidR="00886079">
        <w:t xml:space="preserve"> Lastly, conflict resolution and making the </w:t>
      </w:r>
      <w:r w:rsidR="005B1C66" w:rsidRPr="005B1C66">
        <w:t xml:space="preserve">judgment call </w:t>
      </w:r>
      <w:r w:rsidR="005B1C66">
        <w:t>is</w:t>
      </w:r>
      <w:r w:rsidR="005B1C66" w:rsidRPr="005B1C66">
        <w:t xml:space="preserve"> needed by collaborating with others to </w:t>
      </w:r>
      <w:r w:rsidR="005B1C66">
        <w:t>recognise</w:t>
      </w:r>
      <w:r w:rsidR="005B1C66" w:rsidRPr="005B1C66">
        <w:t>, analyse, and resolve issues and decide</w:t>
      </w:r>
      <w:r w:rsidR="00886079">
        <w:t xml:space="preserve"> on the optimum course of action</w:t>
      </w:r>
      <w:r w:rsidR="00A94C05">
        <w:t xml:space="preserve"> </w:t>
      </w:r>
      <w:r w:rsidR="00A94C05" w:rsidRPr="00A94C05">
        <w:t xml:space="preserve">(De </w:t>
      </w:r>
      <w:proofErr w:type="spellStart"/>
      <w:r w:rsidR="00A94C05" w:rsidRPr="00A94C05">
        <w:t>Janasz</w:t>
      </w:r>
      <w:proofErr w:type="spellEnd"/>
      <w:r w:rsidR="00A94C05" w:rsidRPr="00A94C05">
        <w:t>, Dowd and Schneider, 2016)</w:t>
      </w:r>
      <w:r w:rsidR="00886079">
        <w:t>.</w:t>
      </w:r>
    </w:p>
    <w:p w14:paraId="22E3507A" w14:textId="4DE04FC9" w:rsidR="00315997" w:rsidRDefault="00315997" w:rsidP="00315997">
      <w:r>
        <w:t>Using talents and interpersonal skills to think of new solutions to issues is referred to as creative thinking</w:t>
      </w:r>
      <w:r w:rsidR="00B76C3B">
        <w:t xml:space="preserve"> </w:t>
      </w:r>
      <w:r w:rsidR="00B76C3B" w:rsidRPr="00B76C3B">
        <w:t>(Whiting, 2013)</w:t>
      </w:r>
      <w:r>
        <w:t xml:space="preserve">. Innovative thinking abilities are ways </w:t>
      </w:r>
      <w:r w:rsidR="00DB4D8A">
        <w:t>of</w:t>
      </w:r>
      <w:r>
        <w:t xml:space="preserve"> looking at a problem from many and creative perspectives while </w:t>
      </w:r>
      <w:r w:rsidR="005B1C66">
        <w:t>utilising</w:t>
      </w:r>
      <w:r>
        <w:t xml:space="preserve"> the appropriate tools to analyse it and design a solution. As most challenges may need remedies that have never been conceived or explored before, </w:t>
      </w:r>
      <w:r w:rsidR="005B1C66">
        <w:t>emphasising</w:t>
      </w:r>
      <w:r>
        <w:t xml:space="preserve"> creativity and innovation is critical. Individually, it is a highly valued talent, and corporations should constantly strive to have it among their ranks. After all, the term "creativity" refers to the act of creating something new. Creative thinking is a talent that, like any other, requires regular practice to maintain its sharpness</w:t>
      </w:r>
      <w:r w:rsidR="00B76C3B">
        <w:t xml:space="preserve"> </w:t>
      </w:r>
      <w:r w:rsidR="00B76C3B" w:rsidRPr="00B76C3B">
        <w:t>(Whiting, 2013)</w:t>
      </w:r>
      <w:r>
        <w:t xml:space="preserve">. To reach this aim, </w:t>
      </w:r>
      <w:r w:rsidR="00490DC8">
        <w:t>an individual</w:t>
      </w:r>
      <w:r>
        <w:t xml:space="preserve"> must expose </w:t>
      </w:r>
      <w:r w:rsidR="00490DC8">
        <w:t>oneself</w:t>
      </w:r>
      <w:r>
        <w:t xml:space="preserve"> to circumstances where a fresh thought is required </w:t>
      </w:r>
      <w:r w:rsidR="005B1C66">
        <w:t>regularly</w:t>
      </w:r>
      <w:r>
        <w:t xml:space="preserve"> and surround </w:t>
      </w:r>
      <w:r w:rsidR="00490DC8">
        <w:t>one</w:t>
      </w:r>
      <w:r>
        <w:t xml:space="preserve">self with like-minded individuals. Using specific strategies, such a procedure may be made simpler. They may help </w:t>
      </w:r>
      <w:r w:rsidR="00490DC8">
        <w:t>an individual</w:t>
      </w:r>
      <w:r>
        <w:t xml:space="preserve"> get into the appropriate mentality and provide </w:t>
      </w:r>
      <w:r w:rsidR="00490DC8">
        <w:t>one</w:t>
      </w:r>
      <w:r>
        <w:t xml:space="preserve"> the foundation </w:t>
      </w:r>
      <w:r w:rsidR="009C4922">
        <w:t>he or she</w:t>
      </w:r>
      <w:r>
        <w:t xml:space="preserve"> need</w:t>
      </w:r>
      <w:r w:rsidR="009C4922">
        <w:t>s</w:t>
      </w:r>
      <w:r>
        <w:t xml:space="preserve"> to generate fresh ideas on the go. Creative thinking may be prompted by a variety of approaches</w:t>
      </w:r>
      <w:r w:rsidR="009C4922">
        <w:t xml:space="preserve"> and t</w:t>
      </w:r>
      <w:r>
        <w:t xml:space="preserve">hese are powerful ways for helping </w:t>
      </w:r>
      <w:r w:rsidR="009C4922">
        <w:t>one to</w:t>
      </w:r>
      <w:r>
        <w:t xml:space="preserve"> generate new ideas, test them in various settings, and rely on feedback from others to make them even more inventive</w:t>
      </w:r>
      <w:r w:rsidR="005F0CE8">
        <w:t>. Now,</w:t>
      </w:r>
      <w:r>
        <w:t xml:space="preserve"> some of the most effective ways to think creatively</w:t>
      </w:r>
      <w:r w:rsidR="005F0CE8">
        <w:t xml:space="preserve"> should be discussed </w:t>
      </w:r>
      <w:r w:rsidR="005F0CE8" w:rsidRPr="00490DC8">
        <w:rPr>
          <w:i/>
          <w:iCs/>
        </w:rPr>
        <w:t>to realize the</w:t>
      </w:r>
      <w:r w:rsidR="00DB4D8A">
        <w:rPr>
          <w:i/>
          <w:iCs/>
        </w:rPr>
        <w:t>ir</w:t>
      </w:r>
      <w:r w:rsidR="005F0CE8" w:rsidRPr="00490DC8">
        <w:rPr>
          <w:i/>
          <w:iCs/>
        </w:rPr>
        <w:t xml:space="preserve"> practicality of it</w:t>
      </w:r>
      <w:r w:rsidR="005F0CE8">
        <w:t xml:space="preserve">. </w:t>
      </w:r>
    </w:p>
    <w:p w14:paraId="35C38C38" w14:textId="550F0087" w:rsidR="00315997" w:rsidRDefault="00315997" w:rsidP="00315997">
      <w:r>
        <w:t>Brainstorming</w:t>
      </w:r>
      <w:r w:rsidR="005F0CE8">
        <w:t xml:space="preserve">: </w:t>
      </w:r>
      <w:r>
        <w:t>This method may be quite effective in solving minor or large-scale issues that demand creativity. The primary purpose is to build a group of individuals with whom you can freely exchange thoughts</w:t>
      </w:r>
      <w:r w:rsidR="00B76C3B">
        <w:t xml:space="preserve"> </w:t>
      </w:r>
      <w:r w:rsidR="00B76C3B" w:rsidRPr="00B76C3B">
        <w:t>(Rawlinson, 2017)</w:t>
      </w:r>
      <w:r>
        <w:t>.</w:t>
      </w:r>
      <w:r w:rsidR="005F0CE8">
        <w:t xml:space="preserve"> </w:t>
      </w:r>
      <w:r>
        <w:t>The main notion behind brainstorming is that having a large number of creative possible ideas makes it simpler to choose the best one.</w:t>
      </w:r>
      <w:r w:rsidR="005F0CE8">
        <w:t xml:space="preserve"> </w:t>
      </w:r>
      <w:r>
        <w:t xml:space="preserve">Brainstorming provides a number of benefits that may aid in the development of </w:t>
      </w:r>
      <w:r w:rsidR="00BB6C0A">
        <w:t xml:space="preserve">one’s </w:t>
      </w:r>
      <w:r>
        <w:t xml:space="preserve">creative thinking abilities. For starters, since it is </w:t>
      </w:r>
      <w:r>
        <w:lastRenderedPageBreak/>
        <w:t xml:space="preserve">highly casual, it does not need a strict framework to operate. Professional advice, on the other hand, might make it easier. Also, since </w:t>
      </w:r>
      <w:r w:rsidR="00BB6C0A">
        <w:t xml:space="preserve">one </w:t>
      </w:r>
      <w:r>
        <w:t>may</w:t>
      </w:r>
      <w:r w:rsidR="00BB6C0A">
        <w:t xml:space="preserve"> need to</w:t>
      </w:r>
      <w:r>
        <w:t xml:space="preserve"> utilize a virtual environment or enter thoughts into a shared document, the persons engaged do not need to be there at the same moment.</w:t>
      </w:r>
      <w:r w:rsidR="005F0CE8">
        <w:t xml:space="preserve"> </w:t>
      </w:r>
      <w:r>
        <w:t xml:space="preserve">All participants must be aware of the issue that demands a creative solution and be acquainted with how brainstorming works in order for it to operate properly. Finally, </w:t>
      </w:r>
      <w:r w:rsidR="00BB6C0A">
        <w:t>one need</w:t>
      </w:r>
      <w:r w:rsidR="00DB4D8A">
        <w:t>s</w:t>
      </w:r>
      <w:r w:rsidR="00BB6C0A">
        <w:t xml:space="preserve"> to </w:t>
      </w:r>
      <w:r>
        <w:t xml:space="preserve">be sure to record all of </w:t>
      </w:r>
      <w:r w:rsidR="00BB6C0A">
        <w:t>one’s</w:t>
      </w:r>
      <w:r>
        <w:t xml:space="preserve"> thoughts using good documentation.</w:t>
      </w:r>
    </w:p>
    <w:p w14:paraId="187A64AF" w14:textId="1B605C9B" w:rsidR="00315997" w:rsidRDefault="00315997" w:rsidP="00315997">
      <w:r>
        <w:t>Thinking in a</w:t>
      </w:r>
      <w:r w:rsidR="005F0CE8">
        <w:t xml:space="preserve"> lateral</w:t>
      </w:r>
      <w:r>
        <w:t xml:space="preserve"> way</w:t>
      </w:r>
      <w:r w:rsidR="005F0CE8">
        <w:t xml:space="preserve">: </w:t>
      </w:r>
      <w:r>
        <w:t>Sometimes the solution to an issue is hidden behind it, rather than in front of it. That is the main notion behind lateral thinking, which is a terrific approach to hon</w:t>
      </w:r>
      <w:r w:rsidR="00DB4D8A">
        <w:t>ing</w:t>
      </w:r>
      <w:r>
        <w:t xml:space="preserve"> </w:t>
      </w:r>
      <w:r w:rsidR="00BB6C0A">
        <w:t>one’s</w:t>
      </w:r>
      <w:r>
        <w:t xml:space="preserve"> creative soft skills and devis</w:t>
      </w:r>
      <w:r w:rsidR="00DB4D8A">
        <w:t>ing</w:t>
      </w:r>
      <w:r>
        <w:t xml:space="preserve"> new strategies</w:t>
      </w:r>
      <w:r w:rsidR="00B76C3B">
        <w:t xml:space="preserve"> </w:t>
      </w:r>
      <w:r w:rsidR="00B76C3B" w:rsidRPr="00B76C3B">
        <w:t>(Whiting, 2013)</w:t>
      </w:r>
      <w:r>
        <w:t>.</w:t>
      </w:r>
      <w:r w:rsidR="005F0CE8">
        <w:t xml:space="preserve"> </w:t>
      </w:r>
      <w:r>
        <w:t xml:space="preserve">Lateral thinking entails exploring into regions and lines of thought that are less evident. It may work well if </w:t>
      </w:r>
      <w:r w:rsidR="00BB6C0A">
        <w:t>an individual</w:t>
      </w:r>
      <w:r>
        <w:t xml:space="preserve"> and </w:t>
      </w:r>
      <w:r w:rsidR="00BB6C0A">
        <w:t>his or her</w:t>
      </w:r>
      <w:r>
        <w:t xml:space="preserve"> companions attempt to look at the issue from various angles or invert the problem to see it from a new viewpoint.</w:t>
      </w:r>
      <w:r w:rsidR="005F0CE8">
        <w:t xml:space="preserve"> </w:t>
      </w:r>
      <w:r>
        <w:t>For example, putting up additional adverts and specials in response to a drop in online sales is a clear remedy. However, lateral thinking may lead to other options, such as employing e-mail marketing to re-engage clients who haven't purchased from you in a while.</w:t>
      </w:r>
      <w:r w:rsidR="005F0CE8">
        <w:t xml:space="preserve"> </w:t>
      </w:r>
      <w:r>
        <w:t xml:space="preserve">This may be taken even further, with ludicrous lines of reasoning being used to get </w:t>
      </w:r>
      <w:r w:rsidR="00BB6C0A">
        <w:t>one’s</w:t>
      </w:r>
      <w:r>
        <w:t xml:space="preserve"> creative </w:t>
      </w:r>
      <w:r w:rsidR="00BB6C0A">
        <w:t>thinking</w:t>
      </w:r>
      <w:r>
        <w:t xml:space="preserve"> flowing. The most crucial component of this procedure is to go places </w:t>
      </w:r>
      <w:r w:rsidR="00BB6C0A">
        <w:t>an individual</w:t>
      </w:r>
      <w:r>
        <w:t xml:space="preserve"> would not normally go.</w:t>
      </w:r>
    </w:p>
    <w:p w14:paraId="6E2CB6A2" w14:textId="59AA11D0" w:rsidR="00FA740B" w:rsidRPr="005F0CE8" w:rsidRDefault="00315997" w:rsidP="00315997">
      <w:r>
        <w:t>Mind mapping</w:t>
      </w:r>
      <w:r w:rsidR="005F0CE8">
        <w:t>: It</w:t>
      </w:r>
      <w:r>
        <w:t xml:space="preserve"> allows </w:t>
      </w:r>
      <w:r w:rsidR="00BB6C0A">
        <w:t>one</w:t>
      </w:r>
      <w:r>
        <w:t xml:space="preserve"> to link thoughts </w:t>
      </w:r>
      <w:r w:rsidR="00BB6C0A">
        <w:t>one</w:t>
      </w:r>
      <w:r>
        <w:t xml:space="preserve"> never thought could be joined. As a result, it could be able to assist </w:t>
      </w:r>
      <w:r w:rsidR="00BB6C0A">
        <w:t>an individual</w:t>
      </w:r>
      <w:r>
        <w:t xml:space="preserve"> in coming up with acceptable ideas while applying creative thinking abilities.</w:t>
      </w:r>
      <w:r w:rsidR="005F0CE8">
        <w:t xml:space="preserve"> </w:t>
      </w:r>
      <w:r>
        <w:t xml:space="preserve">A mind map is a diagram in which </w:t>
      </w:r>
      <w:r w:rsidR="00BB6C0A">
        <w:t>one</w:t>
      </w:r>
      <w:r>
        <w:t xml:space="preserve"> may input and link thoughts</w:t>
      </w:r>
      <w:r w:rsidR="00B76C3B">
        <w:t xml:space="preserve"> </w:t>
      </w:r>
      <w:r w:rsidR="00B76C3B" w:rsidRPr="00B76C3B">
        <w:t>(Whiting, 2013)</w:t>
      </w:r>
      <w:r>
        <w:t xml:space="preserve">. It may provide potential answers to an issue, as well as its immediate ramifications and the best course of action to address them. Alternatively, </w:t>
      </w:r>
      <w:r w:rsidR="00BB6C0A">
        <w:t>an individual’s</w:t>
      </w:r>
      <w:r>
        <w:t xml:space="preserve"> mind map might help </w:t>
      </w:r>
      <w:r w:rsidR="00BB6C0A">
        <w:t>one</w:t>
      </w:r>
      <w:r>
        <w:t xml:space="preserve"> see the larger picture of what </w:t>
      </w:r>
      <w:r w:rsidR="00BB6C0A">
        <w:t>one is</w:t>
      </w:r>
      <w:r>
        <w:t xml:space="preserve"> attempting to accomplish.</w:t>
      </w:r>
      <w:r w:rsidR="005F0CE8">
        <w:t xml:space="preserve"> </w:t>
      </w:r>
      <w:r>
        <w:t xml:space="preserve">Individual mind mapping is also possible. </w:t>
      </w:r>
      <w:r w:rsidR="00BB6C0A">
        <w:t>A person</w:t>
      </w:r>
      <w:r>
        <w:t xml:space="preserve"> may already have all of the thoughts </w:t>
      </w:r>
      <w:r w:rsidR="00BB6C0A">
        <w:t>he or she</w:t>
      </w:r>
      <w:r>
        <w:t xml:space="preserve"> need, but </w:t>
      </w:r>
      <w:r w:rsidR="00BB6C0A">
        <w:t>one</w:t>
      </w:r>
      <w:r>
        <w:t xml:space="preserve"> must put them down on paper. Making a mental map might help </w:t>
      </w:r>
      <w:r w:rsidR="00524ADC">
        <w:t>one</w:t>
      </w:r>
      <w:r>
        <w:t xml:space="preserve"> organize </w:t>
      </w:r>
      <w:r w:rsidR="00524ADC">
        <w:t>one’s</w:t>
      </w:r>
      <w:r>
        <w:t xml:space="preserve"> thoughts and come to logical conclusions.</w:t>
      </w:r>
      <w:r w:rsidR="005F0CE8">
        <w:t xml:space="preserve"> </w:t>
      </w:r>
      <w:r>
        <w:t xml:space="preserve">Also, since a mind map is basically an infographic, it is readily understood by people who were not involved in the process. As a result, it is a legitimate piece of documentation. </w:t>
      </w:r>
      <w:r w:rsidR="00FA740B">
        <w:br w:type="page"/>
      </w:r>
    </w:p>
    <w:p w14:paraId="42B1D381" w14:textId="27BBE429" w:rsidR="0067658E" w:rsidRDefault="004E6000" w:rsidP="0067658E">
      <w:pPr>
        <w:pStyle w:val="Heading1"/>
      </w:pPr>
      <w:bookmarkStart w:id="4" w:name="_Toc102140977"/>
      <w:r>
        <w:lastRenderedPageBreak/>
        <w:t>Conclusion</w:t>
      </w:r>
      <w:bookmarkEnd w:id="4"/>
      <w:r>
        <w:t xml:space="preserve"> </w:t>
      </w:r>
    </w:p>
    <w:p w14:paraId="713DFA12" w14:textId="0A73746B" w:rsidR="00FB4256" w:rsidRDefault="00167A2E">
      <w:r>
        <w:t>By community engagement, one means the involvement among a community that helps in leading to a long-term, sustainable result and also the decision making, procedure, discussion, connection and execution that aims to better involve the people of that certain community. The very term that is discussed here can also be used while encompassing many types of individuals which includ</w:t>
      </w:r>
      <w:r w:rsidR="00DB4D8A">
        <w:t>ing</w:t>
      </w:r>
      <w:r>
        <w:t xml:space="preserve"> stakeholders, lobby groups and citizens. To adopt</w:t>
      </w:r>
      <w:r w:rsidRPr="008E5067">
        <w:t xml:space="preserve"> principles and standards that will enable one to engage with stakeholders across different organisations</w:t>
      </w:r>
      <w:r>
        <w:t xml:space="preserve">, first, the need for engagement of stakeholders needs to be understood and it includes the understanding of the business entity, its objectives and engagement processes. Then one needs to identify the stakeholders. Thirdly, the director’s duty </w:t>
      </w:r>
      <w:r w:rsidR="00DB4D8A">
        <w:t>to</w:t>
      </w:r>
      <w:r>
        <w:t xml:space="preserve"> the organization needs to be recognized and that is to act with sincerity, honesty and in good faith. Fourthly, to add meaning to the group engagement, building trust is a fundamental concept. Fifthly, broad research needs to be carried out for planning the consultation and the consultation stage needs to properly represent the organization and the stakeholders. Sixthly, proper response and implementation are done by Unilever and lastly, it is critical to keep track of the data and understanding gathered throughout the whole process.</w:t>
      </w:r>
      <w:r w:rsidR="00561C36">
        <w:t xml:space="preserve"> Again, there are various interpersonal abilities which can be defined as the abilities that an individual needs to utilize to properly communicate and engage with others in a group engagement. Brainstorming, lateral thinking and mind mapping are some of the practical ways to apply the skills.</w:t>
      </w:r>
    </w:p>
    <w:p w14:paraId="475FF150" w14:textId="46B975BC" w:rsidR="00085FAD" w:rsidRPr="00085FAD" w:rsidRDefault="00085FAD" w:rsidP="00085FAD"/>
    <w:p w14:paraId="53E687CF" w14:textId="4DF4FA39" w:rsidR="00085FAD" w:rsidRPr="00085FAD" w:rsidRDefault="00085FAD" w:rsidP="00085FAD"/>
    <w:p w14:paraId="4A30375F" w14:textId="36C9091C" w:rsidR="00085FAD" w:rsidRPr="00085FAD" w:rsidRDefault="00085FAD" w:rsidP="00085FAD"/>
    <w:p w14:paraId="596F4997" w14:textId="1D671E91" w:rsidR="00085FAD" w:rsidRPr="00085FAD" w:rsidRDefault="00085FAD" w:rsidP="00085FAD"/>
    <w:p w14:paraId="180C6C0E" w14:textId="2F9A2496" w:rsidR="00085FAD" w:rsidRDefault="00085FAD" w:rsidP="00085FAD"/>
    <w:p w14:paraId="477A5D9E" w14:textId="3C66490B" w:rsidR="00085FAD" w:rsidRDefault="00085FAD" w:rsidP="00085FAD"/>
    <w:p w14:paraId="6B7984F0" w14:textId="77777777" w:rsidR="00085FAD" w:rsidRDefault="00085FAD">
      <w:pPr>
        <w:spacing w:line="259" w:lineRule="auto"/>
        <w:jc w:val="left"/>
      </w:pPr>
      <w:r>
        <w:br w:type="page"/>
      </w:r>
    </w:p>
    <w:p w14:paraId="3B0D123F" w14:textId="5D5C8D7D" w:rsidR="00085FAD" w:rsidRDefault="00085FAD" w:rsidP="00085FAD">
      <w:pPr>
        <w:pStyle w:val="Heading1"/>
      </w:pPr>
      <w:bookmarkStart w:id="5" w:name="_Toc102140978"/>
      <w:r w:rsidRPr="00085FAD">
        <w:lastRenderedPageBreak/>
        <w:t>References</w:t>
      </w:r>
      <w:bookmarkEnd w:id="5"/>
    </w:p>
    <w:p w14:paraId="42ACE6D4" w14:textId="3828E73C" w:rsidR="009E01DB" w:rsidRPr="00217437" w:rsidRDefault="009E01DB" w:rsidP="00CF170B">
      <w:pPr>
        <w:pStyle w:val="ListParagraph"/>
        <w:numPr>
          <w:ilvl w:val="0"/>
          <w:numId w:val="2"/>
        </w:numPr>
        <w:rPr>
          <w:rFonts w:cs="Times New Roman"/>
          <w:color w:val="000000" w:themeColor="text1"/>
          <w:szCs w:val="22"/>
        </w:rPr>
      </w:pPr>
      <w:r w:rsidRPr="00217437">
        <w:rPr>
          <w:rFonts w:cs="Times New Roman"/>
          <w:color w:val="000000" w:themeColor="text1"/>
          <w:szCs w:val="22"/>
        </w:rPr>
        <w:t>Unilever UK. 2022. [online] Available at: &lt;https://www.dnb.com/business-directory/company-profiles.unilever_plc.692bf7eb0017885505b5f67add163e29.html&gt; [Accessed 29 April 2022].</w:t>
      </w:r>
    </w:p>
    <w:p w14:paraId="143BB035" w14:textId="5D2C96B4" w:rsidR="009E01DB" w:rsidRPr="00217437" w:rsidRDefault="009E01D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 xml:space="preserve">De </w:t>
      </w:r>
      <w:proofErr w:type="spellStart"/>
      <w:r w:rsidRPr="00217437">
        <w:rPr>
          <w:rFonts w:cs="Times New Roman"/>
          <w:color w:val="000000" w:themeColor="text1"/>
          <w:szCs w:val="22"/>
          <w:shd w:val="clear" w:color="auto" w:fill="FFFFFF"/>
        </w:rPr>
        <w:t>Janasz</w:t>
      </w:r>
      <w:proofErr w:type="spellEnd"/>
      <w:r w:rsidRPr="00217437">
        <w:rPr>
          <w:rFonts w:cs="Times New Roman"/>
          <w:color w:val="000000" w:themeColor="text1"/>
          <w:szCs w:val="22"/>
          <w:shd w:val="clear" w:color="auto" w:fill="FFFFFF"/>
        </w:rPr>
        <w:t>, S., Dowd, K. and Schneider, B., 2016. </w:t>
      </w:r>
      <w:r w:rsidRPr="00217437">
        <w:rPr>
          <w:rFonts w:cs="Times New Roman"/>
          <w:i/>
          <w:iCs/>
          <w:color w:val="000000" w:themeColor="text1"/>
          <w:szCs w:val="22"/>
          <w:shd w:val="clear" w:color="auto" w:fill="FFFFFF"/>
        </w:rPr>
        <w:t>Interpersonal skills in organizations</w:t>
      </w:r>
      <w:r w:rsidRPr="00217437">
        <w:rPr>
          <w:rFonts w:cs="Times New Roman"/>
          <w:color w:val="000000" w:themeColor="text1"/>
          <w:szCs w:val="22"/>
          <w:shd w:val="clear" w:color="auto" w:fill="FFFFFF"/>
        </w:rPr>
        <w:t>.</w:t>
      </w:r>
    </w:p>
    <w:p w14:paraId="129E6277" w14:textId="2D905D45" w:rsidR="009E01DB" w:rsidRPr="00217437" w:rsidRDefault="009E01D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2022. </w:t>
      </w:r>
      <w:r w:rsidRPr="00217437">
        <w:rPr>
          <w:rFonts w:cs="Times New Roman"/>
          <w:i/>
          <w:iCs/>
          <w:color w:val="000000" w:themeColor="text1"/>
          <w:szCs w:val="22"/>
          <w:shd w:val="clear" w:color="auto" w:fill="FFFFFF"/>
        </w:rPr>
        <w:t>Interpersonal Skills Definitions and Types</w:t>
      </w:r>
      <w:r w:rsidRPr="00217437">
        <w:rPr>
          <w:rFonts w:cs="Times New Roman"/>
          <w:color w:val="000000" w:themeColor="text1"/>
          <w:szCs w:val="22"/>
          <w:shd w:val="clear" w:color="auto" w:fill="FFFFFF"/>
        </w:rPr>
        <w:t>. [online] Available at: &lt;https://www.mygreatlearning.com/blog/what-are-interpersonal-skills/&gt; [Accessed 29 April 2022].</w:t>
      </w:r>
    </w:p>
    <w:p w14:paraId="1656DF02" w14:textId="5400DC0A"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Kearney, J. and Candy, D., 2014. Partnerships and Processes of Engagement. </w:t>
      </w:r>
      <w:r w:rsidRPr="00217437">
        <w:rPr>
          <w:rFonts w:cs="Times New Roman"/>
          <w:i/>
          <w:iCs/>
          <w:color w:val="000000" w:themeColor="text1"/>
          <w:szCs w:val="22"/>
          <w:shd w:val="clear" w:color="auto" w:fill="FFFFFF"/>
        </w:rPr>
        <w:t>Journal of Community Practice</w:t>
      </w:r>
      <w:r w:rsidRPr="00217437">
        <w:rPr>
          <w:rFonts w:cs="Times New Roman"/>
          <w:color w:val="000000" w:themeColor="text1"/>
          <w:szCs w:val="22"/>
          <w:shd w:val="clear" w:color="auto" w:fill="FFFFFF"/>
        </w:rPr>
        <w:t>, 12(3-4), pp.181-201.</w:t>
      </w:r>
    </w:p>
    <w:p w14:paraId="40063C42" w14:textId="7768A0DD"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Marsh, G., 2017. </w:t>
      </w:r>
      <w:r w:rsidRPr="00217437">
        <w:rPr>
          <w:rFonts w:cs="Times New Roman"/>
          <w:i/>
          <w:iCs/>
          <w:color w:val="000000" w:themeColor="text1"/>
          <w:szCs w:val="22"/>
          <w:shd w:val="clear" w:color="auto" w:fill="FFFFFF"/>
        </w:rPr>
        <w:t>Community engagement</w:t>
      </w:r>
      <w:r w:rsidRPr="00217437">
        <w:rPr>
          <w:rFonts w:cs="Times New Roman"/>
          <w:color w:val="000000" w:themeColor="text1"/>
          <w:szCs w:val="22"/>
          <w:shd w:val="clear" w:color="auto" w:fill="FFFFFF"/>
        </w:rPr>
        <w:t>.</w:t>
      </w:r>
    </w:p>
    <w:p w14:paraId="4587671A" w14:textId="1FB6B704"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Rawlinson, J., 2017. Creative Thinking and Brainstorming.</w:t>
      </w:r>
    </w:p>
    <w:p w14:paraId="4858B3F0" w14:textId="0D6DBA0E"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Student Life. 2022. </w:t>
      </w:r>
      <w:r w:rsidRPr="00217437">
        <w:rPr>
          <w:rFonts w:cs="Times New Roman"/>
          <w:i/>
          <w:iCs/>
          <w:color w:val="000000" w:themeColor="text1"/>
          <w:szCs w:val="22"/>
          <w:shd w:val="clear" w:color="auto" w:fill="FFFFFF"/>
        </w:rPr>
        <w:t>Types of Community Engagement</w:t>
      </w:r>
      <w:r w:rsidRPr="00217437">
        <w:rPr>
          <w:rFonts w:cs="Times New Roman"/>
          <w:color w:val="000000" w:themeColor="text1"/>
          <w:szCs w:val="22"/>
          <w:shd w:val="clear" w:color="auto" w:fill="FFFFFF"/>
        </w:rPr>
        <w:t>. [online] Available at: &lt;https://students.morris.umn.edu/community-engagement/types-community-engagement&gt; [Accessed 29 April 2022].</w:t>
      </w:r>
    </w:p>
    <w:p w14:paraId="094483CB" w14:textId="59E56D5A"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Atsdr.cdc.gov. 2022. </w:t>
      </w:r>
      <w:r w:rsidRPr="00217437">
        <w:rPr>
          <w:rFonts w:cs="Times New Roman"/>
          <w:i/>
          <w:iCs/>
          <w:color w:val="000000" w:themeColor="text1"/>
          <w:szCs w:val="22"/>
          <w:shd w:val="clear" w:color="auto" w:fill="FFFFFF"/>
        </w:rPr>
        <w:t>Useful Concepts | Principles of Community Engagement | ATSDR</w:t>
      </w:r>
      <w:r w:rsidRPr="00217437">
        <w:rPr>
          <w:rFonts w:cs="Times New Roman"/>
          <w:color w:val="000000" w:themeColor="text1"/>
          <w:szCs w:val="22"/>
          <w:shd w:val="clear" w:color="auto" w:fill="FFFFFF"/>
        </w:rPr>
        <w:t>. [online] Available at: &lt;https://www.atsdr.cdc.gov/communityengagement/pce_useful.html&gt; [Accessed 29 April 2022].</w:t>
      </w:r>
    </w:p>
    <w:p w14:paraId="51A0E977" w14:textId="27E88171"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Whiting, C., 2013. </w:t>
      </w:r>
      <w:r w:rsidRPr="00217437">
        <w:rPr>
          <w:rFonts w:cs="Times New Roman"/>
          <w:i/>
          <w:iCs/>
          <w:color w:val="000000" w:themeColor="text1"/>
          <w:szCs w:val="22"/>
          <w:shd w:val="clear" w:color="auto" w:fill="FFFFFF"/>
        </w:rPr>
        <w:t>Creative thinking</w:t>
      </w:r>
      <w:r w:rsidRPr="00217437">
        <w:rPr>
          <w:rFonts w:cs="Times New Roman"/>
          <w:color w:val="000000" w:themeColor="text1"/>
          <w:szCs w:val="22"/>
          <w:shd w:val="clear" w:color="auto" w:fill="FFFFFF"/>
        </w:rPr>
        <w:t>. New York: Reinhold Publishing Corporation.</w:t>
      </w:r>
    </w:p>
    <w:p w14:paraId="1DBA8154" w14:textId="438F82A2" w:rsidR="00CF170B" w:rsidRPr="00217437" w:rsidRDefault="00CF170B" w:rsidP="00CF170B">
      <w:pPr>
        <w:pStyle w:val="ListParagraph"/>
        <w:numPr>
          <w:ilvl w:val="0"/>
          <w:numId w:val="2"/>
        </w:numPr>
        <w:rPr>
          <w:rFonts w:cs="Times New Roman"/>
          <w:color w:val="000000" w:themeColor="text1"/>
          <w:szCs w:val="22"/>
        </w:rPr>
      </w:pPr>
      <w:r w:rsidRPr="00217437">
        <w:rPr>
          <w:rFonts w:cs="Times New Roman"/>
          <w:color w:val="000000" w:themeColor="text1"/>
          <w:szCs w:val="22"/>
          <w:shd w:val="clear" w:color="auto" w:fill="FFFFFF"/>
        </w:rPr>
        <w:t>Wright, B., 2019. </w:t>
      </w:r>
      <w:r w:rsidRPr="00217437">
        <w:rPr>
          <w:rFonts w:cs="Times New Roman"/>
          <w:i/>
          <w:iCs/>
          <w:color w:val="000000" w:themeColor="text1"/>
          <w:szCs w:val="22"/>
          <w:shd w:val="clear" w:color="auto" w:fill="FFFFFF"/>
        </w:rPr>
        <w:t>Interpersonal Skills</w:t>
      </w:r>
      <w:r w:rsidRPr="00217437">
        <w:rPr>
          <w:rFonts w:cs="Times New Roman"/>
          <w:color w:val="000000" w:themeColor="text1"/>
          <w:szCs w:val="22"/>
          <w:shd w:val="clear" w:color="auto" w:fill="FFFFFF"/>
        </w:rPr>
        <w:t>. Keswick: M &amp; K Update Ltd.</w:t>
      </w:r>
    </w:p>
    <w:sectPr w:rsidR="00CF170B" w:rsidRPr="00217437" w:rsidSect="00E62723">
      <w:footerReference w:type="default" r:id="rId8"/>
      <w:pgSz w:w="11906" w:h="16838" w:code="9"/>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9D9C0" w14:textId="77777777" w:rsidR="006B7558" w:rsidRDefault="006B7558" w:rsidP="00E62723">
      <w:pPr>
        <w:spacing w:after="0" w:line="240" w:lineRule="auto"/>
      </w:pPr>
      <w:r>
        <w:separator/>
      </w:r>
    </w:p>
  </w:endnote>
  <w:endnote w:type="continuationSeparator" w:id="0">
    <w:p w14:paraId="12B80B9C" w14:textId="77777777" w:rsidR="006B7558" w:rsidRDefault="006B7558" w:rsidP="00E62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682157"/>
      <w:docPartObj>
        <w:docPartGallery w:val="Page Numbers (Bottom of Page)"/>
        <w:docPartUnique/>
      </w:docPartObj>
    </w:sdtPr>
    <w:sdtEndPr>
      <w:rPr>
        <w:noProof/>
      </w:rPr>
    </w:sdtEndPr>
    <w:sdtContent>
      <w:p w14:paraId="0131B50D" w14:textId="4BC0E989" w:rsidR="00E62723" w:rsidRDefault="00E627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4907F" w14:textId="77777777" w:rsidR="00E62723" w:rsidRDefault="00E62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2BE18" w14:textId="77777777" w:rsidR="006B7558" w:rsidRDefault="006B7558" w:rsidP="00E62723">
      <w:pPr>
        <w:spacing w:after="0" w:line="240" w:lineRule="auto"/>
      </w:pPr>
      <w:r>
        <w:separator/>
      </w:r>
    </w:p>
  </w:footnote>
  <w:footnote w:type="continuationSeparator" w:id="0">
    <w:p w14:paraId="6C49793E" w14:textId="77777777" w:rsidR="006B7558" w:rsidRDefault="006B7558" w:rsidP="00E62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847F3"/>
    <w:multiLevelType w:val="hybridMultilevel"/>
    <w:tmpl w:val="FE802CF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204F37BF"/>
    <w:multiLevelType w:val="hybridMultilevel"/>
    <w:tmpl w:val="A37088F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zNLM0sTQwtDA1MTNR0lEKTi0uzszPAykwqQUAQc9vuSwAAAA="/>
  </w:docVars>
  <w:rsids>
    <w:rsidRoot w:val="00AE7577"/>
    <w:rsid w:val="00007515"/>
    <w:rsid w:val="000241E8"/>
    <w:rsid w:val="000350B9"/>
    <w:rsid w:val="000636E1"/>
    <w:rsid w:val="00067902"/>
    <w:rsid w:val="00085FAD"/>
    <w:rsid w:val="000862E4"/>
    <w:rsid w:val="000A121E"/>
    <w:rsid w:val="000D3907"/>
    <w:rsid w:val="0012479D"/>
    <w:rsid w:val="00167A2E"/>
    <w:rsid w:val="0021462A"/>
    <w:rsid w:val="00215C77"/>
    <w:rsid w:val="00217437"/>
    <w:rsid w:val="00222963"/>
    <w:rsid w:val="00231887"/>
    <w:rsid w:val="002374AC"/>
    <w:rsid w:val="00251722"/>
    <w:rsid w:val="002B2B95"/>
    <w:rsid w:val="00312B1B"/>
    <w:rsid w:val="00315997"/>
    <w:rsid w:val="00346F2C"/>
    <w:rsid w:val="003A715E"/>
    <w:rsid w:val="003F3C10"/>
    <w:rsid w:val="0046356B"/>
    <w:rsid w:val="00464B50"/>
    <w:rsid w:val="00470A87"/>
    <w:rsid w:val="004818B6"/>
    <w:rsid w:val="00490DC8"/>
    <w:rsid w:val="004B574E"/>
    <w:rsid w:val="004C06A4"/>
    <w:rsid w:val="004C7657"/>
    <w:rsid w:val="004E6000"/>
    <w:rsid w:val="00524ADC"/>
    <w:rsid w:val="00561C36"/>
    <w:rsid w:val="005938F7"/>
    <w:rsid w:val="005B1C66"/>
    <w:rsid w:val="005B3A18"/>
    <w:rsid w:val="005C31E2"/>
    <w:rsid w:val="005C6684"/>
    <w:rsid w:val="005D4630"/>
    <w:rsid w:val="005F0CE8"/>
    <w:rsid w:val="0064052B"/>
    <w:rsid w:val="0067658E"/>
    <w:rsid w:val="00676D6C"/>
    <w:rsid w:val="006B7558"/>
    <w:rsid w:val="00704152"/>
    <w:rsid w:val="0075170A"/>
    <w:rsid w:val="00776C17"/>
    <w:rsid w:val="00790782"/>
    <w:rsid w:val="007D3E22"/>
    <w:rsid w:val="007F01FF"/>
    <w:rsid w:val="00842DA0"/>
    <w:rsid w:val="00867CE7"/>
    <w:rsid w:val="00886079"/>
    <w:rsid w:val="008B09ED"/>
    <w:rsid w:val="008E5067"/>
    <w:rsid w:val="00963D5C"/>
    <w:rsid w:val="00981046"/>
    <w:rsid w:val="009C4922"/>
    <w:rsid w:val="009D07FE"/>
    <w:rsid w:val="009E01DB"/>
    <w:rsid w:val="00A26619"/>
    <w:rsid w:val="00A56644"/>
    <w:rsid w:val="00A67B85"/>
    <w:rsid w:val="00A77300"/>
    <w:rsid w:val="00A94C05"/>
    <w:rsid w:val="00AC4A04"/>
    <w:rsid w:val="00AD24FD"/>
    <w:rsid w:val="00AE7577"/>
    <w:rsid w:val="00B76C3B"/>
    <w:rsid w:val="00BB6C0A"/>
    <w:rsid w:val="00C17E9E"/>
    <w:rsid w:val="00CA5646"/>
    <w:rsid w:val="00CE01A0"/>
    <w:rsid w:val="00CF170B"/>
    <w:rsid w:val="00D10A4B"/>
    <w:rsid w:val="00D47317"/>
    <w:rsid w:val="00D8738F"/>
    <w:rsid w:val="00DB4D8A"/>
    <w:rsid w:val="00E034E5"/>
    <w:rsid w:val="00E135E8"/>
    <w:rsid w:val="00E14C69"/>
    <w:rsid w:val="00E24A8E"/>
    <w:rsid w:val="00E50FC0"/>
    <w:rsid w:val="00E62723"/>
    <w:rsid w:val="00EE549D"/>
    <w:rsid w:val="00EE6265"/>
    <w:rsid w:val="00F54B14"/>
    <w:rsid w:val="00FA09F2"/>
    <w:rsid w:val="00FA740B"/>
    <w:rsid w:val="00FB42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2B9B"/>
  <w15:chartTrackingRefBased/>
  <w15:docId w15:val="{5035C25F-86EE-4856-B896-72643256D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E600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67658E"/>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4E6000"/>
    <w:pPr>
      <w:keepNext/>
      <w:keepLines/>
      <w:spacing w:before="40" w:after="0"/>
      <w:outlineLvl w:val="1"/>
    </w:pPr>
    <w:rPr>
      <w:rFonts w:eastAsiaTheme="majorEastAsia"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600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7658E"/>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4E6000"/>
    <w:rPr>
      <w:rFonts w:ascii="Times New Roman" w:eastAsiaTheme="majorEastAsia" w:hAnsi="Times New Roman" w:cstheme="majorBidi"/>
      <w:color w:val="2F5496" w:themeColor="accent1" w:themeShade="BF"/>
      <w:sz w:val="26"/>
      <w:szCs w:val="33"/>
      <w:lang w:val="en-GB"/>
    </w:rPr>
  </w:style>
  <w:style w:type="paragraph" w:styleId="TOCHeading">
    <w:name w:val="TOC Heading"/>
    <w:basedOn w:val="Heading1"/>
    <w:next w:val="Normal"/>
    <w:uiPriority w:val="39"/>
    <w:unhideWhenUsed/>
    <w:qFormat/>
    <w:rsid w:val="00E62723"/>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E62723"/>
    <w:pPr>
      <w:spacing w:after="100"/>
    </w:pPr>
  </w:style>
  <w:style w:type="character" w:styleId="Hyperlink">
    <w:name w:val="Hyperlink"/>
    <w:basedOn w:val="DefaultParagraphFont"/>
    <w:uiPriority w:val="99"/>
    <w:unhideWhenUsed/>
    <w:rsid w:val="00E62723"/>
    <w:rPr>
      <w:color w:val="0563C1" w:themeColor="hyperlink"/>
      <w:u w:val="single"/>
    </w:rPr>
  </w:style>
  <w:style w:type="paragraph" w:styleId="Header">
    <w:name w:val="header"/>
    <w:basedOn w:val="Normal"/>
    <w:link w:val="HeaderChar"/>
    <w:uiPriority w:val="99"/>
    <w:unhideWhenUsed/>
    <w:rsid w:val="00E62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723"/>
    <w:rPr>
      <w:rFonts w:ascii="Times New Roman" w:hAnsi="Times New Roman"/>
      <w:lang w:val="en-GB"/>
    </w:rPr>
  </w:style>
  <w:style w:type="paragraph" w:styleId="Footer">
    <w:name w:val="footer"/>
    <w:basedOn w:val="Normal"/>
    <w:link w:val="FooterChar"/>
    <w:uiPriority w:val="99"/>
    <w:unhideWhenUsed/>
    <w:rsid w:val="00E62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723"/>
    <w:rPr>
      <w:rFonts w:ascii="Times New Roman" w:hAnsi="Times New Roman"/>
      <w:lang w:val="en-GB"/>
    </w:rPr>
  </w:style>
  <w:style w:type="paragraph" w:styleId="ListParagraph">
    <w:name w:val="List Paragraph"/>
    <w:basedOn w:val="Normal"/>
    <w:uiPriority w:val="34"/>
    <w:qFormat/>
    <w:rsid w:val="00CF1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558349">
      <w:bodyDiv w:val="1"/>
      <w:marLeft w:val="0"/>
      <w:marRight w:val="0"/>
      <w:marTop w:val="0"/>
      <w:marBottom w:val="0"/>
      <w:divBdr>
        <w:top w:val="none" w:sz="0" w:space="0" w:color="auto"/>
        <w:left w:val="none" w:sz="0" w:space="0" w:color="auto"/>
        <w:bottom w:val="none" w:sz="0" w:space="0" w:color="auto"/>
        <w:right w:val="none" w:sz="0" w:space="0" w:color="auto"/>
      </w:divBdr>
      <w:divsChild>
        <w:div w:id="933975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16EF7-EC73-A444-AE79-84C53060E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2315</Words>
  <Characters>13197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Tasnim</dc:creator>
  <cp:keywords/>
  <dc:description/>
  <cp:lastModifiedBy>Microsoft Office User</cp:lastModifiedBy>
  <cp:revision>3</cp:revision>
  <dcterms:created xsi:type="dcterms:W3CDTF">2022-05-06T21:22:00Z</dcterms:created>
  <dcterms:modified xsi:type="dcterms:W3CDTF">2022-05-06T21:24:00Z</dcterms:modified>
</cp:coreProperties>
</file>