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09830744"/>
        <w:docPartObj>
          <w:docPartGallery w:val="Cover Pages"/>
          <w:docPartUnique/>
        </w:docPartObj>
      </w:sdtPr>
      <w:sdtEnd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dtEndPr>
      <w:sdtContent>
        <w:p w14:paraId="25A8C209" w14:textId="3D559ADB" w:rsidR="004448FC" w:rsidRDefault="004448FC">
          <w:r>
            <w:rPr>
              <w:noProof/>
            </w:rPr>
            <mc:AlternateContent>
              <mc:Choice Requires="wpg">
                <w:drawing>
                  <wp:anchor distT="0" distB="0" distL="114300" distR="114300" simplePos="0" relativeHeight="251658240" behindDoc="1" locked="0" layoutInCell="1" allowOverlap="1" wp14:anchorId="56288A44" wp14:editId="6C4D38FA">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69"/>
                                    <w:gridCol w:w="3969"/>
                                  </w:tblGrid>
                                  <w:tr w:rsidR="007E5CE4" w:rsidRPr="003D1C43" w14:paraId="38E8E42A" w14:textId="77777777" w:rsidTr="005A6731">
                                    <w:trPr>
                                      <w:trHeight w:val="651"/>
                                    </w:trPr>
                                    <w:tc>
                                      <w:tcPr>
                                        <w:tcW w:w="3969" w:type="dxa"/>
                                      </w:tcPr>
                                      <w:p w14:paraId="419987AA" w14:textId="77777777" w:rsidR="007E5CE4" w:rsidRPr="003D1C43" w:rsidRDefault="007E5CE4" w:rsidP="007E5CE4">
                                        <w:pPr>
                                          <w:rPr>
                                            <w:rFonts w:ascii="Times New Roman" w:hAnsi="Times New Roman" w:cs="Times New Roman"/>
                                            <w:sz w:val="32"/>
                                            <w:szCs w:val="32"/>
                                          </w:rPr>
                                        </w:pPr>
                                        <w:r>
                                          <w:rPr>
                                            <w:rFonts w:ascii="Times New Roman" w:hAnsi="Times New Roman" w:cs="Times New Roman"/>
                                            <w:sz w:val="32"/>
                                            <w:szCs w:val="32"/>
                                          </w:rPr>
                                          <w:t>Student’s Name</w:t>
                                        </w:r>
                                      </w:p>
                                    </w:tc>
                                    <w:tc>
                                      <w:tcPr>
                                        <w:tcW w:w="3969" w:type="dxa"/>
                                      </w:tcPr>
                                      <w:p w14:paraId="39F64CB1" w14:textId="77777777" w:rsidR="007E5CE4" w:rsidRPr="003D1C43" w:rsidRDefault="007E5CE4" w:rsidP="007E5CE4">
                                        <w:pPr>
                                          <w:rPr>
                                            <w:rFonts w:ascii="Times New Roman" w:hAnsi="Times New Roman" w:cs="Times New Roman"/>
                                            <w:sz w:val="32"/>
                                            <w:szCs w:val="32"/>
                                          </w:rPr>
                                        </w:pPr>
                                        <w:r>
                                          <w:rPr>
                                            <w:rFonts w:ascii="Times New Roman" w:hAnsi="Times New Roman" w:cs="Times New Roman"/>
                                            <w:sz w:val="32"/>
                                            <w:szCs w:val="32"/>
                                          </w:rPr>
                                          <w:t>Nazifa Ahmed</w:t>
                                        </w:r>
                                      </w:p>
                                    </w:tc>
                                  </w:tr>
                                  <w:tr w:rsidR="007E5CE4" w:rsidRPr="003D1C43" w14:paraId="59FE076B" w14:textId="77777777" w:rsidTr="005A6731">
                                    <w:trPr>
                                      <w:trHeight w:val="651"/>
                                    </w:trPr>
                                    <w:tc>
                                      <w:tcPr>
                                        <w:tcW w:w="3969" w:type="dxa"/>
                                      </w:tcPr>
                                      <w:p w14:paraId="5985EC22" w14:textId="77777777" w:rsidR="007E5CE4" w:rsidRPr="003D1C43" w:rsidRDefault="007E5CE4" w:rsidP="007E5CE4">
                                        <w:pPr>
                                          <w:rPr>
                                            <w:rFonts w:ascii="Times New Roman" w:hAnsi="Times New Roman" w:cs="Times New Roman"/>
                                            <w:sz w:val="32"/>
                                            <w:szCs w:val="32"/>
                                          </w:rPr>
                                        </w:pPr>
                                        <w:r>
                                          <w:rPr>
                                            <w:rFonts w:ascii="Times New Roman" w:hAnsi="Times New Roman" w:cs="Times New Roman"/>
                                            <w:sz w:val="32"/>
                                            <w:szCs w:val="32"/>
                                          </w:rPr>
                                          <w:t>Student’s Number</w:t>
                                        </w:r>
                                      </w:p>
                                    </w:tc>
                                    <w:tc>
                                      <w:tcPr>
                                        <w:tcW w:w="3969" w:type="dxa"/>
                                      </w:tcPr>
                                      <w:p w14:paraId="01C0BC22" w14:textId="77777777" w:rsidR="007E5CE4" w:rsidRPr="003D1C43" w:rsidRDefault="007E5CE4" w:rsidP="007E5CE4">
                                        <w:pPr>
                                          <w:rPr>
                                            <w:rFonts w:ascii="Times New Roman" w:hAnsi="Times New Roman" w:cs="Times New Roman"/>
                                            <w:sz w:val="32"/>
                                            <w:szCs w:val="32"/>
                                          </w:rPr>
                                        </w:pPr>
                                        <w:r>
                                          <w:rPr>
                                            <w:rFonts w:ascii="Times New Roman" w:hAnsi="Times New Roman" w:cs="Times New Roman"/>
                                            <w:sz w:val="32"/>
                                            <w:szCs w:val="32"/>
                                          </w:rPr>
                                          <w:t>1808865</w:t>
                                        </w:r>
                                      </w:p>
                                    </w:tc>
                                  </w:tr>
                                  <w:tr w:rsidR="007E5CE4" w:rsidRPr="003D1C43" w14:paraId="5FA72EA2" w14:textId="77777777" w:rsidTr="005A6731">
                                    <w:trPr>
                                      <w:trHeight w:val="651"/>
                                    </w:trPr>
                                    <w:tc>
                                      <w:tcPr>
                                        <w:tcW w:w="3969" w:type="dxa"/>
                                      </w:tcPr>
                                      <w:p w14:paraId="016F6E04" w14:textId="77777777" w:rsidR="007E5CE4" w:rsidRPr="003D1C43" w:rsidRDefault="007E5CE4" w:rsidP="007E5CE4">
                                        <w:pPr>
                                          <w:rPr>
                                            <w:rFonts w:ascii="Times New Roman" w:hAnsi="Times New Roman" w:cs="Times New Roman"/>
                                            <w:sz w:val="32"/>
                                            <w:szCs w:val="32"/>
                                          </w:rPr>
                                        </w:pPr>
                                        <w:r>
                                          <w:rPr>
                                            <w:rFonts w:ascii="Times New Roman" w:hAnsi="Times New Roman" w:cs="Times New Roman"/>
                                            <w:sz w:val="32"/>
                                            <w:szCs w:val="32"/>
                                          </w:rPr>
                                          <w:t>Lecturer</w:t>
                                        </w:r>
                                      </w:p>
                                    </w:tc>
                                    <w:tc>
                                      <w:tcPr>
                                        <w:tcW w:w="3969" w:type="dxa"/>
                                      </w:tcPr>
                                      <w:p w14:paraId="2ADC4747" w14:textId="0D140A3D" w:rsidR="007E5CE4" w:rsidRPr="003D1C43" w:rsidRDefault="00252133" w:rsidP="007E5CE4">
                                        <w:pPr>
                                          <w:rPr>
                                            <w:rFonts w:ascii="Times New Roman" w:hAnsi="Times New Roman" w:cs="Times New Roman"/>
                                            <w:sz w:val="32"/>
                                            <w:szCs w:val="32"/>
                                          </w:rPr>
                                        </w:pPr>
                                        <w:r>
                                          <w:rPr>
                                            <w:rFonts w:ascii="Times New Roman" w:hAnsi="Times New Roman" w:cs="Times New Roman"/>
                                            <w:sz w:val="32"/>
                                            <w:szCs w:val="32"/>
                                          </w:rPr>
                                          <w:t>Bianca Sanfilippo</w:t>
                                        </w:r>
                                      </w:p>
                                    </w:tc>
                                  </w:tr>
                                  <w:tr w:rsidR="007E5CE4" w:rsidRPr="003D1C43" w14:paraId="017F6E8F" w14:textId="77777777" w:rsidTr="005A6731">
                                    <w:trPr>
                                      <w:trHeight w:val="651"/>
                                    </w:trPr>
                                    <w:tc>
                                      <w:tcPr>
                                        <w:tcW w:w="3969" w:type="dxa"/>
                                      </w:tcPr>
                                      <w:p w14:paraId="2BB4D8E7" w14:textId="77777777" w:rsidR="007E5CE4" w:rsidRPr="003D1C43" w:rsidRDefault="007E5CE4" w:rsidP="007E5CE4">
                                        <w:pPr>
                                          <w:rPr>
                                            <w:rFonts w:ascii="Times New Roman" w:hAnsi="Times New Roman" w:cs="Times New Roman"/>
                                            <w:sz w:val="32"/>
                                            <w:szCs w:val="32"/>
                                          </w:rPr>
                                        </w:pPr>
                                        <w:r>
                                          <w:rPr>
                                            <w:rFonts w:ascii="Times New Roman" w:hAnsi="Times New Roman" w:cs="Times New Roman"/>
                                            <w:sz w:val="32"/>
                                            <w:szCs w:val="32"/>
                                          </w:rPr>
                                          <w:t>Module Title</w:t>
                                        </w:r>
                                      </w:p>
                                    </w:tc>
                                    <w:tc>
                                      <w:tcPr>
                                        <w:tcW w:w="3969" w:type="dxa"/>
                                      </w:tcPr>
                                      <w:p w14:paraId="53F1E232" w14:textId="676B81E1" w:rsidR="007E5CE4" w:rsidRPr="003D1C43" w:rsidRDefault="00F23CE9" w:rsidP="007E5CE4">
                                        <w:pPr>
                                          <w:rPr>
                                            <w:rFonts w:ascii="Times New Roman" w:hAnsi="Times New Roman" w:cs="Times New Roman"/>
                                            <w:sz w:val="32"/>
                                            <w:szCs w:val="32"/>
                                          </w:rPr>
                                        </w:pPr>
                                        <w:r>
                                          <w:rPr>
                                            <w:rFonts w:ascii="Times New Roman" w:hAnsi="Times New Roman" w:cs="Times New Roman"/>
                                            <w:sz w:val="32"/>
                                            <w:szCs w:val="32"/>
                                          </w:rPr>
                                          <w:t>Community Care and Development</w:t>
                                        </w:r>
                                      </w:p>
                                    </w:tc>
                                  </w:tr>
                                  <w:tr w:rsidR="007E5CE4" w:rsidRPr="003D1C43" w14:paraId="59D7DFCB" w14:textId="77777777" w:rsidTr="005A6731">
                                    <w:trPr>
                                      <w:trHeight w:val="651"/>
                                    </w:trPr>
                                    <w:tc>
                                      <w:tcPr>
                                        <w:tcW w:w="3969" w:type="dxa"/>
                                      </w:tcPr>
                                      <w:p w14:paraId="10C127FD" w14:textId="77777777" w:rsidR="007E5CE4" w:rsidRPr="003D1C43" w:rsidRDefault="007E5CE4" w:rsidP="007E5CE4">
                                        <w:pPr>
                                          <w:rPr>
                                            <w:rFonts w:ascii="Times New Roman" w:hAnsi="Times New Roman" w:cs="Times New Roman"/>
                                            <w:sz w:val="32"/>
                                            <w:szCs w:val="32"/>
                                          </w:rPr>
                                        </w:pPr>
                                        <w:r>
                                          <w:rPr>
                                            <w:rFonts w:ascii="Times New Roman" w:hAnsi="Times New Roman" w:cs="Times New Roman"/>
                                            <w:sz w:val="32"/>
                                            <w:szCs w:val="32"/>
                                          </w:rPr>
                                          <w:t>Module  Code</w:t>
                                        </w:r>
                                      </w:p>
                                    </w:tc>
                                    <w:tc>
                                      <w:tcPr>
                                        <w:tcW w:w="3969" w:type="dxa"/>
                                      </w:tcPr>
                                      <w:p w14:paraId="5D27C5B0" w14:textId="182E17DE" w:rsidR="007E5CE4" w:rsidRPr="003D1C43" w:rsidRDefault="007E5CE4" w:rsidP="007E5CE4">
                                        <w:pPr>
                                          <w:rPr>
                                            <w:rFonts w:ascii="Times New Roman" w:hAnsi="Times New Roman" w:cs="Times New Roman"/>
                                            <w:sz w:val="32"/>
                                            <w:szCs w:val="32"/>
                                          </w:rPr>
                                        </w:pPr>
                                        <w:r w:rsidRPr="00076A57">
                                          <w:rPr>
                                            <w:rFonts w:ascii="Times New Roman" w:hAnsi="Times New Roman" w:cs="Times New Roman"/>
                                            <w:sz w:val="32"/>
                                            <w:szCs w:val="32"/>
                                          </w:rPr>
                                          <w:t>BMHP</w:t>
                                        </w:r>
                                        <w:r w:rsidR="00F23CE9">
                                          <w:rPr>
                                            <w:rFonts w:ascii="Times New Roman" w:hAnsi="Times New Roman" w:cs="Times New Roman"/>
                                            <w:sz w:val="32"/>
                                            <w:szCs w:val="32"/>
                                          </w:rPr>
                                          <w:t>6022</w:t>
                                        </w:r>
                                      </w:p>
                                    </w:tc>
                                  </w:tr>
                                </w:tbl>
                                <w:p w14:paraId="04112016" w14:textId="77777777" w:rsidR="007E5CE4" w:rsidRDefault="007E5CE4" w:rsidP="00F23CE9">
                                  <w:pPr>
                                    <w:pStyle w:val="NoSpacing"/>
                                    <w:spacing w:before="120"/>
                                    <w:jc w:val="cente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8EB9F34" w14:textId="37AE65A8" w:rsidR="004448FC" w:rsidRDefault="0025213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Community </w:t>
                                      </w:r>
                                      <w:r w:rsidR="0015577A">
                                        <w:rPr>
                                          <w:rFonts w:asciiTheme="majorHAnsi" w:eastAsiaTheme="majorEastAsia" w:hAnsiTheme="majorHAnsi" w:cstheme="majorBidi"/>
                                          <w:caps/>
                                          <w:color w:val="4472C4" w:themeColor="accent1"/>
                                          <w:sz w:val="72"/>
                                          <w:szCs w:val="72"/>
                                        </w:rPr>
                                        <w:t>Care and Developmemnt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6288A44" id="Group 193"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69"/>
                              <w:gridCol w:w="3969"/>
                            </w:tblGrid>
                            <w:tr w:rsidR="007E5CE4" w:rsidRPr="003D1C43" w14:paraId="38E8E42A" w14:textId="77777777" w:rsidTr="005A6731">
                              <w:trPr>
                                <w:trHeight w:val="651"/>
                              </w:trPr>
                              <w:tc>
                                <w:tcPr>
                                  <w:tcW w:w="3969" w:type="dxa"/>
                                </w:tcPr>
                                <w:p w14:paraId="419987AA" w14:textId="77777777" w:rsidR="007E5CE4" w:rsidRPr="003D1C43" w:rsidRDefault="007E5CE4" w:rsidP="007E5CE4">
                                  <w:pPr>
                                    <w:rPr>
                                      <w:rFonts w:ascii="Times New Roman" w:hAnsi="Times New Roman" w:cs="Times New Roman"/>
                                      <w:sz w:val="32"/>
                                      <w:szCs w:val="32"/>
                                    </w:rPr>
                                  </w:pPr>
                                  <w:r>
                                    <w:rPr>
                                      <w:rFonts w:ascii="Times New Roman" w:hAnsi="Times New Roman" w:cs="Times New Roman"/>
                                      <w:sz w:val="32"/>
                                      <w:szCs w:val="32"/>
                                    </w:rPr>
                                    <w:t>Student’s Name</w:t>
                                  </w:r>
                                </w:p>
                              </w:tc>
                              <w:tc>
                                <w:tcPr>
                                  <w:tcW w:w="3969" w:type="dxa"/>
                                </w:tcPr>
                                <w:p w14:paraId="39F64CB1" w14:textId="77777777" w:rsidR="007E5CE4" w:rsidRPr="003D1C43" w:rsidRDefault="007E5CE4" w:rsidP="007E5CE4">
                                  <w:pPr>
                                    <w:rPr>
                                      <w:rFonts w:ascii="Times New Roman" w:hAnsi="Times New Roman" w:cs="Times New Roman"/>
                                      <w:sz w:val="32"/>
                                      <w:szCs w:val="32"/>
                                    </w:rPr>
                                  </w:pPr>
                                  <w:r>
                                    <w:rPr>
                                      <w:rFonts w:ascii="Times New Roman" w:hAnsi="Times New Roman" w:cs="Times New Roman"/>
                                      <w:sz w:val="32"/>
                                      <w:szCs w:val="32"/>
                                    </w:rPr>
                                    <w:t>Nazifa Ahmed</w:t>
                                  </w:r>
                                </w:p>
                              </w:tc>
                            </w:tr>
                            <w:tr w:rsidR="007E5CE4" w:rsidRPr="003D1C43" w14:paraId="59FE076B" w14:textId="77777777" w:rsidTr="005A6731">
                              <w:trPr>
                                <w:trHeight w:val="651"/>
                              </w:trPr>
                              <w:tc>
                                <w:tcPr>
                                  <w:tcW w:w="3969" w:type="dxa"/>
                                </w:tcPr>
                                <w:p w14:paraId="5985EC22" w14:textId="77777777" w:rsidR="007E5CE4" w:rsidRPr="003D1C43" w:rsidRDefault="007E5CE4" w:rsidP="007E5CE4">
                                  <w:pPr>
                                    <w:rPr>
                                      <w:rFonts w:ascii="Times New Roman" w:hAnsi="Times New Roman" w:cs="Times New Roman"/>
                                      <w:sz w:val="32"/>
                                      <w:szCs w:val="32"/>
                                    </w:rPr>
                                  </w:pPr>
                                  <w:r>
                                    <w:rPr>
                                      <w:rFonts w:ascii="Times New Roman" w:hAnsi="Times New Roman" w:cs="Times New Roman"/>
                                      <w:sz w:val="32"/>
                                      <w:szCs w:val="32"/>
                                    </w:rPr>
                                    <w:t>Student’s Number</w:t>
                                  </w:r>
                                </w:p>
                              </w:tc>
                              <w:tc>
                                <w:tcPr>
                                  <w:tcW w:w="3969" w:type="dxa"/>
                                </w:tcPr>
                                <w:p w14:paraId="01C0BC22" w14:textId="77777777" w:rsidR="007E5CE4" w:rsidRPr="003D1C43" w:rsidRDefault="007E5CE4" w:rsidP="007E5CE4">
                                  <w:pPr>
                                    <w:rPr>
                                      <w:rFonts w:ascii="Times New Roman" w:hAnsi="Times New Roman" w:cs="Times New Roman"/>
                                      <w:sz w:val="32"/>
                                      <w:szCs w:val="32"/>
                                    </w:rPr>
                                  </w:pPr>
                                  <w:r>
                                    <w:rPr>
                                      <w:rFonts w:ascii="Times New Roman" w:hAnsi="Times New Roman" w:cs="Times New Roman"/>
                                      <w:sz w:val="32"/>
                                      <w:szCs w:val="32"/>
                                    </w:rPr>
                                    <w:t>1808865</w:t>
                                  </w:r>
                                </w:p>
                              </w:tc>
                            </w:tr>
                            <w:tr w:rsidR="007E5CE4" w:rsidRPr="003D1C43" w14:paraId="5FA72EA2" w14:textId="77777777" w:rsidTr="005A6731">
                              <w:trPr>
                                <w:trHeight w:val="651"/>
                              </w:trPr>
                              <w:tc>
                                <w:tcPr>
                                  <w:tcW w:w="3969" w:type="dxa"/>
                                </w:tcPr>
                                <w:p w14:paraId="016F6E04" w14:textId="77777777" w:rsidR="007E5CE4" w:rsidRPr="003D1C43" w:rsidRDefault="007E5CE4" w:rsidP="007E5CE4">
                                  <w:pPr>
                                    <w:rPr>
                                      <w:rFonts w:ascii="Times New Roman" w:hAnsi="Times New Roman" w:cs="Times New Roman"/>
                                      <w:sz w:val="32"/>
                                      <w:szCs w:val="32"/>
                                    </w:rPr>
                                  </w:pPr>
                                  <w:r>
                                    <w:rPr>
                                      <w:rFonts w:ascii="Times New Roman" w:hAnsi="Times New Roman" w:cs="Times New Roman"/>
                                      <w:sz w:val="32"/>
                                      <w:szCs w:val="32"/>
                                    </w:rPr>
                                    <w:t>Lecturer</w:t>
                                  </w:r>
                                </w:p>
                              </w:tc>
                              <w:tc>
                                <w:tcPr>
                                  <w:tcW w:w="3969" w:type="dxa"/>
                                </w:tcPr>
                                <w:p w14:paraId="2ADC4747" w14:textId="0D140A3D" w:rsidR="007E5CE4" w:rsidRPr="003D1C43" w:rsidRDefault="00252133" w:rsidP="007E5CE4">
                                  <w:pPr>
                                    <w:rPr>
                                      <w:rFonts w:ascii="Times New Roman" w:hAnsi="Times New Roman" w:cs="Times New Roman"/>
                                      <w:sz w:val="32"/>
                                      <w:szCs w:val="32"/>
                                    </w:rPr>
                                  </w:pPr>
                                  <w:r>
                                    <w:rPr>
                                      <w:rFonts w:ascii="Times New Roman" w:hAnsi="Times New Roman" w:cs="Times New Roman"/>
                                      <w:sz w:val="32"/>
                                      <w:szCs w:val="32"/>
                                    </w:rPr>
                                    <w:t>Bianca Sanfilippo</w:t>
                                  </w:r>
                                </w:p>
                              </w:tc>
                            </w:tr>
                            <w:tr w:rsidR="007E5CE4" w:rsidRPr="003D1C43" w14:paraId="017F6E8F" w14:textId="77777777" w:rsidTr="005A6731">
                              <w:trPr>
                                <w:trHeight w:val="651"/>
                              </w:trPr>
                              <w:tc>
                                <w:tcPr>
                                  <w:tcW w:w="3969" w:type="dxa"/>
                                </w:tcPr>
                                <w:p w14:paraId="2BB4D8E7" w14:textId="77777777" w:rsidR="007E5CE4" w:rsidRPr="003D1C43" w:rsidRDefault="007E5CE4" w:rsidP="007E5CE4">
                                  <w:pPr>
                                    <w:rPr>
                                      <w:rFonts w:ascii="Times New Roman" w:hAnsi="Times New Roman" w:cs="Times New Roman"/>
                                      <w:sz w:val="32"/>
                                      <w:szCs w:val="32"/>
                                    </w:rPr>
                                  </w:pPr>
                                  <w:r>
                                    <w:rPr>
                                      <w:rFonts w:ascii="Times New Roman" w:hAnsi="Times New Roman" w:cs="Times New Roman"/>
                                      <w:sz w:val="32"/>
                                      <w:szCs w:val="32"/>
                                    </w:rPr>
                                    <w:t>Module Title</w:t>
                                  </w:r>
                                </w:p>
                              </w:tc>
                              <w:tc>
                                <w:tcPr>
                                  <w:tcW w:w="3969" w:type="dxa"/>
                                </w:tcPr>
                                <w:p w14:paraId="53F1E232" w14:textId="676B81E1" w:rsidR="007E5CE4" w:rsidRPr="003D1C43" w:rsidRDefault="00F23CE9" w:rsidP="007E5CE4">
                                  <w:pPr>
                                    <w:rPr>
                                      <w:rFonts w:ascii="Times New Roman" w:hAnsi="Times New Roman" w:cs="Times New Roman"/>
                                      <w:sz w:val="32"/>
                                      <w:szCs w:val="32"/>
                                    </w:rPr>
                                  </w:pPr>
                                  <w:r>
                                    <w:rPr>
                                      <w:rFonts w:ascii="Times New Roman" w:hAnsi="Times New Roman" w:cs="Times New Roman"/>
                                      <w:sz w:val="32"/>
                                      <w:szCs w:val="32"/>
                                    </w:rPr>
                                    <w:t>Community Care and Development</w:t>
                                  </w:r>
                                </w:p>
                              </w:tc>
                            </w:tr>
                            <w:tr w:rsidR="007E5CE4" w:rsidRPr="003D1C43" w14:paraId="59D7DFCB" w14:textId="77777777" w:rsidTr="005A6731">
                              <w:trPr>
                                <w:trHeight w:val="651"/>
                              </w:trPr>
                              <w:tc>
                                <w:tcPr>
                                  <w:tcW w:w="3969" w:type="dxa"/>
                                </w:tcPr>
                                <w:p w14:paraId="10C127FD" w14:textId="77777777" w:rsidR="007E5CE4" w:rsidRPr="003D1C43" w:rsidRDefault="007E5CE4" w:rsidP="007E5CE4">
                                  <w:pPr>
                                    <w:rPr>
                                      <w:rFonts w:ascii="Times New Roman" w:hAnsi="Times New Roman" w:cs="Times New Roman"/>
                                      <w:sz w:val="32"/>
                                      <w:szCs w:val="32"/>
                                    </w:rPr>
                                  </w:pPr>
                                  <w:r>
                                    <w:rPr>
                                      <w:rFonts w:ascii="Times New Roman" w:hAnsi="Times New Roman" w:cs="Times New Roman"/>
                                      <w:sz w:val="32"/>
                                      <w:szCs w:val="32"/>
                                    </w:rPr>
                                    <w:t>Module  Code</w:t>
                                  </w:r>
                                </w:p>
                              </w:tc>
                              <w:tc>
                                <w:tcPr>
                                  <w:tcW w:w="3969" w:type="dxa"/>
                                </w:tcPr>
                                <w:p w14:paraId="5D27C5B0" w14:textId="182E17DE" w:rsidR="007E5CE4" w:rsidRPr="003D1C43" w:rsidRDefault="007E5CE4" w:rsidP="007E5CE4">
                                  <w:pPr>
                                    <w:rPr>
                                      <w:rFonts w:ascii="Times New Roman" w:hAnsi="Times New Roman" w:cs="Times New Roman"/>
                                      <w:sz w:val="32"/>
                                      <w:szCs w:val="32"/>
                                    </w:rPr>
                                  </w:pPr>
                                  <w:r w:rsidRPr="00076A57">
                                    <w:rPr>
                                      <w:rFonts w:ascii="Times New Roman" w:hAnsi="Times New Roman" w:cs="Times New Roman"/>
                                      <w:sz w:val="32"/>
                                      <w:szCs w:val="32"/>
                                    </w:rPr>
                                    <w:t>BMHP</w:t>
                                  </w:r>
                                  <w:r w:rsidR="00F23CE9">
                                    <w:rPr>
                                      <w:rFonts w:ascii="Times New Roman" w:hAnsi="Times New Roman" w:cs="Times New Roman"/>
                                      <w:sz w:val="32"/>
                                      <w:szCs w:val="32"/>
                                    </w:rPr>
                                    <w:t>6022</w:t>
                                  </w:r>
                                </w:p>
                              </w:tc>
                            </w:tr>
                          </w:tbl>
                          <w:p w14:paraId="04112016" w14:textId="77777777" w:rsidR="007E5CE4" w:rsidRDefault="007E5CE4" w:rsidP="00F23CE9">
                            <w:pPr>
                              <w:pStyle w:val="NoSpacing"/>
                              <w:spacing w:before="120"/>
                              <w:jc w:val="cente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8EB9F34" w14:textId="37AE65A8" w:rsidR="004448FC" w:rsidRDefault="0025213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Community </w:t>
                                </w:r>
                                <w:r w:rsidR="0015577A">
                                  <w:rPr>
                                    <w:rFonts w:asciiTheme="majorHAnsi" w:eastAsiaTheme="majorEastAsia" w:hAnsiTheme="majorHAnsi" w:cstheme="majorBidi"/>
                                    <w:caps/>
                                    <w:color w:val="4472C4" w:themeColor="accent1"/>
                                    <w:sz w:val="72"/>
                                    <w:szCs w:val="72"/>
                                  </w:rPr>
                                  <w:t>Care and Developmemnt</w:t>
                                </w:r>
                              </w:p>
                            </w:sdtContent>
                          </w:sdt>
                        </w:txbxContent>
                      </v:textbox>
                    </v:shape>
                    <w10:wrap anchorx="page" anchory="page"/>
                  </v:group>
                </w:pict>
              </mc:Fallback>
            </mc:AlternateContent>
          </w:r>
        </w:p>
        <w:p w14:paraId="7104904F" w14:textId="77777777" w:rsidR="0015577A" w:rsidRDefault="0015577A">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17E6AA" w14:textId="77777777" w:rsidR="0015577A" w:rsidRDefault="0015577A">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sdt>
          <w:sdtPr>
            <w:rPr>
              <w:rFonts w:asciiTheme="minorHAnsi" w:eastAsiaTheme="minorHAnsi" w:hAnsiTheme="minorHAnsi" w:cstheme="minorBidi"/>
              <w:color w:val="auto"/>
              <w:sz w:val="22"/>
              <w:szCs w:val="22"/>
              <w:lang w:val="en-GB"/>
            </w:rPr>
            <w:id w:val="609396108"/>
            <w:docPartObj>
              <w:docPartGallery w:val="Table of Contents"/>
              <w:docPartUnique/>
            </w:docPartObj>
          </w:sdtPr>
          <w:sdtEndPr>
            <w:rPr>
              <w:b/>
              <w:bCs/>
              <w:noProof/>
            </w:rPr>
          </w:sdtEndPr>
          <w:sdtContent>
            <w:p w14:paraId="76404AAF" w14:textId="23947A6C" w:rsidR="00E44F19" w:rsidRDefault="00E44F19">
              <w:pPr>
                <w:pStyle w:val="TOCHeading"/>
              </w:pPr>
              <w:r>
                <w:t>Table of Contents</w:t>
              </w:r>
            </w:p>
            <w:p w14:paraId="05B6D64C" w14:textId="1CD9F2C0" w:rsidR="008D5097" w:rsidRPr="008D5097" w:rsidRDefault="00E44F19">
              <w:pPr>
                <w:pStyle w:val="TOC1"/>
                <w:tabs>
                  <w:tab w:val="right" w:leader="dot" w:pos="9016"/>
                </w:tabs>
                <w:rPr>
                  <w:rFonts w:ascii="Arial" w:eastAsiaTheme="minorEastAsia" w:hAnsi="Arial" w:cs="Arial"/>
                  <w:noProof/>
                  <w:sz w:val="28"/>
                  <w:szCs w:val="28"/>
                  <w:lang w:eastAsia="en-GB"/>
                </w:rPr>
              </w:pPr>
              <w:r>
                <w:fldChar w:fldCharType="begin"/>
              </w:r>
              <w:r>
                <w:instrText xml:space="preserve"> TOC \o "1-3" \h \z \u </w:instrText>
              </w:r>
              <w:r>
                <w:fldChar w:fldCharType="separate"/>
              </w:r>
              <w:hyperlink w:anchor="_Toc92880572" w:history="1">
                <w:r w:rsidR="008D5097" w:rsidRPr="008D5097">
                  <w:rPr>
                    <w:rStyle w:val="Hyperlink"/>
                    <w:rFonts w:ascii="Arial" w:hAnsi="Arial" w:cs="Arial"/>
                    <w:noProof/>
                    <w:sz w:val="28"/>
                    <w:szCs w:val="28"/>
                  </w:rPr>
                  <w:t>Introduction-</w:t>
                </w:r>
                <w:r w:rsidR="008D5097" w:rsidRPr="008D5097">
                  <w:rPr>
                    <w:rFonts w:ascii="Arial" w:hAnsi="Arial" w:cs="Arial"/>
                    <w:noProof/>
                    <w:webHidden/>
                    <w:sz w:val="28"/>
                    <w:szCs w:val="28"/>
                  </w:rPr>
                  <w:tab/>
                </w:r>
                <w:r w:rsidR="008D5097" w:rsidRPr="008D5097">
                  <w:rPr>
                    <w:rFonts w:ascii="Arial" w:hAnsi="Arial" w:cs="Arial"/>
                    <w:noProof/>
                    <w:webHidden/>
                    <w:sz w:val="28"/>
                    <w:szCs w:val="28"/>
                  </w:rPr>
                  <w:fldChar w:fldCharType="begin"/>
                </w:r>
                <w:r w:rsidR="008D5097" w:rsidRPr="008D5097">
                  <w:rPr>
                    <w:rFonts w:ascii="Arial" w:hAnsi="Arial" w:cs="Arial"/>
                    <w:noProof/>
                    <w:webHidden/>
                    <w:sz w:val="28"/>
                    <w:szCs w:val="28"/>
                  </w:rPr>
                  <w:instrText xml:space="preserve"> PAGEREF _Toc92880572 \h </w:instrText>
                </w:r>
                <w:r w:rsidR="008D5097" w:rsidRPr="008D5097">
                  <w:rPr>
                    <w:rFonts w:ascii="Arial" w:hAnsi="Arial" w:cs="Arial"/>
                    <w:noProof/>
                    <w:webHidden/>
                    <w:sz w:val="28"/>
                    <w:szCs w:val="28"/>
                  </w:rPr>
                </w:r>
                <w:r w:rsidR="008D5097" w:rsidRPr="008D5097">
                  <w:rPr>
                    <w:rFonts w:ascii="Arial" w:hAnsi="Arial" w:cs="Arial"/>
                    <w:noProof/>
                    <w:webHidden/>
                    <w:sz w:val="28"/>
                    <w:szCs w:val="28"/>
                  </w:rPr>
                  <w:fldChar w:fldCharType="separate"/>
                </w:r>
                <w:r w:rsidR="008D5097" w:rsidRPr="008D5097">
                  <w:rPr>
                    <w:rFonts w:ascii="Arial" w:hAnsi="Arial" w:cs="Arial"/>
                    <w:noProof/>
                    <w:webHidden/>
                    <w:sz w:val="28"/>
                    <w:szCs w:val="28"/>
                  </w:rPr>
                  <w:t>2</w:t>
                </w:r>
                <w:r w:rsidR="008D5097" w:rsidRPr="008D5097">
                  <w:rPr>
                    <w:rFonts w:ascii="Arial" w:hAnsi="Arial" w:cs="Arial"/>
                    <w:noProof/>
                    <w:webHidden/>
                    <w:sz w:val="28"/>
                    <w:szCs w:val="28"/>
                  </w:rPr>
                  <w:fldChar w:fldCharType="end"/>
                </w:r>
              </w:hyperlink>
            </w:p>
            <w:p w14:paraId="5247DFE0" w14:textId="191B56AF" w:rsidR="008D5097" w:rsidRPr="008D5097" w:rsidRDefault="00CD6C60">
              <w:pPr>
                <w:pStyle w:val="TOC1"/>
                <w:tabs>
                  <w:tab w:val="right" w:leader="dot" w:pos="9016"/>
                </w:tabs>
                <w:rPr>
                  <w:rFonts w:ascii="Arial" w:eastAsiaTheme="minorEastAsia" w:hAnsi="Arial" w:cs="Arial"/>
                  <w:noProof/>
                  <w:sz w:val="28"/>
                  <w:szCs w:val="28"/>
                  <w:lang w:eastAsia="en-GB"/>
                </w:rPr>
              </w:pPr>
              <w:hyperlink w:anchor="_Toc92880573" w:history="1">
                <w:r w:rsidR="008D5097" w:rsidRPr="008D5097">
                  <w:rPr>
                    <w:rStyle w:val="Hyperlink"/>
                    <w:rFonts w:ascii="Arial" w:hAnsi="Arial" w:cs="Arial"/>
                    <w:noProof/>
                    <w:sz w:val="28"/>
                    <w:szCs w:val="28"/>
                  </w:rPr>
                  <w:t>Borough profile-</w:t>
                </w:r>
                <w:r w:rsidR="008D5097" w:rsidRPr="008D5097">
                  <w:rPr>
                    <w:rFonts w:ascii="Arial" w:hAnsi="Arial" w:cs="Arial"/>
                    <w:noProof/>
                    <w:webHidden/>
                    <w:sz w:val="28"/>
                    <w:szCs w:val="28"/>
                  </w:rPr>
                  <w:tab/>
                </w:r>
                <w:r w:rsidR="008D5097" w:rsidRPr="008D5097">
                  <w:rPr>
                    <w:rFonts w:ascii="Arial" w:hAnsi="Arial" w:cs="Arial"/>
                    <w:noProof/>
                    <w:webHidden/>
                    <w:sz w:val="28"/>
                    <w:szCs w:val="28"/>
                  </w:rPr>
                  <w:fldChar w:fldCharType="begin"/>
                </w:r>
                <w:r w:rsidR="008D5097" w:rsidRPr="008D5097">
                  <w:rPr>
                    <w:rFonts w:ascii="Arial" w:hAnsi="Arial" w:cs="Arial"/>
                    <w:noProof/>
                    <w:webHidden/>
                    <w:sz w:val="28"/>
                    <w:szCs w:val="28"/>
                  </w:rPr>
                  <w:instrText xml:space="preserve"> PAGEREF _Toc92880573 \h </w:instrText>
                </w:r>
                <w:r w:rsidR="008D5097" w:rsidRPr="008D5097">
                  <w:rPr>
                    <w:rFonts w:ascii="Arial" w:hAnsi="Arial" w:cs="Arial"/>
                    <w:noProof/>
                    <w:webHidden/>
                    <w:sz w:val="28"/>
                    <w:szCs w:val="28"/>
                  </w:rPr>
                </w:r>
                <w:r w:rsidR="008D5097" w:rsidRPr="008D5097">
                  <w:rPr>
                    <w:rFonts w:ascii="Arial" w:hAnsi="Arial" w:cs="Arial"/>
                    <w:noProof/>
                    <w:webHidden/>
                    <w:sz w:val="28"/>
                    <w:szCs w:val="28"/>
                  </w:rPr>
                  <w:fldChar w:fldCharType="separate"/>
                </w:r>
                <w:r w:rsidR="008D5097" w:rsidRPr="008D5097">
                  <w:rPr>
                    <w:rFonts w:ascii="Arial" w:hAnsi="Arial" w:cs="Arial"/>
                    <w:noProof/>
                    <w:webHidden/>
                    <w:sz w:val="28"/>
                    <w:szCs w:val="28"/>
                  </w:rPr>
                  <w:t>2</w:t>
                </w:r>
                <w:r w:rsidR="008D5097" w:rsidRPr="008D5097">
                  <w:rPr>
                    <w:rFonts w:ascii="Arial" w:hAnsi="Arial" w:cs="Arial"/>
                    <w:noProof/>
                    <w:webHidden/>
                    <w:sz w:val="28"/>
                    <w:szCs w:val="28"/>
                  </w:rPr>
                  <w:fldChar w:fldCharType="end"/>
                </w:r>
              </w:hyperlink>
            </w:p>
            <w:p w14:paraId="2A646C0B" w14:textId="394AD530" w:rsidR="008D5097" w:rsidRPr="008D5097" w:rsidRDefault="00CD6C60">
              <w:pPr>
                <w:pStyle w:val="TOC1"/>
                <w:tabs>
                  <w:tab w:val="right" w:leader="dot" w:pos="9016"/>
                </w:tabs>
                <w:rPr>
                  <w:rFonts w:ascii="Arial" w:eastAsiaTheme="minorEastAsia" w:hAnsi="Arial" w:cs="Arial"/>
                  <w:noProof/>
                  <w:sz w:val="28"/>
                  <w:szCs w:val="28"/>
                  <w:lang w:eastAsia="en-GB"/>
                </w:rPr>
              </w:pPr>
              <w:hyperlink w:anchor="_Toc92880574" w:history="1">
                <w:r w:rsidR="008D5097" w:rsidRPr="008D5097">
                  <w:rPr>
                    <w:rStyle w:val="Hyperlink"/>
                    <w:rFonts w:ascii="Arial" w:eastAsia="+mn-ea" w:hAnsi="Arial" w:cs="Arial"/>
                    <w:noProof/>
                    <w:sz w:val="28"/>
                    <w:szCs w:val="28"/>
                  </w:rPr>
                  <w:t>Two distinctive community project-</w:t>
                </w:r>
                <w:r w:rsidR="008D5097" w:rsidRPr="008D5097">
                  <w:rPr>
                    <w:rFonts w:ascii="Arial" w:hAnsi="Arial" w:cs="Arial"/>
                    <w:noProof/>
                    <w:webHidden/>
                    <w:sz w:val="28"/>
                    <w:szCs w:val="28"/>
                  </w:rPr>
                  <w:tab/>
                </w:r>
                <w:r w:rsidR="008D5097" w:rsidRPr="008D5097">
                  <w:rPr>
                    <w:rFonts w:ascii="Arial" w:hAnsi="Arial" w:cs="Arial"/>
                    <w:noProof/>
                    <w:webHidden/>
                    <w:sz w:val="28"/>
                    <w:szCs w:val="28"/>
                  </w:rPr>
                  <w:fldChar w:fldCharType="begin"/>
                </w:r>
                <w:r w:rsidR="008D5097" w:rsidRPr="008D5097">
                  <w:rPr>
                    <w:rFonts w:ascii="Arial" w:hAnsi="Arial" w:cs="Arial"/>
                    <w:noProof/>
                    <w:webHidden/>
                    <w:sz w:val="28"/>
                    <w:szCs w:val="28"/>
                  </w:rPr>
                  <w:instrText xml:space="preserve"> PAGEREF _Toc92880574 \h </w:instrText>
                </w:r>
                <w:r w:rsidR="008D5097" w:rsidRPr="008D5097">
                  <w:rPr>
                    <w:rFonts w:ascii="Arial" w:hAnsi="Arial" w:cs="Arial"/>
                    <w:noProof/>
                    <w:webHidden/>
                    <w:sz w:val="28"/>
                    <w:szCs w:val="28"/>
                  </w:rPr>
                </w:r>
                <w:r w:rsidR="008D5097" w:rsidRPr="008D5097">
                  <w:rPr>
                    <w:rFonts w:ascii="Arial" w:hAnsi="Arial" w:cs="Arial"/>
                    <w:noProof/>
                    <w:webHidden/>
                    <w:sz w:val="28"/>
                    <w:szCs w:val="28"/>
                  </w:rPr>
                  <w:fldChar w:fldCharType="separate"/>
                </w:r>
                <w:r w:rsidR="008D5097" w:rsidRPr="008D5097">
                  <w:rPr>
                    <w:rFonts w:ascii="Arial" w:hAnsi="Arial" w:cs="Arial"/>
                    <w:noProof/>
                    <w:webHidden/>
                    <w:sz w:val="28"/>
                    <w:szCs w:val="28"/>
                  </w:rPr>
                  <w:t>4</w:t>
                </w:r>
                <w:r w:rsidR="008D5097" w:rsidRPr="008D5097">
                  <w:rPr>
                    <w:rFonts w:ascii="Arial" w:hAnsi="Arial" w:cs="Arial"/>
                    <w:noProof/>
                    <w:webHidden/>
                    <w:sz w:val="28"/>
                    <w:szCs w:val="28"/>
                  </w:rPr>
                  <w:fldChar w:fldCharType="end"/>
                </w:r>
              </w:hyperlink>
            </w:p>
            <w:p w14:paraId="6991A967" w14:textId="5EF00C55" w:rsidR="008D5097" w:rsidRPr="008D5097" w:rsidRDefault="00CD6C60">
              <w:pPr>
                <w:pStyle w:val="TOC1"/>
                <w:tabs>
                  <w:tab w:val="right" w:leader="dot" w:pos="9016"/>
                </w:tabs>
                <w:rPr>
                  <w:rFonts w:ascii="Arial" w:eastAsiaTheme="minorEastAsia" w:hAnsi="Arial" w:cs="Arial"/>
                  <w:noProof/>
                  <w:sz w:val="28"/>
                  <w:szCs w:val="28"/>
                  <w:lang w:eastAsia="en-GB"/>
                </w:rPr>
              </w:pPr>
              <w:hyperlink w:anchor="_Toc92880575" w:history="1">
                <w:r w:rsidR="008D5097" w:rsidRPr="008D5097">
                  <w:rPr>
                    <w:rStyle w:val="Hyperlink"/>
                    <w:rFonts w:ascii="Arial" w:hAnsi="Arial" w:cs="Arial"/>
                    <w:noProof/>
                    <w:sz w:val="28"/>
                    <w:szCs w:val="28"/>
                  </w:rPr>
                  <w:t>Theory –</w:t>
                </w:r>
                <w:r w:rsidR="008D5097" w:rsidRPr="008D5097">
                  <w:rPr>
                    <w:rFonts w:ascii="Arial" w:hAnsi="Arial" w:cs="Arial"/>
                    <w:noProof/>
                    <w:webHidden/>
                    <w:sz w:val="28"/>
                    <w:szCs w:val="28"/>
                  </w:rPr>
                  <w:tab/>
                </w:r>
                <w:r w:rsidR="008D5097" w:rsidRPr="008D5097">
                  <w:rPr>
                    <w:rFonts w:ascii="Arial" w:hAnsi="Arial" w:cs="Arial"/>
                    <w:noProof/>
                    <w:webHidden/>
                    <w:sz w:val="28"/>
                    <w:szCs w:val="28"/>
                  </w:rPr>
                  <w:fldChar w:fldCharType="begin"/>
                </w:r>
                <w:r w:rsidR="008D5097" w:rsidRPr="008D5097">
                  <w:rPr>
                    <w:rFonts w:ascii="Arial" w:hAnsi="Arial" w:cs="Arial"/>
                    <w:noProof/>
                    <w:webHidden/>
                    <w:sz w:val="28"/>
                    <w:szCs w:val="28"/>
                  </w:rPr>
                  <w:instrText xml:space="preserve"> PAGEREF _Toc92880575 \h </w:instrText>
                </w:r>
                <w:r w:rsidR="008D5097" w:rsidRPr="008D5097">
                  <w:rPr>
                    <w:rFonts w:ascii="Arial" w:hAnsi="Arial" w:cs="Arial"/>
                    <w:noProof/>
                    <w:webHidden/>
                    <w:sz w:val="28"/>
                    <w:szCs w:val="28"/>
                  </w:rPr>
                </w:r>
                <w:r w:rsidR="008D5097" w:rsidRPr="008D5097">
                  <w:rPr>
                    <w:rFonts w:ascii="Arial" w:hAnsi="Arial" w:cs="Arial"/>
                    <w:noProof/>
                    <w:webHidden/>
                    <w:sz w:val="28"/>
                    <w:szCs w:val="28"/>
                  </w:rPr>
                  <w:fldChar w:fldCharType="separate"/>
                </w:r>
                <w:r w:rsidR="008D5097" w:rsidRPr="008D5097">
                  <w:rPr>
                    <w:rFonts w:ascii="Arial" w:hAnsi="Arial" w:cs="Arial"/>
                    <w:noProof/>
                    <w:webHidden/>
                    <w:sz w:val="28"/>
                    <w:szCs w:val="28"/>
                  </w:rPr>
                  <w:t>5</w:t>
                </w:r>
                <w:r w:rsidR="008D5097" w:rsidRPr="008D5097">
                  <w:rPr>
                    <w:rFonts w:ascii="Arial" w:hAnsi="Arial" w:cs="Arial"/>
                    <w:noProof/>
                    <w:webHidden/>
                    <w:sz w:val="28"/>
                    <w:szCs w:val="28"/>
                  </w:rPr>
                  <w:fldChar w:fldCharType="end"/>
                </w:r>
              </w:hyperlink>
            </w:p>
            <w:p w14:paraId="141CB23B" w14:textId="5D9DE619" w:rsidR="008D5097" w:rsidRPr="008D5097" w:rsidRDefault="00CD6C60">
              <w:pPr>
                <w:pStyle w:val="TOC1"/>
                <w:tabs>
                  <w:tab w:val="right" w:leader="dot" w:pos="9016"/>
                </w:tabs>
                <w:rPr>
                  <w:rFonts w:ascii="Arial" w:eastAsiaTheme="minorEastAsia" w:hAnsi="Arial" w:cs="Arial"/>
                  <w:noProof/>
                  <w:sz w:val="28"/>
                  <w:szCs w:val="28"/>
                  <w:lang w:eastAsia="en-GB"/>
                </w:rPr>
              </w:pPr>
              <w:hyperlink w:anchor="_Toc92880576" w:history="1">
                <w:r w:rsidR="008D5097" w:rsidRPr="008D5097">
                  <w:rPr>
                    <w:rStyle w:val="Hyperlink"/>
                    <w:rFonts w:ascii="Arial" w:hAnsi="Arial" w:cs="Arial"/>
                    <w:noProof/>
                    <w:sz w:val="28"/>
                    <w:szCs w:val="28"/>
                  </w:rPr>
                  <w:t>Policy and legislations-</w:t>
                </w:r>
                <w:r w:rsidR="008D5097" w:rsidRPr="008D5097">
                  <w:rPr>
                    <w:rFonts w:ascii="Arial" w:hAnsi="Arial" w:cs="Arial"/>
                    <w:noProof/>
                    <w:webHidden/>
                    <w:sz w:val="28"/>
                    <w:szCs w:val="28"/>
                  </w:rPr>
                  <w:tab/>
                </w:r>
                <w:r w:rsidR="008D5097" w:rsidRPr="008D5097">
                  <w:rPr>
                    <w:rFonts w:ascii="Arial" w:hAnsi="Arial" w:cs="Arial"/>
                    <w:noProof/>
                    <w:webHidden/>
                    <w:sz w:val="28"/>
                    <w:szCs w:val="28"/>
                  </w:rPr>
                  <w:fldChar w:fldCharType="begin"/>
                </w:r>
                <w:r w:rsidR="008D5097" w:rsidRPr="008D5097">
                  <w:rPr>
                    <w:rFonts w:ascii="Arial" w:hAnsi="Arial" w:cs="Arial"/>
                    <w:noProof/>
                    <w:webHidden/>
                    <w:sz w:val="28"/>
                    <w:szCs w:val="28"/>
                  </w:rPr>
                  <w:instrText xml:space="preserve"> PAGEREF _Toc92880576 \h </w:instrText>
                </w:r>
                <w:r w:rsidR="008D5097" w:rsidRPr="008D5097">
                  <w:rPr>
                    <w:rFonts w:ascii="Arial" w:hAnsi="Arial" w:cs="Arial"/>
                    <w:noProof/>
                    <w:webHidden/>
                    <w:sz w:val="28"/>
                    <w:szCs w:val="28"/>
                  </w:rPr>
                </w:r>
                <w:r w:rsidR="008D5097" w:rsidRPr="008D5097">
                  <w:rPr>
                    <w:rFonts w:ascii="Arial" w:hAnsi="Arial" w:cs="Arial"/>
                    <w:noProof/>
                    <w:webHidden/>
                    <w:sz w:val="28"/>
                    <w:szCs w:val="28"/>
                  </w:rPr>
                  <w:fldChar w:fldCharType="separate"/>
                </w:r>
                <w:r w:rsidR="008D5097" w:rsidRPr="008D5097">
                  <w:rPr>
                    <w:rFonts w:ascii="Arial" w:hAnsi="Arial" w:cs="Arial"/>
                    <w:noProof/>
                    <w:webHidden/>
                    <w:sz w:val="28"/>
                    <w:szCs w:val="28"/>
                  </w:rPr>
                  <w:t>6</w:t>
                </w:r>
                <w:r w:rsidR="008D5097" w:rsidRPr="008D5097">
                  <w:rPr>
                    <w:rFonts w:ascii="Arial" w:hAnsi="Arial" w:cs="Arial"/>
                    <w:noProof/>
                    <w:webHidden/>
                    <w:sz w:val="28"/>
                    <w:szCs w:val="28"/>
                  </w:rPr>
                  <w:fldChar w:fldCharType="end"/>
                </w:r>
              </w:hyperlink>
            </w:p>
            <w:p w14:paraId="6ED204E6" w14:textId="59F9405B" w:rsidR="008D5097" w:rsidRPr="008D5097" w:rsidRDefault="00CD6C60">
              <w:pPr>
                <w:pStyle w:val="TOC1"/>
                <w:tabs>
                  <w:tab w:val="right" w:leader="dot" w:pos="9016"/>
                </w:tabs>
                <w:rPr>
                  <w:rFonts w:ascii="Arial" w:eastAsiaTheme="minorEastAsia" w:hAnsi="Arial" w:cs="Arial"/>
                  <w:noProof/>
                  <w:sz w:val="28"/>
                  <w:szCs w:val="28"/>
                  <w:lang w:eastAsia="en-GB"/>
                </w:rPr>
              </w:pPr>
              <w:hyperlink w:anchor="_Toc92880578" w:history="1">
                <w:r w:rsidR="008D5097" w:rsidRPr="008D5097">
                  <w:rPr>
                    <w:rStyle w:val="Hyperlink"/>
                    <w:rFonts w:ascii="Arial" w:hAnsi="Arial" w:cs="Arial"/>
                    <w:noProof/>
                    <w:sz w:val="28"/>
                    <w:szCs w:val="28"/>
                  </w:rPr>
                  <w:t>Conclusion-</w:t>
                </w:r>
                <w:r w:rsidR="008D5097" w:rsidRPr="008D5097">
                  <w:rPr>
                    <w:rFonts w:ascii="Arial" w:hAnsi="Arial" w:cs="Arial"/>
                    <w:noProof/>
                    <w:webHidden/>
                    <w:sz w:val="28"/>
                    <w:szCs w:val="28"/>
                  </w:rPr>
                  <w:tab/>
                </w:r>
                <w:r w:rsidR="008D5097" w:rsidRPr="008D5097">
                  <w:rPr>
                    <w:rFonts w:ascii="Arial" w:hAnsi="Arial" w:cs="Arial"/>
                    <w:noProof/>
                    <w:webHidden/>
                    <w:sz w:val="28"/>
                    <w:szCs w:val="28"/>
                  </w:rPr>
                  <w:fldChar w:fldCharType="begin"/>
                </w:r>
                <w:r w:rsidR="008D5097" w:rsidRPr="008D5097">
                  <w:rPr>
                    <w:rFonts w:ascii="Arial" w:hAnsi="Arial" w:cs="Arial"/>
                    <w:noProof/>
                    <w:webHidden/>
                    <w:sz w:val="28"/>
                    <w:szCs w:val="28"/>
                  </w:rPr>
                  <w:instrText xml:space="preserve"> PAGEREF _Toc92880578 \h </w:instrText>
                </w:r>
                <w:r w:rsidR="008D5097" w:rsidRPr="008D5097">
                  <w:rPr>
                    <w:rFonts w:ascii="Arial" w:hAnsi="Arial" w:cs="Arial"/>
                    <w:noProof/>
                    <w:webHidden/>
                    <w:sz w:val="28"/>
                    <w:szCs w:val="28"/>
                  </w:rPr>
                </w:r>
                <w:r w:rsidR="008D5097" w:rsidRPr="008D5097">
                  <w:rPr>
                    <w:rFonts w:ascii="Arial" w:hAnsi="Arial" w:cs="Arial"/>
                    <w:noProof/>
                    <w:webHidden/>
                    <w:sz w:val="28"/>
                    <w:szCs w:val="28"/>
                  </w:rPr>
                  <w:fldChar w:fldCharType="separate"/>
                </w:r>
                <w:r w:rsidR="008D5097" w:rsidRPr="008D5097">
                  <w:rPr>
                    <w:rFonts w:ascii="Arial" w:hAnsi="Arial" w:cs="Arial"/>
                    <w:noProof/>
                    <w:webHidden/>
                    <w:sz w:val="28"/>
                    <w:szCs w:val="28"/>
                  </w:rPr>
                  <w:t>6</w:t>
                </w:r>
                <w:r w:rsidR="008D5097" w:rsidRPr="008D5097">
                  <w:rPr>
                    <w:rFonts w:ascii="Arial" w:hAnsi="Arial" w:cs="Arial"/>
                    <w:noProof/>
                    <w:webHidden/>
                    <w:sz w:val="28"/>
                    <w:szCs w:val="28"/>
                  </w:rPr>
                  <w:fldChar w:fldCharType="end"/>
                </w:r>
              </w:hyperlink>
            </w:p>
            <w:p w14:paraId="0A12CDA4" w14:textId="3884C4AE" w:rsidR="008D5097" w:rsidRPr="008D5097" w:rsidRDefault="00CD6C60">
              <w:pPr>
                <w:pStyle w:val="TOC1"/>
                <w:tabs>
                  <w:tab w:val="right" w:leader="dot" w:pos="9016"/>
                </w:tabs>
                <w:rPr>
                  <w:rFonts w:ascii="Arial" w:eastAsiaTheme="minorEastAsia" w:hAnsi="Arial" w:cs="Arial"/>
                  <w:noProof/>
                  <w:sz w:val="28"/>
                  <w:szCs w:val="28"/>
                  <w:lang w:eastAsia="en-GB"/>
                </w:rPr>
              </w:pPr>
              <w:hyperlink w:anchor="_Toc92880579" w:history="1">
                <w:r w:rsidR="008D5097" w:rsidRPr="008D5097">
                  <w:rPr>
                    <w:rStyle w:val="Hyperlink"/>
                    <w:rFonts w:ascii="Arial" w:hAnsi="Arial" w:cs="Arial"/>
                    <w:noProof/>
                    <w:sz w:val="28"/>
                    <w:szCs w:val="28"/>
                  </w:rPr>
                  <w:t>References-</w:t>
                </w:r>
                <w:r w:rsidR="008D5097" w:rsidRPr="008D5097">
                  <w:rPr>
                    <w:rFonts w:ascii="Arial" w:hAnsi="Arial" w:cs="Arial"/>
                    <w:noProof/>
                    <w:webHidden/>
                    <w:sz w:val="28"/>
                    <w:szCs w:val="28"/>
                  </w:rPr>
                  <w:tab/>
                </w:r>
                <w:r w:rsidR="008D5097" w:rsidRPr="008D5097">
                  <w:rPr>
                    <w:rFonts w:ascii="Arial" w:hAnsi="Arial" w:cs="Arial"/>
                    <w:noProof/>
                    <w:webHidden/>
                    <w:sz w:val="28"/>
                    <w:szCs w:val="28"/>
                  </w:rPr>
                  <w:fldChar w:fldCharType="begin"/>
                </w:r>
                <w:r w:rsidR="008D5097" w:rsidRPr="008D5097">
                  <w:rPr>
                    <w:rFonts w:ascii="Arial" w:hAnsi="Arial" w:cs="Arial"/>
                    <w:noProof/>
                    <w:webHidden/>
                    <w:sz w:val="28"/>
                    <w:szCs w:val="28"/>
                  </w:rPr>
                  <w:instrText xml:space="preserve"> PAGEREF _Toc92880579 \h </w:instrText>
                </w:r>
                <w:r w:rsidR="008D5097" w:rsidRPr="008D5097">
                  <w:rPr>
                    <w:rFonts w:ascii="Arial" w:hAnsi="Arial" w:cs="Arial"/>
                    <w:noProof/>
                    <w:webHidden/>
                    <w:sz w:val="28"/>
                    <w:szCs w:val="28"/>
                  </w:rPr>
                </w:r>
                <w:r w:rsidR="008D5097" w:rsidRPr="008D5097">
                  <w:rPr>
                    <w:rFonts w:ascii="Arial" w:hAnsi="Arial" w:cs="Arial"/>
                    <w:noProof/>
                    <w:webHidden/>
                    <w:sz w:val="28"/>
                    <w:szCs w:val="28"/>
                  </w:rPr>
                  <w:fldChar w:fldCharType="separate"/>
                </w:r>
                <w:r w:rsidR="008D5097" w:rsidRPr="008D5097">
                  <w:rPr>
                    <w:rFonts w:ascii="Arial" w:hAnsi="Arial" w:cs="Arial"/>
                    <w:noProof/>
                    <w:webHidden/>
                    <w:sz w:val="28"/>
                    <w:szCs w:val="28"/>
                  </w:rPr>
                  <w:t>7</w:t>
                </w:r>
                <w:r w:rsidR="008D5097" w:rsidRPr="008D5097">
                  <w:rPr>
                    <w:rFonts w:ascii="Arial" w:hAnsi="Arial" w:cs="Arial"/>
                    <w:noProof/>
                    <w:webHidden/>
                    <w:sz w:val="28"/>
                    <w:szCs w:val="28"/>
                  </w:rPr>
                  <w:fldChar w:fldCharType="end"/>
                </w:r>
              </w:hyperlink>
            </w:p>
            <w:p w14:paraId="1B7E23DF" w14:textId="0E67B737" w:rsidR="00E44F19" w:rsidRDefault="00E44F19">
              <w:r>
                <w:rPr>
                  <w:b/>
                  <w:bCs/>
                  <w:noProof/>
                </w:rPr>
                <w:fldChar w:fldCharType="end"/>
              </w:r>
            </w:p>
          </w:sdtContent>
        </w:sdt>
        <w:p w14:paraId="4D97ABE7" w14:textId="77777777" w:rsidR="0015577A" w:rsidRDefault="0015577A">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D921CA" w14:textId="3D98AD4C" w:rsidR="004448FC" w:rsidRDefault="0015577A">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sdtContent>
    </w:sdt>
    <w:p w14:paraId="06EDDC77" w14:textId="4D4F0755" w:rsidR="00C766FE" w:rsidRDefault="007A7F71" w:rsidP="00E44F19">
      <w:pPr>
        <w:pStyle w:val="Heading1"/>
      </w:pPr>
      <w:bookmarkStart w:id="0" w:name="_Toc92880572"/>
      <w:r w:rsidRPr="007A7F71">
        <w:lastRenderedPageBreak/>
        <w:t>Introduction-</w:t>
      </w:r>
      <w:bookmarkEnd w:id="0"/>
    </w:p>
    <w:p w14:paraId="2EC701D9" w14:textId="62F94EEE" w:rsidR="007A7F71" w:rsidRDefault="00C263C3" w:rsidP="00137983">
      <w:pPr>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63C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w:t>
      </w:r>
      <w:r w:rsidR="00723F0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w:t>
      </w:r>
      <w:r w:rsidRPr="00C263C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aims at analysing</w:t>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263C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two independent community development projects carried out in London. This </w:t>
      </w:r>
      <w:r w:rsidR="00723F0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w:t>
      </w:r>
      <w:r w:rsidRPr="00C263C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evaluates </w:t>
      </w:r>
      <w:r w:rsidR="0013798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two</w:t>
      </w:r>
      <w:r w:rsidRPr="00C263C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3C05E8" w:rsidRPr="00C263C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projects</w:t>
      </w:r>
      <w:r w:rsidRPr="00C263C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created in Tower Hamlet to </w:t>
      </w:r>
      <w:r w:rsidR="00DA393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help the residents</w:t>
      </w:r>
      <w:r w:rsidR="00070EA0">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food poverty and another one to help with mental health and well </w:t>
      </w:r>
      <w:r w:rsidR="0031793F">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being. This report will focus at different means of communication used </w:t>
      </w:r>
      <w:r w:rsidR="0053432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these projects , theoretical approaches and any relevant legislation and policy.</w:t>
      </w:r>
    </w:p>
    <w:p w14:paraId="608EDC0E" w14:textId="23EEBB82" w:rsidR="00A96654" w:rsidRDefault="00A96654" w:rsidP="00E44F19">
      <w:pPr>
        <w:pStyle w:val="Heading1"/>
      </w:pPr>
      <w:bookmarkStart w:id="1" w:name="_Toc92880573"/>
      <w:r w:rsidRPr="00A96654">
        <w:t>Borough profile-</w:t>
      </w:r>
      <w:bookmarkEnd w:id="1"/>
    </w:p>
    <w:p w14:paraId="189C359B" w14:textId="4637DBF8" w:rsidR="00A96654" w:rsidRDefault="002F4E1C" w:rsidP="00137983">
      <w:pPr>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B68F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Tower Hamlets is an inner-city borough in east London that suffers with poverty and inequality.</w:t>
      </w:r>
      <w:r w:rsidR="00E80D02" w:rsidRPr="00BB68F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B68FC" w:rsidRPr="00BB68F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Tower Hamlets is extremely distinctive since it mixes the finest of London into a single</w:t>
      </w:r>
      <w:r w:rsidR="00E80D02" w:rsidRPr="00BB68F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81DC8" w:rsidRPr="00281DC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dynamically distinct borough. According to 2011 Census statistics, Tower Hamlets has one of the most diverse populations in the UK.</w:t>
      </w:r>
      <w:r w:rsidR="00281DC8" w:rsidRPr="00281DC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80D02" w:rsidRPr="00BB68F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is home to various ethnicities, including the country's largest Bangladeshi community</w:t>
      </w:r>
      <w:r w:rsidR="00E927B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Start w:id="2" w:name="_Hlk92871856"/>
      <w:r w:rsidR="00E927B3" w:rsidRPr="00E927B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(Towerhamlets.gov.uk, 2019)</w:t>
      </w:r>
      <w:r w:rsidR="00E80D02" w:rsidRPr="00BB68F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bookmarkEnd w:id="2"/>
    <w:p w14:paraId="32A95C37" w14:textId="40A912C6" w:rsidR="008A2BBB" w:rsidRDefault="008A2BBB" w:rsidP="00BB68FC">
      <w:pPr>
        <w:jc w:val="bot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A2BBB">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Population</w:t>
      </w:r>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2A2E143" w14:textId="76CDBD08" w:rsidR="008A2BBB" w:rsidRPr="00F065B3" w:rsidRDefault="00343CC3" w:rsidP="00F065B3">
      <w:pPr>
        <w:pStyle w:val="NormalWeb"/>
        <w:spacing w:after="0"/>
        <w:jc w:val="both"/>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43CC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ONS estimates the borough's population to be 324,745 in 2019. Tower Hamlets features the country's fastest growing population, with a 2.2 percent increase in the previous year (from 2018 to 2019). This is the fourth highest behind the City of London (11.7 percent), Camden (3.0 percent), and Westminster (2.3 percent )</w:t>
      </w:r>
      <w:r w:rsidR="00F065B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E30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065B3" w:rsidRPr="00332A3F">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Towerhamlets.gov.uk, 2019)</w:t>
      </w:r>
      <w:r w:rsidR="00F065B3" w:rsidRPr="00FF1A4B">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E77772D" w14:textId="17E23CEA" w:rsidR="008A2BBB" w:rsidRPr="008A2BBB" w:rsidRDefault="00BA3D44" w:rsidP="008A2BBB">
      <w:pPr>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3D4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is ranked 11th out of 391 local authority areas in the United Kingdom in terms of population turnover. It is the second most densely inhabited local authority region in the country, with 16, 237 persons per km2</w:t>
      </w:r>
      <w:r w:rsidRPr="00E927B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67512" w:rsidRPr="00E927B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(Towerhamlets.gov.uk, 2019)</w:t>
      </w:r>
      <w:r w:rsidR="00967512" w:rsidRPr="00BB68F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F20BFC1" w14:textId="00ADC08F" w:rsidR="00095426" w:rsidRDefault="007609C0" w:rsidP="007609C0">
      <w:pPr>
        <w:jc w:val="both"/>
      </w:pPr>
      <w:r w:rsidRPr="007609C0">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2019,</w:t>
      </w:r>
      <w:r w:rsidR="00F24032" w:rsidRPr="00F24032">
        <w:t xml:space="preserve"> </w:t>
      </w:r>
      <w:r w:rsidR="00F24032" w:rsidRPr="00F2403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According to the ONS</w:t>
      </w:r>
      <w:r w:rsidR="00133E9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2326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33E9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133E94" w:rsidRPr="00133E9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borough has a population of 324,745. Tower Hamlets has the fastest rising population in the UK, with a 2.2 percent rise over the previous year (from 2018 to 2019). This is the fourth highest in the world, trailing only the City of London.</w:t>
      </w:r>
      <w:r w:rsidR="00DD05D0" w:rsidRPr="00DD05D0">
        <w:t xml:space="preserve"> </w:t>
      </w:r>
    </w:p>
    <w:p w14:paraId="24C0DAAF" w14:textId="705055AF" w:rsidR="00823265" w:rsidRPr="003E0FA7" w:rsidRDefault="00823265" w:rsidP="007609C0">
      <w:pPr>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0FA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Tower Hamlets is currently ranked out of 391 local government areas in the United Kingdom in terms of population turnover. With 16, 237 residents per km2, it is the country's second most densely populated local authority region. Westminster (2.3 percent), Camden (3.0 percent), and Camden (1.7 percent)</w:t>
      </w:r>
      <w:r w:rsidR="003E0FA7" w:rsidRPr="003E0FA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E0FA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E0FA7" w:rsidRPr="00E927B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Towerhamlets.gov.uk, 2019)</w:t>
      </w:r>
      <w:r w:rsidR="003E0FA7" w:rsidRPr="00BB68F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6D19F1D" w14:textId="311C7FF2" w:rsidR="00D73B8F" w:rsidRDefault="00D73B8F" w:rsidP="007609C0">
      <w:pPr>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73B8F">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According to the most recent ONS population estimates,</w:t>
      </w:r>
      <w:r w:rsidR="0083267C" w:rsidRPr="0083267C">
        <w:t xml:space="preserve"> </w:t>
      </w:r>
      <w:r w:rsidR="0083267C" w:rsidRPr="0083267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Tower Hamlets has one of the youngest populations in the </w:t>
      </w:r>
      <w:r w:rsidR="003C05E8" w:rsidRPr="0083267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country</w:t>
      </w:r>
      <w:r w:rsidR="003C05E8" w:rsidRPr="00D73B8F">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C05E8" w:rsidRPr="00E27E2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Tower</w:t>
      </w:r>
      <w:r w:rsidR="00E27E25" w:rsidRPr="00E27E2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Hamlets seems to have </w:t>
      </w:r>
      <w:r w:rsidR="003C05E8" w:rsidRPr="00E27E2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w:t>
      </w:r>
      <w:r w:rsidR="00E27E25" w:rsidRPr="00E27E2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equivalent percentage of 0 to 19-year-olds</w:t>
      </w:r>
      <w:r w:rsidR="00DF6388" w:rsidRPr="00DF6388">
        <w:t xml:space="preserve"> </w:t>
      </w:r>
      <w:r w:rsidR="00DF6388" w:rsidRPr="00DF638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the rest of England and London</w:t>
      </w:r>
      <w:r w:rsidR="00093FD1" w:rsidRPr="00093FD1">
        <w:t xml:space="preserve"> </w:t>
      </w:r>
      <w:r w:rsidR="00093FD1" w:rsidRPr="00093FD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(democracy.towerhamlets.gov.uk, 2021)</w:t>
      </w:r>
      <w:r w:rsidR="00DF6388" w:rsidRPr="00DF638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age group accounts for one-quarter (25%) of the borough's population. The 20-39 age group is the most prevalent. Approximately 46 percent of the population is between the ages of 20 and 39. This is </w:t>
      </w:r>
      <w:r w:rsidR="00DF6388" w:rsidRPr="00DF638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greater than in London (33%) and England (26 percent ).</w:t>
      </w:r>
      <w:r w:rsidR="00137983" w:rsidRPr="0013798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E3E64" w:rsidRPr="008E3E6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 are around 14,000 more male residents than female residents</w:t>
      </w:r>
      <w:r w:rsidR="008E3E64" w:rsidRPr="00137983">
        <w:t xml:space="preserve"> </w:t>
      </w:r>
      <w:r w:rsidR="008E3E64" w:rsidRPr="00093FD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(democracy.towerhamlets.gov.uk, 2021)</w:t>
      </w:r>
      <w:r w:rsidR="008E3E64" w:rsidRPr="008E3E6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37983" w:rsidRPr="0013798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is the fourth highest male-to-female ratio in the country</w:t>
      </w:r>
      <w:r w:rsidR="00137983" w:rsidRPr="00137983">
        <w:t>.</w:t>
      </w:r>
      <w:r w:rsidR="00FF4149" w:rsidRPr="00FF4149">
        <w:t xml:space="preserve"> </w:t>
      </w:r>
      <w:r w:rsidR="00FF4149" w:rsidRPr="00FF414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borough has a male population of 52.1 percent and a female population of 47.9 percent.</w:t>
      </w:r>
      <w:r w:rsidR="00F03361" w:rsidRPr="00F0336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(ONS Mid Year Estimates 2019).</w:t>
      </w:r>
    </w:p>
    <w:p w14:paraId="7D5205AE" w14:textId="401B5BEB" w:rsidR="00164FE1" w:rsidRDefault="00164FE1" w:rsidP="007609C0">
      <w:pPr>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Ethnicity-</w:t>
      </w:r>
    </w:p>
    <w:p w14:paraId="499F5B5B" w14:textId="531501E1" w:rsidR="00502A68" w:rsidRPr="00013235" w:rsidRDefault="00222AE7" w:rsidP="00013235">
      <w:pPr>
        <w:pStyle w:val="NormalWeb"/>
        <w:spacing w:after="0"/>
        <w:jc w:val="both"/>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2AE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More than two-thirds (69%) of the borough's residents are members of a minority ethnic group. Tower Hamlets is the 16th most ethnically diverse local authority in England, ranking 16th out of 325. The borough's two major ethnic groups, </w:t>
      </w:r>
      <w:r w:rsidRPr="00222AE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totalling</w:t>
      </w:r>
      <w:r w:rsidRPr="00222AE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one-third of the population, are White British and Bangladeshi. Tower Hamlets has the country's largest Bangladeshi population.</w:t>
      </w:r>
      <w:r w:rsidR="0001323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E3E64" w:rsidRPr="00093FD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(democracy.towerhamlets.gov.uk, 2021)</w:t>
      </w:r>
      <w:r w:rsidR="008E3E64" w:rsidRPr="008E3E6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958C2F6" w14:textId="4AE17FB4" w:rsidR="002C2864" w:rsidRPr="00C078CF" w:rsidRDefault="0091416C" w:rsidP="00C078CF">
      <w:pPr>
        <w:pStyle w:val="NormalWeb"/>
        <w:spacing w:after="0"/>
        <w:jc w:val="both"/>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1416C">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White Other is the third most populous category, accounting for 12% of the borough's total population. This group is diverse, including residents of many ethnicities, as well as Europeans, Australians, and Americans. Somalians constitute a sizable proportion of the borough's population. According to the 2011 Census, there were 2,925 Somali-born persons, accounting for 1.2 percent of the population</w:t>
      </w:r>
      <w:r w:rsidR="00C078CF" w:rsidRPr="00332A3F">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07E2C" w:rsidRPr="00093FD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(democracy.towerhamlets.gov.uk, 2021)</w:t>
      </w:r>
      <w:r w:rsidR="00D07E2C" w:rsidRPr="008E3E6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CA72D8E" w14:textId="7CB20A06" w:rsidR="00094476" w:rsidRDefault="00094476" w:rsidP="007609C0">
      <w:pPr>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Faith-</w:t>
      </w:r>
    </w:p>
    <w:p w14:paraId="5537962B" w14:textId="32CB4680" w:rsidR="0091416C" w:rsidRPr="00871246" w:rsidRDefault="0091416C" w:rsidP="00871246">
      <w:pPr>
        <w:pStyle w:val="NormalWeb"/>
        <w:spacing w:after="0"/>
        <w:jc w:val="both"/>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1416C">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Tower Hamlets has the country's highest Muslim population.</w:t>
      </w:r>
      <w:r w:rsidR="0087124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1416C">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Muslims make up around 38% of the population</w:t>
      </w:r>
      <w:r w:rsidR="00871246" w:rsidRPr="00871246">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71246">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71246" w:rsidRPr="00332A3F">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Towerhamlets.gov.uk, 2019)</w:t>
      </w:r>
      <w:r w:rsidR="00871246" w:rsidRPr="00FF1A4B">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6FA3AE0" w14:textId="3F4DA8AA" w:rsidR="00174161" w:rsidRDefault="00174161" w:rsidP="003C3D0C">
      <w:pPr>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Employment-</w:t>
      </w:r>
    </w:p>
    <w:p w14:paraId="092950D8" w14:textId="3EE73937" w:rsidR="00174161" w:rsidRDefault="000C5318" w:rsidP="000169F8">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531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Throughout 2016-19, over two-thirds of Tower Hamlets' working-age population was employed- 67 percent, which is around 7% lower than the London employment rate and 8% lower than the UK employment rate. Tower Hamlets has a lower employment rate than the rest of London or the United Kingdom</w:t>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C531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C5318">
        <w:rPr>
          <w:rFonts w:ascii="Arial" w:eastAsia="+mn-ea" w:hAnsi="Arial" w:cs="Arial"/>
          <w:color w:val="000000" w:themeColor="text1"/>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Towerhamlets.gov.uk, 2019).</w:t>
      </w:r>
    </w:p>
    <w:p w14:paraId="4B35F3AD" w14:textId="16F561AF" w:rsidR="00EF7658" w:rsidRDefault="00EF7658" w:rsidP="000169F8">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Economy</w:t>
      </w:r>
      <w:r w:rsidR="006404E6">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B693D97" w14:textId="78E93F7A" w:rsidR="00662462" w:rsidRDefault="006404E6" w:rsidP="00BD7C52">
      <w:pPr>
        <w:pStyle w:val="NormalWeb"/>
        <w:spacing w:after="0"/>
        <w:jc w:val="both"/>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04E6">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2017, </w:t>
      </w:r>
      <w:r w:rsidR="00BD7C52" w:rsidRPr="00BD7C52">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Tower Hamlets had the highest overall economic production, or gross value added, of any key UK city outside of London, at roughly £29.7 </w:t>
      </w:r>
      <w:r w:rsidR="00174C13" w:rsidRPr="00BD7C52">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billion. The</w:t>
      </w:r>
      <w:r w:rsidR="00BD7C52" w:rsidRPr="00BD7C52">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borough was responsible for 7% of London's economic production and 2% of the UK's economic output</w:t>
      </w:r>
      <w:r w:rsidR="00BD7C52" w:rsidRPr="00BD7C5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D7C52" w:rsidRPr="000C531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D7C52" w:rsidRPr="000C5318">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Towerhamlets.gov.uk, 2019).</w:t>
      </w:r>
    </w:p>
    <w:p w14:paraId="61D7231E" w14:textId="2196F20A" w:rsidR="00662462" w:rsidRDefault="00662462" w:rsidP="006404E6">
      <w:pPr>
        <w:pStyle w:val="NormalWeb"/>
        <w:spacing w:before="0" w:beforeAutospacing="0" w:after="0" w:afterAutospacing="0"/>
        <w:jc w:val="both"/>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Poverty-</w:t>
      </w:r>
    </w:p>
    <w:p w14:paraId="6A13402B" w14:textId="42F0BF73" w:rsidR="00662462" w:rsidRDefault="00FF1A4B" w:rsidP="00FF1A4B">
      <w:pPr>
        <w:pStyle w:val="NormalWeb"/>
        <w:spacing w:after="0"/>
        <w:jc w:val="both"/>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1A4B">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Between 2015 and 2019, Tower Hamlets improved dramatically in terms of deprivation, rising from 10th to 50th in the national rankings, however 60% of the borough remains among the 30 percent most disadvantaged in England.</w:t>
      </w:r>
      <w:r>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F1A4B">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Deprivation </w:t>
      </w:r>
      <w:r w:rsidRPr="00FF1A4B">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among children and the elderly is significantly higher than in the general population</w:t>
      </w:r>
      <w:r w:rsidR="00332A3F">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32A3F" w:rsidRPr="00332A3F">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(Towerhamlets.gov.uk, 2019)</w:t>
      </w:r>
      <w:r w:rsidRPr="00FF1A4B">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AA91C71" w14:textId="3BE13FE5" w:rsidR="00603899" w:rsidRDefault="00603899" w:rsidP="00FF1A4B">
      <w:pPr>
        <w:pStyle w:val="NormalWeb"/>
        <w:spacing w:after="0"/>
        <w:jc w:val="both"/>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Crime-</w:t>
      </w:r>
    </w:p>
    <w:p w14:paraId="04C3E470" w14:textId="7E192AA3" w:rsidR="005B30C1" w:rsidRDefault="005B30C1" w:rsidP="00C37EBE">
      <w:pPr>
        <w:pStyle w:val="NormalWeb"/>
        <w:spacing w:after="0"/>
        <w:jc w:val="both"/>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25BB">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Crime in Tower Hamlets has increased in recent years.</w:t>
      </w:r>
      <w:r w:rsidR="00E71876" w:rsidRPr="00E71876">
        <w:t xml:space="preserve"> </w:t>
      </w:r>
      <w:r w:rsidR="00E71876" w:rsidRPr="00E71876">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Tower Hamlets has London's 6th largest rate of violent crime and the second highest number of Anti-Social Behaviour calls. Tower Hamlets has London's 5th highest rate of domestic violence offences, with female victims outnumbering male </w:t>
      </w:r>
      <w:r w:rsidR="003C05E8" w:rsidRPr="00E71876">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perpetrators.</w:t>
      </w:r>
      <w:r w:rsidR="00C37EBE" w:rsidRPr="00AD25B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37EBE" w:rsidRPr="00AD25BB">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Sexual offences increased by 39% between December 2015 and December 2019.The proportion of residents who listed drug use or dealing as a problem in 2019 was 67%, a 7% rise from the previous year.</w:t>
      </w:r>
      <w:r w:rsidR="00AD25BB" w:rsidRPr="00AD25B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D25BB" w:rsidRPr="00AD25BB">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comparison to other London boroughs, the number of racial hate crimes, sexual </w:t>
      </w:r>
      <w:r w:rsidR="007E03B5" w:rsidRPr="00AD25BB">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orientation</w:t>
      </w:r>
      <w:r w:rsidR="007E03B5">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E03B5" w:rsidRPr="007E03B5">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racism and discrimination, religious violent acts, and Islamophobic hate crimes </w:t>
      </w:r>
      <w:r w:rsidR="007E03B5">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w:t>
      </w:r>
      <w:r w:rsidR="00AD25BB" w:rsidRPr="00AD25BB">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considerably higher</w:t>
      </w:r>
      <w:r w:rsidR="00332A3F">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32A3F" w:rsidRPr="00332A3F">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(Towerhamlets.gov.uk, 2019)</w:t>
      </w:r>
      <w:r w:rsidR="00AD25BB" w:rsidRPr="00AD25BB">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429EC1F" w14:textId="7AE73F30" w:rsidR="00D97AD4" w:rsidRDefault="00D97AD4" w:rsidP="00E44F19">
      <w:pPr>
        <w:pStyle w:val="Heading1"/>
        <w:rPr>
          <w:rFonts w:eastAsia="+mn-ea"/>
        </w:rPr>
      </w:pPr>
      <w:bookmarkStart w:id="3" w:name="_Toc92880574"/>
      <w:r w:rsidRPr="002F2E9E">
        <w:rPr>
          <w:rFonts w:eastAsia="+mn-ea"/>
        </w:rPr>
        <w:t>Two distinctive community project-</w:t>
      </w:r>
      <w:bookmarkEnd w:id="3"/>
    </w:p>
    <w:p w14:paraId="2407D155" w14:textId="03360D80" w:rsidR="002F2E9E" w:rsidRDefault="002F2E9E" w:rsidP="00C37EBE">
      <w:pPr>
        <w:pStyle w:val="NormalWeb"/>
        <w:spacing w:after="0"/>
        <w:jc w:val="both"/>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2E9E">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Two projects developed</w:t>
      </w:r>
      <w:r w:rsidR="00E726E5">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F2E9E">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TOWER HAMLET to address  two major issues are "B</w:t>
      </w:r>
      <w:r w:rsidR="007B06E7">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ow </w:t>
      </w:r>
      <w:r w:rsidRPr="002F2E9E">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food bank" and "</w:t>
      </w:r>
      <w:r w:rsidR="00452A39">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Mind</w:t>
      </w:r>
      <w:r w:rsidR="00F86DFB">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F2E9E">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79B216A" w14:textId="10343DE2" w:rsidR="008018DC" w:rsidRDefault="00463941" w:rsidP="00C37EBE">
      <w:pPr>
        <w:pStyle w:val="NormalWeb"/>
        <w:spacing w:after="0"/>
        <w:jc w:val="both"/>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3941">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Department of Health defines food poverty as "the inability to buy or have access to food to develop a balanced diet.</w:t>
      </w:r>
      <w:r w:rsidR="00440F29" w:rsidRPr="00440F29">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There are a variety of reasons why people cannot afford to buy food, and indeed healthy food. These can include being on a low income, working for zero hours, waiting for a Universal Credit claim to be paid, benefit penalties, being in debt, and having living expenditures that exceed the household income.</w:t>
      </w:r>
      <w:r w:rsidR="00440F29">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018DC" w:rsidRPr="008018DC">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Tower Hamlets has a </w:t>
      </w:r>
      <w:r w:rsidR="00AA0AEC" w:rsidRPr="008018DC">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higher-than-average</w:t>
      </w:r>
      <w:r w:rsidR="008018DC" w:rsidRPr="008018DC">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unemployment rate compared to the rest of the UK (Office for National Statistics, 2011). Tower Hamlets has 29,680 disadvantaged children. This is the highest percentage of child poverty in the UK, accounting for 53% of all children in the borough. The borough's child poverty rate is more</w:t>
      </w:r>
      <w:r>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018DC" w:rsidRPr="008018DC">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than double the national rate (21%) and significantly higher than the London average (30%). (Www.gov.uk,2019).</w:t>
      </w:r>
      <w:r w:rsidR="002459DB" w:rsidRPr="002459DB">
        <w:t xml:space="preserve"> </w:t>
      </w:r>
      <w:r w:rsidR="002459DB" w:rsidRPr="002459DB">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007B06E7">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w:t>
      </w:r>
      <w:r w:rsidR="002459DB" w:rsidRPr="002459DB">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Foodbank is a Tower Hamlets </w:t>
      </w:r>
      <w:r w:rsidR="00AA0AEC" w:rsidRPr="002459DB">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non</w:t>
      </w:r>
      <w:r w:rsidR="00AA0AEC">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-profit</w:t>
      </w:r>
      <w:r w:rsidR="002459DB" w:rsidRPr="002459DB">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project that runs two foodbanks, one in Bow and one in Bethnal Green. They provide emergency food supplies to people who are in financial hardship.</w:t>
      </w:r>
      <w:r w:rsidR="00900437" w:rsidRPr="00900437">
        <w:t xml:space="preserve"> </w:t>
      </w:r>
      <w:r w:rsidR="00900437" w:rsidRPr="00900437">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Clients are given emergency food assistance packages based on the size of their household  which are adapted to their dietary needs and any cultural or religious demands</w:t>
      </w:r>
      <w:r w:rsidR="00AF6201">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F6201" w:rsidRPr="00AF6201">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(Bow Foodbank, 2014)</w:t>
      </w:r>
      <w:r w:rsidR="00900437" w:rsidRPr="00900437">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3298EFF" w14:textId="369669A3" w:rsidR="002D3FF9" w:rsidRPr="002F2E9E" w:rsidRDefault="0097636C" w:rsidP="0097636C">
      <w:pPr>
        <w:pStyle w:val="NormalWeb"/>
        <w:spacing w:after="0"/>
        <w:jc w:val="both"/>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636C">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"Mind" was created  to assist individuals in Tower Hamlets  in improving their mental health and well-being and </w:t>
      </w:r>
      <w:r w:rsidR="0087175B" w:rsidRPr="0087175B">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live the healthiest lifestyles possible</w:t>
      </w:r>
      <w:r w:rsidRPr="0097636C">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C1647" w:rsidRPr="00EC1647">
        <w:t xml:space="preserve"> </w:t>
      </w:r>
      <w:r w:rsidR="00EC1647" w:rsidRPr="00EC1647">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They achieve this by providing a range of services to meet local needs, such as Mental Health Support, Wellbeing Groups, Talking Therapies, Employment Support, Advice and Information, and Advocacy Services</w:t>
      </w:r>
      <w:r w:rsidR="00EC164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C1647" w:rsidRPr="00017FB5">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www.mithn.org.uk,2018</w:t>
      </w:r>
      <w:r w:rsidR="00EC1647">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97636C">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8647E" w:rsidRPr="00D8647E">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During the COVID-19 pandemic and lockdown, Mind assisted people who were alone and lonely and may have been suffering with their well-being, as well as people who had just lost a loved one</w:t>
      </w:r>
      <w:r w:rsidR="00DD6001">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D6001" w:rsidRPr="00DD6001">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(www.mithn.org.uk, 2018)</w:t>
      </w:r>
      <w:r w:rsidR="00D8647E" w:rsidRPr="00D8647E">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F52F5" w:rsidRPr="00EF52F5">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Tower Hamlets has a significant mental health issue.</w:t>
      </w:r>
      <w:r w:rsidR="00846CF6" w:rsidRPr="00846CF6">
        <w:t xml:space="preserve"> </w:t>
      </w:r>
      <w:r w:rsidR="00846CF6" w:rsidRPr="00846CF6">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According to 2018 GP registrations,</w:t>
      </w:r>
      <w:r w:rsidR="00CC31E2" w:rsidRPr="00CC31E2">
        <w:t xml:space="preserve"> </w:t>
      </w:r>
      <w:r w:rsidR="007D7C79" w:rsidRPr="007D7C7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Tower Hamlets, around 50,000 people are treated in primary care for depression, anxiety, or serious mental illness. Adults in Tower Hamlets had the highest rates of depression and anxiety in London (16.1 percent), as well as the fourth highest rates of long-term mental health issues (9.8 percent)on 2017/18</w:t>
      </w:r>
      <w:r w:rsidR="007D7C7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E1FF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D7C79" w:rsidRPr="00017FB5">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www.mithn.org.uk,2018</w:t>
      </w:r>
      <w:r w:rsidR="008E1FFA">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D7C79" w:rsidRPr="007D7C7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C31E2" w:rsidRPr="007D7C79">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Tower Hamlets </w:t>
      </w:r>
      <w:r w:rsidR="00CC31E2" w:rsidRPr="00CC31E2">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has the country's second highest rate of secondary mental health treatment usage among individuals of working age.</w:t>
      </w:r>
      <w:r w:rsidR="005D4486" w:rsidRPr="005D4486">
        <w:t xml:space="preserve"> </w:t>
      </w:r>
      <w:r w:rsidR="005D4486" w:rsidRPr="005D4486">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Older individuals in Tower Hamlets are expected to be the most isolated in London and England.</w:t>
      </w:r>
      <w:r w:rsidR="002F03F5" w:rsidRPr="002F03F5">
        <w:t xml:space="preserve"> </w:t>
      </w:r>
      <w:r w:rsidR="00A13FE0" w:rsidRPr="00A13FE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Tower Hamlets has the second largest dementia incidence rate in London, at 5.25 percent, that is much greater than the National normal of 4.49 percent as of September 2017.</w:t>
      </w:r>
      <w:r w:rsidR="00A13FE0" w:rsidRPr="00A13FE0">
        <w:rPr>
          <w:rFonts w:eastAsia="+mn-ea"/>
        </w:rPr>
        <w:t xml:space="preserve"> </w:t>
      </w:r>
      <w:r w:rsidR="00017FB5" w:rsidRPr="00017FB5">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(www.mithn.org.uk, 2018)</w:t>
      </w:r>
      <w:r w:rsidR="00017FB5">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3210D15" w14:textId="36D2CDF7" w:rsidR="002D3FF9" w:rsidRDefault="00040580" w:rsidP="002D3FF9">
      <w:pPr>
        <w:pStyle w:val="NormalWeb"/>
        <w:spacing w:after="0"/>
        <w:jc w:val="both"/>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0580">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media and social media have both proven to be major parts of the community.</w:t>
      </w:r>
      <w:r w:rsidR="00CC4A93">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These two projects have used digital technology to communicate with the community.</w:t>
      </w:r>
      <w:r w:rsidR="008070E3">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They have used  Facebook page, Instagram , twitter as a mean of communication</w:t>
      </w:r>
      <w:r w:rsidR="002D3FF9">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to promote their projects </w:t>
      </w:r>
      <w:r w:rsidR="0038430F">
        <w:rPr>
          <w:rFonts w:ascii="Arial" w:eastAsia="+mn-ea" w:hAnsi="Arial" w:cs="Arial"/>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Videos were created to involve more people.</w:t>
      </w:r>
    </w:p>
    <w:p w14:paraId="4E8FDBEB" w14:textId="07326388" w:rsidR="006404E6" w:rsidRPr="008D5097" w:rsidRDefault="001513BB" w:rsidP="008D5097">
      <w:pPr>
        <w:pStyle w:val="Heading1"/>
      </w:pPr>
      <w:r w:rsidRPr="008D5097">
        <w:t xml:space="preserve"> </w:t>
      </w:r>
      <w:bookmarkStart w:id="4" w:name="_Toc92880575"/>
      <w:r w:rsidR="00052693" w:rsidRPr="008D5097">
        <w:t>Theory –</w:t>
      </w:r>
      <w:bookmarkEnd w:id="4"/>
    </w:p>
    <w:p w14:paraId="374C023F" w14:textId="71512920" w:rsidR="005410B2" w:rsidRDefault="00F77820" w:rsidP="000169F8">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7820">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Theories are crucial for anybody attempting to achieve social change</w:t>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DA2316">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410B2" w:rsidRPr="005410B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Theoretical approaches in the community assist people in thinking about establishing strategies that include not just the issues that particular persons with disabilities face, but also the environmental elements that contribute to all challenges.</w:t>
      </w:r>
    </w:p>
    <w:p w14:paraId="578924A4" w14:textId="38A544C5" w:rsidR="00DA2964" w:rsidRDefault="00F77820" w:rsidP="000169F8">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2316">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“United</w:t>
      </w:r>
      <w:r w:rsidR="00DA2316" w:rsidRPr="00DA2316">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 stand, divided we fall." Every being on </w:t>
      </w:r>
      <w:r w:rsidR="008D531F">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w:t>
      </w:r>
      <w:r w:rsidR="00DA2316" w:rsidRPr="00DA2316">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planet thrives when they live, share, and grow together, whether social or wild. According to the Marmot Review (2011), it is critical to improve community investment and minimise social isolation in order to reduce health disparities in England.</w:t>
      </w:r>
      <w:r w:rsidR="00DA2316">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37126" w:rsidRPr="00337126">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Maslow's Hierarchy of Needs is helpful in understanding community building since it may provide an outline of where the developer should start.</w:t>
      </w:r>
      <w:r w:rsidR="00337126">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752C" w:rsidRPr="007D752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Maslow Theory is an excellent tool for these Projects to learn and implement. It may support in both keeping the community workers  engaged and correcting motivational challenges.</w:t>
      </w:r>
    </w:p>
    <w:p w14:paraId="12D4F4CD" w14:textId="182BEE40" w:rsidR="00052693" w:rsidRDefault="00052693" w:rsidP="000169F8">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5269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 two projects are   for community people</w:t>
      </w:r>
      <w:r w:rsidR="00773C1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5269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are an example of the ecological model established by BRONFENBRENNER.</w:t>
      </w:r>
      <w:r w:rsidR="00125626" w:rsidRPr="00125626">
        <w:t xml:space="preserve"> </w:t>
      </w:r>
      <w:r w:rsidR="00125626" w:rsidRPr="00125626">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According to Bronfenbrenner's child development theory, various variables can have a direct impact on how a child grows. Even if a parent does everything correctly a, bad influences on a child's  may contradict the parent's efforts.</w:t>
      </w:r>
      <w:r w:rsidR="00125626">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25626" w:rsidRPr="00125626">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 result, Bronfenbrenner implies indirectly that a community truly does raise a child</w:t>
      </w:r>
      <w:r w:rsidR="00125626" w:rsidRPr="00125626">
        <w:t xml:space="preserve"> </w:t>
      </w:r>
      <w:r w:rsidR="00125626" w:rsidRPr="00125626">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(HRF, 2010)</w:t>
      </w:r>
      <w:r w:rsidR="00125626">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85ABC70" w14:textId="7630B7C0" w:rsidR="00E2618D" w:rsidRDefault="00E2618D" w:rsidP="000169F8">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618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According to behaviour theory, all human behaviour, including violent behaviour, is developed by contact with the social environment.</w:t>
      </w:r>
      <w:r w:rsidR="00C37D8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According to Bandura (1977) </w:t>
      </w:r>
      <w:r w:rsidR="00EF24D6">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00EF24D6" w:rsidRPr="00EF24D6">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eople are not born with a destructive nature. Rather, as a result of their daily experiences, people learn to think and behave aggressively.</w:t>
      </w:r>
      <w:r w:rsidR="00BE7552" w:rsidRPr="00BE7552">
        <w:t xml:space="preserve"> </w:t>
      </w:r>
      <w:r w:rsidR="00BE7552" w:rsidRPr="00BE755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observing and following the behaviour of others, people  develop social behaviour.</w:t>
      </w:r>
      <w:r w:rsidR="004F1F7E" w:rsidRPr="004F1F7E">
        <w:t xml:space="preserve"> </w:t>
      </w:r>
      <w:r w:rsidR="004F1F7E" w:rsidRPr="004F1F7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approach </w:t>
      </w:r>
      <w:r w:rsidR="004F1F7E" w:rsidRPr="004F1F7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can support community workers in better understanding how particular behaviours have formed and how to engage, either as a role model or to encourage others.</w:t>
      </w:r>
    </w:p>
    <w:p w14:paraId="5D38052E" w14:textId="3E573434" w:rsidR="00C0102F" w:rsidRDefault="00C0102F" w:rsidP="006F19EC">
      <w:pPr>
        <w:pStyle w:val="Heading1"/>
      </w:pPr>
      <w:bookmarkStart w:id="5" w:name="_Toc92880576"/>
      <w:r>
        <w:t>Policy</w:t>
      </w:r>
      <w:r w:rsidR="006F19EC">
        <w:t xml:space="preserve"> and legislations</w:t>
      </w:r>
      <w:r>
        <w:t>-</w:t>
      </w:r>
      <w:bookmarkEnd w:id="5"/>
      <w:r>
        <w:t xml:space="preserve"> </w:t>
      </w:r>
    </w:p>
    <w:p w14:paraId="7E0B57C0" w14:textId="6F5508BF" w:rsidR="00BB11D7" w:rsidRDefault="00C0102F" w:rsidP="006F19EC">
      <w:pPr>
        <w:pStyle w:val="Heading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92880513"/>
      <w:bookmarkStart w:id="7" w:name="_Toc92880577"/>
      <w:r w:rsidRPr="00C0102F">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 projects  </w:t>
      </w:r>
      <w:r w:rsidR="00AA0AEC" w:rsidRPr="00C0102F">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believe</w:t>
      </w:r>
      <w:r w:rsidRPr="00C0102F">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equal opportunity as well as the promotion and appreciation of diversity. They are  committed to treating people equally in the delivery of services or employment on any unlawful grounds, including age, disability, sex, gender reassignment, pregnancy, maternity, race (including colour, nationality, and ethnic or national origins), sexual orientation, </w:t>
      </w:r>
      <w:r w:rsidR="00AA0AEC" w:rsidRPr="00C0102F">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religion,</w:t>
      </w:r>
      <w:r w:rsidRPr="00C0102F">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belief, or because someone is married or in a civil partnership.</w:t>
      </w:r>
      <w:r w:rsidR="007760BC" w:rsidRPr="007760B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A0AEC" w:rsidRPr="0005269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AA0AE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ese</w:t>
      </w:r>
      <w:r w:rsidR="00AA0AEC" w:rsidRPr="0005269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initiative</w:t>
      </w:r>
      <w:r w:rsidR="00AA0AE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7760BC" w:rsidRPr="0005269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took a community-cantered approach while maintaining non-discriminatory practises. The Equality Act is anti-discrimination law.</w:t>
      </w:r>
      <w:r w:rsidR="0071142F" w:rsidRPr="0071142F">
        <w:t xml:space="preserve"> </w:t>
      </w:r>
      <w:r w:rsidR="0071142F" w:rsidRPr="0071142F">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goal of these projects is to include everyone, regardless of colour, gender, handicap, medical condition, or other need. It is about providing equal access and opportunity, as well as removing discrimination and hatred </w:t>
      </w:r>
      <w:r w:rsidR="0071142F" w:rsidRPr="0047717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Equality Act of 2010 provides a legal framework to safeguard individuals' rights and promote equal opportunity for everyone. It provides the United Kingdom with anti-discrimination law that protects individuals from social injustice and promotes a more inclusive society</w:t>
      </w:r>
      <w:r w:rsidR="00697DF1" w:rsidRPr="00697DF1">
        <w:t xml:space="preserve"> </w:t>
      </w:r>
      <w:r w:rsidR="00697DF1" w:rsidRPr="00697DF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(Legislation.gov.uk, 201</w:t>
      </w:r>
      <w:r w:rsidR="00697DF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00697DF1" w:rsidRPr="00697DF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97DF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6"/>
      <w:bookmarkEnd w:id="7"/>
    </w:p>
    <w:p w14:paraId="747DCCF0" w14:textId="69FE18D8" w:rsidR="009C630A" w:rsidRDefault="009C630A" w:rsidP="00C263C3">
      <w:pPr>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5269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 initiative</w:t>
      </w:r>
      <w:r w:rsidR="00AA0AE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05269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took a community-cantered approach while maintaining non-discriminatory practises. The Equality Act is anti-discrimination law. A community-cantered approach is when a project is designed around the requirements of the community, resulting in a project that reflects the community's needs and preferences.</w:t>
      </w:r>
    </w:p>
    <w:p w14:paraId="753AC449" w14:textId="3399BECD" w:rsidR="0022677C" w:rsidRDefault="0022677C" w:rsidP="00C263C3">
      <w:pPr>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677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Human Rights Act of 1998 is </w:t>
      </w:r>
      <w:r w:rsidR="00AA0AEC" w:rsidRPr="0022677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22677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major piece of law in the United Kingdom that defines people's rights. People have the right to express themselves and be safe from harm, as well as the right to be treated with decency, respect, and equality (Legislation.gov.uk, 2019). The goal of the Human Rights Act of 1998 was to guarantee that individuals are treated fairly, with decency, and respect</w:t>
      </w:r>
      <w:r w:rsidR="0035153E" w:rsidRPr="0035153E">
        <w:t xml:space="preserve"> </w:t>
      </w:r>
      <w:r w:rsidR="0035153E" w:rsidRPr="0035153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(Legislation.gov.uk, 2019)</w:t>
      </w:r>
    </w:p>
    <w:p w14:paraId="7F46E4BC" w14:textId="6831EE5C" w:rsidR="00C10CC0" w:rsidRDefault="00C10CC0" w:rsidP="00C263C3">
      <w:pPr>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0CC0">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Safeguarding Vulnerable Groups Act of 2006 provides the legislative framework for the new Vetting and Barring programme. This legislation will identify who is prohibited from working with children and vulnerable people</w:t>
      </w:r>
      <w:r w:rsidR="0035153E" w:rsidRPr="0035153E">
        <w:t xml:space="preserve"> </w:t>
      </w:r>
      <w:r w:rsidR="0035153E" w:rsidRPr="0035153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(Legislation.gov.uk, 2019)</w:t>
      </w:r>
    </w:p>
    <w:p w14:paraId="023524B7" w14:textId="78D1198C" w:rsidR="00070239" w:rsidRDefault="00070239" w:rsidP="00C263C3">
      <w:pPr>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023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Confidentiality is a vital component of professional behaviour that protects human rights. The common law of privacy recognises that people have a right to expect that the information they submit will be used exclusively for the purpose with which it was delivered and will not be disclosed without their agreement (Legislation.gov.uk,2019).</w:t>
      </w:r>
    </w:p>
    <w:p w14:paraId="1B4AB7B3" w14:textId="2EA297A2" w:rsidR="00900A22" w:rsidRDefault="00900A22" w:rsidP="00E44F19">
      <w:pPr>
        <w:pStyle w:val="Heading1"/>
      </w:pPr>
      <w:bookmarkStart w:id="8" w:name="_Toc92880578"/>
      <w:r w:rsidRPr="00900A22">
        <w:t>Conclusion</w:t>
      </w:r>
      <w:r>
        <w:t>-</w:t>
      </w:r>
      <w:bookmarkEnd w:id="8"/>
    </w:p>
    <w:p w14:paraId="52B0A1E7" w14:textId="05F2171C" w:rsidR="008328B6" w:rsidRDefault="008328B6" w:rsidP="00C263C3">
      <w:pPr>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28B6">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Digital technology </w:t>
      </w:r>
      <w:r w:rsidR="00AF6201" w:rsidRPr="008328B6">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has</w:t>
      </w:r>
      <w:r w:rsidRPr="008328B6">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altered the perspective of the world. Digital technology also has a favourable influence on essential dimensions of social life, such as health care, law </w:t>
      </w:r>
      <w:r w:rsidRPr="008328B6">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enforcement, art, education, mobility, and religion.</w:t>
      </w:r>
      <w:r w:rsidR="0030689B" w:rsidRPr="0030689B">
        <w:t xml:space="preserve"> </w:t>
      </w:r>
      <w:r w:rsidR="0030689B" w:rsidRPr="0030689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Physical separation and quarantine procedures were mandated to contain the COVID-19 epidemic. In order to meet this, various types of human actions (e.g., groceries, teaching, continuing to work, meeting, and entertaining) have shifted from offline to online, resulting in an accelerated absorption of emerging digital technologies among ordinary people, while the information technology between citizens with and without access to the technologies has grown</w:t>
      </w:r>
      <w:r w:rsidR="0030689B" w:rsidRPr="0030689B">
        <w:t xml:space="preserve"> </w:t>
      </w:r>
      <w:r w:rsidR="0030689B" w:rsidRPr="0030689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(Wiley.com, 2019)</w:t>
      </w:r>
    </w:p>
    <w:p w14:paraId="77FC60B4" w14:textId="5ED3CC5F" w:rsidR="00E9102F" w:rsidRDefault="00E9102F" w:rsidP="00C263C3">
      <w:pPr>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9102F">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Society is also affected by digital technology. For example, advances in digital technology frequently result in the obliteration of creativity. The introduction of new technology can sometimes have a detrimental influence on the economy. Television, for example, might absorb many productive hours in a person's day.</w:t>
      </w:r>
    </w:p>
    <w:p w14:paraId="4925F6E1" w14:textId="1791E2A5" w:rsidR="00900A22" w:rsidRPr="00900A22" w:rsidRDefault="00900A22" w:rsidP="00C263C3">
      <w:pPr>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0A2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Local government professionals in the field are now encouraging communities to become more technology competent.</w:t>
      </w:r>
      <w:r w:rsidR="00D16D44" w:rsidRPr="00D16D44">
        <w:t xml:space="preserve"> </w:t>
      </w:r>
      <w:r w:rsidR="00D16D44" w:rsidRPr="00D16D4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Communities may utilise technology to collect public feedback for the development of objectives in a more effective way than conventional participation methods.</w:t>
      </w:r>
      <w:r w:rsidR="002E7B9F" w:rsidRPr="002E7B9F">
        <w:t xml:space="preserve"> </w:t>
      </w:r>
      <w:r w:rsidR="002E7B9F" w:rsidRPr="002E7B9F">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Communities can utilise technology to track and assess achievement in order to identify whether or not goals are met.</w:t>
      </w:r>
    </w:p>
    <w:p w14:paraId="6A6B11A5" w14:textId="77777777" w:rsidR="00BB11D7" w:rsidRDefault="00BB11D7" w:rsidP="00C263C3">
      <w:pPr>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1D3254" w14:textId="77777777" w:rsidR="00BB11D7" w:rsidRDefault="00BB11D7" w:rsidP="00C263C3">
      <w:pPr>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7B58C4" w14:textId="6E950529" w:rsidR="00BB11D7" w:rsidRDefault="00BB11D7" w:rsidP="00C263C3">
      <w:pPr>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F3F7E5" w14:textId="77777777" w:rsidR="00697DF1" w:rsidRDefault="00697DF1" w:rsidP="00C263C3">
      <w:pPr>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EBC115" w14:textId="77777777" w:rsidR="00BB11D7" w:rsidRDefault="00BB11D7" w:rsidP="00C263C3">
      <w:pPr>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6D9913" w14:textId="77777777" w:rsidR="00376C6E" w:rsidRDefault="00376C6E" w:rsidP="00C263C3">
      <w:pPr>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5526C3" w14:textId="568477A6" w:rsidR="00AF6201" w:rsidRPr="00AF6201" w:rsidRDefault="00BB11D7" w:rsidP="00AF6201">
      <w:pPr>
        <w:pStyle w:val="Heading1"/>
      </w:pPr>
      <w:bookmarkStart w:id="9" w:name="_Toc92880579"/>
      <w:r w:rsidRPr="00BB11D7">
        <w:t>References</w:t>
      </w:r>
      <w:r>
        <w:t>-</w:t>
      </w:r>
      <w:bookmarkEnd w:id="9"/>
    </w:p>
    <w:p w14:paraId="4C5DE367" w14:textId="19B721FD" w:rsidR="00AF6201" w:rsidRPr="00AF6201" w:rsidRDefault="00AF6201" w:rsidP="00AF6201">
      <w:pPr>
        <w:pStyle w:val="ListParagraph"/>
        <w:numPr>
          <w:ilvl w:val="0"/>
          <w:numId w:val="15"/>
        </w:numPr>
        <w:spacing w:after="240" w:line="360" w:lineRule="auto"/>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6201">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Bow Foodbank. (2014). </w:t>
      </w:r>
      <w:r w:rsidRPr="00AF6201">
        <w:rPr>
          <w:rFonts w:ascii="Arial" w:eastAsia="Times New Roman" w:hAnsi="Arial" w:cs="Arial"/>
          <w:i/>
          <w:iCs/>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Bow Foodbank – Emergency Food Aid in East London</w:t>
      </w:r>
      <w:r w:rsidRPr="00AF6201">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https://www.bowfoodbank.org [Accessed 12 Jan. 2022].</w:t>
      </w:r>
    </w:p>
    <w:p w14:paraId="721D3B57" w14:textId="1EBCCF00" w:rsidR="00F03A63" w:rsidRPr="0030689B" w:rsidRDefault="007B06E7" w:rsidP="00D05FA8">
      <w:pPr>
        <w:pStyle w:val="ListParagraph"/>
        <w:numPr>
          <w:ilvl w:val="0"/>
          <w:numId w:val="15"/>
        </w:numPr>
        <w:suppressAutoHyphens/>
        <w:autoSpaceDN w:val="0"/>
        <w:spacing w:after="240" w:line="360" w:lineRule="auto"/>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689B">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Caplan, P. (2017a). Win-</w:t>
      </w:r>
      <w:r w:rsidR="003C05E8" w:rsidRPr="0030689B">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win?</w:t>
      </w:r>
      <w:r w:rsidRPr="0030689B">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Food poverty, food aid and food surplus in the</w:t>
      </w:r>
      <w:r w:rsidR="007E1F81" w:rsidRPr="0030689B">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0689B">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UK today. </w:t>
      </w:r>
      <w:r w:rsidRPr="0030689B">
        <w:rPr>
          <w:rFonts w:ascii="Arial" w:eastAsia="Times New Roman" w:hAnsi="Arial" w:cs="Arial"/>
          <w:i/>
          <w:iCs/>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Anthropology Today</w:t>
      </w:r>
      <w:r w:rsidRPr="0030689B">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33(3), pp.17–22.</w:t>
      </w:r>
    </w:p>
    <w:p w14:paraId="2E21EBB4" w14:textId="3E3FBCB0" w:rsidR="004114BE" w:rsidRPr="0030689B" w:rsidRDefault="004114BE" w:rsidP="00D05FA8">
      <w:pPr>
        <w:pStyle w:val="ListParagraph"/>
        <w:numPr>
          <w:ilvl w:val="0"/>
          <w:numId w:val="15"/>
        </w:numPr>
        <w:spacing w:after="240" w:line="360" w:lineRule="auto"/>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689B">
        <w:rPr>
          <w:rFonts w:ascii="Arial" w:eastAsia="Times New Roman" w:hAnsi="Arial" w:cs="Arial"/>
          <w:color w:val="000000" w:themeColor="text1"/>
          <w:sz w:val="24"/>
          <w:szCs w:val="24"/>
          <w:lang w:val="it-IT"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Dalili Shoaei, M. and Dastani, M. (2021). </w:t>
      </w:r>
      <w:r w:rsidRPr="0030689B">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Role of </w:t>
      </w:r>
      <w:r w:rsidR="00AA0AEC" w:rsidRPr="0030689B">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media</w:t>
      </w:r>
      <w:r w:rsidRPr="0030689B">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During the       COVID-19 Crisis: A Narrative Review. </w:t>
      </w:r>
      <w:r w:rsidRPr="0030689B">
        <w:rPr>
          <w:rFonts w:ascii="Arial" w:eastAsia="Times New Roman" w:hAnsi="Arial" w:cs="Arial"/>
          <w:i/>
          <w:iCs/>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Technology Assessment in Action</w:t>
      </w:r>
      <w:r w:rsidRPr="0030689B">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E369045" w14:textId="02D5468B" w:rsidR="00940D0C" w:rsidRDefault="00D20CB5" w:rsidP="00940D0C">
      <w:pPr>
        <w:pStyle w:val="ListParagraph"/>
        <w:numPr>
          <w:ilvl w:val="0"/>
          <w:numId w:val="15"/>
        </w:numPr>
        <w:spacing w:after="240" w:line="360" w:lineRule="auto"/>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940D0C" w:rsidRPr="0030689B">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emocracy.towerhamlets.gov.uk. (2021). </w:t>
      </w:r>
      <w:r w:rsidR="00940D0C" w:rsidRPr="0030689B">
        <w:rPr>
          <w:rFonts w:ascii="Arial" w:eastAsia="Times New Roman" w:hAnsi="Arial" w:cs="Arial"/>
          <w:i/>
          <w:iCs/>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Committee and Member Services</w:t>
      </w:r>
      <w:r w:rsidR="00940D0C" w:rsidRPr="0030689B">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w:t>
      </w:r>
      <w:r w:rsidR="00940D0C" w:rsidRPr="00D20CB5">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6" w:history="1">
        <w:r w:rsidRPr="00D20CB5">
          <w:rPr>
            <w:rStyle w:val="Hyperlink"/>
            <w:rFonts w:ascii="Arial" w:eastAsia="Times New Roman" w:hAnsi="Arial" w:cs="Arial"/>
            <w:color w:val="000000" w:themeColor="text1"/>
            <w:sz w:val="24"/>
            <w:szCs w:val="24"/>
            <w:u w:val="non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https://democracy.towerhamlets.gov.uk/</w:t>
        </w:r>
      </w:hyperlink>
      <w:r w:rsidR="00940D0C" w:rsidRPr="0030689B">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536458A" w14:textId="77777777" w:rsidR="00D20CB5" w:rsidRPr="00D20CB5" w:rsidRDefault="00D20CB5" w:rsidP="00D20CB5">
      <w:pPr>
        <w:pStyle w:val="ListParagraph"/>
        <w:numPr>
          <w:ilvl w:val="0"/>
          <w:numId w:val="15"/>
        </w:numPr>
        <w:spacing w:after="240" w:line="360" w:lineRule="auto"/>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0CB5">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HRF. (2010). </w:t>
      </w:r>
      <w:r w:rsidRPr="00D20CB5">
        <w:rPr>
          <w:rFonts w:ascii="Arial" w:eastAsia="Times New Roman" w:hAnsi="Arial" w:cs="Arial"/>
          <w:i/>
          <w:iCs/>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HRF - Health and Medical Blog</w:t>
      </w:r>
      <w:r w:rsidRPr="00D20CB5">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https://healthresearchfunding.org/.</w:t>
      </w:r>
    </w:p>
    <w:p w14:paraId="32F07A08" w14:textId="77777777" w:rsidR="00D20CB5" w:rsidRPr="0030689B" w:rsidRDefault="00D20CB5" w:rsidP="00940D0C">
      <w:pPr>
        <w:pStyle w:val="ListParagraph"/>
        <w:numPr>
          <w:ilvl w:val="0"/>
          <w:numId w:val="15"/>
        </w:numPr>
        <w:spacing w:after="240" w:line="360" w:lineRule="auto"/>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B9BBB9" w14:textId="02D9BFAA" w:rsidR="00F03A63" w:rsidRPr="0030689B" w:rsidRDefault="007B06E7" w:rsidP="00D05FA8">
      <w:pPr>
        <w:pStyle w:val="ListParagraph"/>
        <w:numPr>
          <w:ilvl w:val="0"/>
          <w:numId w:val="15"/>
        </w:numPr>
        <w:spacing w:after="240" w:line="360" w:lineRule="auto"/>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689B">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Legislation.gov.uk. (2019). </w:t>
      </w:r>
      <w:r w:rsidRPr="0030689B">
        <w:rPr>
          <w:rFonts w:ascii="Arial" w:eastAsia="Times New Roman" w:hAnsi="Arial" w:cs="Arial"/>
          <w:i/>
          <w:iCs/>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Legislation.gov.uk</w:t>
      </w:r>
      <w:r w:rsidRPr="0030689B">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Available at: </w:t>
      </w:r>
      <w:hyperlink r:id="rId7" w:history="1">
        <w:r w:rsidR="001658D0" w:rsidRPr="0030689B">
          <w:rPr>
            <w:rStyle w:val="Hyperlink"/>
            <w:rFonts w:ascii="Arial" w:eastAsia="Times New Roman" w:hAnsi="Arial" w:cs="Arial"/>
            <w:color w:val="000000" w:themeColor="text1"/>
            <w:sz w:val="24"/>
            <w:szCs w:val="24"/>
            <w:u w:val="non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https://www.legislation.gov.uk</w:t>
        </w:r>
      </w:hyperlink>
      <w:r w:rsidRPr="0030689B">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1632D8C" w14:textId="63B09CD0" w:rsidR="00F03A63" w:rsidRPr="0030689B" w:rsidRDefault="007B06E7" w:rsidP="00AC4A30">
      <w:pPr>
        <w:pStyle w:val="ListParagraph"/>
        <w:numPr>
          <w:ilvl w:val="0"/>
          <w:numId w:val="15"/>
        </w:numPr>
        <w:spacing w:after="240" w:line="360" w:lineRule="auto"/>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689B">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Marmot, M. and Bell, R. (2012). Fair society, healthy lives. </w:t>
      </w:r>
      <w:r w:rsidRPr="0030689B">
        <w:rPr>
          <w:rFonts w:ascii="Arial" w:eastAsia="Times New Roman" w:hAnsi="Arial" w:cs="Arial"/>
          <w:i/>
          <w:iCs/>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Public Health</w:t>
      </w:r>
      <w:r w:rsidRPr="0030689B">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126(1), pp.S4–S10. Available at: https://www.sciencedirect.com/science/article/pii/S0033350612001862.</w:t>
      </w:r>
    </w:p>
    <w:p w14:paraId="0F28BD66" w14:textId="77777777" w:rsidR="00482014" w:rsidRPr="0030689B" w:rsidRDefault="00482014" w:rsidP="00482014">
      <w:pPr>
        <w:numPr>
          <w:ilvl w:val="0"/>
          <w:numId w:val="15"/>
        </w:numPr>
        <w:spacing w:after="240" w:line="360" w:lineRule="auto"/>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689B">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Metcalf, K., Minnear, J., Kleinert, T. and Tedder, V. (2012). Community food growing and the role of women in the alternative economy in Tower Hamlets. </w:t>
      </w:r>
      <w:r w:rsidRPr="0030689B">
        <w:rPr>
          <w:rFonts w:ascii="Arial" w:eastAsia="Times New Roman" w:hAnsi="Arial" w:cs="Arial"/>
          <w:i/>
          <w:iCs/>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Local Economy: The Journal of the Local Economy Policy Unit</w:t>
      </w:r>
      <w:r w:rsidRPr="0030689B">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27(8), pp.877–882.</w:t>
      </w:r>
    </w:p>
    <w:p w14:paraId="575393FF" w14:textId="3ABFDBE6" w:rsidR="001658D0" w:rsidRPr="0030689B" w:rsidRDefault="007B06E7" w:rsidP="00D05FA8">
      <w:pPr>
        <w:pStyle w:val="ListParagraph"/>
        <w:numPr>
          <w:ilvl w:val="0"/>
          <w:numId w:val="15"/>
        </w:numPr>
        <w:spacing w:after="240" w:line="360" w:lineRule="auto"/>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689B">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Office of National Statistics (2020). </w:t>
      </w:r>
      <w:r w:rsidRPr="0030689B">
        <w:rPr>
          <w:rFonts w:ascii="Arial" w:eastAsia="Times New Roman" w:hAnsi="Arial" w:cs="Arial"/>
          <w:i/>
          <w:iCs/>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Home - Office for National Statistics</w:t>
      </w:r>
      <w:r w:rsidRPr="0030689B">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Ons.gov.uk. Available at: </w:t>
      </w:r>
      <w:hyperlink r:id="rId8" w:history="1">
        <w:r w:rsidRPr="0030689B">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https://www.ons.gov.uk/</w:t>
        </w:r>
      </w:hyperlink>
    </w:p>
    <w:p w14:paraId="7E085B79" w14:textId="77777777" w:rsidR="00010D4D" w:rsidRPr="0030689B" w:rsidRDefault="00010D4D" w:rsidP="00010D4D">
      <w:pPr>
        <w:numPr>
          <w:ilvl w:val="0"/>
          <w:numId w:val="15"/>
        </w:numPr>
        <w:spacing w:after="240" w:line="360" w:lineRule="auto"/>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689B">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Towerhamlets.gov.uk. (2019). </w:t>
      </w:r>
      <w:r w:rsidRPr="0030689B">
        <w:rPr>
          <w:rFonts w:ascii="Arial" w:eastAsia="Times New Roman" w:hAnsi="Arial" w:cs="Arial"/>
          <w:i/>
          <w:iCs/>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Home</w:t>
      </w:r>
      <w:r w:rsidRPr="0030689B">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https://www.towerhamlets.gov.uk.</w:t>
      </w:r>
    </w:p>
    <w:p w14:paraId="4755AC59" w14:textId="77777777" w:rsidR="00196839" w:rsidRPr="0030689B" w:rsidRDefault="00196839" w:rsidP="00196839">
      <w:pPr>
        <w:pStyle w:val="ListParagraph"/>
        <w:numPr>
          <w:ilvl w:val="0"/>
          <w:numId w:val="15"/>
        </w:numPr>
        <w:spacing w:after="240" w:line="360" w:lineRule="auto"/>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689B">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www.mithn.org.uk. (2018). </w:t>
      </w:r>
      <w:r w:rsidRPr="0030689B">
        <w:rPr>
          <w:rFonts w:ascii="Arial" w:eastAsia="Times New Roman" w:hAnsi="Arial" w:cs="Arial"/>
          <w:i/>
          <w:iCs/>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Mind in Tower Hamlets and Newham</w:t>
      </w:r>
      <w:r w:rsidRPr="0030689B">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https://www.mithn.org.uk [Accessed 11 Jan. 2022].</w:t>
      </w:r>
    </w:p>
    <w:p w14:paraId="174E9641" w14:textId="77777777" w:rsidR="0030689B" w:rsidRPr="0030689B" w:rsidRDefault="0030689B" w:rsidP="0030689B">
      <w:pPr>
        <w:pStyle w:val="ListParagraph"/>
        <w:numPr>
          <w:ilvl w:val="0"/>
          <w:numId w:val="15"/>
        </w:numPr>
        <w:spacing w:after="240" w:line="360" w:lineRule="auto"/>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689B">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Wiley.com. (2019). </w:t>
      </w:r>
      <w:r w:rsidRPr="0030689B">
        <w:rPr>
          <w:rFonts w:ascii="Arial" w:eastAsia="Times New Roman" w:hAnsi="Arial" w:cs="Arial"/>
          <w:i/>
          <w:iCs/>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Wiley Online Library | Scientific research articles, journals, books, and reference works</w:t>
      </w:r>
      <w:r w:rsidRPr="0030689B">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https://onlinelibrary.wiley.com/.</w:t>
      </w:r>
    </w:p>
    <w:p w14:paraId="06AB8B36" w14:textId="77777777" w:rsidR="00010D4D" w:rsidRPr="0030689B" w:rsidRDefault="00010D4D" w:rsidP="0030689B">
      <w:pPr>
        <w:spacing w:after="240" w:line="360" w:lineRule="auto"/>
        <w:ind w:left="360"/>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630A45" w14:textId="77777777" w:rsidR="004114BE" w:rsidRPr="00F03A63" w:rsidRDefault="004114BE" w:rsidP="00543291">
      <w:pPr>
        <w:spacing w:after="240" w:line="360" w:lineRule="auto"/>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603EC7" w14:textId="77777777" w:rsidR="00F03A63" w:rsidRPr="007E1F81" w:rsidRDefault="00CD6C60" w:rsidP="004114BE">
      <w:pPr>
        <w:suppressAutoHyphens/>
        <w:autoSpaceDN w:val="0"/>
        <w:spacing w:after="240" w:line="360" w:lineRule="auto"/>
        <w:contextualSpacing/>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C0B066" w14:textId="77777777" w:rsidR="00635FE9" w:rsidRDefault="00635FE9" w:rsidP="007E1F81">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E1244D" w14:textId="3323C78C" w:rsidR="00181CFD" w:rsidRPr="00181CFD" w:rsidRDefault="00181CFD" w:rsidP="00181CFD">
      <w:pPr>
        <w:suppressAutoHyphens/>
        <w:autoSpaceDN w:val="0"/>
        <w:spacing w:after="240" w:line="360" w:lineRule="auto"/>
        <w:ind w:left="4680"/>
        <w:jc w:val="center"/>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58B094" w14:textId="77777777" w:rsidR="004830C9" w:rsidRDefault="004830C9" w:rsidP="00C263C3">
      <w:pPr>
        <w:jc w:val="bot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4830C9" w:rsidSect="004448F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C7747"/>
    <w:multiLevelType w:val="hybridMultilevel"/>
    <w:tmpl w:val="1AE65FB2"/>
    <w:lvl w:ilvl="0" w:tplc="0809000F">
      <w:start w:val="1"/>
      <w:numFmt w:val="decimal"/>
      <w:lvlText w:val="%1."/>
      <w:lvlJc w:val="left"/>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123C33"/>
    <w:multiLevelType w:val="hybridMultilevel"/>
    <w:tmpl w:val="850C8356"/>
    <w:lvl w:ilvl="0" w:tplc="0809000F">
      <w:start w:val="1"/>
      <w:numFmt w:val="decimal"/>
      <w:lvlText w:val="%1."/>
      <w:lvlJc w:val="left"/>
      <w:pPr>
        <w:ind w:left="720" w:hanging="360"/>
      </w:pPr>
    </w:lvl>
    <w:lvl w:ilvl="1" w:tplc="08090019">
      <w:start w:val="1"/>
      <w:numFmt w:val="lowerLetter"/>
      <w:lvlText w:val="%2."/>
      <w:lvlJc w:val="left"/>
      <w:pPr>
        <w:ind w:left="36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BE4A79"/>
    <w:multiLevelType w:val="hybridMultilevel"/>
    <w:tmpl w:val="094C12D6"/>
    <w:lvl w:ilvl="0" w:tplc="FFFFFFFF">
      <w:start w:val="1"/>
      <w:numFmt w:val="decimal"/>
      <w:lvlText w:val="%1."/>
      <w:lvlJc w:val="left"/>
      <w:rPr>
        <w:rFonts w:hint="default"/>
      </w:rPr>
    </w:lvl>
    <w:lvl w:ilvl="1" w:tplc="FFFFFFFF">
      <w:start w:val="1"/>
      <w:numFmt w:val="decimal"/>
      <w:lvlText w:val="%2."/>
      <w:lvlJc w:val="left"/>
      <w:rPr>
        <w:rFont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A1A207A"/>
    <w:multiLevelType w:val="hybridMultilevel"/>
    <w:tmpl w:val="50C06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683BB8"/>
    <w:multiLevelType w:val="hybridMultilevel"/>
    <w:tmpl w:val="94F855EE"/>
    <w:lvl w:ilvl="0" w:tplc="10669470">
      <w:start w:val="1"/>
      <w:numFmt w:val="bullet"/>
      <w:lvlText w:val=""/>
      <w:lvlJc w:val="left"/>
      <w:pPr>
        <w:tabs>
          <w:tab w:val="num" w:pos="720"/>
        </w:tabs>
        <w:ind w:left="720" w:hanging="360"/>
      </w:pPr>
      <w:rPr>
        <w:rFonts w:ascii="Wingdings 3" w:hAnsi="Wingdings 3" w:hint="default"/>
      </w:rPr>
    </w:lvl>
    <w:lvl w:ilvl="1" w:tplc="2F007374" w:tentative="1">
      <w:start w:val="1"/>
      <w:numFmt w:val="bullet"/>
      <w:lvlText w:val=""/>
      <w:lvlJc w:val="left"/>
      <w:pPr>
        <w:tabs>
          <w:tab w:val="num" w:pos="1440"/>
        </w:tabs>
        <w:ind w:left="1440" w:hanging="360"/>
      </w:pPr>
      <w:rPr>
        <w:rFonts w:ascii="Wingdings 3" w:hAnsi="Wingdings 3" w:hint="default"/>
      </w:rPr>
    </w:lvl>
    <w:lvl w:ilvl="2" w:tplc="ADCAC5A8" w:tentative="1">
      <w:start w:val="1"/>
      <w:numFmt w:val="bullet"/>
      <w:lvlText w:val=""/>
      <w:lvlJc w:val="left"/>
      <w:pPr>
        <w:tabs>
          <w:tab w:val="num" w:pos="2160"/>
        </w:tabs>
        <w:ind w:left="2160" w:hanging="360"/>
      </w:pPr>
      <w:rPr>
        <w:rFonts w:ascii="Wingdings 3" w:hAnsi="Wingdings 3" w:hint="default"/>
      </w:rPr>
    </w:lvl>
    <w:lvl w:ilvl="3" w:tplc="305C951A" w:tentative="1">
      <w:start w:val="1"/>
      <w:numFmt w:val="bullet"/>
      <w:lvlText w:val=""/>
      <w:lvlJc w:val="left"/>
      <w:pPr>
        <w:tabs>
          <w:tab w:val="num" w:pos="2880"/>
        </w:tabs>
        <w:ind w:left="2880" w:hanging="360"/>
      </w:pPr>
      <w:rPr>
        <w:rFonts w:ascii="Wingdings 3" w:hAnsi="Wingdings 3" w:hint="default"/>
      </w:rPr>
    </w:lvl>
    <w:lvl w:ilvl="4" w:tplc="71D45E8E" w:tentative="1">
      <w:start w:val="1"/>
      <w:numFmt w:val="bullet"/>
      <w:lvlText w:val=""/>
      <w:lvlJc w:val="left"/>
      <w:pPr>
        <w:tabs>
          <w:tab w:val="num" w:pos="3600"/>
        </w:tabs>
        <w:ind w:left="3600" w:hanging="360"/>
      </w:pPr>
      <w:rPr>
        <w:rFonts w:ascii="Wingdings 3" w:hAnsi="Wingdings 3" w:hint="default"/>
      </w:rPr>
    </w:lvl>
    <w:lvl w:ilvl="5" w:tplc="DDA0E46A" w:tentative="1">
      <w:start w:val="1"/>
      <w:numFmt w:val="bullet"/>
      <w:lvlText w:val=""/>
      <w:lvlJc w:val="left"/>
      <w:pPr>
        <w:tabs>
          <w:tab w:val="num" w:pos="4320"/>
        </w:tabs>
        <w:ind w:left="4320" w:hanging="360"/>
      </w:pPr>
      <w:rPr>
        <w:rFonts w:ascii="Wingdings 3" w:hAnsi="Wingdings 3" w:hint="default"/>
      </w:rPr>
    </w:lvl>
    <w:lvl w:ilvl="6" w:tplc="53D0CC9C" w:tentative="1">
      <w:start w:val="1"/>
      <w:numFmt w:val="bullet"/>
      <w:lvlText w:val=""/>
      <w:lvlJc w:val="left"/>
      <w:pPr>
        <w:tabs>
          <w:tab w:val="num" w:pos="5040"/>
        </w:tabs>
        <w:ind w:left="5040" w:hanging="360"/>
      </w:pPr>
      <w:rPr>
        <w:rFonts w:ascii="Wingdings 3" w:hAnsi="Wingdings 3" w:hint="default"/>
      </w:rPr>
    </w:lvl>
    <w:lvl w:ilvl="7" w:tplc="20FA6BCC" w:tentative="1">
      <w:start w:val="1"/>
      <w:numFmt w:val="bullet"/>
      <w:lvlText w:val=""/>
      <w:lvlJc w:val="left"/>
      <w:pPr>
        <w:tabs>
          <w:tab w:val="num" w:pos="5760"/>
        </w:tabs>
        <w:ind w:left="5760" w:hanging="360"/>
      </w:pPr>
      <w:rPr>
        <w:rFonts w:ascii="Wingdings 3" w:hAnsi="Wingdings 3" w:hint="default"/>
      </w:rPr>
    </w:lvl>
    <w:lvl w:ilvl="8" w:tplc="EC80B3F0"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2FC7111F"/>
    <w:multiLevelType w:val="hybridMultilevel"/>
    <w:tmpl w:val="2556CFF0"/>
    <w:lvl w:ilvl="0" w:tplc="0809000F">
      <w:start w:val="1"/>
      <w:numFmt w:val="decimal"/>
      <w:lvlText w:val="%1."/>
      <w:lvlJc w:val="left"/>
      <w:pPr>
        <w:ind w:left="1077" w:hanging="360"/>
      </w:pPr>
    </w:lvl>
    <w:lvl w:ilvl="1" w:tplc="08090019" w:tentative="1">
      <w:start w:val="1"/>
      <w:numFmt w:val="lowerLetter"/>
      <w:lvlText w:val="%2."/>
      <w:lvlJc w:val="left"/>
      <w:pPr>
        <w:ind w:left="1797" w:hanging="360"/>
      </w:pPr>
    </w:lvl>
    <w:lvl w:ilvl="2" w:tplc="0809001B" w:tentative="1">
      <w:start w:val="1"/>
      <w:numFmt w:val="lowerRoman"/>
      <w:lvlText w:val="%3."/>
      <w:lvlJc w:val="right"/>
      <w:pPr>
        <w:ind w:left="2517" w:hanging="180"/>
      </w:pPr>
    </w:lvl>
    <w:lvl w:ilvl="3" w:tplc="0809000F" w:tentative="1">
      <w:start w:val="1"/>
      <w:numFmt w:val="decimal"/>
      <w:lvlText w:val="%4."/>
      <w:lvlJc w:val="left"/>
      <w:pPr>
        <w:ind w:left="3237" w:hanging="360"/>
      </w:pPr>
    </w:lvl>
    <w:lvl w:ilvl="4" w:tplc="08090019" w:tentative="1">
      <w:start w:val="1"/>
      <w:numFmt w:val="lowerLetter"/>
      <w:lvlText w:val="%5."/>
      <w:lvlJc w:val="left"/>
      <w:pPr>
        <w:ind w:left="3957" w:hanging="360"/>
      </w:pPr>
    </w:lvl>
    <w:lvl w:ilvl="5" w:tplc="0809001B" w:tentative="1">
      <w:start w:val="1"/>
      <w:numFmt w:val="lowerRoman"/>
      <w:lvlText w:val="%6."/>
      <w:lvlJc w:val="right"/>
      <w:pPr>
        <w:ind w:left="4677" w:hanging="180"/>
      </w:pPr>
    </w:lvl>
    <w:lvl w:ilvl="6" w:tplc="0809000F" w:tentative="1">
      <w:start w:val="1"/>
      <w:numFmt w:val="decimal"/>
      <w:lvlText w:val="%7."/>
      <w:lvlJc w:val="left"/>
      <w:pPr>
        <w:ind w:left="5397" w:hanging="360"/>
      </w:pPr>
    </w:lvl>
    <w:lvl w:ilvl="7" w:tplc="08090019" w:tentative="1">
      <w:start w:val="1"/>
      <w:numFmt w:val="lowerLetter"/>
      <w:lvlText w:val="%8."/>
      <w:lvlJc w:val="left"/>
      <w:pPr>
        <w:ind w:left="6117" w:hanging="360"/>
      </w:pPr>
    </w:lvl>
    <w:lvl w:ilvl="8" w:tplc="0809001B" w:tentative="1">
      <w:start w:val="1"/>
      <w:numFmt w:val="lowerRoman"/>
      <w:lvlText w:val="%9."/>
      <w:lvlJc w:val="right"/>
      <w:pPr>
        <w:ind w:left="6837" w:hanging="180"/>
      </w:pPr>
    </w:lvl>
  </w:abstractNum>
  <w:abstractNum w:abstractNumId="6" w15:restartNumberingAfterBreak="0">
    <w:nsid w:val="2FC970B2"/>
    <w:multiLevelType w:val="hybridMultilevel"/>
    <w:tmpl w:val="699AA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9A25B2"/>
    <w:multiLevelType w:val="hybridMultilevel"/>
    <w:tmpl w:val="A170A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505140"/>
    <w:multiLevelType w:val="hybridMultilevel"/>
    <w:tmpl w:val="71880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65726E"/>
    <w:multiLevelType w:val="hybridMultilevel"/>
    <w:tmpl w:val="65C0FE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911A3A"/>
    <w:multiLevelType w:val="hybridMultilevel"/>
    <w:tmpl w:val="C43E1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5B76A0"/>
    <w:multiLevelType w:val="hybridMultilevel"/>
    <w:tmpl w:val="1AE65FB2"/>
    <w:lvl w:ilvl="0" w:tplc="FFFFFFFF">
      <w:start w:val="1"/>
      <w:numFmt w:val="decimal"/>
      <w:lvlText w:val="%1."/>
      <w:lvlJc w:val="left"/>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6FA9062D"/>
    <w:multiLevelType w:val="hybridMultilevel"/>
    <w:tmpl w:val="C1241F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40214D"/>
    <w:multiLevelType w:val="hybridMultilevel"/>
    <w:tmpl w:val="8C6C7E2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BFB125D"/>
    <w:multiLevelType w:val="hybridMultilevel"/>
    <w:tmpl w:val="5A00109E"/>
    <w:lvl w:ilvl="0" w:tplc="0809000F">
      <w:start w:val="1"/>
      <w:numFmt w:val="decimal"/>
      <w:lvlText w:val="%1."/>
      <w:lvlJc w:val="left"/>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8"/>
  </w:num>
  <w:num w:numId="3">
    <w:abstractNumId w:val="6"/>
  </w:num>
  <w:num w:numId="4">
    <w:abstractNumId w:val="3"/>
  </w:num>
  <w:num w:numId="5">
    <w:abstractNumId w:val="5"/>
  </w:num>
  <w:num w:numId="6">
    <w:abstractNumId w:val="4"/>
  </w:num>
  <w:num w:numId="7">
    <w:abstractNumId w:val="14"/>
  </w:num>
  <w:num w:numId="8">
    <w:abstractNumId w:val="13"/>
  </w:num>
  <w:num w:numId="9">
    <w:abstractNumId w:val="1"/>
  </w:num>
  <w:num w:numId="10">
    <w:abstractNumId w:val="9"/>
  </w:num>
  <w:num w:numId="11">
    <w:abstractNumId w:val="0"/>
  </w:num>
  <w:num w:numId="12">
    <w:abstractNumId w:val="11"/>
  </w:num>
  <w:num w:numId="13">
    <w:abstractNumId w:val="10"/>
  </w:num>
  <w:num w:numId="14">
    <w:abstractNumId w:val="2"/>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F71"/>
    <w:rsid w:val="00010D4D"/>
    <w:rsid w:val="00013235"/>
    <w:rsid w:val="000169F8"/>
    <w:rsid w:val="00017FB5"/>
    <w:rsid w:val="00040580"/>
    <w:rsid w:val="00040FD7"/>
    <w:rsid w:val="00047C99"/>
    <w:rsid w:val="00052693"/>
    <w:rsid w:val="00070239"/>
    <w:rsid w:val="00070EA0"/>
    <w:rsid w:val="00074711"/>
    <w:rsid w:val="000928CF"/>
    <w:rsid w:val="00093FD1"/>
    <w:rsid w:val="00094476"/>
    <w:rsid w:val="00095426"/>
    <w:rsid w:val="000C5318"/>
    <w:rsid w:val="000E3055"/>
    <w:rsid w:val="00125626"/>
    <w:rsid w:val="00133E94"/>
    <w:rsid w:val="00137983"/>
    <w:rsid w:val="001513BB"/>
    <w:rsid w:val="0015577A"/>
    <w:rsid w:val="00164FE1"/>
    <w:rsid w:val="001658D0"/>
    <w:rsid w:val="00174161"/>
    <w:rsid w:val="00174C13"/>
    <w:rsid w:val="00181CFD"/>
    <w:rsid w:val="00196839"/>
    <w:rsid w:val="00222AE7"/>
    <w:rsid w:val="0022677C"/>
    <w:rsid w:val="002459DB"/>
    <w:rsid w:val="00252133"/>
    <w:rsid w:val="00281DC8"/>
    <w:rsid w:val="0029109F"/>
    <w:rsid w:val="002C2864"/>
    <w:rsid w:val="002D3FF9"/>
    <w:rsid w:val="002E7157"/>
    <w:rsid w:val="002E7B9F"/>
    <w:rsid w:val="002F03F5"/>
    <w:rsid w:val="002F2E9E"/>
    <w:rsid w:val="002F4E1C"/>
    <w:rsid w:val="0030689B"/>
    <w:rsid w:val="0031793F"/>
    <w:rsid w:val="00332A3F"/>
    <w:rsid w:val="00337126"/>
    <w:rsid w:val="00343CC3"/>
    <w:rsid w:val="0035153E"/>
    <w:rsid w:val="00376C6E"/>
    <w:rsid w:val="0038430F"/>
    <w:rsid w:val="003C05E8"/>
    <w:rsid w:val="003C3D0C"/>
    <w:rsid w:val="003E0FA7"/>
    <w:rsid w:val="004114BE"/>
    <w:rsid w:val="00420C4F"/>
    <w:rsid w:val="00440F29"/>
    <w:rsid w:val="004429F4"/>
    <w:rsid w:val="004448FC"/>
    <w:rsid w:val="00452A39"/>
    <w:rsid w:val="00463941"/>
    <w:rsid w:val="00477179"/>
    <w:rsid w:val="00482014"/>
    <w:rsid w:val="004830C9"/>
    <w:rsid w:val="004F1F7E"/>
    <w:rsid w:val="00502A68"/>
    <w:rsid w:val="00534327"/>
    <w:rsid w:val="005410B2"/>
    <w:rsid w:val="00543291"/>
    <w:rsid w:val="005B30C1"/>
    <w:rsid w:val="005D4486"/>
    <w:rsid w:val="00600805"/>
    <w:rsid w:val="00603899"/>
    <w:rsid w:val="00635FE9"/>
    <w:rsid w:val="006404E6"/>
    <w:rsid w:val="00662462"/>
    <w:rsid w:val="006641B0"/>
    <w:rsid w:val="00672357"/>
    <w:rsid w:val="00697DF1"/>
    <w:rsid w:val="006F19EC"/>
    <w:rsid w:val="00704D4C"/>
    <w:rsid w:val="0071142F"/>
    <w:rsid w:val="00723F07"/>
    <w:rsid w:val="00730D3E"/>
    <w:rsid w:val="007609C0"/>
    <w:rsid w:val="00761990"/>
    <w:rsid w:val="007656C1"/>
    <w:rsid w:val="00773C18"/>
    <w:rsid w:val="007760BC"/>
    <w:rsid w:val="007A7F71"/>
    <w:rsid w:val="007B06E7"/>
    <w:rsid w:val="007B56BB"/>
    <w:rsid w:val="007D752C"/>
    <w:rsid w:val="007D7C79"/>
    <w:rsid w:val="007E03B5"/>
    <w:rsid w:val="007E1F81"/>
    <w:rsid w:val="007E5CE4"/>
    <w:rsid w:val="008018DC"/>
    <w:rsid w:val="008070E3"/>
    <w:rsid w:val="008176E4"/>
    <w:rsid w:val="00823265"/>
    <w:rsid w:val="0083267C"/>
    <w:rsid w:val="008328B6"/>
    <w:rsid w:val="00846CF6"/>
    <w:rsid w:val="00854A48"/>
    <w:rsid w:val="00871246"/>
    <w:rsid w:val="0087175B"/>
    <w:rsid w:val="008847C2"/>
    <w:rsid w:val="0089061A"/>
    <w:rsid w:val="008A2BBB"/>
    <w:rsid w:val="008D5097"/>
    <w:rsid w:val="008D531F"/>
    <w:rsid w:val="008E1FFA"/>
    <w:rsid w:val="008E3E64"/>
    <w:rsid w:val="00900437"/>
    <w:rsid w:val="00900A22"/>
    <w:rsid w:val="0091416C"/>
    <w:rsid w:val="00940D0C"/>
    <w:rsid w:val="00967512"/>
    <w:rsid w:val="0097636C"/>
    <w:rsid w:val="009C630A"/>
    <w:rsid w:val="009E3071"/>
    <w:rsid w:val="00A02E95"/>
    <w:rsid w:val="00A13FE0"/>
    <w:rsid w:val="00A6665E"/>
    <w:rsid w:val="00A8673C"/>
    <w:rsid w:val="00A96654"/>
    <w:rsid w:val="00AA0AEC"/>
    <w:rsid w:val="00AC4A30"/>
    <w:rsid w:val="00AD25BB"/>
    <w:rsid w:val="00AE28D7"/>
    <w:rsid w:val="00AF6201"/>
    <w:rsid w:val="00BA3D44"/>
    <w:rsid w:val="00BB11D7"/>
    <w:rsid w:val="00BB68FC"/>
    <w:rsid w:val="00BD7C52"/>
    <w:rsid w:val="00BE7552"/>
    <w:rsid w:val="00C0102F"/>
    <w:rsid w:val="00C078CF"/>
    <w:rsid w:val="00C10CC0"/>
    <w:rsid w:val="00C240A3"/>
    <w:rsid w:val="00C263C3"/>
    <w:rsid w:val="00C37D8C"/>
    <w:rsid w:val="00C37EBE"/>
    <w:rsid w:val="00C766FE"/>
    <w:rsid w:val="00C936B9"/>
    <w:rsid w:val="00CC31E2"/>
    <w:rsid w:val="00CC4A93"/>
    <w:rsid w:val="00CD3F3D"/>
    <w:rsid w:val="00CD6C60"/>
    <w:rsid w:val="00CF28AA"/>
    <w:rsid w:val="00D05FA8"/>
    <w:rsid w:val="00D07E2C"/>
    <w:rsid w:val="00D16D44"/>
    <w:rsid w:val="00D20CB5"/>
    <w:rsid w:val="00D73B8F"/>
    <w:rsid w:val="00D81675"/>
    <w:rsid w:val="00D8647E"/>
    <w:rsid w:val="00D97AD4"/>
    <w:rsid w:val="00DA2316"/>
    <w:rsid w:val="00DA2964"/>
    <w:rsid w:val="00DA393A"/>
    <w:rsid w:val="00DB6EDA"/>
    <w:rsid w:val="00DD05D0"/>
    <w:rsid w:val="00DD6001"/>
    <w:rsid w:val="00DF6388"/>
    <w:rsid w:val="00E2618D"/>
    <w:rsid w:val="00E27730"/>
    <w:rsid w:val="00E27E25"/>
    <w:rsid w:val="00E44F19"/>
    <w:rsid w:val="00E66164"/>
    <w:rsid w:val="00E71876"/>
    <w:rsid w:val="00E726E5"/>
    <w:rsid w:val="00E80D02"/>
    <w:rsid w:val="00E9102F"/>
    <w:rsid w:val="00E927B3"/>
    <w:rsid w:val="00EC1647"/>
    <w:rsid w:val="00EF24D6"/>
    <w:rsid w:val="00EF52F5"/>
    <w:rsid w:val="00EF75FE"/>
    <w:rsid w:val="00EF7658"/>
    <w:rsid w:val="00F03361"/>
    <w:rsid w:val="00F065B3"/>
    <w:rsid w:val="00F2191E"/>
    <w:rsid w:val="00F23CE9"/>
    <w:rsid w:val="00F24032"/>
    <w:rsid w:val="00F527F6"/>
    <w:rsid w:val="00F54DA8"/>
    <w:rsid w:val="00F61870"/>
    <w:rsid w:val="00F77820"/>
    <w:rsid w:val="00F86DFB"/>
    <w:rsid w:val="00FF1A4B"/>
    <w:rsid w:val="00FF41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11483"/>
  <w15:chartTrackingRefBased/>
  <w15:docId w15:val="{5EDDAD46-B7FF-470F-B20B-6B216F9705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5CE4"/>
  </w:style>
  <w:style w:type="paragraph" w:styleId="Heading1">
    <w:name w:val="heading 1"/>
    <w:basedOn w:val="Normal"/>
    <w:next w:val="Normal"/>
    <w:link w:val="Heading1Char"/>
    <w:uiPriority w:val="9"/>
    <w:qFormat/>
    <w:rsid w:val="00E44F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B11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81675"/>
    <w:pPr>
      <w:ind w:left="720"/>
      <w:contextualSpacing/>
    </w:pPr>
  </w:style>
  <w:style w:type="character" w:styleId="Hyperlink">
    <w:name w:val="Hyperlink"/>
    <w:basedOn w:val="DefaultParagraphFont"/>
    <w:uiPriority w:val="99"/>
    <w:unhideWhenUsed/>
    <w:rsid w:val="00CD3F3D"/>
    <w:rPr>
      <w:color w:val="0563C1" w:themeColor="hyperlink"/>
      <w:u w:val="single"/>
    </w:rPr>
  </w:style>
  <w:style w:type="character" w:styleId="UnresolvedMention">
    <w:name w:val="Unresolved Mention"/>
    <w:basedOn w:val="DefaultParagraphFont"/>
    <w:uiPriority w:val="99"/>
    <w:semiHidden/>
    <w:unhideWhenUsed/>
    <w:rsid w:val="00CD3F3D"/>
    <w:rPr>
      <w:color w:val="605E5C"/>
      <w:shd w:val="clear" w:color="auto" w:fill="E1DFDD"/>
    </w:rPr>
  </w:style>
  <w:style w:type="paragraph" w:styleId="NoSpacing">
    <w:name w:val="No Spacing"/>
    <w:link w:val="NoSpacingChar"/>
    <w:uiPriority w:val="1"/>
    <w:qFormat/>
    <w:rsid w:val="004448F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448FC"/>
    <w:rPr>
      <w:rFonts w:eastAsiaTheme="minorEastAsia"/>
      <w:lang w:val="en-US"/>
    </w:rPr>
  </w:style>
  <w:style w:type="character" w:customStyle="1" w:styleId="Heading1Char">
    <w:name w:val="Heading 1 Char"/>
    <w:basedOn w:val="DefaultParagraphFont"/>
    <w:link w:val="Heading1"/>
    <w:uiPriority w:val="9"/>
    <w:rsid w:val="00E44F1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44F19"/>
    <w:pPr>
      <w:outlineLvl w:val="9"/>
    </w:pPr>
    <w:rPr>
      <w:lang w:val="en-US"/>
    </w:rPr>
  </w:style>
  <w:style w:type="paragraph" w:styleId="TOC1">
    <w:name w:val="toc 1"/>
    <w:basedOn w:val="Normal"/>
    <w:next w:val="Normal"/>
    <w:autoRedefine/>
    <w:uiPriority w:val="39"/>
    <w:unhideWhenUsed/>
    <w:rsid w:val="00E44F1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399441">
      <w:bodyDiv w:val="1"/>
      <w:marLeft w:val="0"/>
      <w:marRight w:val="0"/>
      <w:marTop w:val="0"/>
      <w:marBottom w:val="0"/>
      <w:divBdr>
        <w:top w:val="none" w:sz="0" w:space="0" w:color="auto"/>
        <w:left w:val="none" w:sz="0" w:space="0" w:color="auto"/>
        <w:bottom w:val="none" w:sz="0" w:space="0" w:color="auto"/>
        <w:right w:val="none" w:sz="0" w:space="0" w:color="auto"/>
      </w:divBdr>
      <w:divsChild>
        <w:div w:id="1466314038">
          <w:marLeft w:val="0"/>
          <w:marRight w:val="0"/>
          <w:marTop w:val="0"/>
          <w:marBottom w:val="0"/>
          <w:divBdr>
            <w:top w:val="none" w:sz="0" w:space="0" w:color="auto"/>
            <w:left w:val="none" w:sz="0" w:space="0" w:color="auto"/>
            <w:bottom w:val="none" w:sz="0" w:space="0" w:color="auto"/>
            <w:right w:val="none" w:sz="0" w:space="0" w:color="auto"/>
          </w:divBdr>
        </w:div>
      </w:divsChild>
    </w:div>
    <w:div w:id="402145128">
      <w:bodyDiv w:val="1"/>
      <w:marLeft w:val="0"/>
      <w:marRight w:val="0"/>
      <w:marTop w:val="0"/>
      <w:marBottom w:val="0"/>
      <w:divBdr>
        <w:top w:val="none" w:sz="0" w:space="0" w:color="auto"/>
        <w:left w:val="none" w:sz="0" w:space="0" w:color="auto"/>
        <w:bottom w:val="none" w:sz="0" w:space="0" w:color="auto"/>
        <w:right w:val="none" w:sz="0" w:space="0" w:color="auto"/>
      </w:divBdr>
      <w:divsChild>
        <w:div w:id="1106536095">
          <w:marLeft w:val="0"/>
          <w:marRight w:val="0"/>
          <w:marTop w:val="0"/>
          <w:marBottom w:val="0"/>
          <w:divBdr>
            <w:top w:val="none" w:sz="0" w:space="0" w:color="auto"/>
            <w:left w:val="none" w:sz="0" w:space="0" w:color="auto"/>
            <w:bottom w:val="none" w:sz="0" w:space="0" w:color="auto"/>
            <w:right w:val="none" w:sz="0" w:space="0" w:color="auto"/>
          </w:divBdr>
        </w:div>
      </w:divsChild>
    </w:div>
    <w:div w:id="713581280">
      <w:bodyDiv w:val="1"/>
      <w:marLeft w:val="0"/>
      <w:marRight w:val="0"/>
      <w:marTop w:val="0"/>
      <w:marBottom w:val="0"/>
      <w:divBdr>
        <w:top w:val="none" w:sz="0" w:space="0" w:color="auto"/>
        <w:left w:val="none" w:sz="0" w:space="0" w:color="auto"/>
        <w:bottom w:val="none" w:sz="0" w:space="0" w:color="auto"/>
        <w:right w:val="none" w:sz="0" w:space="0" w:color="auto"/>
      </w:divBdr>
      <w:divsChild>
        <w:div w:id="981544707">
          <w:marLeft w:val="0"/>
          <w:marRight w:val="0"/>
          <w:marTop w:val="0"/>
          <w:marBottom w:val="0"/>
          <w:divBdr>
            <w:top w:val="none" w:sz="0" w:space="0" w:color="auto"/>
            <w:left w:val="none" w:sz="0" w:space="0" w:color="auto"/>
            <w:bottom w:val="none" w:sz="0" w:space="0" w:color="auto"/>
            <w:right w:val="none" w:sz="0" w:space="0" w:color="auto"/>
          </w:divBdr>
        </w:div>
      </w:divsChild>
    </w:div>
    <w:div w:id="743914175">
      <w:bodyDiv w:val="1"/>
      <w:marLeft w:val="0"/>
      <w:marRight w:val="0"/>
      <w:marTop w:val="0"/>
      <w:marBottom w:val="0"/>
      <w:divBdr>
        <w:top w:val="none" w:sz="0" w:space="0" w:color="auto"/>
        <w:left w:val="none" w:sz="0" w:space="0" w:color="auto"/>
        <w:bottom w:val="none" w:sz="0" w:space="0" w:color="auto"/>
        <w:right w:val="none" w:sz="0" w:space="0" w:color="auto"/>
      </w:divBdr>
      <w:divsChild>
        <w:div w:id="188883034">
          <w:marLeft w:val="0"/>
          <w:marRight w:val="0"/>
          <w:marTop w:val="0"/>
          <w:marBottom w:val="0"/>
          <w:divBdr>
            <w:top w:val="none" w:sz="0" w:space="0" w:color="auto"/>
            <w:left w:val="none" w:sz="0" w:space="0" w:color="auto"/>
            <w:bottom w:val="none" w:sz="0" w:space="0" w:color="auto"/>
            <w:right w:val="none" w:sz="0" w:space="0" w:color="auto"/>
          </w:divBdr>
        </w:div>
      </w:divsChild>
    </w:div>
    <w:div w:id="1003707330">
      <w:bodyDiv w:val="1"/>
      <w:marLeft w:val="0"/>
      <w:marRight w:val="0"/>
      <w:marTop w:val="0"/>
      <w:marBottom w:val="0"/>
      <w:divBdr>
        <w:top w:val="none" w:sz="0" w:space="0" w:color="auto"/>
        <w:left w:val="none" w:sz="0" w:space="0" w:color="auto"/>
        <w:bottom w:val="none" w:sz="0" w:space="0" w:color="auto"/>
        <w:right w:val="none" w:sz="0" w:space="0" w:color="auto"/>
      </w:divBdr>
      <w:divsChild>
        <w:div w:id="1159810996">
          <w:marLeft w:val="0"/>
          <w:marRight w:val="0"/>
          <w:marTop w:val="0"/>
          <w:marBottom w:val="0"/>
          <w:divBdr>
            <w:top w:val="none" w:sz="0" w:space="0" w:color="auto"/>
            <w:left w:val="none" w:sz="0" w:space="0" w:color="auto"/>
            <w:bottom w:val="none" w:sz="0" w:space="0" w:color="auto"/>
            <w:right w:val="none" w:sz="0" w:space="0" w:color="auto"/>
          </w:divBdr>
        </w:div>
      </w:divsChild>
    </w:div>
    <w:div w:id="1082145721">
      <w:bodyDiv w:val="1"/>
      <w:marLeft w:val="0"/>
      <w:marRight w:val="0"/>
      <w:marTop w:val="0"/>
      <w:marBottom w:val="0"/>
      <w:divBdr>
        <w:top w:val="none" w:sz="0" w:space="0" w:color="auto"/>
        <w:left w:val="none" w:sz="0" w:space="0" w:color="auto"/>
        <w:bottom w:val="none" w:sz="0" w:space="0" w:color="auto"/>
        <w:right w:val="none" w:sz="0" w:space="0" w:color="auto"/>
      </w:divBdr>
      <w:divsChild>
        <w:div w:id="928539320">
          <w:marLeft w:val="0"/>
          <w:marRight w:val="0"/>
          <w:marTop w:val="0"/>
          <w:marBottom w:val="0"/>
          <w:divBdr>
            <w:top w:val="none" w:sz="0" w:space="0" w:color="auto"/>
            <w:left w:val="none" w:sz="0" w:space="0" w:color="auto"/>
            <w:bottom w:val="none" w:sz="0" w:space="0" w:color="auto"/>
            <w:right w:val="none" w:sz="0" w:space="0" w:color="auto"/>
          </w:divBdr>
        </w:div>
      </w:divsChild>
    </w:div>
    <w:div w:id="1288508308">
      <w:bodyDiv w:val="1"/>
      <w:marLeft w:val="0"/>
      <w:marRight w:val="0"/>
      <w:marTop w:val="0"/>
      <w:marBottom w:val="0"/>
      <w:divBdr>
        <w:top w:val="none" w:sz="0" w:space="0" w:color="auto"/>
        <w:left w:val="none" w:sz="0" w:space="0" w:color="auto"/>
        <w:bottom w:val="none" w:sz="0" w:space="0" w:color="auto"/>
        <w:right w:val="none" w:sz="0" w:space="0" w:color="auto"/>
      </w:divBdr>
      <w:divsChild>
        <w:div w:id="2035762076">
          <w:marLeft w:val="0"/>
          <w:marRight w:val="0"/>
          <w:marTop w:val="0"/>
          <w:marBottom w:val="0"/>
          <w:divBdr>
            <w:top w:val="none" w:sz="0" w:space="0" w:color="auto"/>
            <w:left w:val="none" w:sz="0" w:space="0" w:color="auto"/>
            <w:bottom w:val="none" w:sz="0" w:space="0" w:color="auto"/>
            <w:right w:val="none" w:sz="0" w:space="0" w:color="auto"/>
          </w:divBdr>
        </w:div>
      </w:divsChild>
    </w:div>
    <w:div w:id="1313635741">
      <w:bodyDiv w:val="1"/>
      <w:marLeft w:val="0"/>
      <w:marRight w:val="0"/>
      <w:marTop w:val="0"/>
      <w:marBottom w:val="0"/>
      <w:divBdr>
        <w:top w:val="none" w:sz="0" w:space="0" w:color="auto"/>
        <w:left w:val="none" w:sz="0" w:space="0" w:color="auto"/>
        <w:bottom w:val="none" w:sz="0" w:space="0" w:color="auto"/>
        <w:right w:val="none" w:sz="0" w:space="0" w:color="auto"/>
      </w:divBdr>
      <w:divsChild>
        <w:div w:id="1813866979">
          <w:marLeft w:val="0"/>
          <w:marRight w:val="0"/>
          <w:marTop w:val="0"/>
          <w:marBottom w:val="0"/>
          <w:divBdr>
            <w:top w:val="none" w:sz="0" w:space="0" w:color="auto"/>
            <w:left w:val="none" w:sz="0" w:space="0" w:color="auto"/>
            <w:bottom w:val="none" w:sz="0" w:space="0" w:color="auto"/>
            <w:right w:val="none" w:sz="0" w:space="0" w:color="auto"/>
          </w:divBdr>
        </w:div>
      </w:divsChild>
    </w:div>
    <w:div w:id="1507090002">
      <w:bodyDiv w:val="1"/>
      <w:marLeft w:val="0"/>
      <w:marRight w:val="0"/>
      <w:marTop w:val="0"/>
      <w:marBottom w:val="0"/>
      <w:divBdr>
        <w:top w:val="none" w:sz="0" w:space="0" w:color="auto"/>
        <w:left w:val="none" w:sz="0" w:space="0" w:color="auto"/>
        <w:bottom w:val="none" w:sz="0" w:space="0" w:color="auto"/>
        <w:right w:val="none" w:sz="0" w:space="0" w:color="auto"/>
      </w:divBdr>
      <w:divsChild>
        <w:div w:id="61874511">
          <w:marLeft w:val="0"/>
          <w:marRight w:val="0"/>
          <w:marTop w:val="0"/>
          <w:marBottom w:val="0"/>
          <w:divBdr>
            <w:top w:val="none" w:sz="0" w:space="0" w:color="auto"/>
            <w:left w:val="none" w:sz="0" w:space="0" w:color="auto"/>
            <w:bottom w:val="none" w:sz="0" w:space="0" w:color="auto"/>
            <w:right w:val="none" w:sz="0" w:space="0" w:color="auto"/>
          </w:divBdr>
        </w:div>
      </w:divsChild>
    </w:div>
    <w:div w:id="1682855887">
      <w:bodyDiv w:val="1"/>
      <w:marLeft w:val="0"/>
      <w:marRight w:val="0"/>
      <w:marTop w:val="0"/>
      <w:marBottom w:val="0"/>
      <w:divBdr>
        <w:top w:val="none" w:sz="0" w:space="0" w:color="auto"/>
        <w:left w:val="none" w:sz="0" w:space="0" w:color="auto"/>
        <w:bottom w:val="none" w:sz="0" w:space="0" w:color="auto"/>
        <w:right w:val="none" w:sz="0" w:space="0" w:color="auto"/>
      </w:divBdr>
      <w:divsChild>
        <w:div w:id="1721905114">
          <w:marLeft w:val="0"/>
          <w:marRight w:val="0"/>
          <w:marTop w:val="0"/>
          <w:marBottom w:val="0"/>
          <w:divBdr>
            <w:top w:val="none" w:sz="0" w:space="0" w:color="auto"/>
            <w:left w:val="none" w:sz="0" w:space="0" w:color="auto"/>
            <w:bottom w:val="none" w:sz="0" w:space="0" w:color="auto"/>
            <w:right w:val="none" w:sz="0" w:space="0" w:color="auto"/>
          </w:divBdr>
        </w:div>
      </w:divsChild>
    </w:div>
    <w:div w:id="1708410277">
      <w:bodyDiv w:val="1"/>
      <w:marLeft w:val="0"/>
      <w:marRight w:val="0"/>
      <w:marTop w:val="0"/>
      <w:marBottom w:val="0"/>
      <w:divBdr>
        <w:top w:val="none" w:sz="0" w:space="0" w:color="auto"/>
        <w:left w:val="none" w:sz="0" w:space="0" w:color="auto"/>
        <w:bottom w:val="none" w:sz="0" w:space="0" w:color="auto"/>
        <w:right w:val="none" w:sz="0" w:space="0" w:color="auto"/>
      </w:divBdr>
      <w:divsChild>
        <w:div w:id="1718429027">
          <w:marLeft w:val="0"/>
          <w:marRight w:val="0"/>
          <w:marTop w:val="0"/>
          <w:marBottom w:val="0"/>
          <w:divBdr>
            <w:top w:val="none" w:sz="0" w:space="0" w:color="auto"/>
            <w:left w:val="none" w:sz="0" w:space="0" w:color="auto"/>
            <w:bottom w:val="none" w:sz="0" w:space="0" w:color="auto"/>
            <w:right w:val="none" w:sz="0" w:space="0" w:color="auto"/>
          </w:divBdr>
        </w:div>
      </w:divsChild>
    </w:div>
    <w:div w:id="1875458783">
      <w:bodyDiv w:val="1"/>
      <w:marLeft w:val="0"/>
      <w:marRight w:val="0"/>
      <w:marTop w:val="0"/>
      <w:marBottom w:val="0"/>
      <w:divBdr>
        <w:top w:val="none" w:sz="0" w:space="0" w:color="auto"/>
        <w:left w:val="none" w:sz="0" w:space="0" w:color="auto"/>
        <w:bottom w:val="none" w:sz="0" w:space="0" w:color="auto"/>
        <w:right w:val="none" w:sz="0" w:space="0" w:color="auto"/>
      </w:divBdr>
      <w:divsChild>
        <w:div w:id="113519882">
          <w:marLeft w:val="547"/>
          <w:marRight w:val="0"/>
          <w:marTop w:val="200"/>
          <w:marBottom w:val="0"/>
          <w:divBdr>
            <w:top w:val="none" w:sz="0" w:space="0" w:color="auto"/>
            <w:left w:val="none" w:sz="0" w:space="0" w:color="auto"/>
            <w:bottom w:val="none" w:sz="0" w:space="0" w:color="auto"/>
            <w:right w:val="none" w:sz="0" w:space="0" w:color="auto"/>
          </w:divBdr>
        </w:div>
      </w:divsChild>
    </w:div>
    <w:div w:id="1910647093">
      <w:bodyDiv w:val="1"/>
      <w:marLeft w:val="0"/>
      <w:marRight w:val="0"/>
      <w:marTop w:val="0"/>
      <w:marBottom w:val="0"/>
      <w:divBdr>
        <w:top w:val="none" w:sz="0" w:space="0" w:color="auto"/>
        <w:left w:val="none" w:sz="0" w:space="0" w:color="auto"/>
        <w:bottom w:val="none" w:sz="0" w:space="0" w:color="auto"/>
        <w:right w:val="none" w:sz="0" w:space="0" w:color="auto"/>
      </w:divBdr>
    </w:div>
    <w:div w:id="1946451388">
      <w:bodyDiv w:val="1"/>
      <w:marLeft w:val="0"/>
      <w:marRight w:val="0"/>
      <w:marTop w:val="0"/>
      <w:marBottom w:val="0"/>
      <w:divBdr>
        <w:top w:val="none" w:sz="0" w:space="0" w:color="auto"/>
        <w:left w:val="none" w:sz="0" w:space="0" w:color="auto"/>
        <w:bottom w:val="none" w:sz="0" w:space="0" w:color="auto"/>
        <w:right w:val="none" w:sz="0" w:space="0" w:color="auto"/>
      </w:divBdr>
      <w:divsChild>
        <w:div w:id="398066401">
          <w:marLeft w:val="0"/>
          <w:marRight w:val="0"/>
          <w:marTop w:val="0"/>
          <w:marBottom w:val="0"/>
          <w:divBdr>
            <w:top w:val="none" w:sz="0" w:space="0" w:color="auto"/>
            <w:left w:val="none" w:sz="0" w:space="0" w:color="auto"/>
            <w:bottom w:val="none" w:sz="0" w:space="0" w:color="auto"/>
            <w:right w:val="none" w:sz="0" w:space="0" w:color="auto"/>
          </w:divBdr>
        </w:div>
      </w:divsChild>
    </w:div>
    <w:div w:id="2106031430">
      <w:bodyDiv w:val="1"/>
      <w:marLeft w:val="0"/>
      <w:marRight w:val="0"/>
      <w:marTop w:val="0"/>
      <w:marBottom w:val="0"/>
      <w:divBdr>
        <w:top w:val="none" w:sz="0" w:space="0" w:color="auto"/>
        <w:left w:val="none" w:sz="0" w:space="0" w:color="auto"/>
        <w:bottom w:val="none" w:sz="0" w:space="0" w:color="auto"/>
        <w:right w:val="none" w:sz="0" w:space="0" w:color="auto"/>
      </w:divBdr>
      <w:divsChild>
        <w:div w:id="6248528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 TargetMode="External"/><Relationship Id="rId3" Type="http://schemas.openxmlformats.org/officeDocument/2006/relationships/styles" Target="styles.xml"/><Relationship Id="rId7" Type="http://schemas.openxmlformats.org/officeDocument/2006/relationships/hyperlink" Target="https://www.legislation.gov.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emocracy.towerhamlets.gov.uk/"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AE6F17-8087-4AAD-A1E5-498D787E2C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2564</Words>
  <Characters>14621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Community Care and Developmemnt</vt:lpstr>
    </vt:vector>
  </TitlesOfParts>
  <Company/>
  <LinksUpToDate>false</LinksUpToDate>
  <CharactersWithSpaces>17151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Care and Developmemnt</dc:title>
  <dc:subject/>
  <dc:creator>Nazifa Ahmed</dc:creator>
  <cp:keywords/>
  <dc:description/>
  <cp:lastModifiedBy>Nazifa Ahmed</cp:lastModifiedBy>
  <cp:revision>8</cp:revision>
  <dcterms:created xsi:type="dcterms:W3CDTF">2022-01-11T17:38:00Z</dcterms:created>
  <dcterms:modified xsi:type="dcterms:W3CDTF">2022-01-12T17:27:00Z</dcterms:modified>
</cp:coreProperties>
</file>