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ms-office.chartstyle+xml" PartName="/word/charts/style1.xml"/>
  <Override ContentType="application/vnd.ms-office.chartstyle+xml" PartName="/word/charts/style6.xml"/>
  <Override ContentType="application/vnd.ms-office.chartstyle+xml" PartName="/word/charts/style5.xml"/>
  <Override ContentType="application/vnd.ms-office.chartstyle+xml" PartName="/word/charts/style10.xml"/>
  <Override ContentType="application/vnd.ms-office.chartstyle+xml" PartName="/word/charts/style7.xml"/>
  <Override ContentType="application/vnd.ms-office.chartstyle+xml" PartName="/word/charts/style8.xml"/>
  <Override ContentType="application/vnd.ms-office.chartstyle+xml" PartName="/word/charts/style9.xml"/>
  <Override ContentType="application/vnd.ms-office.chartstyle+xml" PartName="/word/charts/style3.xml"/>
  <Override ContentType="application/vnd.ms-office.chartstyle+xml" PartName="/word/charts/style4.xml"/>
  <Override ContentType="application/vnd.ms-office.chartstyle+xml" PartName="/word/charts/style2.xml"/>
  <Override ContentType="application/vnd.openxmlformats-package.core-properties+xml" PartName="/docProps/core.xml"/>
  <Override ContentType="application/vnd.ms-office.chartcolorstyle+xml" PartName="/word/charts/colors6.xml"/>
  <Override ContentType="application/vnd.ms-office.chartcolorstyle+xml" PartName="/word/charts/colors5.xml"/>
  <Override ContentType="application/vnd.ms-office.chartcolorstyle+xml" PartName="/word/charts/colors7.xml"/>
  <Override ContentType="application/vnd.ms-office.chartcolorstyle+xml" PartName="/word/charts/colors9.xml"/>
  <Override ContentType="application/vnd.ms-office.chartcolorstyle+xml" PartName="/word/charts/colors8.xml"/>
  <Override ContentType="application/vnd.ms-office.chartcolorstyle+xml" PartName="/word/charts/colors3.xml"/>
  <Override ContentType="application/vnd.ms-office.chartcolorstyle+xml" PartName="/word/charts/colors4.xml"/>
  <Override ContentType="application/vnd.ms-office.chartcolorstyle+xml" PartName="/word/charts/colors2.xml"/>
  <Override ContentType="application/vnd.ms-office.chartcolorstyle+xml" PartName="/word/charts/colors1.xml"/>
  <Override ContentType="application/vnd.ms-office.chartcolorstyle+xml" PartName="/word/charts/colors10.xml"/>
  <Override ContentType="application/vnd.openxmlformats-officedocument.wordprocessingml.document.main+xml" PartName="/word/document.xml"/>
  <Override ContentType="application/vnd.openxmlformats-officedocument.drawingml.chart+xml" PartName="/word/charts/chart6.xml"/>
  <Override ContentType="application/vnd.openxmlformats-officedocument.drawingml.chart+xml" PartName="/word/charts/chart1.xml"/>
  <Override ContentType="application/vnd.openxmlformats-officedocument.drawingml.chart+xml" PartName="/word/charts/chart2.xml"/>
  <Override ContentType="application/vnd.openxmlformats-officedocument.drawingml.chart+xml" PartName="/word/charts/chart7.xml"/>
  <Override ContentType="application/vnd.openxmlformats-officedocument.drawingml.chart+xml" PartName="/word/charts/chart4.xml"/>
  <Override ContentType="application/vnd.openxmlformats-officedocument.drawingml.chart+xml" PartName="/word/charts/chart5.xml"/>
  <Override ContentType="application/vnd.openxmlformats-officedocument.drawingml.chart+xml" PartName="/word/charts/chart3.xml"/>
  <Override ContentType="application/vnd.openxmlformats-officedocument.drawingml.chart+xml" PartName="/word/charts/chart10.xml"/>
  <Override ContentType="application/vnd.openxmlformats-officedocument.drawingml.chart+xml" PartName="/word/charts/chart8.xml"/>
  <Override ContentType="application/vnd.openxmlformats-officedocument.drawingml.chart+xml" PartName="/word/charts/chart9.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sz w:val="72"/>
          <w:szCs w:val="72"/>
        </w:rPr>
      </w:pPr>
      <w:r w:rsidDel="00000000" w:rsidR="00000000" w:rsidRPr="00000000">
        <w:rPr>
          <w:rFonts w:ascii="Times New Roman" w:cs="Times New Roman" w:eastAsia="Times New Roman" w:hAnsi="Times New Roman"/>
          <w:sz w:val="72"/>
          <w:szCs w:val="72"/>
        </w:rPr>
        <w:drawing>
          <wp:inline distB="114300" distT="114300" distL="114300" distR="114300">
            <wp:extent cx="3319463" cy="1571625"/>
            <wp:effectExtent b="0" l="0" r="0" t="0"/>
            <wp:docPr id="2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3319463" cy="157162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rFonts w:ascii="Times New Roman" w:cs="Times New Roman" w:eastAsia="Times New Roman" w:hAnsi="Times New Roman"/>
          <w:b w:val="1"/>
          <w:sz w:val="72"/>
          <w:szCs w:val="72"/>
        </w:rPr>
      </w:pPr>
      <w:r w:rsidDel="00000000" w:rsidR="00000000" w:rsidRPr="00000000">
        <w:rPr>
          <w:rFonts w:ascii="Times New Roman" w:cs="Times New Roman" w:eastAsia="Times New Roman" w:hAnsi="Times New Roman"/>
          <w:b w:val="1"/>
          <w:sz w:val="72"/>
          <w:szCs w:val="72"/>
          <w:rtl w:val="0"/>
        </w:rPr>
        <w:t xml:space="preserve">BA Business Management</w:t>
      </w:r>
    </w:p>
    <w:p w:rsidR="00000000" w:rsidDel="00000000" w:rsidP="00000000" w:rsidRDefault="00000000" w:rsidRPr="00000000" w14:paraId="00000003">
      <w:pPr>
        <w:jc w:val="center"/>
        <w:rPr>
          <w:rFonts w:ascii="Times New Roman" w:cs="Times New Roman" w:eastAsia="Times New Roman" w:hAnsi="Times New Roman"/>
          <w:b w:val="1"/>
          <w:sz w:val="72"/>
          <w:szCs w:val="72"/>
        </w:rPr>
      </w:pPr>
      <w:r w:rsidDel="00000000" w:rsidR="00000000" w:rsidRPr="00000000">
        <w:rPr>
          <w:rFonts w:ascii="Times New Roman" w:cs="Times New Roman" w:eastAsia="Times New Roman" w:hAnsi="Times New Roman"/>
          <w:b w:val="1"/>
          <w:sz w:val="72"/>
          <w:szCs w:val="72"/>
          <w:rtl w:val="0"/>
        </w:rPr>
        <w:t xml:space="preserve">LCBB4003</w:t>
      </w:r>
    </w:p>
    <w:p w:rsidR="00000000" w:rsidDel="00000000" w:rsidP="00000000" w:rsidRDefault="00000000" w:rsidRPr="00000000" w14:paraId="00000004">
      <w:pPr>
        <w:jc w:val="center"/>
        <w:rPr>
          <w:rFonts w:ascii="Times New Roman" w:cs="Times New Roman" w:eastAsia="Times New Roman" w:hAnsi="Times New Roman"/>
          <w:b w:val="1"/>
          <w:sz w:val="72"/>
          <w:szCs w:val="72"/>
        </w:rPr>
      </w:pPr>
      <w:r w:rsidDel="00000000" w:rsidR="00000000" w:rsidRPr="00000000">
        <w:rPr>
          <w:rtl w:val="0"/>
        </w:rPr>
      </w:r>
    </w:p>
    <w:p w:rsidR="00000000" w:rsidDel="00000000" w:rsidP="00000000" w:rsidRDefault="00000000" w:rsidRPr="00000000" w14:paraId="00000005">
      <w:pPr>
        <w:jc w:val="center"/>
        <w:rPr>
          <w:rFonts w:ascii="Times New Roman" w:cs="Times New Roman" w:eastAsia="Times New Roman" w:hAnsi="Times New Roman"/>
          <w:b w:val="1"/>
          <w:sz w:val="50"/>
          <w:szCs w:val="50"/>
        </w:rPr>
      </w:pPr>
      <w:r w:rsidDel="00000000" w:rsidR="00000000" w:rsidRPr="00000000">
        <w:rPr>
          <w:rFonts w:ascii="Times New Roman" w:cs="Times New Roman" w:eastAsia="Times New Roman" w:hAnsi="Times New Roman"/>
          <w:b w:val="1"/>
          <w:sz w:val="50"/>
          <w:szCs w:val="50"/>
          <w:rtl w:val="0"/>
        </w:rPr>
        <w:t xml:space="preserve">Module: Accounting Fundamentals</w:t>
      </w:r>
    </w:p>
    <w:p w:rsidR="00000000" w:rsidDel="00000000" w:rsidP="00000000" w:rsidRDefault="00000000" w:rsidRPr="00000000" w14:paraId="00000006">
      <w:pPr>
        <w:jc w:val="center"/>
        <w:rPr>
          <w:rFonts w:ascii="Times New Roman" w:cs="Times New Roman" w:eastAsia="Times New Roman" w:hAnsi="Times New Roman"/>
          <w:b w:val="1"/>
          <w:sz w:val="50"/>
          <w:szCs w:val="50"/>
        </w:rPr>
      </w:pPr>
      <w:r w:rsidDel="00000000" w:rsidR="00000000" w:rsidRPr="00000000">
        <w:rPr>
          <w:rFonts w:ascii="Times New Roman" w:cs="Times New Roman" w:eastAsia="Times New Roman" w:hAnsi="Times New Roman"/>
          <w:b w:val="1"/>
          <w:sz w:val="50"/>
          <w:szCs w:val="50"/>
          <w:rtl w:val="0"/>
        </w:rPr>
        <w:t xml:space="preserve">Lecturer: John Malagila</w:t>
      </w:r>
    </w:p>
    <w:p w:rsidR="00000000" w:rsidDel="00000000" w:rsidP="00000000" w:rsidRDefault="00000000" w:rsidRPr="00000000" w14:paraId="00000007">
      <w:pPr>
        <w:jc w:val="center"/>
        <w:rPr>
          <w:rFonts w:ascii="Times New Roman" w:cs="Times New Roman" w:eastAsia="Times New Roman" w:hAnsi="Times New Roman"/>
          <w:b w:val="1"/>
          <w:sz w:val="50"/>
          <w:szCs w:val="50"/>
        </w:rPr>
      </w:pPr>
      <w:r w:rsidDel="00000000" w:rsidR="00000000" w:rsidRPr="00000000">
        <w:rPr>
          <w:rtl w:val="0"/>
        </w:rPr>
      </w:r>
    </w:p>
    <w:p w:rsidR="00000000" w:rsidDel="00000000" w:rsidP="00000000" w:rsidRDefault="00000000" w:rsidRPr="00000000" w14:paraId="00000008">
      <w:pPr>
        <w:jc w:val="center"/>
        <w:rPr>
          <w:rFonts w:ascii="Times New Roman" w:cs="Times New Roman" w:eastAsia="Times New Roman" w:hAnsi="Times New Roman"/>
          <w:b w:val="1"/>
          <w:sz w:val="50"/>
          <w:szCs w:val="50"/>
        </w:rPr>
      </w:pPr>
      <w:r w:rsidDel="00000000" w:rsidR="00000000" w:rsidRPr="00000000">
        <w:rPr>
          <w:rFonts w:ascii="Times New Roman" w:cs="Times New Roman" w:eastAsia="Times New Roman" w:hAnsi="Times New Roman"/>
          <w:b w:val="1"/>
          <w:sz w:val="50"/>
          <w:szCs w:val="50"/>
          <w:rtl w:val="0"/>
        </w:rPr>
        <w:t xml:space="preserve">Students name: Valentina Vladimirova</w:t>
      </w:r>
    </w:p>
    <w:p w:rsidR="00000000" w:rsidDel="00000000" w:rsidP="00000000" w:rsidRDefault="00000000" w:rsidRPr="00000000" w14:paraId="00000009">
      <w:pPr>
        <w:jc w:val="center"/>
        <w:rPr>
          <w:rFonts w:ascii="Times New Roman" w:cs="Times New Roman" w:eastAsia="Times New Roman" w:hAnsi="Times New Roman"/>
          <w:b w:val="1"/>
          <w:sz w:val="50"/>
          <w:szCs w:val="50"/>
        </w:rPr>
      </w:pPr>
      <w:r w:rsidDel="00000000" w:rsidR="00000000" w:rsidRPr="00000000">
        <w:rPr>
          <w:rFonts w:ascii="Times New Roman" w:cs="Times New Roman" w:eastAsia="Times New Roman" w:hAnsi="Times New Roman"/>
          <w:b w:val="1"/>
          <w:sz w:val="50"/>
          <w:szCs w:val="50"/>
          <w:rtl w:val="0"/>
        </w:rPr>
        <w:t xml:space="preserve">Students ID: 1818405@student.uwtsd.ac.uk</w:t>
      </w:r>
    </w:p>
    <w:p w:rsidR="00000000" w:rsidDel="00000000" w:rsidP="00000000" w:rsidRDefault="00000000" w:rsidRPr="00000000" w14:paraId="0000000A">
      <w:pPr>
        <w:jc w:val="center"/>
        <w:rPr>
          <w:rFonts w:ascii="Times New Roman" w:cs="Times New Roman" w:eastAsia="Times New Roman" w:hAnsi="Times New Roman"/>
          <w:b w:val="1"/>
          <w:sz w:val="72"/>
          <w:szCs w:val="72"/>
        </w:rPr>
      </w:pPr>
      <w:r w:rsidDel="00000000" w:rsidR="00000000" w:rsidRPr="00000000">
        <w:rPr>
          <w:rtl w:val="0"/>
        </w:rPr>
      </w:r>
    </w:p>
    <w:p w:rsidR="00000000" w:rsidDel="00000000" w:rsidP="00000000" w:rsidRDefault="00000000" w:rsidRPr="00000000" w14:paraId="0000000B">
      <w:pPr>
        <w:jc w:val="center"/>
        <w:rPr>
          <w:rFonts w:ascii="Times New Roman" w:cs="Times New Roman" w:eastAsia="Times New Roman" w:hAnsi="Times New Roman"/>
          <w:sz w:val="72"/>
          <w:szCs w:val="72"/>
        </w:rPr>
      </w:pPr>
      <w:r w:rsidDel="00000000" w:rsidR="00000000" w:rsidRPr="00000000">
        <w:rPr>
          <w:rFonts w:ascii="Times New Roman" w:cs="Times New Roman" w:eastAsia="Times New Roman" w:hAnsi="Times New Roman"/>
          <w:sz w:val="72"/>
          <w:szCs w:val="72"/>
          <w:rtl w:val="0"/>
        </w:rPr>
        <w:t xml:space="preserve">Accounting Fundamentals</w:t>
      </w:r>
    </w:p>
    <w:p w:rsidR="00000000" w:rsidDel="00000000" w:rsidP="00000000" w:rsidRDefault="00000000" w:rsidRPr="00000000" w14:paraId="0000000C">
      <w:pPr>
        <w:jc w:val="center"/>
        <w:rPr>
          <w:rFonts w:ascii="Times New Roman" w:cs="Times New Roman" w:eastAsia="Times New Roman" w:hAnsi="Times New Roman"/>
          <w:sz w:val="52"/>
          <w:szCs w:val="52"/>
        </w:rPr>
      </w:pPr>
      <w:r w:rsidDel="00000000" w:rsidR="00000000" w:rsidRPr="00000000">
        <w:rPr>
          <w:rFonts w:ascii="Times New Roman" w:cs="Times New Roman" w:eastAsia="Times New Roman" w:hAnsi="Times New Roman"/>
          <w:sz w:val="52"/>
          <w:szCs w:val="52"/>
          <w:rtl w:val="0"/>
        </w:rPr>
        <w:t xml:space="preserve">Assignment-1</w:t>
      </w:r>
    </w:p>
    <w:p w:rsidR="00000000" w:rsidDel="00000000" w:rsidP="00000000" w:rsidRDefault="00000000" w:rsidRPr="00000000" w14:paraId="0000000D">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E">
      <w:pPr>
        <w:rPr>
          <w:rFonts w:ascii="Times New Roman" w:cs="Times New Roman" w:eastAsia="Times New Roman" w:hAnsi="Times New Roman"/>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0F">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Times New Roman" w:cs="Times New Roman" w:eastAsia="Times New Roman" w:hAnsi="Times New Roman"/>
          <w:b w:val="0"/>
          <w:i w:val="0"/>
          <w:smallCaps w:val="0"/>
          <w:strike w:val="0"/>
          <w:color w:val="2e75b5"/>
          <w:sz w:val="32"/>
          <w:szCs w:val="3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e75b5"/>
          <w:sz w:val="32"/>
          <w:szCs w:val="32"/>
          <w:u w:val="none"/>
          <w:shd w:fill="auto" w:val="clear"/>
          <w:vertAlign w:val="baseline"/>
          <w:rtl w:val="0"/>
        </w:rPr>
        <w:t xml:space="preserve">Table of Contents</w:t>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gjdgxs">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Introduction</w:t>
        </w:r>
      </w:hyperlink>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Question 1</w:t>
        </w:r>
      </w:hyperlink>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Income statement</w:t>
        </w:r>
      </w:hyperlink>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Elements of income statement</w:t>
        </w:r>
      </w:hyperlink>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Balance sheet</w:t>
        </w:r>
      </w:hyperlink>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Elements of balance sheet</w:t>
        </w:r>
      </w:hyperlink>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The statement of financial position balances</w:t>
        </w:r>
      </w:hyperlink>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Question 2</w:t>
        </w:r>
      </w:hyperlink>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Discussion and calculation of financial performance</w:t>
        </w:r>
      </w:hyperlink>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4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ROCE</w:t>
        </w:r>
      </w:hyperlink>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4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ROE</w:t>
        </w:r>
      </w:hyperlink>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4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EPS</w:t>
        </w:r>
      </w:hyperlink>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4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Net profit margin</w:t>
        </w:r>
      </w:hyperlink>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4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lnxbz9">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Asset turnover ratio</w:t>
        </w:r>
      </w:hyperlink>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12</w:t>
        </w:r>
      </w:hyperlink>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4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5nkun2">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Stock holding days</w:t>
        </w:r>
      </w:hyperlink>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13</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4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ksv4uv">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Debtor’s collection periods</w:t>
        </w:r>
      </w:hyperlink>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14</w:t>
        </w:r>
      </w:hyperlink>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4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4sinio">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Current ratio</w:t>
        </w:r>
      </w:hyperlink>
      <w:hyperlink w:anchor="_heading=h.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15</w:t>
        </w:r>
      </w:hyperlink>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4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jxsxqh">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Current ratio</w:t>
        </w:r>
      </w:hyperlink>
      <w:hyperlink w:anchor="_heading=h.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16</w:t>
        </w:r>
      </w:hyperlink>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4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z337ya">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Interest coverage ratio</w:t>
        </w:r>
      </w:hyperlink>
      <w:hyperlink w:anchor="_heading=h.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17</w:t>
        </w:r>
      </w:hyperlink>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j2qqm3">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Financial performance</w:t>
        </w:r>
      </w:hyperlink>
      <w:hyperlink w:anchor="_heading=h.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18</w:t>
        </w:r>
      </w:hyperlink>
      <w:r w:rsidDel="00000000" w:rsidR="00000000" w:rsidRPr="00000000">
        <w:rPr>
          <w:rtl w:val="0"/>
        </w:rPr>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heading=h.1y810tw">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Conclusion</w:t>
        </w:r>
      </w:hyperlink>
      <w:hyperlink w:anchor="_heading=h.1y810t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18</w:t>
        </w:r>
      </w:hyperlink>
      <w:r w:rsidDel="00000000" w:rsidR="00000000" w:rsidRPr="00000000">
        <w:rPr>
          <w:rtl w:val="0"/>
        </w:rPr>
      </w:r>
    </w:p>
    <w:p w:rsidR="00000000" w:rsidDel="00000000" w:rsidP="00000000" w:rsidRDefault="00000000" w:rsidRPr="00000000" w14:paraId="0000002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6">
      <w:pPr>
        <w:rPr>
          <w:rFonts w:ascii="Times New Roman" w:cs="Times New Roman" w:eastAsia="Times New Roman" w:hAnsi="Times New Roman"/>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7">
      <w:pPr>
        <w:pStyle w:val="Heading1"/>
        <w:rPr>
          <w:rFonts w:ascii="Times New Roman" w:cs="Times New Roman" w:eastAsia="Times New Roman" w:hAnsi="Times New Roman"/>
        </w:rPr>
      </w:pPr>
      <w:bookmarkStart w:colFirst="0" w:colLast="0" w:name="_heading=h.gjdgxs" w:id="0"/>
      <w:bookmarkEnd w:id="0"/>
      <w:r w:rsidDel="00000000" w:rsidR="00000000" w:rsidRPr="00000000">
        <w:rPr>
          <w:rFonts w:ascii="Times New Roman" w:cs="Times New Roman" w:eastAsia="Times New Roman" w:hAnsi="Times New Roman"/>
          <w:rtl w:val="0"/>
        </w:rPr>
        <w:t xml:space="preserve">Introduction</w:t>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accounting department of an organisation is playing a major role to inform the stakeholder about the financial position and condition of the business (Mclaney and Atrill, 2016). It is significantly present about why asset and liability are balanced in the financial statement in this report. This report will also include the calculation of significant financial ratios that contribute to the development decision. An income statement and balance sheet will also include in this report to highlight the performance of the organization. Particularly, graphs and charts and tables will be used to interpret the result of findings.   </w:t>
      </w:r>
    </w:p>
    <w:p w:rsidR="00000000" w:rsidDel="00000000" w:rsidP="00000000" w:rsidRDefault="00000000" w:rsidRPr="00000000" w14:paraId="00000029">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A">
      <w:pPr>
        <w:pStyle w:val="Heading1"/>
        <w:spacing w:line="360" w:lineRule="auto"/>
        <w:rPr>
          <w:rFonts w:ascii="Times New Roman" w:cs="Times New Roman" w:eastAsia="Times New Roman" w:hAnsi="Times New Roman"/>
        </w:rPr>
      </w:pPr>
      <w:bookmarkStart w:colFirst="0" w:colLast="0" w:name="_heading=h.30j0zll" w:id="1"/>
      <w:bookmarkEnd w:id="1"/>
      <w:r w:rsidDel="00000000" w:rsidR="00000000" w:rsidRPr="00000000">
        <w:rPr>
          <w:rFonts w:ascii="Times New Roman" w:cs="Times New Roman" w:eastAsia="Times New Roman" w:hAnsi="Times New Roman"/>
          <w:rtl w:val="0"/>
        </w:rPr>
        <w:t xml:space="preserve">Question 1</w:t>
      </w:r>
    </w:p>
    <w:p w:rsidR="00000000" w:rsidDel="00000000" w:rsidP="00000000" w:rsidRDefault="00000000" w:rsidRPr="00000000" w14:paraId="0000002B">
      <w:pPr>
        <w:pStyle w:val="Heading2"/>
        <w:spacing w:line="360" w:lineRule="auto"/>
        <w:rPr>
          <w:rFonts w:ascii="Times New Roman" w:cs="Times New Roman" w:eastAsia="Times New Roman" w:hAnsi="Times New Roman"/>
          <w:sz w:val="28"/>
          <w:szCs w:val="28"/>
        </w:rPr>
      </w:pPr>
      <w:bookmarkStart w:colFirst="0" w:colLast="0" w:name="_heading=h.1fob9te" w:id="2"/>
      <w:bookmarkEnd w:id="2"/>
      <w:r w:rsidDel="00000000" w:rsidR="00000000" w:rsidRPr="00000000">
        <w:rPr>
          <w:rFonts w:ascii="Times New Roman" w:cs="Times New Roman" w:eastAsia="Times New Roman" w:hAnsi="Times New Roman"/>
          <w:sz w:val="28"/>
          <w:szCs w:val="28"/>
          <w:rtl w:val="0"/>
        </w:rPr>
        <w:t xml:space="preserve">Income statement </w:t>
      </w:r>
    </w:p>
    <w:p w:rsidR="00000000" w:rsidDel="00000000" w:rsidP="00000000" w:rsidRDefault="00000000" w:rsidRPr="00000000" w14:paraId="0000002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 income statement is a key financial statement since it displays a company's total profitability. The organisation may also evaluate how well its company can convert expenditures into revenues using its income statement (Sangster and Wood, 2018). </w:t>
      </w:r>
    </w:p>
    <w:p w:rsidR="00000000" w:rsidDel="00000000" w:rsidP="00000000" w:rsidRDefault="00000000" w:rsidRPr="00000000" w14:paraId="0000002D">
      <w:pPr>
        <w:pStyle w:val="Heading2"/>
        <w:spacing w:line="360" w:lineRule="auto"/>
        <w:rPr>
          <w:rFonts w:ascii="Times New Roman" w:cs="Times New Roman" w:eastAsia="Times New Roman" w:hAnsi="Times New Roman"/>
          <w:sz w:val="28"/>
          <w:szCs w:val="28"/>
        </w:rPr>
      </w:pPr>
      <w:bookmarkStart w:colFirst="0" w:colLast="0" w:name="_heading=h.3znysh7" w:id="3"/>
      <w:bookmarkEnd w:id="3"/>
      <w:r w:rsidDel="00000000" w:rsidR="00000000" w:rsidRPr="00000000">
        <w:rPr>
          <w:rFonts w:ascii="Times New Roman" w:cs="Times New Roman" w:eastAsia="Times New Roman" w:hAnsi="Times New Roman"/>
          <w:sz w:val="28"/>
          <w:szCs w:val="28"/>
          <w:rtl w:val="0"/>
        </w:rPr>
        <w:t xml:space="preserve">Elements of the income statement </w:t>
      </w:r>
    </w:p>
    <w:tbl>
      <w:tblPr>
        <w:tblStyle w:val="Table1"/>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965"/>
        <w:gridCol w:w="6385"/>
        <w:tblGridChange w:id="0">
          <w:tblGrid>
            <w:gridCol w:w="2965"/>
            <w:gridCol w:w="6385"/>
          </w:tblGrid>
        </w:tblGridChange>
      </w:tblGrid>
      <w:tr>
        <w:tc>
          <w:tcPr/>
          <w:p w:rsidR="00000000" w:rsidDel="00000000" w:rsidP="00000000" w:rsidRDefault="00000000" w:rsidRPr="00000000" w14:paraId="0000002E">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Elements</w:t>
            </w:r>
          </w:p>
        </w:tc>
        <w:tc>
          <w:tcPr/>
          <w:p w:rsidR="00000000" w:rsidDel="00000000" w:rsidP="00000000" w:rsidRDefault="00000000" w:rsidRPr="00000000" w14:paraId="0000002F">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Explanation</w:t>
            </w:r>
          </w:p>
        </w:tc>
      </w:tr>
      <w:tr>
        <w:tc>
          <w:tcPr>
            <w:vAlign w:val="center"/>
          </w:tcPr>
          <w:p w:rsidR="00000000" w:rsidDel="00000000" w:rsidP="00000000" w:rsidRDefault="00000000" w:rsidRPr="00000000" w14:paraId="00000030">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Revenue or sales</w:t>
            </w:r>
          </w:p>
        </w:tc>
        <w:tc>
          <w:tcPr/>
          <w:p w:rsidR="00000000" w:rsidDel="00000000" w:rsidP="00000000" w:rsidRDefault="00000000" w:rsidRPr="00000000" w14:paraId="0000003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indicates the basic earning of the organisation. An organization may sell goods or services and gets economic benefits as consideration (Wood, 2013). This consideration is known as revenue. </w:t>
            </w:r>
          </w:p>
        </w:tc>
      </w:tr>
      <w:tr>
        <w:tc>
          <w:tcPr>
            <w:vAlign w:val="center"/>
          </w:tcPr>
          <w:p w:rsidR="00000000" w:rsidDel="00000000" w:rsidP="00000000" w:rsidRDefault="00000000" w:rsidRPr="00000000" w14:paraId="00000032">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Cost of goods sold</w:t>
            </w:r>
          </w:p>
        </w:tc>
        <w:tc>
          <w:tcPr/>
          <w:p w:rsidR="00000000" w:rsidDel="00000000" w:rsidP="00000000" w:rsidRDefault="00000000" w:rsidRPr="00000000" w14:paraId="0000003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the combination of direct material, direct labour and direct manufacturing overhead. It shows how much an organisation needs to spend to prepare goods or services (Sangster and Wood, 2018). </w:t>
            </w:r>
          </w:p>
        </w:tc>
      </w:tr>
      <w:tr>
        <w:tc>
          <w:tcPr>
            <w:vAlign w:val="center"/>
          </w:tcPr>
          <w:p w:rsidR="00000000" w:rsidDel="00000000" w:rsidP="00000000" w:rsidRDefault="00000000" w:rsidRPr="00000000" w14:paraId="00000034">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Gross profit</w:t>
            </w:r>
          </w:p>
        </w:tc>
        <w:tc>
          <w:tcPr/>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Gross profit is the difference between revenue and the cost of goods sold. It significantly covers the operational and non-operational expenses (Lucey, 2008). </w:t>
            </w:r>
          </w:p>
        </w:tc>
      </w:tr>
      <w:tr>
        <w:tc>
          <w:tcPr>
            <w:vAlign w:val="center"/>
          </w:tcPr>
          <w:p w:rsidR="00000000" w:rsidDel="00000000" w:rsidP="00000000" w:rsidRDefault="00000000" w:rsidRPr="00000000" w14:paraId="00000036">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Advertising and promotional expenses</w:t>
            </w:r>
          </w:p>
        </w:tc>
        <w:tc>
          <w:tcPr/>
          <w:p w:rsidR="00000000" w:rsidDel="00000000" w:rsidP="00000000" w:rsidRDefault="00000000" w:rsidRPr="00000000" w14:paraId="0000003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means the cost for promotional purposes. The management of the organisation needs to promote the product. So it needs to pay an economic consideration. </w:t>
            </w:r>
          </w:p>
        </w:tc>
      </w:tr>
      <w:tr>
        <w:tc>
          <w:tcPr>
            <w:vAlign w:val="center"/>
          </w:tcPr>
          <w:p w:rsidR="00000000" w:rsidDel="00000000" w:rsidP="00000000" w:rsidRDefault="00000000" w:rsidRPr="00000000" w14:paraId="00000038">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Administrative expenses</w:t>
            </w:r>
          </w:p>
        </w:tc>
        <w:tc>
          <w:tcPr/>
          <w:p w:rsidR="00000000" w:rsidDel="00000000" w:rsidP="00000000" w:rsidRDefault="00000000" w:rsidRPr="00000000" w14:paraId="0000003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the combination of all general and administrative expenses where the manager needs to pay as salary, rent, commission, and other costs (Sangster and Wood, 2018). </w:t>
            </w:r>
          </w:p>
        </w:tc>
      </w:tr>
      <w:tr>
        <w:tc>
          <w:tcPr>
            <w:vAlign w:val="center"/>
          </w:tcPr>
          <w:p w:rsidR="00000000" w:rsidDel="00000000" w:rsidP="00000000" w:rsidRDefault="00000000" w:rsidRPr="00000000" w14:paraId="0000003A">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Earnings before taxes</w:t>
            </w:r>
          </w:p>
        </w:tc>
        <w:tc>
          <w:tcPr/>
          <w:p w:rsidR="00000000" w:rsidDel="00000000" w:rsidP="00000000" w:rsidRDefault="00000000" w:rsidRPr="00000000" w14:paraId="0000003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organisation gets the earnings after deducting all kinds of operational and non-operational costs from the revenue before deducting tax (Wood, 2013). </w:t>
            </w:r>
          </w:p>
        </w:tc>
      </w:tr>
      <w:tr>
        <w:tc>
          <w:tcPr>
            <w:vAlign w:val="center"/>
          </w:tcPr>
          <w:p w:rsidR="00000000" w:rsidDel="00000000" w:rsidP="00000000" w:rsidRDefault="00000000" w:rsidRPr="00000000" w14:paraId="0000003C">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Taxation</w:t>
            </w:r>
          </w:p>
        </w:tc>
        <w:tc>
          <w:tcPr/>
          <w:p w:rsidR="00000000" w:rsidDel="00000000" w:rsidP="00000000" w:rsidRDefault="00000000" w:rsidRPr="00000000" w14:paraId="0000003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organisation needs to pay corporate tax to the management of the company (Lucey, 2008). </w:t>
            </w:r>
          </w:p>
        </w:tc>
      </w:tr>
      <w:tr>
        <w:tc>
          <w:tcPr>
            <w:vAlign w:val="center"/>
          </w:tcPr>
          <w:p w:rsidR="00000000" w:rsidDel="00000000" w:rsidP="00000000" w:rsidRDefault="00000000" w:rsidRPr="00000000" w14:paraId="0000003E">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Net profit or loss</w:t>
            </w:r>
          </w:p>
        </w:tc>
        <w:tc>
          <w:tcPr/>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calculated by the finding of the difference between revenue and all types of cost (Jones, 2013). If the difference shows a positive value, then it is considered as net profit or negative result shows a net loss. </w:t>
            </w:r>
          </w:p>
        </w:tc>
      </w:tr>
      <w:tr>
        <w:tc>
          <w:tcPr>
            <w:vAlign w:val="center"/>
          </w:tcPr>
          <w:p w:rsidR="00000000" w:rsidDel="00000000" w:rsidP="00000000" w:rsidRDefault="00000000" w:rsidRPr="00000000" w14:paraId="00000040">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EPS</w:t>
            </w:r>
          </w:p>
        </w:tc>
        <w:tc>
          <w:tcPr/>
          <w:p w:rsidR="00000000" w:rsidDel="00000000" w:rsidP="00000000" w:rsidRDefault="00000000" w:rsidRPr="00000000" w14:paraId="0000004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EPS stands on earnings per share. Significantly, the investor is looking for this. Higher EPS is always helpful for the investment-related decision-making process (Wood, 2013). </w:t>
            </w:r>
          </w:p>
        </w:tc>
      </w:tr>
    </w:tbl>
    <w:p w:rsidR="00000000" w:rsidDel="00000000" w:rsidP="00000000" w:rsidRDefault="00000000" w:rsidRPr="00000000" w14:paraId="0000004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3">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Kadison Plc</w:t>
      </w:r>
    </w:p>
    <w:p w:rsidR="00000000" w:rsidDel="00000000" w:rsidP="00000000" w:rsidRDefault="00000000" w:rsidRPr="00000000" w14:paraId="00000044">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Income statement</w:t>
      </w:r>
    </w:p>
    <w:p w:rsidR="00000000" w:rsidDel="00000000" w:rsidP="00000000" w:rsidRDefault="00000000" w:rsidRPr="00000000" w14:paraId="00000045">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of 31</w:t>
      </w:r>
      <w:r w:rsidDel="00000000" w:rsidR="00000000" w:rsidRPr="00000000">
        <w:rPr>
          <w:rFonts w:ascii="Times New Roman" w:cs="Times New Roman" w:eastAsia="Times New Roman" w:hAnsi="Times New Roman"/>
          <w:sz w:val="24"/>
          <w:szCs w:val="24"/>
          <w:vertAlign w:val="superscript"/>
          <w:rtl w:val="0"/>
        </w:rPr>
        <w:t xml:space="preserve">st</w:t>
      </w:r>
      <w:r w:rsidDel="00000000" w:rsidR="00000000" w:rsidRPr="00000000">
        <w:rPr>
          <w:rFonts w:ascii="Times New Roman" w:cs="Times New Roman" w:eastAsia="Times New Roman" w:hAnsi="Times New Roman"/>
          <w:sz w:val="24"/>
          <w:szCs w:val="24"/>
          <w:rtl w:val="0"/>
        </w:rPr>
        <w:t xml:space="preserve"> December 2021</w:t>
      </w:r>
    </w:p>
    <w:tbl>
      <w:tblPr>
        <w:tblStyle w:val="Table2"/>
        <w:tblW w:w="7420.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940"/>
        <w:gridCol w:w="1160"/>
        <w:gridCol w:w="1160"/>
        <w:gridCol w:w="1160"/>
        <w:tblGridChange w:id="0">
          <w:tblGrid>
            <w:gridCol w:w="3940"/>
            <w:gridCol w:w="1160"/>
            <w:gridCol w:w="1160"/>
            <w:gridCol w:w="1160"/>
          </w:tblGrid>
        </w:tblGridChange>
      </w:tblGrid>
      <w:tr>
        <w:trPr>
          <w:trHeight w:val="300" w:hRule="atLeast"/>
        </w:trPr>
        <w:tc>
          <w:tcPr>
            <w:shd w:fill="auto" w:val="clear"/>
            <w:vAlign w:val="bottom"/>
          </w:tcPr>
          <w:p w:rsidR="00000000" w:rsidDel="00000000" w:rsidP="00000000" w:rsidRDefault="00000000" w:rsidRPr="00000000" w14:paraId="00000046">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Account</w:t>
            </w:r>
          </w:p>
        </w:tc>
        <w:tc>
          <w:tcPr>
            <w:shd w:fill="auto" w:val="clear"/>
            <w:vAlign w:val="bottom"/>
          </w:tcPr>
          <w:p w:rsidR="00000000" w:rsidDel="00000000" w:rsidP="00000000" w:rsidRDefault="00000000" w:rsidRPr="00000000" w14:paraId="00000047">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Amount (£)</w:t>
            </w:r>
          </w:p>
        </w:tc>
        <w:tc>
          <w:tcPr>
            <w:shd w:fill="auto" w:val="clear"/>
            <w:vAlign w:val="bottom"/>
          </w:tcPr>
          <w:p w:rsidR="00000000" w:rsidDel="00000000" w:rsidP="00000000" w:rsidRDefault="00000000" w:rsidRPr="00000000" w14:paraId="00000048">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Amount (£)</w:t>
            </w:r>
          </w:p>
        </w:tc>
        <w:tc>
          <w:tcPr>
            <w:shd w:fill="auto" w:val="clear"/>
            <w:vAlign w:val="bottom"/>
          </w:tcPr>
          <w:p w:rsidR="00000000" w:rsidDel="00000000" w:rsidP="00000000" w:rsidRDefault="00000000" w:rsidRPr="00000000" w14:paraId="00000049">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Amount (£)</w:t>
            </w:r>
          </w:p>
        </w:tc>
      </w:tr>
      <w:tr>
        <w:trPr>
          <w:trHeight w:val="300" w:hRule="atLeast"/>
        </w:trPr>
        <w:tc>
          <w:tcPr>
            <w:shd w:fill="auto" w:val="clear"/>
            <w:vAlign w:val="bottom"/>
          </w:tcPr>
          <w:p w:rsidR="00000000" w:rsidDel="00000000" w:rsidP="00000000" w:rsidRDefault="00000000" w:rsidRPr="00000000" w14:paraId="0000004A">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Sales</w:t>
            </w:r>
          </w:p>
        </w:tc>
        <w:tc>
          <w:tcPr>
            <w:shd w:fill="auto" w:val="clear"/>
            <w:vAlign w:val="bottom"/>
          </w:tcPr>
          <w:p w:rsidR="00000000" w:rsidDel="00000000" w:rsidP="00000000" w:rsidRDefault="00000000" w:rsidRPr="00000000" w14:paraId="0000004B">
            <w:pPr>
              <w:spacing w:after="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4C">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826,650</w:t>
            </w:r>
          </w:p>
        </w:tc>
        <w:tc>
          <w:tcPr>
            <w:shd w:fill="auto" w:val="clear"/>
            <w:vAlign w:val="bottom"/>
          </w:tcPr>
          <w:p w:rsidR="00000000" w:rsidDel="00000000" w:rsidP="00000000" w:rsidRDefault="00000000" w:rsidRPr="00000000" w14:paraId="0000004D">
            <w:pPr>
              <w:spacing w:after="0" w:line="360" w:lineRule="auto"/>
              <w:jc w:val="right"/>
              <w:rPr>
                <w:rFonts w:ascii="Times New Roman" w:cs="Times New Roman" w:eastAsia="Times New Roman" w:hAnsi="Times New Roman"/>
                <w:color w:val="000000"/>
                <w:sz w:val="24"/>
                <w:szCs w:val="24"/>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04E">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Add: Unwritten sales </w:t>
            </w:r>
          </w:p>
        </w:tc>
        <w:tc>
          <w:tcPr>
            <w:shd w:fill="auto" w:val="clear"/>
            <w:vAlign w:val="bottom"/>
          </w:tcPr>
          <w:p w:rsidR="00000000" w:rsidDel="00000000" w:rsidP="00000000" w:rsidRDefault="00000000" w:rsidRPr="00000000" w14:paraId="0000004F">
            <w:pPr>
              <w:spacing w:after="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50">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980</w:t>
            </w:r>
          </w:p>
        </w:tc>
        <w:tc>
          <w:tcPr>
            <w:shd w:fill="auto" w:val="clear"/>
            <w:vAlign w:val="bottom"/>
          </w:tcPr>
          <w:p w:rsidR="00000000" w:rsidDel="00000000" w:rsidP="00000000" w:rsidRDefault="00000000" w:rsidRPr="00000000" w14:paraId="00000051">
            <w:pPr>
              <w:spacing w:after="0" w:line="360" w:lineRule="auto"/>
              <w:jc w:val="right"/>
              <w:rPr>
                <w:rFonts w:ascii="Times New Roman" w:cs="Times New Roman" w:eastAsia="Times New Roman" w:hAnsi="Times New Roman"/>
                <w:color w:val="000000"/>
                <w:sz w:val="24"/>
                <w:szCs w:val="24"/>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052">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Net sales</w:t>
            </w:r>
          </w:p>
        </w:tc>
        <w:tc>
          <w:tcPr>
            <w:shd w:fill="auto" w:val="clear"/>
            <w:vAlign w:val="bottom"/>
          </w:tcPr>
          <w:p w:rsidR="00000000" w:rsidDel="00000000" w:rsidP="00000000" w:rsidRDefault="00000000" w:rsidRPr="00000000" w14:paraId="00000053">
            <w:pPr>
              <w:spacing w:after="0" w:line="360" w:lineRule="auto"/>
              <w:jc w:val="right"/>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54">
            <w:pPr>
              <w:spacing w:after="0" w:line="360" w:lineRule="auto"/>
              <w:rPr>
                <w:rFonts w:ascii="Times New Roman" w:cs="Times New Roman" w:eastAsia="Times New Roman" w:hAnsi="Times New Roman"/>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55">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827,630</w:t>
            </w:r>
          </w:p>
        </w:tc>
      </w:tr>
      <w:tr>
        <w:trPr>
          <w:trHeight w:val="300" w:hRule="atLeast"/>
        </w:trPr>
        <w:tc>
          <w:tcPr>
            <w:shd w:fill="auto" w:val="clear"/>
            <w:vAlign w:val="bottom"/>
          </w:tcPr>
          <w:p w:rsidR="00000000" w:rsidDel="00000000" w:rsidP="00000000" w:rsidRDefault="00000000" w:rsidRPr="00000000" w14:paraId="00000056">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Less: Cost of goods sold </w:t>
            </w:r>
          </w:p>
        </w:tc>
        <w:tc>
          <w:tcPr>
            <w:shd w:fill="auto" w:val="clear"/>
            <w:vAlign w:val="bottom"/>
          </w:tcPr>
          <w:p w:rsidR="00000000" w:rsidDel="00000000" w:rsidP="00000000" w:rsidRDefault="00000000" w:rsidRPr="00000000" w14:paraId="00000057">
            <w:pPr>
              <w:spacing w:after="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58">
            <w:pPr>
              <w:spacing w:after="0" w:line="360" w:lineRule="auto"/>
              <w:rPr>
                <w:rFonts w:ascii="Times New Roman" w:cs="Times New Roman" w:eastAsia="Times New Roman" w:hAnsi="Times New Roman"/>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59">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578,650</w:t>
            </w:r>
          </w:p>
        </w:tc>
      </w:tr>
      <w:tr>
        <w:trPr>
          <w:trHeight w:val="300" w:hRule="atLeast"/>
        </w:trPr>
        <w:tc>
          <w:tcPr>
            <w:shd w:fill="auto" w:val="clear"/>
            <w:vAlign w:val="bottom"/>
          </w:tcPr>
          <w:p w:rsidR="00000000" w:rsidDel="00000000" w:rsidP="00000000" w:rsidRDefault="00000000" w:rsidRPr="00000000" w14:paraId="0000005A">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Gross profit</w:t>
            </w:r>
          </w:p>
        </w:tc>
        <w:tc>
          <w:tcPr>
            <w:shd w:fill="auto" w:val="clear"/>
            <w:vAlign w:val="bottom"/>
          </w:tcPr>
          <w:p w:rsidR="00000000" w:rsidDel="00000000" w:rsidP="00000000" w:rsidRDefault="00000000" w:rsidRPr="00000000" w14:paraId="0000005B">
            <w:pPr>
              <w:spacing w:after="0" w:line="360" w:lineRule="auto"/>
              <w:jc w:val="right"/>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5C">
            <w:pPr>
              <w:spacing w:after="0" w:line="360" w:lineRule="auto"/>
              <w:rPr>
                <w:rFonts w:ascii="Times New Roman" w:cs="Times New Roman" w:eastAsia="Times New Roman" w:hAnsi="Times New Roman"/>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5D">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248,980</w:t>
            </w:r>
          </w:p>
        </w:tc>
      </w:tr>
      <w:tr>
        <w:trPr>
          <w:trHeight w:val="300" w:hRule="atLeast"/>
        </w:trPr>
        <w:tc>
          <w:tcPr>
            <w:shd w:fill="auto" w:val="clear"/>
            <w:vAlign w:val="bottom"/>
          </w:tcPr>
          <w:p w:rsidR="00000000" w:rsidDel="00000000" w:rsidP="00000000" w:rsidRDefault="00000000" w:rsidRPr="00000000" w14:paraId="0000005E">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Less: Operational cost</w:t>
            </w:r>
          </w:p>
        </w:tc>
        <w:tc>
          <w:tcPr>
            <w:shd w:fill="auto" w:val="clear"/>
            <w:vAlign w:val="bottom"/>
          </w:tcPr>
          <w:p w:rsidR="00000000" w:rsidDel="00000000" w:rsidP="00000000" w:rsidRDefault="00000000" w:rsidRPr="00000000" w14:paraId="0000005F">
            <w:pPr>
              <w:spacing w:after="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60">
            <w:pPr>
              <w:spacing w:after="0" w:line="360" w:lineRule="auto"/>
              <w:rPr>
                <w:rFonts w:ascii="Times New Roman" w:cs="Times New Roman" w:eastAsia="Times New Roman" w:hAnsi="Times New Roman"/>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61">
            <w:pPr>
              <w:spacing w:after="0" w:line="360" w:lineRule="auto"/>
              <w:rPr>
                <w:rFonts w:ascii="Times New Roman" w:cs="Times New Roman" w:eastAsia="Times New Roman" w:hAnsi="Times New Roman"/>
                <w:sz w:val="24"/>
                <w:szCs w:val="24"/>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062">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Distribution costs</w:t>
            </w:r>
          </w:p>
        </w:tc>
        <w:tc>
          <w:tcPr>
            <w:shd w:fill="auto" w:val="clear"/>
            <w:vAlign w:val="bottom"/>
          </w:tcPr>
          <w:p w:rsidR="00000000" w:rsidDel="00000000" w:rsidP="00000000" w:rsidRDefault="00000000" w:rsidRPr="00000000" w14:paraId="00000063">
            <w:pPr>
              <w:spacing w:after="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64">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28,000</w:t>
            </w:r>
          </w:p>
        </w:tc>
        <w:tc>
          <w:tcPr>
            <w:shd w:fill="auto" w:val="clear"/>
            <w:vAlign w:val="bottom"/>
          </w:tcPr>
          <w:p w:rsidR="00000000" w:rsidDel="00000000" w:rsidP="00000000" w:rsidRDefault="00000000" w:rsidRPr="00000000" w14:paraId="00000065">
            <w:pPr>
              <w:spacing w:after="0" w:line="360" w:lineRule="auto"/>
              <w:jc w:val="right"/>
              <w:rPr>
                <w:rFonts w:ascii="Times New Roman" w:cs="Times New Roman" w:eastAsia="Times New Roman" w:hAnsi="Times New Roman"/>
                <w:color w:val="000000"/>
                <w:sz w:val="24"/>
                <w:szCs w:val="24"/>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066">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Directors remuneration</w:t>
            </w:r>
          </w:p>
        </w:tc>
        <w:tc>
          <w:tcPr>
            <w:shd w:fill="auto" w:val="clear"/>
            <w:vAlign w:val="bottom"/>
          </w:tcPr>
          <w:p w:rsidR="00000000" w:rsidDel="00000000" w:rsidP="00000000" w:rsidRDefault="00000000" w:rsidRPr="00000000" w14:paraId="00000067">
            <w:pPr>
              <w:spacing w:after="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68">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5,000</w:t>
            </w:r>
          </w:p>
        </w:tc>
        <w:tc>
          <w:tcPr>
            <w:shd w:fill="auto" w:val="clear"/>
            <w:vAlign w:val="bottom"/>
          </w:tcPr>
          <w:p w:rsidR="00000000" w:rsidDel="00000000" w:rsidP="00000000" w:rsidRDefault="00000000" w:rsidRPr="00000000" w14:paraId="00000069">
            <w:pPr>
              <w:spacing w:after="0" w:line="360" w:lineRule="auto"/>
              <w:jc w:val="right"/>
              <w:rPr>
                <w:rFonts w:ascii="Times New Roman" w:cs="Times New Roman" w:eastAsia="Times New Roman" w:hAnsi="Times New Roman"/>
                <w:color w:val="000000"/>
                <w:sz w:val="24"/>
                <w:szCs w:val="24"/>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06A">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Administrative expenses</w:t>
            </w:r>
          </w:p>
        </w:tc>
        <w:tc>
          <w:tcPr>
            <w:shd w:fill="auto" w:val="clear"/>
            <w:vAlign w:val="bottom"/>
          </w:tcPr>
          <w:p w:rsidR="00000000" w:rsidDel="00000000" w:rsidP="00000000" w:rsidRDefault="00000000" w:rsidRPr="00000000" w14:paraId="0000006B">
            <w:pPr>
              <w:spacing w:after="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6C">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30,000</w:t>
            </w:r>
          </w:p>
        </w:tc>
        <w:tc>
          <w:tcPr>
            <w:shd w:fill="auto" w:val="clear"/>
            <w:vAlign w:val="bottom"/>
          </w:tcPr>
          <w:p w:rsidR="00000000" w:rsidDel="00000000" w:rsidP="00000000" w:rsidRDefault="00000000" w:rsidRPr="00000000" w14:paraId="0000006D">
            <w:pPr>
              <w:spacing w:after="0" w:line="360" w:lineRule="auto"/>
              <w:jc w:val="right"/>
              <w:rPr>
                <w:rFonts w:ascii="Times New Roman" w:cs="Times New Roman" w:eastAsia="Times New Roman" w:hAnsi="Times New Roman"/>
                <w:color w:val="000000"/>
                <w:sz w:val="24"/>
                <w:szCs w:val="24"/>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06E">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Unpaid salesman commission</w:t>
            </w:r>
          </w:p>
        </w:tc>
        <w:tc>
          <w:tcPr>
            <w:shd w:fill="auto" w:val="clear"/>
            <w:vAlign w:val="bottom"/>
          </w:tcPr>
          <w:p w:rsidR="00000000" w:rsidDel="00000000" w:rsidP="00000000" w:rsidRDefault="00000000" w:rsidRPr="00000000" w14:paraId="0000006F">
            <w:pPr>
              <w:spacing w:after="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70">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3,000</w:t>
            </w:r>
          </w:p>
        </w:tc>
        <w:tc>
          <w:tcPr>
            <w:shd w:fill="auto" w:val="clear"/>
            <w:vAlign w:val="bottom"/>
          </w:tcPr>
          <w:p w:rsidR="00000000" w:rsidDel="00000000" w:rsidP="00000000" w:rsidRDefault="00000000" w:rsidRPr="00000000" w14:paraId="00000071">
            <w:pPr>
              <w:spacing w:after="0" w:line="360" w:lineRule="auto"/>
              <w:jc w:val="right"/>
              <w:rPr>
                <w:rFonts w:ascii="Times New Roman" w:cs="Times New Roman" w:eastAsia="Times New Roman" w:hAnsi="Times New Roman"/>
                <w:color w:val="000000"/>
                <w:sz w:val="24"/>
                <w:szCs w:val="24"/>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072">
            <w:pPr>
              <w:spacing w:after="0" w:line="360" w:lineRule="auto"/>
              <w:rPr>
                <w:rFonts w:ascii="Times New Roman" w:cs="Times New Roman" w:eastAsia="Times New Roman" w:hAnsi="Times New Roman"/>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73">
            <w:pPr>
              <w:spacing w:after="0" w:line="360" w:lineRule="auto"/>
              <w:rPr>
                <w:rFonts w:ascii="Times New Roman" w:cs="Times New Roman" w:eastAsia="Times New Roman" w:hAnsi="Times New Roman"/>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74">
            <w:pPr>
              <w:spacing w:after="0" w:line="360" w:lineRule="auto"/>
              <w:rPr>
                <w:rFonts w:ascii="Times New Roman" w:cs="Times New Roman" w:eastAsia="Times New Roman" w:hAnsi="Times New Roman"/>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75">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66,000</w:t>
            </w:r>
          </w:p>
        </w:tc>
      </w:tr>
      <w:tr>
        <w:trPr>
          <w:trHeight w:val="300" w:hRule="atLeast"/>
        </w:trPr>
        <w:tc>
          <w:tcPr>
            <w:shd w:fill="auto" w:val="clear"/>
            <w:vAlign w:val="bottom"/>
          </w:tcPr>
          <w:p w:rsidR="00000000" w:rsidDel="00000000" w:rsidP="00000000" w:rsidRDefault="00000000" w:rsidRPr="00000000" w14:paraId="00000076">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Less: Non-operating expenses</w:t>
            </w:r>
          </w:p>
        </w:tc>
        <w:tc>
          <w:tcPr>
            <w:shd w:fill="auto" w:val="clear"/>
            <w:vAlign w:val="bottom"/>
          </w:tcPr>
          <w:p w:rsidR="00000000" w:rsidDel="00000000" w:rsidP="00000000" w:rsidRDefault="00000000" w:rsidRPr="00000000" w14:paraId="00000077">
            <w:pPr>
              <w:spacing w:after="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78">
            <w:pPr>
              <w:spacing w:after="0" w:line="360" w:lineRule="auto"/>
              <w:rPr>
                <w:rFonts w:ascii="Times New Roman" w:cs="Times New Roman" w:eastAsia="Times New Roman" w:hAnsi="Times New Roman"/>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79">
            <w:pPr>
              <w:spacing w:after="0" w:line="360" w:lineRule="auto"/>
              <w:rPr>
                <w:rFonts w:ascii="Times New Roman" w:cs="Times New Roman" w:eastAsia="Times New Roman" w:hAnsi="Times New Roman"/>
                <w:sz w:val="24"/>
                <w:szCs w:val="24"/>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07A">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Interest paid</w:t>
            </w:r>
          </w:p>
        </w:tc>
        <w:tc>
          <w:tcPr>
            <w:shd w:fill="auto" w:val="clear"/>
            <w:vAlign w:val="bottom"/>
          </w:tcPr>
          <w:p w:rsidR="00000000" w:rsidDel="00000000" w:rsidP="00000000" w:rsidRDefault="00000000" w:rsidRPr="00000000" w14:paraId="0000007B">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2000</w:t>
            </w:r>
          </w:p>
        </w:tc>
        <w:tc>
          <w:tcPr>
            <w:shd w:fill="auto" w:val="clear"/>
            <w:vAlign w:val="bottom"/>
          </w:tcPr>
          <w:p w:rsidR="00000000" w:rsidDel="00000000" w:rsidP="00000000" w:rsidRDefault="00000000" w:rsidRPr="00000000" w14:paraId="0000007C">
            <w:pPr>
              <w:spacing w:after="0" w:line="360" w:lineRule="auto"/>
              <w:jc w:val="right"/>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7D">
            <w:pPr>
              <w:spacing w:after="0" w:line="360" w:lineRule="auto"/>
              <w:rPr>
                <w:rFonts w:ascii="Times New Roman" w:cs="Times New Roman" w:eastAsia="Times New Roman" w:hAnsi="Times New Roman"/>
                <w:sz w:val="24"/>
                <w:szCs w:val="24"/>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07E">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Add: Due</w:t>
            </w:r>
          </w:p>
        </w:tc>
        <w:tc>
          <w:tcPr>
            <w:shd w:fill="auto" w:val="clear"/>
            <w:vAlign w:val="bottom"/>
          </w:tcPr>
          <w:p w:rsidR="00000000" w:rsidDel="00000000" w:rsidP="00000000" w:rsidRDefault="00000000" w:rsidRPr="00000000" w14:paraId="0000007F">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2000</w:t>
            </w:r>
          </w:p>
        </w:tc>
        <w:tc>
          <w:tcPr>
            <w:shd w:fill="auto" w:val="clear"/>
            <w:vAlign w:val="bottom"/>
          </w:tcPr>
          <w:p w:rsidR="00000000" w:rsidDel="00000000" w:rsidP="00000000" w:rsidRDefault="00000000" w:rsidRPr="00000000" w14:paraId="00000080">
            <w:pPr>
              <w:spacing w:after="0" w:line="360" w:lineRule="auto"/>
              <w:jc w:val="right"/>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81">
            <w:pPr>
              <w:spacing w:after="0" w:line="360" w:lineRule="auto"/>
              <w:rPr>
                <w:rFonts w:ascii="Times New Roman" w:cs="Times New Roman" w:eastAsia="Times New Roman" w:hAnsi="Times New Roman"/>
                <w:sz w:val="24"/>
                <w:szCs w:val="24"/>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082">
            <w:pPr>
              <w:spacing w:after="0" w:line="360" w:lineRule="auto"/>
              <w:rPr>
                <w:rFonts w:ascii="Times New Roman" w:cs="Times New Roman" w:eastAsia="Times New Roman" w:hAnsi="Times New Roman"/>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83">
            <w:pPr>
              <w:spacing w:after="0" w:line="360" w:lineRule="auto"/>
              <w:rPr>
                <w:rFonts w:ascii="Times New Roman" w:cs="Times New Roman" w:eastAsia="Times New Roman" w:hAnsi="Times New Roman"/>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84">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4,000</w:t>
            </w:r>
          </w:p>
        </w:tc>
        <w:tc>
          <w:tcPr>
            <w:shd w:fill="auto" w:val="clear"/>
            <w:vAlign w:val="bottom"/>
          </w:tcPr>
          <w:p w:rsidR="00000000" w:rsidDel="00000000" w:rsidP="00000000" w:rsidRDefault="00000000" w:rsidRPr="00000000" w14:paraId="00000085">
            <w:pPr>
              <w:spacing w:after="0" w:line="360" w:lineRule="auto"/>
              <w:jc w:val="right"/>
              <w:rPr>
                <w:rFonts w:ascii="Times New Roman" w:cs="Times New Roman" w:eastAsia="Times New Roman" w:hAnsi="Times New Roman"/>
                <w:color w:val="000000"/>
                <w:sz w:val="24"/>
                <w:szCs w:val="24"/>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086">
            <w:pPr>
              <w:spacing w:after="0" w:line="360" w:lineRule="auto"/>
              <w:rPr>
                <w:rFonts w:ascii="Times New Roman" w:cs="Times New Roman" w:eastAsia="Times New Roman" w:hAnsi="Times New Roman"/>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87">
            <w:pPr>
              <w:spacing w:after="0" w:line="360" w:lineRule="auto"/>
              <w:rPr>
                <w:rFonts w:ascii="Times New Roman" w:cs="Times New Roman" w:eastAsia="Times New Roman" w:hAnsi="Times New Roman"/>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88">
            <w:pPr>
              <w:spacing w:after="0" w:line="360" w:lineRule="auto"/>
              <w:rPr>
                <w:rFonts w:ascii="Times New Roman" w:cs="Times New Roman" w:eastAsia="Times New Roman" w:hAnsi="Times New Roman"/>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89">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4000</w:t>
            </w:r>
          </w:p>
        </w:tc>
      </w:tr>
      <w:tr>
        <w:trPr>
          <w:trHeight w:val="300" w:hRule="atLeast"/>
        </w:trPr>
        <w:tc>
          <w:tcPr>
            <w:shd w:fill="auto" w:val="clear"/>
            <w:vAlign w:val="bottom"/>
          </w:tcPr>
          <w:p w:rsidR="00000000" w:rsidDel="00000000" w:rsidP="00000000" w:rsidRDefault="00000000" w:rsidRPr="00000000" w14:paraId="0000008A">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Income before tax</w:t>
            </w:r>
          </w:p>
        </w:tc>
        <w:tc>
          <w:tcPr>
            <w:shd w:fill="auto" w:val="clear"/>
            <w:vAlign w:val="bottom"/>
          </w:tcPr>
          <w:p w:rsidR="00000000" w:rsidDel="00000000" w:rsidP="00000000" w:rsidRDefault="00000000" w:rsidRPr="00000000" w14:paraId="0000008B">
            <w:pPr>
              <w:spacing w:after="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8C">
            <w:pPr>
              <w:spacing w:after="0" w:line="360" w:lineRule="auto"/>
              <w:rPr>
                <w:rFonts w:ascii="Times New Roman" w:cs="Times New Roman" w:eastAsia="Times New Roman" w:hAnsi="Times New Roman"/>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8D">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178,980</w:t>
            </w:r>
          </w:p>
        </w:tc>
      </w:tr>
      <w:tr>
        <w:trPr>
          <w:trHeight w:val="300" w:hRule="atLeast"/>
        </w:trPr>
        <w:tc>
          <w:tcPr>
            <w:shd w:fill="auto" w:val="clear"/>
            <w:vAlign w:val="bottom"/>
          </w:tcPr>
          <w:p w:rsidR="00000000" w:rsidDel="00000000" w:rsidP="00000000" w:rsidRDefault="00000000" w:rsidRPr="00000000" w14:paraId="0000008E">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Less: Tax</w:t>
            </w:r>
          </w:p>
        </w:tc>
        <w:tc>
          <w:tcPr>
            <w:shd w:fill="auto" w:val="clear"/>
            <w:vAlign w:val="bottom"/>
          </w:tcPr>
          <w:p w:rsidR="00000000" w:rsidDel="00000000" w:rsidP="00000000" w:rsidRDefault="00000000" w:rsidRPr="00000000" w14:paraId="0000008F">
            <w:pPr>
              <w:spacing w:after="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90">
            <w:pPr>
              <w:spacing w:after="0" w:line="360" w:lineRule="auto"/>
              <w:rPr>
                <w:rFonts w:ascii="Times New Roman" w:cs="Times New Roman" w:eastAsia="Times New Roman" w:hAnsi="Times New Roman"/>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91">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68000</w:t>
            </w:r>
          </w:p>
        </w:tc>
      </w:tr>
      <w:tr>
        <w:trPr>
          <w:trHeight w:val="300" w:hRule="atLeast"/>
        </w:trPr>
        <w:tc>
          <w:tcPr>
            <w:shd w:fill="auto" w:val="clear"/>
            <w:vAlign w:val="bottom"/>
          </w:tcPr>
          <w:p w:rsidR="00000000" w:rsidDel="00000000" w:rsidP="00000000" w:rsidRDefault="00000000" w:rsidRPr="00000000" w14:paraId="00000092">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Net profit</w:t>
            </w:r>
          </w:p>
        </w:tc>
        <w:tc>
          <w:tcPr>
            <w:shd w:fill="auto" w:val="clear"/>
            <w:vAlign w:val="bottom"/>
          </w:tcPr>
          <w:p w:rsidR="00000000" w:rsidDel="00000000" w:rsidP="00000000" w:rsidRDefault="00000000" w:rsidRPr="00000000" w14:paraId="00000093">
            <w:pPr>
              <w:spacing w:after="0" w:line="360" w:lineRule="auto"/>
              <w:jc w:val="right"/>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94">
            <w:pPr>
              <w:spacing w:after="0" w:line="360" w:lineRule="auto"/>
              <w:rPr>
                <w:rFonts w:ascii="Times New Roman" w:cs="Times New Roman" w:eastAsia="Times New Roman" w:hAnsi="Times New Roman"/>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95">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110,980</w:t>
            </w:r>
          </w:p>
        </w:tc>
      </w:tr>
    </w:tbl>
    <w:p w:rsidR="00000000" w:rsidDel="00000000" w:rsidP="00000000" w:rsidRDefault="00000000" w:rsidRPr="00000000" w14:paraId="0000009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7">
      <w:pPr>
        <w:pStyle w:val="Heading2"/>
        <w:spacing w:line="360" w:lineRule="auto"/>
        <w:rPr>
          <w:rFonts w:ascii="Times New Roman" w:cs="Times New Roman" w:eastAsia="Times New Roman" w:hAnsi="Times New Roman"/>
          <w:sz w:val="28"/>
          <w:szCs w:val="28"/>
        </w:rPr>
      </w:pPr>
      <w:bookmarkStart w:colFirst="0" w:colLast="0" w:name="_heading=h.2et92p0" w:id="4"/>
      <w:bookmarkEnd w:id="4"/>
      <w:r w:rsidDel="00000000" w:rsidR="00000000" w:rsidRPr="00000000">
        <w:rPr>
          <w:rFonts w:ascii="Times New Roman" w:cs="Times New Roman" w:eastAsia="Times New Roman" w:hAnsi="Times New Roman"/>
          <w:sz w:val="28"/>
          <w:szCs w:val="28"/>
          <w:rtl w:val="0"/>
        </w:rPr>
        <w:t xml:space="preserve">Balance sheet </w:t>
      </w:r>
    </w:p>
    <w:p w:rsidR="00000000" w:rsidDel="00000000" w:rsidP="00000000" w:rsidRDefault="00000000" w:rsidRPr="00000000" w14:paraId="0000009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Fundamental analysts concentrate on the assessment of an investment opportunity or assessment of a business. The key reasons for the analysis of the balance sheets include fusions, asset liquidations, prospective business investments or if a firm is sufficiently stable to increase or repay its debt (Jones, 2013). The balance sheet includes a lot of essential information, some of which need to be focused on a broad knowledge of a company's health and business.</w:t>
      </w:r>
    </w:p>
    <w:p w:rsidR="00000000" w:rsidDel="00000000" w:rsidP="00000000" w:rsidRDefault="00000000" w:rsidRPr="00000000" w14:paraId="00000099">
      <w:pPr>
        <w:pStyle w:val="Heading2"/>
        <w:rPr>
          <w:rFonts w:ascii="Times New Roman" w:cs="Times New Roman" w:eastAsia="Times New Roman" w:hAnsi="Times New Roman"/>
          <w:sz w:val="28"/>
          <w:szCs w:val="28"/>
        </w:rPr>
      </w:pPr>
      <w:bookmarkStart w:colFirst="0" w:colLast="0" w:name="_heading=h.tyjcwt" w:id="5"/>
      <w:bookmarkEnd w:id="5"/>
      <w:r w:rsidDel="00000000" w:rsidR="00000000" w:rsidRPr="00000000">
        <w:rPr>
          <w:rFonts w:ascii="Times New Roman" w:cs="Times New Roman" w:eastAsia="Times New Roman" w:hAnsi="Times New Roman"/>
          <w:sz w:val="28"/>
          <w:szCs w:val="28"/>
          <w:rtl w:val="0"/>
        </w:rPr>
        <w:t xml:space="preserve">Elements of balance sheet </w:t>
      </w:r>
    </w:p>
    <w:tbl>
      <w:tblPr>
        <w:tblStyle w:val="Table3"/>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605"/>
        <w:gridCol w:w="6745"/>
        <w:tblGridChange w:id="0">
          <w:tblGrid>
            <w:gridCol w:w="2605"/>
            <w:gridCol w:w="6745"/>
          </w:tblGrid>
        </w:tblGridChange>
      </w:tblGrid>
      <w:tr>
        <w:tc>
          <w:tcPr/>
          <w:p w:rsidR="00000000" w:rsidDel="00000000" w:rsidP="00000000" w:rsidRDefault="00000000" w:rsidRPr="00000000" w14:paraId="0000009A">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Elements</w:t>
            </w:r>
          </w:p>
        </w:tc>
        <w:tc>
          <w:tcPr/>
          <w:p w:rsidR="00000000" w:rsidDel="00000000" w:rsidP="00000000" w:rsidRDefault="00000000" w:rsidRPr="00000000" w14:paraId="0000009B">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Explanation of elements</w:t>
            </w:r>
          </w:p>
        </w:tc>
      </w:tr>
      <w:tr>
        <w:tc>
          <w:tcPr/>
          <w:p w:rsidR="00000000" w:rsidDel="00000000" w:rsidP="00000000" w:rsidRDefault="00000000" w:rsidRPr="00000000" w14:paraId="0000009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Current assets</w:t>
            </w:r>
          </w:p>
        </w:tc>
        <w:tc>
          <w:tcPr/>
          <w:p w:rsidR="00000000" w:rsidDel="00000000" w:rsidP="00000000" w:rsidRDefault="00000000" w:rsidRPr="00000000" w14:paraId="0000009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All current assets are the assets of a firm that are to be sold or used in the next year as a consequence of normal operations. This includes cash, bank balance, cash equivalent, accounts receivable, ending inventory and prepaid expenses (Jones, 2013). </w:t>
            </w:r>
          </w:p>
        </w:tc>
      </w:tr>
      <w:tr>
        <w:tc>
          <w:tcPr/>
          <w:p w:rsidR="00000000" w:rsidDel="00000000" w:rsidP="00000000" w:rsidRDefault="00000000" w:rsidRPr="00000000" w14:paraId="0000009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Non-current assets </w:t>
            </w:r>
          </w:p>
        </w:tc>
        <w:tc>
          <w:tcPr/>
          <w:p w:rsidR="00000000" w:rsidDel="00000000" w:rsidP="00000000" w:rsidRDefault="00000000" w:rsidRPr="00000000" w14:paraId="0000009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indicates the assets which are fixed at a certain place. It indicates building, furniture, machinery, land etc. (Lucey, 2009).  </w:t>
            </w:r>
          </w:p>
        </w:tc>
      </w:tr>
      <w:tr>
        <w:tc>
          <w:tcPr/>
          <w:p w:rsidR="00000000" w:rsidDel="00000000" w:rsidP="00000000" w:rsidRDefault="00000000" w:rsidRPr="00000000" w14:paraId="000000A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Intangible assets </w:t>
            </w:r>
          </w:p>
        </w:tc>
        <w:tc>
          <w:tcPr/>
          <w:p w:rsidR="00000000" w:rsidDel="00000000" w:rsidP="00000000" w:rsidRDefault="00000000" w:rsidRPr="00000000" w14:paraId="000000A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indicates those assets which have no tangibility. It means copyright, franchise, patent, trademarks and so on (Weetman, 2010).  </w:t>
            </w:r>
          </w:p>
        </w:tc>
      </w:tr>
      <w:tr>
        <w:tc>
          <w:tcPr/>
          <w:p w:rsidR="00000000" w:rsidDel="00000000" w:rsidP="00000000" w:rsidRDefault="00000000" w:rsidRPr="00000000" w14:paraId="000000A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Total assets </w:t>
            </w:r>
          </w:p>
        </w:tc>
        <w:tc>
          <w:tcPr/>
          <w:p w:rsidR="00000000" w:rsidDel="00000000" w:rsidP="00000000" w:rsidRDefault="00000000" w:rsidRPr="00000000" w14:paraId="000000A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indicates the combination of all current assets and non-current assets, including intangible assets (Atrill and Mclaney, 2019). </w:t>
            </w:r>
          </w:p>
        </w:tc>
      </w:tr>
      <w:tr>
        <w:tc>
          <w:tcPr/>
          <w:p w:rsidR="00000000" w:rsidDel="00000000" w:rsidP="00000000" w:rsidRDefault="00000000" w:rsidRPr="00000000" w14:paraId="000000A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Current liabilities </w:t>
            </w:r>
          </w:p>
        </w:tc>
        <w:tc>
          <w:tcPr/>
          <w:p w:rsidR="00000000" w:rsidDel="00000000" w:rsidP="00000000" w:rsidRDefault="00000000" w:rsidRPr="00000000" w14:paraId="000000A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indicates the short term liabilities such as accounts payable, short term loans, bank balance (credit) and so on. </w:t>
            </w:r>
          </w:p>
        </w:tc>
      </w:tr>
      <w:tr>
        <w:tc>
          <w:tcPr/>
          <w:p w:rsidR="00000000" w:rsidDel="00000000" w:rsidP="00000000" w:rsidRDefault="00000000" w:rsidRPr="00000000" w14:paraId="000000A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Non-current liabilities</w:t>
            </w:r>
          </w:p>
        </w:tc>
        <w:tc>
          <w:tcPr/>
          <w:p w:rsidR="00000000" w:rsidDel="00000000" w:rsidP="00000000" w:rsidRDefault="00000000" w:rsidRPr="00000000" w14:paraId="000000A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indicates those elements which need a long time. The organization needs to pay the creditor within a long period (Lucey, 2009). </w:t>
            </w:r>
          </w:p>
        </w:tc>
      </w:tr>
      <w:tr>
        <w:tc>
          <w:tcPr/>
          <w:p w:rsidR="00000000" w:rsidDel="00000000" w:rsidP="00000000" w:rsidRDefault="00000000" w:rsidRPr="00000000" w14:paraId="000000A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Equity </w:t>
            </w:r>
          </w:p>
        </w:tc>
        <w:tc>
          <w:tcPr/>
          <w:p w:rsidR="00000000" w:rsidDel="00000000" w:rsidP="00000000" w:rsidRDefault="00000000" w:rsidRPr="00000000" w14:paraId="000000A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indicates the shareholder equities and shares (Atrill and Mclaney, 2019). </w:t>
            </w:r>
          </w:p>
        </w:tc>
      </w:tr>
      <w:tr>
        <w:tc>
          <w:tcPr/>
          <w:p w:rsidR="00000000" w:rsidDel="00000000" w:rsidP="00000000" w:rsidRDefault="00000000" w:rsidRPr="00000000" w14:paraId="000000A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Total liabilities and equities </w:t>
            </w:r>
          </w:p>
        </w:tc>
        <w:tc>
          <w:tcPr/>
          <w:p w:rsidR="00000000" w:rsidDel="00000000" w:rsidP="00000000" w:rsidRDefault="00000000" w:rsidRPr="00000000" w14:paraId="000000A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the combination of equity and all types of liabilities of the organisation. </w:t>
            </w:r>
          </w:p>
        </w:tc>
      </w:tr>
    </w:tbl>
    <w:p w:rsidR="00000000" w:rsidDel="00000000" w:rsidP="00000000" w:rsidRDefault="00000000" w:rsidRPr="00000000" w14:paraId="000000A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E">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Kadison Plc</w:t>
      </w:r>
    </w:p>
    <w:p w:rsidR="00000000" w:rsidDel="00000000" w:rsidP="00000000" w:rsidRDefault="00000000" w:rsidRPr="00000000" w14:paraId="000000AF">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Balance sheet</w:t>
      </w:r>
    </w:p>
    <w:p w:rsidR="00000000" w:rsidDel="00000000" w:rsidP="00000000" w:rsidRDefault="00000000" w:rsidRPr="00000000" w14:paraId="000000B0">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of 31</w:t>
      </w:r>
      <w:r w:rsidDel="00000000" w:rsidR="00000000" w:rsidRPr="00000000">
        <w:rPr>
          <w:rFonts w:ascii="Times New Roman" w:cs="Times New Roman" w:eastAsia="Times New Roman" w:hAnsi="Times New Roman"/>
          <w:sz w:val="24"/>
          <w:szCs w:val="24"/>
          <w:vertAlign w:val="superscript"/>
          <w:rtl w:val="0"/>
        </w:rPr>
        <w:t xml:space="preserve">st</w:t>
      </w:r>
      <w:r w:rsidDel="00000000" w:rsidR="00000000" w:rsidRPr="00000000">
        <w:rPr>
          <w:rFonts w:ascii="Times New Roman" w:cs="Times New Roman" w:eastAsia="Times New Roman" w:hAnsi="Times New Roman"/>
          <w:sz w:val="24"/>
          <w:szCs w:val="24"/>
          <w:rtl w:val="0"/>
        </w:rPr>
        <w:t xml:space="preserve"> December 2021</w:t>
      </w:r>
    </w:p>
    <w:tbl>
      <w:tblPr>
        <w:tblStyle w:val="Table4"/>
        <w:tblW w:w="8578.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189"/>
        <w:gridCol w:w="1463"/>
        <w:gridCol w:w="1463"/>
        <w:gridCol w:w="1463"/>
        <w:tblGridChange w:id="0">
          <w:tblGrid>
            <w:gridCol w:w="4189"/>
            <w:gridCol w:w="1463"/>
            <w:gridCol w:w="1463"/>
            <w:gridCol w:w="1463"/>
          </w:tblGrid>
        </w:tblGridChange>
      </w:tblGrid>
      <w:tr>
        <w:trPr>
          <w:trHeight w:val="300" w:hRule="atLeast"/>
        </w:trPr>
        <w:tc>
          <w:tcPr>
            <w:shd w:fill="auto" w:val="clear"/>
            <w:vAlign w:val="bottom"/>
          </w:tcPr>
          <w:p w:rsidR="00000000" w:rsidDel="00000000" w:rsidP="00000000" w:rsidRDefault="00000000" w:rsidRPr="00000000" w14:paraId="000000B1">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Particular</w:t>
            </w:r>
          </w:p>
        </w:tc>
        <w:tc>
          <w:tcPr>
            <w:shd w:fill="auto" w:val="clear"/>
            <w:vAlign w:val="bottom"/>
          </w:tcPr>
          <w:p w:rsidR="00000000" w:rsidDel="00000000" w:rsidP="00000000" w:rsidRDefault="00000000" w:rsidRPr="00000000" w14:paraId="000000B2">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Amount (£)</w:t>
            </w:r>
          </w:p>
        </w:tc>
        <w:tc>
          <w:tcPr>
            <w:shd w:fill="auto" w:val="clear"/>
            <w:vAlign w:val="bottom"/>
          </w:tcPr>
          <w:p w:rsidR="00000000" w:rsidDel="00000000" w:rsidP="00000000" w:rsidRDefault="00000000" w:rsidRPr="00000000" w14:paraId="000000B3">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Amount (£)</w:t>
            </w:r>
          </w:p>
        </w:tc>
        <w:tc>
          <w:tcPr>
            <w:shd w:fill="auto" w:val="clear"/>
            <w:vAlign w:val="bottom"/>
          </w:tcPr>
          <w:p w:rsidR="00000000" w:rsidDel="00000000" w:rsidP="00000000" w:rsidRDefault="00000000" w:rsidRPr="00000000" w14:paraId="000000B4">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Amount (£)</w:t>
            </w:r>
          </w:p>
        </w:tc>
      </w:tr>
      <w:tr>
        <w:trPr>
          <w:trHeight w:val="300" w:hRule="atLeast"/>
        </w:trPr>
        <w:tc>
          <w:tcPr>
            <w:shd w:fill="auto" w:val="clear"/>
            <w:vAlign w:val="bottom"/>
          </w:tcPr>
          <w:p w:rsidR="00000000" w:rsidDel="00000000" w:rsidP="00000000" w:rsidRDefault="00000000" w:rsidRPr="00000000" w14:paraId="000000B5">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Current assets</w:t>
            </w:r>
          </w:p>
        </w:tc>
        <w:tc>
          <w:tcPr>
            <w:shd w:fill="auto" w:val="clear"/>
            <w:vAlign w:val="bottom"/>
          </w:tcPr>
          <w:p w:rsidR="00000000" w:rsidDel="00000000" w:rsidP="00000000" w:rsidRDefault="00000000" w:rsidRPr="00000000" w14:paraId="000000B6">
            <w:pPr>
              <w:spacing w:after="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B7">
            <w:pPr>
              <w:spacing w:after="0" w:line="360" w:lineRule="auto"/>
              <w:rPr>
                <w:rFonts w:ascii="Times New Roman" w:cs="Times New Roman" w:eastAsia="Times New Roman" w:hAnsi="Times New Roman"/>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B8">
            <w:pPr>
              <w:spacing w:after="0" w:line="360" w:lineRule="auto"/>
              <w:rPr>
                <w:rFonts w:ascii="Times New Roman" w:cs="Times New Roman" w:eastAsia="Times New Roman" w:hAnsi="Times New Roman"/>
                <w:sz w:val="24"/>
                <w:szCs w:val="24"/>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0B9">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Cash and bank</w:t>
            </w:r>
          </w:p>
        </w:tc>
        <w:tc>
          <w:tcPr>
            <w:shd w:fill="auto" w:val="clear"/>
            <w:vAlign w:val="bottom"/>
          </w:tcPr>
          <w:p w:rsidR="00000000" w:rsidDel="00000000" w:rsidP="00000000" w:rsidRDefault="00000000" w:rsidRPr="00000000" w14:paraId="000000BA">
            <w:pPr>
              <w:spacing w:after="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BB">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12,900</w:t>
            </w:r>
          </w:p>
        </w:tc>
        <w:tc>
          <w:tcPr>
            <w:shd w:fill="auto" w:val="clear"/>
            <w:vAlign w:val="bottom"/>
          </w:tcPr>
          <w:p w:rsidR="00000000" w:rsidDel="00000000" w:rsidP="00000000" w:rsidRDefault="00000000" w:rsidRPr="00000000" w14:paraId="000000BC">
            <w:pPr>
              <w:spacing w:after="0" w:line="360" w:lineRule="auto"/>
              <w:jc w:val="right"/>
              <w:rPr>
                <w:rFonts w:ascii="Times New Roman" w:cs="Times New Roman" w:eastAsia="Times New Roman" w:hAnsi="Times New Roman"/>
                <w:color w:val="000000"/>
                <w:sz w:val="24"/>
                <w:szCs w:val="24"/>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0BD">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Debtors</w:t>
            </w:r>
          </w:p>
        </w:tc>
        <w:tc>
          <w:tcPr>
            <w:shd w:fill="auto" w:val="clear"/>
            <w:vAlign w:val="bottom"/>
          </w:tcPr>
          <w:p w:rsidR="00000000" w:rsidDel="00000000" w:rsidP="00000000" w:rsidRDefault="00000000" w:rsidRPr="00000000" w14:paraId="000000BE">
            <w:pPr>
              <w:spacing w:after="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BF">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171,105</w:t>
            </w:r>
          </w:p>
        </w:tc>
        <w:tc>
          <w:tcPr>
            <w:shd w:fill="auto" w:val="clear"/>
            <w:vAlign w:val="bottom"/>
          </w:tcPr>
          <w:p w:rsidR="00000000" w:rsidDel="00000000" w:rsidP="00000000" w:rsidRDefault="00000000" w:rsidRPr="00000000" w14:paraId="000000C0">
            <w:pPr>
              <w:spacing w:after="0" w:line="360" w:lineRule="auto"/>
              <w:jc w:val="right"/>
              <w:rPr>
                <w:rFonts w:ascii="Times New Roman" w:cs="Times New Roman" w:eastAsia="Times New Roman" w:hAnsi="Times New Roman"/>
                <w:color w:val="000000"/>
                <w:sz w:val="24"/>
                <w:szCs w:val="24"/>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0C1">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Stock at 31st December 2020</w:t>
            </w:r>
          </w:p>
        </w:tc>
        <w:tc>
          <w:tcPr>
            <w:shd w:fill="auto" w:val="clear"/>
            <w:vAlign w:val="bottom"/>
          </w:tcPr>
          <w:p w:rsidR="00000000" w:rsidDel="00000000" w:rsidP="00000000" w:rsidRDefault="00000000" w:rsidRPr="00000000" w14:paraId="000000C2">
            <w:pPr>
              <w:spacing w:after="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C3">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330,600</w:t>
            </w:r>
          </w:p>
        </w:tc>
        <w:tc>
          <w:tcPr>
            <w:shd w:fill="auto" w:val="clear"/>
            <w:vAlign w:val="bottom"/>
          </w:tcPr>
          <w:p w:rsidR="00000000" w:rsidDel="00000000" w:rsidP="00000000" w:rsidRDefault="00000000" w:rsidRPr="00000000" w14:paraId="000000C4">
            <w:pPr>
              <w:spacing w:after="0" w:line="360" w:lineRule="auto"/>
              <w:jc w:val="right"/>
              <w:rPr>
                <w:rFonts w:ascii="Times New Roman" w:cs="Times New Roman" w:eastAsia="Times New Roman" w:hAnsi="Times New Roman"/>
                <w:color w:val="000000"/>
                <w:sz w:val="24"/>
                <w:szCs w:val="24"/>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0C5">
            <w:pPr>
              <w:spacing w:after="0" w:line="360" w:lineRule="auto"/>
              <w:rPr>
                <w:rFonts w:ascii="Times New Roman" w:cs="Times New Roman" w:eastAsia="Times New Roman" w:hAnsi="Times New Roman"/>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C6">
            <w:pPr>
              <w:spacing w:after="0" w:line="360" w:lineRule="auto"/>
              <w:rPr>
                <w:rFonts w:ascii="Times New Roman" w:cs="Times New Roman" w:eastAsia="Times New Roman" w:hAnsi="Times New Roman"/>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C7">
            <w:pPr>
              <w:spacing w:after="0" w:line="360" w:lineRule="auto"/>
              <w:rPr>
                <w:rFonts w:ascii="Times New Roman" w:cs="Times New Roman" w:eastAsia="Times New Roman" w:hAnsi="Times New Roman"/>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C8">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514,605</w:t>
            </w:r>
          </w:p>
        </w:tc>
      </w:tr>
      <w:tr>
        <w:trPr>
          <w:trHeight w:val="300" w:hRule="atLeast"/>
        </w:trPr>
        <w:tc>
          <w:tcPr>
            <w:shd w:fill="auto" w:val="clear"/>
            <w:vAlign w:val="bottom"/>
          </w:tcPr>
          <w:p w:rsidR="00000000" w:rsidDel="00000000" w:rsidP="00000000" w:rsidRDefault="00000000" w:rsidRPr="00000000" w14:paraId="000000C9">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Non-current assets</w:t>
            </w:r>
          </w:p>
        </w:tc>
        <w:tc>
          <w:tcPr>
            <w:shd w:fill="auto" w:val="clear"/>
            <w:vAlign w:val="bottom"/>
          </w:tcPr>
          <w:p w:rsidR="00000000" w:rsidDel="00000000" w:rsidP="00000000" w:rsidRDefault="00000000" w:rsidRPr="00000000" w14:paraId="000000CA">
            <w:pPr>
              <w:spacing w:after="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CB">
            <w:pPr>
              <w:spacing w:after="0" w:line="360" w:lineRule="auto"/>
              <w:rPr>
                <w:rFonts w:ascii="Times New Roman" w:cs="Times New Roman" w:eastAsia="Times New Roman" w:hAnsi="Times New Roman"/>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CC">
            <w:pPr>
              <w:spacing w:after="0" w:line="360" w:lineRule="auto"/>
              <w:rPr>
                <w:rFonts w:ascii="Times New Roman" w:cs="Times New Roman" w:eastAsia="Times New Roman" w:hAnsi="Times New Roman"/>
                <w:sz w:val="24"/>
                <w:szCs w:val="24"/>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0CD">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Plant and equipment</w:t>
            </w:r>
          </w:p>
        </w:tc>
        <w:tc>
          <w:tcPr>
            <w:shd w:fill="auto" w:val="clear"/>
            <w:vAlign w:val="bottom"/>
          </w:tcPr>
          <w:p w:rsidR="00000000" w:rsidDel="00000000" w:rsidP="00000000" w:rsidRDefault="00000000" w:rsidRPr="00000000" w14:paraId="000000CE">
            <w:pPr>
              <w:spacing w:after="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CF">
            <w:pPr>
              <w:spacing w:after="0" w:line="360" w:lineRule="auto"/>
              <w:rPr>
                <w:rFonts w:ascii="Times New Roman" w:cs="Times New Roman" w:eastAsia="Times New Roman" w:hAnsi="Times New Roman"/>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D0">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632,730</w:t>
            </w:r>
          </w:p>
        </w:tc>
      </w:tr>
      <w:tr>
        <w:trPr>
          <w:trHeight w:val="300" w:hRule="atLeast"/>
        </w:trPr>
        <w:tc>
          <w:tcPr>
            <w:shd w:fill="auto" w:val="clear"/>
            <w:vAlign w:val="bottom"/>
          </w:tcPr>
          <w:p w:rsidR="00000000" w:rsidDel="00000000" w:rsidP="00000000" w:rsidRDefault="00000000" w:rsidRPr="00000000" w14:paraId="000000D1">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Total assets</w:t>
            </w:r>
          </w:p>
        </w:tc>
        <w:tc>
          <w:tcPr>
            <w:shd w:fill="auto" w:val="clear"/>
            <w:vAlign w:val="bottom"/>
          </w:tcPr>
          <w:p w:rsidR="00000000" w:rsidDel="00000000" w:rsidP="00000000" w:rsidRDefault="00000000" w:rsidRPr="00000000" w14:paraId="000000D2">
            <w:pPr>
              <w:spacing w:after="0" w:line="360" w:lineRule="auto"/>
              <w:jc w:val="center"/>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D3">
            <w:pPr>
              <w:spacing w:after="0" w:line="360" w:lineRule="auto"/>
              <w:rPr>
                <w:rFonts w:ascii="Times New Roman" w:cs="Times New Roman" w:eastAsia="Times New Roman" w:hAnsi="Times New Roman"/>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D4">
            <w:pPr>
              <w:spacing w:after="0" w:line="36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1,147,335</w:t>
            </w:r>
          </w:p>
        </w:tc>
      </w:tr>
      <w:tr>
        <w:trPr>
          <w:trHeight w:val="300" w:hRule="atLeast"/>
        </w:trPr>
        <w:tc>
          <w:tcPr>
            <w:shd w:fill="auto" w:val="clear"/>
            <w:vAlign w:val="bottom"/>
          </w:tcPr>
          <w:p w:rsidR="00000000" w:rsidDel="00000000" w:rsidP="00000000" w:rsidRDefault="00000000" w:rsidRPr="00000000" w14:paraId="000000D5">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Shareholder equities and liabilities</w:t>
            </w:r>
          </w:p>
        </w:tc>
        <w:tc>
          <w:tcPr>
            <w:shd w:fill="auto" w:val="clear"/>
            <w:vAlign w:val="bottom"/>
          </w:tcPr>
          <w:p w:rsidR="00000000" w:rsidDel="00000000" w:rsidP="00000000" w:rsidRDefault="00000000" w:rsidRPr="00000000" w14:paraId="000000D6">
            <w:pPr>
              <w:spacing w:after="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D7">
            <w:pPr>
              <w:spacing w:after="0" w:line="360" w:lineRule="auto"/>
              <w:rPr>
                <w:rFonts w:ascii="Times New Roman" w:cs="Times New Roman" w:eastAsia="Times New Roman" w:hAnsi="Times New Roman"/>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D8">
            <w:pPr>
              <w:spacing w:after="0" w:line="360" w:lineRule="auto"/>
              <w:rPr>
                <w:rFonts w:ascii="Times New Roman" w:cs="Times New Roman" w:eastAsia="Times New Roman" w:hAnsi="Times New Roman"/>
                <w:sz w:val="24"/>
                <w:szCs w:val="24"/>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0D9">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Current liabilities</w:t>
            </w:r>
          </w:p>
        </w:tc>
        <w:tc>
          <w:tcPr>
            <w:shd w:fill="auto" w:val="clear"/>
            <w:vAlign w:val="bottom"/>
          </w:tcPr>
          <w:p w:rsidR="00000000" w:rsidDel="00000000" w:rsidP="00000000" w:rsidRDefault="00000000" w:rsidRPr="00000000" w14:paraId="000000DA">
            <w:pPr>
              <w:spacing w:after="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DB">
            <w:pPr>
              <w:spacing w:after="0" w:line="360" w:lineRule="auto"/>
              <w:rPr>
                <w:rFonts w:ascii="Times New Roman" w:cs="Times New Roman" w:eastAsia="Times New Roman" w:hAnsi="Times New Roman"/>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DC">
            <w:pPr>
              <w:spacing w:after="0" w:line="360" w:lineRule="auto"/>
              <w:rPr>
                <w:rFonts w:ascii="Times New Roman" w:cs="Times New Roman" w:eastAsia="Times New Roman" w:hAnsi="Times New Roman"/>
                <w:sz w:val="24"/>
                <w:szCs w:val="24"/>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0DD">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Trade creditors</w:t>
            </w:r>
          </w:p>
        </w:tc>
        <w:tc>
          <w:tcPr>
            <w:shd w:fill="auto" w:val="clear"/>
            <w:vAlign w:val="bottom"/>
          </w:tcPr>
          <w:p w:rsidR="00000000" w:rsidDel="00000000" w:rsidP="00000000" w:rsidRDefault="00000000" w:rsidRPr="00000000" w14:paraId="000000DE">
            <w:pPr>
              <w:spacing w:after="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DF">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171,355</w:t>
            </w:r>
          </w:p>
        </w:tc>
        <w:tc>
          <w:tcPr>
            <w:shd w:fill="auto" w:val="clear"/>
            <w:vAlign w:val="bottom"/>
          </w:tcPr>
          <w:p w:rsidR="00000000" w:rsidDel="00000000" w:rsidP="00000000" w:rsidRDefault="00000000" w:rsidRPr="00000000" w14:paraId="000000E0">
            <w:pPr>
              <w:spacing w:after="0" w:line="360" w:lineRule="auto"/>
              <w:jc w:val="right"/>
              <w:rPr>
                <w:rFonts w:ascii="Times New Roman" w:cs="Times New Roman" w:eastAsia="Times New Roman" w:hAnsi="Times New Roman"/>
                <w:color w:val="000000"/>
                <w:sz w:val="24"/>
                <w:szCs w:val="24"/>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0E1">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Unpaid salesman commission</w:t>
            </w:r>
          </w:p>
        </w:tc>
        <w:tc>
          <w:tcPr>
            <w:shd w:fill="auto" w:val="clear"/>
            <w:vAlign w:val="bottom"/>
          </w:tcPr>
          <w:p w:rsidR="00000000" w:rsidDel="00000000" w:rsidP="00000000" w:rsidRDefault="00000000" w:rsidRPr="00000000" w14:paraId="000000E2">
            <w:pPr>
              <w:spacing w:after="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E3">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3,000</w:t>
            </w:r>
          </w:p>
        </w:tc>
        <w:tc>
          <w:tcPr>
            <w:shd w:fill="auto" w:val="clear"/>
            <w:vAlign w:val="bottom"/>
          </w:tcPr>
          <w:p w:rsidR="00000000" w:rsidDel="00000000" w:rsidP="00000000" w:rsidRDefault="00000000" w:rsidRPr="00000000" w14:paraId="000000E4">
            <w:pPr>
              <w:spacing w:after="0" w:line="360" w:lineRule="auto"/>
              <w:jc w:val="right"/>
              <w:rPr>
                <w:rFonts w:ascii="Times New Roman" w:cs="Times New Roman" w:eastAsia="Times New Roman" w:hAnsi="Times New Roman"/>
                <w:color w:val="000000"/>
                <w:sz w:val="24"/>
                <w:szCs w:val="24"/>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0E5">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Unpaid interest</w:t>
            </w:r>
          </w:p>
        </w:tc>
        <w:tc>
          <w:tcPr>
            <w:shd w:fill="auto" w:val="clear"/>
            <w:vAlign w:val="bottom"/>
          </w:tcPr>
          <w:p w:rsidR="00000000" w:rsidDel="00000000" w:rsidP="00000000" w:rsidRDefault="00000000" w:rsidRPr="00000000" w14:paraId="000000E6">
            <w:pPr>
              <w:spacing w:after="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E7">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2,000</w:t>
            </w:r>
          </w:p>
        </w:tc>
        <w:tc>
          <w:tcPr>
            <w:shd w:fill="auto" w:val="clear"/>
            <w:vAlign w:val="bottom"/>
          </w:tcPr>
          <w:p w:rsidR="00000000" w:rsidDel="00000000" w:rsidP="00000000" w:rsidRDefault="00000000" w:rsidRPr="00000000" w14:paraId="000000E8">
            <w:pPr>
              <w:spacing w:after="0" w:line="360" w:lineRule="auto"/>
              <w:jc w:val="right"/>
              <w:rPr>
                <w:rFonts w:ascii="Times New Roman" w:cs="Times New Roman" w:eastAsia="Times New Roman" w:hAnsi="Times New Roman"/>
                <w:color w:val="000000"/>
                <w:sz w:val="24"/>
                <w:szCs w:val="24"/>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0E9">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Tax liability</w:t>
            </w:r>
          </w:p>
        </w:tc>
        <w:tc>
          <w:tcPr>
            <w:shd w:fill="auto" w:val="clear"/>
            <w:vAlign w:val="bottom"/>
          </w:tcPr>
          <w:p w:rsidR="00000000" w:rsidDel="00000000" w:rsidP="00000000" w:rsidRDefault="00000000" w:rsidRPr="00000000" w14:paraId="000000EA">
            <w:pPr>
              <w:spacing w:after="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EB">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68,000</w:t>
            </w:r>
          </w:p>
        </w:tc>
        <w:tc>
          <w:tcPr>
            <w:shd w:fill="auto" w:val="clear"/>
            <w:vAlign w:val="bottom"/>
          </w:tcPr>
          <w:p w:rsidR="00000000" w:rsidDel="00000000" w:rsidP="00000000" w:rsidRDefault="00000000" w:rsidRPr="00000000" w14:paraId="000000EC">
            <w:pPr>
              <w:spacing w:after="0" w:line="360" w:lineRule="auto"/>
              <w:jc w:val="right"/>
              <w:rPr>
                <w:rFonts w:ascii="Times New Roman" w:cs="Times New Roman" w:eastAsia="Times New Roman" w:hAnsi="Times New Roman"/>
                <w:color w:val="000000"/>
                <w:sz w:val="24"/>
                <w:szCs w:val="24"/>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0ED">
            <w:pPr>
              <w:spacing w:after="0" w:line="360" w:lineRule="auto"/>
              <w:rPr>
                <w:rFonts w:ascii="Times New Roman" w:cs="Times New Roman" w:eastAsia="Times New Roman" w:hAnsi="Times New Roman"/>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EE">
            <w:pPr>
              <w:spacing w:after="0" w:line="360" w:lineRule="auto"/>
              <w:rPr>
                <w:rFonts w:ascii="Times New Roman" w:cs="Times New Roman" w:eastAsia="Times New Roman" w:hAnsi="Times New Roman"/>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EF">
            <w:pPr>
              <w:spacing w:after="0" w:line="360" w:lineRule="auto"/>
              <w:rPr>
                <w:rFonts w:ascii="Times New Roman" w:cs="Times New Roman" w:eastAsia="Times New Roman" w:hAnsi="Times New Roman"/>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F0">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244,355</w:t>
            </w:r>
          </w:p>
        </w:tc>
      </w:tr>
      <w:tr>
        <w:trPr>
          <w:trHeight w:val="300" w:hRule="atLeast"/>
        </w:trPr>
        <w:tc>
          <w:tcPr>
            <w:shd w:fill="auto" w:val="clear"/>
            <w:vAlign w:val="bottom"/>
          </w:tcPr>
          <w:p w:rsidR="00000000" w:rsidDel="00000000" w:rsidP="00000000" w:rsidRDefault="00000000" w:rsidRPr="00000000" w14:paraId="000000F1">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Non-current liabilities</w:t>
            </w:r>
          </w:p>
        </w:tc>
        <w:tc>
          <w:tcPr>
            <w:shd w:fill="auto" w:val="clear"/>
            <w:vAlign w:val="bottom"/>
          </w:tcPr>
          <w:p w:rsidR="00000000" w:rsidDel="00000000" w:rsidP="00000000" w:rsidRDefault="00000000" w:rsidRPr="00000000" w14:paraId="000000F2">
            <w:pPr>
              <w:spacing w:after="0" w:line="360" w:lineRule="auto"/>
              <w:jc w:val="center"/>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F3">
            <w:pPr>
              <w:spacing w:after="0" w:line="360" w:lineRule="auto"/>
              <w:rPr>
                <w:rFonts w:ascii="Times New Roman" w:cs="Times New Roman" w:eastAsia="Times New Roman" w:hAnsi="Times New Roman"/>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F4">
            <w:pPr>
              <w:spacing w:after="0" w:line="360" w:lineRule="auto"/>
              <w:rPr>
                <w:rFonts w:ascii="Times New Roman" w:cs="Times New Roman" w:eastAsia="Times New Roman" w:hAnsi="Times New Roman"/>
                <w:sz w:val="24"/>
                <w:szCs w:val="24"/>
              </w:rPr>
            </w:pPr>
            <w:r w:rsidDel="00000000" w:rsidR="00000000" w:rsidRPr="00000000">
              <w:rPr>
                <w:rtl w:val="0"/>
              </w:rPr>
            </w:r>
          </w:p>
        </w:tc>
      </w:tr>
      <w:tr>
        <w:trPr>
          <w:trHeight w:val="300" w:hRule="atLeast"/>
        </w:trPr>
        <w:tc>
          <w:tcPr>
            <w:shd w:fill="auto" w:val="clear"/>
            <w:vAlign w:val="bottom"/>
          </w:tcPr>
          <w:p w:rsidR="00000000" w:rsidDel="00000000" w:rsidP="00000000" w:rsidRDefault="00000000" w:rsidRPr="00000000" w14:paraId="000000F5">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4% Debentures</w:t>
            </w:r>
          </w:p>
        </w:tc>
        <w:tc>
          <w:tcPr>
            <w:shd w:fill="auto" w:val="clear"/>
            <w:vAlign w:val="bottom"/>
          </w:tcPr>
          <w:p w:rsidR="00000000" w:rsidDel="00000000" w:rsidP="00000000" w:rsidRDefault="00000000" w:rsidRPr="00000000" w14:paraId="000000F6">
            <w:pPr>
              <w:spacing w:after="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F7">
            <w:pPr>
              <w:spacing w:after="0" w:line="360" w:lineRule="auto"/>
              <w:rPr>
                <w:rFonts w:ascii="Times New Roman" w:cs="Times New Roman" w:eastAsia="Times New Roman" w:hAnsi="Times New Roman"/>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F8">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100,000</w:t>
            </w:r>
          </w:p>
        </w:tc>
      </w:tr>
      <w:tr>
        <w:trPr>
          <w:trHeight w:val="300" w:hRule="atLeast"/>
        </w:trPr>
        <w:tc>
          <w:tcPr>
            <w:shd w:fill="auto" w:val="clear"/>
            <w:vAlign w:val="bottom"/>
          </w:tcPr>
          <w:p w:rsidR="00000000" w:rsidDel="00000000" w:rsidP="00000000" w:rsidRDefault="00000000" w:rsidRPr="00000000" w14:paraId="000000F9">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Total liabilities</w:t>
            </w:r>
          </w:p>
        </w:tc>
        <w:tc>
          <w:tcPr>
            <w:shd w:fill="auto" w:val="clear"/>
            <w:vAlign w:val="bottom"/>
          </w:tcPr>
          <w:p w:rsidR="00000000" w:rsidDel="00000000" w:rsidP="00000000" w:rsidRDefault="00000000" w:rsidRPr="00000000" w14:paraId="000000FA">
            <w:pPr>
              <w:spacing w:after="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FB">
            <w:pPr>
              <w:spacing w:after="0" w:line="360" w:lineRule="auto"/>
              <w:rPr>
                <w:rFonts w:ascii="Times New Roman" w:cs="Times New Roman" w:eastAsia="Times New Roman" w:hAnsi="Times New Roman"/>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FC">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344,355</w:t>
            </w:r>
          </w:p>
        </w:tc>
      </w:tr>
      <w:tr>
        <w:trPr>
          <w:trHeight w:val="300" w:hRule="atLeast"/>
        </w:trPr>
        <w:tc>
          <w:tcPr>
            <w:shd w:fill="auto" w:val="clear"/>
            <w:vAlign w:val="bottom"/>
          </w:tcPr>
          <w:p w:rsidR="00000000" w:rsidDel="00000000" w:rsidP="00000000" w:rsidRDefault="00000000" w:rsidRPr="00000000" w14:paraId="000000FD">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Shareholder equities</w:t>
            </w:r>
          </w:p>
        </w:tc>
        <w:tc>
          <w:tcPr>
            <w:shd w:fill="auto" w:val="clear"/>
            <w:vAlign w:val="bottom"/>
          </w:tcPr>
          <w:p w:rsidR="00000000" w:rsidDel="00000000" w:rsidP="00000000" w:rsidRDefault="00000000" w:rsidRPr="00000000" w14:paraId="000000FE">
            <w:pPr>
              <w:spacing w:after="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FF">
            <w:pPr>
              <w:spacing w:after="0" w:line="360" w:lineRule="auto"/>
              <w:rPr>
                <w:rFonts w:ascii="Times New Roman" w:cs="Times New Roman" w:eastAsia="Times New Roman" w:hAnsi="Times New Roman"/>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100">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802,980</w:t>
            </w:r>
          </w:p>
        </w:tc>
      </w:tr>
      <w:tr>
        <w:trPr>
          <w:trHeight w:val="300" w:hRule="atLeast"/>
        </w:trPr>
        <w:tc>
          <w:tcPr>
            <w:shd w:fill="auto" w:val="clear"/>
            <w:vAlign w:val="bottom"/>
          </w:tcPr>
          <w:p w:rsidR="00000000" w:rsidDel="00000000" w:rsidP="00000000" w:rsidRDefault="00000000" w:rsidRPr="00000000" w14:paraId="00000101">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Total shareholder equities and liabilities</w:t>
            </w:r>
          </w:p>
        </w:tc>
        <w:tc>
          <w:tcPr>
            <w:shd w:fill="auto" w:val="clear"/>
            <w:vAlign w:val="bottom"/>
          </w:tcPr>
          <w:p w:rsidR="00000000" w:rsidDel="00000000" w:rsidP="00000000" w:rsidRDefault="00000000" w:rsidRPr="00000000" w14:paraId="00000102">
            <w:pPr>
              <w:spacing w:after="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103">
            <w:pPr>
              <w:spacing w:after="0" w:line="360" w:lineRule="auto"/>
              <w:rPr>
                <w:rFonts w:ascii="Times New Roman" w:cs="Times New Roman" w:eastAsia="Times New Roman" w:hAnsi="Times New Roman"/>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104">
            <w:pPr>
              <w:spacing w:after="0" w:line="36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1,147,335</w:t>
            </w:r>
          </w:p>
        </w:tc>
      </w:tr>
    </w:tbl>
    <w:p w:rsidR="00000000" w:rsidDel="00000000" w:rsidP="00000000" w:rsidRDefault="00000000" w:rsidRPr="00000000" w14:paraId="00000105">
      <w:pPr>
        <w:spacing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5"/>
        <w:tblW w:w="6281.999999999999"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276"/>
        <w:gridCol w:w="1003"/>
        <w:gridCol w:w="1003"/>
        <w:tblGridChange w:id="0">
          <w:tblGrid>
            <w:gridCol w:w="4276"/>
            <w:gridCol w:w="1003"/>
            <w:gridCol w:w="1003"/>
          </w:tblGrid>
        </w:tblGridChange>
      </w:tblGrid>
      <w:tr>
        <w:trPr>
          <w:trHeight w:val="300" w:hRule="atLeast"/>
        </w:trPr>
        <w:tc>
          <w:tcPr>
            <w:gridSpan w:val="3"/>
            <w:shd w:fill="auto" w:val="clear"/>
            <w:vAlign w:val="bottom"/>
          </w:tcPr>
          <w:p w:rsidR="00000000" w:rsidDel="00000000" w:rsidP="00000000" w:rsidRDefault="00000000" w:rsidRPr="00000000" w14:paraId="00000106">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Equity statement</w:t>
            </w:r>
          </w:p>
        </w:tc>
      </w:tr>
      <w:tr>
        <w:trPr>
          <w:trHeight w:val="300" w:hRule="atLeast"/>
        </w:trPr>
        <w:tc>
          <w:tcPr>
            <w:shd w:fill="auto" w:val="clear"/>
            <w:vAlign w:val="bottom"/>
          </w:tcPr>
          <w:p w:rsidR="00000000" w:rsidDel="00000000" w:rsidP="00000000" w:rsidRDefault="00000000" w:rsidRPr="00000000" w14:paraId="00000109">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Particular</w:t>
            </w:r>
          </w:p>
        </w:tc>
        <w:tc>
          <w:tcPr>
            <w:shd w:fill="auto" w:val="clear"/>
            <w:vAlign w:val="bottom"/>
          </w:tcPr>
          <w:p w:rsidR="00000000" w:rsidDel="00000000" w:rsidP="00000000" w:rsidRDefault="00000000" w:rsidRPr="00000000" w14:paraId="0000010A">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Amount</w:t>
            </w:r>
          </w:p>
        </w:tc>
        <w:tc>
          <w:tcPr>
            <w:shd w:fill="auto" w:val="clear"/>
            <w:vAlign w:val="bottom"/>
          </w:tcPr>
          <w:p w:rsidR="00000000" w:rsidDel="00000000" w:rsidP="00000000" w:rsidRDefault="00000000" w:rsidRPr="00000000" w14:paraId="0000010B">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Amount</w:t>
            </w:r>
          </w:p>
        </w:tc>
      </w:tr>
      <w:tr>
        <w:trPr>
          <w:trHeight w:val="300" w:hRule="atLeast"/>
        </w:trPr>
        <w:tc>
          <w:tcPr>
            <w:shd w:fill="auto" w:val="clear"/>
            <w:vAlign w:val="bottom"/>
          </w:tcPr>
          <w:p w:rsidR="00000000" w:rsidDel="00000000" w:rsidP="00000000" w:rsidRDefault="00000000" w:rsidRPr="00000000" w14:paraId="0000010C">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 ordinary shares</w:t>
            </w:r>
          </w:p>
        </w:tc>
        <w:tc>
          <w:tcPr>
            <w:shd w:fill="auto" w:val="clear"/>
            <w:vAlign w:val="bottom"/>
          </w:tcPr>
          <w:p w:rsidR="00000000" w:rsidDel="00000000" w:rsidP="00000000" w:rsidRDefault="00000000" w:rsidRPr="00000000" w14:paraId="0000010D">
            <w:pPr>
              <w:spacing w:after="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10E">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310,000</w:t>
            </w:r>
          </w:p>
        </w:tc>
      </w:tr>
      <w:tr>
        <w:trPr>
          <w:trHeight w:val="300" w:hRule="atLeast"/>
        </w:trPr>
        <w:tc>
          <w:tcPr>
            <w:shd w:fill="auto" w:val="clear"/>
            <w:vAlign w:val="bottom"/>
          </w:tcPr>
          <w:p w:rsidR="00000000" w:rsidDel="00000000" w:rsidP="00000000" w:rsidRDefault="00000000" w:rsidRPr="00000000" w14:paraId="0000010F">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10% £1 preference shares</w:t>
            </w:r>
          </w:p>
        </w:tc>
        <w:tc>
          <w:tcPr>
            <w:shd w:fill="auto" w:val="clear"/>
            <w:vAlign w:val="bottom"/>
          </w:tcPr>
          <w:p w:rsidR="00000000" w:rsidDel="00000000" w:rsidP="00000000" w:rsidRDefault="00000000" w:rsidRPr="00000000" w14:paraId="00000110">
            <w:pPr>
              <w:spacing w:after="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111">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300,000</w:t>
            </w:r>
          </w:p>
        </w:tc>
      </w:tr>
      <w:tr>
        <w:trPr>
          <w:trHeight w:val="300" w:hRule="atLeast"/>
        </w:trPr>
        <w:tc>
          <w:tcPr>
            <w:shd w:fill="auto" w:val="clear"/>
            <w:vAlign w:val="bottom"/>
          </w:tcPr>
          <w:p w:rsidR="00000000" w:rsidDel="00000000" w:rsidP="00000000" w:rsidRDefault="00000000" w:rsidRPr="00000000" w14:paraId="00000112">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Retained profits at 1st January 2020</w:t>
            </w:r>
          </w:p>
        </w:tc>
        <w:tc>
          <w:tcPr>
            <w:shd w:fill="auto" w:val="clear"/>
            <w:vAlign w:val="bottom"/>
          </w:tcPr>
          <w:p w:rsidR="00000000" w:rsidDel="00000000" w:rsidP="00000000" w:rsidRDefault="00000000" w:rsidRPr="00000000" w14:paraId="00000113">
            <w:pPr>
              <w:spacing w:after="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114">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132,000</w:t>
            </w:r>
          </w:p>
        </w:tc>
      </w:tr>
      <w:tr>
        <w:trPr>
          <w:trHeight w:val="300" w:hRule="atLeast"/>
        </w:trPr>
        <w:tc>
          <w:tcPr>
            <w:shd w:fill="auto" w:val="clear"/>
            <w:vAlign w:val="bottom"/>
          </w:tcPr>
          <w:p w:rsidR="00000000" w:rsidDel="00000000" w:rsidP="00000000" w:rsidRDefault="00000000" w:rsidRPr="00000000" w14:paraId="00000115">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Profit for this year</w:t>
            </w:r>
          </w:p>
        </w:tc>
        <w:tc>
          <w:tcPr>
            <w:shd w:fill="auto" w:val="clear"/>
            <w:vAlign w:val="bottom"/>
          </w:tcPr>
          <w:p w:rsidR="00000000" w:rsidDel="00000000" w:rsidP="00000000" w:rsidRDefault="00000000" w:rsidRPr="00000000" w14:paraId="00000116">
            <w:pPr>
              <w:spacing w:after="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117">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110,980</w:t>
            </w:r>
          </w:p>
        </w:tc>
      </w:tr>
      <w:tr>
        <w:trPr>
          <w:trHeight w:val="300" w:hRule="atLeast"/>
        </w:trPr>
        <w:tc>
          <w:tcPr>
            <w:shd w:fill="auto" w:val="clear"/>
            <w:vAlign w:val="bottom"/>
          </w:tcPr>
          <w:p w:rsidR="00000000" w:rsidDel="00000000" w:rsidP="00000000" w:rsidRDefault="00000000" w:rsidRPr="00000000" w14:paraId="00000118">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Ordinary dividend paid</w:t>
            </w:r>
          </w:p>
        </w:tc>
        <w:tc>
          <w:tcPr>
            <w:shd w:fill="auto" w:val="clear"/>
            <w:vAlign w:val="bottom"/>
          </w:tcPr>
          <w:p w:rsidR="00000000" w:rsidDel="00000000" w:rsidP="00000000" w:rsidRDefault="00000000" w:rsidRPr="00000000" w14:paraId="00000119">
            <w:pPr>
              <w:spacing w:after="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11A">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-20,000</w:t>
            </w:r>
          </w:p>
        </w:tc>
      </w:tr>
      <w:tr>
        <w:trPr>
          <w:trHeight w:val="300" w:hRule="atLeast"/>
        </w:trPr>
        <w:tc>
          <w:tcPr>
            <w:shd w:fill="auto" w:val="clear"/>
            <w:vAlign w:val="bottom"/>
          </w:tcPr>
          <w:p w:rsidR="00000000" w:rsidDel="00000000" w:rsidP="00000000" w:rsidRDefault="00000000" w:rsidRPr="00000000" w14:paraId="0000011B">
            <w:pPr>
              <w:spacing w:after="0"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Preference dividend paid</w:t>
            </w:r>
          </w:p>
        </w:tc>
        <w:tc>
          <w:tcPr>
            <w:shd w:fill="auto" w:val="clear"/>
            <w:vAlign w:val="bottom"/>
          </w:tcPr>
          <w:p w:rsidR="00000000" w:rsidDel="00000000" w:rsidP="00000000" w:rsidRDefault="00000000" w:rsidRPr="00000000" w14:paraId="0000011C">
            <w:pPr>
              <w:spacing w:after="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11D">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-30,000</w:t>
            </w:r>
          </w:p>
        </w:tc>
      </w:tr>
      <w:tr>
        <w:trPr>
          <w:trHeight w:val="300" w:hRule="atLeast"/>
        </w:trPr>
        <w:tc>
          <w:tcPr>
            <w:shd w:fill="auto" w:val="clear"/>
            <w:vAlign w:val="bottom"/>
          </w:tcPr>
          <w:p w:rsidR="00000000" w:rsidDel="00000000" w:rsidP="00000000" w:rsidRDefault="00000000" w:rsidRPr="00000000" w14:paraId="0000011E">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Net equity </w:t>
            </w:r>
          </w:p>
        </w:tc>
        <w:tc>
          <w:tcPr>
            <w:shd w:fill="auto" w:val="clear"/>
            <w:vAlign w:val="bottom"/>
          </w:tcPr>
          <w:p w:rsidR="00000000" w:rsidDel="00000000" w:rsidP="00000000" w:rsidRDefault="00000000" w:rsidRPr="00000000" w14:paraId="0000011F">
            <w:pPr>
              <w:spacing w:after="0" w:line="360" w:lineRule="auto"/>
              <w:rPr>
                <w:rFonts w:ascii="Times New Roman" w:cs="Times New Roman" w:eastAsia="Times New Roman" w:hAnsi="Times New Roman"/>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120">
            <w:pPr>
              <w:spacing w:after="0" w:line="36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802,980</w:t>
            </w:r>
          </w:p>
        </w:tc>
      </w:tr>
    </w:tbl>
    <w:p w:rsidR="00000000" w:rsidDel="00000000" w:rsidP="00000000" w:rsidRDefault="00000000" w:rsidRPr="00000000" w14:paraId="0000012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2">
      <w:pPr>
        <w:pStyle w:val="Heading2"/>
        <w:spacing w:line="360" w:lineRule="auto"/>
        <w:jc w:val="both"/>
        <w:rPr>
          <w:rFonts w:ascii="Times New Roman" w:cs="Times New Roman" w:eastAsia="Times New Roman" w:hAnsi="Times New Roman"/>
          <w:sz w:val="28"/>
          <w:szCs w:val="28"/>
        </w:rPr>
      </w:pPr>
      <w:bookmarkStart w:colFirst="0" w:colLast="0" w:name="_heading=h.3dy6vkm" w:id="6"/>
      <w:bookmarkEnd w:id="6"/>
      <w:r w:rsidDel="00000000" w:rsidR="00000000" w:rsidRPr="00000000">
        <w:rPr>
          <w:rFonts w:ascii="Times New Roman" w:cs="Times New Roman" w:eastAsia="Times New Roman" w:hAnsi="Times New Roman"/>
          <w:sz w:val="28"/>
          <w:szCs w:val="28"/>
          <w:rtl w:val="0"/>
        </w:rPr>
        <w:t xml:space="preserve">The statement of financial position balances  </w:t>
      </w:r>
    </w:p>
    <w:p w:rsidR="00000000" w:rsidDel="00000000" w:rsidP="00000000" w:rsidRDefault="00000000" w:rsidRPr="00000000" w14:paraId="0000012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Subramanyam (2014) address that the statement of balance sheet balances is always due to if follows the golden rules of accounting, A = L + O/E. The father of accounting Lucca Pacioli has identified this law in the book of summa de arithmetica proportioni et proportionalita. Lucca Pacioli has mentioned that the assets of the organisation should be equal to the combination of equity and liabilities (Lucey, 2009). It is also known as the double entre system. One may buy an asset and buy a new one (spend cash for something else). People may also borrow a new buy (take out a mortgage to purchase a building). Finally, money from the owners may be taken to buy (sell stock to raise cash for an expansion). All three business events follow the accounting equation and the dual-accounting system, where the equation is always in balance on both sides.</w:t>
      </w:r>
    </w:p>
    <w:p w:rsidR="00000000" w:rsidDel="00000000" w:rsidP="00000000" w:rsidRDefault="00000000" w:rsidRPr="00000000" w14:paraId="00000124">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125">
      <w:pPr>
        <w:pStyle w:val="Heading1"/>
        <w:spacing w:line="360" w:lineRule="auto"/>
        <w:jc w:val="both"/>
        <w:rPr>
          <w:rFonts w:ascii="Times New Roman" w:cs="Times New Roman" w:eastAsia="Times New Roman" w:hAnsi="Times New Roman"/>
        </w:rPr>
      </w:pPr>
      <w:bookmarkStart w:colFirst="0" w:colLast="0" w:name="_heading=h.1t3h5sf" w:id="7"/>
      <w:bookmarkEnd w:id="7"/>
      <w:r w:rsidDel="00000000" w:rsidR="00000000" w:rsidRPr="00000000">
        <w:rPr>
          <w:rFonts w:ascii="Times New Roman" w:cs="Times New Roman" w:eastAsia="Times New Roman" w:hAnsi="Times New Roman"/>
          <w:rtl w:val="0"/>
        </w:rPr>
        <w:t xml:space="preserve">Question 2 </w:t>
      </w:r>
    </w:p>
    <w:p w:rsidR="00000000" w:rsidDel="00000000" w:rsidP="00000000" w:rsidRDefault="00000000" w:rsidRPr="00000000" w14:paraId="00000126">
      <w:pPr>
        <w:pStyle w:val="Heading2"/>
        <w:spacing w:line="360" w:lineRule="auto"/>
        <w:jc w:val="both"/>
        <w:rPr>
          <w:rFonts w:ascii="Times New Roman" w:cs="Times New Roman" w:eastAsia="Times New Roman" w:hAnsi="Times New Roman"/>
          <w:sz w:val="28"/>
          <w:szCs w:val="28"/>
        </w:rPr>
      </w:pPr>
      <w:bookmarkStart w:colFirst="0" w:colLast="0" w:name="_heading=h.4d34og8" w:id="8"/>
      <w:bookmarkEnd w:id="8"/>
      <w:r w:rsidDel="00000000" w:rsidR="00000000" w:rsidRPr="00000000">
        <w:rPr>
          <w:rFonts w:ascii="Times New Roman" w:cs="Times New Roman" w:eastAsia="Times New Roman" w:hAnsi="Times New Roman"/>
          <w:sz w:val="28"/>
          <w:szCs w:val="28"/>
          <w:rtl w:val="0"/>
        </w:rPr>
        <w:t xml:space="preserve">Discussion and calculation of financial performance </w:t>
      </w:r>
    </w:p>
    <w:p w:rsidR="00000000" w:rsidDel="00000000" w:rsidP="00000000" w:rsidRDefault="00000000" w:rsidRPr="00000000" w14:paraId="00000127">
      <w:pPr>
        <w:pStyle w:val="Heading3"/>
        <w:spacing w:line="360" w:lineRule="auto"/>
        <w:jc w:val="both"/>
        <w:rPr>
          <w:rFonts w:ascii="Times New Roman" w:cs="Times New Roman" w:eastAsia="Times New Roman" w:hAnsi="Times New Roman"/>
        </w:rPr>
      </w:pPr>
      <w:bookmarkStart w:colFirst="0" w:colLast="0" w:name="_heading=h.2s8eyo1" w:id="9"/>
      <w:bookmarkEnd w:id="9"/>
      <w:r w:rsidDel="00000000" w:rsidR="00000000" w:rsidRPr="00000000">
        <w:rPr>
          <w:rFonts w:ascii="Times New Roman" w:cs="Times New Roman" w:eastAsia="Times New Roman" w:hAnsi="Times New Roman"/>
          <w:rtl w:val="0"/>
        </w:rPr>
        <w:t xml:space="preserve">ROCE</w:t>
      </w:r>
    </w:p>
    <w:p w:rsidR="00000000" w:rsidDel="00000000" w:rsidP="00000000" w:rsidRDefault="00000000" w:rsidRPr="00000000" w14:paraId="0000012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Companies guarantee that they add leverage in their entire capital to their investors and therefore demonstrate greater profits and profits (Walker, 2009). Capital income is a return on capital employed ratio that helps to understand the profit generated by each rupee of the total capital employed. Atrill and Mclaney (2019) demonstrate how effectively a firm may benefit from its commercial activities. It is the ratio of a long-term profit used for assessing the lifespan of a business in terms of its asset performance and of the company's long-term finance. ROCE helps to determine how effectively a business can produce profits utilising its whole capital.</w:t>
      </w:r>
    </w:p>
    <w:tbl>
      <w:tblPr>
        <w:tblStyle w:val="Table6"/>
        <w:tblW w:w="9355.000000000002"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396"/>
        <w:gridCol w:w="2163"/>
        <w:gridCol w:w="1796"/>
        <w:tblGridChange w:id="0">
          <w:tblGrid>
            <w:gridCol w:w="5396"/>
            <w:gridCol w:w="2163"/>
            <w:gridCol w:w="1796"/>
          </w:tblGrid>
        </w:tblGridChange>
      </w:tblGrid>
      <w:tr>
        <w:trPr>
          <w:trHeight w:val="315" w:hRule="atLeast"/>
        </w:trPr>
        <w:tc>
          <w:tcPr>
            <w:shd w:fill="auto" w:val="clear"/>
            <w:vAlign w:val="bottom"/>
          </w:tcPr>
          <w:p w:rsidR="00000000" w:rsidDel="00000000" w:rsidP="00000000" w:rsidRDefault="00000000" w:rsidRPr="00000000" w14:paraId="00000129">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ROCE</w:t>
            </w:r>
          </w:p>
        </w:tc>
        <w:tc>
          <w:tcPr>
            <w:gridSpan w:val="2"/>
            <w:shd w:fill="auto" w:val="clear"/>
            <w:vAlign w:val="bottom"/>
          </w:tcPr>
          <w:p w:rsidR="00000000" w:rsidDel="00000000" w:rsidP="00000000" w:rsidRDefault="00000000" w:rsidRPr="00000000" w14:paraId="0000012A">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EBIT/Capital employed</w:t>
            </w:r>
          </w:p>
        </w:tc>
      </w:tr>
      <w:tr>
        <w:trPr>
          <w:trHeight w:val="315" w:hRule="atLeast"/>
        </w:trPr>
        <w:tc>
          <w:tcPr>
            <w:shd w:fill="auto" w:val="clear"/>
            <w:vAlign w:val="bottom"/>
          </w:tcPr>
          <w:p w:rsidR="00000000" w:rsidDel="00000000" w:rsidP="00000000" w:rsidRDefault="00000000" w:rsidRPr="00000000" w14:paraId="0000012C">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Year</w:t>
            </w:r>
          </w:p>
        </w:tc>
        <w:tc>
          <w:tcPr>
            <w:shd w:fill="auto" w:val="clear"/>
            <w:vAlign w:val="bottom"/>
          </w:tcPr>
          <w:p w:rsidR="00000000" w:rsidDel="00000000" w:rsidP="00000000" w:rsidRDefault="00000000" w:rsidRPr="00000000" w14:paraId="0000012D">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2020</w:t>
            </w:r>
          </w:p>
        </w:tc>
        <w:tc>
          <w:tcPr>
            <w:shd w:fill="auto" w:val="clear"/>
            <w:vAlign w:val="bottom"/>
          </w:tcPr>
          <w:p w:rsidR="00000000" w:rsidDel="00000000" w:rsidP="00000000" w:rsidRDefault="00000000" w:rsidRPr="00000000" w14:paraId="0000012E">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2019</w:t>
            </w:r>
          </w:p>
        </w:tc>
      </w:tr>
      <w:tr>
        <w:trPr>
          <w:trHeight w:val="315" w:hRule="atLeast"/>
        </w:trPr>
        <w:tc>
          <w:tcPr>
            <w:shd w:fill="auto" w:val="clear"/>
            <w:vAlign w:val="bottom"/>
          </w:tcPr>
          <w:p w:rsidR="00000000" w:rsidDel="00000000" w:rsidP="00000000" w:rsidRDefault="00000000" w:rsidRPr="00000000" w14:paraId="0000012F">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EBIT</w:t>
            </w:r>
          </w:p>
        </w:tc>
        <w:tc>
          <w:tcPr>
            <w:shd w:fill="auto" w:val="clear"/>
            <w:vAlign w:val="bottom"/>
          </w:tcPr>
          <w:p w:rsidR="00000000" w:rsidDel="00000000" w:rsidP="00000000" w:rsidRDefault="00000000" w:rsidRPr="00000000" w14:paraId="00000130">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805</w:t>
            </w:r>
          </w:p>
        </w:tc>
        <w:tc>
          <w:tcPr>
            <w:shd w:fill="auto" w:val="clear"/>
            <w:vAlign w:val="bottom"/>
          </w:tcPr>
          <w:p w:rsidR="00000000" w:rsidDel="00000000" w:rsidP="00000000" w:rsidRDefault="00000000" w:rsidRPr="00000000" w14:paraId="00000131">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699</w:t>
            </w:r>
          </w:p>
        </w:tc>
      </w:tr>
      <w:tr>
        <w:trPr>
          <w:trHeight w:val="315" w:hRule="atLeast"/>
        </w:trPr>
        <w:tc>
          <w:tcPr>
            <w:shd w:fill="auto" w:val="clear"/>
            <w:vAlign w:val="bottom"/>
          </w:tcPr>
          <w:p w:rsidR="00000000" w:rsidDel="00000000" w:rsidP="00000000" w:rsidRDefault="00000000" w:rsidRPr="00000000" w14:paraId="00000132">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Capital employed (Total assets-current liabilities)</w:t>
            </w:r>
          </w:p>
        </w:tc>
        <w:tc>
          <w:tcPr>
            <w:shd w:fill="auto" w:val="clear"/>
            <w:vAlign w:val="bottom"/>
          </w:tcPr>
          <w:p w:rsidR="00000000" w:rsidDel="00000000" w:rsidP="00000000" w:rsidRDefault="00000000" w:rsidRPr="00000000" w14:paraId="00000133">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7225</w:t>
            </w:r>
          </w:p>
        </w:tc>
        <w:tc>
          <w:tcPr>
            <w:shd w:fill="auto" w:val="clear"/>
            <w:vAlign w:val="bottom"/>
          </w:tcPr>
          <w:p w:rsidR="00000000" w:rsidDel="00000000" w:rsidP="00000000" w:rsidRDefault="00000000" w:rsidRPr="00000000" w14:paraId="00000134">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7,041</w:t>
            </w:r>
          </w:p>
        </w:tc>
      </w:tr>
      <w:tr>
        <w:trPr>
          <w:trHeight w:val="315" w:hRule="atLeast"/>
        </w:trPr>
        <w:tc>
          <w:tcPr>
            <w:shd w:fill="auto" w:val="clear"/>
            <w:vAlign w:val="bottom"/>
          </w:tcPr>
          <w:p w:rsidR="00000000" w:rsidDel="00000000" w:rsidP="00000000" w:rsidRDefault="00000000" w:rsidRPr="00000000" w14:paraId="00000135">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ROCE</w:t>
            </w:r>
          </w:p>
        </w:tc>
        <w:tc>
          <w:tcPr>
            <w:shd w:fill="auto" w:val="clear"/>
            <w:vAlign w:val="bottom"/>
          </w:tcPr>
          <w:p w:rsidR="00000000" w:rsidDel="00000000" w:rsidP="00000000" w:rsidRDefault="00000000" w:rsidRPr="00000000" w14:paraId="00000136">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11%</w:t>
            </w:r>
          </w:p>
        </w:tc>
        <w:tc>
          <w:tcPr>
            <w:shd w:fill="auto" w:val="clear"/>
            <w:vAlign w:val="bottom"/>
          </w:tcPr>
          <w:p w:rsidR="00000000" w:rsidDel="00000000" w:rsidP="00000000" w:rsidRDefault="00000000" w:rsidRPr="00000000" w14:paraId="00000137">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10%</w:t>
            </w:r>
          </w:p>
        </w:tc>
      </w:tr>
    </w:tbl>
    <w:p w:rsidR="00000000" w:rsidDel="00000000" w:rsidP="00000000" w:rsidRDefault="00000000" w:rsidRPr="00000000" w14:paraId="0000013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9">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rPr>
        <w:drawing>
          <wp:inline distB="0" distT="0" distL="0" distR="0">
            <wp:extent cx="4572000" cy="2743200"/>
            <wp:docPr id="16" name=""/>
            <a:graphic>
              <a:graphicData uri="http://schemas.openxmlformats.org/drawingml/2006/chart">
                <c:chart r:id="rId8"/>
              </a:graphicData>
            </a:graphic>
          </wp:inline>
        </w:drawing>
      </w:r>
      <w:r w:rsidDel="00000000" w:rsidR="00000000" w:rsidRPr="00000000">
        <w:rPr>
          <w:rtl w:val="0"/>
        </w:rPr>
      </w:r>
    </w:p>
    <w:p w:rsidR="00000000" w:rsidDel="00000000" w:rsidP="00000000" w:rsidRDefault="00000000" w:rsidRPr="00000000" w14:paraId="0000013A">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13B">
      <w:pPr>
        <w:pStyle w:val="Heading3"/>
        <w:spacing w:line="360" w:lineRule="auto"/>
        <w:jc w:val="both"/>
        <w:rPr>
          <w:rFonts w:ascii="Times New Roman" w:cs="Times New Roman" w:eastAsia="Times New Roman" w:hAnsi="Times New Roman"/>
        </w:rPr>
      </w:pPr>
      <w:bookmarkStart w:colFirst="0" w:colLast="0" w:name="_heading=h.17dp8vu" w:id="10"/>
      <w:bookmarkEnd w:id="10"/>
      <w:r w:rsidDel="00000000" w:rsidR="00000000" w:rsidRPr="00000000">
        <w:rPr>
          <w:rFonts w:ascii="Times New Roman" w:cs="Times New Roman" w:eastAsia="Times New Roman" w:hAnsi="Times New Roman"/>
          <w:rtl w:val="0"/>
        </w:rPr>
        <w:t xml:space="preserve">ROE</w:t>
      </w:r>
    </w:p>
    <w:p w:rsidR="00000000" w:rsidDel="00000000" w:rsidP="00000000" w:rsidRDefault="00000000" w:rsidRPr="00000000" w14:paraId="0000013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business return on equity measures the return rate in return for the shareholder of the company's common stock. Repay on equity tells how efficient a business is to return its owners' capital (Atrill and Mclaney, 2019). Return on equity Return on equity (ROE) evaluates an annual return or net revenue of a business divided by the value of the whole equity of its owners. ROE is often used as a way to evaluate the efficiency of a company's assets in profit generation (Jones, 2013). Atrill and Mclaney (2013) argue that ROE reflects the full return on its capital stock and illustrates the capacity of the business to make profits from its equity investment. It quantifies the profit on 1 rupee of shareholders' equity in more simple terms.</w:t>
      </w:r>
    </w:p>
    <w:tbl>
      <w:tblPr>
        <w:tblStyle w:val="Table7"/>
        <w:tblW w:w="935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160"/>
        <w:gridCol w:w="2163"/>
        <w:gridCol w:w="2032"/>
        <w:tblGridChange w:id="0">
          <w:tblGrid>
            <w:gridCol w:w="5160"/>
            <w:gridCol w:w="2163"/>
            <w:gridCol w:w="2032"/>
          </w:tblGrid>
        </w:tblGridChange>
      </w:tblGrid>
      <w:tr>
        <w:trPr>
          <w:trHeight w:val="315" w:hRule="atLeast"/>
        </w:trPr>
        <w:tc>
          <w:tcPr>
            <w:shd w:fill="auto" w:val="clear"/>
            <w:vAlign w:val="bottom"/>
          </w:tcPr>
          <w:p w:rsidR="00000000" w:rsidDel="00000000" w:rsidP="00000000" w:rsidRDefault="00000000" w:rsidRPr="00000000" w14:paraId="0000013D">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ROE</w:t>
            </w:r>
          </w:p>
        </w:tc>
        <w:tc>
          <w:tcPr>
            <w:gridSpan w:val="2"/>
            <w:shd w:fill="auto" w:val="clear"/>
            <w:vAlign w:val="bottom"/>
          </w:tcPr>
          <w:p w:rsidR="00000000" w:rsidDel="00000000" w:rsidP="00000000" w:rsidRDefault="00000000" w:rsidRPr="00000000" w14:paraId="0000013E">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Net profit/ Total equity</w:t>
            </w:r>
          </w:p>
        </w:tc>
      </w:tr>
      <w:tr>
        <w:trPr>
          <w:trHeight w:val="315" w:hRule="atLeast"/>
        </w:trPr>
        <w:tc>
          <w:tcPr>
            <w:shd w:fill="auto" w:val="clear"/>
            <w:vAlign w:val="bottom"/>
          </w:tcPr>
          <w:p w:rsidR="00000000" w:rsidDel="00000000" w:rsidP="00000000" w:rsidRDefault="00000000" w:rsidRPr="00000000" w14:paraId="00000140">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Year</w:t>
            </w:r>
          </w:p>
        </w:tc>
        <w:tc>
          <w:tcPr>
            <w:shd w:fill="auto" w:val="clear"/>
            <w:vAlign w:val="bottom"/>
          </w:tcPr>
          <w:p w:rsidR="00000000" w:rsidDel="00000000" w:rsidP="00000000" w:rsidRDefault="00000000" w:rsidRPr="00000000" w14:paraId="00000141">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2020</w:t>
            </w:r>
          </w:p>
        </w:tc>
        <w:tc>
          <w:tcPr>
            <w:shd w:fill="auto" w:val="clear"/>
            <w:vAlign w:val="bottom"/>
          </w:tcPr>
          <w:p w:rsidR="00000000" w:rsidDel="00000000" w:rsidP="00000000" w:rsidRDefault="00000000" w:rsidRPr="00000000" w14:paraId="00000142">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2019</w:t>
            </w:r>
          </w:p>
        </w:tc>
      </w:tr>
      <w:tr>
        <w:trPr>
          <w:trHeight w:val="315" w:hRule="atLeast"/>
        </w:trPr>
        <w:tc>
          <w:tcPr>
            <w:shd w:fill="auto" w:val="clear"/>
            <w:vAlign w:val="bottom"/>
          </w:tcPr>
          <w:p w:rsidR="00000000" w:rsidDel="00000000" w:rsidP="00000000" w:rsidRDefault="00000000" w:rsidRPr="00000000" w14:paraId="00000143">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Net profit</w:t>
            </w:r>
          </w:p>
        </w:tc>
        <w:tc>
          <w:tcPr>
            <w:shd w:fill="auto" w:val="clear"/>
            <w:vAlign w:val="bottom"/>
          </w:tcPr>
          <w:p w:rsidR="00000000" w:rsidDel="00000000" w:rsidP="00000000" w:rsidRDefault="00000000" w:rsidRPr="00000000" w14:paraId="00000144">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431</w:t>
            </w:r>
          </w:p>
        </w:tc>
        <w:tc>
          <w:tcPr>
            <w:shd w:fill="auto" w:val="clear"/>
            <w:vAlign w:val="bottom"/>
          </w:tcPr>
          <w:p w:rsidR="00000000" w:rsidDel="00000000" w:rsidP="00000000" w:rsidRDefault="00000000" w:rsidRPr="00000000" w14:paraId="00000145">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366</w:t>
            </w:r>
          </w:p>
        </w:tc>
      </w:tr>
      <w:tr>
        <w:trPr>
          <w:trHeight w:val="315" w:hRule="atLeast"/>
        </w:trPr>
        <w:tc>
          <w:tcPr>
            <w:shd w:fill="auto" w:val="clear"/>
            <w:vAlign w:val="bottom"/>
          </w:tcPr>
          <w:p w:rsidR="00000000" w:rsidDel="00000000" w:rsidP="00000000" w:rsidRDefault="00000000" w:rsidRPr="00000000" w14:paraId="00000146">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Total equity</w:t>
            </w:r>
          </w:p>
        </w:tc>
        <w:tc>
          <w:tcPr>
            <w:shd w:fill="auto" w:val="clear"/>
            <w:vAlign w:val="bottom"/>
          </w:tcPr>
          <w:p w:rsidR="00000000" w:rsidDel="00000000" w:rsidP="00000000" w:rsidRDefault="00000000" w:rsidRPr="00000000" w14:paraId="00000147">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3088</w:t>
            </w:r>
          </w:p>
        </w:tc>
        <w:tc>
          <w:tcPr>
            <w:shd w:fill="auto" w:val="clear"/>
            <w:vAlign w:val="bottom"/>
          </w:tcPr>
          <w:p w:rsidR="00000000" w:rsidDel="00000000" w:rsidP="00000000" w:rsidRDefault="00000000" w:rsidRPr="00000000" w14:paraId="00000148">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2,912</w:t>
            </w:r>
          </w:p>
        </w:tc>
      </w:tr>
      <w:tr>
        <w:trPr>
          <w:trHeight w:val="315" w:hRule="atLeast"/>
        </w:trPr>
        <w:tc>
          <w:tcPr>
            <w:shd w:fill="auto" w:val="clear"/>
            <w:vAlign w:val="bottom"/>
          </w:tcPr>
          <w:p w:rsidR="00000000" w:rsidDel="00000000" w:rsidP="00000000" w:rsidRDefault="00000000" w:rsidRPr="00000000" w14:paraId="00000149">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ROE</w:t>
            </w:r>
          </w:p>
        </w:tc>
        <w:tc>
          <w:tcPr>
            <w:shd w:fill="auto" w:val="clear"/>
            <w:vAlign w:val="bottom"/>
          </w:tcPr>
          <w:p w:rsidR="00000000" w:rsidDel="00000000" w:rsidP="00000000" w:rsidRDefault="00000000" w:rsidRPr="00000000" w14:paraId="0000014A">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14%</w:t>
            </w:r>
          </w:p>
        </w:tc>
        <w:tc>
          <w:tcPr>
            <w:shd w:fill="auto" w:val="clear"/>
            <w:vAlign w:val="bottom"/>
          </w:tcPr>
          <w:p w:rsidR="00000000" w:rsidDel="00000000" w:rsidP="00000000" w:rsidRDefault="00000000" w:rsidRPr="00000000" w14:paraId="0000014B">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13%</w:t>
            </w:r>
          </w:p>
        </w:tc>
      </w:tr>
    </w:tbl>
    <w:p w:rsidR="00000000" w:rsidDel="00000000" w:rsidP="00000000" w:rsidRDefault="00000000" w:rsidRPr="00000000" w14:paraId="0000014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D">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rPr>
        <w:drawing>
          <wp:inline distB="0" distT="0" distL="0" distR="0">
            <wp:extent cx="4572000" cy="2743200"/>
            <wp:docPr id="18" name=""/>
            <a:graphic>
              <a:graphicData uri="http://schemas.openxmlformats.org/drawingml/2006/chart">
                <c:chart r:id="rId9"/>
              </a:graphicData>
            </a:graphic>
          </wp:inline>
        </w:drawing>
      </w:r>
      <w:r w:rsidDel="00000000" w:rsidR="00000000" w:rsidRPr="00000000">
        <w:rPr>
          <w:rtl w:val="0"/>
        </w:rPr>
      </w:r>
    </w:p>
    <w:p w:rsidR="00000000" w:rsidDel="00000000" w:rsidP="00000000" w:rsidRDefault="00000000" w:rsidRPr="00000000" w14:paraId="0000014E">
      <w:pPr>
        <w:pStyle w:val="Heading3"/>
        <w:rPr>
          <w:rFonts w:ascii="Times New Roman" w:cs="Times New Roman" w:eastAsia="Times New Roman" w:hAnsi="Times New Roman"/>
        </w:rPr>
      </w:pPr>
      <w:bookmarkStart w:colFirst="0" w:colLast="0" w:name="_heading=h.3rdcrjn" w:id="11"/>
      <w:bookmarkEnd w:id="11"/>
      <w:r w:rsidDel="00000000" w:rsidR="00000000" w:rsidRPr="00000000">
        <w:rPr>
          <w:rFonts w:ascii="Times New Roman" w:cs="Times New Roman" w:eastAsia="Times New Roman" w:hAnsi="Times New Roman"/>
          <w:rtl w:val="0"/>
        </w:rPr>
        <w:t xml:space="preserve">EPS</w:t>
      </w:r>
    </w:p>
    <w:p w:rsidR="00000000" w:rsidDel="00000000" w:rsidP="00000000" w:rsidRDefault="00000000" w:rsidRPr="00000000" w14:paraId="0000014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Earnings per share or EPS is a significant financial metric that shows an enterprise's profitability. It is determined by dividing the net revenue of the business by its entire share number (Wood, 2013). It is a technique commonly used by market players to measure a company's return on business before purchasing its shares. EPS is the part of the profit of an undertaking assigned to each equity share. For investors and individuals who trade in the stock market, this is a word of great significance (Walker, 2009). The greater a company's profits per share, its profitability improves. The weighted ratio should be used in the calculation of the EPS since the number of outstanding shares may vary over time.</w:t>
      </w:r>
    </w:p>
    <w:tbl>
      <w:tblPr>
        <w:tblStyle w:val="Table8"/>
        <w:tblW w:w="944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160"/>
        <w:gridCol w:w="2290"/>
        <w:gridCol w:w="1995"/>
        <w:tblGridChange w:id="0">
          <w:tblGrid>
            <w:gridCol w:w="5160"/>
            <w:gridCol w:w="2290"/>
            <w:gridCol w:w="1995"/>
          </w:tblGrid>
        </w:tblGridChange>
      </w:tblGrid>
      <w:tr>
        <w:trPr>
          <w:trHeight w:val="315" w:hRule="atLeast"/>
        </w:trPr>
        <w:tc>
          <w:tcPr>
            <w:shd w:fill="auto" w:val="clear"/>
            <w:vAlign w:val="bottom"/>
          </w:tcPr>
          <w:p w:rsidR="00000000" w:rsidDel="00000000" w:rsidP="00000000" w:rsidRDefault="00000000" w:rsidRPr="00000000" w14:paraId="00000150">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EPS</w:t>
            </w:r>
          </w:p>
        </w:tc>
        <w:tc>
          <w:tcPr>
            <w:gridSpan w:val="2"/>
            <w:shd w:fill="auto" w:val="clear"/>
            <w:vAlign w:val="bottom"/>
          </w:tcPr>
          <w:p w:rsidR="00000000" w:rsidDel="00000000" w:rsidP="00000000" w:rsidRDefault="00000000" w:rsidRPr="00000000" w14:paraId="00000151">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Net profit/ Total number of shares</w:t>
            </w:r>
          </w:p>
        </w:tc>
      </w:tr>
      <w:tr>
        <w:trPr>
          <w:trHeight w:val="315" w:hRule="atLeast"/>
        </w:trPr>
        <w:tc>
          <w:tcPr>
            <w:shd w:fill="auto" w:val="clear"/>
            <w:vAlign w:val="bottom"/>
          </w:tcPr>
          <w:p w:rsidR="00000000" w:rsidDel="00000000" w:rsidP="00000000" w:rsidRDefault="00000000" w:rsidRPr="00000000" w14:paraId="00000153">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Year</w:t>
            </w:r>
          </w:p>
        </w:tc>
        <w:tc>
          <w:tcPr>
            <w:shd w:fill="auto" w:val="clear"/>
            <w:vAlign w:val="bottom"/>
          </w:tcPr>
          <w:p w:rsidR="00000000" w:rsidDel="00000000" w:rsidP="00000000" w:rsidRDefault="00000000" w:rsidRPr="00000000" w14:paraId="00000154">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2020</w:t>
            </w:r>
          </w:p>
        </w:tc>
        <w:tc>
          <w:tcPr>
            <w:shd w:fill="auto" w:val="clear"/>
            <w:vAlign w:val="bottom"/>
          </w:tcPr>
          <w:p w:rsidR="00000000" w:rsidDel="00000000" w:rsidP="00000000" w:rsidRDefault="00000000" w:rsidRPr="00000000" w14:paraId="00000155">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2019</w:t>
            </w:r>
          </w:p>
        </w:tc>
      </w:tr>
      <w:tr>
        <w:trPr>
          <w:trHeight w:val="315" w:hRule="atLeast"/>
        </w:trPr>
        <w:tc>
          <w:tcPr>
            <w:shd w:fill="auto" w:val="clear"/>
            <w:vAlign w:val="bottom"/>
          </w:tcPr>
          <w:p w:rsidR="00000000" w:rsidDel="00000000" w:rsidP="00000000" w:rsidRDefault="00000000" w:rsidRPr="00000000" w14:paraId="00000156">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Net profit</w:t>
            </w:r>
          </w:p>
        </w:tc>
        <w:tc>
          <w:tcPr>
            <w:shd w:fill="auto" w:val="clear"/>
            <w:vAlign w:val="bottom"/>
          </w:tcPr>
          <w:p w:rsidR="00000000" w:rsidDel="00000000" w:rsidP="00000000" w:rsidRDefault="00000000" w:rsidRPr="00000000" w14:paraId="00000157">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431</w:t>
            </w:r>
          </w:p>
        </w:tc>
        <w:tc>
          <w:tcPr>
            <w:shd w:fill="auto" w:val="clear"/>
            <w:vAlign w:val="bottom"/>
          </w:tcPr>
          <w:p w:rsidR="00000000" w:rsidDel="00000000" w:rsidP="00000000" w:rsidRDefault="00000000" w:rsidRPr="00000000" w14:paraId="00000158">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366</w:t>
            </w:r>
          </w:p>
        </w:tc>
      </w:tr>
      <w:tr>
        <w:trPr>
          <w:trHeight w:val="315" w:hRule="atLeast"/>
        </w:trPr>
        <w:tc>
          <w:tcPr>
            <w:shd w:fill="auto" w:val="clear"/>
            <w:vAlign w:val="bottom"/>
          </w:tcPr>
          <w:p w:rsidR="00000000" w:rsidDel="00000000" w:rsidP="00000000" w:rsidRDefault="00000000" w:rsidRPr="00000000" w14:paraId="00000159">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Total number of share</w:t>
            </w:r>
          </w:p>
        </w:tc>
        <w:tc>
          <w:tcPr>
            <w:shd w:fill="auto" w:val="clear"/>
            <w:vAlign w:val="bottom"/>
          </w:tcPr>
          <w:p w:rsidR="00000000" w:rsidDel="00000000" w:rsidP="00000000" w:rsidRDefault="00000000" w:rsidRPr="00000000" w14:paraId="0000015A">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60</w:t>
            </w:r>
          </w:p>
        </w:tc>
        <w:tc>
          <w:tcPr>
            <w:shd w:fill="auto" w:val="clear"/>
            <w:vAlign w:val="bottom"/>
          </w:tcPr>
          <w:p w:rsidR="00000000" w:rsidDel="00000000" w:rsidP="00000000" w:rsidRDefault="00000000" w:rsidRPr="00000000" w14:paraId="0000015B">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60</w:t>
            </w:r>
          </w:p>
        </w:tc>
      </w:tr>
      <w:tr>
        <w:trPr>
          <w:trHeight w:val="315" w:hRule="atLeast"/>
        </w:trPr>
        <w:tc>
          <w:tcPr>
            <w:shd w:fill="auto" w:val="clear"/>
            <w:vAlign w:val="bottom"/>
          </w:tcPr>
          <w:p w:rsidR="00000000" w:rsidDel="00000000" w:rsidP="00000000" w:rsidRDefault="00000000" w:rsidRPr="00000000" w14:paraId="0000015C">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EPS</w:t>
            </w:r>
          </w:p>
        </w:tc>
        <w:tc>
          <w:tcPr>
            <w:shd w:fill="auto" w:val="clear"/>
            <w:vAlign w:val="bottom"/>
          </w:tcPr>
          <w:p w:rsidR="00000000" w:rsidDel="00000000" w:rsidP="00000000" w:rsidRDefault="00000000" w:rsidRPr="00000000" w14:paraId="0000015D">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7.18</w:t>
            </w:r>
          </w:p>
        </w:tc>
        <w:tc>
          <w:tcPr>
            <w:shd w:fill="auto" w:val="clear"/>
            <w:vAlign w:val="bottom"/>
          </w:tcPr>
          <w:p w:rsidR="00000000" w:rsidDel="00000000" w:rsidP="00000000" w:rsidRDefault="00000000" w:rsidRPr="00000000" w14:paraId="0000015E">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6.10</w:t>
            </w:r>
          </w:p>
        </w:tc>
      </w:tr>
    </w:tbl>
    <w:p w:rsidR="00000000" w:rsidDel="00000000" w:rsidP="00000000" w:rsidRDefault="00000000" w:rsidRPr="00000000" w14:paraId="0000015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0">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rPr>
        <w:drawing>
          <wp:inline distB="0" distT="0" distL="0" distR="0">
            <wp:extent cx="4572000" cy="2743200"/>
            <wp:docPr id="17" name=""/>
            <a:graphic>
              <a:graphicData uri="http://schemas.openxmlformats.org/drawingml/2006/chart">
                <c:chart r:id="rId10"/>
              </a:graphicData>
            </a:graphic>
          </wp:inline>
        </w:drawing>
      </w:r>
      <w:r w:rsidDel="00000000" w:rsidR="00000000" w:rsidRPr="00000000">
        <w:rPr>
          <w:rtl w:val="0"/>
        </w:rPr>
      </w:r>
    </w:p>
    <w:p w:rsidR="00000000" w:rsidDel="00000000" w:rsidP="00000000" w:rsidRDefault="00000000" w:rsidRPr="00000000" w14:paraId="00000161">
      <w:pPr>
        <w:pStyle w:val="Heading3"/>
        <w:spacing w:line="360" w:lineRule="auto"/>
        <w:rPr>
          <w:rFonts w:ascii="Times New Roman" w:cs="Times New Roman" w:eastAsia="Times New Roman" w:hAnsi="Times New Roman"/>
        </w:rPr>
      </w:pPr>
      <w:bookmarkStart w:colFirst="0" w:colLast="0" w:name="_heading=h.26in1rg" w:id="12"/>
      <w:bookmarkEnd w:id="12"/>
      <w:r w:rsidDel="00000000" w:rsidR="00000000" w:rsidRPr="00000000">
        <w:rPr>
          <w:rFonts w:ascii="Times New Roman" w:cs="Times New Roman" w:eastAsia="Times New Roman" w:hAnsi="Times New Roman"/>
          <w:rtl w:val="0"/>
        </w:rPr>
        <w:t xml:space="preserve">Net profit margin</w:t>
      </w:r>
    </w:p>
    <w:p w:rsidR="00000000" w:rsidDel="00000000" w:rsidP="00000000" w:rsidRDefault="00000000" w:rsidRPr="00000000" w14:paraId="0000016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Net profit margin is significant because it illustrates the business's profitability and predicts the probability of a company defaulting on its debts. It demonstrates how much every dollar of products or services sold generates cents in profit as a proxy of efficiency (Jones, 2013). In loan choices, the net profit margin is essential to assess, as it effectively indicates the possible net value of the company's profit (Walker, 2009). The immediate impact of this on capital reserves implies that, in the event of unexpected losses, the greater the profit margin the more the company can stay robust. The margin for net profit is used to evaluate a company's overall performance. A large margin of profit shows that a company prices its goods appropriately and exercises excellent cost management. Atrill and Mclaney (2017) claim that the outcomes of companies within the same industry are helpful to compare since they all have a similar business environment and client base and may have roughly the same cost structures.</w:t>
      </w:r>
    </w:p>
    <w:tbl>
      <w:tblPr>
        <w:tblStyle w:val="Table9"/>
        <w:tblW w:w="935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160"/>
        <w:gridCol w:w="2290"/>
        <w:gridCol w:w="1905"/>
        <w:tblGridChange w:id="0">
          <w:tblGrid>
            <w:gridCol w:w="5160"/>
            <w:gridCol w:w="2290"/>
            <w:gridCol w:w="1905"/>
          </w:tblGrid>
        </w:tblGridChange>
      </w:tblGrid>
      <w:tr>
        <w:trPr>
          <w:trHeight w:val="315" w:hRule="atLeast"/>
        </w:trPr>
        <w:tc>
          <w:tcPr>
            <w:shd w:fill="auto" w:val="clear"/>
            <w:vAlign w:val="bottom"/>
          </w:tcPr>
          <w:p w:rsidR="00000000" w:rsidDel="00000000" w:rsidP="00000000" w:rsidRDefault="00000000" w:rsidRPr="00000000" w14:paraId="00000163">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Net profit margin</w:t>
            </w:r>
          </w:p>
        </w:tc>
        <w:tc>
          <w:tcPr>
            <w:gridSpan w:val="2"/>
            <w:shd w:fill="auto" w:val="clear"/>
            <w:vAlign w:val="bottom"/>
          </w:tcPr>
          <w:p w:rsidR="00000000" w:rsidDel="00000000" w:rsidP="00000000" w:rsidRDefault="00000000" w:rsidRPr="00000000" w14:paraId="00000164">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Net profit/ net revenue</w:t>
            </w:r>
          </w:p>
        </w:tc>
      </w:tr>
      <w:tr>
        <w:trPr>
          <w:trHeight w:val="315" w:hRule="atLeast"/>
        </w:trPr>
        <w:tc>
          <w:tcPr>
            <w:shd w:fill="auto" w:val="clear"/>
            <w:vAlign w:val="bottom"/>
          </w:tcPr>
          <w:p w:rsidR="00000000" w:rsidDel="00000000" w:rsidP="00000000" w:rsidRDefault="00000000" w:rsidRPr="00000000" w14:paraId="00000166">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Year</w:t>
            </w:r>
          </w:p>
        </w:tc>
        <w:tc>
          <w:tcPr>
            <w:shd w:fill="auto" w:val="clear"/>
            <w:vAlign w:val="bottom"/>
          </w:tcPr>
          <w:p w:rsidR="00000000" w:rsidDel="00000000" w:rsidP="00000000" w:rsidRDefault="00000000" w:rsidRPr="00000000" w14:paraId="00000167">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2020</w:t>
            </w:r>
          </w:p>
        </w:tc>
        <w:tc>
          <w:tcPr>
            <w:shd w:fill="auto" w:val="clear"/>
            <w:vAlign w:val="bottom"/>
          </w:tcPr>
          <w:p w:rsidR="00000000" w:rsidDel="00000000" w:rsidP="00000000" w:rsidRDefault="00000000" w:rsidRPr="00000000" w14:paraId="00000168">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2019</w:t>
            </w:r>
          </w:p>
        </w:tc>
      </w:tr>
      <w:tr>
        <w:trPr>
          <w:trHeight w:val="315" w:hRule="atLeast"/>
        </w:trPr>
        <w:tc>
          <w:tcPr>
            <w:shd w:fill="auto" w:val="clear"/>
            <w:vAlign w:val="bottom"/>
          </w:tcPr>
          <w:p w:rsidR="00000000" w:rsidDel="00000000" w:rsidP="00000000" w:rsidRDefault="00000000" w:rsidRPr="00000000" w14:paraId="00000169">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Net profit</w:t>
            </w:r>
          </w:p>
        </w:tc>
        <w:tc>
          <w:tcPr>
            <w:shd w:fill="auto" w:val="clear"/>
            <w:vAlign w:val="bottom"/>
          </w:tcPr>
          <w:p w:rsidR="00000000" w:rsidDel="00000000" w:rsidP="00000000" w:rsidRDefault="00000000" w:rsidRPr="00000000" w14:paraId="0000016A">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431</w:t>
            </w:r>
          </w:p>
        </w:tc>
        <w:tc>
          <w:tcPr>
            <w:shd w:fill="auto" w:val="clear"/>
            <w:vAlign w:val="bottom"/>
          </w:tcPr>
          <w:p w:rsidR="00000000" w:rsidDel="00000000" w:rsidP="00000000" w:rsidRDefault="00000000" w:rsidRPr="00000000" w14:paraId="0000016B">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366</w:t>
            </w:r>
          </w:p>
        </w:tc>
      </w:tr>
      <w:tr>
        <w:trPr>
          <w:trHeight w:val="315" w:hRule="atLeast"/>
        </w:trPr>
        <w:tc>
          <w:tcPr>
            <w:shd w:fill="auto" w:val="clear"/>
            <w:vAlign w:val="bottom"/>
          </w:tcPr>
          <w:p w:rsidR="00000000" w:rsidDel="00000000" w:rsidP="00000000" w:rsidRDefault="00000000" w:rsidRPr="00000000" w14:paraId="0000016C">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Net revenue</w:t>
            </w:r>
          </w:p>
        </w:tc>
        <w:tc>
          <w:tcPr>
            <w:shd w:fill="auto" w:val="clear"/>
            <w:vAlign w:val="bottom"/>
          </w:tcPr>
          <w:p w:rsidR="00000000" w:rsidDel="00000000" w:rsidP="00000000" w:rsidRDefault="00000000" w:rsidRPr="00000000" w14:paraId="0000016D">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6738</w:t>
            </w:r>
          </w:p>
        </w:tc>
        <w:tc>
          <w:tcPr>
            <w:shd w:fill="auto" w:val="clear"/>
            <w:vAlign w:val="bottom"/>
          </w:tcPr>
          <w:p w:rsidR="00000000" w:rsidDel="00000000" w:rsidP="00000000" w:rsidRDefault="00000000" w:rsidRPr="00000000" w14:paraId="0000016E">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6,441</w:t>
            </w:r>
          </w:p>
        </w:tc>
      </w:tr>
      <w:tr>
        <w:trPr>
          <w:trHeight w:val="315" w:hRule="atLeast"/>
        </w:trPr>
        <w:tc>
          <w:tcPr>
            <w:shd w:fill="auto" w:val="clear"/>
            <w:vAlign w:val="bottom"/>
          </w:tcPr>
          <w:p w:rsidR="00000000" w:rsidDel="00000000" w:rsidP="00000000" w:rsidRDefault="00000000" w:rsidRPr="00000000" w14:paraId="0000016F">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Net profit margin</w:t>
            </w:r>
          </w:p>
        </w:tc>
        <w:tc>
          <w:tcPr>
            <w:shd w:fill="auto" w:val="clear"/>
            <w:vAlign w:val="bottom"/>
          </w:tcPr>
          <w:p w:rsidR="00000000" w:rsidDel="00000000" w:rsidP="00000000" w:rsidRDefault="00000000" w:rsidRPr="00000000" w14:paraId="00000170">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6.40%</w:t>
            </w:r>
          </w:p>
        </w:tc>
        <w:tc>
          <w:tcPr>
            <w:shd w:fill="auto" w:val="clear"/>
            <w:vAlign w:val="bottom"/>
          </w:tcPr>
          <w:p w:rsidR="00000000" w:rsidDel="00000000" w:rsidP="00000000" w:rsidRDefault="00000000" w:rsidRPr="00000000" w14:paraId="00000171">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5.68%</w:t>
            </w:r>
          </w:p>
        </w:tc>
      </w:tr>
    </w:tbl>
    <w:p w:rsidR="00000000" w:rsidDel="00000000" w:rsidP="00000000" w:rsidRDefault="00000000" w:rsidRPr="00000000" w14:paraId="0000017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3">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rPr>
        <w:drawing>
          <wp:inline distB="0" distT="0" distL="0" distR="0">
            <wp:extent cx="4572000" cy="2743200"/>
            <wp:docPr id="20" name=""/>
            <a:graphic>
              <a:graphicData uri="http://schemas.openxmlformats.org/drawingml/2006/chart">
                <c:chart r:id="rId11"/>
              </a:graphicData>
            </a:graphic>
          </wp:inline>
        </w:drawing>
      </w:r>
      <w:r w:rsidDel="00000000" w:rsidR="00000000" w:rsidRPr="00000000">
        <w:rPr>
          <w:rtl w:val="0"/>
        </w:rPr>
      </w:r>
    </w:p>
    <w:p w:rsidR="00000000" w:rsidDel="00000000" w:rsidP="00000000" w:rsidRDefault="00000000" w:rsidRPr="00000000" w14:paraId="00000174">
      <w:pPr>
        <w:pStyle w:val="Heading3"/>
        <w:spacing w:line="360" w:lineRule="auto"/>
        <w:jc w:val="both"/>
        <w:rPr>
          <w:rFonts w:ascii="Times New Roman" w:cs="Times New Roman" w:eastAsia="Times New Roman" w:hAnsi="Times New Roman"/>
        </w:rPr>
      </w:pPr>
      <w:bookmarkStart w:colFirst="0" w:colLast="0" w:name="_heading=h.lnxbz9" w:id="13"/>
      <w:bookmarkEnd w:id="13"/>
      <w:r w:rsidDel="00000000" w:rsidR="00000000" w:rsidRPr="00000000">
        <w:rPr>
          <w:rFonts w:ascii="Times New Roman" w:cs="Times New Roman" w:eastAsia="Times New Roman" w:hAnsi="Times New Roman"/>
          <w:rtl w:val="0"/>
        </w:rPr>
        <w:t xml:space="preserve">Asset turnover ratio</w:t>
      </w:r>
    </w:p>
    <w:p w:rsidR="00000000" w:rsidDel="00000000" w:rsidP="00000000" w:rsidRDefault="00000000" w:rsidRPr="00000000" w14:paraId="0000017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Asset turnover is a financial statistic measuring how efficiently a business uses its assets to sell products. It is a measure of how well management uses the assets available for the promotion of sales. The ratio measures the productivity of the assets of a business (Sangster and Wood, 2018). The Asset Turnover Formula numerator indicates the revenues shown in the statement of income, and the denominator displays the assets contained in the balance sheet of a business (statement of financial position) (Mclaney and Atrill, 2016). The fact that each sector has different business strategies does not indicate a high overall value for assets. It also relies on whether labour costs are related to the necessary capital, i.e. if the process is labour-intensive or capital-intensive. The more numbers you have, the better. If a little turnover occurs, this may indicate that the company must use or sell its assets more effectively. It also shows pricing strategies, however: low-profit margins in businesses tend to have large asset sales and low asset sales in those with high-profit margins.</w:t>
      </w:r>
    </w:p>
    <w:tbl>
      <w:tblPr>
        <w:tblStyle w:val="Table10"/>
        <w:tblW w:w="6430.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50"/>
        <w:gridCol w:w="2290"/>
        <w:gridCol w:w="2290"/>
        <w:tblGridChange w:id="0">
          <w:tblGrid>
            <w:gridCol w:w="1850"/>
            <w:gridCol w:w="2290"/>
            <w:gridCol w:w="2290"/>
          </w:tblGrid>
        </w:tblGridChange>
      </w:tblGrid>
      <w:tr>
        <w:trPr>
          <w:trHeight w:val="315" w:hRule="atLeast"/>
        </w:trPr>
        <w:tc>
          <w:tcPr>
            <w:shd w:fill="auto" w:val="clear"/>
            <w:vAlign w:val="bottom"/>
          </w:tcPr>
          <w:p w:rsidR="00000000" w:rsidDel="00000000" w:rsidP="00000000" w:rsidRDefault="00000000" w:rsidRPr="00000000" w14:paraId="00000176">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Asset turnover</w:t>
            </w:r>
          </w:p>
        </w:tc>
        <w:tc>
          <w:tcPr>
            <w:gridSpan w:val="2"/>
            <w:shd w:fill="auto" w:val="clear"/>
            <w:vAlign w:val="bottom"/>
          </w:tcPr>
          <w:p w:rsidR="00000000" w:rsidDel="00000000" w:rsidP="00000000" w:rsidRDefault="00000000" w:rsidRPr="00000000" w14:paraId="00000177">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Net revenue/Total assets</w:t>
            </w:r>
          </w:p>
        </w:tc>
      </w:tr>
      <w:tr>
        <w:trPr>
          <w:trHeight w:val="315" w:hRule="atLeast"/>
        </w:trPr>
        <w:tc>
          <w:tcPr>
            <w:shd w:fill="auto" w:val="clear"/>
            <w:vAlign w:val="bottom"/>
          </w:tcPr>
          <w:p w:rsidR="00000000" w:rsidDel="00000000" w:rsidP="00000000" w:rsidRDefault="00000000" w:rsidRPr="00000000" w14:paraId="00000179">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Year</w:t>
            </w:r>
          </w:p>
        </w:tc>
        <w:tc>
          <w:tcPr>
            <w:shd w:fill="auto" w:val="clear"/>
            <w:vAlign w:val="bottom"/>
          </w:tcPr>
          <w:p w:rsidR="00000000" w:rsidDel="00000000" w:rsidP="00000000" w:rsidRDefault="00000000" w:rsidRPr="00000000" w14:paraId="0000017A">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2020</w:t>
            </w:r>
          </w:p>
        </w:tc>
        <w:tc>
          <w:tcPr>
            <w:shd w:fill="auto" w:val="clear"/>
            <w:vAlign w:val="bottom"/>
          </w:tcPr>
          <w:p w:rsidR="00000000" w:rsidDel="00000000" w:rsidP="00000000" w:rsidRDefault="00000000" w:rsidRPr="00000000" w14:paraId="0000017B">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2019</w:t>
            </w:r>
          </w:p>
        </w:tc>
      </w:tr>
      <w:tr>
        <w:trPr>
          <w:trHeight w:val="315" w:hRule="atLeast"/>
        </w:trPr>
        <w:tc>
          <w:tcPr>
            <w:shd w:fill="auto" w:val="clear"/>
            <w:vAlign w:val="bottom"/>
          </w:tcPr>
          <w:p w:rsidR="00000000" w:rsidDel="00000000" w:rsidP="00000000" w:rsidRDefault="00000000" w:rsidRPr="00000000" w14:paraId="0000017C">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Net revenue</w:t>
            </w:r>
          </w:p>
        </w:tc>
        <w:tc>
          <w:tcPr>
            <w:shd w:fill="auto" w:val="clear"/>
            <w:vAlign w:val="bottom"/>
          </w:tcPr>
          <w:p w:rsidR="00000000" w:rsidDel="00000000" w:rsidP="00000000" w:rsidRDefault="00000000" w:rsidRPr="00000000" w14:paraId="0000017D">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6738</w:t>
            </w:r>
          </w:p>
        </w:tc>
        <w:tc>
          <w:tcPr>
            <w:shd w:fill="auto" w:val="clear"/>
            <w:vAlign w:val="bottom"/>
          </w:tcPr>
          <w:p w:rsidR="00000000" w:rsidDel="00000000" w:rsidP="00000000" w:rsidRDefault="00000000" w:rsidRPr="00000000" w14:paraId="0000017E">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6,441</w:t>
            </w:r>
          </w:p>
        </w:tc>
      </w:tr>
      <w:tr>
        <w:trPr>
          <w:trHeight w:val="315" w:hRule="atLeast"/>
        </w:trPr>
        <w:tc>
          <w:tcPr>
            <w:shd w:fill="auto" w:val="clear"/>
            <w:vAlign w:val="bottom"/>
          </w:tcPr>
          <w:p w:rsidR="00000000" w:rsidDel="00000000" w:rsidP="00000000" w:rsidRDefault="00000000" w:rsidRPr="00000000" w14:paraId="0000017F">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Total assets</w:t>
            </w:r>
          </w:p>
        </w:tc>
        <w:tc>
          <w:tcPr>
            <w:shd w:fill="auto" w:val="clear"/>
            <w:vAlign w:val="bottom"/>
          </w:tcPr>
          <w:p w:rsidR="00000000" w:rsidDel="00000000" w:rsidP="00000000" w:rsidRDefault="00000000" w:rsidRPr="00000000" w14:paraId="00000180">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9736</w:t>
            </w:r>
          </w:p>
        </w:tc>
        <w:tc>
          <w:tcPr>
            <w:shd w:fill="auto" w:val="clear"/>
            <w:vAlign w:val="bottom"/>
          </w:tcPr>
          <w:p w:rsidR="00000000" w:rsidDel="00000000" w:rsidP="00000000" w:rsidRDefault="00000000" w:rsidRPr="00000000" w14:paraId="00000181">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10,087</w:t>
            </w:r>
          </w:p>
        </w:tc>
      </w:tr>
      <w:tr>
        <w:trPr>
          <w:trHeight w:val="315" w:hRule="atLeast"/>
        </w:trPr>
        <w:tc>
          <w:tcPr>
            <w:shd w:fill="auto" w:val="clear"/>
            <w:vAlign w:val="bottom"/>
          </w:tcPr>
          <w:p w:rsidR="00000000" w:rsidDel="00000000" w:rsidP="00000000" w:rsidRDefault="00000000" w:rsidRPr="00000000" w14:paraId="00000182">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Asset turnover</w:t>
            </w:r>
          </w:p>
        </w:tc>
        <w:tc>
          <w:tcPr>
            <w:shd w:fill="auto" w:val="clear"/>
            <w:vAlign w:val="bottom"/>
          </w:tcPr>
          <w:p w:rsidR="00000000" w:rsidDel="00000000" w:rsidP="00000000" w:rsidRDefault="00000000" w:rsidRPr="00000000" w14:paraId="00000183">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69.21%</w:t>
            </w:r>
          </w:p>
        </w:tc>
        <w:tc>
          <w:tcPr>
            <w:shd w:fill="auto" w:val="clear"/>
            <w:vAlign w:val="bottom"/>
          </w:tcPr>
          <w:p w:rsidR="00000000" w:rsidDel="00000000" w:rsidP="00000000" w:rsidRDefault="00000000" w:rsidRPr="00000000" w14:paraId="00000184">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63.85%</w:t>
            </w:r>
          </w:p>
        </w:tc>
      </w:tr>
    </w:tbl>
    <w:p w:rsidR="00000000" w:rsidDel="00000000" w:rsidP="00000000" w:rsidRDefault="00000000" w:rsidRPr="00000000" w14:paraId="0000018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6">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rPr>
        <w:drawing>
          <wp:inline distB="0" distT="0" distL="0" distR="0">
            <wp:extent cx="4572000" cy="2743200"/>
            <wp:docPr id="19" name=""/>
            <a:graphic>
              <a:graphicData uri="http://schemas.openxmlformats.org/drawingml/2006/chart">
                <c:chart r:id="rId12"/>
              </a:graphicData>
            </a:graphic>
          </wp:inline>
        </w:drawing>
      </w:r>
      <w:r w:rsidDel="00000000" w:rsidR="00000000" w:rsidRPr="00000000">
        <w:rPr>
          <w:rtl w:val="0"/>
        </w:rPr>
      </w:r>
    </w:p>
    <w:p w:rsidR="00000000" w:rsidDel="00000000" w:rsidP="00000000" w:rsidRDefault="00000000" w:rsidRPr="00000000" w14:paraId="00000187">
      <w:pPr>
        <w:pStyle w:val="Heading3"/>
        <w:rPr>
          <w:rFonts w:ascii="Times New Roman" w:cs="Times New Roman" w:eastAsia="Times New Roman" w:hAnsi="Times New Roman"/>
        </w:rPr>
      </w:pPr>
      <w:bookmarkStart w:colFirst="0" w:colLast="0" w:name="_heading=h.35nkun2" w:id="14"/>
      <w:bookmarkEnd w:id="14"/>
      <w:r w:rsidDel="00000000" w:rsidR="00000000" w:rsidRPr="00000000">
        <w:rPr>
          <w:rFonts w:ascii="Times New Roman" w:cs="Times New Roman" w:eastAsia="Times New Roman" w:hAnsi="Times New Roman"/>
          <w:rtl w:val="0"/>
        </w:rPr>
        <w:t xml:space="preserve">Stock holding days </w:t>
      </w:r>
    </w:p>
    <w:p w:rsidR="00000000" w:rsidDel="00000000" w:rsidP="00000000" w:rsidRDefault="00000000" w:rsidRPr="00000000" w14:paraId="0000018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inventory sales ratio is an effective ratio that indicates how efficiently inventory is handled when the cost of products sold during a period is compared with the mean inventory. This indicates how often the average stock is 'turned' or sold in a period (Mclaney and Atrill, 2016). In other terms, it counts how many times throughout the year a business sold its whole average stock dollar. This ratio is essential since total sales are determined by two key performance components. Atrill and Mclaney (2017) illustrate that the purchase of shares is the first component. If bigger stock quantities are acquired throughout the year, the business will have to sell larger stock quantities to increase its sales. If it cannot sell these higher inventory volumes, storage and other expense of keeping will be borne by the business. Sales are the second element. Otherwise, sales will not convert successfully to inventory purchases. For this reason, it is necessary to harmonies the buying and sales divisions.</w:t>
      </w:r>
    </w:p>
    <w:tbl>
      <w:tblPr>
        <w:tblStyle w:val="Table11"/>
        <w:tblW w:w="6851.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271"/>
        <w:gridCol w:w="2290"/>
        <w:gridCol w:w="2290"/>
        <w:tblGridChange w:id="0">
          <w:tblGrid>
            <w:gridCol w:w="2271"/>
            <w:gridCol w:w="2290"/>
            <w:gridCol w:w="2290"/>
          </w:tblGrid>
        </w:tblGridChange>
      </w:tblGrid>
      <w:tr>
        <w:trPr>
          <w:trHeight w:val="315" w:hRule="atLeast"/>
        </w:trPr>
        <w:tc>
          <w:tcPr>
            <w:shd w:fill="auto" w:val="clear"/>
            <w:vAlign w:val="bottom"/>
          </w:tcPr>
          <w:p w:rsidR="00000000" w:rsidDel="00000000" w:rsidP="00000000" w:rsidRDefault="00000000" w:rsidRPr="00000000" w14:paraId="00000189">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Stock holding days</w:t>
            </w:r>
          </w:p>
        </w:tc>
        <w:tc>
          <w:tcPr>
            <w:gridSpan w:val="2"/>
            <w:shd w:fill="auto" w:val="clear"/>
            <w:vAlign w:val="bottom"/>
          </w:tcPr>
          <w:p w:rsidR="00000000" w:rsidDel="00000000" w:rsidP="00000000" w:rsidRDefault="00000000" w:rsidRPr="00000000" w14:paraId="0000018A">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Cost of average inventory/COGS</w:t>
            </w:r>
          </w:p>
        </w:tc>
      </w:tr>
      <w:tr>
        <w:trPr>
          <w:trHeight w:val="315" w:hRule="atLeast"/>
        </w:trPr>
        <w:tc>
          <w:tcPr>
            <w:shd w:fill="auto" w:val="clear"/>
            <w:vAlign w:val="bottom"/>
          </w:tcPr>
          <w:p w:rsidR="00000000" w:rsidDel="00000000" w:rsidP="00000000" w:rsidRDefault="00000000" w:rsidRPr="00000000" w14:paraId="0000018C">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Year</w:t>
            </w:r>
          </w:p>
        </w:tc>
        <w:tc>
          <w:tcPr>
            <w:shd w:fill="auto" w:val="clear"/>
            <w:vAlign w:val="bottom"/>
          </w:tcPr>
          <w:p w:rsidR="00000000" w:rsidDel="00000000" w:rsidP="00000000" w:rsidRDefault="00000000" w:rsidRPr="00000000" w14:paraId="0000018D">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2020</w:t>
            </w:r>
          </w:p>
        </w:tc>
        <w:tc>
          <w:tcPr>
            <w:shd w:fill="auto" w:val="clear"/>
            <w:vAlign w:val="bottom"/>
          </w:tcPr>
          <w:p w:rsidR="00000000" w:rsidDel="00000000" w:rsidP="00000000" w:rsidRDefault="00000000" w:rsidRPr="00000000" w14:paraId="0000018E">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2019</w:t>
            </w:r>
          </w:p>
        </w:tc>
      </w:tr>
      <w:tr>
        <w:trPr>
          <w:trHeight w:val="315" w:hRule="atLeast"/>
        </w:trPr>
        <w:tc>
          <w:tcPr>
            <w:shd w:fill="auto" w:val="clear"/>
            <w:vAlign w:val="bottom"/>
          </w:tcPr>
          <w:p w:rsidR="00000000" w:rsidDel="00000000" w:rsidP="00000000" w:rsidRDefault="00000000" w:rsidRPr="00000000" w14:paraId="0000018F">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Average inventory</w:t>
            </w:r>
          </w:p>
        </w:tc>
        <w:tc>
          <w:tcPr>
            <w:shd w:fill="auto" w:val="clear"/>
            <w:vAlign w:val="bottom"/>
          </w:tcPr>
          <w:p w:rsidR="00000000" w:rsidDel="00000000" w:rsidP="00000000" w:rsidRDefault="00000000" w:rsidRPr="00000000" w14:paraId="00000190">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684</w:t>
            </w:r>
          </w:p>
        </w:tc>
        <w:tc>
          <w:tcPr>
            <w:shd w:fill="auto" w:val="clear"/>
            <w:vAlign w:val="bottom"/>
          </w:tcPr>
          <w:p w:rsidR="00000000" w:rsidDel="00000000" w:rsidP="00000000" w:rsidRDefault="00000000" w:rsidRPr="00000000" w14:paraId="00000191">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659</w:t>
            </w:r>
          </w:p>
        </w:tc>
      </w:tr>
      <w:tr>
        <w:trPr>
          <w:trHeight w:val="315" w:hRule="atLeast"/>
        </w:trPr>
        <w:tc>
          <w:tcPr>
            <w:shd w:fill="auto" w:val="clear"/>
            <w:vAlign w:val="bottom"/>
          </w:tcPr>
          <w:p w:rsidR="00000000" w:rsidDel="00000000" w:rsidP="00000000" w:rsidRDefault="00000000" w:rsidRPr="00000000" w14:paraId="00000192">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COGS</w:t>
            </w:r>
          </w:p>
        </w:tc>
        <w:tc>
          <w:tcPr>
            <w:shd w:fill="auto" w:val="clear"/>
            <w:vAlign w:val="bottom"/>
          </w:tcPr>
          <w:p w:rsidR="00000000" w:rsidDel="00000000" w:rsidP="00000000" w:rsidRDefault="00000000" w:rsidRPr="00000000" w14:paraId="00000193">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3235</w:t>
            </w:r>
          </w:p>
        </w:tc>
        <w:tc>
          <w:tcPr>
            <w:shd w:fill="auto" w:val="clear"/>
            <w:vAlign w:val="bottom"/>
          </w:tcPr>
          <w:p w:rsidR="00000000" w:rsidDel="00000000" w:rsidP="00000000" w:rsidRDefault="00000000" w:rsidRPr="00000000" w14:paraId="00000194">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3,096</w:t>
            </w:r>
          </w:p>
        </w:tc>
      </w:tr>
      <w:tr>
        <w:trPr>
          <w:trHeight w:val="315" w:hRule="atLeast"/>
        </w:trPr>
        <w:tc>
          <w:tcPr>
            <w:shd w:fill="auto" w:val="clear"/>
            <w:vAlign w:val="bottom"/>
          </w:tcPr>
          <w:p w:rsidR="00000000" w:rsidDel="00000000" w:rsidP="00000000" w:rsidRDefault="00000000" w:rsidRPr="00000000" w14:paraId="00000195">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Stock holding days</w:t>
            </w:r>
          </w:p>
        </w:tc>
        <w:tc>
          <w:tcPr>
            <w:shd w:fill="auto" w:val="clear"/>
            <w:vAlign w:val="bottom"/>
          </w:tcPr>
          <w:p w:rsidR="00000000" w:rsidDel="00000000" w:rsidP="00000000" w:rsidRDefault="00000000" w:rsidRPr="00000000" w14:paraId="00000196">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21.13%</w:t>
            </w:r>
          </w:p>
        </w:tc>
        <w:tc>
          <w:tcPr>
            <w:shd w:fill="auto" w:val="clear"/>
            <w:vAlign w:val="bottom"/>
          </w:tcPr>
          <w:p w:rsidR="00000000" w:rsidDel="00000000" w:rsidP="00000000" w:rsidRDefault="00000000" w:rsidRPr="00000000" w14:paraId="00000197">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21.29%</w:t>
            </w:r>
          </w:p>
        </w:tc>
      </w:tr>
    </w:tbl>
    <w:p w:rsidR="00000000" w:rsidDel="00000000" w:rsidP="00000000" w:rsidRDefault="00000000" w:rsidRPr="00000000" w14:paraId="0000019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9">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rPr>
        <w:drawing>
          <wp:inline distB="0" distT="0" distL="0" distR="0">
            <wp:extent cx="4572000" cy="2743200"/>
            <wp:docPr id="12" name=""/>
            <a:graphic>
              <a:graphicData uri="http://schemas.openxmlformats.org/drawingml/2006/chart">
                <c:chart r:id="rId13"/>
              </a:graphicData>
            </a:graphic>
          </wp:inline>
        </w:drawing>
      </w:r>
      <w:r w:rsidDel="00000000" w:rsidR="00000000" w:rsidRPr="00000000">
        <w:rPr>
          <w:rtl w:val="0"/>
        </w:rPr>
      </w:r>
    </w:p>
    <w:p w:rsidR="00000000" w:rsidDel="00000000" w:rsidP="00000000" w:rsidRDefault="00000000" w:rsidRPr="00000000" w14:paraId="0000019A">
      <w:pPr>
        <w:pStyle w:val="Heading3"/>
        <w:spacing w:line="360" w:lineRule="auto"/>
        <w:jc w:val="both"/>
        <w:rPr>
          <w:rFonts w:ascii="Times New Roman" w:cs="Times New Roman" w:eastAsia="Times New Roman" w:hAnsi="Times New Roman"/>
        </w:rPr>
      </w:pPr>
      <w:bookmarkStart w:colFirst="0" w:colLast="0" w:name="_heading=h.1ksv4uv" w:id="15"/>
      <w:bookmarkEnd w:id="15"/>
      <w:r w:rsidDel="00000000" w:rsidR="00000000" w:rsidRPr="00000000">
        <w:rPr>
          <w:rFonts w:ascii="Times New Roman" w:cs="Times New Roman" w:eastAsia="Times New Roman" w:hAnsi="Times New Roman"/>
          <w:rtl w:val="0"/>
        </w:rPr>
        <w:t xml:space="preserve">Debtor’s collection periods</w:t>
      </w:r>
    </w:p>
    <w:p w:rsidR="00000000" w:rsidDel="00000000" w:rsidP="00000000" w:rsidRDefault="00000000" w:rsidRPr="00000000" w14:paraId="0000019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average collection period is the length of time a company takes for payment of the accounts receivable due by its customers (AR). Companies compute the average collection period to ensure that their financial commitments are fulfilled with sufficient cash (Sangster and Wood, 2018). The average collection period is determined by dividing the total net credit sales for the period and by multiplying the quotient by the number of days for the period. In general, a smaller average time is better than a larger average duration of collecting. Atrill and Mclaney (2017) highlight that the organism receives money quicker in a small average collecting time. However, there is an inconvenience to this since its loan conditions may be excessively tight. Customers may look for more forgiving payment terms for suppliers or service providers.</w:t>
      </w:r>
    </w:p>
    <w:tbl>
      <w:tblPr>
        <w:tblStyle w:val="Table12"/>
        <w:tblW w:w="935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160"/>
        <w:gridCol w:w="2163"/>
        <w:gridCol w:w="2032"/>
        <w:tblGridChange w:id="0">
          <w:tblGrid>
            <w:gridCol w:w="5160"/>
            <w:gridCol w:w="2163"/>
            <w:gridCol w:w="2032"/>
          </w:tblGrid>
        </w:tblGridChange>
      </w:tblGrid>
      <w:tr>
        <w:trPr>
          <w:trHeight w:val="315" w:hRule="atLeast"/>
        </w:trPr>
        <w:tc>
          <w:tcPr>
            <w:shd w:fill="auto" w:val="clear"/>
            <w:vAlign w:val="bottom"/>
          </w:tcPr>
          <w:p w:rsidR="00000000" w:rsidDel="00000000" w:rsidP="00000000" w:rsidRDefault="00000000" w:rsidRPr="00000000" w14:paraId="0000019C">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Debtors collection period</w:t>
            </w:r>
          </w:p>
        </w:tc>
        <w:tc>
          <w:tcPr>
            <w:gridSpan w:val="2"/>
            <w:shd w:fill="auto" w:val="clear"/>
            <w:vAlign w:val="bottom"/>
          </w:tcPr>
          <w:p w:rsidR="00000000" w:rsidDel="00000000" w:rsidP="00000000" w:rsidRDefault="00000000" w:rsidRPr="00000000" w14:paraId="0000019D">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Cost of average inventory/COGS</w:t>
            </w:r>
          </w:p>
        </w:tc>
      </w:tr>
      <w:tr>
        <w:trPr>
          <w:trHeight w:val="315" w:hRule="atLeast"/>
        </w:trPr>
        <w:tc>
          <w:tcPr>
            <w:shd w:fill="auto" w:val="clear"/>
            <w:vAlign w:val="bottom"/>
          </w:tcPr>
          <w:p w:rsidR="00000000" w:rsidDel="00000000" w:rsidP="00000000" w:rsidRDefault="00000000" w:rsidRPr="00000000" w14:paraId="0000019F">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Year</w:t>
            </w:r>
          </w:p>
        </w:tc>
        <w:tc>
          <w:tcPr>
            <w:shd w:fill="auto" w:val="clear"/>
            <w:vAlign w:val="bottom"/>
          </w:tcPr>
          <w:p w:rsidR="00000000" w:rsidDel="00000000" w:rsidP="00000000" w:rsidRDefault="00000000" w:rsidRPr="00000000" w14:paraId="000001A0">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2020</w:t>
            </w:r>
          </w:p>
        </w:tc>
        <w:tc>
          <w:tcPr>
            <w:shd w:fill="auto" w:val="clear"/>
            <w:vAlign w:val="bottom"/>
          </w:tcPr>
          <w:p w:rsidR="00000000" w:rsidDel="00000000" w:rsidP="00000000" w:rsidRDefault="00000000" w:rsidRPr="00000000" w14:paraId="000001A1">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2019</w:t>
            </w:r>
          </w:p>
        </w:tc>
      </w:tr>
      <w:tr>
        <w:trPr>
          <w:trHeight w:val="315" w:hRule="atLeast"/>
        </w:trPr>
        <w:tc>
          <w:tcPr>
            <w:shd w:fill="auto" w:val="clear"/>
            <w:vAlign w:val="bottom"/>
          </w:tcPr>
          <w:p w:rsidR="00000000" w:rsidDel="00000000" w:rsidP="00000000" w:rsidRDefault="00000000" w:rsidRPr="00000000" w14:paraId="000001A2">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A/R</w:t>
            </w:r>
          </w:p>
        </w:tc>
        <w:tc>
          <w:tcPr>
            <w:shd w:fill="auto" w:val="clear"/>
            <w:vAlign w:val="bottom"/>
          </w:tcPr>
          <w:p w:rsidR="00000000" w:rsidDel="00000000" w:rsidP="00000000" w:rsidRDefault="00000000" w:rsidRPr="00000000" w14:paraId="000001A3">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1249</w:t>
            </w:r>
          </w:p>
        </w:tc>
        <w:tc>
          <w:tcPr>
            <w:shd w:fill="auto" w:val="clear"/>
            <w:vAlign w:val="bottom"/>
          </w:tcPr>
          <w:p w:rsidR="00000000" w:rsidDel="00000000" w:rsidP="00000000" w:rsidRDefault="00000000" w:rsidRPr="00000000" w14:paraId="000001A4">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1,287</w:t>
            </w:r>
          </w:p>
        </w:tc>
      </w:tr>
      <w:tr>
        <w:trPr>
          <w:trHeight w:val="315" w:hRule="atLeast"/>
        </w:trPr>
        <w:tc>
          <w:tcPr>
            <w:shd w:fill="auto" w:val="clear"/>
            <w:vAlign w:val="bottom"/>
          </w:tcPr>
          <w:p w:rsidR="00000000" w:rsidDel="00000000" w:rsidP="00000000" w:rsidRDefault="00000000" w:rsidRPr="00000000" w14:paraId="000001A5">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Net revenue</w:t>
            </w:r>
          </w:p>
        </w:tc>
        <w:tc>
          <w:tcPr>
            <w:shd w:fill="auto" w:val="clear"/>
            <w:vAlign w:val="bottom"/>
          </w:tcPr>
          <w:p w:rsidR="00000000" w:rsidDel="00000000" w:rsidP="00000000" w:rsidRDefault="00000000" w:rsidRPr="00000000" w14:paraId="000001A6">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6738</w:t>
            </w:r>
          </w:p>
        </w:tc>
        <w:tc>
          <w:tcPr>
            <w:shd w:fill="auto" w:val="clear"/>
            <w:vAlign w:val="bottom"/>
          </w:tcPr>
          <w:p w:rsidR="00000000" w:rsidDel="00000000" w:rsidP="00000000" w:rsidRDefault="00000000" w:rsidRPr="00000000" w14:paraId="000001A7">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6,441</w:t>
            </w:r>
          </w:p>
        </w:tc>
      </w:tr>
      <w:tr>
        <w:trPr>
          <w:trHeight w:val="315" w:hRule="atLeast"/>
        </w:trPr>
        <w:tc>
          <w:tcPr>
            <w:shd w:fill="auto" w:val="clear"/>
            <w:vAlign w:val="bottom"/>
          </w:tcPr>
          <w:p w:rsidR="00000000" w:rsidDel="00000000" w:rsidP="00000000" w:rsidRDefault="00000000" w:rsidRPr="00000000" w14:paraId="000001A8">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Debtors collection period</w:t>
            </w:r>
          </w:p>
        </w:tc>
        <w:tc>
          <w:tcPr>
            <w:shd w:fill="auto" w:val="clear"/>
            <w:vAlign w:val="bottom"/>
          </w:tcPr>
          <w:p w:rsidR="00000000" w:rsidDel="00000000" w:rsidP="00000000" w:rsidRDefault="00000000" w:rsidRPr="00000000" w14:paraId="000001A9">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68</w:t>
            </w:r>
          </w:p>
        </w:tc>
        <w:tc>
          <w:tcPr>
            <w:shd w:fill="auto" w:val="clear"/>
            <w:vAlign w:val="bottom"/>
          </w:tcPr>
          <w:p w:rsidR="00000000" w:rsidDel="00000000" w:rsidP="00000000" w:rsidRDefault="00000000" w:rsidRPr="00000000" w14:paraId="000001AA">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73</w:t>
            </w:r>
          </w:p>
        </w:tc>
      </w:tr>
    </w:tbl>
    <w:p w:rsidR="00000000" w:rsidDel="00000000" w:rsidP="00000000" w:rsidRDefault="00000000" w:rsidRPr="00000000" w14:paraId="000001A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C">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rPr>
        <w:drawing>
          <wp:inline distB="0" distT="0" distL="0" distR="0">
            <wp:extent cx="4572000" cy="2743200"/>
            <wp:docPr id="11" name=""/>
            <a:graphic>
              <a:graphicData uri="http://schemas.openxmlformats.org/drawingml/2006/chart">
                <c:chart r:id="rId14"/>
              </a:graphicData>
            </a:graphic>
          </wp:inline>
        </w:drawing>
      </w:r>
      <w:r w:rsidDel="00000000" w:rsidR="00000000" w:rsidRPr="00000000">
        <w:rPr>
          <w:rtl w:val="0"/>
        </w:rPr>
      </w:r>
    </w:p>
    <w:p w:rsidR="00000000" w:rsidDel="00000000" w:rsidP="00000000" w:rsidRDefault="00000000" w:rsidRPr="00000000" w14:paraId="000001AD">
      <w:pPr>
        <w:pStyle w:val="Heading3"/>
        <w:spacing w:line="360" w:lineRule="auto"/>
        <w:jc w:val="both"/>
        <w:rPr>
          <w:rFonts w:ascii="Times New Roman" w:cs="Times New Roman" w:eastAsia="Times New Roman" w:hAnsi="Times New Roman"/>
        </w:rPr>
      </w:pPr>
      <w:bookmarkStart w:colFirst="0" w:colLast="0" w:name="_heading=h.44sinio" w:id="16"/>
      <w:bookmarkEnd w:id="16"/>
      <w:r w:rsidDel="00000000" w:rsidR="00000000" w:rsidRPr="00000000">
        <w:rPr>
          <w:rFonts w:ascii="Times New Roman" w:cs="Times New Roman" w:eastAsia="Times New Roman" w:hAnsi="Times New Roman"/>
          <w:rtl w:val="0"/>
        </w:rPr>
        <w:t xml:space="preserve">Current ratio</w:t>
      </w:r>
    </w:p>
    <w:p w:rsidR="00000000" w:rsidDel="00000000" w:rsidP="00000000" w:rsidRDefault="00000000" w:rsidRPr="00000000" w14:paraId="000001A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connection between current assets and current liabilities may be described as the present ratio. The current ratio measures the company's overall liquidity. To establish the existing ratio, the current assets and liabilities of this formula should be computed. The phrase actual assets include the following things (Jones, 2013). If no indication is given of bank overdraft as a permanent scheme or a temporary scheme, bank overdraft will be accepted as current liabilities. Walker (2009) argues that the liquidity of an enterprise company utilising the present ratio for the near term. A rise in the current ratio will enhance the liquidity of the company and vice versa. The current ratio norm is 2:1 as the thumb rule of a banker. It assesses the monetary worth of existing assets and obligations rather than the quality of current assets. If the existing assets are sold urgently, there may be some monetary loss. In addition, all kinds and all current obligations are not equally liquid and cannot be replaced with the same speed.</w:t>
      </w:r>
    </w:p>
    <w:p w:rsidR="00000000" w:rsidDel="00000000" w:rsidP="00000000" w:rsidRDefault="00000000" w:rsidRPr="00000000" w14:paraId="000001AF">
      <w:pPr>
        <w:spacing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13"/>
        <w:tblW w:w="944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160"/>
        <w:gridCol w:w="2163"/>
        <w:gridCol w:w="2122"/>
        <w:tblGridChange w:id="0">
          <w:tblGrid>
            <w:gridCol w:w="5160"/>
            <w:gridCol w:w="2163"/>
            <w:gridCol w:w="2122"/>
          </w:tblGrid>
        </w:tblGridChange>
      </w:tblGrid>
      <w:tr>
        <w:trPr>
          <w:trHeight w:val="315" w:hRule="atLeast"/>
        </w:trPr>
        <w:tc>
          <w:tcPr>
            <w:shd w:fill="auto" w:val="clear"/>
            <w:vAlign w:val="bottom"/>
          </w:tcPr>
          <w:p w:rsidR="00000000" w:rsidDel="00000000" w:rsidP="00000000" w:rsidRDefault="00000000" w:rsidRPr="00000000" w14:paraId="000001B0">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Current ratio</w:t>
            </w:r>
          </w:p>
        </w:tc>
        <w:tc>
          <w:tcPr>
            <w:gridSpan w:val="2"/>
            <w:shd w:fill="auto" w:val="clear"/>
            <w:vAlign w:val="bottom"/>
          </w:tcPr>
          <w:p w:rsidR="00000000" w:rsidDel="00000000" w:rsidP="00000000" w:rsidRDefault="00000000" w:rsidRPr="00000000" w14:paraId="000001B1">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Current assets/Current liabilities</w:t>
            </w:r>
          </w:p>
        </w:tc>
      </w:tr>
      <w:tr>
        <w:trPr>
          <w:trHeight w:val="315" w:hRule="atLeast"/>
        </w:trPr>
        <w:tc>
          <w:tcPr>
            <w:shd w:fill="auto" w:val="clear"/>
            <w:vAlign w:val="bottom"/>
          </w:tcPr>
          <w:p w:rsidR="00000000" w:rsidDel="00000000" w:rsidP="00000000" w:rsidRDefault="00000000" w:rsidRPr="00000000" w14:paraId="000001B3">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Year</w:t>
            </w:r>
          </w:p>
        </w:tc>
        <w:tc>
          <w:tcPr>
            <w:shd w:fill="auto" w:val="clear"/>
            <w:vAlign w:val="bottom"/>
          </w:tcPr>
          <w:p w:rsidR="00000000" w:rsidDel="00000000" w:rsidP="00000000" w:rsidRDefault="00000000" w:rsidRPr="00000000" w14:paraId="000001B4">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2020</w:t>
            </w:r>
          </w:p>
        </w:tc>
        <w:tc>
          <w:tcPr>
            <w:shd w:fill="auto" w:val="clear"/>
            <w:vAlign w:val="bottom"/>
          </w:tcPr>
          <w:p w:rsidR="00000000" w:rsidDel="00000000" w:rsidP="00000000" w:rsidRDefault="00000000" w:rsidRPr="00000000" w14:paraId="000001B5">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2019</w:t>
            </w:r>
          </w:p>
        </w:tc>
      </w:tr>
      <w:tr>
        <w:trPr>
          <w:trHeight w:val="315" w:hRule="atLeast"/>
        </w:trPr>
        <w:tc>
          <w:tcPr>
            <w:shd w:fill="auto" w:val="clear"/>
            <w:vAlign w:val="bottom"/>
          </w:tcPr>
          <w:p w:rsidR="00000000" w:rsidDel="00000000" w:rsidP="00000000" w:rsidRDefault="00000000" w:rsidRPr="00000000" w14:paraId="000001B6">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Current assets</w:t>
            </w:r>
          </w:p>
        </w:tc>
        <w:tc>
          <w:tcPr>
            <w:shd w:fill="auto" w:val="clear"/>
            <w:vAlign w:val="bottom"/>
          </w:tcPr>
          <w:p w:rsidR="00000000" w:rsidDel="00000000" w:rsidP="00000000" w:rsidRDefault="00000000" w:rsidRPr="00000000" w14:paraId="000001B7">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2303</w:t>
            </w:r>
          </w:p>
        </w:tc>
        <w:tc>
          <w:tcPr>
            <w:shd w:fill="auto" w:val="clear"/>
            <w:vAlign w:val="bottom"/>
          </w:tcPr>
          <w:p w:rsidR="00000000" w:rsidDel="00000000" w:rsidP="00000000" w:rsidRDefault="00000000" w:rsidRPr="00000000" w14:paraId="000001B8">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2,355</w:t>
            </w:r>
          </w:p>
        </w:tc>
      </w:tr>
      <w:tr>
        <w:trPr>
          <w:trHeight w:val="315" w:hRule="atLeast"/>
        </w:trPr>
        <w:tc>
          <w:tcPr>
            <w:shd w:fill="auto" w:val="clear"/>
            <w:vAlign w:val="bottom"/>
          </w:tcPr>
          <w:p w:rsidR="00000000" w:rsidDel="00000000" w:rsidP="00000000" w:rsidRDefault="00000000" w:rsidRPr="00000000" w14:paraId="000001B9">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Current liabilities</w:t>
            </w:r>
          </w:p>
        </w:tc>
        <w:tc>
          <w:tcPr>
            <w:shd w:fill="auto" w:val="clear"/>
            <w:vAlign w:val="bottom"/>
          </w:tcPr>
          <w:p w:rsidR="00000000" w:rsidDel="00000000" w:rsidP="00000000" w:rsidRDefault="00000000" w:rsidRPr="00000000" w14:paraId="000001BA">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2511</w:t>
            </w:r>
          </w:p>
        </w:tc>
        <w:tc>
          <w:tcPr>
            <w:shd w:fill="auto" w:val="clear"/>
            <w:vAlign w:val="bottom"/>
          </w:tcPr>
          <w:p w:rsidR="00000000" w:rsidDel="00000000" w:rsidP="00000000" w:rsidRDefault="00000000" w:rsidRPr="00000000" w14:paraId="000001BB">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3,046</w:t>
            </w:r>
          </w:p>
        </w:tc>
      </w:tr>
      <w:tr>
        <w:trPr>
          <w:trHeight w:val="315" w:hRule="atLeast"/>
        </w:trPr>
        <w:tc>
          <w:tcPr>
            <w:shd w:fill="auto" w:val="clear"/>
            <w:vAlign w:val="bottom"/>
          </w:tcPr>
          <w:p w:rsidR="00000000" w:rsidDel="00000000" w:rsidP="00000000" w:rsidRDefault="00000000" w:rsidRPr="00000000" w14:paraId="000001BC">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Current ratio</w:t>
            </w:r>
          </w:p>
        </w:tc>
        <w:tc>
          <w:tcPr>
            <w:shd w:fill="auto" w:val="clear"/>
            <w:vAlign w:val="bottom"/>
          </w:tcPr>
          <w:p w:rsidR="00000000" w:rsidDel="00000000" w:rsidP="00000000" w:rsidRDefault="00000000" w:rsidRPr="00000000" w14:paraId="000001BD">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0.92</w:t>
            </w:r>
          </w:p>
        </w:tc>
        <w:tc>
          <w:tcPr>
            <w:shd w:fill="auto" w:val="clear"/>
            <w:vAlign w:val="bottom"/>
          </w:tcPr>
          <w:p w:rsidR="00000000" w:rsidDel="00000000" w:rsidP="00000000" w:rsidRDefault="00000000" w:rsidRPr="00000000" w14:paraId="000001BE">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0.77</w:t>
            </w:r>
          </w:p>
        </w:tc>
      </w:tr>
    </w:tbl>
    <w:p w:rsidR="00000000" w:rsidDel="00000000" w:rsidP="00000000" w:rsidRDefault="00000000" w:rsidRPr="00000000" w14:paraId="000001BF">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0">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rPr>
        <w:drawing>
          <wp:inline distB="0" distT="0" distL="0" distR="0">
            <wp:extent cx="4572000" cy="2743200"/>
            <wp:docPr id="14" name=""/>
            <a:graphic>
              <a:graphicData uri="http://schemas.openxmlformats.org/drawingml/2006/chart">
                <c:chart r:id="rId15"/>
              </a:graphicData>
            </a:graphic>
          </wp:inline>
        </w:drawing>
      </w:r>
      <w:r w:rsidDel="00000000" w:rsidR="00000000" w:rsidRPr="00000000">
        <w:rPr>
          <w:rtl w:val="0"/>
        </w:rPr>
      </w:r>
    </w:p>
    <w:p w:rsidR="00000000" w:rsidDel="00000000" w:rsidP="00000000" w:rsidRDefault="00000000" w:rsidRPr="00000000" w14:paraId="000001C1">
      <w:pPr>
        <w:pStyle w:val="Heading3"/>
        <w:spacing w:line="360" w:lineRule="auto"/>
        <w:rPr>
          <w:rFonts w:ascii="Times New Roman" w:cs="Times New Roman" w:eastAsia="Times New Roman" w:hAnsi="Times New Roman"/>
        </w:rPr>
      </w:pPr>
      <w:bookmarkStart w:colFirst="0" w:colLast="0" w:name="_heading=h.2jxsxqh" w:id="17"/>
      <w:bookmarkEnd w:id="17"/>
      <w:r w:rsidDel="00000000" w:rsidR="00000000" w:rsidRPr="00000000">
        <w:rPr>
          <w:rFonts w:ascii="Times New Roman" w:cs="Times New Roman" w:eastAsia="Times New Roman" w:hAnsi="Times New Roman"/>
          <w:rtl w:val="0"/>
        </w:rPr>
        <w:t xml:space="preserve">Current ratio</w:t>
      </w:r>
    </w:p>
    <w:p w:rsidR="00000000" w:rsidDel="00000000" w:rsidP="00000000" w:rsidRDefault="00000000" w:rsidRPr="00000000" w14:paraId="000001C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gearing ratio is an indication of a company's financial risk. It may slip into financial difficulty if a business has too much debt. A high gearing ratio indicates a high debt to equity ratio, whereas another displays a low gearing ratio (Walker, 2009). Capital derived from creditors is riskier than money derived from the owners of the firm because creditors still have to be repaid, regardless of whether the company generates revenue. Both lenders and investors examine the gear ratios of a business since they represent the company's risk levels. In particular, when the loans include variable rates of interest and a rapid rise in rates, a business whose debt is too high may go into default or bankruptcy (Walker, 2009). Comparing the gearing ratio of a business with others in the same sector is essential. Capital-intensive enterprises or businesses with many fixed assets, such as industrial corporations, are likely to receive more debt than enterprises with lower fixed assets.</w:t>
      </w:r>
    </w:p>
    <w:p w:rsidR="00000000" w:rsidDel="00000000" w:rsidP="00000000" w:rsidRDefault="00000000" w:rsidRPr="00000000" w14:paraId="000001C3">
      <w:pPr>
        <w:spacing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14"/>
        <w:tblW w:w="926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160"/>
        <w:gridCol w:w="2290"/>
        <w:gridCol w:w="1815"/>
        <w:tblGridChange w:id="0">
          <w:tblGrid>
            <w:gridCol w:w="5160"/>
            <w:gridCol w:w="2290"/>
            <w:gridCol w:w="1815"/>
          </w:tblGrid>
        </w:tblGridChange>
      </w:tblGrid>
      <w:tr>
        <w:trPr>
          <w:trHeight w:val="315" w:hRule="atLeast"/>
        </w:trPr>
        <w:tc>
          <w:tcPr>
            <w:shd w:fill="auto" w:val="clear"/>
            <w:vAlign w:val="bottom"/>
          </w:tcPr>
          <w:p w:rsidR="00000000" w:rsidDel="00000000" w:rsidP="00000000" w:rsidRDefault="00000000" w:rsidRPr="00000000" w14:paraId="000001C4">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Gearing ratio</w:t>
            </w:r>
          </w:p>
        </w:tc>
        <w:tc>
          <w:tcPr>
            <w:gridSpan w:val="2"/>
            <w:shd w:fill="auto" w:val="clear"/>
            <w:vAlign w:val="bottom"/>
          </w:tcPr>
          <w:p w:rsidR="00000000" w:rsidDel="00000000" w:rsidP="00000000" w:rsidRDefault="00000000" w:rsidRPr="00000000" w14:paraId="000001C5">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Debt/Debt + equity</w:t>
            </w:r>
          </w:p>
        </w:tc>
      </w:tr>
      <w:tr>
        <w:trPr>
          <w:trHeight w:val="315" w:hRule="atLeast"/>
        </w:trPr>
        <w:tc>
          <w:tcPr>
            <w:shd w:fill="auto" w:val="clear"/>
            <w:vAlign w:val="bottom"/>
          </w:tcPr>
          <w:p w:rsidR="00000000" w:rsidDel="00000000" w:rsidP="00000000" w:rsidRDefault="00000000" w:rsidRPr="00000000" w14:paraId="000001C7">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Year</w:t>
            </w:r>
          </w:p>
        </w:tc>
        <w:tc>
          <w:tcPr>
            <w:shd w:fill="auto" w:val="clear"/>
            <w:vAlign w:val="bottom"/>
          </w:tcPr>
          <w:p w:rsidR="00000000" w:rsidDel="00000000" w:rsidP="00000000" w:rsidRDefault="00000000" w:rsidRPr="00000000" w14:paraId="000001C8">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2020</w:t>
            </w:r>
          </w:p>
        </w:tc>
        <w:tc>
          <w:tcPr>
            <w:shd w:fill="auto" w:val="clear"/>
            <w:vAlign w:val="bottom"/>
          </w:tcPr>
          <w:p w:rsidR="00000000" w:rsidDel="00000000" w:rsidP="00000000" w:rsidRDefault="00000000" w:rsidRPr="00000000" w14:paraId="000001C9">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2019</w:t>
            </w:r>
          </w:p>
        </w:tc>
      </w:tr>
      <w:tr>
        <w:trPr>
          <w:trHeight w:val="315" w:hRule="atLeast"/>
        </w:trPr>
        <w:tc>
          <w:tcPr>
            <w:shd w:fill="auto" w:val="clear"/>
            <w:vAlign w:val="bottom"/>
          </w:tcPr>
          <w:p w:rsidR="00000000" w:rsidDel="00000000" w:rsidP="00000000" w:rsidRDefault="00000000" w:rsidRPr="00000000" w14:paraId="000001CA">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Debt</w:t>
            </w:r>
          </w:p>
        </w:tc>
        <w:tc>
          <w:tcPr>
            <w:shd w:fill="auto" w:val="clear"/>
            <w:vAlign w:val="bottom"/>
          </w:tcPr>
          <w:p w:rsidR="00000000" w:rsidDel="00000000" w:rsidP="00000000" w:rsidRDefault="00000000" w:rsidRPr="00000000" w14:paraId="000001CB">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6648</w:t>
            </w:r>
          </w:p>
        </w:tc>
        <w:tc>
          <w:tcPr>
            <w:shd w:fill="auto" w:val="clear"/>
            <w:vAlign w:val="bottom"/>
          </w:tcPr>
          <w:p w:rsidR="00000000" w:rsidDel="00000000" w:rsidP="00000000" w:rsidRDefault="00000000" w:rsidRPr="00000000" w14:paraId="000001CC">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7,175</w:t>
            </w:r>
          </w:p>
        </w:tc>
      </w:tr>
      <w:tr>
        <w:trPr>
          <w:trHeight w:val="315" w:hRule="atLeast"/>
        </w:trPr>
        <w:tc>
          <w:tcPr>
            <w:shd w:fill="auto" w:val="clear"/>
            <w:vAlign w:val="bottom"/>
          </w:tcPr>
          <w:p w:rsidR="00000000" w:rsidDel="00000000" w:rsidP="00000000" w:rsidRDefault="00000000" w:rsidRPr="00000000" w14:paraId="000001CD">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Equity</w:t>
            </w:r>
          </w:p>
        </w:tc>
        <w:tc>
          <w:tcPr>
            <w:shd w:fill="auto" w:val="clear"/>
            <w:vAlign w:val="bottom"/>
          </w:tcPr>
          <w:p w:rsidR="00000000" w:rsidDel="00000000" w:rsidP="00000000" w:rsidRDefault="00000000" w:rsidRPr="00000000" w14:paraId="000001CE">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3088</w:t>
            </w:r>
          </w:p>
        </w:tc>
        <w:tc>
          <w:tcPr>
            <w:shd w:fill="auto" w:val="clear"/>
            <w:vAlign w:val="bottom"/>
          </w:tcPr>
          <w:p w:rsidR="00000000" w:rsidDel="00000000" w:rsidP="00000000" w:rsidRDefault="00000000" w:rsidRPr="00000000" w14:paraId="000001CF">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2,912</w:t>
            </w:r>
          </w:p>
        </w:tc>
      </w:tr>
      <w:tr>
        <w:trPr>
          <w:trHeight w:val="315" w:hRule="atLeast"/>
        </w:trPr>
        <w:tc>
          <w:tcPr>
            <w:shd w:fill="auto" w:val="clear"/>
            <w:vAlign w:val="bottom"/>
          </w:tcPr>
          <w:p w:rsidR="00000000" w:rsidDel="00000000" w:rsidP="00000000" w:rsidRDefault="00000000" w:rsidRPr="00000000" w14:paraId="000001D0">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Gearing ratio</w:t>
            </w:r>
          </w:p>
        </w:tc>
        <w:tc>
          <w:tcPr>
            <w:shd w:fill="auto" w:val="clear"/>
            <w:vAlign w:val="bottom"/>
          </w:tcPr>
          <w:p w:rsidR="00000000" w:rsidDel="00000000" w:rsidP="00000000" w:rsidRDefault="00000000" w:rsidRPr="00000000" w14:paraId="000001D1">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68.28%</w:t>
            </w:r>
          </w:p>
        </w:tc>
        <w:tc>
          <w:tcPr>
            <w:shd w:fill="auto" w:val="clear"/>
            <w:vAlign w:val="bottom"/>
          </w:tcPr>
          <w:p w:rsidR="00000000" w:rsidDel="00000000" w:rsidP="00000000" w:rsidRDefault="00000000" w:rsidRPr="00000000" w14:paraId="000001D2">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71.13%</w:t>
            </w:r>
          </w:p>
        </w:tc>
      </w:tr>
    </w:tbl>
    <w:p w:rsidR="00000000" w:rsidDel="00000000" w:rsidP="00000000" w:rsidRDefault="00000000" w:rsidRPr="00000000" w14:paraId="000001D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4">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rPr>
        <w:drawing>
          <wp:inline distB="0" distT="0" distL="0" distR="0">
            <wp:extent cx="4572000" cy="2743200"/>
            <wp:docPr id="13" name=""/>
            <a:graphic>
              <a:graphicData uri="http://schemas.openxmlformats.org/drawingml/2006/chart">
                <c:chart r:id="rId16"/>
              </a:graphicData>
            </a:graphic>
          </wp:inline>
        </w:drawing>
      </w:r>
      <w:r w:rsidDel="00000000" w:rsidR="00000000" w:rsidRPr="00000000">
        <w:rPr>
          <w:rtl w:val="0"/>
        </w:rPr>
      </w:r>
    </w:p>
    <w:p w:rsidR="00000000" w:rsidDel="00000000" w:rsidP="00000000" w:rsidRDefault="00000000" w:rsidRPr="00000000" w14:paraId="000001D5">
      <w:pPr>
        <w:pStyle w:val="Heading3"/>
        <w:spacing w:line="360" w:lineRule="auto"/>
        <w:jc w:val="both"/>
        <w:rPr>
          <w:rFonts w:ascii="Times New Roman" w:cs="Times New Roman" w:eastAsia="Times New Roman" w:hAnsi="Times New Roman"/>
        </w:rPr>
      </w:pPr>
      <w:bookmarkStart w:colFirst="0" w:colLast="0" w:name="_heading=h.z337ya" w:id="18"/>
      <w:bookmarkEnd w:id="18"/>
      <w:r w:rsidDel="00000000" w:rsidR="00000000" w:rsidRPr="00000000">
        <w:rPr>
          <w:rFonts w:ascii="Times New Roman" w:cs="Times New Roman" w:eastAsia="Times New Roman" w:hAnsi="Times New Roman"/>
          <w:rtl w:val="0"/>
        </w:rPr>
        <w:t xml:space="preserve">Interest coverage ratio </w:t>
      </w:r>
    </w:p>
    <w:p w:rsidR="00000000" w:rsidDel="00000000" w:rsidP="00000000" w:rsidRDefault="00000000" w:rsidRPr="00000000" w14:paraId="000001D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interest coverage ratio is a financial statistic, which evaluates the capacity of a business to pay interest on its debt promptly. This liquidity ratio has nothing in fact, to do with making principal payments for the loan itself, as opposed to the ratio of debt services coverage. Rather, it estimates the capacity of the company to afford the loan interest (Lucey, 2008). This calculation is used by creditors and investors to evaluate a company's profitability and risk. An investor, for example, is primarily worried about the growth of value in his investment in the business. This assessment is based mostly on profitability and operational efficiency (Walker, 2009). Investors thus want to be able to pay their payments on time without sacrificing their business and earnings.</w:t>
      </w:r>
    </w:p>
    <w:tbl>
      <w:tblPr>
        <w:tblStyle w:val="Table15"/>
        <w:tblW w:w="935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160"/>
        <w:gridCol w:w="2290"/>
        <w:gridCol w:w="1905"/>
        <w:tblGridChange w:id="0">
          <w:tblGrid>
            <w:gridCol w:w="5160"/>
            <w:gridCol w:w="2290"/>
            <w:gridCol w:w="1905"/>
          </w:tblGrid>
        </w:tblGridChange>
      </w:tblGrid>
      <w:tr>
        <w:trPr>
          <w:trHeight w:val="315" w:hRule="atLeast"/>
        </w:trPr>
        <w:tc>
          <w:tcPr>
            <w:shd w:fill="auto" w:val="clear"/>
            <w:vAlign w:val="bottom"/>
          </w:tcPr>
          <w:p w:rsidR="00000000" w:rsidDel="00000000" w:rsidP="00000000" w:rsidRDefault="00000000" w:rsidRPr="00000000" w14:paraId="000001D7">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Interest coverage ratio</w:t>
            </w:r>
          </w:p>
        </w:tc>
        <w:tc>
          <w:tcPr>
            <w:gridSpan w:val="2"/>
            <w:shd w:fill="auto" w:val="clear"/>
            <w:vAlign w:val="bottom"/>
          </w:tcPr>
          <w:p w:rsidR="00000000" w:rsidDel="00000000" w:rsidP="00000000" w:rsidRDefault="00000000" w:rsidRPr="00000000" w14:paraId="000001D8">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EBITDA/Interest expense</w:t>
            </w:r>
          </w:p>
        </w:tc>
      </w:tr>
      <w:tr>
        <w:trPr>
          <w:trHeight w:val="315" w:hRule="atLeast"/>
        </w:trPr>
        <w:tc>
          <w:tcPr>
            <w:shd w:fill="auto" w:val="clear"/>
            <w:vAlign w:val="bottom"/>
          </w:tcPr>
          <w:p w:rsidR="00000000" w:rsidDel="00000000" w:rsidP="00000000" w:rsidRDefault="00000000" w:rsidRPr="00000000" w14:paraId="000001DA">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Year</w:t>
            </w:r>
          </w:p>
        </w:tc>
        <w:tc>
          <w:tcPr>
            <w:shd w:fill="auto" w:val="clear"/>
            <w:vAlign w:val="bottom"/>
          </w:tcPr>
          <w:p w:rsidR="00000000" w:rsidDel="00000000" w:rsidP="00000000" w:rsidRDefault="00000000" w:rsidRPr="00000000" w14:paraId="000001DB">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2020</w:t>
            </w:r>
          </w:p>
        </w:tc>
        <w:tc>
          <w:tcPr>
            <w:shd w:fill="auto" w:val="clear"/>
            <w:vAlign w:val="bottom"/>
          </w:tcPr>
          <w:p w:rsidR="00000000" w:rsidDel="00000000" w:rsidP="00000000" w:rsidRDefault="00000000" w:rsidRPr="00000000" w14:paraId="000001DC">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2019</w:t>
            </w:r>
          </w:p>
        </w:tc>
      </w:tr>
      <w:tr>
        <w:trPr>
          <w:trHeight w:val="315" w:hRule="atLeast"/>
        </w:trPr>
        <w:tc>
          <w:tcPr>
            <w:shd w:fill="auto" w:val="clear"/>
            <w:vAlign w:val="bottom"/>
          </w:tcPr>
          <w:p w:rsidR="00000000" w:rsidDel="00000000" w:rsidP="00000000" w:rsidRDefault="00000000" w:rsidRPr="00000000" w14:paraId="000001DD">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EBITDA</w:t>
            </w:r>
          </w:p>
        </w:tc>
        <w:tc>
          <w:tcPr>
            <w:shd w:fill="auto" w:val="clear"/>
            <w:vAlign w:val="bottom"/>
          </w:tcPr>
          <w:p w:rsidR="00000000" w:rsidDel="00000000" w:rsidP="00000000" w:rsidRDefault="00000000" w:rsidRPr="00000000" w14:paraId="000001DE">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805</w:t>
            </w:r>
          </w:p>
        </w:tc>
        <w:tc>
          <w:tcPr>
            <w:shd w:fill="auto" w:val="clear"/>
            <w:vAlign w:val="bottom"/>
          </w:tcPr>
          <w:p w:rsidR="00000000" w:rsidDel="00000000" w:rsidP="00000000" w:rsidRDefault="00000000" w:rsidRPr="00000000" w14:paraId="000001DF">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699</w:t>
            </w:r>
          </w:p>
        </w:tc>
      </w:tr>
      <w:tr>
        <w:trPr>
          <w:trHeight w:val="315" w:hRule="atLeast"/>
        </w:trPr>
        <w:tc>
          <w:tcPr>
            <w:shd w:fill="auto" w:val="clear"/>
            <w:vAlign w:val="bottom"/>
          </w:tcPr>
          <w:p w:rsidR="00000000" w:rsidDel="00000000" w:rsidP="00000000" w:rsidRDefault="00000000" w:rsidRPr="00000000" w14:paraId="000001E0">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Interest</w:t>
            </w:r>
          </w:p>
        </w:tc>
        <w:tc>
          <w:tcPr>
            <w:shd w:fill="auto" w:val="clear"/>
            <w:vAlign w:val="bottom"/>
          </w:tcPr>
          <w:p w:rsidR="00000000" w:rsidDel="00000000" w:rsidP="00000000" w:rsidRDefault="00000000" w:rsidRPr="00000000" w14:paraId="000001E1">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226</w:t>
            </w:r>
          </w:p>
        </w:tc>
        <w:tc>
          <w:tcPr>
            <w:shd w:fill="auto" w:val="clear"/>
            <w:vAlign w:val="bottom"/>
          </w:tcPr>
          <w:p w:rsidR="00000000" w:rsidDel="00000000" w:rsidP="00000000" w:rsidRDefault="00000000" w:rsidRPr="00000000" w14:paraId="000001E2">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181</w:t>
            </w:r>
          </w:p>
        </w:tc>
      </w:tr>
      <w:tr>
        <w:trPr>
          <w:trHeight w:val="315" w:hRule="atLeast"/>
        </w:trPr>
        <w:tc>
          <w:tcPr>
            <w:shd w:fill="auto" w:val="clear"/>
            <w:vAlign w:val="bottom"/>
          </w:tcPr>
          <w:p w:rsidR="00000000" w:rsidDel="00000000" w:rsidP="00000000" w:rsidRDefault="00000000" w:rsidRPr="00000000" w14:paraId="000001E3">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Interest coverage ratio</w:t>
            </w:r>
          </w:p>
        </w:tc>
        <w:tc>
          <w:tcPr>
            <w:shd w:fill="auto" w:val="clear"/>
            <w:vAlign w:val="bottom"/>
          </w:tcPr>
          <w:p w:rsidR="00000000" w:rsidDel="00000000" w:rsidP="00000000" w:rsidRDefault="00000000" w:rsidRPr="00000000" w14:paraId="000001E4">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3.56</w:t>
            </w:r>
          </w:p>
        </w:tc>
        <w:tc>
          <w:tcPr>
            <w:shd w:fill="auto" w:val="clear"/>
            <w:vAlign w:val="bottom"/>
          </w:tcPr>
          <w:p w:rsidR="00000000" w:rsidDel="00000000" w:rsidP="00000000" w:rsidRDefault="00000000" w:rsidRPr="00000000" w14:paraId="000001E5">
            <w:pPr>
              <w:spacing w:after="0"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3.86</w:t>
            </w:r>
          </w:p>
        </w:tc>
      </w:tr>
    </w:tbl>
    <w:p w:rsidR="00000000" w:rsidDel="00000000" w:rsidP="00000000" w:rsidRDefault="00000000" w:rsidRPr="00000000" w14:paraId="000001E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E7">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rPr>
        <w:drawing>
          <wp:inline distB="0" distT="0" distL="0" distR="0">
            <wp:extent cx="4572000" cy="2743200"/>
            <wp:docPr id="15" name=""/>
            <a:graphic>
              <a:graphicData uri="http://schemas.openxmlformats.org/drawingml/2006/chart">
                <c:chart r:id="rId17"/>
              </a:graphicData>
            </a:graphic>
          </wp:inline>
        </w:drawing>
      </w:r>
      <w:r w:rsidDel="00000000" w:rsidR="00000000" w:rsidRPr="00000000">
        <w:rPr>
          <w:rtl w:val="0"/>
        </w:rPr>
      </w:r>
    </w:p>
    <w:p w:rsidR="00000000" w:rsidDel="00000000" w:rsidP="00000000" w:rsidRDefault="00000000" w:rsidRPr="00000000" w14:paraId="000001E8">
      <w:pPr>
        <w:pStyle w:val="Heading2"/>
        <w:spacing w:line="360" w:lineRule="auto"/>
        <w:rPr>
          <w:rFonts w:ascii="Times New Roman" w:cs="Times New Roman" w:eastAsia="Times New Roman" w:hAnsi="Times New Roman"/>
          <w:sz w:val="28"/>
          <w:szCs w:val="28"/>
        </w:rPr>
      </w:pPr>
      <w:bookmarkStart w:colFirst="0" w:colLast="0" w:name="_heading=h.3j2qqm3" w:id="19"/>
      <w:bookmarkEnd w:id="19"/>
      <w:r w:rsidDel="00000000" w:rsidR="00000000" w:rsidRPr="00000000">
        <w:rPr>
          <w:rFonts w:ascii="Times New Roman" w:cs="Times New Roman" w:eastAsia="Times New Roman" w:hAnsi="Times New Roman"/>
          <w:sz w:val="28"/>
          <w:szCs w:val="28"/>
          <w:rtl w:val="0"/>
        </w:rPr>
        <w:t xml:space="preserve">Financial performance </w:t>
      </w:r>
    </w:p>
    <w:p w:rsidR="00000000" w:rsidDel="00000000" w:rsidP="00000000" w:rsidRDefault="00000000" w:rsidRPr="00000000" w14:paraId="000001E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the above calculation, it is found that the performance of Chocco Plc improved in 2020. Most of the ratio has shown an upward movement of the curve. It is very much important for the investor to understand that the project is profitable or not. The net profit margin indicates that the organisation was offering more profit in 2020, and the EPS is also increased here. On the other hand, Chocco Plc has improved the current ratio, which is also significant for the investors. The interest coverage ratio, gearing ratio has declined due to debt has decreased, but equity has increased. But the final statement on the financial performance of the organization is that Chocco Plc is performing better in 2020 than in 2019. </w:t>
      </w:r>
    </w:p>
    <w:p w:rsidR="00000000" w:rsidDel="00000000" w:rsidP="00000000" w:rsidRDefault="00000000" w:rsidRPr="00000000" w14:paraId="000001EA">
      <w:pPr>
        <w:pStyle w:val="Heading1"/>
        <w:spacing w:line="360" w:lineRule="auto"/>
        <w:jc w:val="both"/>
        <w:rPr>
          <w:rFonts w:ascii="Times New Roman" w:cs="Times New Roman" w:eastAsia="Times New Roman" w:hAnsi="Times New Roman"/>
        </w:rPr>
      </w:pPr>
      <w:bookmarkStart w:colFirst="0" w:colLast="0" w:name="_heading=h.1y810tw" w:id="20"/>
      <w:bookmarkEnd w:id="20"/>
      <w:r w:rsidDel="00000000" w:rsidR="00000000" w:rsidRPr="00000000">
        <w:rPr>
          <w:rFonts w:ascii="Times New Roman" w:cs="Times New Roman" w:eastAsia="Times New Roman" w:hAnsi="Times New Roman"/>
          <w:rtl w:val="0"/>
        </w:rPr>
        <w:t xml:space="preserve">Conclusion</w:t>
      </w:r>
    </w:p>
    <w:p w:rsidR="00000000" w:rsidDel="00000000" w:rsidP="00000000" w:rsidRDefault="00000000" w:rsidRPr="00000000" w14:paraId="000001E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report is has discussed the fundamental concept of accounting. In the first part, the income statement and its elements have discussed. The balance sheet and its elements have also been discussed. In the other section, the management has addressed the financial ratios and their significance and also the calculation of financial ratios. The author has analysed the performance of Chocco Plc and shows the efficiency of the organisation. The overall performance of the organisation is well in 2020. But the organisation needs to work on some issues to perform better. </w:t>
      </w:r>
    </w:p>
    <w:p w:rsidR="00000000" w:rsidDel="00000000" w:rsidP="00000000" w:rsidRDefault="00000000" w:rsidRPr="00000000" w14:paraId="000001EC">
      <w:pPr>
        <w:keepNext w:val="0"/>
        <w:keepLines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36"/>
          <w:szCs w:val="36"/>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36"/>
          <w:szCs w:val="36"/>
          <w:u w:val="none"/>
          <w:shd w:fill="auto" w:val="clear"/>
          <w:vertAlign w:val="baseline"/>
          <w:rtl w:val="0"/>
        </w:rPr>
        <w:t xml:space="preserve">References </w:t>
      </w:r>
    </w:p>
    <w:p w:rsidR="00000000" w:rsidDel="00000000" w:rsidP="00000000" w:rsidRDefault="00000000" w:rsidRPr="00000000" w14:paraId="000001ED">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Atrill, P. and Mclaney, E. (2013). </w:t>
      </w:r>
      <w:r w:rsidDel="00000000" w:rsidR="00000000" w:rsidRPr="00000000">
        <w:rPr>
          <w:rFonts w:ascii="Times New Roman" w:cs="Times New Roman" w:eastAsia="Times New Roman" w:hAnsi="Times New Roman"/>
          <w:i w:val="1"/>
          <w:sz w:val="24"/>
          <w:szCs w:val="24"/>
          <w:rtl w:val="0"/>
        </w:rPr>
        <w:t xml:space="preserve">Accounting and finance for non-specialists</w:t>
      </w:r>
      <w:r w:rsidDel="00000000" w:rsidR="00000000" w:rsidRPr="00000000">
        <w:rPr>
          <w:rFonts w:ascii="Times New Roman" w:cs="Times New Roman" w:eastAsia="Times New Roman" w:hAnsi="Times New Roman"/>
          <w:sz w:val="24"/>
          <w:szCs w:val="24"/>
          <w:rtl w:val="0"/>
        </w:rPr>
        <w:t xml:space="preserve">. Harlow: Pearson, Cop.</w:t>
      </w:r>
    </w:p>
    <w:p w:rsidR="00000000" w:rsidDel="00000000" w:rsidP="00000000" w:rsidRDefault="00000000" w:rsidRPr="00000000" w14:paraId="000001EE">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Atrill, P. and Mclaney, E.J. (2017). </w:t>
      </w:r>
      <w:r w:rsidDel="00000000" w:rsidR="00000000" w:rsidRPr="00000000">
        <w:rPr>
          <w:rFonts w:ascii="Times New Roman" w:cs="Times New Roman" w:eastAsia="Times New Roman" w:hAnsi="Times New Roman"/>
          <w:i w:val="1"/>
          <w:sz w:val="24"/>
          <w:szCs w:val="24"/>
          <w:rtl w:val="0"/>
        </w:rPr>
        <w:t xml:space="preserve">Accounting and finance for non-specialists</w:t>
      </w:r>
      <w:r w:rsidDel="00000000" w:rsidR="00000000" w:rsidRPr="00000000">
        <w:rPr>
          <w:rFonts w:ascii="Times New Roman" w:cs="Times New Roman" w:eastAsia="Times New Roman" w:hAnsi="Times New Roman"/>
          <w:sz w:val="24"/>
          <w:szCs w:val="24"/>
          <w:rtl w:val="0"/>
        </w:rPr>
        <w:t xml:space="preserve">. Harlow, England; New York: Pearson.</w:t>
      </w:r>
    </w:p>
    <w:p w:rsidR="00000000" w:rsidDel="00000000" w:rsidP="00000000" w:rsidRDefault="00000000" w:rsidRPr="00000000" w14:paraId="000001EF">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Atrill, P. and Mclaney, E.J. (2019). </w:t>
      </w:r>
      <w:r w:rsidDel="00000000" w:rsidR="00000000" w:rsidRPr="00000000">
        <w:rPr>
          <w:rFonts w:ascii="Times New Roman" w:cs="Times New Roman" w:eastAsia="Times New Roman" w:hAnsi="Times New Roman"/>
          <w:i w:val="1"/>
          <w:sz w:val="24"/>
          <w:szCs w:val="24"/>
          <w:rtl w:val="0"/>
        </w:rPr>
        <w:t xml:space="preserve">Accounting and Finance for non-specialists</w:t>
      </w:r>
      <w:r w:rsidDel="00000000" w:rsidR="00000000" w:rsidRPr="00000000">
        <w:rPr>
          <w:rFonts w:ascii="Times New Roman" w:cs="Times New Roman" w:eastAsia="Times New Roman" w:hAnsi="Times New Roman"/>
          <w:sz w:val="24"/>
          <w:szCs w:val="24"/>
          <w:rtl w:val="0"/>
        </w:rPr>
        <w:t xml:space="preserve">. 11th ed. Harlow, England; New York: Pearson.</w:t>
      </w:r>
    </w:p>
    <w:p w:rsidR="00000000" w:rsidDel="00000000" w:rsidP="00000000" w:rsidRDefault="00000000" w:rsidRPr="00000000" w14:paraId="000001F0">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Jones, M. (2013). </w:t>
      </w:r>
      <w:r w:rsidDel="00000000" w:rsidR="00000000" w:rsidRPr="00000000">
        <w:rPr>
          <w:rFonts w:ascii="Times New Roman" w:cs="Times New Roman" w:eastAsia="Times New Roman" w:hAnsi="Times New Roman"/>
          <w:i w:val="1"/>
          <w:sz w:val="24"/>
          <w:szCs w:val="24"/>
          <w:rtl w:val="0"/>
        </w:rPr>
        <w:t xml:space="preserve">Accounting</w:t>
      </w:r>
      <w:r w:rsidDel="00000000" w:rsidR="00000000" w:rsidRPr="00000000">
        <w:rPr>
          <w:rFonts w:ascii="Times New Roman" w:cs="Times New Roman" w:eastAsia="Times New Roman" w:hAnsi="Times New Roman"/>
          <w:sz w:val="24"/>
          <w:szCs w:val="24"/>
          <w:rtl w:val="0"/>
        </w:rPr>
        <w:t xml:space="preserve">. Chichester: Wiley.</w:t>
      </w:r>
    </w:p>
    <w:p w:rsidR="00000000" w:rsidDel="00000000" w:rsidP="00000000" w:rsidRDefault="00000000" w:rsidRPr="00000000" w14:paraId="000001F1">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Lucey, T. (2008). </w:t>
      </w:r>
      <w:r w:rsidDel="00000000" w:rsidR="00000000" w:rsidRPr="00000000">
        <w:rPr>
          <w:rFonts w:ascii="Times New Roman" w:cs="Times New Roman" w:eastAsia="Times New Roman" w:hAnsi="Times New Roman"/>
          <w:i w:val="1"/>
          <w:sz w:val="24"/>
          <w:szCs w:val="24"/>
          <w:rtl w:val="0"/>
        </w:rPr>
        <w:t xml:space="preserve">Costing</w:t>
      </w:r>
      <w:r w:rsidDel="00000000" w:rsidR="00000000" w:rsidRPr="00000000">
        <w:rPr>
          <w:rFonts w:ascii="Times New Roman" w:cs="Times New Roman" w:eastAsia="Times New Roman" w:hAnsi="Times New Roman"/>
          <w:sz w:val="24"/>
          <w:szCs w:val="24"/>
          <w:rtl w:val="0"/>
        </w:rPr>
        <w:t xml:space="preserve">. London: Thomson Learning.</w:t>
      </w:r>
    </w:p>
    <w:p w:rsidR="00000000" w:rsidDel="00000000" w:rsidP="00000000" w:rsidRDefault="00000000" w:rsidRPr="00000000" w14:paraId="000001F2">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Lucey, T. (2009). </w:t>
      </w:r>
      <w:r w:rsidDel="00000000" w:rsidR="00000000" w:rsidRPr="00000000">
        <w:rPr>
          <w:rFonts w:ascii="Times New Roman" w:cs="Times New Roman" w:eastAsia="Times New Roman" w:hAnsi="Times New Roman"/>
          <w:i w:val="1"/>
          <w:sz w:val="24"/>
          <w:szCs w:val="24"/>
          <w:rtl w:val="0"/>
        </w:rPr>
        <w:t xml:space="preserve">Costing</w:t>
      </w:r>
      <w:r w:rsidDel="00000000" w:rsidR="00000000" w:rsidRPr="00000000">
        <w:rPr>
          <w:rFonts w:ascii="Times New Roman" w:cs="Times New Roman" w:eastAsia="Times New Roman" w:hAnsi="Times New Roman"/>
          <w:sz w:val="24"/>
          <w:szCs w:val="24"/>
          <w:rtl w:val="0"/>
        </w:rPr>
        <w:t xml:space="preserve">. London: Cengage Learning.</w:t>
      </w:r>
    </w:p>
    <w:p w:rsidR="00000000" w:rsidDel="00000000" w:rsidP="00000000" w:rsidRDefault="00000000" w:rsidRPr="00000000" w14:paraId="000001F3">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Mclaney, E.J. and Atrill, P. (2016). </w:t>
      </w:r>
      <w:r w:rsidDel="00000000" w:rsidR="00000000" w:rsidRPr="00000000">
        <w:rPr>
          <w:rFonts w:ascii="Times New Roman" w:cs="Times New Roman" w:eastAsia="Times New Roman" w:hAnsi="Times New Roman"/>
          <w:i w:val="1"/>
          <w:sz w:val="24"/>
          <w:szCs w:val="24"/>
          <w:rtl w:val="0"/>
        </w:rPr>
        <w:t xml:space="preserve">Accounting and finance: an introduction</w:t>
      </w:r>
      <w:r w:rsidDel="00000000" w:rsidR="00000000" w:rsidRPr="00000000">
        <w:rPr>
          <w:rFonts w:ascii="Times New Roman" w:cs="Times New Roman" w:eastAsia="Times New Roman" w:hAnsi="Times New Roman"/>
          <w:sz w:val="24"/>
          <w:szCs w:val="24"/>
          <w:rtl w:val="0"/>
        </w:rPr>
        <w:t xml:space="preserve">. Upper Saddle River: Pearson.</w:t>
      </w:r>
    </w:p>
    <w:p w:rsidR="00000000" w:rsidDel="00000000" w:rsidP="00000000" w:rsidRDefault="00000000" w:rsidRPr="00000000" w14:paraId="000001F4">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Sangster, A. and Wood, F. (2018). </w:t>
      </w:r>
      <w:r w:rsidDel="00000000" w:rsidR="00000000" w:rsidRPr="00000000">
        <w:rPr>
          <w:rFonts w:ascii="Times New Roman" w:cs="Times New Roman" w:eastAsia="Times New Roman" w:hAnsi="Times New Roman"/>
          <w:i w:val="1"/>
          <w:sz w:val="24"/>
          <w:szCs w:val="24"/>
          <w:rtl w:val="0"/>
        </w:rPr>
        <w:t xml:space="preserve">Frank Wood’s Business Accounting Volume 2</w:t>
      </w:r>
      <w:r w:rsidDel="00000000" w:rsidR="00000000" w:rsidRPr="00000000">
        <w:rPr>
          <w:rFonts w:ascii="Times New Roman" w:cs="Times New Roman" w:eastAsia="Times New Roman" w:hAnsi="Times New Roman"/>
          <w:sz w:val="24"/>
          <w:szCs w:val="24"/>
          <w:rtl w:val="0"/>
        </w:rPr>
        <w:t xml:space="preserve">. [online] </w:t>
      </w:r>
      <w:r w:rsidDel="00000000" w:rsidR="00000000" w:rsidRPr="00000000">
        <w:rPr>
          <w:rFonts w:ascii="Times New Roman" w:cs="Times New Roman" w:eastAsia="Times New Roman" w:hAnsi="Times New Roman"/>
          <w:i w:val="1"/>
          <w:sz w:val="24"/>
          <w:szCs w:val="24"/>
          <w:rtl w:val="0"/>
        </w:rPr>
        <w:t xml:space="preserve">Google Books</w:t>
      </w:r>
      <w:r w:rsidDel="00000000" w:rsidR="00000000" w:rsidRPr="00000000">
        <w:rPr>
          <w:rFonts w:ascii="Times New Roman" w:cs="Times New Roman" w:eastAsia="Times New Roman" w:hAnsi="Times New Roman"/>
          <w:sz w:val="24"/>
          <w:szCs w:val="24"/>
          <w:rtl w:val="0"/>
        </w:rPr>
        <w:t xml:space="preserve">. Pearson UK. Available at: [Accessed 12 Jul. 2021].</w:t>
      </w:r>
    </w:p>
    <w:p w:rsidR="00000000" w:rsidDel="00000000" w:rsidP="00000000" w:rsidRDefault="00000000" w:rsidRPr="00000000" w14:paraId="000001F5">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Walker, J. (2009). </w:t>
      </w:r>
      <w:r w:rsidDel="00000000" w:rsidR="00000000" w:rsidRPr="00000000">
        <w:rPr>
          <w:rFonts w:ascii="Times New Roman" w:cs="Times New Roman" w:eastAsia="Times New Roman" w:hAnsi="Times New Roman"/>
          <w:i w:val="1"/>
          <w:sz w:val="24"/>
          <w:szCs w:val="24"/>
          <w:rtl w:val="0"/>
        </w:rPr>
        <w:t xml:space="preserve">Accounting in a Nutshell: Accounting for the Non-specialist</w:t>
      </w:r>
      <w:r w:rsidDel="00000000" w:rsidR="00000000" w:rsidRPr="00000000">
        <w:rPr>
          <w:rFonts w:ascii="Times New Roman" w:cs="Times New Roman" w:eastAsia="Times New Roman" w:hAnsi="Times New Roman"/>
          <w:sz w:val="24"/>
          <w:szCs w:val="24"/>
          <w:rtl w:val="0"/>
        </w:rPr>
        <w:t xml:space="preserve">. Elsevier.</w:t>
      </w:r>
    </w:p>
    <w:p w:rsidR="00000000" w:rsidDel="00000000" w:rsidP="00000000" w:rsidRDefault="00000000" w:rsidRPr="00000000" w14:paraId="000001F6">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Wood, F. (2013). </w:t>
      </w:r>
      <w:r w:rsidDel="00000000" w:rsidR="00000000" w:rsidRPr="00000000">
        <w:rPr>
          <w:rFonts w:ascii="Times New Roman" w:cs="Times New Roman" w:eastAsia="Times New Roman" w:hAnsi="Times New Roman"/>
          <w:i w:val="1"/>
          <w:sz w:val="24"/>
          <w:szCs w:val="24"/>
          <w:rtl w:val="0"/>
        </w:rPr>
        <w:t xml:space="preserve">Frank Wood’s Business Accounting Volume 1</w:t>
      </w:r>
      <w:r w:rsidDel="00000000" w:rsidR="00000000" w:rsidRPr="00000000">
        <w:rPr>
          <w:rFonts w:ascii="Times New Roman" w:cs="Times New Roman" w:eastAsia="Times New Roman" w:hAnsi="Times New Roman"/>
          <w:sz w:val="24"/>
          <w:szCs w:val="24"/>
          <w:rtl w:val="0"/>
        </w:rPr>
        <w:t xml:space="preserve">. [online] </w:t>
      </w:r>
      <w:r w:rsidDel="00000000" w:rsidR="00000000" w:rsidRPr="00000000">
        <w:rPr>
          <w:rFonts w:ascii="Times New Roman" w:cs="Times New Roman" w:eastAsia="Times New Roman" w:hAnsi="Times New Roman"/>
          <w:i w:val="1"/>
          <w:sz w:val="24"/>
          <w:szCs w:val="24"/>
          <w:rtl w:val="0"/>
        </w:rPr>
        <w:t xml:space="preserve">Google Books</w:t>
      </w:r>
      <w:r w:rsidDel="00000000" w:rsidR="00000000" w:rsidRPr="00000000">
        <w:rPr>
          <w:rFonts w:ascii="Times New Roman" w:cs="Times New Roman" w:eastAsia="Times New Roman" w:hAnsi="Times New Roman"/>
          <w:sz w:val="24"/>
          <w:szCs w:val="24"/>
          <w:rtl w:val="0"/>
        </w:rPr>
        <w:t xml:space="preserve">. Pearson Higher Ed. Available at: [Accessed 12 Jul. 2021].</w:t>
      </w:r>
    </w:p>
    <w:p w:rsidR="00000000" w:rsidDel="00000000" w:rsidP="00000000" w:rsidRDefault="00000000" w:rsidRPr="00000000" w14:paraId="000001F7">
      <w:pPr>
        <w:keepNext w:val="0"/>
        <w:keepLines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36"/>
          <w:szCs w:val="36"/>
          <w:u w:val="none"/>
          <w:shd w:fill="auto" w:val="clear"/>
          <w:vertAlign w:val="baselin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5b5"/>
      <w:sz w:val="26"/>
      <w:szCs w:val="26"/>
    </w:rPr>
  </w:style>
  <w:style w:type="paragraph" w:styleId="Heading3">
    <w:name w:val="heading 3"/>
    <w:basedOn w:val="Normal"/>
    <w:next w:val="Normal"/>
    <w:pPr>
      <w:keepNext w:val="1"/>
      <w:keepLines w:val="1"/>
      <w:spacing w:after="0" w:before="40" w:lineRule="auto"/>
    </w:pPr>
    <w:rPr>
      <w:rFonts w:ascii="Calibri" w:cs="Calibri" w:eastAsia="Calibri" w:hAnsi="Calibri"/>
      <w:color w:val="1e4d78"/>
      <w:sz w:val="24"/>
      <w:szCs w:val="24"/>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6E3B4D"/>
    <w:pPr>
      <w:keepNext w:val="1"/>
      <w:keepLines w:val="1"/>
      <w:spacing w:after="0" w:before="240"/>
      <w:outlineLvl w:val="0"/>
    </w:pPr>
    <w:rPr>
      <w:rFonts w:asciiTheme="majorHAnsi" w:cstheme="majorBidi" w:eastAsiaTheme="majorEastAsia" w:hAnsiTheme="majorHAnsi"/>
      <w:color w:val="2e74b5" w:themeColor="accent1" w:themeShade="0000BF"/>
      <w:sz w:val="32"/>
      <w:szCs w:val="32"/>
    </w:rPr>
  </w:style>
  <w:style w:type="paragraph" w:styleId="Heading2">
    <w:name w:val="heading 2"/>
    <w:basedOn w:val="Normal"/>
    <w:next w:val="Normal"/>
    <w:link w:val="Heading2Char"/>
    <w:uiPriority w:val="9"/>
    <w:unhideWhenUsed w:val="1"/>
    <w:qFormat w:val="1"/>
    <w:rsid w:val="00185432"/>
    <w:pPr>
      <w:keepNext w:val="1"/>
      <w:keepLines w:val="1"/>
      <w:spacing w:after="0" w:before="40"/>
      <w:outlineLvl w:val="1"/>
    </w:pPr>
    <w:rPr>
      <w:rFonts w:asciiTheme="majorHAnsi" w:cstheme="majorBidi" w:eastAsiaTheme="majorEastAsia" w:hAnsiTheme="majorHAnsi"/>
      <w:color w:val="2e74b5" w:themeColor="accent1" w:themeShade="0000BF"/>
      <w:sz w:val="26"/>
      <w:szCs w:val="26"/>
    </w:rPr>
  </w:style>
  <w:style w:type="paragraph" w:styleId="Heading3">
    <w:name w:val="heading 3"/>
    <w:basedOn w:val="Normal"/>
    <w:next w:val="Normal"/>
    <w:link w:val="Heading3Char"/>
    <w:uiPriority w:val="9"/>
    <w:unhideWhenUsed w:val="1"/>
    <w:qFormat w:val="1"/>
    <w:rsid w:val="00583862"/>
    <w:pPr>
      <w:keepNext w:val="1"/>
      <w:keepLines w:val="1"/>
      <w:spacing w:after="0" w:before="40"/>
      <w:outlineLvl w:val="2"/>
    </w:pPr>
    <w:rPr>
      <w:rFonts w:asciiTheme="majorHAnsi" w:cstheme="majorBidi" w:eastAsiaTheme="majorEastAsia" w:hAnsiTheme="majorHAnsi"/>
      <w:color w:val="1f4d78" w:themeColor="accent1" w:themeShade="00007F"/>
      <w:sz w:val="24"/>
      <w:szCs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6E3B4D"/>
    <w:rPr>
      <w:rFonts w:asciiTheme="majorHAnsi" w:cstheme="majorBidi" w:eastAsiaTheme="majorEastAsia" w:hAnsiTheme="majorHAnsi"/>
      <w:color w:val="2e74b5" w:themeColor="accent1" w:themeShade="0000BF"/>
      <w:sz w:val="32"/>
      <w:szCs w:val="32"/>
    </w:rPr>
  </w:style>
  <w:style w:type="character" w:styleId="Heading2Char" w:customStyle="1">
    <w:name w:val="Heading 2 Char"/>
    <w:basedOn w:val="DefaultParagraphFont"/>
    <w:link w:val="Heading2"/>
    <w:uiPriority w:val="9"/>
    <w:rsid w:val="00185432"/>
    <w:rPr>
      <w:rFonts w:asciiTheme="majorHAnsi" w:cstheme="majorBidi" w:eastAsiaTheme="majorEastAsia" w:hAnsiTheme="majorHAnsi"/>
      <w:color w:val="2e74b5" w:themeColor="accent1" w:themeShade="0000BF"/>
      <w:sz w:val="26"/>
      <w:szCs w:val="26"/>
    </w:rPr>
  </w:style>
  <w:style w:type="table" w:styleId="TableGrid">
    <w:name w:val="Table Grid"/>
    <w:basedOn w:val="TableNormal"/>
    <w:uiPriority w:val="39"/>
    <w:rsid w:val="00185432"/>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Heading3Char" w:customStyle="1">
    <w:name w:val="Heading 3 Char"/>
    <w:basedOn w:val="DefaultParagraphFont"/>
    <w:link w:val="Heading3"/>
    <w:uiPriority w:val="9"/>
    <w:rsid w:val="00583862"/>
    <w:rPr>
      <w:rFonts w:asciiTheme="majorHAnsi" w:cstheme="majorBidi" w:eastAsiaTheme="majorEastAsia" w:hAnsiTheme="majorHAnsi"/>
      <w:color w:val="1f4d78" w:themeColor="accent1" w:themeShade="00007F"/>
      <w:sz w:val="24"/>
      <w:szCs w:val="24"/>
    </w:rPr>
  </w:style>
  <w:style w:type="paragraph" w:styleId="NormalWeb">
    <w:name w:val="Normal (Web)"/>
    <w:basedOn w:val="Normal"/>
    <w:uiPriority w:val="99"/>
    <w:unhideWhenUsed w:val="1"/>
    <w:rsid w:val="009B2D45"/>
    <w:pPr>
      <w:spacing w:after="100" w:afterAutospacing="1" w:before="100" w:beforeAutospacing="1" w:line="240" w:lineRule="auto"/>
    </w:pPr>
    <w:rPr>
      <w:rFonts w:ascii="Times New Roman" w:cs="Times New Roman" w:eastAsia="Times New Roman" w:hAnsi="Times New Roman"/>
      <w:sz w:val="24"/>
      <w:szCs w:val="24"/>
    </w:rPr>
  </w:style>
  <w:style w:type="paragraph" w:styleId="TOCHeading">
    <w:name w:val="TOC Heading"/>
    <w:basedOn w:val="Heading1"/>
    <w:next w:val="Normal"/>
    <w:uiPriority w:val="39"/>
    <w:unhideWhenUsed w:val="1"/>
    <w:qFormat w:val="1"/>
    <w:rsid w:val="009B2D45"/>
    <w:pPr>
      <w:outlineLvl w:val="9"/>
    </w:pPr>
  </w:style>
  <w:style w:type="paragraph" w:styleId="TOC1">
    <w:name w:val="toc 1"/>
    <w:basedOn w:val="Normal"/>
    <w:next w:val="Normal"/>
    <w:autoRedefine w:val="1"/>
    <w:uiPriority w:val="39"/>
    <w:unhideWhenUsed w:val="1"/>
    <w:rsid w:val="009B2D45"/>
    <w:pPr>
      <w:spacing w:after="100"/>
    </w:pPr>
  </w:style>
  <w:style w:type="paragraph" w:styleId="TOC2">
    <w:name w:val="toc 2"/>
    <w:basedOn w:val="Normal"/>
    <w:next w:val="Normal"/>
    <w:autoRedefine w:val="1"/>
    <w:uiPriority w:val="39"/>
    <w:unhideWhenUsed w:val="1"/>
    <w:rsid w:val="009B2D45"/>
    <w:pPr>
      <w:spacing w:after="100"/>
      <w:ind w:left="220"/>
    </w:pPr>
  </w:style>
  <w:style w:type="paragraph" w:styleId="TOC3">
    <w:name w:val="toc 3"/>
    <w:basedOn w:val="Normal"/>
    <w:next w:val="Normal"/>
    <w:autoRedefine w:val="1"/>
    <w:uiPriority w:val="39"/>
    <w:unhideWhenUsed w:val="1"/>
    <w:rsid w:val="009B2D45"/>
    <w:pPr>
      <w:spacing w:after="100"/>
      <w:ind w:left="440"/>
    </w:pPr>
  </w:style>
  <w:style w:type="character" w:styleId="Hyperlink">
    <w:name w:val="Hyperlink"/>
    <w:basedOn w:val="DefaultParagraphFont"/>
    <w:uiPriority w:val="99"/>
    <w:unhideWhenUsed w:val="1"/>
    <w:rsid w:val="009B2D45"/>
    <w:rPr>
      <w:color w:val="0563c1" w:themeColor="hyperlink"/>
      <w:u w:val="single"/>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 w:type="table" w:styleId="Table10">
    <w:basedOn w:val="TableNormal"/>
    <w:tblPr>
      <w:tblStyleRowBandSize w:val="1"/>
      <w:tblStyleColBandSize w:val="1"/>
      <w:tblCellMar>
        <w:top w:w="0.0" w:type="dxa"/>
        <w:left w:w="115.0" w:type="dxa"/>
        <w:bottom w:w="0.0" w:type="dxa"/>
        <w:right w:w="115.0" w:type="dxa"/>
      </w:tblCellMar>
    </w:tblPr>
  </w:style>
  <w:style w:type="table" w:styleId="Table11">
    <w:basedOn w:val="TableNormal"/>
    <w:tblPr>
      <w:tblStyleRowBandSize w:val="1"/>
      <w:tblStyleColBandSize w:val="1"/>
      <w:tblCellMar>
        <w:top w:w="0.0" w:type="dxa"/>
        <w:left w:w="115.0" w:type="dxa"/>
        <w:bottom w:w="0.0" w:type="dxa"/>
        <w:right w:w="115.0" w:type="dxa"/>
      </w:tblCellMar>
    </w:tblPr>
  </w:style>
  <w:style w:type="table" w:styleId="Table12">
    <w:basedOn w:val="TableNormal"/>
    <w:tblPr>
      <w:tblStyleRowBandSize w:val="1"/>
      <w:tblStyleColBandSize w:val="1"/>
      <w:tblCellMar>
        <w:top w:w="0.0" w:type="dxa"/>
        <w:left w:w="115.0" w:type="dxa"/>
        <w:bottom w:w="0.0" w:type="dxa"/>
        <w:right w:w="115.0" w:type="dxa"/>
      </w:tblCellMar>
    </w:tblPr>
  </w:style>
  <w:style w:type="table" w:styleId="Table13">
    <w:basedOn w:val="TableNormal"/>
    <w:tblPr>
      <w:tblStyleRowBandSize w:val="1"/>
      <w:tblStyleColBandSize w:val="1"/>
      <w:tblCellMar>
        <w:top w:w="0.0" w:type="dxa"/>
        <w:left w:w="115.0" w:type="dxa"/>
        <w:bottom w:w="0.0" w:type="dxa"/>
        <w:right w:w="115.0" w:type="dxa"/>
      </w:tblCellMar>
    </w:tblPr>
  </w:style>
  <w:style w:type="table" w:styleId="Table14">
    <w:basedOn w:val="TableNormal"/>
    <w:tblPr>
      <w:tblStyleRowBandSize w:val="1"/>
      <w:tblStyleColBandSize w:val="1"/>
      <w:tblCellMar>
        <w:top w:w="0.0" w:type="dxa"/>
        <w:left w:w="115.0" w:type="dxa"/>
        <w:bottom w:w="0.0" w:type="dxa"/>
        <w:right w:w="115.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chart" Target="charts/chart10.xml"/><Relationship Id="rId10" Type="http://schemas.openxmlformats.org/officeDocument/2006/relationships/chart" Target="charts/chart7.xml"/><Relationship Id="rId13" Type="http://schemas.openxmlformats.org/officeDocument/2006/relationships/chart" Target="charts/chart2.xml"/><Relationship Id="rId12" Type="http://schemas.openxmlformats.org/officeDocument/2006/relationships/chart" Target="charts/chart9.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chart" Target="charts/chart8.xml"/><Relationship Id="rId15" Type="http://schemas.openxmlformats.org/officeDocument/2006/relationships/chart" Target="charts/chart4.xml"/><Relationship Id="rId14" Type="http://schemas.openxmlformats.org/officeDocument/2006/relationships/chart" Target="charts/chart1.xml"/><Relationship Id="rId17" Type="http://schemas.openxmlformats.org/officeDocument/2006/relationships/chart" Target="charts/chart5.xml"/><Relationship Id="rId16" Type="http://schemas.openxmlformats.org/officeDocument/2006/relationships/chart" Target="charts/chart3.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chart" Target="charts/chart6.xm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file:///D:\Nafiz\July,2021\AF.xlsx" TargetMode="External"/></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oleObject" Target="file:///D:\Nafiz\July,2021\AF.xlsx" TargetMode="External"/></Relationships>
</file>

<file path=word/charts/_rels/chart3.xml.rels><?xml version="1.0" encoding="UTF-8" standalone="yes"?><Relationships xmlns="http://schemas.openxmlformats.org/package/2006/relationships"><Relationship Id="rId1" Type="http://schemas.microsoft.com/office/2011/relationships/chartStyle" Target="style3.xml"/><Relationship Id="rId2" Type="http://schemas.microsoft.com/office/2011/relationships/chartColorStyle" Target="colors3.xml"/><Relationship Id="rId3" Type="http://schemas.openxmlformats.org/officeDocument/2006/relationships/oleObject" Target="file:///D:\Nafiz\July,2021\AF.xlsx" TargetMode="External"/></Relationships>
</file>

<file path=word/charts/_rels/chart4.xml.rels><?xml version="1.0" encoding="UTF-8" standalone="yes"?><Relationships xmlns="http://schemas.openxmlformats.org/package/2006/relationships"><Relationship Id="rId1" Type="http://schemas.microsoft.com/office/2011/relationships/chartStyle" Target="style4.xml"/><Relationship Id="rId2" Type="http://schemas.microsoft.com/office/2011/relationships/chartColorStyle" Target="colors4.xml"/><Relationship Id="rId3" Type="http://schemas.openxmlformats.org/officeDocument/2006/relationships/oleObject" Target="file:///D:\Nafiz\July,2021\AF.xlsx" TargetMode="External"/></Relationships>
</file>

<file path=word/charts/_rels/chart5.xml.rels><?xml version="1.0" encoding="UTF-8" standalone="yes"?><Relationships xmlns="http://schemas.openxmlformats.org/package/2006/relationships"><Relationship Id="rId1" Type="http://schemas.microsoft.com/office/2011/relationships/chartStyle" Target="style5.xml"/><Relationship Id="rId2" Type="http://schemas.microsoft.com/office/2011/relationships/chartColorStyle" Target="colors5.xml"/><Relationship Id="rId3" Type="http://schemas.openxmlformats.org/officeDocument/2006/relationships/oleObject" Target="file:///D:\Nafiz\July,2021\AF.xlsx" TargetMode="External"/></Relationships>
</file>

<file path=word/charts/_rels/chart6.xml.rels><?xml version="1.0" encoding="UTF-8" standalone="yes"?><Relationships xmlns="http://schemas.openxmlformats.org/package/2006/relationships"><Relationship Id="rId1" Type="http://schemas.microsoft.com/office/2011/relationships/chartStyle" Target="style6.xml"/><Relationship Id="rId2" Type="http://schemas.microsoft.com/office/2011/relationships/chartColorStyle" Target="colors6.xml"/><Relationship Id="rId3" Type="http://schemas.openxmlformats.org/officeDocument/2006/relationships/oleObject" Target="file:///D:\Nafiz\July,2021\AF.xlsx" TargetMode="External"/></Relationships>
</file>

<file path=word/charts/_rels/chart7.xml.rels><?xml version="1.0" encoding="UTF-8" standalone="yes"?><Relationships xmlns="http://schemas.openxmlformats.org/package/2006/relationships"><Relationship Id="rId1" Type="http://schemas.microsoft.com/office/2011/relationships/chartStyle" Target="style7.xml"/><Relationship Id="rId2" Type="http://schemas.microsoft.com/office/2011/relationships/chartColorStyle" Target="colors7.xml"/><Relationship Id="rId3" Type="http://schemas.openxmlformats.org/officeDocument/2006/relationships/oleObject" Target="file:///D:\Nafiz\July,2021\AF.xlsx" TargetMode="External"/></Relationships>
</file>

<file path=word/charts/_rels/chart8.xml.rels><?xml version="1.0" encoding="UTF-8" standalone="yes"?><Relationships xmlns="http://schemas.openxmlformats.org/package/2006/relationships"><Relationship Id="rId1" Type="http://schemas.microsoft.com/office/2011/relationships/chartStyle" Target="style8.xml"/><Relationship Id="rId2" Type="http://schemas.microsoft.com/office/2011/relationships/chartColorStyle" Target="colors8.xml"/><Relationship Id="rId3" Type="http://schemas.openxmlformats.org/officeDocument/2006/relationships/oleObject" Target="file:///D:\Nafiz\July,2021\AF.xlsx" TargetMode="External"/></Relationships>
</file>

<file path=word/charts/_rels/chart9.xml.rels><?xml version="1.0" encoding="UTF-8" standalone="yes"?><Relationships xmlns="http://schemas.openxmlformats.org/package/2006/relationships"><Relationship Id="rId1" Type="http://schemas.microsoft.com/office/2011/relationships/chartStyle" Target="style9.xml"/><Relationship Id="rId2" Type="http://schemas.microsoft.com/office/2011/relationships/chartColorStyle" Target="colors9.xml"/><Relationship Id="rId3" Type="http://schemas.openxmlformats.org/officeDocument/2006/relationships/oleObject" Target="about:blank" TargetMode="External"/></Relationships>
</file>

<file path=word/charts/_rels/chart10.xml.rels><?xml version="1.0" encoding="UTF-8" standalone="yes"?><Relationships xmlns="http://schemas.openxmlformats.org/package/2006/relationships"><Relationship Id="rId1" Type="http://schemas.microsoft.com/office/2011/relationships/chartStyle" Target="style10.xml"/><Relationship Id="rId2" Type="http://schemas.microsoft.com/office/2011/relationships/chartColorStyle" Target="colors10.xml"/><Relationship Id="rId3" Type="http://schemas.openxmlformats.org/officeDocument/2006/relationships/oleObject" Target="file:///D:\Nafiz\July,2021\AF.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Sheet2!$C$44</c:f>
              <c:strCache>
                <c:ptCount val="1"/>
                <c:pt idx="0">
                  <c:v>Debtors collection period</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Sheet2!$D$41:$E$41</c:f>
              <c:numCache>
                <c:formatCode>General</c:formatCode>
                <c:ptCount val="2"/>
                <c:pt idx="0">
                  <c:v>2020</c:v>
                </c:pt>
                <c:pt idx="1">
                  <c:v>2019</c:v>
                </c:pt>
              </c:numCache>
            </c:numRef>
          </c:cat>
          <c:val>
            <c:numRef>
              <c:f>Sheet2!$D$44:$E$44</c:f>
              <c:numCache>
                <c:formatCode>0</c:formatCode>
                <c:ptCount val="2"/>
                <c:pt idx="0">
                  <c:v>67.658800831107158</c:v>
                </c:pt>
                <c:pt idx="1">
                  <c:v>72.931998136935263</c:v>
                </c:pt>
              </c:numCache>
            </c:numRef>
          </c:val>
          <c:smooth val="0"/>
          <c:extLst>
            <c:ext xmlns:c16="http://schemas.microsoft.com/office/drawing/2014/chart" uri="{C3380CC4-5D6E-409C-BE32-E72D297353CC}">
              <c16:uniqueId val="{00000000-A163-4893-B438-482A066D7135}"/>
            </c:ext>
          </c:extLst>
        </c:ser>
        <c:dLbls>
          <c:showLegendKey val="0"/>
          <c:showVal val="0"/>
          <c:showCatName val="0"/>
          <c:showSerName val="0"/>
          <c:showPercent val="0"/>
          <c:showBubbleSize val="0"/>
        </c:dLbls>
        <c:smooth val="0"/>
        <c:axId val="357961784"/>
        <c:axId val="357960472"/>
      </c:lineChart>
      <c:catAx>
        <c:axId val="357961784"/>
        <c:scaling>
          <c:orientation val="minMax"/>
        </c:scaling>
        <c:delete val="0"/>
        <c:axPos val="b"/>
        <c:numFmt formatCode="General" sourceLinked="1"/>
        <c:majorTickMark val="none"/>
        <c:minorTickMark val="none"/>
        <c:tickLblPos val="nextTo"/>
        <c:spPr>
          <a:noFill/>
          <a:ln w="9525">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57960472"/>
        <c:crosses val="autoZero"/>
        <c:auto val="1"/>
        <c:lblAlgn val="ctr"/>
        <c:lblOffset val="100"/>
        <c:noMultiLvlLbl val="0"/>
      </c:catAx>
      <c:valAx>
        <c:axId val="357960472"/>
        <c:scaling>
          <c:orientation val="minMax"/>
        </c:scaling>
        <c:delete val="0"/>
        <c:axPos val="l"/>
        <c:majorGridlines>
          <c:spPr>
            <a:ln w="9525">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57961784"/>
        <c:crosses val="autoZero"/>
        <c:crossBetween val="between"/>
      </c:valAx>
      <c:spPr>
        <a:noFill/>
        <a:ln>
          <a:noFill/>
        </a:ln>
        <a:effectLst/>
      </c:spPr>
    </c:plotArea>
    <c:plotVisOnly val="1"/>
    <c:dispBlanksAs val="gap"/>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Sheet2!$C$38</c:f>
              <c:strCache>
                <c:ptCount val="1"/>
                <c:pt idx="0">
                  <c:v>Stock holding days</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Sheet2!$D$35:$E$35</c:f>
              <c:numCache>
                <c:formatCode>General</c:formatCode>
                <c:ptCount val="2"/>
                <c:pt idx="0">
                  <c:v>2020</c:v>
                </c:pt>
                <c:pt idx="1">
                  <c:v>2019</c:v>
                </c:pt>
              </c:numCache>
            </c:numRef>
          </c:cat>
          <c:val>
            <c:numRef>
              <c:f>Sheet2!$D$38:$E$38</c:f>
              <c:numCache>
                <c:formatCode>0.00%</c:formatCode>
                <c:ptCount val="2"/>
                <c:pt idx="0">
                  <c:v>0.21128284389489954</c:v>
                </c:pt>
                <c:pt idx="1">
                  <c:v>0.21285529715762275</c:v>
                </c:pt>
              </c:numCache>
            </c:numRef>
          </c:val>
          <c:smooth val="0"/>
          <c:extLst>
            <c:ext xmlns:c16="http://schemas.microsoft.com/office/drawing/2014/chart" uri="{C3380CC4-5D6E-409C-BE32-E72D297353CC}">
              <c16:uniqueId val="{00000000-AC66-4B61-AD25-375E4407D161}"/>
            </c:ext>
          </c:extLst>
        </c:ser>
        <c:dLbls>
          <c:showLegendKey val="0"/>
          <c:showVal val="0"/>
          <c:showCatName val="0"/>
          <c:showSerName val="0"/>
          <c:showPercent val="0"/>
          <c:showBubbleSize val="0"/>
        </c:dLbls>
        <c:smooth val="0"/>
        <c:axId val="358549528"/>
        <c:axId val="358548216"/>
      </c:lineChart>
      <c:catAx>
        <c:axId val="358549528"/>
        <c:scaling>
          <c:orientation val="minMax"/>
        </c:scaling>
        <c:delete val="0"/>
        <c:axPos val="b"/>
        <c:numFmt formatCode="General" sourceLinked="1"/>
        <c:majorTickMark val="none"/>
        <c:minorTickMark val="none"/>
        <c:tickLblPos val="nextTo"/>
        <c:spPr>
          <a:noFill/>
          <a:ln w="9525">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58548216"/>
        <c:crosses val="autoZero"/>
        <c:auto val="1"/>
        <c:lblAlgn val="ctr"/>
        <c:lblOffset val="100"/>
        <c:noMultiLvlLbl val="0"/>
      </c:catAx>
      <c:valAx>
        <c:axId val="358548216"/>
        <c:scaling>
          <c:orientation val="minMax"/>
        </c:scaling>
        <c:delete val="0"/>
        <c:axPos val="l"/>
        <c:majorGridlines>
          <c:spPr>
            <a:ln w="9525">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58549528"/>
        <c:crosses val="autoZero"/>
        <c:crossBetween val="between"/>
      </c:valAx>
      <c:spPr>
        <a:noFill/>
        <a:ln>
          <a:noFill/>
        </a:ln>
        <a:effectLst/>
      </c:spPr>
    </c:plotArea>
    <c:plotVisOnly val="1"/>
    <c:dispBlanksAs val="gap"/>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Sheet2!$C$56</c:f>
              <c:strCache>
                <c:ptCount val="1"/>
                <c:pt idx="0">
                  <c:v>Gearing ratio</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Sheet2!$D$53:$E$53</c:f>
              <c:numCache>
                <c:formatCode>General</c:formatCode>
                <c:ptCount val="2"/>
                <c:pt idx="0">
                  <c:v>2020</c:v>
                </c:pt>
                <c:pt idx="1">
                  <c:v>2019</c:v>
                </c:pt>
              </c:numCache>
            </c:numRef>
          </c:cat>
          <c:val>
            <c:numRef>
              <c:f>Sheet2!$D$56:$E$56</c:f>
              <c:numCache>
                <c:formatCode>0.00%</c:formatCode>
                <c:ptCount val="2"/>
                <c:pt idx="0">
                  <c:v>0.68282662284305673</c:v>
                </c:pt>
                <c:pt idx="1">
                  <c:v>0.71131158917418458</c:v>
                </c:pt>
              </c:numCache>
            </c:numRef>
          </c:val>
          <c:smooth val="0"/>
          <c:extLst>
            <c:ext xmlns:c16="http://schemas.microsoft.com/office/drawing/2014/chart" uri="{C3380CC4-5D6E-409C-BE32-E72D297353CC}">
              <c16:uniqueId val="{00000000-1849-44FD-ACC3-EC659578349F}"/>
            </c:ext>
          </c:extLst>
        </c:ser>
        <c:dLbls>
          <c:showLegendKey val="0"/>
          <c:showVal val="0"/>
          <c:showCatName val="0"/>
          <c:showSerName val="0"/>
          <c:showPercent val="0"/>
          <c:showBubbleSize val="0"/>
        </c:dLbls>
        <c:smooth val="0"/>
        <c:axId val="420244256"/>
        <c:axId val="420248192"/>
      </c:lineChart>
      <c:catAx>
        <c:axId val="420244256"/>
        <c:scaling>
          <c:orientation val="minMax"/>
        </c:scaling>
        <c:delete val="0"/>
        <c:axPos val="b"/>
        <c:numFmt formatCode="General" sourceLinked="1"/>
        <c:majorTickMark val="none"/>
        <c:minorTickMark val="none"/>
        <c:tickLblPos val="nextTo"/>
        <c:spPr>
          <a:noFill/>
          <a:ln w="9525">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20248192"/>
        <c:crosses val="autoZero"/>
        <c:auto val="1"/>
        <c:lblAlgn val="ctr"/>
        <c:lblOffset val="100"/>
        <c:noMultiLvlLbl val="0"/>
      </c:catAx>
      <c:valAx>
        <c:axId val="420248192"/>
        <c:scaling>
          <c:orientation val="minMax"/>
        </c:scaling>
        <c:delete val="0"/>
        <c:axPos val="l"/>
        <c:majorGridlines>
          <c:spPr>
            <a:ln w="9525">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20244256"/>
        <c:crosses val="autoZero"/>
        <c:crossBetween val="between"/>
      </c:valAx>
      <c:spPr>
        <a:noFill/>
        <a:ln>
          <a:noFill/>
        </a:ln>
        <a:effectLst/>
      </c:spPr>
    </c:plotArea>
    <c:plotVisOnly val="1"/>
    <c:dispBlanksAs val="gap"/>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Sheet2!$C$50</c:f>
              <c:strCache>
                <c:ptCount val="1"/>
                <c:pt idx="0">
                  <c:v>Current ratio</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Sheet2!$D$47:$E$47</c:f>
              <c:numCache>
                <c:formatCode>General</c:formatCode>
                <c:ptCount val="2"/>
                <c:pt idx="0">
                  <c:v>2020</c:v>
                </c:pt>
                <c:pt idx="1">
                  <c:v>2019</c:v>
                </c:pt>
              </c:numCache>
            </c:numRef>
          </c:cat>
          <c:val>
            <c:numRef>
              <c:f>Sheet2!$D$50:$E$50</c:f>
              <c:numCache>
                <c:formatCode>0.00</c:formatCode>
                <c:ptCount val="2"/>
                <c:pt idx="0">
                  <c:v>0.91716447630426123</c:v>
                </c:pt>
                <c:pt idx="1">
                  <c:v>0.77314510833880501</c:v>
                </c:pt>
              </c:numCache>
            </c:numRef>
          </c:val>
          <c:smooth val="0"/>
          <c:extLst>
            <c:ext xmlns:c16="http://schemas.microsoft.com/office/drawing/2014/chart" uri="{C3380CC4-5D6E-409C-BE32-E72D297353CC}">
              <c16:uniqueId val="{00000000-CC5E-4023-A9C6-EE9B22A66684}"/>
            </c:ext>
          </c:extLst>
        </c:ser>
        <c:dLbls>
          <c:showLegendKey val="0"/>
          <c:showVal val="0"/>
          <c:showCatName val="0"/>
          <c:showSerName val="0"/>
          <c:showPercent val="0"/>
          <c:showBubbleSize val="0"/>
        </c:dLbls>
        <c:smooth val="0"/>
        <c:axId val="427886520"/>
        <c:axId val="427888488"/>
      </c:lineChart>
      <c:catAx>
        <c:axId val="427886520"/>
        <c:scaling>
          <c:orientation val="minMax"/>
        </c:scaling>
        <c:delete val="0"/>
        <c:axPos val="b"/>
        <c:numFmt formatCode="General" sourceLinked="1"/>
        <c:majorTickMark val="none"/>
        <c:minorTickMark val="none"/>
        <c:tickLblPos val="nextTo"/>
        <c:spPr>
          <a:noFill/>
          <a:ln w="9525">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27888488"/>
        <c:crosses val="autoZero"/>
        <c:auto val="1"/>
        <c:lblAlgn val="ctr"/>
        <c:lblOffset val="100"/>
        <c:noMultiLvlLbl val="0"/>
      </c:catAx>
      <c:valAx>
        <c:axId val="427888488"/>
        <c:scaling>
          <c:orientation val="minMax"/>
        </c:scaling>
        <c:delete val="0"/>
        <c:axPos val="l"/>
        <c:majorGridlines>
          <c:spPr>
            <a:ln w="9525">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27886520"/>
        <c:crosses val="autoZero"/>
        <c:crossBetween val="between"/>
      </c:valAx>
      <c:spPr>
        <a:noFill/>
        <a:ln>
          <a:noFill/>
        </a:ln>
        <a:effectLst/>
      </c:spPr>
    </c:plotArea>
    <c:plotVisOnly val="1"/>
    <c:dispBlanksAs val="gap"/>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Sheet2!$C$62</c:f>
              <c:strCache>
                <c:ptCount val="1"/>
                <c:pt idx="0">
                  <c:v>Interest coverage ratio</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Sheet2!$D$59:$E$59</c:f>
              <c:numCache>
                <c:formatCode>General</c:formatCode>
                <c:ptCount val="2"/>
                <c:pt idx="0">
                  <c:v>2020</c:v>
                </c:pt>
                <c:pt idx="1">
                  <c:v>2019</c:v>
                </c:pt>
              </c:numCache>
            </c:numRef>
          </c:cat>
          <c:val>
            <c:numRef>
              <c:f>Sheet2!$D$62:$E$62</c:f>
              <c:numCache>
                <c:formatCode>0.00</c:formatCode>
                <c:ptCount val="2"/>
                <c:pt idx="0">
                  <c:v>3.5619469026548671</c:v>
                </c:pt>
                <c:pt idx="1">
                  <c:v>3.8618784530386741</c:v>
                </c:pt>
              </c:numCache>
            </c:numRef>
          </c:val>
          <c:smooth val="0"/>
          <c:extLst>
            <c:ext xmlns:c16="http://schemas.microsoft.com/office/drawing/2014/chart" uri="{C3380CC4-5D6E-409C-BE32-E72D297353CC}">
              <c16:uniqueId val="{00000000-E375-427B-9A31-E9DCFC2CCE40}"/>
            </c:ext>
          </c:extLst>
        </c:ser>
        <c:dLbls>
          <c:showLegendKey val="0"/>
          <c:showVal val="0"/>
          <c:showCatName val="0"/>
          <c:showSerName val="0"/>
          <c:showPercent val="0"/>
          <c:showBubbleSize val="0"/>
        </c:dLbls>
        <c:smooth val="0"/>
        <c:axId val="420246880"/>
        <c:axId val="420243600"/>
      </c:lineChart>
      <c:catAx>
        <c:axId val="420246880"/>
        <c:scaling>
          <c:orientation val="minMax"/>
        </c:scaling>
        <c:delete val="0"/>
        <c:axPos val="b"/>
        <c:numFmt formatCode="General" sourceLinked="1"/>
        <c:majorTickMark val="none"/>
        <c:minorTickMark val="none"/>
        <c:tickLblPos val="nextTo"/>
        <c:spPr>
          <a:noFill/>
          <a:ln w="9525">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20243600"/>
        <c:crosses val="autoZero"/>
        <c:auto val="1"/>
        <c:lblAlgn val="ctr"/>
        <c:lblOffset val="100"/>
        <c:noMultiLvlLbl val="0"/>
      </c:catAx>
      <c:valAx>
        <c:axId val="420243600"/>
        <c:scaling>
          <c:orientation val="minMax"/>
        </c:scaling>
        <c:delete val="0"/>
        <c:axPos val="l"/>
        <c:majorGridlines>
          <c:spPr>
            <a:ln w="9525">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20246880"/>
        <c:crosses val="autoZero"/>
        <c:crossBetween val="between"/>
      </c:valAx>
      <c:spPr>
        <a:noFill/>
        <a:ln>
          <a:noFill/>
        </a:ln>
        <a:effectLst/>
      </c:spPr>
    </c:plotArea>
    <c:plotVisOnly val="1"/>
    <c:dispBlanksAs val="gap"/>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Sheet2!$C$8</c:f>
              <c:strCache>
                <c:ptCount val="1"/>
                <c:pt idx="0">
                  <c:v>ROCE</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Sheet2!$D$5:$E$5</c:f>
              <c:numCache>
                <c:formatCode>General</c:formatCode>
                <c:ptCount val="2"/>
                <c:pt idx="0">
                  <c:v>2020</c:v>
                </c:pt>
                <c:pt idx="1">
                  <c:v>2019</c:v>
                </c:pt>
              </c:numCache>
            </c:numRef>
          </c:cat>
          <c:val>
            <c:numRef>
              <c:f>Sheet2!$D$8:$E$8</c:f>
              <c:numCache>
                <c:formatCode>0%</c:formatCode>
                <c:ptCount val="2"/>
                <c:pt idx="0">
                  <c:v>0.11141868512110727</c:v>
                </c:pt>
                <c:pt idx="1">
                  <c:v>9.9275671069450358E-2</c:v>
                </c:pt>
              </c:numCache>
            </c:numRef>
          </c:val>
          <c:smooth val="0"/>
          <c:extLst>
            <c:ext xmlns:c16="http://schemas.microsoft.com/office/drawing/2014/chart" uri="{C3380CC4-5D6E-409C-BE32-E72D297353CC}">
              <c16:uniqueId val="{00000000-6D32-40C8-9CA1-20439F08162D}"/>
            </c:ext>
          </c:extLst>
        </c:ser>
        <c:dLbls>
          <c:showLegendKey val="0"/>
          <c:showVal val="0"/>
          <c:showCatName val="0"/>
          <c:showSerName val="0"/>
          <c:showPercent val="0"/>
          <c:showBubbleSize val="0"/>
        </c:dLbls>
        <c:smooth val="0"/>
        <c:axId val="357965064"/>
        <c:axId val="357963424"/>
      </c:lineChart>
      <c:catAx>
        <c:axId val="357965064"/>
        <c:scaling>
          <c:orientation val="minMax"/>
        </c:scaling>
        <c:delete val="0"/>
        <c:axPos val="b"/>
        <c:numFmt formatCode="General" sourceLinked="1"/>
        <c:majorTickMark val="none"/>
        <c:minorTickMark val="none"/>
        <c:tickLblPos val="nextTo"/>
        <c:spPr>
          <a:noFill/>
          <a:ln w="9525">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57963424"/>
        <c:crosses val="autoZero"/>
        <c:auto val="1"/>
        <c:lblAlgn val="ctr"/>
        <c:lblOffset val="100"/>
        <c:noMultiLvlLbl val="0"/>
      </c:catAx>
      <c:valAx>
        <c:axId val="357963424"/>
        <c:scaling>
          <c:orientation val="minMax"/>
        </c:scaling>
        <c:delete val="0"/>
        <c:axPos val="l"/>
        <c:majorGridlines>
          <c:spPr>
            <a:ln w="9525">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57965064"/>
        <c:crosses val="autoZero"/>
        <c:crossBetween val="between"/>
      </c:valAx>
      <c:spPr>
        <a:noFill/>
        <a:ln>
          <a:noFill/>
        </a:ln>
        <a:effectLst/>
      </c:spPr>
    </c:plotArea>
    <c:plotVisOnly val="1"/>
    <c:dispBlanksAs val="gap"/>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Sheet2!$C$20</c:f>
              <c:strCache>
                <c:ptCount val="1"/>
                <c:pt idx="0">
                  <c:v>EPS</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Sheet2!$D$17:$E$17</c:f>
              <c:numCache>
                <c:formatCode>General</c:formatCode>
                <c:ptCount val="2"/>
                <c:pt idx="0">
                  <c:v>2020</c:v>
                </c:pt>
                <c:pt idx="1">
                  <c:v>2019</c:v>
                </c:pt>
              </c:numCache>
            </c:numRef>
          </c:cat>
          <c:val>
            <c:numRef>
              <c:f>Sheet2!$D$20:$E$20</c:f>
              <c:numCache>
                <c:formatCode>0.00</c:formatCode>
                <c:ptCount val="2"/>
                <c:pt idx="0">
                  <c:v>7.1833333333333336</c:v>
                </c:pt>
                <c:pt idx="1">
                  <c:v>6.1</c:v>
                </c:pt>
              </c:numCache>
            </c:numRef>
          </c:val>
          <c:smooth val="0"/>
          <c:extLst>
            <c:ext xmlns:c16="http://schemas.microsoft.com/office/drawing/2014/chart" uri="{C3380CC4-5D6E-409C-BE32-E72D297353CC}">
              <c16:uniqueId val="{00000000-39E9-416E-8389-E45233964DF9}"/>
            </c:ext>
          </c:extLst>
        </c:ser>
        <c:dLbls>
          <c:showLegendKey val="0"/>
          <c:showVal val="0"/>
          <c:showCatName val="0"/>
          <c:showSerName val="0"/>
          <c:showPercent val="0"/>
          <c:showBubbleSize val="0"/>
        </c:dLbls>
        <c:smooth val="0"/>
        <c:axId val="423053464"/>
        <c:axId val="423054120"/>
      </c:lineChart>
      <c:catAx>
        <c:axId val="423053464"/>
        <c:scaling>
          <c:orientation val="minMax"/>
        </c:scaling>
        <c:delete val="0"/>
        <c:axPos val="b"/>
        <c:numFmt formatCode="General" sourceLinked="1"/>
        <c:majorTickMark val="none"/>
        <c:minorTickMark val="none"/>
        <c:tickLblPos val="nextTo"/>
        <c:spPr>
          <a:noFill/>
          <a:ln w="9525">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23054120"/>
        <c:crosses val="autoZero"/>
        <c:auto val="1"/>
        <c:lblAlgn val="ctr"/>
        <c:lblOffset val="100"/>
        <c:noMultiLvlLbl val="0"/>
      </c:catAx>
      <c:valAx>
        <c:axId val="423054120"/>
        <c:scaling>
          <c:orientation val="minMax"/>
        </c:scaling>
        <c:delete val="0"/>
        <c:axPos val="l"/>
        <c:majorGridlines>
          <c:spPr>
            <a:ln w="9525">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23053464"/>
        <c:crosses val="autoZero"/>
        <c:crossBetween val="between"/>
      </c:valAx>
      <c:spPr>
        <a:noFill/>
        <a:ln>
          <a:noFill/>
        </a:ln>
        <a:effectLst/>
      </c:spPr>
    </c:plotArea>
    <c:plotVisOnly val="1"/>
    <c:dispBlanksAs val="gap"/>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Sheet2!$C$14</c:f>
              <c:strCache>
                <c:ptCount val="1"/>
                <c:pt idx="0">
                  <c:v>ROE</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Sheet2!$D$11:$E$11</c:f>
              <c:numCache>
                <c:formatCode>General</c:formatCode>
                <c:ptCount val="2"/>
                <c:pt idx="0">
                  <c:v>2020</c:v>
                </c:pt>
                <c:pt idx="1">
                  <c:v>2019</c:v>
                </c:pt>
              </c:numCache>
            </c:numRef>
          </c:cat>
          <c:val>
            <c:numRef>
              <c:f>Sheet2!$D$14:$E$14</c:f>
              <c:numCache>
                <c:formatCode>0%</c:formatCode>
                <c:ptCount val="2"/>
                <c:pt idx="0">
                  <c:v>0.13957253886010362</c:v>
                </c:pt>
                <c:pt idx="1">
                  <c:v>0.12568681318681318</c:v>
                </c:pt>
              </c:numCache>
            </c:numRef>
          </c:val>
          <c:smooth val="0"/>
          <c:extLst>
            <c:ext xmlns:c16="http://schemas.microsoft.com/office/drawing/2014/chart" uri="{C3380CC4-5D6E-409C-BE32-E72D297353CC}">
              <c16:uniqueId val="{00000000-47F1-44E9-A0DA-E6A317C45095}"/>
            </c:ext>
          </c:extLst>
        </c:ser>
        <c:dLbls>
          <c:showLegendKey val="0"/>
          <c:showVal val="0"/>
          <c:showCatName val="0"/>
          <c:showSerName val="0"/>
          <c:showPercent val="0"/>
          <c:showBubbleSize val="0"/>
        </c:dLbls>
        <c:smooth val="0"/>
        <c:axId val="262588320"/>
        <c:axId val="423054776"/>
      </c:lineChart>
      <c:catAx>
        <c:axId val="262588320"/>
        <c:scaling>
          <c:orientation val="minMax"/>
        </c:scaling>
        <c:delete val="0"/>
        <c:axPos val="b"/>
        <c:numFmt formatCode="General" sourceLinked="1"/>
        <c:majorTickMark val="none"/>
        <c:minorTickMark val="none"/>
        <c:tickLblPos val="nextTo"/>
        <c:spPr>
          <a:noFill/>
          <a:ln w="9525">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23054776"/>
        <c:crosses val="autoZero"/>
        <c:auto val="1"/>
        <c:lblAlgn val="ctr"/>
        <c:lblOffset val="100"/>
        <c:noMultiLvlLbl val="0"/>
      </c:catAx>
      <c:valAx>
        <c:axId val="423054776"/>
        <c:scaling>
          <c:orientation val="minMax"/>
        </c:scaling>
        <c:delete val="0"/>
        <c:axPos val="l"/>
        <c:majorGridlines>
          <c:spPr>
            <a:ln w="9525">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62588320"/>
        <c:crosses val="autoZero"/>
        <c:crossBetween val="between"/>
      </c:valAx>
      <c:spPr>
        <a:noFill/>
        <a:ln>
          <a:noFill/>
        </a:ln>
        <a:effectLst/>
      </c:spPr>
    </c:plotArea>
    <c:plotVisOnly val="1"/>
    <c:dispBlanksAs val="gap"/>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Sheet2!$C$32</c:f>
              <c:strCache>
                <c:ptCount val="1"/>
                <c:pt idx="0">
                  <c:v>Asset turnover</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Sheet2!$D$29:$E$29</c:f>
              <c:numCache>
                <c:formatCode>General</c:formatCode>
                <c:ptCount val="2"/>
                <c:pt idx="0">
                  <c:v>2020</c:v>
                </c:pt>
                <c:pt idx="1">
                  <c:v>2019</c:v>
                </c:pt>
              </c:numCache>
            </c:numRef>
          </c:cat>
          <c:val>
            <c:numRef>
              <c:f>Sheet2!$D$32:$E$32</c:f>
              <c:numCache>
                <c:formatCode>0.00%</c:formatCode>
                <c:ptCount val="2"/>
                <c:pt idx="0">
                  <c:v>0.69207066557107644</c:v>
                </c:pt>
                <c:pt idx="1">
                  <c:v>0.63854466144542477</c:v>
                </c:pt>
              </c:numCache>
            </c:numRef>
          </c:val>
          <c:smooth val="0"/>
          <c:extLst>
            <c:ext xmlns:c16="http://schemas.microsoft.com/office/drawing/2014/chart" uri="{C3380CC4-5D6E-409C-BE32-E72D297353CC}">
              <c16:uniqueId val="{00000000-7EFB-4A98-A9D9-F077B485CBFA}"/>
            </c:ext>
          </c:extLst>
        </c:ser>
        <c:dLbls>
          <c:showLegendKey val="0"/>
          <c:showVal val="0"/>
          <c:showCatName val="0"/>
          <c:showSerName val="0"/>
          <c:showPercent val="0"/>
          <c:showBubbleSize val="0"/>
        </c:dLbls>
        <c:smooth val="0"/>
        <c:axId val="363869248"/>
        <c:axId val="363869576"/>
      </c:lineChart>
      <c:catAx>
        <c:axId val="363869248"/>
        <c:scaling>
          <c:orientation val="minMax"/>
        </c:scaling>
        <c:delete val="0"/>
        <c:axPos val="b"/>
        <c:numFmt formatCode="General" sourceLinked="1"/>
        <c:majorTickMark val="none"/>
        <c:minorTickMark val="none"/>
        <c:tickLblPos val="nextTo"/>
        <c:spPr>
          <a:noFill/>
          <a:ln w="9525">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63869576"/>
        <c:crosses val="autoZero"/>
        <c:auto val="1"/>
        <c:lblAlgn val="ctr"/>
        <c:lblOffset val="100"/>
        <c:noMultiLvlLbl val="0"/>
      </c:catAx>
      <c:valAx>
        <c:axId val="363869576"/>
        <c:scaling>
          <c:orientation val="minMax"/>
        </c:scaling>
        <c:delete val="0"/>
        <c:axPos val="l"/>
        <c:majorGridlines>
          <c:spPr>
            <a:ln w="9525">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63869248"/>
        <c:crosses val="autoZero"/>
        <c:crossBetween val="between"/>
      </c:valAx>
      <c:spPr>
        <a:noFill/>
        <a:ln>
          <a:noFill/>
        </a:ln>
        <a:effectLst/>
      </c:spPr>
    </c:plotArea>
    <c:plotVisOnly val="1"/>
    <c:dispBlanksAs val="gap"/>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Sheet2!$C$26</c:f>
              <c:strCache>
                <c:ptCount val="1"/>
                <c:pt idx="0">
                  <c:v>Net profit margin</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Sheet2!$D$23:$E$23</c:f>
              <c:numCache>
                <c:formatCode>General</c:formatCode>
                <c:ptCount val="2"/>
                <c:pt idx="0">
                  <c:v>2020</c:v>
                </c:pt>
                <c:pt idx="1">
                  <c:v>2019</c:v>
                </c:pt>
              </c:numCache>
            </c:numRef>
          </c:cat>
          <c:val>
            <c:numRef>
              <c:f>Sheet2!$D$26:$E$26</c:f>
              <c:numCache>
                <c:formatCode>0.00%</c:formatCode>
                <c:ptCount val="2"/>
                <c:pt idx="0">
                  <c:v>6.3965568417928165E-2</c:v>
                </c:pt>
                <c:pt idx="1">
                  <c:v>5.68234746157429E-2</c:v>
                </c:pt>
              </c:numCache>
            </c:numRef>
          </c:val>
          <c:smooth val="0"/>
          <c:extLst>
            <c:ext xmlns:c16="http://schemas.microsoft.com/office/drawing/2014/chart" uri="{C3380CC4-5D6E-409C-BE32-E72D297353CC}">
              <c16:uniqueId val="{00000000-F7F8-41E3-96FA-15509B2D00BA}"/>
            </c:ext>
          </c:extLst>
        </c:ser>
        <c:dLbls>
          <c:showLegendKey val="0"/>
          <c:showVal val="0"/>
          <c:showCatName val="0"/>
          <c:showSerName val="0"/>
          <c:showPercent val="0"/>
          <c:showBubbleSize val="0"/>
        </c:dLbls>
        <c:smooth val="0"/>
        <c:axId val="420243272"/>
        <c:axId val="420244584"/>
      </c:lineChart>
      <c:catAx>
        <c:axId val="420243272"/>
        <c:scaling>
          <c:orientation val="minMax"/>
        </c:scaling>
        <c:delete val="0"/>
        <c:axPos val="b"/>
        <c:numFmt formatCode="General" sourceLinked="1"/>
        <c:majorTickMark val="none"/>
        <c:minorTickMark val="none"/>
        <c:tickLblPos val="nextTo"/>
        <c:spPr>
          <a:noFill/>
          <a:ln w="9525">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20244584"/>
        <c:crosses val="autoZero"/>
        <c:auto val="1"/>
        <c:lblAlgn val="ctr"/>
        <c:lblOffset val="100"/>
        <c:noMultiLvlLbl val="0"/>
      </c:catAx>
      <c:valAx>
        <c:axId val="420244584"/>
        <c:scaling>
          <c:orientation val="minMax"/>
        </c:scaling>
        <c:delete val="0"/>
        <c:axPos val="l"/>
        <c:majorGridlines>
          <c:spPr>
            <a:ln w="9525">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20243272"/>
        <c:crosses val="autoZero"/>
        <c:crossBetween val="between"/>
      </c:valAx>
      <c:spPr>
        <a:noFill/>
        <a:ln>
          <a:noFill/>
        </a:ln>
        <a:effectLst/>
      </c:spPr>
    </c:plotArea>
    <c:plotVisOnly val="1"/>
    <c:dispBlanksAs val="gap"/>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a:solidFill>
          <a:schemeClr val="lt1">
            <a:lumMod val="95000"/>
            <a:alpha val="10000"/>
          </a:schemeClr>
        </a:solidFill>
        <a:round/>
      </a:ln>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a:solidFill>
          <a:schemeClr val="lt1">
            <a:lumMod val="95000"/>
            <a:alpha val="54000"/>
          </a:schemeClr>
        </a:solidFill>
        <a:round/>
      </a:ln>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a:solidFill>
          <a:schemeClr val="lt1">
            <a:lumMod val="95000"/>
            <a:alpha val="10000"/>
          </a:schemeClr>
        </a:solidFill>
        <a:round/>
      </a:ln>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a:solidFill>
          <a:schemeClr val="lt1">
            <a:lumMod val="95000"/>
            <a:alpha val="54000"/>
          </a:schemeClr>
        </a:solidFill>
        <a:round/>
      </a:ln>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a:solidFill>
          <a:schemeClr val="lt1">
            <a:lumMod val="95000"/>
            <a:alpha val="10000"/>
          </a:schemeClr>
        </a:solidFill>
        <a:round/>
      </a:ln>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a:solidFill>
          <a:schemeClr val="lt1">
            <a:lumMod val="95000"/>
            <a:alpha val="54000"/>
          </a:schemeClr>
        </a:solidFill>
        <a:round/>
      </a:ln>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a:solidFill>
          <a:schemeClr val="lt1">
            <a:lumMod val="95000"/>
            <a:alpha val="10000"/>
          </a:schemeClr>
        </a:solidFill>
        <a:round/>
      </a:ln>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a:solidFill>
          <a:schemeClr val="lt1">
            <a:lumMod val="95000"/>
            <a:alpha val="54000"/>
          </a:schemeClr>
        </a:solidFill>
        <a:round/>
      </a:ln>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a:solidFill>
          <a:schemeClr val="lt1">
            <a:lumMod val="95000"/>
            <a:alpha val="10000"/>
          </a:schemeClr>
        </a:solidFill>
        <a:round/>
      </a:ln>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a:solidFill>
          <a:schemeClr val="lt1">
            <a:lumMod val="95000"/>
            <a:alpha val="54000"/>
          </a:schemeClr>
        </a:solidFill>
        <a:round/>
      </a:ln>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a:solidFill>
          <a:schemeClr val="lt1">
            <a:lumMod val="95000"/>
            <a:alpha val="10000"/>
          </a:schemeClr>
        </a:solidFill>
        <a:round/>
      </a:ln>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a:solidFill>
          <a:schemeClr val="lt1">
            <a:lumMod val="95000"/>
            <a:alpha val="54000"/>
          </a:schemeClr>
        </a:solidFill>
        <a:round/>
      </a:ln>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a:solidFill>
          <a:schemeClr val="lt1">
            <a:lumMod val="95000"/>
            <a:alpha val="10000"/>
          </a:schemeClr>
        </a:solidFill>
        <a:round/>
      </a:ln>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a:solidFill>
          <a:schemeClr val="lt1">
            <a:lumMod val="95000"/>
            <a:alpha val="54000"/>
          </a:schemeClr>
        </a:solidFill>
        <a:round/>
      </a:ln>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a:solidFill>
          <a:schemeClr val="lt1">
            <a:lumMod val="95000"/>
            <a:alpha val="10000"/>
          </a:schemeClr>
        </a:solidFill>
        <a:round/>
      </a:ln>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a:solidFill>
          <a:schemeClr val="lt1">
            <a:lumMod val="95000"/>
            <a:alpha val="54000"/>
          </a:schemeClr>
        </a:solidFill>
        <a:round/>
      </a:ln>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9.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a:solidFill>
          <a:schemeClr val="lt1">
            <a:lumMod val="95000"/>
            <a:alpha val="10000"/>
          </a:schemeClr>
        </a:solidFill>
        <a:round/>
      </a:ln>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a:solidFill>
          <a:schemeClr val="lt1">
            <a:lumMod val="95000"/>
            <a:alpha val="54000"/>
          </a:schemeClr>
        </a:solidFill>
        <a:round/>
      </a:ln>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0.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a:solidFill>
          <a:schemeClr val="lt1">
            <a:lumMod val="95000"/>
            <a:alpha val="10000"/>
          </a:schemeClr>
        </a:solidFill>
        <a:round/>
      </a:ln>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a:solidFill>
          <a:schemeClr val="lt1">
            <a:lumMod val="95000"/>
            <a:alpha val="54000"/>
          </a:schemeClr>
        </a:solidFill>
        <a:round/>
      </a:ln>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v91gWY2TdqhkyVlWffO/yXhm/2g==">AMUW2mXHX+mgyWCY1NWVCTk5LTn9dcBUVB5LBBdjFHnvt4BtaddDoLyKF7KoYQ7jb0XhwEOGuVRFLs5elJHIdFp1L/sN6KNdk8skZ/USSAFpR9ZN6XaubTI5xXJRZhTwaHYS/Vtn5hQIhEar5wUKbNURcO8EtpBhsczxPfx8Y0PZ20QzVFDyt3XJAX4sfo826lTtwwprxJ8Dw9efNYqJO2+rNBOWXFqSE06kwam+BIH1WCLthEAbRe+51NJzD36V1SbcevTWjHGdlugmo3d3rtTTRPhG+RCwFPyIfcUsNUVY0+lA5zcLyLlmH3gzRATAa5hy9MBXg6tO/Q1KOoEhKPb8xi8Cf403SAug+u16Ol077gtT7qq77xNJtp8MT3H9LFmRKE9vbsSNe/r5jbCn70B69MU8I8D5U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2021-07-12T18:51:00Z</dcterms:created>
  <dc:creator>Acer</dc:creator>
</cp:coreProperties>
</file>