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B0015" w:rsidRDefault="00DB0015">
      <w:pPr>
        <w:spacing w:line="360" w:lineRule="auto"/>
        <w:jc w:val="center"/>
        <w:rPr>
          <w:rFonts w:ascii="Times New Roman" w:eastAsia="Times New Roman" w:hAnsi="Times New Roman" w:cs="Times New Roman"/>
          <w:b/>
          <w:sz w:val="32"/>
          <w:szCs w:val="32"/>
        </w:rPr>
      </w:pPr>
    </w:p>
    <w:p w14:paraId="00000002" w14:textId="77777777" w:rsidR="00DB0015" w:rsidRDefault="00DB0015">
      <w:pPr>
        <w:spacing w:line="360" w:lineRule="auto"/>
        <w:jc w:val="center"/>
        <w:rPr>
          <w:rFonts w:ascii="Times New Roman" w:eastAsia="Times New Roman" w:hAnsi="Times New Roman" w:cs="Times New Roman"/>
          <w:b/>
          <w:sz w:val="32"/>
          <w:szCs w:val="32"/>
        </w:rPr>
      </w:pPr>
    </w:p>
    <w:p w14:paraId="00000003" w14:textId="77777777" w:rsidR="00DB0015" w:rsidRDefault="00DB0015">
      <w:pPr>
        <w:spacing w:line="360" w:lineRule="auto"/>
        <w:jc w:val="center"/>
        <w:rPr>
          <w:rFonts w:ascii="Times New Roman" w:eastAsia="Times New Roman" w:hAnsi="Times New Roman" w:cs="Times New Roman"/>
          <w:b/>
          <w:sz w:val="32"/>
          <w:szCs w:val="32"/>
        </w:rPr>
      </w:pPr>
    </w:p>
    <w:p w14:paraId="00000004" w14:textId="77777777" w:rsidR="00DB0015" w:rsidRDefault="00DB0015">
      <w:pPr>
        <w:spacing w:line="360" w:lineRule="auto"/>
        <w:jc w:val="center"/>
        <w:rPr>
          <w:rFonts w:ascii="Times New Roman" w:eastAsia="Times New Roman" w:hAnsi="Times New Roman" w:cs="Times New Roman"/>
          <w:b/>
          <w:sz w:val="32"/>
          <w:szCs w:val="32"/>
        </w:rPr>
      </w:pPr>
    </w:p>
    <w:p w14:paraId="00000005" w14:textId="77777777" w:rsidR="00DB0015" w:rsidRDefault="00DB0015">
      <w:pPr>
        <w:spacing w:line="360" w:lineRule="auto"/>
        <w:jc w:val="center"/>
        <w:rPr>
          <w:rFonts w:ascii="Times New Roman" w:eastAsia="Times New Roman" w:hAnsi="Times New Roman" w:cs="Times New Roman"/>
          <w:b/>
          <w:sz w:val="32"/>
          <w:szCs w:val="32"/>
        </w:rPr>
      </w:pPr>
    </w:p>
    <w:p w14:paraId="00000006" w14:textId="77777777" w:rsidR="00DB0015" w:rsidRDefault="00DB0015">
      <w:pPr>
        <w:spacing w:line="360" w:lineRule="auto"/>
        <w:jc w:val="center"/>
        <w:rPr>
          <w:rFonts w:ascii="Times New Roman" w:eastAsia="Times New Roman" w:hAnsi="Times New Roman" w:cs="Times New Roman"/>
          <w:b/>
          <w:sz w:val="32"/>
          <w:szCs w:val="32"/>
        </w:rPr>
      </w:pPr>
    </w:p>
    <w:p w14:paraId="00000007" w14:textId="77777777" w:rsidR="00DB0015" w:rsidRDefault="00DB0015">
      <w:pPr>
        <w:spacing w:line="360" w:lineRule="auto"/>
        <w:jc w:val="center"/>
        <w:rPr>
          <w:rFonts w:ascii="Times New Roman" w:eastAsia="Times New Roman" w:hAnsi="Times New Roman" w:cs="Times New Roman"/>
          <w:b/>
          <w:sz w:val="32"/>
          <w:szCs w:val="32"/>
        </w:rPr>
      </w:pPr>
    </w:p>
    <w:p w14:paraId="00000008" w14:textId="77777777" w:rsidR="00DB0015" w:rsidRDefault="00DB0015">
      <w:pPr>
        <w:spacing w:line="360" w:lineRule="auto"/>
        <w:jc w:val="center"/>
        <w:rPr>
          <w:rFonts w:ascii="Times New Roman" w:eastAsia="Times New Roman" w:hAnsi="Times New Roman" w:cs="Times New Roman"/>
          <w:b/>
          <w:sz w:val="32"/>
          <w:szCs w:val="32"/>
        </w:rPr>
      </w:pPr>
    </w:p>
    <w:p w14:paraId="00000009" w14:textId="77777777" w:rsidR="00DB0015" w:rsidRDefault="00DB0015">
      <w:pPr>
        <w:spacing w:line="360" w:lineRule="auto"/>
        <w:jc w:val="center"/>
        <w:rPr>
          <w:rFonts w:ascii="Times New Roman" w:eastAsia="Times New Roman" w:hAnsi="Times New Roman" w:cs="Times New Roman"/>
          <w:b/>
          <w:sz w:val="32"/>
          <w:szCs w:val="32"/>
        </w:rPr>
      </w:pPr>
    </w:p>
    <w:p w14:paraId="0FEDCD3B" w14:textId="77777777" w:rsidR="00A84A6A" w:rsidRDefault="00373B5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Financial performance Management</w:t>
      </w:r>
    </w:p>
    <w:p w14:paraId="2AFDC2C4" w14:textId="77777777" w:rsidR="00A84A6A" w:rsidRDefault="00A84A6A">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bCs/>
          <w:color w:val="auto"/>
          <w:sz w:val="22"/>
          <w:szCs w:val="22"/>
          <w:lang w:val="en-GB" w:eastAsia="en-IN"/>
        </w:rPr>
        <w:id w:val="-48311808"/>
        <w:docPartObj>
          <w:docPartGallery w:val="Table of Contents"/>
          <w:docPartUnique/>
        </w:docPartObj>
      </w:sdtPr>
      <w:sdtEndPr>
        <w:rPr>
          <w:noProof/>
        </w:rPr>
      </w:sdtEndPr>
      <w:sdtContent>
        <w:p w14:paraId="2CE30C41" w14:textId="18ADD2BD" w:rsidR="00A84A6A" w:rsidRPr="00A84A6A" w:rsidRDefault="00A84A6A" w:rsidP="00A84A6A">
          <w:pPr>
            <w:pStyle w:val="TOCHeading"/>
            <w:spacing w:line="360" w:lineRule="auto"/>
            <w:jc w:val="center"/>
            <w:rPr>
              <w:rFonts w:ascii="Times New Roman" w:hAnsi="Times New Roman" w:cs="Times New Roman"/>
              <w:b/>
              <w:bCs/>
              <w:color w:val="auto"/>
              <w:sz w:val="24"/>
              <w:szCs w:val="24"/>
            </w:rPr>
          </w:pPr>
          <w:r w:rsidRPr="00A84A6A">
            <w:rPr>
              <w:rFonts w:ascii="Times New Roman" w:hAnsi="Times New Roman" w:cs="Times New Roman"/>
              <w:b/>
              <w:bCs/>
              <w:color w:val="auto"/>
              <w:sz w:val="24"/>
              <w:szCs w:val="24"/>
            </w:rPr>
            <w:t>Table of Contents</w:t>
          </w:r>
        </w:p>
        <w:p w14:paraId="0C16A718" w14:textId="1C474ED2" w:rsidR="00A84A6A" w:rsidRPr="00A84A6A" w:rsidRDefault="00A84A6A" w:rsidP="00A84A6A">
          <w:pPr>
            <w:pStyle w:val="TOC1"/>
            <w:tabs>
              <w:tab w:val="right" w:leader="dot" w:pos="9019"/>
            </w:tabs>
            <w:spacing w:line="360" w:lineRule="auto"/>
            <w:jc w:val="both"/>
            <w:rPr>
              <w:rFonts w:ascii="Times New Roman" w:hAnsi="Times New Roman" w:cs="Times New Roman"/>
              <w:noProof/>
              <w:sz w:val="24"/>
              <w:szCs w:val="24"/>
            </w:rPr>
          </w:pPr>
          <w:r w:rsidRPr="00A84A6A">
            <w:rPr>
              <w:rFonts w:ascii="Times New Roman" w:hAnsi="Times New Roman" w:cs="Times New Roman"/>
              <w:sz w:val="24"/>
              <w:szCs w:val="24"/>
            </w:rPr>
            <w:fldChar w:fldCharType="begin"/>
          </w:r>
          <w:r w:rsidRPr="00A84A6A">
            <w:rPr>
              <w:rFonts w:ascii="Times New Roman" w:hAnsi="Times New Roman" w:cs="Times New Roman"/>
              <w:sz w:val="24"/>
              <w:szCs w:val="24"/>
            </w:rPr>
            <w:instrText xml:space="preserve"> TOC \o "1-3" \h \z \u </w:instrText>
          </w:r>
          <w:r w:rsidRPr="00A84A6A">
            <w:rPr>
              <w:rFonts w:ascii="Times New Roman" w:hAnsi="Times New Roman" w:cs="Times New Roman"/>
              <w:sz w:val="24"/>
              <w:szCs w:val="24"/>
            </w:rPr>
            <w:fldChar w:fldCharType="separate"/>
          </w:r>
          <w:hyperlink w:anchor="_Toc151735469" w:history="1">
            <w:r w:rsidRPr="00A84A6A">
              <w:rPr>
                <w:rStyle w:val="Hyperlink"/>
                <w:rFonts w:ascii="Times New Roman" w:hAnsi="Times New Roman" w:cs="Times New Roman"/>
                <w:noProof/>
                <w:color w:val="auto"/>
                <w:sz w:val="24"/>
                <w:szCs w:val="24"/>
              </w:rPr>
              <w:t>Introduction</w:t>
            </w:r>
            <w:r w:rsidRPr="00A84A6A">
              <w:rPr>
                <w:rFonts w:ascii="Times New Roman" w:hAnsi="Times New Roman" w:cs="Times New Roman"/>
                <w:noProof/>
                <w:webHidden/>
                <w:sz w:val="24"/>
                <w:szCs w:val="24"/>
              </w:rPr>
              <w:tab/>
            </w:r>
            <w:r w:rsidRPr="00A84A6A">
              <w:rPr>
                <w:rFonts w:ascii="Times New Roman" w:hAnsi="Times New Roman" w:cs="Times New Roman"/>
                <w:noProof/>
                <w:webHidden/>
                <w:sz w:val="24"/>
                <w:szCs w:val="24"/>
              </w:rPr>
              <w:fldChar w:fldCharType="begin"/>
            </w:r>
            <w:r w:rsidRPr="00A84A6A">
              <w:rPr>
                <w:rFonts w:ascii="Times New Roman" w:hAnsi="Times New Roman" w:cs="Times New Roman"/>
                <w:noProof/>
                <w:webHidden/>
                <w:sz w:val="24"/>
                <w:szCs w:val="24"/>
              </w:rPr>
              <w:instrText xml:space="preserve"> PAGEREF _Toc151735469 \h </w:instrText>
            </w:r>
            <w:r w:rsidRPr="00A84A6A">
              <w:rPr>
                <w:rFonts w:ascii="Times New Roman" w:hAnsi="Times New Roman" w:cs="Times New Roman"/>
                <w:noProof/>
                <w:webHidden/>
                <w:sz w:val="24"/>
                <w:szCs w:val="24"/>
              </w:rPr>
            </w:r>
            <w:r w:rsidRPr="00A84A6A">
              <w:rPr>
                <w:rFonts w:ascii="Times New Roman" w:hAnsi="Times New Roman" w:cs="Times New Roman"/>
                <w:noProof/>
                <w:webHidden/>
                <w:sz w:val="24"/>
                <w:szCs w:val="24"/>
              </w:rPr>
              <w:fldChar w:fldCharType="separate"/>
            </w:r>
            <w:r w:rsidRPr="00A84A6A">
              <w:rPr>
                <w:rFonts w:ascii="Times New Roman" w:hAnsi="Times New Roman" w:cs="Times New Roman"/>
                <w:noProof/>
                <w:webHidden/>
                <w:sz w:val="24"/>
                <w:szCs w:val="24"/>
              </w:rPr>
              <w:t>3</w:t>
            </w:r>
            <w:r w:rsidRPr="00A84A6A">
              <w:rPr>
                <w:rFonts w:ascii="Times New Roman" w:hAnsi="Times New Roman" w:cs="Times New Roman"/>
                <w:noProof/>
                <w:webHidden/>
                <w:sz w:val="24"/>
                <w:szCs w:val="24"/>
              </w:rPr>
              <w:fldChar w:fldCharType="end"/>
            </w:r>
          </w:hyperlink>
        </w:p>
        <w:p w14:paraId="5C14FEE9" w14:textId="62680C8D" w:rsidR="00A84A6A" w:rsidRPr="00A84A6A" w:rsidRDefault="00373B54" w:rsidP="00A84A6A">
          <w:pPr>
            <w:pStyle w:val="TOC1"/>
            <w:tabs>
              <w:tab w:val="right" w:leader="dot" w:pos="9019"/>
            </w:tabs>
            <w:spacing w:line="360" w:lineRule="auto"/>
            <w:jc w:val="both"/>
            <w:rPr>
              <w:rFonts w:ascii="Times New Roman" w:hAnsi="Times New Roman" w:cs="Times New Roman"/>
              <w:noProof/>
              <w:sz w:val="24"/>
              <w:szCs w:val="24"/>
            </w:rPr>
          </w:pPr>
          <w:hyperlink w:anchor="_Toc151735470" w:history="1">
            <w:r w:rsidR="00A84A6A" w:rsidRPr="00A84A6A">
              <w:rPr>
                <w:rStyle w:val="Hyperlink"/>
                <w:rFonts w:ascii="Times New Roman" w:hAnsi="Times New Roman" w:cs="Times New Roman"/>
                <w:noProof/>
                <w:color w:val="auto"/>
                <w:sz w:val="24"/>
                <w:szCs w:val="24"/>
              </w:rPr>
              <w:t>(a) Critically evaluate the role of budgeting, and the applicability of traditional approaches to budgeting in the context of a fast-changing business environment. Make consideration of any inherent flaws in traditional budgeting methods.</w:t>
            </w:r>
            <w:r w:rsidR="00A84A6A" w:rsidRPr="00A84A6A">
              <w:rPr>
                <w:rFonts w:ascii="Times New Roman" w:hAnsi="Times New Roman" w:cs="Times New Roman"/>
                <w:noProof/>
                <w:webHidden/>
                <w:sz w:val="24"/>
                <w:szCs w:val="24"/>
              </w:rPr>
              <w:tab/>
            </w:r>
            <w:r w:rsidR="00A84A6A" w:rsidRPr="00A84A6A">
              <w:rPr>
                <w:rFonts w:ascii="Times New Roman" w:hAnsi="Times New Roman" w:cs="Times New Roman"/>
                <w:noProof/>
                <w:webHidden/>
                <w:sz w:val="24"/>
                <w:szCs w:val="24"/>
              </w:rPr>
              <w:fldChar w:fldCharType="begin"/>
            </w:r>
            <w:r w:rsidR="00A84A6A" w:rsidRPr="00A84A6A">
              <w:rPr>
                <w:rFonts w:ascii="Times New Roman" w:hAnsi="Times New Roman" w:cs="Times New Roman"/>
                <w:noProof/>
                <w:webHidden/>
                <w:sz w:val="24"/>
                <w:szCs w:val="24"/>
              </w:rPr>
              <w:instrText xml:space="preserve"> PAGEREF _Toc151735470 \h </w:instrText>
            </w:r>
            <w:r w:rsidR="00A84A6A" w:rsidRPr="00A84A6A">
              <w:rPr>
                <w:rFonts w:ascii="Times New Roman" w:hAnsi="Times New Roman" w:cs="Times New Roman"/>
                <w:noProof/>
                <w:webHidden/>
                <w:sz w:val="24"/>
                <w:szCs w:val="24"/>
              </w:rPr>
            </w:r>
            <w:r w:rsidR="00A84A6A" w:rsidRPr="00A84A6A">
              <w:rPr>
                <w:rFonts w:ascii="Times New Roman" w:hAnsi="Times New Roman" w:cs="Times New Roman"/>
                <w:noProof/>
                <w:webHidden/>
                <w:sz w:val="24"/>
                <w:szCs w:val="24"/>
              </w:rPr>
              <w:fldChar w:fldCharType="separate"/>
            </w:r>
            <w:r w:rsidR="00A84A6A" w:rsidRPr="00A84A6A">
              <w:rPr>
                <w:rFonts w:ascii="Times New Roman" w:hAnsi="Times New Roman" w:cs="Times New Roman"/>
                <w:noProof/>
                <w:webHidden/>
                <w:sz w:val="24"/>
                <w:szCs w:val="24"/>
              </w:rPr>
              <w:t>3</w:t>
            </w:r>
            <w:r w:rsidR="00A84A6A" w:rsidRPr="00A84A6A">
              <w:rPr>
                <w:rFonts w:ascii="Times New Roman" w:hAnsi="Times New Roman" w:cs="Times New Roman"/>
                <w:noProof/>
                <w:webHidden/>
                <w:sz w:val="24"/>
                <w:szCs w:val="24"/>
              </w:rPr>
              <w:fldChar w:fldCharType="end"/>
            </w:r>
          </w:hyperlink>
        </w:p>
        <w:p w14:paraId="2C841D84" w14:textId="0759BE30" w:rsidR="00A84A6A" w:rsidRPr="00A84A6A" w:rsidRDefault="00373B54" w:rsidP="00A84A6A">
          <w:pPr>
            <w:pStyle w:val="TOC2"/>
            <w:tabs>
              <w:tab w:val="right" w:leader="dot" w:pos="9019"/>
            </w:tabs>
            <w:spacing w:line="360" w:lineRule="auto"/>
            <w:jc w:val="both"/>
            <w:rPr>
              <w:rFonts w:ascii="Times New Roman" w:hAnsi="Times New Roman" w:cs="Times New Roman"/>
              <w:noProof/>
              <w:sz w:val="24"/>
              <w:szCs w:val="24"/>
            </w:rPr>
          </w:pPr>
          <w:hyperlink w:anchor="_Toc151735471" w:history="1">
            <w:r w:rsidR="00A84A6A" w:rsidRPr="00A84A6A">
              <w:rPr>
                <w:rStyle w:val="Hyperlink"/>
                <w:rFonts w:ascii="Times New Roman" w:hAnsi="Times New Roman" w:cs="Times New Roman"/>
                <w:noProof/>
                <w:color w:val="auto"/>
                <w:sz w:val="24"/>
                <w:szCs w:val="24"/>
              </w:rPr>
              <w:t>Role of budgeting</w:t>
            </w:r>
            <w:r w:rsidR="00A84A6A" w:rsidRPr="00A84A6A">
              <w:rPr>
                <w:rFonts w:ascii="Times New Roman" w:hAnsi="Times New Roman" w:cs="Times New Roman"/>
                <w:noProof/>
                <w:webHidden/>
                <w:sz w:val="24"/>
                <w:szCs w:val="24"/>
              </w:rPr>
              <w:tab/>
            </w:r>
            <w:r w:rsidR="00A84A6A" w:rsidRPr="00A84A6A">
              <w:rPr>
                <w:rFonts w:ascii="Times New Roman" w:hAnsi="Times New Roman" w:cs="Times New Roman"/>
                <w:noProof/>
                <w:webHidden/>
                <w:sz w:val="24"/>
                <w:szCs w:val="24"/>
              </w:rPr>
              <w:fldChar w:fldCharType="begin"/>
            </w:r>
            <w:r w:rsidR="00A84A6A" w:rsidRPr="00A84A6A">
              <w:rPr>
                <w:rFonts w:ascii="Times New Roman" w:hAnsi="Times New Roman" w:cs="Times New Roman"/>
                <w:noProof/>
                <w:webHidden/>
                <w:sz w:val="24"/>
                <w:szCs w:val="24"/>
              </w:rPr>
              <w:instrText xml:space="preserve"> PAGEREF _Toc151735471 \h </w:instrText>
            </w:r>
            <w:r w:rsidR="00A84A6A" w:rsidRPr="00A84A6A">
              <w:rPr>
                <w:rFonts w:ascii="Times New Roman" w:hAnsi="Times New Roman" w:cs="Times New Roman"/>
                <w:noProof/>
                <w:webHidden/>
                <w:sz w:val="24"/>
                <w:szCs w:val="24"/>
              </w:rPr>
            </w:r>
            <w:r w:rsidR="00A84A6A" w:rsidRPr="00A84A6A">
              <w:rPr>
                <w:rFonts w:ascii="Times New Roman" w:hAnsi="Times New Roman" w:cs="Times New Roman"/>
                <w:noProof/>
                <w:webHidden/>
                <w:sz w:val="24"/>
                <w:szCs w:val="24"/>
              </w:rPr>
              <w:fldChar w:fldCharType="separate"/>
            </w:r>
            <w:r w:rsidR="00A84A6A" w:rsidRPr="00A84A6A">
              <w:rPr>
                <w:rFonts w:ascii="Times New Roman" w:hAnsi="Times New Roman" w:cs="Times New Roman"/>
                <w:noProof/>
                <w:webHidden/>
                <w:sz w:val="24"/>
                <w:szCs w:val="24"/>
              </w:rPr>
              <w:t>3</w:t>
            </w:r>
            <w:r w:rsidR="00A84A6A" w:rsidRPr="00A84A6A">
              <w:rPr>
                <w:rFonts w:ascii="Times New Roman" w:hAnsi="Times New Roman" w:cs="Times New Roman"/>
                <w:noProof/>
                <w:webHidden/>
                <w:sz w:val="24"/>
                <w:szCs w:val="24"/>
              </w:rPr>
              <w:fldChar w:fldCharType="end"/>
            </w:r>
          </w:hyperlink>
        </w:p>
        <w:p w14:paraId="636D27DE" w14:textId="74D16837" w:rsidR="00A84A6A" w:rsidRPr="00A84A6A" w:rsidRDefault="00373B54" w:rsidP="00A84A6A">
          <w:pPr>
            <w:pStyle w:val="TOC2"/>
            <w:tabs>
              <w:tab w:val="right" w:leader="dot" w:pos="9019"/>
            </w:tabs>
            <w:spacing w:line="360" w:lineRule="auto"/>
            <w:jc w:val="both"/>
            <w:rPr>
              <w:rFonts w:ascii="Times New Roman" w:hAnsi="Times New Roman" w:cs="Times New Roman"/>
              <w:noProof/>
              <w:sz w:val="24"/>
              <w:szCs w:val="24"/>
            </w:rPr>
          </w:pPr>
          <w:hyperlink w:anchor="_Toc151735472" w:history="1">
            <w:r w:rsidR="00A84A6A" w:rsidRPr="00A84A6A">
              <w:rPr>
                <w:rStyle w:val="Hyperlink"/>
                <w:rFonts w:ascii="Times New Roman" w:hAnsi="Times New Roman" w:cs="Times New Roman"/>
                <w:noProof/>
                <w:color w:val="auto"/>
                <w:sz w:val="24"/>
                <w:szCs w:val="24"/>
              </w:rPr>
              <w:t>Applicability of traditional approaches to budgeting in fast-changing business environment</w:t>
            </w:r>
            <w:r w:rsidR="00A84A6A" w:rsidRPr="00A84A6A">
              <w:rPr>
                <w:rFonts w:ascii="Times New Roman" w:hAnsi="Times New Roman" w:cs="Times New Roman"/>
                <w:noProof/>
                <w:webHidden/>
                <w:sz w:val="24"/>
                <w:szCs w:val="24"/>
              </w:rPr>
              <w:tab/>
            </w:r>
            <w:r w:rsidR="00A84A6A" w:rsidRPr="00A84A6A">
              <w:rPr>
                <w:rFonts w:ascii="Times New Roman" w:hAnsi="Times New Roman" w:cs="Times New Roman"/>
                <w:noProof/>
                <w:webHidden/>
                <w:sz w:val="24"/>
                <w:szCs w:val="24"/>
              </w:rPr>
              <w:fldChar w:fldCharType="begin"/>
            </w:r>
            <w:r w:rsidR="00A84A6A" w:rsidRPr="00A84A6A">
              <w:rPr>
                <w:rFonts w:ascii="Times New Roman" w:hAnsi="Times New Roman" w:cs="Times New Roman"/>
                <w:noProof/>
                <w:webHidden/>
                <w:sz w:val="24"/>
                <w:szCs w:val="24"/>
              </w:rPr>
              <w:instrText xml:space="preserve"> PAGEREF _Toc151735472 \h </w:instrText>
            </w:r>
            <w:r w:rsidR="00A84A6A" w:rsidRPr="00A84A6A">
              <w:rPr>
                <w:rFonts w:ascii="Times New Roman" w:hAnsi="Times New Roman" w:cs="Times New Roman"/>
                <w:noProof/>
                <w:webHidden/>
                <w:sz w:val="24"/>
                <w:szCs w:val="24"/>
              </w:rPr>
            </w:r>
            <w:r w:rsidR="00A84A6A" w:rsidRPr="00A84A6A">
              <w:rPr>
                <w:rFonts w:ascii="Times New Roman" w:hAnsi="Times New Roman" w:cs="Times New Roman"/>
                <w:noProof/>
                <w:webHidden/>
                <w:sz w:val="24"/>
                <w:szCs w:val="24"/>
              </w:rPr>
              <w:fldChar w:fldCharType="separate"/>
            </w:r>
            <w:r w:rsidR="00A84A6A" w:rsidRPr="00A84A6A">
              <w:rPr>
                <w:rFonts w:ascii="Times New Roman" w:hAnsi="Times New Roman" w:cs="Times New Roman"/>
                <w:noProof/>
                <w:webHidden/>
                <w:sz w:val="24"/>
                <w:szCs w:val="24"/>
              </w:rPr>
              <w:t>4</w:t>
            </w:r>
            <w:r w:rsidR="00A84A6A" w:rsidRPr="00A84A6A">
              <w:rPr>
                <w:rFonts w:ascii="Times New Roman" w:hAnsi="Times New Roman" w:cs="Times New Roman"/>
                <w:noProof/>
                <w:webHidden/>
                <w:sz w:val="24"/>
                <w:szCs w:val="24"/>
              </w:rPr>
              <w:fldChar w:fldCharType="end"/>
            </w:r>
          </w:hyperlink>
        </w:p>
        <w:p w14:paraId="6D9F6476" w14:textId="4DC9D3D9" w:rsidR="00A84A6A" w:rsidRPr="00A84A6A" w:rsidRDefault="00373B54" w:rsidP="00A84A6A">
          <w:pPr>
            <w:pStyle w:val="TOC1"/>
            <w:tabs>
              <w:tab w:val="right" w:leader="dot" w:pos="9019"/>
            </w:tabs>
            <w:spacing w:line="360" w:lineRule="auto"/>
            <w:jc w:val="both"/>
            <w:rPr>
              <w:rFonts w:ascii="Times New Roman" w:hAnsi="Times New Roman" w:cs="Times New Roman"/>
              <w:noProof/>
              <w:sz w:val="24"/>
              <w:szCs w:val="24"/>
            </w:rPr>
          </w:pPr>
          <w:hyperlink w:anchor="_Toc151735473" w:history="1">
            <w:r w:rsidR="00A84A6A" w:rsidRPr="00A84A6A">
              <w:rPr>
                <w:rStyle w:val="Hyperlink"/>
                <w:rFonts w:ascii="Times New Roman" w:hAnsi="Times New Roman" w:cs="Times New Roman"/>
                <w:noProof/>
                <w:color w:val="auto"/>
                <w:sz w:val="24"/>
                <w:szCs w:val="24"/>
              </w:rPr>
              <w:t>(b) Analyse the beyond budgeting model and make consideration of the following points:</w:t>
            </w:r>
            <w:r w:rsidR="00A84A6A" w:rsidRPr="00A84A6A">
              <w:rPr>
                <w:rFonts w:ascii="Times New Roman" w:hAnsi="Times New Roman" w:cs="Times New Roman"/>
                <w:noProof/>
                <w:webHidden/>
                <w:sz w:val="24"/>
                <w:szCs w:val="24"/>
              </w:rPr>
              <w:tab/>
            </w:r>
            <w:r w:rsidR="00A84A6A" w:rsidRPr="00A84A6A">
              <w:rPr>
                <w:rFonts w:ascii="Times New Roman" w:hAnsi="Times New Roman" w:cs="Times New Roman"/>
                <w:noProof/>
                <w:webHidden/>
                <w:sz w:val="24"/>
                <w:szCs w:val="24"/>
              </w:rPr>
              <w:fldChar w:fldCharType="begin"/>
            </w:r>
            <w:r w:rsidR="00A84A6A" w:rsidRPr="00A84A6A">
              <w:rPr>
                <w:rFonts w:ascii="Times New Roman" w:hAnsi="Times New Roman" w:cs="Times New Roman"/>
                <w:noProof/>
                <w:webHidden/>
                <w:sz w:val="24"/>
                <w:szCs w:val="24"/>
              </w:rPr>
              <w:instrText xml:space="preserve"> PAGEREF _Toc151735473 \h </w:instrText>
            </w:r>
            <w:r w:rsidR="00A84A6A" w:rsidRPr="00A84A6A">
              <w:rPr>
                <w:rFonts w:ascii="Times New Roman" w:hAnsi="Times New Roman" w:cs="Times New Roman"/>
                <w:noProof/>
                <w:webHidden/>
                <w:sz w:val="24"/>
                <w:szCs w:val="24"/>
              </w:rPr>
            </w:r>
            <w:r w:rsidR="00A84A6A" w:rsidRPr="00A84A6A">
              <w:rPr>
                <w:rFonts w:ascii="Times New Roman" w:hAnsi="Times New Roman" w:cs="Times New Roman"/>
                <w:noProof/>
                <w:webHidden/>
                <w:sz w:val="24"/>
                <w:szCs w:val="24"/>
              </w:rPr>
              <w:fldChar w:fldCharType="separate"/>
            </w:r>
            <w:r w:rsidR="00A84A6A" w:rsidRPr="00A84A6A">
              <w:rPr>
                <w:rFonts w:ascii="Times New Roman" w:hAnsi="Times New Roman" w:cs="Times New Roman"/>
                <w:noProof/>
                <w:webHidden/>
                <w:sz w:val="24"/>
                <w:szCs w:val="24"/>
              </w:rPr>
              <w:t>6</w:t>
            </w:r>
            <w:r w:rsidR="00A84A6A" w:rsidRPr="00A84A6A">
              <w:rPr>
                <w:rFonts w:ascii="Times New Roman" w:hAnsi="Times New Roman" w:cs="Times New Roman"/>
                <w:noProof/>
                <w:webHidden/>
                <w:sz w:val="24"/>
                <w:szCs w:val="24"/>
              </w:rPr>
              <w:fldChar w:fldCharType="end"/>
            </w:r>
          </w:hyperlink>
        </w:p>
        <w:p w14:paraId="16DDE387" w14:textId="2704D979" w:rsidR="00A84A6A" w:rsidRPr="00A84A6A" w:rsidRDefault="00373B54" w:rsidP="00A84A6A">
          <w:pPr>
            <w:pStyle w:val="TOC2"/>
            <w:tabs>
              <w:tab w:val="right" w:leader="dot" w:pos="9019"/>
            </w:tabs>
            <w:spacing w:line="360" w:lineRule="auto"/>
            <w:jc w:val="both"/>
            <w:rPr>
              <w:rFonts w:ascii="Times New Roman" w:hAnsi="Times New Roman" w:cs="Times New Roman"/>
              <w:noProof/>
              <w:sz w:val="24"/>
              <w:szCs w:val="24"/>
            </w:rPr>
          </w:pPr>
          <w:hyperlink w:anchor="_Toc151735474" w:history="1">
            <w:r w:rsidR="00A84A6A" w:rsidRPr="00A84A6A">
              <w:rPr>
                <w:rStyle w:val="Hyperlink"/>
                <w:rFonts w:ascii="Times New Roman" w:hAnsi="Times New Roman" w:cs="Times New Roman"/>
                <w:noProof/>
                <w:color w:val="auto"/>
                <w:sz w:val="24"/>
                <w:szCs w:val="24"/>
              </w:rPr>
              <w:t>Rationale for developing the Beyond Budgeting Model</w:t>
            </w:r>
            <w:r w:rsidR="00A84A6A" w:rsidRPr="00A84A6A">
              <w:rPr>
                <w:rFonts w:ascii="Times New Roman" w:hAnsi="Times New Roman" w:cs="Times New Roman"/>
                <w:noProof/>
                <w:webHidden/>
                <w:sz w:val="24"/>
                <w:szCs w:val="24"/>
              </w:rPr>
              <w:tab/>
            </w:r>
            <w:r w:rsidR="00A84A6A" w:rsidRPr="00A84A6A">
              <w:rPr>
                <w:rFonts w:ascii="Times New Roman" w:hAnsi="Times New Roman" w:cs="Times New Roman"/>
                <w:noProof/>
                <w:webHidden/>
                <w:sz w:val="24"/>
                <w:szCs w:val="24"/>
              </w:rPr>
              <w:fldChar w:fldCharType="begin"/>
            </w:r>
            <w:r w:rsidR="00A84A6A" w:rsidRPr="00A84A6A">
              <w:rPr>
                <w:rFonts w:ascii="Times New Roman" w:hAnsi="Times New Roman" w:cs="Times New Roman"/>
                <w:noProof/>
                <w:webHidden/>
                <w:sz w:val="24"/>
                <w:szCs w:val="24"/>
              </w:rPr>
              <w:instrText xml:space="preserve"> PAGEREF _Toc151735474 \h </w:instrText>
            </w:r>
            <w:r w:rsidR="00A84A6A" w:rsidRPr="00A84A6A">
              <w:rPr>
                <w:rFonts w:ascii="Times New Roman" w:hAnsi="Times New Roman" w:cs="Times New Roman"/>
                <w:noProof/>
                <w:webHidden/>
                <w:sz w:val="24"/>
                <w:szCs w:val="24"/>
              </w:rPr>
            </w:r>
            <w:r w:rsidR="00A84A6A" w:rsidRPr="00A84A6A">
              <w:rPr>
                <w:rFonts w:ascii="Times New Roman" w:hAnsi="Times New Roman" w:cs="Times New Roman"/>
                <w:noProof/>
                <w:webHidden/>
                <w:sz w:val="24"/>
                <w:szCs w:val="24"/>
              </w:rPr>
              <w:fldChar w:fldCharType="separate"/>
            </w:r>
            <w:r w:rsidR="00A84A6A" w:rsidRPr="00A84A6A">
              <w:rPr>
                <w:rFonts w:ascii="Times New Roman" w:hAnsi="Times New Roman" w:cs="Times New Roman"/>
                <w:noProof/>
                <w:webHidden/>
                <w:sz w:val="24"/>
                <w:szCs w:val="24"/>
              </w:rPr>
              <w:t>6</w:t>
            </w:r>
            <w:r w:rsidR="00A84A6A" w:rsidRPr="00A84A6A">
              <w:rPr>
                <w:rFonts w:ascii="Times New Roman" w:hAnsi="Times New Roman" w:cs="Times New Roman"/>
                <w:noProof/>
                <w:webHidden/>
                <w:sz w:val="24"/>
                <w:szCs w:val="24"/>
              </w:rPr>
              <w:fldChar w:fldCharType="end"/>
            </w:r>
          </w:hyperlink>
        </w:p>
        <w:p w14:paraId="596E71CE" w14:textId="6BC4A019" w:rsidR="00A84A6A" w:rsidRPr="00A84A6A" w:rsidRDefault="00373B54" w:rsidP="00A84A6A">
          <w:pPr>
            <w:pStyle w:val="TOC2"/>
            <w:tabs>
              <w:tab w:val="right" w:leader="dot" w:pos="9019"/>
            </w:tabs>
            <w:spacing w:line="360" w:lineRule="auto"/>
            <w:jc w:val="both"/>
            <w:rPr>
              <w:rFonts w:ascii="Times New Roman" w:hAnsi="Times New Roman" w:cs="Times New Roman"/>
              <w:noProof/>
              <w:sz w:val="24"/>
              <w:szCs w:val="24"/>
            </w:rPr>
          </w:pPr>
          <w:hyperlink w:anchor="_Toc151735475" w:history="1">
            <w:r w:rsidR="00A84A6A" w:rsidRPr="00A84A6A">
              <w:rPr>
                <w:rStyle w:val="Hyperlink"/>
                <w:rFonts w:ascii="Times New Roman" w:hAnsi="Times New Roman" w:cs="Times New Roman"/>
                <w:noProof/>
                <w:color w:val="auto"/>
                <w:sz w:val="24"/>
                <w:szCs w:val="24"/>
              </w:rPr>
              <w:t>Success since its introduction</w:t>
            </w:r>
            <w:r w:rsidR="00A84A6A" w:rsidRPr="00A84A6A">
              <w:rPr>
                <w:rFonts w:ascii="Times New Roman" w:hAnsi="Times New Roman" w:cs="Times New Roman"/>
                <w:noProof/>
                <w:webHidden/>
                <w:sz w:val="24"/>
                <w:szCs w:val="24"/>
              </w:rPr>
              <w:tab/>
            </w:r>
            <w:r w:rsidR="00A84A6A" w:rsidRPr="00A84A6A">
              <w:rPr>
                <w:rFonts w:ascii="Times New Roman" w:hAnsi="Times New Roman" w:cs="Times New Roman"/>
                <w:noProof/>
                <w:webHidden/>
                <w:sz w:val="24"/>
                <w:szCs w:val="24"/>
              </w:rPr>
              <w:fldChar w:fldCharType="begin"/>
            </w:r>
            <w:r w:rsidR="00A84A6A" w:rsidRPr="00A84A6A">
              <w:rPr>
                <w:rFonts w:ascii="Times New Roman" w:hAnsi="Times New Roman" w:cs="Times New Roman"/>
                <w:noProof/>
                <w:webHidden/>
                <w:sz w:val="24"/>
                <w:szCs w:val="24"/>
              </w:rPr>
              <w:instrText xml:space="preserve"> PAGEREF _Toc151735475 \h </w:instrText>
            </w:r>
            <w:r w:rsidR="00A84A6A" w:rsidRPr="00A84A6A">
              <w:rPr>
                <w:rFonts w:ascii="Times New Roman" w:hAnsi="Times New Roman" w:cs="Times New Roman"/>
                <w:noProof/>
                <w:webHidden/>
                <w:sz w:val="24"/>
                <w:szCs w:val="24"/>
              </w:rPr>
            </w:r>
            <w:r w:rsidR="00A84A6A" w:rsidRPr="00A84A6A">
              <w:rPr>
                <w:rFonts w:ascii="Times New Roman" w:hAnsi="Times New Roman" w:cs="Times New Roman"/>
                <w:noProof/>
                <w:webHidden/>
                <w:sz w:val="24"/>
                <w:szCs w:val="24"/>
              </w:rPr>
              <w:fldChar w:fldCharType="separate"/>
            </w:r>
            <w:r w:rsidR="00A84A6A" w:rsidRPr="00A84A6A">
              <w:rPr>
                <w:rFonts w:ascii="Times New Roman" w:hAnsi="Times New Roman" w:cs="Times New Roman"/>
                <w:noProof/>
                <w:webHidden/>
                <w:sz w:val="24"/>
                <w:szCs w:val="24"/>
              </w:rPr>
              <w:t>6</w:t>
            </w:r>
            <w:r w:rsidR="00A84A6A" w:rsidRPr="00A84A6A">
              <w:rPr>
                <w:rFonts w:ascii="Times New Roman" w:hAnsi="Times New Roman" w:cs="Times New Roman"/>
                <w:noProof/>
                <w:webHidden/>
                <w:sz w:val="24"/>
                <w:szCs w:val="24"/>
              </w:rPr>
              <w:fldChar w:fldCharType="end"/>
            </w:r>
          </w:hyperlink>
        </w:p>
        <w:p w14:paraId="7D10DBC7" w14:textId="3C08E05A" w:rsidR="00A84A6A" w:rsidRPr="00A84A6A" w:rsidRDefault="00373B54" w:rsidP="00A84A6A">
          <w:pPr>
            <w:pStyle w:val="TOC2"/>
            <w:tabs>
              <w:tab w:val="right" w:leader="dot" w:pos="9019"/>
            </w:tabs>
            <w:spacing w:line="360" w:lineRule="auto"/>
            <w:jc w:val="both"/>
            <w:rPr>
              <w:rFonts w:ascii="Times New Roman" w:hAnsi="Times New Roman" w:cs="Times New Roman"/>
              <w:noProof/>
              <w:sz w:val="24"/>
              <w:szCs w:val="24"/>
            </w:rPr>
          </w:pPr>
          <w:hyperlink w:anchor="_Toc151735476" w:history="1">
            <w:r w:rsidR="00A84A6A" w:rsidRPr="00A84A6A">
              <w:rPr>
                <w:rStyle w:val="Hyperlink"/>
                <w:rFonts w:ascii="Times New Roman" w:hAnsi="Times New Roman" w:cs="Times New Roman"/>
                <w:noProof/>
                <w:color w:val="auto"/>
                <w:sz w:val="24"/>
                <w:szCs w:val="24"/>
              </w:rPr>
              <w:t>Potential barriers to implementing the Beyond Budgeting Model</w:t>
            </w:r>
            <w:r w:rsidR="00A84A6A" w:rsidRPr="00A84A6A">
              <w:rPr>
                <w:rFonts w:ascii="Times New Roman" w:hAnsi="Times New Roman" w:cs="Times New Roman"/>
                <w:noProof/>
                <w:webHidden/>
                <w:sz w:val="24"/>
                <w:szCs w:val="24"/>
              </w:rPr>
              <w:tab/>
            </w:r>
            <w:r w:rsidR="00A84A6A" w:rsidRPr="00A84A6A">
              <w:rPr>
                <w:rFonts w:ascii="Times New Roman" w:hAnsi="Times New Roman" w:cs="Times New Roman"/>
                <w:noProof/>
                <w:webHidden/>
                <w:sz w:val="24"/>
                <w:szCs w:val="24"/>
              </w:rPr>
              <w:fldChar w:fldCharType="begin"/>
            </w:r>
            <w:r w:rsidR="00A84A6A" w:rsidRPr="00A84A6A">
              <w:rPr>
                <w:rFonts w:ascii="Times New Roman" w:hAnsi="Times New Roman" w:cs="Times New Roman"/>
                <w:noProof/>
                <w:webHidden/>
                <w:sz w:val="24"/>
                <w:szCs w:val="24"/>
              </w:rPr>
              <w:instrText xml:space="preserve"> PAGEREF _Toc151735476 \h </w:instrText>
            </w:r>
            <w:r w:rsidR="00A84A6A" w:rsidRPr="00A84A6A">
              <w:rPr>
                <w:rFonts w:ascii="Times New Roman" w:hAnsi="Times New Roman" w:cs="Times New Roman"/>
                <w:noProof/>
                <w:webHidden/>
                <w:sz w:val="24"/>
                <w:szCs w:val="24"/>
              </w:rPr>
            </w:r>
            <w:r w:rsidR="00A84A6A" w:rsidRPr="00A84A6A">
              <w:rPr>
                <w:rFonts w:ascii="Times New Roman" w:hAnsi="Times New Roman" w:cs="Times New Roman"/>
                <w:noProof/>
                <w:webHidden/>
                <w:sz w:val="24"/>
                <w:szCs w:val="24"/>
              </w:rPr>
              <w:fldChar w:fldCharType="separate"/>
            </w:r>
            <w:r w:rsidR="00A84A6A" w:rsidRPr="00A84A6A">
              <w:rPr>
                <w:rFonts w:ascii="Times New Roman" w:hAnsi="Times New Roman" w:cs="Times New Roman"/>
                <w:noProof/>
                <w:webHidden/>
                <w:sz w:val="24"/>
                <w:szCs w:val="24"/>
              </w:rPr>
              <w:t>7</w:t>
            </w:r>
            <w:r w:rsidR="00A84A6A" w:rsidRPr="00A84A6A">
              <w:rPr>
                <w:rFonts w:ascii="Times New Roman" w:hAnsi="Times New Roman" w:cs="Times New Roman"/>
                <w:noProof/>
                <w:webHidden/>
                <w:sz w:val="24"/>
                <w:szCs w:val="24"/>
              </w:rPr>
              <w:fldChar w:fldCharType="end"/>
            </w:r>
          </w:hyperlink>
        </w:p>
        <w:p w14:paraId="0ACC495F" w14:textId="624FD60D" w:rsidR="00A84A6A" w:rsidRPr="00A84A6A" w:rsidRDefault="00373B54" w:rsidP="00A84A6A">
          <w:pPr>
            <w:pStyle w:val="TOC2"/>
            <w:tabs>
              <w:tab w:val="right" w:leader="dot" w:pos="9019"/>
            </w:tabs>
            <w:spacing w:line="360" w:lineRule="auto"/>
            <w:jc w:val="both"/>
            <w:rPr>
              <w:rFonts w:ascii="Times New Roman" w:hAnsi="Times New Roman" w:cs="Times New Roman"/>
              <w:noProof/>
              <w:sz w:val="24"/>
              <w:szCs w:val="24"/>
            </w:rPr>
          </w:pPr>
          <w:hyperlink w:anchor="_Toc151735477" w:history="1">
            <w:r w:rsidR="00A84A6A" w:rsidRPr="00A84A6A">
              <w:rPr>
                <w:rStyle w:val="Hyperlink"/>
                <w:rFonts w:ascii="Times New Roman" w:hAnsi="Times New Roman" w:cs="Times New Roman"/>
                <w:noProof/>
                <w:color w:val="auto"/>
                <w:sz w:val="24"/>
                <w:szCs w:val="24"/>
              </w:rPr>
              <w:t>Implementation of the Beyond Budgeting Model</w:t>
            </w:r>
            <w:r w:rsidR="00A84A6A" w:rsidRPr="00A84A6A">
              <w:rPr>
                <w:rFonts w:ascii="Times New Roman" w:hAnsi="Times New Roman" w:cs="Times New Roman"/>
                <w:noProof/>
                <w:webHidden/>
                <w:sz w:val="24"/>
                <w:szCs w:val="24"/>
              </w:rPr>
              <w:tab/>
            </w:r>
            <w:r w:rsidR="00A84A6A" w:rsidRPr="00A84A6A">
              <w:rPr>
                <w:rFonts w:ascii="Times New Roman" w:hAnsi="Times New Roman" w:cs="Times New Roman"/>
                <w:noProof/>
                <w:webHidden/>
                <w:sz w:val="24"/>
                <w:szCs w:val="24"/>
              </w:rPr>
              <w:fldChar w:fldCharType="begin"/>
            </w:r>
            <w:r w:rsidR="00A84A6A" w:rsidRPr="00A84A6A">
              <w:rPr>
                <w:rFonts w:ascii="Times New Roman" w:hAnsi="Times New Roman" w:cs="Times New Roman"/>
                <w:noProof/>
                <w:webHidden/>
                <w:sz w:val="24"/>
                <w:szCs w:val="24"/>
              </w:rPr>
              <w:instrText xml:space="preserve"> PAGEREF _Toc151735477 \h </w:instrText>
            </w:r>
            <w:r w:rsidR="00A84A6A" w:rsidRPr="00A84A6A">
              <w:rPr>
                <w:rFonts w:ascii="Times New Roman" w:hAnsi="Times New Roman" w:cs="Times New Roman"/>
                <w:noProof/>
                <w:webHidden/>
                <w:sz w:val="24"/>
                <w:szCs w:val="24"/>
              </w:rPr>
            </w:r>
            <w:r w:rsidR="00A84A6A" w:rsidRPr="00A84A6A">
              <w:rPr>
                <w:rFonts w:ascii="Times New Roman" w:hAnsi="Times New Roman" w:cs="Times New Roman"/>
                <w:noProof/>
                <w:webHidden/>
                <w:sz w:val="24"/>
                <w:szCs w:val="24"/>
              </w:rPr>
              <w:fldChar w:fldCharType="separate"/>
            </w:r>
            <w:r w:rsidR="00A84A6A" w:rsidRPr="00A84A6A">
              <w:rPr>
                <w:rFonts w:ascii="Times New Roman" w:hAnsi="Times New Roman" w:cs="Times New Roman"/>
                <w:noProof/>
                <w:webHidden/>
                <w:sz w:val="24"/>
                <w:szCs w:val="24"/>
              </w:rPr>
              <w:t>9</w:t>
            </w:r>
            <w:r w:rsidR="00A84A6A" w:rsidRPr="00A84A6A">
              <w:rPr>
                <w:rFonts w:ascii="Times New Roman" w:hAnsi="Times New Roman" w:cs="Times New Roman"/>
                <w:noProof/>
                <w:webHidden/>
                <w:sz w:val="24"/>
                <w:szCs w:val="24"/>
              </w:rPr>
              <w:fldChar w:fldCharType="end"/>
            </w:r>
          </w:hyperlink>
        </w:p>
        <w:p w14:paraId="5A278086" w14:textId="1DA8A7F0" w:rsidR="00A84A6A" w:rsidRPr="00A84A6A" w:rsidRDefault="00373B54" w:rsidP="00A84A6A">
          <w:pPr>
            <w:pStyle w:val="TOC1"/>
            <w:tabs>
              <w:tab w:val="right" w:leader="dot" w:pos="9019"/>
            </w:tabs>
            <w:spacing w:line="360" w:lineRule="auto"/>
            <w:jc w:val="both"/>
            <w:rPr>
              <w:rFonts w:ascii="Times New Roman" w:hAnsi="Times New Roman" w:cs="Times New Roman"/>
              <w:noProof/>
              <w:sz w:val="24"/>
              <w:szCs w:val="24"/>
            </w:rPr>
          </w:pPr>
          <w:hyperlink w:anchor="_Toc151735478" w:history="1">
            <w:r w:rsidR="00A84A6A" w:rsidRPr="00A84A6A">
              <w:rPr>
                <w:rStyle w:val="Hyperlink"/>
                <w:rFonts w:ascii="Times New Roman" w:hAnsi="Times New Roman" w:cs="Times New Roman"/>
                <w:noProof/>
                <w:color w:val="auto"/>
                <w:sz w:val="24"/>
                <w:szCs w:val="24"/>
              </w:rPr>
              <w:t>Conclusion</w:t>
            </w:r>
            <w:r w:rsidR="00A84A6A" w:rsidRPr="00A84A6A">
              <w:rPr>
                <w:rFonts w:ascii="Times New Roman" w:hAnsi="Times New Roman" w:cs="Times New Roman"/>
                <w:noProof/>
                <w:webHidden/>
                <w:sz w:val="24"/>
                <w:szCs w:val="24"/>
              </w:rPr>
              <w:tab/>
            </w:r>
            <w:r w:rsidR="00A84A6A" w:rsidRPr="00A84A6A">
              <w:rPr>
                <w:rFonts w:ascii="Times New Roman" w:hAnsi="Times New Roman" w:cs="Times New Roman"/>
                <w:noProof/>
                <w:webHidden/>
                <w:sz w:val="24"/>
                <w:szCs w:val="24"/>
              </w:rPr>
              <w:fldChar w:fldCharType="begin"/>
            </w:r>
            <w:r w:rsidR="00A84A6A" w:rsidRPr="00A84A6A">
              <w:rPr>
                <w:rFonts w:ascii="Times New Roman" w:hAnsi="Times New Roman" w:cs="Times New Roman"/>
                <w:noProof/>
                <w:webHidden/>
                <w:sz w:val="24"/>
                <w:szCs w:val="24"/>
              </w:rPr>
              <w:instrText xml:space="preserve"> PAGEREF _Toc151735478 \h </w:instrText>
            </w:r>
            <w:r w:rsidR="00A84A6A" w:rsidRPr="00A84A6A">
              <w:rPr>
                <w:rFonts w:ascii="Times New Roman" w:hAnsi="Times New Roman" w:cs="Times New Roman"/>
                <w:noProof/>
                <w:webHidden/>
                <w:sz w:val="24"/>
                <w:szCs w:val="24"/>
              </w:rPr>
            </w:r>
            <w:r w:rsidR="00A84A6A" w:rsidRPr="00A84A6A">
              <w:rPr>
                <w:rFonts w:ascii="Times New Roman" w:hAnsi="Times New Roman" w:cs="Times New Roman"/>
                <w:noProof/>
                <w:webHidden/>
                <w:sz w:val="24"/>
                <w:szCs w:val="24"/>
              </w:rPr>
              <w:fldChar w:fldCharType="separate"/>
            </w:r>
            <w:r w:rsidR="00A84A6A" w:rsidRPr="00A84A6A">
              <w:rPr>
                <w:rFonts w:ascii="Times New Roman" w:hAnsi="Times New Roman" w:cs="Times New Roman"/>
                <w:noProof/>
                <w:webHidden/>
                <w:sz w:val="24"/>
                <w:szCs w:val="24"/>
              </w:rPr>
              <w:t>9</w:t>
            </w:r>
            <w:r w:rsidR="00A84A6A" w:rsidRPr="00A84A6A">
              <w:rPr>
                <w:rFonts w:ascii="Times New Roman" w:hAnsi="Times New Roman" w:cs="Times New Roman"/>
                <w:noProof/>
                <w:webHidden/>
                <w:sz w:val="24"/>
                <w:szCs w:val="24"/>
              </w:rPr>
              <w:fldChar w:fldCharType="end"/>
            </w:r>
          </w:hyperlink>
        </w:p>
        <w:p w14:paraId="387A8BAB" w14:textId="761B6634" w:rsidR="00A84A6A" w:rsidRPr="00A84A6A" w:rsidRDefault="00373B54" w:rsidP="00A84A6A">
          <w:pPr>
            <w:pStyle w:val="TOC1"/>
            <w:tabs>
              <w:tab w:val="right" w:leader="dot" w:pos="9019"/>
            </w:tabs>
            <w:spacing w:line="360" w:lineRule="auto"/>
            <w:jc w:val="both"/>
            <w:rPr>
              <w:rFonts w:ascii="Times New Roman" w:hAnsi="Times New Roman" w:cs="Times New Roman"/>
              <w:noProof/>
              <w:sz w:val="24"/>
              <w:szCs w:val="24"/>
            </w:rPr>
          </w:pPr>
          <w:hyperlink w:anchor="_Toc151735479" w:history="1">
            <w:r w:rsidR="00A84A6A" w:rsidRPr="00A84A6A">
              <w:rPr>
                <w:rStyle w:val="Hyperlink"/>
                <w:rFonts w:ascii="Times New Roman" w:hAnsi="Times New Roman" w:cs="Times New Roman"/>
                <w:noProof/>
                <w:color w:val="auto"/>
                <w:sz w:val="24"/>
                <w:szCs w:val="24"/>
              </w:rPr>
              <w:t>Reference List</w:t>
            </w:r>
            <w:r w:rsidR="00A84A6A" w:rsidRPr="00A84A6A">
              <w:rPr>
                <w:rFonts w:ascii="Times New Roman" w:hAnsi="Times New Roman" w:cs="Times New Roman"/>
                <w:noProof/>
                <w:webHidden/>
                <w:sz w:val="24"/>
                <w:szCs w:val="24"/>
              </w:rPr>
              <w:tab/>
            </w:r>
            <w:r w:rsidR="00A84A6A" w:rsidRPr="00A84A6A">
              <w:rPr>
                <w:rFonts w:ascii="Times New Roman" w:hAnsi="Times New Roman" w:cs="Times New Roman"/>
                <w:noProof/>
                <w:webHidden/>
                <w:sz w:val="24"/>
                <w:szCs w:val="24"/>
              </w:rPr>
              <w:fldChar w:fldCharType="begin"/>
            </w:r>
            <w:r w:rsidR="00A84A6A" w:rsidRPr="00A84A6A">
              <w:rPr>
                <w:rFonts w:ascii="Times New Roman" w:hAnsi="Times New Roman" w:cs="Times New Roman"/>
                <w:noProof/>
                <w:webHidden/>
                <w:sz w:val="24"/>
                <w:szCs w:val="24"/>
              </w:rPr>
              <w:instrText xml:space="preserve"> PAGEREF _Toc151735479 \h </w:instrText>
            </w:r>
            <w:r w:rsidR="00A84A6A" w:rsidRPr="00A84A6A">
              <w:rPr>
                <w:rFonts w:ascii="Times New Roman" w:hAnsi="Times New Roman" w:cs="Times New Roman"/>
                <w:noProof/>
                <w:webHidden/>
                <w:sz w:val="24"/>
                <w:szCs w:val="24"/>
              </w:rPr>
            </w:r>
            <w:r w:rsidR="00A84A6A" w:rsidRPr="00A84A6A">
              <w:rPr>
                <w:rFonts w:ascii="Times New Roman" w:hAnsi="Times New Roman" w:cs="Times New Roman"/>
                <w:noProof/>
                <w:webHidden/>
                <w:sz w:val="24"/>
                <w:szCs w:val="24"/>
              </w:rPr>
              <w:fldChar w:fldCharType="separate"/>
            </w:r>
            <w:r w:rsidR="00A84A6A" w:rsidRPr="00A84A6A">
              <w:rPr>
                <w:rFonts w:ascii="Times New Roman" w:hAnsi="Times New Roman" w:cs="Times New Roman"/>
                <w:noProof/>
                <w:webHidden/>
                <w:sz w:val="24"/>
                <w:szCs w:val="24"/>
              </w:rPr>
              <w:t>10</w:t>
            </w:r>
            <w:r w:rsidR="00A84A6A" w:rsidRPr="00A84A6A">
              <w:rPr>
                <w:rFonts w:ascii="Times New Roman" w:hAnsi="Times New Roman" w:cs="Times New Roman"/>
                <w:noProof/>
                <w:webHidden/>
                <w:sz w:val="24"/>
                <w:szCs w:val="24"/>
              </w:rPr>
              <w:fldChar w:fldCharType="end"/>
            </w:r>
          </w:hyperlink>
        </w:p>
        <w:p w14:paraId="1D59F255" w14:textId="142CE084" w:rsidR="00A84A6A" w:rsidRDefault="00A84A6A" w:rsidP="00A84A6A">
          <w:pPr>
            <w:spacing w:line="360" w:lineRule="auto"/>
            <w:jc w:val="both"/>
          </w:pPr>
          <w:r w:rsidRPr="00A84A6A">
            <w:rPr>
              <w:rFonts w:ascii="Times New Roman" w:hAnsi="Times New Roman" w:cs="Times New Roman"/>
              <w:b/>
              <w:bCs/>
              <w:noProof/>
              <w:sz w:val="24"/>
              <w:szCs w:val="24"/>
            </w:rPr>
            <w:fldChar w:fldCharType="end"/>
          </w:r>
        </w:p>
      </w:sdtContent>
    </w:sdt>
    <w:p w14:paraId="0000000A" w14:textId="30E70D80" w:rsidR="00DB0015" w:rsidRDefault="00373B54">
      <w:pPr>
        <w:spacing w:line="360" w:lineRule="auto"/>
        <w:jc w:val="center"/>
        <w:rPr>
          <w:rFonts w:ascii="Times New Roman" w:eastAsia="Times New Roman" w:hAnsi="Times New Roman" w:cs="Times New Roman"/>
          <w:b/>
          <w:sz w:val="32"/>
          <w:szCs w:val="32"/>
        </w:rPr>
      </w:pPr>
      <w:r>
        <w:br w:type="page"/>
      </w:r>
    </w:p>
    <w:p w14:paraId="0000000B" w14:textId="77777777" w:rsidR="00DB0015" w:rsidRPr="00A84A6A" w:rsidRDefault="00373B54" w:rsidP="00A84A6A">
      <w:pPr>
        <w:pStyle w:val="Heading1"/>
      </w:pPr>
      <w:bookmarkStart w:id="0" w:name="_Toc151735469"/>
      <w:r>
        <w:lastRenderedPageBreak/>
        <w:t>Introduction</w:t>
      </w:r>
      <w:bookmarkEnd w:id="0"/>
    </w:p>
    <w:p w14:paraId="0000000C"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landscape of organisational management is undergoing a profound transformation, driven by the recognition of the inadequacies in traditional budgeting methodologies. This report critically evaluates the </w:t>
      </w:r>
      <w:r>
        <w:rPr>
          <w:rFonts w:ascii="Times New Roman" w:eastAsia="Times New Roman" w:hAnsi="Times New Roman" w:cs="Times New Roman"/>
          <w:sz w:val="24"/>
          <w:szCs w:val="24"/>
        </w:rPr>
        <w:t>role of budgeting in the context of a rapidly changing business environment, shedding light on the limitations of conventional approaches like incremental budgeting. As organisations strive for agility and adaptability in the face of dynamic market conditions, there is a discernible shift towards alternative models. The Beyond Budgeting Model arises as a beacon of innovation, advocating for decentralised decision-making, a cultural shift towards empowerment, and the abandonment of rigid annual cycles.</w:t>
      </w:r>
    </w:p>
    <w:p w14:paraId="0000000D"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rationale behind the improvement of the Beyond Budgeting Model is explored, delving into its principles and the way that it addresses inherent flaws in traditional budgeting. Success stories from pioneering organisations showcase the model's impact on employee motivation, innovation, and overall performance. However, the report also navigates the potential barriers to implementation, including resistance to cultural change and industry-specific challenges.</w:t>
      </w:r>
    </w:p>
    <w:p w14:paraId="0000000E" w14:textId="77777777" w:rsidR="00DB0015" w:rsidRDefault="00DB0015">
      <w:pPr>
        <w:spacing w:line="360" w:lineRule="auto"/>
        <w:jc w:val="both"/>
        <w:rPr>
          <w:rFonts w:ascii="Times New Roman" w:eastAsia="Times New Roman" w:hAnsi="Times New Roman" w:cs="Times New Roman"/>
          <w:b/>
          <w:sz w:val="24"/>
          <w:szCs w:val="24"/>
        </w:rPr>
      </w:pPr>
    </w:p>
    <w:p w14:paraId="0000000F" w14:textId="77777777" w:rsidR="00DB0015" w:rsidRDefault="00373B54" w:rsidP="00A84A6A">
      <w:pPr>
        <w:pStyle w:val="Heading1"/>
      </w:pPr>
      <w:bookmarkStart w:id="1" w:name="_Toc151735470"/>
      <w:r>
        <w:t>(a) Critically evaluate the role of budgeting, and the applicability of traditional approaches to budgeting in the context of a fast-changing business environment. Make consideration of any inherent flaws in traditional budgeting methods.</w:t>
      </w:r>
      <w:bookmarkEnd w:id="1"/>
    </w:p>
    <w:p w14:paraId="00000010" w14:textId="77777777" w:rsidR="00DB0015" w:rsidRDefault="00373B54" w:rsidP="00A84A6A">
      <w:pPr>
        <w:pStyle w:val="Heading2"/>
      </w:pPr>
      <w:bookmarkStart w:id="2" w:name="_Toc151735471"/>
      <w:r>
        <w:t xml:space="preserve">Role of </w:t>
      </w:r>
      <w:r w:rsidRPr="00A84A6A">
        <w:t>budgeting</w:t>
      </w:r>
      <w:bookmarkEnd w:id="2"/>
    </w:p>
    <w:p w14:paraId="00000011" w14:textId="02B191E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Budgeting plays a crucial role in organisational management, serving as a financial roadmap that guides decision-making and asset allocation. In any case, in recent years, a shift away from traditional incremental budgeting techniques has been noticed, with growing interest in alternative approaches. This shift is provoked by the recognition of inherent weaknesses in the annual budget model, which some argue act as barriers to effective strategic change implementation in rapidly evolving business </w:t>
      </w:r>
      <w:r w:rsidR="00A84A6A">
        <w:rPr>
          <w:rFonts w:ascii="Times New Roman" w:eastAsia="Times New Roman" w:hAnsi="Times New Roman" w:cs="Times New Roman"/>
          <w:sz w:val="24"/>
          <w:szCs w:val="24"/>
        </w:rPr>
        <w:t>environments. Traditional</w:t>
      </w:r>
      <w:r>
        <w:rPr>
          <w:rFonts w:ascii="Times New Roman" w:eastAsia="Times New Roman" w:hAnsi="Times New Roman" w:cs="Times New Roman"/>
          <w:sz w:val="24"/>
          <w:szCs w:val="24"/>
        </w:rPr>
        <w:t xml:space="preserve"> budgeting methods, like incremental budgeting, are characterised by their focus on historical data and incremental adjustments based on past performance (</w:t>
      </w:r>
      <w:r>
        <w:rPr>
          <w:rFonts w:ascii="Times New Roman" w:eastAsia="Times New Roman" w:hAnsi="Times New Roman" w:cs="Times New Roman"/>
          <w:color w:val="222222"/>
          <w:sz w:val="24"/>
          <w:szCs w:val="24"/>
          <w:highlight w:val="white"/>
        </w:rPr>
        <w:t xml:space="preserve">Zor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While these methods have been widely used for decades, they face challenges in adapting to the dynamics of today's fast-changing business environment. One inherent weakness lies in their rigidity, as these approaches may battle to accommodate unexpected market shifts, technological advancements, or unforeseen </w:t>
      </w:r>
      <w:r w:rsidR="00A84A6A">
        <w:rPr>
          <w:rFonts w:ascii="Times New Roman" w:eastAsia="Times New Roman" w:hAnsi="Times New Roman" w:cs="Times New Roman"/>
          <w:sz w:val="24"/>
          <w:szCs w:val="24"/>
        </w:rPr>
        <w:t>disruptions. The</w:t>
      </w:r>
      <w:r>
        <w:rPr>
          <w:rFonts w:ascii="Times New Roman" w:eastAsia="Times New Roman" w:hAnsi="Times New Roman" w:cs="Times New Roman"/>
          <w:sz w:val="24"/>
          <w:szCs w:val="24"/>
        </w:rPr>
        <w:t xml:space="preserve"> annual budg</w:t>
      </w:r>
      <w:r>
        <w:rPr>
          <w:rFonts w:ascii="Times New Roman" w:eastAsia="Times New Roman" w:hAnsi="Times New Roman" w:cs="Times New Roman"/>
          <w:sz w:val="24"/>
          <w:szCs w:val="24"/>
        </w:rPr>
        <w:t xml:space="preserve">et model, often characterised by fixed targets and inflexible asset allocations, may hinder organisations from responding swiftly to changes in the business landscape. In a fast-paced environment, where agility and adaptability are paramount, traditional budgeting's static nature turns into a limitation (Liyanage and Gooneratne, 2021). </w:t>
      </w:r>
      <w:r>
        <w:rPr>
          <w:rFonts w:ascii="Times New Roman" w:eastAsia="Times New Roman" w:hAnsi="Times New Roman" w:cs="Times New Roman"/>
          <w:sz w:val="24"/>
          <w:szCs w:val="24"/>
        </w:rPr>
        <w:lastRenderedPageBreak/>
        <w:t>This limitation is particularly evident when organisations need to reallocate assets quickly in light of emerging opportunities or threats.</w:t>
      </w:r>
    </w:p>
    <w:p w14:paraId="59B6F4A6" w14:textId="77777777" w:rsidR="00A84A6A" w:rsidRDefault="00A84A6A">
      <w:pPr>
        <w:spacing w:line="360" w:lineRule="auto"/>
        <w:jc w:val="both"/>
        <w:rPr>
          <w:rFonts w:ascii="Times New Roman" w:eastAsia="Times New Roman" w:hAnsi="Times New Roman" w:cs="Times New Roman"/>
          <w:sz w:val="24"/>
          <w:szCs w:val="24"/>
        </w:rPr>
      </w:pPr>
    </w:p>
    <w:p w14:paraId="00000012" w14:textId="77777777" w:rsidR="00DB0015" w:rsidRDefault="00373B54" w:rsidP="00A84A6A">
      <w:pPr>
        <w:pStyle w:val="Heading2"/>
      </w:pPr>
      <w:bookmarkStart w:id="3" w:name="_Toc151735472"/>
      <w:r>
        <w:t>Applicability of traditional approaches to budgeting in fast-changing business environment</w:t>
      </w:r>
      <w:bookmarkEnd w:id="3"/>
    </w:p>
    <w:p w14:paraId="00000013" w14:textId="76817AF8"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critical consideration in evaluating the role of budgeting is its connection to performance management. Traditional budgeting often relies on fixed performance targets tied to financial metrics. Nonetheless, in a rapidly changing environment, these static targets may become irrelevant or unattainable (Grocholski, 2022). This </w:t>
      </w:r>
      <w:r w:rsidR="00A84A6A">
        <w:rPr>
          <w:rFonts w:ascii="Times New Roman" w:eastAsia="Times New Roman" w:hAnsi="Times New Roman" w:cs="Times New Roman"/>
          <w:sz w:val="24"/>
          <w:szCs w:val="24"/>
        </w:rPr>
        <w:t>disconnects</w:t>
      </w:r>
      <w:r>
        <w:rPr>
          <w:rFonts w:ascii="Times New Roman" w:eastAsia="Times New Roman" w:hAnsi="Times New Roman" w:cs="Times New Roman"/>
          <w:sz w:val="24"/>
          <w:szCs w:val="24"/>
        </w:rPr>
        <w:t xml:space="preserve"> between evolving business dynamics and predefined performance goals can lead to frustration and a lack of motivation among workers.</w:t>
      </w:r>
    </w:p>
    <w:p w14:paraId="00000014"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performance management frameworks aligned with alternative budgeting approaches can be more adaptive. Setting performance targets in line with rolling forecasts or flexible budgeting allows for a more realistic assessment of achievements and challenges. This adaptability enhances worker morale as well as facilitates a more accurate evaluation of the organisation's overall performance in dynamic market conditions (Vaia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The influence of technological advancements also plays a significant role in shaping the future of budgeting. Integrated financial planning software and artificial intelligence tools can streamline the budgeting process, making it more efficient and responsive. These technologies enable real-time data analysis, scenario planning, and predictive modelling, providing organisations with the agility expected to navigate uncertainties in the business environment.</w:t>
      </w:r>
    </w:p>
    <w:p w14:paraId="00000015"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Nonetheless, it's essential to acknowledge that the transition from traditional budgeting to alternative approaches is not without challenges. Resistance to change, ingrained organisational designs, and the requirement for cultural shifts can present obstacles. Effective adoption requires a strategic change management process that involves communication, training, and a phased implementation approach.</w:t>
      </w:r>
    </w:p>
    <w:p w14:paraId="00000016"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organisations operate in an era of rapid change, the role of budgeting is undergoing a critical transformation. Traditional budgeting approaches, marked by rigidity and short-term focus, are being reassessed in favour of alternative models that prioritise adaptability, collaboration, and alignment with strategic goals (Dehghani </w:t>
      </w:r>
      <w:proofErr w:type="spellStart"/>
      <w:r>
        <w:rPr>
          <w:rFonts w:ascii="Times New Roman" w:eastAsia="Times New Roman" w:hAnsi="Times New Roman" w:cs="Times New Roman"/>
          <w:sz w:val="24"/>
          <w:szCs w:val="24"/>
        </w:rPr>
        <w:t>Filabadi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Mahmoudzadeh</w:t>
      </w:r>
      <w:proofErr w:type="spellEnd"/>
      <w:r>
        <w:rPr>
          <w:rFonts w:ascii="Times New Roman" w:eastAsia="Times New Roman" w:hAnsi="Times New Roman" w:cs="Times New Roman"/>
          <w:sz w:val="24"/>
          <w:szCs w:val="24"/>
        </w:rPr>
        <w:t>, 2022). The excursion toward more flexible budgeting practices requires a holistic approach, encompassing changes in culture, innovation adoption, and performance management frameworks. By embracing these shifts, organisations can position themselves to thrive in the dynamic and unpredictable landscapes of modern business.</w:t>
      </w:r>
    </w:p>
    <w:p w14:paraId="00000017"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Besides, traditional budgeting will in general encourage a short-term mindset, as the focus is primarily on achieving annual targets. This short-term orientation may impede long haul strategic planning and hinder an organisation's ability to align its budgeting process with broader strategic goals (</w:t>
      </w:r>
      <w:proofErr w:type="spellStart"/>
      <w:r>
        <w:rPr>
          <w:rFonts w:ascii="Times New Roman" w:eastAsia="Times New Roman" w:hAnsi="Times New Roman" w:cs="Times New Roman"/>
          <w:sz w:val="24"/>
          <w:szCs w:val="24"/>
        </w:rPr>
        <w:t>Ploder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In a rapidly evolving business environment, where long haul vision and adaptability are critical, traditional budgeting's myopic focus can be counterproductive. Furthermore, the annual budgeting process can be time-consuming and asset intensive. The extensive effort required for data collection, analysis, and negotiation often brings about delays that are incompatible with the requirement for swift decision-making in dynamic markets. This bureaucratic nature can hinder innovation and re</w:t>
      </w:r>
      <w:r>
        <w:rPr>
          <w:rFonts w:ascii="Times New Roman" w:eastAsia="Times New Roman" w:hAnsi="Times New Roman" w:cs="Times New Roman"/>
          <w:sz w:val="24"/>
          <w:szCs w:val="24"/>
        </w:rPr>
        <w:t>sponsiveness, making it challenging for organisations to stay ahead in competitive industries.</w:t>
      </w:r>
    </w:p>
    <w:p w14:paraId="00000018" w14:textId="547B7D9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additional flaw in traditional budgeting is its propensity to encourage a fixed mindset among workers. At the point when budgets are perceived as unchangeable targets, workers may resist proposing innovative ideas or adapting strategies based on evolving market conditions. This resistance can stifle creativity and hinder the organisation's ability to capitalise on emerging opportunities (Zasa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Due to these limitations, alternative budgeting approaches have gained traction. Zero-based budgeting, for instance, requires departments to justify all costs from scratch, promoting an exhaustive evaluation of each cost component. This approach encourages a more strategic allocation of assets, aligning with the organisation's overall objectives. Similarly, rolling budgets and flexible budgeting allow for periodic adjustments, fostering adaptability to changing </w:t>
      </w:r>
      <w:r w:rsidR="00A84A6A">
        <w:rPr>
          <w:rFonts w:ascii="Times New Roman" w:eastAsia="Times New Roman" w:hAnsi="Times New Roman" w:cs="Times New Roman"/>
          <w:sz w:val="24"/>
          <w:szCs w:val="24"/>
        </w:rPr>
        <w:t>circumstances. Overall</w:t>
      </w:r>
      <w:r>
        <w:rPr>
          <w:rFonts w:ascii="Times New Roman" w:eastAsia="Times New Roman" w:hAnsi="Times New Roman" w:cs="Times New Roman"/>
          <w:sz w:val="24"/>
          <w:szCs w:val="24"/>
        </w:rPr>
        <w:t>, the role</w:t>
      </w:r>
      <w:r>
        <w:rPr>
          <w:rFonts w:ascii="Times New Roman" w:eastAsia="Times New Roman" w:hAnsi="Times New Roman" w:cs="Times New Roman"/>
          <w:sz w:val="24"/>
          <w:szCs w:val="24"/>
        </w:rPr>
        <w:t xml:space="preserve"> of budgeting in the context of a fast-changing business environment should be critically evaluated. Traditional budgeting approaches, with their inherent flaws of rigidity, short-term focus, and resistance to change, may act as barriers to effective strategic change implementation. Organisations should investigate alternative budgeting models that prioritise flexibility, adaptability, and alignment with long haul strategic goals (</w:t>
      </w:r>
      <w:proofErr w:type="spellStart"/>
      <w:r>
        <w:rPr>
          <w:rFonts w:ascii="Times New Roman" w:eastAsia="Times New Roman" w:hAnsi="Times New Roman" w:cs="Times New Roman"/>
          <w:sz w:val="24"/>
          <w:szCs w:val="24"/>
        </w:rPr>
        <w:t>Ploder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Thus, they can navigate the challenges of a dynamic busi</w:t>
      </w:r>
      <w:r>
        <w:rPr>
          <w:rFonts w:ascii="Times New Roman" w:eastAsia="Times New Roman" w:hAnsi="Times New Roman" w:cs="Times New Roman"/>
          <w:sz w:val="24"/>
          <w:szCs w:val="24"/>
        </w:rPr>
        <w:t>ness landscape and position themselves for sustained achievement.</w:t>
      </w:r>
    </w:p>
    <w:p w14:paraId="00000019"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the limitations of traditional budgeting reach out to its impact on organisational culture and worker engagement. The fixed targets and rigid designs associated with annual budgeting can create a culture of blame when targets are not met. Rather than fostering collaboration and learning from deviations, this blame culture may lead to finger-pointing and a reluctance to take calculated risks. Alternative budgeting approaches, like Beyond Budgeting, emphasise a more decentralised and adaptive man</w:t>
      </w:r>
      <w:r>
        <w:rPr>
          <w:rFonts w:ascii="Times New Roman" w:eastAsia="Times New Roman" w:hAnsi="Times New Roman" w:cs="Times New Roman"/>
          <w:sz w:val="24"/>
          <w:szCs w:val="24"/>
        </w:rPr>
        <w:t xml:space="preserve">agement model. This model encourages a shift away from top-down control, empowering frontline representatives and teams to make decisions aligned with overarching strategic objectives (Guruge, 2021). By embracing a more </w:t>
      </w:r>
      <w:r>
        <w:rPr>
          <w:rFonts w:ascii="Times New Roman" w:eastAsia="Times New Roman" w:hAnsi="Times New Roman" w:cs="Times New Roman"/>
          <w:sz w:val="24"/>
          <w:szCs w:val="24"/>
        </w:rPr>
        <w:lastRenderedPageBreak/>
        <w:t>collaborative and inclusive approach, organisations can encourage a culture of innovation, continuous improvement, and shared responsibility.</w:t>
      </w:r>
    </w:p>
    <w:p w14:paraId="0000001A" w14:textId="77777777" w:rsidR="00DB0015" w:rsidRDefault="00DB0015">
      <w:pPr>
        <w:spacing w:line="360" w:lineRule="auto"/>
        <w:jc w:val="both"/>
        <w:rPr>
          <w:rFonts w:ascii="Times New Roman" w:eastAsia="Times New Roman" w:hAnsi="Times New Roman" w:cs="Times New Roman"/>
          <w:sz w:val="24"/>
          <w:szCs w:val="24"/>
        </w:rPr>
      </w:pPr>
    </w:p>
    <w:p w14:paraId="0000001B" w14:textId="77777777" w:rsidR="00DB0015" w:rsidRDefault="00373B54" w:rsidP="00A84A6A">
      <w:pPr>
        <w:pStyle w:val="Heading1"/>
      </w:pPr>
      <w:bookmarkStart w:id="4" w:name="_Toc151735473"/>
      <w:r>
        <w:t>(b) Analyse the beyond budgeting model and make consideration of the following points:</w:t>
      </w:r>
      <w:bookmarkEnd w:id="4"/>
    </w:p>
    <w:p w14:paraId="0000001C" w14:textId="77777777" w:rsidR="00DB0015" w:rsidRDefault="00373B54" w:rsidP="00A84A6A">
      <w:pPr>
        <w:pStyle w:val="Heading2"/>
      </w:pPr>
      <w:bookmarkStart w:id="5" w:name="_Toc151735474"/>
      <w:r>
        <w:t>Rationale for developing the Beyond Budgeting Model</w:t>
      </w:r>
      <w:bookmarkEnd w:id="5"/>
    </w:p>
    <w:p w14:paraId="0000001D"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providing a more adaptable and flexible framework for organisational management, the Beyond Budgeting Model addresses a break from conventional budgeting techniques. It is critical to analyse this model's justification, gauge its effectiveness since its introduction, and investigate any potential implementation roadblocks (</w:t>
      </w:r>
      <w:proofErr w:type="spellStart"/>
      <w:r>
        <w:rPr>
          <w:rFonts w:ascii="Times New Roman" w:eastAsia="Times New Roman" w:hAnsi="Times New Roman" w:cs="Times New Roman"/>
          <w:sz w:val="24"/>
          <w:szCs w:val="24"/>
        </w:rPr>
        <w:t>Alsharari</w:t>
      </w:r>
      <w:proofErr w:type="spellEnd"/>
      <w:r>
        <w:rPr>
          <w:rFonts w:ascii="Times New Roman" w:eastAsia="Times New Roman" w:hAnsi="Times New Roman" w:cs="Times New Roman"/>
          <w:sz w:val="24"/>
          <w:szCs w:val="24"/>
        </w:rPr>
        <w:t>, 2020). Moreover, examining the impact of industry dynamics on these obstacles offers a thorough understanding of the suitability of the Beyond Budgeting Model.</w:t>
      </w:r>
    </w:p>
    <w:p w14:paraId="0000001E"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Addressing the shortcomings of conventional budgeting techniques served as the foundation for the development of the Beyond Budgeting Model. The fast-paced and unpredictable business environment is often not well-suited for traditional approaches, which have annual cycles and set targets. In response to the need for more flexible and dynamic management techniques, Beyond Budgeting was created. The idea behind the model is the understanding that businesses need to be able to respond swiftly to changes in the</w:t>
      </w:r>
      <w:r>
        <w:rPr>
          <w:rFonts w:ascii="Times New Roman" w:eastAsia="Times New Roman" w:hAnsi="Times New Roman" w:cs="Times New Roman"/>
          <w:sz w:val="24"/>
          <w:szCs w:val="24"/>
        </w:rPr>
        <w:t xml:space="preserve"> marketplace, technological advancements, and other outside influences (Olaf et al. 2019). Beyond Budgeting promotes a change in management concepts from centralised command-and-control structures to more decentralised and empowering ones. It contends that inflexible budgeting procedures impede employee motivation, responsiveness, and innovation. Beyond Budgeting seeks to foster adaptability in the face of changing business conditions by building a culture of continuous improvement and decentralising decisi</w:t>
      </w:r>
      <w:r>
        <w:rPr>
          <w:rFonts w:ascii="Times New Roman" w:eastAsia="Times New Roman" w:hAnsi="Times New Roman" w:cs="Times New Roman"/>
          <w:sz w:val="24"/>
          <w:szCs w:val="24"/>
        </w:rPr>
        <w:t>on-making to better align organisational efforts with strategic goals.</w:t>
      </w:r>
    </w:p>
    <w:p w14:paraId="0000001F" w14:textId="77777777" w:rsidR="00DB0015" w:rsidRDefault="00DB0015">
      <w:pPr>
        <w:spacing w:line="360" w:lineRule="auto"/>
        <w:jc w:val="both"/>
        <w:rPr>
          <w:rFonts w:ascii="Times New Roman" w:eastAsia="Times New Roman" w:hAnsi="Times New Roman" w:cs="Times New Roman"/>
          <w:sz w:val="24"/>
          <w:szCs w:val="24"/>
        </w:rPr>
      </w:pPr>
    </w:p>
    <w:p w14:paraId="00000020" w14:textId="77777777" w:rsidR="00DB0015" w:rsidRDefault="00373B54" w:rsidP="00A84A6A">
      <w:pPr>
        <w:pStyle w:val="Heading2"/>
      </w:pPr>
      <w:bookmarkStart w:id="6" w:name="_Toc151735475"/>
      <w:r>
        <w:t>Success since its introduction</w:t>
      </w:r>
      <w:bookmarkEnd w:id="6"/>
    </w:p>
    <w:p w14:paraId="00000021" w14:textId="7FF1A37C"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have been differing degrees of success with the Beyond Budgeting Model since its launch. Successful adopters of this model report </w:t>
      </w:r>
      <w:r w:rsidR="00A84A6A">
        <w:rPr>
          <w:rFonts w:ascii="Times New Roman" w:eastAsia="Times New Roman" w:hAnsi="Times New Roman" w:cs="Times New Roman"/>
          <w:sz w:val="24"/>
          <w:szCs w:val="24"/>
        </w:rPr>
        <w:t>increase</w:t>
      </w:r>
      <w:r>
        <w:rPr>
          <w:rFonts w:ascii="Times New Roman" w:eastAsia="Times New Roman" w:hAnsi="Times New Roman" w:cs="Times New Roman"/>
          <w:sz w:val="24"/>
          <w:szCs w:val="24"/>
        </w:rPr>
        <w:t xml:space="preserve"> in overall performance, agility, and innovation (Bergmann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model's emphasis on flexible planning, rolling forecasts, and decentralised decision-making has resonated with companies seeking a more responsive approach to strategic management. One notable success story is that of the Scandinavian companies, for example, Handelsbanken and Statoil, which embraced Beyond Budgeting principles and experienced positive results. These organisations attribute their success to a cultural shift </w:t>
      </w:r>
      <w:r>
        <w:rPr>
          <w:rFonts w:ascii="Times New Roman" w:eastAsia="Times New Roman" w:hAnsi="Times New Roman" w:cs="Times New Roman"/>
          <w:sz w:val="24"/>
          <w:szCs w:val="24"/>
        </w:rPr>
        <w:t xml:space="preserve">that prioritises trust, collaboration, and a focus on long haul value </w:t>
      </w:r>
      <w:r>
        <w:rPr>
          <w:rFonts w:ascii="Times New Roman" w:eastAsia="Times New Roman" w:hAnsi="Times New Roman" w:cs="Times New Roman"/>
          <w:sz w:val="24"/>
          <w:szCs w:val="24"/>
        </w:rPr>
        <w:lastRenderedPageBreak/>
        <w:t xml:space="preserve">creation (Peters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By eliminating the fixed annual budget, they had the option to redirect assets more dynamically, answer swiftly to market changes, and cultivate a more engaged and innovative workforce.</w:t>
      </w:r>
    </w:p>
    <w:p w14:paraId="00000022"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success of the Beyond Budgeting Model is not universal, and a few organisations face challenges in its implementation. One potential barrier is the ingrained nature of traditional budgeting practices (Lepori and </w:t>
      </w:r>
      <w:proofErr w:type="spellStart"/>
      <w:r>
        <w:rPr>
          <w:rFonts w:ascii="Times New Roman" w:eastAsia="Times New Roman" w:hAnsi="Times New Roman" w:cs="Times New Roman"/>
          <w:sz w:val="24"/>
          <w:szCs w:val="24"/>
        </w:rPr>
        <w:t>Montauti</w:t>
      </w:r>
      <w:proofErr w:type="spellEnd"/>
      <w:r>
        <w:rPr>
          <w:rFonts w:ascii="Times New Roman" w:eastAsia="Times New Roman" w:hAnsi="Times New Roman" w:cs="Times New Roman"/>
          <w:sz w:val="24"/>
          <w:szCs w:val="24"/>
        </w:rPr>
        <w:t>, 2020). Many companies have profoundly settled in budgeting processes, and overcoming the inertia of longstanding practices can be a formidable task. Resistance to change, both at the leadership and employee levels, can impede the adoption of Beyond Budgeting principles.</w:t>
      </w:r>
    </w:p>
    <w:p w14:paraId="00000023" w14:textId="77777777" w:rsidR="00DB0015" w:rsidRDefault="00DB0015">
      <w:pPr>
        <w:spacing w:line="360" w:lineRule="auto"/>
        <w:jc w:val="both"/>
        <w:rPr>
          <w:rFonts w:ascii="Times New Roman" w:eastAsia="Times New Roman" w:hAnsi="Times New Roman" w:cs="Times New Roman"/>
          <w:sz w:val="24"/>
          <w:szCs w:val="24"/>
        </w:rPr>
      </w:pPr>
    </w:p>
    <w:p w14:paraId="00000024" w14:textId="77777777" w:rsidR="00DB0015" w:rsidRDefault="00373B54" w:rsidP="00A84A6A">
      <w:pPr>
        <w:pStyle w:val="Heading2"/>
      </w:pPr>
      <w:bookmarkStart w:id="7" w:name="_Toc151735476"/>
      <w:r>
        <w:t>Potential barriers to implementing the Beyond Budgeting Model</w:t>
      </w:r>
      <w:bookmarkEnd w:id="7"/>
    </w:p>
    <w:p w14:paraId="00000025"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barrier lies in the requirement for a cultural transformation within the organisation. Beyond Budgeting requires a shift towards a more collaborative and transparent culture, where trust is paramount. Achieving this cultural change demands effective change management strategies, clear communication, and leadership commitment (Matějka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Organisations that battle to instil these cultural shifts may find it challenging to completely embrace the Beyond Budgeting Model. Moreover, the potential barriers to implementing the Beyond Budgeting Model can be influenced by the industry in which an organisation operates. In industries with high degrees of regulation and compliance requirements, for example, finance or healthcare, the transition away from traditional budgeting may experience additional obstacles. Regulatory frameworks ofte</w:t>
      </w:r>
      <w:r>
        <w:rPr>
          <w:rFonts w:ascii="Times New Roman" w:eastAsia="Times New Roman" w:hAnsi="Times New Roman" w:cs="Times New Roman"/>
          <w:sz w:val="24"/>
          <w:szCs w:val="24"/>
        </w:rPr>
        <w:t>n necessitate detailed budgetary controls, making it challenging to completely adopt the decentralised and flexible nature of Beyond Budgeting.</w:t>
      </w:r>
    </w:p>
    <w:p w14:paraId="00000026"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industries characterised by rapid technological advancements and dynamic market conditions, like the tech sector, may find the Beyond Budgeting Model more suitable. In these environments, the ability to adapt quickly to emerging opportunities and challenges is crucial for survival and success (Schmidt, 2022). The model's emphasis on flexibility aligns well with the demands of industries where innovation and speed to market are paramount. Overall, the Beyond Budgeting Model offers a compel</w:t>
      </w:r>
      <w:r>
        <w:rPr>
          <w:rFonts w:ascii="Times New Roman" w:eastAsia="Times New Roman" w:hAnsi="Times New Roman" w:cs="Times New Roman"/>
          <w:sz w:val="24"/>
          <w:szCs w:val="24"/>
        </w:rPr>
        <w:t>ling alternative to traditional budgeting approaches by emphasising flexibility, decentralised decision-making, and a cultural shift towards trust and collaboration. Its success stories underscore its potential benefits, but barriers to implementation exist, including resistance to change, cultural transformation challenges, and industry-specific constraints. Evaluating the industry context is essential, as it can either increase or decrease the barriers to implementing the Beyond Budgeting Model. Organisat</w:t>
      </w:r>
      <w:r>
        <w:rPr>
          <w:rFonts w:ascii="Times New Roman" w:eastAsia="Times New Roman" w:hAnsi="Times New Roman" w:cs="Times New Roman"/>
          <w:sz w:val="24"/>
          <w:szCs w:val="24"/>
        </w:rPr>
        <w:t xml:space="preserve">ions </w:t>
      </w:r>
      <w:r>
        <w:rPr>
          <w:rFonts w:ascii="Times New Roman" w:eastAsia="Times New Roman" w:hAnsi="Times New Roman" w:cs="Times New Roman"/>
          <w:sz w:val="24"/>
          <w:szCs w:val="24"/>
        </w:rPr>
        <w:lastRenderedPageBreak/>
        <w:t>should carefully consider these factors and tailor their approach to guarantee a successful transition towards a more adaptive and agile management model.</w:t>
      </w:r>
    </w:p>
    <w:p w14:paraId="00000027" w14:textId="5CBEC9E2"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Expanding on the rationale for developing the Beyond Budgeting Model, it's important to dive into the broader context of organisational challenges. Traditional budgeting, with its fixed targets and hierarchical decision-making, often leads to suboptimal results in dynamic environments. The Beyond Budgeting Model recognizes that in today's interconnected and rapidly evolving business landscape, organisations need the flexibility to answer changing circumstances without being constrained by rigid plans perman</w:t>
      </w:r>
      <w:r>
        <w:rPr>
          <w:rFonts w:ascii="Times New Roman" w:eastAsia="Times New Roman" w:hAnsi="Times New Roman" w:cs="Times New Roman"/>
          <w:sz w:val="24"/>
          <w:szCs w:val="24"/>
        </w:rPr>
        <w:t xml:space="preserve">ently set up at the beginning of the fiscal year </w:t>
      </w:r>
      <w:r w:rsidR="00A84A6A">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Kunnathuvalappil</w:t>
      </w:r>
      <w:proofErr w:type="spellEnd"/>
      <w:r>
        <w:rPr>
          <w:rFonts w:ascii="Times New Roman" w:eastAsia="Times New Roman" w:hAnsi="Times New Roman" w:cs="Times New Roman"/>
          <w:sz w:val="24"/>
          <w:szCs w:val="24"/>
        </w:rPr>
        <w:t xml:space="preserve"> Hariharan 2021). The model's emphasis on decentralised decision-making aligns with the principles of empowerment and employee engagement. By distributing decision-making authority to the frontline, Beyond Budgeting looks to capitalise on the information and expertise of those nearest to the operations. This empowerment enhances the quality of decision-making as well as encourages a feeling of responsibility and accountability among employees</w:t>
      </w:r>
      <w:r>
        <w:rPr>
          <w:rFonts w:ascii="Times New Roman" w:eastAsia="Times New Roman" w:hAnsi="Times New Roman" w:cs="Times New Roman"/>
          <w:sz w:val="24"/>
          <w:szCs w:val="24"/>
        </w:rPr>
        <w:t xml:space="preserve">. Success stories of organisations adopting Beyond Budgeting often highlight the positive impact on employee motivation and innovation. At the point when employees feel trusted and enabled to contribute their ideas, it can lead to a more innovative and agile organisational culture (Coyte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The model encourages a mindset shift from meeting predefined targets to continuous improvement and value creation, fostering a more resilient and forward-thinking workforce.</w:t>
      </w:r>
    </w:p>
    <w:p w14:paraId="00000028"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despite these merits, the success of the Beyond Budgeting Model is contingent on effective implementation strategies. Organisations should navigate potential barriers that can hinder the transition. One such challenge is the perceived loss of control. Traditional budgeting provides a feeling of control through detailed plans and fixed targets. Leaders may be hesitant to relinquish this perceived control in favour of a more adaptive and decentralised approach. Overcoming this psychological barrier r</w:t>
      </w:r>
      <w:r>
        <w:rPr>
          <w:rFonts w:ascii="Times New Roman" w:eastAsia="Times New Roman" w:hAnsi="Times New Roman" w:cs="Times New Roman"/>
          <w:sz w:val="24"/>
          <w:szCs w:val="24"/>
        </w:rPr>
        <w:t xml:space="preserve">equires leadership commitment and a clear understanding of how decentralised decision-making contributes to overall organisational success (de Azevedo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Cultural transformation is another critical aspect of implementing Beyond Budgeting. The model advocates for a shift towards a culture of trust, transparency, and collaboration. This shift is not just about changing processes but rather fundamentally transforming how individuals think and interact within the organisation. Resistance to such cult</w:t>
      </w:r>
      <w:r>
        <w:rPr>
          <w:rFonts w:ascii="Times New Roman" w:eastAsia="Times New Roman" w:hAnsi="Times New Roman" w:cs="Times New Roman"/>
          <w:sz w:val="24"/>
          <w:szCs w:val="24"/>
        </w:rPr>
        <w:t>ural changes can be a significant barrier, and organisations should invest in change management initiatives to address this challenge.</w:t>
      </w:r>
    </w:p>
    <w:p w14:paraId="10EB340A" w14:textId="77777777" w:rsidR="00A84A6A" w:rsidRDefault="00A84A6A">
      <w:pPr>
        <w:spacing w:line="360" w:lineRule="auto"/>
        <w:jc w:val="both"/>
        <w:rPr>
          <w:rFonts w:ascii="Times New Roman" w:eastAsia="Times New Roman" w:hAnsi="Times New Roman" w:cs="Times New Roman"/>
          <w:sz w:val="24"/>
          <w:szCs w:val="24"/>
        </w:rPr>
      </w:pPr>
    </w:p>
    <w:p w14:paraId="476221BF" w14:textId="77777777" w:rsidR="00A84A6A" w:rsidRDefault="00A84A6A">
      <w:pPr>
        <w:spacing w:line="360" w:lineRule="auto"/>
        <w:jc w:val="both"/>
        <w:rPr>
          <w:rFonts w:ascii="Times New Roman" w:eastAsia="Times New Roman" w:hAnsi="Times New Roman" w:cs="Times New Roman"/>
          <w:sz w:val="24"/>
          <w:szCs w:val="24"/>
        </w:rPr>
      </w:pPr>
    </w:p>
    <w:p w14:paraId="00000029" w14:textId="77777777" w:rsidR="00DB0015" w:rsidRDefault="00373B54" w:rsidP="00A84A6A">
      <w:pPr>
        <w:pStyle w:val="Heading2"/>
      </w:pPr>
      <w:bookmarkStart w:id="8" w:name="_Toc151735477"/>
      <w:r>
        <w:lastRenderedPageBreak/>
        <w:t>Implementation of the Beyond Budgeting Model</w:t>
      </w:r>
      <w:bookmarkEnd w:id="8"/>
    </w:p>
    <w:p w14:paraId="0000002A"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the industry context plays a pivotal role in determining the feasibility of Beyond Budgeting implementation. In industries where regulatory compliance is stringent, for example, banking or healthcare, the shift away from detailed budgetary controls may experience resistance because of regulatory requirements (Ax and Ax, 2022). Striking a balance between flexibility and compliance becomes crucial, and organisations may have to adapt Beyond Budgeting principles to align with regulatory obligatio</w:t>
      </w:r>
      <w:r>
        <w:rPr>
          <w:rFonts w:ascii="Times New Roman" w:eastAsia="Times New Roman" w:hAnsi="Times New Roman" w:cs="Times New Roman"/>
          <w:sz w:val="24"/>
          <w:szCs w:val="24"/>
        </w:rPr>
        <w:t>ns.</w:t>
      </w:r>
    </w:p>
    <w:p w14:paraId="0000002B"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Then again, industries characterised by rapid technological advancements, like the software or biotech sectors, may find Beyond Budgeting more compatible. The requirement for quick reactions to market changes and the dynamic nature of innovation align well with the model's emphasis on adaptability. In such industries, Beyond Budgeting can be a catalyst for fostering a culture of experimentation and continuous improvement.</w:t>
      </w:r>
    </w:p>
    <w:p w14:paraId="0000002C"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Beyond Budgeting Model offers a compelling alternative to traditional budgeting by addressing the shortcomings of rigid planning in dynamic environments. Its success lies in the alignment of organisational culture, leadership commitment, and industry context. While the model has demonstrated positive results in various contexts, barriers to implementation exist and require careful consideration (</w:t>
      </w:r>
      <w:proofErr w:type="spellStart"/>
      <w:r>
        <w:rPr>
          <w:rFonts w:ascii="Times New Roman" w:eastAsia="Times New Roman" w:hAnsi="Times New Roman" w:cs="Times New Roman"/>
          <w:sz w:val="24"/>
          <w:szCs w:val="24"/>
        </w:rPr>
        <w:t>Keßels</w:t>
      </w:r>
      <w:proofErr w:type="spellEnd"/>
      <w:r>
        <w:rPr>
          <w:rFonts w:ascii="Times New Roman" w:eastAsia="Times New Roman" w:hAnsi="Times New Roman" w:cs="Times New Roman"/>
          <w:sz w:val="24"/>
          <w:szCs w:val="24"/>
        </w:rPr>
        <w:t>, 2022). Organisations should navigate these barriers with strategic change management, recognizing the requirement for a cultural shift and adapting the model to suit the unique demands of their industry. Ultimately, Beyond Budgeting addresses a shift in financial practices as well as a transformation in how organisations approach management and decision-making in an era of constant change.</w:t>
      </w:r>
    </w:p>
    <w:p w14:paraId="0000002D" w14:textId="77777777" w:rsidR="00DB0015" w:rsidRDefault="00DB0015">
      <w:pPr>
        <w:spacing w:line="360" w:lineRule="auto"/>
        <w:jc w:val="both"/>
        <w:rPr>
          <w:rFonts w:ascii="Times New Roman" w:eastAsia="Times New Roman" w:hAnsi="Times New Roman" w:cs="Times New Roman"/>
          <w:sz w:val="24"/>
          <w:szCs w:val="24"/>
        </w:rPr>
      </w:pPr>
    </w:p>
    <w:p w14:paraId="0000002E" w14:textId="77777777" w:rsidR="00DB0015" w:rsidRDefault="00373B54" w:rsidP="00A84A6A">
      <w:pPr>
        <w:pStyle w:val="Heading1"/>
      </w:pPr>
      <w:bookmarkStart w:id="9" w:name="_Toc151735478"/>
      <w:r>
        <w:t>Conclusion</w:t>
      </w:r>
      <w:bookmarkEnd w:id="9"/>
      <w:r>
        <w:t xml:space="preserve"> </w:t>
      </w:r>
    </w:p>
    <w:p w14:paraId="0000002F" w14:textId="77777777" w:rsidR="00DB0015" w:rsidRDefault="00373B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Beyond Budgeting Model stands as a promising alternative to traditional budgeting, offering a paradigm shift in management philosophy. Its success stories underscore the positive results achievable through cultural transformation and decentralised decision-making. However, the journey towards Beyond Budgeting is not without obstacles, as organisations grapple with settled in practices and industry-specific constraints. The critical lies in strategic change management, aligning the model w</w:t>
      </w:r>
      <w:r>
        <w:rPr>
          <w:rFonts w:ascii="Times New Roman" w:eastAsia="Times New Roman" w:hAnsi="Times New Roman" w:cs="Times New Roman"/>
          <w:sz w:val="24"/>
          <w:szCs w:val="24"/>
        </w:rPr>
        <w:t>ith organisational culture, and recognizing the nuances of industry dynamics. As organisations embark on this transformative journey, they should balance the requirement for flexibility with regulatory compliance, fostering a culture of innovation, and empowering their workforce. The Beyond Budgeting Model, with its emphasis on adaptability and continuous improvement, charts a course towards a more resilient and responsive future for organisational management.</w:t>
      </w:r>
      <w:r>
        <w:br w:type="page"/>
      </w:r>
    </w:p>
    <w:p w14:paraId="00000031" w14:textId="3D7A0CC5" w:rsidR="00DB0015" w:rsidRDefault="00373B54" w:rsidP="00A84A6A">
      <w:pPr>
        <w:pStyle w:val="Heading1"/>
      </w:pPr>
      <w:bookmarkStart w:id="10" w:name="_Toc151735479"/>
      <w:r>
        <w:lastRenderedPageBreak/>
        <w:t>Reference List</w:t>
      </w:r>
      <w:bookmarkEnd w:id="10"/>
    </w:p>
    <w:p w14:paraId="00000032" w14:textId="77777777" w:rsidR="00DB0015" w:rsidRDefault="00373B54">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Alsharari</w:t>
      </w:r>
      <w:proofErr w:type="spellEnd"/>
      <w:r>
        <w:rPr>
          <w:rFonts w:ascii="Times New Roman" w:eastAsia="Times New Roman" w:hAnsi="Times New Roman" w:cs="Times New Roman"/>
          <w:sz w:val="24"/>
          <w:szCs w:val="24"/>
        </w:rPr>
        <w:t xml:space="preserve">, N.M., 2020. Accounting changes and beyond budgeting principles (BBP) in the public sector: institutional isomorphism. </w:t>
      </w:r>
      <w:r>
        <w:rPr>
          <w:rFonts w:ascii="Times New Roman" w:eastAsia="Times New Roman" w:hAnsi="Times New Roman" w:cs="Times New Roman"/>
          <w:i/>
          <w:sz w:val="24"/>
          <w:szCs w:val="24"/>
        </w:rPr>
        <w:t>International journal of public sector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(2/3), pp.165-189.</w:t>
      </w:r>
    </w:p>
    <w:p w14:paraId="00000033"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Ax, C. and Ax, E., 2022. When the supply side of a management accounting innovation fails–the case of beyond budgeting in Sweden. </w:t>
      </w:r>
      <w:r>
        <w:rPr>
          <w:rFonts w:ascii="Times New Roman" w:eastAsia="Times New Roman" w:hAnsi="Times New Roman" w:cs="Times New Roman"/>
          <w:i/>
          <w:sz w:val="24"/>
          <w:szCs w:val="24"/>
        </w:rPr>
        <w:t>Accounting and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52</w:t>
      </w:r>
      <w:r>
        <w:rPr>
          <w:rFonts w:ascii="Times New Roman" w:eastAsia="Times New Roman" w:hAnsi="Times New Roman" w:cs="Times New Roman"/>
          <w:sz w:val="24"/>
          <w:szCs w:val="24"/>
        </w:rPr>
        <w:t>(4), pp.443-478.</w:t>
      </w:r>
    </w:p>
    <w:p w14:paraId="00000034"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Bergmann, M., Brück, C., Knauer, T. and Schwering, A., 2020. Digitization of the budgeting process: determinants of the use of business analytics and its effect on satisfaction with the budgeting process. </w:t>
      </w:r>
      <w:r>
        <w:rPr>
          <w:rFonts w:ascii="Times New Roman" w:eastAsia="Times New Roman" w:hAnsi="Times New Roman" w:cs="Times New Roman"/>
          <w:i/>
          <w:sz w:val="24"/>
          <w:szCs w:val="24"/>
        </w:rPr>
        <w:t>Journal of Management Control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(1-2), pp.25-54.</w:t>
      </w:r>
    </w:p>
    <w:p w14:paraId="00000035"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Coyte, R., Messner, M. and Zhou, S., 2022. The revival of zero‐based budgeting: drivers and consequences of firm‐level adoptions. </w:t>
      </w:r>
      <w:r>
        <w:rPr>
          <w:rFonts w:ascii="Times New Roman" w:eastAsia="Times New Roman" w:hAnsi="Times New Roman" w:cs="Times New Roman"/>
          <w:i/>
          <w:sz w:val="24"/>
          <w:szCs w:val="24"/>
        </w:rPr>
        <w:t>Accounting &amp; Finance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62</w:t>
      </w:r>
      <w:r>
        <w:rPr>
          <w:rFonts w:ascii="Times New Roman" w:eastAsia="Times New Roman" w:hAnsi="Times New Roman" w:cs="Times New Roman"/>
          <w:sz w:val="24"/>
          <w:szCs w:val="24"/>
        </w:rPr>
        <w:t>(3), pp.3147-3188.</w:t>
      </w:r>
    </w:p>
    <w:p w14:paraId="00000036" w14:textId="77777777" w:rsidR="00DB0015" w:rsidRPr="00A84A6A" w:rsidRDefault="00373B54">
      <w:pPr>
        <w:spacing w:before="240" w:after="240" w:line="360" w:lineRule="auto"/>
        <w:jc w:val="both"/>
        <w:rPr>
          <w:rFonts w:ascii="Times New Roman" w:eastAsia="Times New Roman" w:hAnsi="Times New Roman" w:cs="Times New Roman"/>
          <w:sz w:val="24"/>
          <w:szCs w:val="24"/>
          <w:lang w:val="it-IT"/>
        </w:rPr>
      </w:pPr>
      <w:r>
        <w:rPr>
          <w:rFonts w:ascii="Times New Roman" w:eastAsia="Times New Roman" w:hAnsi="Times New Roman" w:cs="Times New Roman"/>
          <w:sz w:val="24"/>
          <w:szCs w:val="24"/>
        </w:rPr>
        <w:t xml:space="preserve">de Azevedo, R.R., Cardoso, R.L., da Cunha, A.S.M. and Wampler, B., 2022. Participatory budgeting and budget dynamics in the public sector. </w:t>
      </w:r>
      <w:r w:rsidRPr="00A84A6A">
        <w:rPr>
          <w:rFonts w:ascii="Times New Roman" w:eastAsia="Times New Roman" w:hAnsi="Times New Roman" w:cs="Times New Roman"/>
          <w:i/>
          <w:sz w:val="24"/>
          <w:szCs w:val="24"/>
          <w:lang w:val="it-IT"/>
        </w:rPr>
        <w:t>Revista de Contabilidade e Organizações</w:t>
      </w:r>
      <w:r w:rsidRPr="00A84A6A">
        <w:rPr>
          <w:rFonts w:ascii="Times New Roman" w:eastAsia="Times New Roman" w:hAnsi="Times New Roman" w:cs="Times New Roman"/>
          <w:sz w:val="24"/>
          <w:szCs w:val="24"/>
          <w:lang w:val="it-IT"/>
        </w:rPr>
        <w:t xml:space="preserve">, </w:t>
      </w:r>
      <w:r w:rsidRPr="00A84A6A">
        <w:rPr>
          <w:rFonts w:ascii="Times New Roman" w:eastAsia="Times New Roman" w:hAnsi="Times New Roman" w:cs="Times New Roman"/>
          <w:i/>
          <w:sz w:val="24"/>
          <w:szCs w:val="24"/>
          <w:lang w:val="it-IT"/>
        </w:rPr>
        <w:t>16</w:t>
      </w:r>
      <w:r w:rsidRPr="00A84A6A">
        <w:rPr>
          <w:rFonts w:ascii="Times New Roman" w:eastAsia="Times New Roman" w:hAnsi="Times New Roman" w:cs="Times New Roman"/>
          <w:sz w:val="24"/>
          <w:szCs w:val="24"/>
          <w:lang w:val="it-IT"/>
        </w:rPr>
        <w:t>.</w:t>
      </w:r>
    </w:p>
    <w:p w14:paraId="00000037" w14:textId="77777777" w:rsidR="00DB0015" w:rsidRDefault="00373B54">
      <w:pPr>
        <w:spacing w:before="240" w:after="240" w:line="360" w:lineRule="auto"/>
        <w:jc w:val="both"/>
        <w:rPr>
          <w:rFonts w:ascii="Times New Roman" w:eastAsia="Times New Roman" w:hAnsi="Times New Roman" w:cs="Times New Roman"/>
          <w:sz w:val="24"/>
          <w:szCs w:val="24"/>
        </w:rPr>
      </w:pPr>
      <w:r w:rsidRPr="00A84A6A">
        <w:rPr>
          <w:rFonts w:ascii="Times New Roman" w:eastAsia="Times New Roman" w:hAnsi="Times New Roman" w:cs="Times New Roman"/>
          <w:sz w:val="24"/>
          <w:szCs w:val="24"/>
          <w:lang w:val="it-IT"/>
        </w:rPr>
        <w:t xml:space="preserve">Dehghani Filabadi, M. and Mahmoudzadeh, H., 2022. </w:t>
      </w:r>
      <w:r>
        <w:rPr>
          <w:rFonts w:ascii="Times New Roman" w:eastAsia="Times New Roman" w:hAnsi="Times New Roman" w:cs="Times New Roman"/>
          <w:sz w:val="24"/>
          <w:szCs w:val="24"/>
        </w:rPr>
        <w:t xml:space="preserve">Effective budget of uncertainty for classes of robust optimization. </w:t>
      </w:r>
      <w:r>
        <w:rPr>
          <w:rFonts w:ascii="Times New Roman" w:eastAsia="Times New Roman" w:hAnsi="Times New Roman" w:cs="Times New Roman"/>
          <w:i/>
          <w:sz w:val="24"/>
          <w:szCs w:val="24"/>
        </w:rPr>
        <w:t>INFORMS Journal on Optimization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(3), pp.249-277.</w:t>
      </w:r>
    </w:p>
    <w:p w14:paraId="00000038"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Grocholski, E., 2022. The implications of an increasingly dynamic business environment on change management requirements in </w:t>
      </w:r>
      <w:proofErr w:type="spellStart"/>
      <w:r>
        <w:rPr>
          <w:rFonts w:ascii="Times New Roman" w:eastAsia="Times New Roman" w:hAnsi="Times New Roman" w:cs="Times New Roman"/>
          <w:sz w:val="24"/>
          <w:szCs w:val="24"/>
        </w:rPr>
        <w:t>german</w:t>
      </w:r>
      <w:proofErr w:type="spellEnd"/>
      <w:r>
        <w:rPr>
          <w:rFonts w:ascii="Times New Roman" w:eastAsia="Times New Roman" w:hAnsi="Times New Roman" w:cs="Times New Roman"/>
          <w:sz w:val="24"/>
          <w:szCs w:val="24"/>
        </w:rPr>
        <w:t xml:space="preserve"> organisations. </w:t>
      </w:r>
      <w:r>
        <w:rPr>
          <w:rFonts w:ascii="Times New Roman" w:eastAsia="Times New Roman" w:hAnsi="Times New Roman" w:cs="Times New Roman"/>
          <w:i/>
          <w:sz w:val="24"/>
          <w:szCs w:val="24"/>
        </w:rPr>
        <w:t>SCENTIA International Economic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(2), pp.151-168.</w:t>
      </w:r>
    </w:p>
    <w:p w14:paraId="00000039"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Guruge, E., 2021. Beyond budgeting in small and medium-sized enterprises: Review and implications for future research.</w:t>
      </w:r>
    </w:p>
    <w:p w14:paraId="0000003A" w14:textId="77777777" w:rsidR="00DB0015" w:rsidRDefault="00373B54">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Keßels</w:t>
      </w:r>
      <w:proofErr w:type="spellEnd"/>
      <w:r>
        <w:rPr>
          <w:rFonts w:ascii="Times New Roman" w:eastAsia="Times New Roman" w:hAnsi="Times New Roman" w:cs="Times New Roman"/>
          <w:sz w:val="24"/>
          <w:szCs w:val="24"/>
        </w:rPr>
        <w:t xml:space="preserve">, I., </w:t>
      </w:r>
      <w:r>
        <w:rPr>
          <w:rFonts w:ascii="Times New Roman" w:eastAsia="Times New Roman" w:hAnsi="Times New Roman" w:cs="Times New Roman"/>
          <w:sz w:val="24"/>
          <w:szCs w:val="24"/>
        </w:rPr>
        <w:t>2022. Bonus Systems as Tools for ‘</w:t>
      </w:r>
      <w:proofErr w:type="spellStart"/>
      <w:r>
        <w:rPr>
          <w:rFonts w:ascii="Times New Roman" w:eastAsia="Times New Roman" w:hAnsi="Times New Roman" w:cs="Times New Roman"/>
          <w:sz w:val="24"/>
          <w:szCs w:val="24"/>
        </w:rPr>
        <w:t>Managing’Managers</w:t>
      </w:r>
      <w:proofErr w:type="spellEnd"/>
      <w:r>
        <w:rPr>
          <w:rFonts w:ascii="Times New Roman" w:eastAsia="Times New Roman" w:hAnsi="Times New Roman" w:cs="Times New Roman"/>
          <w:sz w:val="24"/>
          <w:szCs w:val="24"/>
        </w:rPr>
        <w:t xml:space="preserve">–the Behavioural Effects of Performance-Based Financial Rewards. </w:t>
      </w:r>
      <w:r>
        <w:rPr>
          <w:rFonts w:ascii="Times New Roman" w:eastAsia="Times New Roman" w:hAnsi="Times New Roman" w:cs="Times New Roman"/>
          <w:i/>
          <w:sz w:val="24"/>
          <w:szCs w:val="24"/>
        </w:rPr>
        <w:t>Philosophy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w:t>
      </w:r>
      <w:r>
        <w:rPr>
          <w:rFonts w:ascii="Times New Roman" w:eastAsia="Times New Roman" w:hAnsi="Times New Roman" w:cs="Times New Roman"/>
          <w:sz w:val="24"/>
          <w:szCs w:val="24"/>
        </w:rPr>
        <w:t>(1), pp.1-13.</w:t>
      </w:r>
    </w:p>
    <w:p w14:paraId="0000003B" w14:textId="77777777" w:rsidR="00DB0015" w:rsidRDefault="00373B54">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Kunnathuvalappil</w:t>
      </w:r>
      <w:proofErr w:type="spellEnd"/>
      <w:r>
        <w:rPr>
          <w:rFonts w:ascii="Times New Roman" w:eastAsia="Times New Roman" w:hAnsi="Times New Roman" w:cs="Times New Roman"/>
          <w:sz w:val="24"/>
          <w:szCs w:val="24"/>
        </w:rPr>
        <w:t xml:space="preserve"> Hariharan, N., 2021. Predictive model building for driver-based budgeting using machine learning. In </w:t>
      </w:r>
      <w:r>
        <w:rPr>
          <w:rFonts w:ascii="Times New Roman" w:eastAsia="Times New Roman" w:hAnsi="Times New Roman" w:cs="Times New Roman"/>
          <w:i/>
          <w:sz w:val="24"/>
          <w:szCs w:val="24"/>
        </w:rPr>
        <w:t xml:space="preserve">Predictive Model Building for Driver-Based Budgeting Using Machine Learning: </w:t>
      </w:r>
      <w:proofErr w:type="spellStart"/>
      <w:r>
        <w:rPr>
          <w:rFonts w:ascii="Times New Roman" w:eastAsia="Times New Roman" w:hAnsi="Times New Roman" w:cs="Times New Roman"/>
          <w:i/>
          <w:sz w:val="24"/>
          <w:szCs w:val="24"/>
        </w:rPr>
        <w:t>Kunnathuvalappil</w:t>
      </w:r>
      <w:proofErr w:type="spellEnd"/>
      <w:r>
        <w:rPr>
          <w:rFonts w:ascii="Times New Roman" w:eastAsia="Times New Roman" w:hAnsi="Times New Roman" w:cs="Times New Roman"/>
          <w:i/>
          <w:sz w:val="24"/>
          <w:szCs w:val="24"/>
        </w:rPr>
        <w:t xml:space="preserve"> Hariharan, Naveen</w:t>
      </w:r>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Sl</w:t>
      </w:r>
      <w:proofErr w:type="spellEnd"/>
      <w:r>
        <w:rPr>
          <w:rFonts w:ascii="Times New Roman" w:eastAsia="Times New Roman" w:hAnsi="Times New Roman" w:cs="Times New Roman"/>
          <w:sz w:val="24"/>
          <w:szCs w:val="24"/>
        </w:rPr>
        <w:t>]: SSRN.</w:t>
      </w:r>
    </w:p>
    <w:p w14:paraId="0000003C"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Lepori, B. and </w:t>
      </w:r>
      <w:proofErr w:type="spellStart"/>
      <w:r>
        <w:rPr>
          <w:rFonts w:ascii="Times New Roman" w:eastAsia="Times New Roman" w:hAnsi="Times New Roman" w:cs="Times New Roman"/>
          <w:sz w:val="24"/>
          <w:szCs w:val="24"/>
        </w:rPr>
        <w:t>Montauti</w:t>
      </w:r>
      <w:proofErr w:type="spellEnd"/>
      <w:r>
        <w:rPr>
          <w:rFonts w:ascii="Times New Roman" w:eastAsia="Times New Roman" w:hAnsi="Times New Roman" w:cs="Times New Roman"/>
          <w:sz w:val="24"/>
          <w:szCs w:val="24"/>
        </w:rPr>
        <w:t xml:space="preserve">, M., 2020. Bringing the organization back in: Flexing structural responses to competing logics in budgeting. </w:t>
      </w:r>
      <w:r>
        <w:rPr>
          <w:rFonts w:ascii="Times New Roman" w:eastAsia="Times New Roman" w:hAnsi="Times New Roman" w:cs="Times New Roman"/>
          <w:i/>
          <w:sz w:val="24"/>
          <w:szCs w:val="24"/>
        </w:rPr>
        <w:t>Accounting, Organizations and Society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80</w:t>
      </w:r>
      <w:r>
        <w:rPr>
          <w:rFonts w:ascii="Times New Roman" w:eastAsia="Times New Roman" w:hAnsi="Times New Roman" w:cs="Times New Roman"/>
          <w:sz w:val="24"/>
          <w:szCs w:val="24"/>
        </w:rPr>
        <w:t>, p.101075.</w:t>
      </w:r>
    </w:p>
    <w:p w14:paraId="0000003D"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Liyanage, T. and Gooneratne, T., 2021. </w:t>
      </w:r>
      <w:proofErr w:type="spellStart"/>
      <w:r>
        <w:rPr>
          <w:rFonts w:ascii="Times New Roman" w:eastAsia="Times New Roman" w:hAnsi="Times New Roman" w:cs="Times New Roman"/>
          <w:sz w:val="24"/>
          <w:szCs w:val="24"/>
        </w:rPr>
        <w:t>From'Traditional'Budgeting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to'Better'Budgeting</w:t>
      </w:r>
      <w:proofErr w:type="spellEnd"/>
      <w:r>
        <w:rPr>
          <w:rFonts w:ascii="Times New Roman" w:eastAsia="Times New Roman" w:hAnsi="Times New Roman" w:cs="Times New Roman"/>
          <w:sz w:val="24"/>
          <w:szCs w:val="24"/>
        </w:rPr>
        <w:t xml:space="preserve">: Navigating </w:t>
      </w:r>
      <w:proofErr w:type="spellStart"/>
      <w:r>
        <w:rPr>
          <w:rFonts w:ascii="Times New Roman" w:eastAsia="Times New Roman" w:hAnsi="Times New Roman" w:cs="Times New Roman"/>
          <w:sz w:val="24"/>
          <w:szCs w:val="24"/>
        </w:rPr>
        <w:t>through'Stability'and'Change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Management Accounting Frontiers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 pp.27-50.</w:t>
      </w:r>
    </w:p>
    <w:p w14:paraId="0000003E"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Matějka, M., Merchant, K.A. and O'Grady, W., 2021. An empirical investigation of beyond budgeting practices. </w:t>
      </w:r>
      <w:r>
        <w:rPr>
          <w:rFonts w:ascii="Times New Roman" w:eastAsia="Times New Roman" w:hAnsi="Times New Roman" w:cs="Times New Roman"/>
          <w:i/>
          <w:sz w:val="24"/>
          <w:szCs w:val="24"/>
        </w:rPr>
        <w:t>Journal of Management Accounting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(2), pp.167-189.</w:t>
      </w:r>
    </w:p>
    <w:p w14:paraId="0000003F"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Olaf, S.S., Agnieszka, M. and Thomas, H., 2019. Beyond Budgeting–A Fair Alternative for Management </w:t>
      </w:r>
      <w:proofErr w:type="gramStart"/>
      <w:r>
        <w:rPr>
          <w:rFonts w:ascii="Times New Roman" w:eastAsia="Times New Roman" w:hAnsi="Times New Roman" w:cs="Times New Roman"/>
          <w:sz w:val="24"/>
          <w:szCs w:val="24"/>
        </w:rPr>
        <w:t>Control?-</w:t>
      </w:r>
      <w:proofErr w:type="gramEnd"/>
      <w:r>
        <w:rPr>
          <w:rFonts w:ascii="Times New Roman" w:eastAsia="Times New Roman" w:hAnsi="Times New Roman" w:cs="Times New Roman"/>
          <w:sz w:val="24"/>
          <w:szCs w:val="24"/>
        </w:rPr>
        <w:t xml:space="preserve">Examining the Relationships between Beyond Budgeting and Organizational Justice Perceptions. </w:t>
      </w:r>
      <w:r>
        <w:rPr>
          <w:rFonts w:ascii="Times New Roman" w:eastAsia="Times New Roman" w:hAnsi="Times New Roman" w:cs="Times New Roman"/>
          <w:i/>
          <w:sz w:val="24"/>
          <w:szCs w:val="24"/>
        </w:rPr>
        <w:t>Studies in Business and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(2), pp.160-180.</w:t>
      </w:r>
    </w:p>
    <w:p w14:paraId="00000040"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Peters, D., </w:t>
      </w:r>
      <w:proofErr w:type="spellStart"/>
      <w:r>
        <w:rPr>
          <w:rFonts w:ascii="Times New Roman" w:eastAsia="Times New Roman" w:hAnsi="Times New Roman" w:cs="Times New Roman"/>
          <w:sz w:val="24"/>
          <w:szCs w:val="24"/>
        </w:rPr>
        <w:t>Pierczyński</w:t>
      </w:r>
      <w:proofErr w:type="spellEnd"/>
      <w:r>
        <w:rPr>
          <w:rFonts w:ascii="Times New Roman" w:eastAsia="Times New Roman" w:hAnsi="Times New Roman" w:cs="Times New Roman"/>
          <w:sz w:val="24"/>
          <w:szCs w:val="24"/>
        </w:rPr>
        <w:t xml:space="preserve">, G. and Skowron, P., 2021. Proportional participatory budgeting with additive utilities. </w:t>
      </w:r>
      <w:r>
        <w:rPr>
          <w:rFonts w:ascii="Times New Roman" w:eastAsia="Times New Roman" w:hAnsi="Times New Roman" w:cs="Times New Roman"/>
          <w:i/>
          <w:sz w:val="24"/>
          <w:szCs w:val="24"/>
        </w:rPr>
        <w:t>Advances in Neural Information Processing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 pp.12726-12737.</w:t>
      </w:r>
    </w:p>
    <w:p w14:paraId="00000041" w14:textId="77777777" w:rsidR="00DB0015" w:rsidRDefault="00373B54">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Ploder</w:t>
      </w:r>
      <w:proofErr w:type="spellEnd"/>
      <w:r>
        <w:rPr>
          <w:rFonts w:ascii="Times New Roman" w:eastAsia="Times New Roman" w:hAnsi="Times New Roman" w:cs="Times New Roman"/>
          <w:sz w:val="24"/>
          <w:szCs w:val="24"/>
        </w:rPr>
        <w:t xml:space="preserve">, C., Dilger, T. and Bernsteiner, R., 2020. A Framework to Combine Corporate Budgeting with Agile Project Management. In </w:t>
      </w:r>
      <w:r>
        <w:rPr>
          <w:rFonts w:ascii="Times New Roman" w:eastAsia="Times New Roman" w:hAnsi="Times New Roman" w:cs="Times New Roman"/>
          <w:i/>
          <w:sz w:val="24"/>
          <w:szCs w:val="24"/>
        </w:rPr>
        <w:t>Software Engineering (Workshops)</w:t>
      </w:r>
      <w:r>
        <w:rPr>
          <w:rFonts w:ascii="Times New Roman" w:eastAsia="Times New Roman" w:hAnsi="Times New Roman" w:cs="Times New Roman"/>
          <w:sz w:val="24"/>
          <w:szCs w:val="24"/>
        </w:rPr>
        <w:t>.</w:t>
      </w:r>
    </w:p>
    <w:p w14:paraId="00000042" w14:textId="77777777" w:rsidR="00DB0015" w:rsidRDefault="00373B54">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Ploder</w:t>
      </w:r>
      <w:proofErr w:type="spellEnd"/>
      <w:r>
        <w:rPr>
          <w:rFonts w:ascii="Times New Roman" w:eastAsia="Times New Roman" w:hAnsi="Times New Roman" w:cs="Times New Roman"/>
          <w:sz w:val="24"/>
          <w:szCs w:val="24"/>
        </w:rPr>
        <w:t xml:space="preserve">, C., Dilger, T. and </w:t>
      </w:r>
      <w:proofErr w:type="spellStart"/>
      <w:r>
        <w:rPr>
          <w:rFonts w:ascii="Times New Roman" w:eastAsia="Times New Roman" w:hAnsi="Times New Roman" w:cs="Times New Roman"/>
          <w:sz w:val="24"/>
          <w:szCs w:val="24"/>
        </w:rPr>
        <w:t>Schöttle</w:t>
      </w:r>
      <w:proofErr w:type="spellEnd"/>
      <w:r>
        <w:rPr>
          <w:rFonts w:ascii="Times New Roman" w:eastAsia="Times New Roman" w:hAnsi="Times New Roman" w:cs="Times New Roman"/>
          <w:sz w:val="24"/>
          <w:szCs w:val="24"/>
        </w:rPr>
        <w:t xml:space="preserve">, P., 2020. Agile Project Budgeting-Teaching the Combination of Agile Project Management and beyond Budgeting Basics. In </w:t>
      </w:r>
      <w:r>
        <w:rPr>
          <w:rFonts w:ascii="Times New Roman" w:eastAsia="Times New Roman" w:hAnsi="Times New Roman" w:cs="Times New Roman"/>
          <w:i/>
          <w:sz w:val="24"/>
          <w:szCs w:val="24"/>
        </w:rPr>
        <w:t>EDULEARN20 Proceedings</w:t>
      </w:r>
      <w:r>
        <w:rPr>
          <w:rFonts w:ascii="Times New Roman" w:eastAsia="Times New Roman" w:hAnsi="Times New Roman" w:cs="Times New Roman"/>
          <w:sz w:val="24"/>
          <w:szCs w:val="24"/>
        </w:rPr>
        <w:t xml:space="preserve"> (pp. 4307-4311). IATED.</w:t>
      </w:r>
    </w:p>
    <w:p w14:paraId="00000043" w14:textId="77777777" w:rsidR="00DB0015" w:rsidRDefault="00373B5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Schmidt, J. (2022). </w:t>
      </w:r>
      <w:r>
        <w:rPr>
          <w:rFonts w:ascii="Times New Roman" w:eastAsia="Times New Roman" w:hAnsi="Times New Roman" w:cs="Times New Roman"/>
          <w:i/>
          <w:sz w:val="24"/>
          <w:szCs w:val="24"/>
        </w:rPr>
        <w:t>Beyond Budgeting</w:t>
      </w:r>
      <w:r>
        <w:rPr>
          <w:rFonts w:ascii="Times New Roman" w:eastAsia="Times New Roman" w:hAnsi="Times New Roman" w:cs="Times New Roman"/>
          <w:sz w:val="24"/>
          <w:szCs w:val="24"/>
        </w:rPr>
        <w:t xml:space="preserve">. [online] </w:t>
      </w:r>
      <w:r>
        <w:rPr>
          <w:rFonts w:ascii="Times New Roman" w:eastAsia="Times New Roman" w:hAnsi="Times New Roman" w:cs="Times New Roman"/>
          <w:sz w:val="24"/>
          <w:szCs w:val="24"/>
        </w:rPr>
        <w:t>Corporate Finance Institute. Available at: https://corporatefinanceinstitute.com/resources/fpa/beyond-budgeting/#:~:text=Some%20of%20the%20flaws%20include [Accessed 24 Nov. 2023].</w:t>
      </w:r>
    </w:p>
    <w:p w14:paraId="00000044"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Vaia, G., Arkhipova, D. and DeLone, W., 2022. Digital governance mechanisms and principles that enable agile responses in dynamic competitive environments. </w:t>
      </w:r>
      <w:r>
        <w:rPr>
          <w:rFonts w:ascii="Times New Roman" w:eastAsia="Times New Roman" w:hAnsi="Times New Roman" w:cs="Times New Roman"/>
          <w:i/>
          <w:sz w:val="24"/>
          <w:szCs w:val="24"/>
        </w:rPr>
        <w:t>European Journal of Information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(6), pp.662-680.</w:t>
      </w:r>
    </w:p>
    <w:p w14:paraId="00000045" w14:textId="77777777" w:rsidR="00DB0015" w:rsidRDefault="00373B54">
      <w:pPr>
        <w:spacing w:before="240" w:after="240" w:line="360" w:lineRule="auto"/>
        <w:jc w:val="both"/>
        <w:rPr>
          <w:rFonts w:ascii="Times New Roman" w:eastAsia="Times New Roman" w:hAnsi="Times New Roman" w:cs="Times New Roman"/>
          <w:sz w:val="24"/>
          <w:szCs w:val="24"/>
        </w:rPr>
      </w:pPr>
      <w:r w:rsidRPr="00373B54">
        <w:rPr>
          <w:rFonts w:ascii="Times New Roman" w:eastAsia="Times New Roman" w:hAnsi="Times New Roman" w:cs="Times New Roman"/>
          <w:sz w:val="24"/>
          <w:szCs w:val="24"/>
          <w:lang w:val="it-IT"/>
        </w:rPr>
        <w:t xml:space="preserve">Zasa, F.P., Patrucco, A. and Pellizzoni, E., 2020. </w:t>
      </w:r>
      <w:r>
        <w:rPr>
          <w:rFonts w:ascii="Times New Roman" w:eastAsia="Times New Roman" w:hAnsi="Times New Roman" w:cs="Times New Roman"/>
          <w:sz w:val="24"/>
          <w:szCs w:val="24"/>
        </w:rPr>
        <w:t xml:space="preserve">Managing the hybrid organization: How can agile and traditional project management </w:t>
      </w:r>
      <w:proofErr w:type="gramStart"/>
      <w:r>
        <w:rPr>
          <w:rFonts w:ascii="Times New Roman" w:eastAsia="Times New Roman" w:hAnsi="Times New Roman" w:cs="Times New Roman"/>
          <w:sz w:val="24"/>
          <w:szCs w:val="24"/>
        </w:rPr>
        <w:t>coexist?.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Research-Technology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64</w:t>
      </w:r>
      <w:r>
        <w:rPr>
          <w:rFonts w:ascii="Times New Roman" w:eastAsia="Times New Roman" w:hAnsi="Times New Roman" w:cs="Times New Roman"/>
          <w:sz w:val="24"/>
          <w:szCs w:val="24"/>
        </w:rPr>
        <w:t>(1), pp.54-63.</w:t>
      </w:r>
    </w:p>
    <w:p w14:paraId="00000046" w14:textId="77777777" w:rsidR="00DB0015" w:rsidRDefault="00373B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Zor, U., Linder, S. and </w:t>
      </w:r>
      <w:proofErr w:type="spellStart"/>
      <w:r>
        <w:rPr>
          <w:rFonts w:ascii="Times New Roman" w:eastAsia="Times New Roman" w:hAnsi="Times New Roman" w:cs="Times New Roman"/>
          <w:color w:val="222222"/>
          <w:sz w:val="24"/>
          <w:szCs w:val="24"/>
          <w:highlight w:val="white"/>
        </w:rPr>
        <w:t>Endenich</w:t>
      </w:r>
      <w:proofErr w:type="spellEnd"/>
      <w:r>
        <w:rPr>
          <w:rFonts w:ascii="Times New Roman" w:eastAsia="Times New Roman" w:hAnsi="Times New Roman" w:cs="Times New Roman"/>
          <w:color w:val="222222"/>
          <w:sz w:val="24"/>
          <w:szCs w:val="24"/>
          <w:highlight w:val="white"/>
        </w:rPr>
        <w:t xml:space="preserve">, C., 2019. CEO characteristics and budgeting practices in emerging market SMEs. </w:t>
      </w:r>
      <w:r>
        <w:rPr>
          <w:rFonts w:ascii="Times New Roman" w:eastAsia="Times New Roman" w:hAnsi="Times New Roman" w:cs="Times New Roman"/>
          <w:i/>
          <w:sz w:val="24"/>
          <w:szCs w:val="24"/>
        </w:rPr>
        <w:t>Journal of Small Business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57</w:t>
      </w:r>
      <w:r>
        <w:rPr>
          <w:rFonts w:ascii="Times New Roman" w:eastAsia="Times New Roman" w:hAnsi="Times New Roman" w:cs="Times New Roman"/>
          <w:sz w:val="24"/>
          <w:szCs w:val="24"/>
        </w:rPr>
        <w:t>(2), pp.658-678.</w:t>
      </w:r>
    </w:p>
    <w:p w14:paraId="00000047" w14:textId="77777777" w:rsidR="00DB0015" w:rsidRDefault="00DB0015">
      <w:pPr>
        <w:spacing w:line="360" w:lineRule="auto"/>
        <w:jc w:val="both"/>
        <w:rPr>
          <w:rFonts w:ascii="Times New Roman" w:eastAsia="Times New Roman" w:hAnsi="Times New Roman" w:cs="Times New Roman"/>
          <w:sz w:val="24"/>
          <w:szCs w:val="24"/>
        </w:rPr>
      </w:pPr>
    </w:p>
    <w:sectPr w:rsidR="00DB0015" w:rsidSect="00A84A6A">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C3214" w14:textId="77777777" w:rsidR="00557095" w:rsidRDefault="00557095" w:rsidP="00A84A6A">
      <w:pPr>
        <w:spacing w:line="240" w:lineRule="auto"/>
      </w:pPr>
      <w:r>
        <w:separator/>
      </w:r>
    </w:p>
  </w:endnote>
  <w:endnote w:type="continuationSeparator" w:id="0">
    <w:p w14:paraId="393B7A0F" w14:textId="77777777" w:rsidR="00557095" w:rsidRDefault="00557095" w:rsidP="00A84A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051625"/>
      <w:docPartObj>
        <w:docPartGallery w:val="Page Numbers (Bottom of Page)"/>
        <w:docPartUnique/>
      </w:docPartObj>
    </w:sdtPr>
    <w:sdtEndPr>
      <w:rPr>
        <w:noProof/>
      </w:rPr>
    </w:sdtEndPr>
    <w:sdtContent>
      <w:p w14:paraId="305F0775" w14:textId="50358025" w:rsidR="00A84A6A" w:rsidRDefault="00A84A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D9D028" w14:textId="77777777" w:rsidR="00A84A6A" w:rsidRDefault="00A84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D522A" w14:textId="77777777" w:rsidR="00557095" w:rsidRDefault="00557095" w:rsidP="00A84A6A">
      <w:pPr>
        <w:spacing w:line="240" w:lineRule="auto"/>
      </w:pPr>
      <w:r>
        <w:separator/>
      </w:r>
    </w:p>
  </w:footnote>
  <w:footnote w:type="continuationSeparator" w:id="0">
    <w:p w14:paraId="37B061AF" w14:textId="77777777" w:rsidR="00557095" w:rsidRDefault="00557095" w:rsidP="00A84A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015"/>
    <w:rsid w:val="00373B54"/>
    <w:rsid w:val="00557095"/>
    <w:rsid w:val="00A84A6A"/>
    <w:rsid w:val="00DB00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36E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84A6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A84A6A"/>
    <w:pPr>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84A6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4A6A"/>
    <w:pPr>
      <w:spacing w:after="100"/>
    </w:pPr>
  </w:style>
  <w:style w:type="paragraph" w:styleId="TOC2">
    <w:name w:val="toc 2"/>
    <w:basedOn w:val="Normal"/>
    <w:next w:val="Normal"/>
    <w:autoRedefine/>
    <w:uiPriority w:val="39"/>
    <w:unhideWhenUsed/>
    <w:rsid w:val="00A84A6A"/>
    <w:pPr>
      <w:spacing w:after="100"/>
      <w:ind w:left="220"/>
    </w:pPr>
  </w:style>
  <w:style w:type="character" w:styleId="Hyperlink">
    <w:name w:val="Hyperlink"/>
    <w:basedOn w:val="DefaultParagraphFont"/>
    <w:uiPriority w:val="99"/>
    <w:unhideWhenUsed/>
    <w:rsid w:val="00A84A6A"/>
    <w:rPr>
      <w:color w:val="0000FF" w:themeColor="hyperlink"/>
      <w:u w:val="single"/>
    </w:rPr>
  </w:style>
  <w:style w:type="paragraph" w:styleId="Header">
    <w:name w:val="header"/>
    <w:basedOn w:val="Normal"/>
    <w:link w:val="HeaderChar"/>
    <w:uiPriority w:val="99"/>
    <w:unhideWhenUsed/>
    <w:rsid w:val="00A84A6A"/>
    <w:pPr>
      <w:tabs>
        <w:tab w:val="center" w:pos="4513"/>
        <w:tab w:val="right" w:pos="9026"/>
      </w:tabs>
      <w:spacing w:line="240" w:lineRule="auto"/>
    </w:pPr>
  </w:style>
  <w:style w:type="character" w:customStyle="1" w:styleId="HeaderChar">
    <w:name w:val="Header Char"/>
    <w:basedOn w:val="DefaultParagraphFont"/>
    <w:link w:val="Header"/>
    <w:uiPriority w:val="99"/>
    <w:rsid w:val="00A84A6A"/>
  </w:style>
  <w:style w:type="paragraph" w:styleId="Footer">
    <w:name w:val="footer"/>
    <w:basedOn w:val="Normal"/>
    <w:link w:val="FooterChar"/>
    <w:uiPriority w:val="99"/>
    <w:unhideWhenUsed/>
    <w:rsid w:val="00A84A6A"/>
    <w:pPr>
      <w:tabs>
        <w:tab w:val="center" w:pos="4513"/>
        <w:tab w:val="right" w:pos="9026"/>
      </w:tabs>
      <w:spacing w:line="240" w:lineRule="auto"/>
    </w:pPr>
  </w:style>
  <w:style w:type="character" w:customStyle="1" w:styleId="FooterChar">
    <w:name w:val="Footer Char"/>
    <w:basedOn w:val="DefaultParagraphFont"/>
    <w:link w:val="Footer"/>
    <w:uiPriority w:val="99"/>
    <w:rsid w:val="00A84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100A3-F784-4B57-98E3-DCA01FE99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3766</Words>
  <Characters>21471</Characters>
  <Application>Microsoft Office Word</Application>
  <DocSecurity>0</DocSecurity>
  <Lines>178</Lines>
  <Paragraphs>50</Paragraphs>
  <ScaleCrop>false</ScaleCrop>
  <Company/>
  <LinksUpToDate>false</LinksUpToDate>
  <CharactersWithSpaces>25187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Vimal Madishetty</dc:creator>
  <cp:lastModifiedBy/>
  <cp:revision>1</cp:revision>
  <dcterms:created xsi:type="dcterms:W3CDTF">2023-11-24T10:55:00Z</dcterms:created>
  <dcterms:modified xsi:type="dcterms:W3CDTF">2023-11-24T10:55:00Z</dcterms:modified>
</cp:coreProperties>
</file>