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57654" w14:textId="77777777" w:rsidR="00411CAF" w:rsidRPr="002F1ACC" w:rsidRDefault="00411CAF" w:rsidP="002F1ACC">
      <w:pPr>
        <w:spacing w:after="0" w:line="360" w:lineRule="auto"/>
        <w:jc w:val="center"/>
        <w:rPr>
          <w:rFonts w:ascii="Arial" w:hAnsi="Arial" w:cs="Arial"/>
          <w:b/>
          <w:bCs/>
        </w:rPr>
      </w:pPr>
    </w:p>
    <w:p w14:paraId="6734D9B6" w14:textId="77777777" w:rsidR="00786397" w:rsidRPr="002F1ACC" w:rsidRDefault="00786397" w:rsidP="002F1ACC">
      <w:pPr>
        <w:spacing w:after="0" w:line="360" w:lineRule="auto"/>
        <w:jc w:val="center"/>
        <w:rPr>
          <w:rFonts w:ascii="Arial" w:hAnsi="Arial" w:cs="Arial"/>
          <w:b/>
          <w:bCs/>
        </w:rPr>
      </w:pPr>
      <w:r w:rsidRPr="002F1ACC">
        <w:rPr>
          <w:rFonts w:ascii="Arial" w:hAnsi="Arial" w:cs="Arial"/>
          <w:b/>
          <w:bCs/>
        </w:rPr>
        <w:t>Master of Business Administration</w:t>
      </w:r>
    </w:p>
    <w:p w14:paraId="7B11ED1D" w14:textId="77777777" w:rsidR="00DC5C87" w:rsidRPr="002F1ACC" w:rsidRDefault="00DC5C87" w:rsidP="002F1ACC">
      <w:pPr>
        <w:spacing w:after="0" w:line="360" w:lineRule="auto"/>
        <w:jc w:val="center"/>
        <w:rPr>
          <w:rFonts w:ascii="Arial" w:hAnsi="Arial" w:cs="Arial"/>
          <w:b/>
          <w:bCs/>
        </w:rPr>
      </w:pPr>
    </w:p>
    <w:p w14:paraId="7D59F4DA" w14:textId="77777777" w:rsidR="0010669E" w:rsidRPr="002F1ACC" w:rsidRDefault="0010669E" w:rsidP="002F1ACC">
      <w:pPr>
        <w:spacing w:after="0" w:line="360" w:lineRule="auto"/>
        <w:jc w:val="center"/>
        <w:rPr>
          <w:rFonts w:ascii="Arial" w:hAnsi="Arial" w:cs="Arial"/>
          <w:b/>
          <w:bCs/>
        </w:rPr>
      </w:pPr>
      <w:r w:rsidRPr="002F1ACC">
        <w:rPr>
          <w:rFonts w:ascii="Arial" w:hAnsi="Arial" w:cs="Arial"/>
          <w:b/>
        </w:rPr>
        <w:t>Marketing Management</w:t>
      </w:r>
      <w:r w:rsidRPr="002F1ACC">
        <w:rPr>
          <w:rFonts w:ascii="Arial" w:hAnsi="Arial" w:cs="Arial"/>
          <w:b/>
          <w:bCs/>
        </w:rPr>
        <w:t xml:space="preserve"> </w:t>
      </w:r>
    </w:p>
    <w:p w14:paraId="7CED997E" w14:textId="23B0CC4C" w:rsidR="00786397" w:rsidRPr="002F1ACC" w:rsidRDefault="00786397" w:rsidP="002F1ACC">
      <w:pPr>
        <w:spacing w:after="0" w:line="360" w:lineRule="auto"/>
        <w:jc w:val="center"/>
        <w:rPr>
          <w:rFonts w:ascii="Arial" w:hAnsi="Arial" w:cs="Arial"/>
          <w:b/>
          <w:bCs/>
        </w:rPr>
      </w:pPr>
      <w:r w:rsidRPr="002F1ACC">
        <w:rPr>
          <w:rFonts w:ascii="Arial" w:hAnsi="Arial" w:cs="Arial"/>
          <w:b/>
          <w:bCs/>
        </w:rPr>
        <w:t>(LCMB702</w:t>
      </w:r>
      <w:r w:rsidR="005C0A42" w:rsidRPr="002F1ACC">
        <w:rPr>
          <w:rFonts w:ascii="Arial" w:hAnsi="Arial" w:cs="Arial"/>
          <w:b/>
          <w:bCs/>
        </w:rPr>
        <w:t>4</w:t>
      </w:r>
      <w:r w:rsidRPr="002F1ACC">
        <w:rPr>
          <w:rFonts w:ascii="Arial" w:hAnsi="Arial" w:cs="Arial"/>
          <w:b/>
          <w:bCs/>
        </w:rPr>
        <w:t>)</w:t>
      </w:r>
    </w:p>
    <w:p w14:paraId="7C4FE45A" w14:textId="77777777" w:rsidR="00DC5C87" w:rsidRPr="002F1ACC" w:rsidRDefault="00DC5C87" w:rsidP="002F1ACC">
      <w:pPr>
        <w:spacing w:after="0" w:line="360" w:lineRule="auto"/>
        <w:jc w:val="center"/>
        <w:rPr>
          <w:rFonts w:ascii="Arial" w:hAnsi="Arial" w:cs="Arial"/>
          <w:b/>
          <w:bCs/>
        </w:rPr>
      </w:pPr>
    </w:p>
    <w:p w14:paraId="1113BFD0" w14:textId="4E81AEDD" w:rsidR="00786397" w:rsidRPr="002F1ACC" w:rsidRDefault="00786397" w:rsidP="002F1ACC">
      <w:pPr>
        <w:spacing w:after="0" w:line="360" w:lineRule="auto"/>
        <w:jc w:val="center"/>
        <w:rPr>
          <w:rFonts w:ascii="Arial" w:hAnsi="Arial" w:cs="Arial"/>
          <w:b/>
          <w:bCs/>
        </w:rPr>
      </w:pPr>
      <w:r w:rsidRPr="002F1ACC">
        <w:rPr>
          <w:rFonts w:ascii="Arial" w:hAnsi="Arial" w:cs="Arial"/>
          <w:b/>
          <w:bCs/>
        </w:rPr>
        <w:t xml:space="preserve">Lecturer: </w:t>
      </w:r>
      <w:r w:rsidR="006F7177" w:rsidRPr="002F1ACC">
        <w:rPr>
          <w:rFonts w:ascii="Arial" w:hAnsi="Arial" w:cs="Arial"/>
          <w:b/>
          <w:bCs/>
        </w:rPr>
        <w:t>Taonga Kaonga Sobere-Snithers</w:t>
      </w:r>
    </w:p>
    <w:p w14:paraId="3400072F" w14:textId="77777777" w:rsidR="00DC5C87" w:rsidRPr="002F1ACC" w:rsidRDefault="00DC5C87" w:rsidP="002F1ACC">
      <w:pPr>
        <w:spacing w:after="0" w:line="360" w:lineRule="auto"/>
        <w:jc w:val="center"/>
        <w:rPr>
          <w:rFonts w:ascii="Arial" w:hAnsi="Arial" w:cs="Arial"/>
          <w:b/>
          <w:bCs/>
        </w:rPr>
      </w:pPr>
    </w:p>
    <w:p w14:paraId="7D0EEF1C" w14:textId="77777777" w:rsidR="00786397" w:rsidRPr="002F1ACC" w:rsidRDefault="00786397" w:rsidP="002F1ACC">
      <w:pPr>
        <w:spacing w:after="0" w:line="360" w:lineRule="auto"/>
        <w:jc w:val="center"/>
        <w:rPr>
          <w:rFonts w:ascii="Arial" w:hAnsi="Arial" w:cs="Arial"/>
          <w:b/>
          <w:bCs/>
        </w:rPr>
      </w:pPr>
      <w:r w:rsidRPr="002F1ACC">
        <w:rPr>
          <w:rFonts w:ascii="Arial" w:hAnsi="Arial" w:cs="Arial"/>
          <w:b/>
          <w:bCs/>
        </w:rPr>
        <w:t xml:space="preserve">Student </w:t>
      </w:r>
      <w:proofErr w:type="gramStart"/>
      <w:r w:rsidRPr="002F1ACC">
        <w:rPr>
          <w:rFonts w:ascii="Arial" w:hAnsi="Arial" w:cs="Arial"/>
          <w:b/>
          <w:bCs/>
        </w:rPr>
        <w:t>Name :</w:t>
      </w:r>
      <w:proofErr w:type="gramEnd"/>
      <w:r w:rsidRPr="002F1ACC">
        <w:rPr>
          <w:rFonts w:ascii="Arial" w:hAnsi="Arial" w:cs="Arial"/>
          <w:b/>
          <w:bCs/>
        </w:rPr>
        <w:t xml:space="preserve"> Patel Jeel Vipulbhai</w:t>
      </w:r>
    </w:p>
    <w:p w14:paraId="037AA214" w14:textId="77777777" w:rsidR="00786397" w:rsidRPr="002F1ACC" w:rsidRDefault="00786397" w:rsidP="002F1ACC">
      <w:pPr>
        <w:spacing w:after="0" w:line="360" w:lineRule="auto"/>
        <w:jc w:val="center"/>
        <w:rPr>
          <w:rFonts w:ascii="Arial" w:hAnsi="Arial" w:cs="Arial"/>
          <w:b/>
          <w:bCs/>
        </w:rPr>
      </w:pPr>
      <w:r w:rsidRPr="002F1ACC">
        <w:rPr>
          <w:rFonts w:ascii="Arial" w:hAnsi="Arial" w:cs="Arial"/>
          <w:b/>
          <w:bCs/>
        </w:rPr>
        <w:t xml:space="preserve">Student Id </w:t>
      </w:r>
      <w:proofErr w:type="gramStart"/>
      <w:r w:rsidRPr="002F1ACC">
        <w:rPr>
          <w:rFonts w:ascii="Arial" w:hAnsi="Arial" w:cs="Arial"/>
          <w:b/>
          <w:bCs/>
        </w:rPr>
        <w:t>No. :</w:t>
      </w:r>
      <w:proofErr w:type="gramEnd"/>
      <w:r w:rsidRPr="002F1ACC">
        <w:rPr>
          <w:rFonts w:ascii="Arial" w:hAnsi="Arial" w:cs="Arial"/>
          <w:b/>
          <w:bCs/>
        </w:rPr>
        <w:t xml:space="preserve"> 2534779</w:t>
      </w:r>
    </w:p>
    <w:p w14:paraId="1E91F483" w14:textId="77777777" w:rsidR="006F7177" w:rsidRPr="002F1ACC" w:rsidRDefault="006F7177" w:rsidP="002F1ACC">
      <w:pPr>
        <w:spacing w:after="0" w:line="360" w:lineRule="auto"/>
        <w:jc w:val="center"/>
        <w:rPr>
          <w:rFonts w:ascii="Arial" w:hAnsi="Arial" w:cs="Arial"/>
          <w:b/>
          <w:bCs/>
        </w:rPr>
      </w:pPr>
    </w:p>
    <w:p w14:paraId="29950A65" w14:textId="329B45A2" w:rsidR="00EB29DF" w:rsidRPr="002F1ACC" w:rsidRDefault="003D32DC" w:rsidP="002F1ACC">
      <w:pPr>
        <w:spacing w:after="0" w:line="360" w:lineRule="auto"/>
        <w:jc w:val="center"/>
        <w:rPr>
          <w:rFonts w:ascii="Arial" w:hAnsi="Arial" w:cs="Arial"/>
          <w:b/>
          <w:bCs/>
        </w:rPr>
      </w:pPr>
      <w:r w:rsidRPr="002F1ACC">
        <w:rPr>
          <w:rFonts w:ascii="Arial" w:hAnsi="Arial" w:cs="Arial"/>
          <w:b/>
          <w:bCs/>
        </w:rPr>
        <w:t>Word Count (2697)</w:t>
      </w:r>
      <w:r w:rsidR="00650446" w:rsidRPr="002F1ACC">
        <w:rPr>
          <w:rFonts w:ascii="Arial" w:hAnsi="Arial" w:cs="Arial"/>
          <w:b/>
          <w:bCs/>
        </w:rPr>
        <w:br/>
      </w:r>
    </w:p>
    <w:p w14:paraId="7CEAC6D4" w14:textId="63492C1C" w:rsidR="00786397" w:rsidRPr="002F1ACC" w:rsidRDefault="00786397" w:rsidP="002F1ACC">
      <w:pPr>
        <w:spacing w:after="0" w:line="360" w:lineRule="auto"/>
        <w:jc w:val="center"/>
        <w:rPr>
          <w:rFonts w:ascii="Arial" w:hAnsi="Arial" w:cs="Arial"/>
          <w:b/>
          <w:bCs/>
        </w:rPr>
      </w:pPr>
      <w:r w:rsidRPr="002F1ACC">
        <w:rPr>
          <w:rFonts w:ascii="Arial" w:hAnsi="Arial" w:cs="Arial"/>
          <w:b/>
          <w:bCs/>
        </w:rPr>
        <w:t>Contents</w:t>
      </w:r>
    </w:p>
    <w:p w14:paraId="4A5E50BB" w14:textId="77777777" w:rsidR="00834A44" w:rsidRPr="002F1ACC" w:rsidRDefault="00834A44" w:rsidP="002F1ACC">
      <w:pPr>
        <w:spacing w:after="0" w:line="360" w:lineRule="auto"/>
        <w:jc w:val="center"/>
        <w:rPr>
          <w:rFonts w:ascii="Arial" w:hAnsi="Arial" w:cs="Arial"/>
          <w:b/>
          <w:bCs/>
        </w:rPr>
      </w:pPr>
    </w:p>
    <w:p w14:paraId="418D6381" w14:textId="69BFF726" w:rsidR="00786397" w:rsidRPr="002F1ACC" w:rsidRDefault="00786397" w:rsidP="002F1ACC">
      <w:pPr>
        <w:pStyle w:val="ListParagraph"/>
        <w:numPr>
          <w:ilvl w:val="0"/>
          <w:numId w:val="13"/>
        </w:numPr>
        <w:spacing w:after="0" w:line="360" w:lineRule="auto"/>
        <w:rPr>
          <w:rFonts w:ascii="Arial" w:hAnsi="Arial" w:cs="Arial"/>
          <w:b/>
          <w:bCs/>
        </w:rPr>
      </w:pPr>
      <w:r w:rsidRPr="002F1ACC">
        <w:rPr>
          <w:rFonts w:ascii="Arial" w:hAnsi="Arial" w:cs="Arial"/>
          <w:b/>
          <w:bCs/>
        </w:rPr>
        <w:t xml:space="preserve">Task </w:t>
      </w:r>
      <w:r w:rsidR="00304761" w:rsidRPr="002F1ACC">
        <w:rPr>
          <w:rFonts w:ascii="Arial" w:hAnsi="Arial" w:cs="Arial"/>
          <w:b/>
          <w:bCs/>
        </w:rPr>
        <w:t>1</w:t>
      </w:r>
      <w:r w:rsidRPr="002F1ACC">
        <w:rPr>
          <w:rFonts w:ascii="Arial" w:hAnsi="Arial" w:cs="Arial"/>
          <w:b/>
          <w:bCs/>
        </w:rPr>
        <w:t xml:space="preserve">: </w:t>
      </w:r>
      <w:r w:rsidR="008D4F62" w:rsidRPr="002F1ACC">
        <w:rPr>
          <w:rFonts w:ascii="Arial" w:hAnsi="Arial" w:cs="Arial"/>
          <w:b/>
          <w:bCs/>
        </w:rPr>
        <w:t>Marketing Environment Analysis</w:t>
      </w:r>
      <w:r w:rsidR="00A97D04" w:rsidRPr="002F1ACC">
        <w:rPr>
          <w:rFonts w:ascii="Arial" w:hAnsi="Arial" w:cs="Arial"/>
          <w:b/>
          <w:bCs/>
        </w:rPr>
        <w:t xml:space="preserve"> </w:t>
      </w:r>
      <w:r w:rsidRPr="002F1ACC">
        <w:rPr>
          <w:rFonts w:ascii="Arial" w:hAnsi="Arial" w:cs="Arial"/>
          <w:b/>
          <w:bCs/>
        </w:rPr>
        <w:t>............................</w:t>
      </w:r>
      <w:r w:rsidR="00A97D04" w:rsidRPr="002F1ACC">
        <w:rPr>
          <w:rFonts w:ascii="Arial" w:hAnsi="Arial" w:cs="Arial"/>
          <w:b/>
          <w:bCs/>
        </w:rPr>
        <w:t>...............</w:t>
      </w:r>
      <w:r w:rsidRPr="002F1ACC">
        <w:rPr>
          <w:rFonts w:ascii="Arial" w:hAnsi="Arial" w:cs="Arial"/>
          <w:b/>
          <w:bCs/>
        </w:rPr>
        <w:t>........... 02</w:t>
      </w:r>
      <w:r w:rsidR="00135A73" w:rsidRPr="002F1ACC">
        <w:rPr>
          <w:rFonts w:ascii="Arial" w:hAnsi="Arial" w:cs="Arial"/>
          <w:b/>
          <w:bCs/>
        </w:rPr>
        <w:br/>
      </w:r>
    </w:p>
    <w:p w14:paraId="2E2FE02C" w14:textId="4B8F34BC" w:rsidR="00786397" w:rsidRPr="002F1ACC" w:rsidRDefault="00786397" w:rsidP="002F1ACC">
      <w:pPr>
        <w:pStyle w:val="ListParagraph"/>
        <w:numPr>
          <w:ilvl w:val="0"/>
          <w:numId w:val="13"/>
        </w:numPr>
        <w:spacing w:after="0" w:line="360" w:lineRule="auto"/>
        <w:rPr>
          <w:rFonts w:ascii="Arial" w:hAnsi="Arial" w:cs="Arial"/>
          <w:b/>
          <w:bCs/>
        </w:rPr>
      </w:pPr>
      <w:r w:rsidRPr="002F1ACC">
        <w:rPr>
          <w:rFonts w:ascii="Arial" w:hAnsi="Arial" w:cs="Arial"/>
          <w:b/>
          <w:bCs/>
        </w:rPr>
        <w:t xml:space="preserve">Task </w:t>
      </w:r>
      <w:r w:rsidR="00304761" w:rsidRPr="002F1ACC">
        <w:rPr>
          <w:rFonts w:ascii="Arial" w:hAnsi="Arial" w:cs="Arial"/>
          <w:b/>
          <w:bCs/>
        </w:rPr>
        <w:t>2</w:t>
      </w:r>
      <w:r w:rsidRPr="002F1ACC">
        <w:rPr>
          <w:rFonts w:ascii="Arial" w:hAnsi="Arial" w:cs="Arial"/>
          <w:b/>
          <w:bCs/>
        </w:rPr>
        <w:t xml:space="preserve">: </w:t>
      </w:r>
      <w:r w:rsidR="008177EA" w:rsidRPr="002F1ACC">
        <w:rPr>
          <w:rFonts w:ascii="Arial" w:hAnsi="Arial" w:cs="Arial"/>
          <w:b/>
          <w:bCs/>
        </w:rPr>
        <w:t xml:space="preserve">Strategic Growth and Competitive Positioning </w:t>
      </w:r>
      <w:r w:rsidR="00A97D04" w:rsidRPr="002F1ACC">
        <w:rPr>
          <w:rFonts w:ascii="Arial" w:hAnsi="Arial" w:cs="Arial"/>
          <w:b/>
          <w:bCs/>
        </w:rPr>
        <w:t>………</w:t>
      </w:r>
      <w:r w:rsidRPr="002F1ACC">
        <w:rPr>
          <w:rFonts w:ascii="Arial" w:hAnsi="Arial" w:cs="Arial"/>
          <w:b/>
          <w:bCs/>
        </w:rPr>
        <w:t>..................... 0</w:t>
      </w:r>
      <w:r w:rsidR="00EB29DF" w:rsidRPr="002F1ACC">
        <w:rPr>
          <w:rFonts w:ascii="Arial" w:hAnsi="Arial" w:cs="Arial"/>
          <w:b/>
          <w:bCs/>
        </w:rPr>
        <w:t>6</w:t>
      </w:r>
      <w:r w:rsidR="00135A73" w:rsidRPr="002F1ACC">
        <w:rPr>
          <w:rFonts w:ascii="Arial" w:hAnsi="Arial" w:cs="Arial"/>
          <w:b/>
          <w:bCs/>
        </w:rPr>
        <w:br/>
      </w:r>
    </w:p>
    <w:p w14:paraId="769C1878" w14:textId="2A4265A6" w:rsidR="00786397" w:rsidRPr="002F1ACC" w:rsidRDefault="00786397" w:rsidP="002F1ACC">
      <w:pPr>
        <w:pStyle w:val="ListParagraph"/>
        <w:numPr>
          <w:ilvl w:val="0"/>
          <w:numId w:val="13"/>
        </w:numPr>
        <w:spacing w:after="0" w:line="360" w:lineRule="auto"/>
        <w:rPr>
          <w:rFonts w:ascii="Arial" w:hAnsi="Arial" w:cs="Arial"/>
          <w:b/>
          <w:bCs/>
        </w:rPr>
      </w:pPr>
      <w:r w:rsidRPr="002F1ACC">
        <w:rPr>
          <w:rFonts w:ascii="Arial" w:hAnsi="Arial" w:cs="Arial"/>
          <w:b/>
          <w:bCs/>
        </w:rPr>
        <w:t xml:space="preserve">Task </w:t>
      </w:r>
      <w:r w:rsidR="00304761" w:rsidRPr="002F1ACC">
        <w:rPr>
          <w:rFonts w:ascii="Arial" w:hAnsi="Arial" w:cs="Arial"/>
          <w:b/>
          <w:bCs/>
        </w:rPr>
        <w:t>3</w:t>
      </w:r>
      <w:r w:rsidRPr="002F1ACC">
        <w:rPr>
          <w:rFonts w:ascii="Arial" w:hAnsi="Arial" w:cs="Arial"/>
          <w:b/>
          <w:bCs/>
        </w:rPr>
        <w:t xml:space="preserve">: </w:t>
      </w:r>
      <w:r w:rsidR="00A97D04" w:rsidRPr="002F1ACC">
        <w:rPr>
          <w:rFonts w:ascii="Arial" w:hAnsi="Arial" w:cs="Arial"/>
          <w:b/>
          <w:bCs/>
        </w:rPr>
        <w:t>Critical Reflection on AI Usage ……….</w:t>
      </w:r>
      <w:r w:rsidRPr="002F1ACC">
        <w:rPr>
          <w:rFonts w:ascii="Arial" w:hAnsi="Arial" w:cs="Arial"/>
          <w:b/>
          <w:bCs/>
        </w:rPr>
        <w:t>....................................</w:t>
      </w:r>
      <w:r w:rsidR="00A97D04" w:rsidRPr="002F1ACC">
        <w:rPr>
          <w:rFonts w:ascii="Arial" w:hAnsi="Arial" w:cs="Arial"/>
          <w:b/>
          <w:bCs/>
        </w:rPr>
        <w:t>..</w:t>
      </w:r>
      <w:r w:rsidRPr="002F1ACC">
        <w:rPr>
          <w:rFonts w:ascii="Arial" w:hAnsi="Arial" w:cs="Arial"/>
          <w:b/>
          <w:bCs/>
        </w:rPr>
        <w:t>....... 1</w:t>
      </w:r>
      <w:r w:rsidR="00E05971" w:rsidRPr="002F1ACC">
        <w:rPr>
          <w:rFonts w:ascii="Arial" w:hAnsi="Arial" w:cs="Arial"/>
          <w:b/>
          <w:bCs/>
        </w:rPr>
        <w:t>3</w:t>
      </w:r>
      <w:r w:rsidR="00135A73" w:rsidRPr="002F1ACC">
        <w:rPr>
          <w:rFonts w:ascii="Arial" w:hAnsi="Arial" w:cs="Arial"/>
          <w:b/>
          <w:bCs/>
        </w:rPr>
        <w:br/>
      </w:r>
    </w:p>
    <w:p w14:paraId="43C0F6D3" w14:textId="4B418369" w:rsidR="00786397" w:rsidRPr="002F1ACC" w:rsidRDefault="00786397" w:rsidP="002F1ACC">
      <w:pPr>
        <w:pStyle w:val="ListParagraph"/>
        <w:numPr>
          <w:ilvl w:val="0"/>
          <w:numId w:val="13"/>
        </w:numPr>
        <w:spacing w:after="0" w:line="360" w:lineRule="auto"/>
        <w:rPr>
          <w:rFonts w:ascii="Arial" w:hAnsi="Arial" w:cs="Arial"/>
          <w:b/>
          <w:bCs/>
        </w:rPr>
      </w:pPr>
      <w:r w:rsidRPr="002F1ACC">
        <w:rPr>
          <w:rFonts w:ascii="Arial" w:hAnsi="Arial" w:cs="Arial"/>
          <w:b/>
          <w:bCs/>
        </w:rPr>
        <w:t>References ....................................................</w:t>
      </w:r>
      <w:r w:rsidR="00135A73" w:rsidRPr="002F1ACC">
        <w:rPr>
          <w:rFonts w:ascii="Arial" w:hAnsi="Arial" w:cs="Arial"/>
          <w:b/>
          <w:bCs/>
        </w:rPr>
        <w:t>.</w:t>
      </w:r>
      <w:r w:rsidRPr="002F1ACC">
        <w:rPr>
          <w:rFonts w:ascii="Arial" w:hAnsi="Arial" w:cs="Arial"/>
          <w:b/>
          <w:bCs/>
        </w:rPr>
        <w:t>................................</w:t>
      </w:r>
      <w:r w:rsidR="00A97D04" w:rsidRPr="002F1ACC">
        <w:rPr>
          <w:rFonts w:ascii="Arial" w:hAnsi="Arial" w:cs="Arial"/>
          <w:b/>
          <w:bCs/>
        </w:rPr>
        <w:t>.....</w:t>
      </w:r>
      <w:r w:rsidRPr="002F1ACC">
        <w:rPr>
          <w:rFonts w:ascii="Arial" w:hAnsi="Arial" w:cs="Arial"/>
          <w:b/>
          <w:bCs/>
        </w:rPr>
        <w:t>..............1</w:t>
      </w:r>
      <w:r w:rsidR="00E05971" w:rsidRPr="002F1ACC">
        <w:rPr>
          <w:rFonts w:ascii="Arial" w:hAnsi="Arial" w:cs="Arial"/>
          <w:b/>
          <w:bCs/>
        </w:rPr>
        <w:t>5</w:t>
      </w:r>
    </w:p>
    <w:p w14:paraId="5CC9D1D8" w14:textId="77777777" w:rsidR="00786397" w:rsidRPr="002F1ACC" w:rsidRDefault="00786397" w:rsidP="002F1ACC">
      <w:pPr>
        <w:spacing w:after="0" w:line="360" w:lineRule="auto"/>
        <w:rPr>
          <w:rFonts w:ascii="Arial" w:hAnsi="Arial" w:cs="Arial"/>
          <w:b/>
          <w:bCs/>
        </w:rPr>
      </w:pPr>
    </w:p>
    <w:p w14:paraId="0031FD19" w14:textId="77777777" w:rsidR="00411CAF" w:rsidRPr="002F1ACC" w:rsidRDefault="00411CAF" w:rsidP="002F1ACC">
      <w:pPr>
        <w:spacing w:after="0" w:line="360" w:lineRule="auto"/>
        <w:jc w:val="center"/>
        <w:rPr>
          <w:rFonts w:ascii="Arial" w:hAnsi="Arial" w:cs="Arial"/>
          <w:b/>
          <w:bCs/>
        </w:rPr>
      </w:pPr>
    </w:p>
    <w:p w14:paraId="32D9B115" w14:textId="77777777" w:rsidR="00411CAF" w:rsidRPr="002F1ACC" w:rsidRDefault="00411CAF" w:rsidP="002F1ACC">
      <w:pPr>
        <w:spacing w:after="0" w:line="360" w:lineRule="auto"/>
        <w:jc w:val="center"/>
        <w:rPr>
          <w:rFonts w:ascii="Arial" w:hAnsi="Arial" w:cs="Arial"/>
          <w:b/>
          <w:bCs/>
        </w:rPr>
      </w:pPr>
    </w:p>
    <w:p w14:paraId="20226A92" w14:textId="77777777" w:rsidR="003A6C5B" w:rsidRPr="002F1ACC" w:rsidRDefault="003A6C5B" w:rsidP="002F1ACC">
      <w:pPr>
        <w:spacing w:after="0" w:line="360" w:lineRule="auto"/>
        <w:jc w:val="center"/>
        <w:rPr>
          <w:rFonts w:ascii="Arial" w:hAnsi="Arial" w:cs="Arial"/>
          <w:b/>
          <w:bCs/>
        </w:rPr>
      </w:pPr>
    </w:p>
    <w:p w14:paraId="55455137" w14:textId="77777777" w:rsidR="003A6C5B" w:rsidRPr="002F1ACC" w:rsidRDefault="003A6C5B" w:rsidP="002F1ACC">
      <w:pPr>
        <w:spacing w:after="0" w:line="360" w:lineRule="auto"/>
        <w:jc w:val="center"/>
        <w:rPr>
          <w:rFonts w:ascii="Arial" w:hAnsi="Arial" w:cs="Arial"/>
          <w:b/>
          <w:bCs/>
        </w:rPr>
      </w:pPr>
    </w:p>
    <w:p w14:paraId="22F4D867" w14:textId="77777777" w:rsidR="003A6C5B" w:rsidRPr="002F1ACC" w:rsidRDefault="003A6C5B" w:rsidP="002F1ACC">
      <w:pPr>
        <w:spacing w:after="0" w:line="360" w:lineRule="auto"/>
        <w:jc w:val="center"/>
        <w:rPr>
          <w:rFonts w:ascii="Arial" w:hAnsi="Arial" w:cs="Arial"/>
          <w:b/>
          <w:bCs/>
        </w:rPr>
      </w:pPr>
    </w:p>
    <w:p w14:paraId="01485C6D" w14:textId="77777777" w:rsidR="003A6C5B" w:rsidRPr="002F1ACC" w:rsidRDefault="003A6C5B" w:rsidP="002F1ACC">
      <w:pPr>
        <w:spacing w:after="0" w:line="360" w:lineRule="auto"/>
        <w:jc w:val="center"/>
        <w:rPr>
          <w:rFonts w:ascii="Arial" w:hAnsi="Arial" w:cs="Arial"/>
          <w:b/>
          <w:bCs/>
        </w:rPr>
      </w:pPr>
    </w:p>
    <w:p w14:paraId="53DF6065" w14:textId="77777777" w:rsidR="003A6C5B" w:rsidRPr="002F1ACC" w:rsidRDefault="003A6C5B" w:rsidP="002F1ACC">
      <w:pPr>
        <w:spacing w:after="0" w:line="360" w:lineRule="auto"/>
        <w:jc w:val="center"/>
        <w:rPr>
          <w:rFonts w:ascii="Arial" w:hAnsi="Arial" w:cs="Arial"/>
          <w:b/>
          <w:bCs/>
        </w:rPr>
      </w:pPr>
    </w:p>
    <w:p w14:paraId="034EB88B" w14:textId="77777777" w:rsidR="003A6C5B" w:rsidRPr="002F1ACC" w:rsidRDefault="003A6C5B" w:rsidP="002F1ACC">
      <w:pPr>
        <w:spacing w:after="0" w:line="360" w:lineRule="auto"/>
        <w:jc w:val="center"/>
        <w:rPr>
          <w:rFonts w:ascii="Arial" w:hAnsi="Arial" w:cs="Arial"/>
          <w:b/>
          <w:bCs/>
        </w:rPr>
      </w:pPr>
    </w:p>
    <w:p w14:paraId="20FB6FFE" w14:textId="77777777" w:rsidR="003A6C5B" w:rsidRPr="002F1ACC" w:rsidRDefault="003A6C5B" w:rsidP="002F1ACC">
      <w:pPr>
        <w:spacing w:after="0" w:line="360" w:lineRule="auto"/>
        <w:jc w:val="center"/>
        <w:rPr>
          <w:rFonts w:ascii="Arial" w:hAnsi="Arial" w:cs="Arial"/>
          <w:b/>
          <w:bCs/>
        </w:rPr>
      </w:pPr>
    </w:p>
    <w:p w14:paraId="53BE7299" w14:textId="77777777" w:rsidR="00411CAF" w:rsidRPr="002F1ACC" w:rsidRDefault="00411CAF" w:rsidP="002F1ACC">
      <w:pPr>
        <w:spacing w:after="0" w:line="360" w:lineRule="auto"/>
        <w:jc w:val="center"/>
        <w:rPr>
          <w:rFonts w:ascii="Arial" w:hAnsi="Arial" w:cs="Arial"/>
          <w:b/>
          <w:bCs/>
        </w:rPr>
      </w:pPr>
    </w:p>
    <w:p w14:paraId="1F5C5FE2" w14:textId="77777777" w:rsidR="006F64D6" w:rsidRPr="002F1ACC" w:rsidRDefault="006F64D6" w:rsidP="002F1ACC">
      <w:pPr>
        <w:spacing w:after="0" w:line="360" w:lineRule="auto"/>
        <w:rPr>
          <w:rFonts w:ascii="Arial" w:hAnsi="Arial" w:cs="Arial"/>
          <w:b/>
          <w:bCs/>
        </w:rPr>
      </w:pPr>
    </w:p>
    <w:p w14:paraId="6743DA6F" w14:textId="3B9006A9" w:rsidR="006E2F2B" w:rsidRPr="002F1ACC" w:rsidRDefault="00916871" w:rsidP="002F1ACC">
      <w:pPr>
        <w:spacing w:after="0" w:line="360" w:lineRule="auto"/>
        <w:jc w:val="center"/>
        <w:rPr>
          <w:rFonts w:ascii="Arial" w:hAnsi="Arial" w:cs="Arial"/>
          <w:b/>
          <w:bCs/>
        </w:rPr>
      </w:pPr>
      <w:r w:rsidRPr="002F1ACC">
        <w:rPr>
          <w:rFonts w:ascii="Arial" w:hAnsi="Arial" w:cs="Arial"/>
          <w:b/>
          <w:bCs/>
        </w:rPr>
        <w:t>Task 1: Marketing Environment Analysis — Tata Steel UK</w:t>
      </w:r>
      <w:r w:rsidR="00B84545" w:rsidRPr="002F1ACC">
        <w:rPr>
          <w:rFonts w:ascii="Arial" w:hAnsi="Arial" w:cs="Arial"/>
          <w:b/>
          <w:bCs/>
        </w:rPr>
        <w:t xml:space="preserve"> (1000 words)</w:t>
      </w:r>
    </w:p>
    <w:p w14:paraId="421A2E0D" w14:textId="77777777" w:rsidR="003777B6" w:rsidRPr="002F1ACC" w:rsidRDefault="003777B6" w:rsidP="002F1ACC">
      <w:pPr>
        <w:spacing w:after="0" w:line="360" w:lineRule="auto"/>
        <w:jc w:val="center"/>
        <w:rPr>
          <w:rFonts w:ascii="Arial" w:hAnsi="Arial" w:cs="Arial"/>
          <w:b/>
          <w:bCs/>
        </w:rPr>
      </w:pPr>
    </w:p>
    <w:p w14:paraId="60413A84" w14:textId="5585A4F2" w:rsidR="001A3D97" w:rsidRPr="002F1ACC" w:rsidRDefault="001A3D97" w:rsidP="002F1ACC">
      <w:pPr>
        <w:spacing w:after="0" w:line="360" w:lineRule="auto"/>
        <w:rPr>
          <w:rFonts w:ascii="Arial" w:hAnsi="Arial" w:cs="Arial"/>
          <w:b/>
          <w:bCs/>
        </w:rPr>
      </w:pPr>
      <w:r w:rsidRPr="002F1ACC">
        <w:rPr>
          <w:rFonts w:ascii="Arial" w:hAnsi="Arial" w:cs="Arial"/>
          <w:b/>
          <w:bCs/>
        </w:rPr>
        <w:t>Introduction</w:t>
      </w:r>
    </w:p>
    <w:p w14:paraId="50A3E444" w14:textId="20D34B8D" w:rsidR="00465713" w:rsidRPr="002F1ACC" w:rsidRDefault="008B073B" w:rsidP="002F1ACC">
      <w:pPr>
        <w:spacing w:after="0" w:line="360" w:lineRule="auto"/>
        <w:rPr>
          <w:rFonts w:ascii="Arial" w:hAnsi="Arial" w:cs="Arial"/>
        </w:rPr>
      </w:pPr>
      <w:r w:rsidRPr="002F1ACC">
        <w:rPr>
          <w:rFonts w:ascii="Arial" w:hAnsi="Arial" w:cs="Arial"/>
        </w:rPr>
        <w:t>According to Kotler et al. (2024), external factors (macro-environment) directly affect business strategy. Currently, there is a huge pressure on the metals and mining sector, which emits 25% of greenhouse gases globally, to adopt a low-carbon model. In this context, 'Tata Steel UK' (Port Talbot plant) is undergoing the largest green transition in British history (Cox, 2026). This report critically analyses two main factors — the natural and the political/legal environment — that affect it.</w:t>
      </w:r>
    </w:p>
    <w:p w14:paraId="55930E4F" w14:textId="77777777" w:rsidR="008B073B" w:rsidRPr="002F1ACC" w:rsidRDefault="008B073B" w:rsidP="002F1ACC">
      <w:pPr>
        <w:spacing w:after="0" w:line="360" w:lineRule="auto"/>
        <w:rPr>
          <w:rFonts w:ascii="Arial" w:hAnsi="Arial" w:cs="Arial"/>
        </w:rPr>
      </w:pPr>
    </w:p>
    <w:p w14:paraId="314BA68B" w14:textId="30299DED" w:rsidR="001A3D97" w:rsidRPr="002F1ACC" w:rsidRDefault="001A3D97" w:rsidP="002F1ACC">
      <w:pPr>
        <w:spacing w:after="0" w:line="360" w:lineRule="auto"/>
        <w:rPr>
          <w:rFonts w:ascii="Arial" w:hAnsi="Arial" w:cs="Arial"/>
          <w:b/>
          <w:bCs/>
        </w:rPr>
      </w:pPr>
      <w:r w:rsidRPr="002F1ACC">
        <w:rPr>
          <w:rFonts w:ascii="Arial" w:hAnsi="Arial" w:cs="Arial"/>
          <w:b/>
          <w:bCs/>
        </w:rPr>
        <w:t>Actor 1: The Natural Environment</w:t>
      </w:r>
    </w:p>
    <w:p w14:paraId="3E40FD76" w14:textId="77777777" w:rsidR="001A3D97" w:rsidRPr="002F1ACC" w:rsidRDefault="001A3D97" w:rsidP="002F1ACC">
      <w:pPr>
        <w:spacing w:after="0" w:line="360" w:lineRule="auto"/>
        <w:rPr>
          <w:rFonts w:ascii="Arial" w:hAnsi="Arial" w:cs="Arial"/>
        </w:rPr>
      </w:pPr>
      <w:r w:rsidRPr="002F1ACC">
        <w:rPr>
          <w:rFonts w:ascii="Arial" w:hAnsi="Arial" w:cs="Arial"/>
        </w:rPr>
        <w:t>The natural environment includes resource scarcity, environmental degradation and global consumer demand for sustainability (Kotler et al., 2024). For Tata Steel UK, this factor has become the most critical challenge to its survival and market survival.</w:t>
      </w:r>
    </w:p>
    <w:p w14:paraId="5E485EF9" w14:textId="77777777" w:rsidR="001A3D97" w:rsidRPr="002F1ACC" w:rsidRDefault="001A3D97" w:rsidP="002F1ACC">
      <w:pPr>
        <w:spacing w:after="0" w:line="360" w:lineRule="auto"/>
        <w:rPr>
          <w:rFonts w:ascii="Arial" w:hAnsi="Arial" w:cs="Arial"/>
        </w:rPr>
      </w:pPr>
    </w:p>
    <w:p w14:paraId="30788877" w14:textId="77777777" w:rsidR="00D73182" w:rsidRPr="002F1ACC" w:rsidRDefault="00D73182" w:rsidP="002F1ACC">
      <w:pPr>
        <w:spacing w:after="0" w:line="360" w:lineRule="auto"/>
        <w:rPr>
          <w:rFonts w:ascii="Arial" w:hAnsi="Arial" w:cs="Arial"/>
          <w:b/>
          <w:bCs/>
        </w:rPr>
      </w:pPr>
      <w:r w:rsidRPr="002F1ACC">
        <w:rPr>
          <w:rFonts w:ascii="Arial" w:hAnsi="Arial" w:cs="Arial"/>
          <w:b/>
          <w:bCs/>
        </w:rPr>
        <w:t>End of Conventional Blast Furnaces:</w:t>
      </w:r>
    </w:p>
    <w:p w14:paraId="1B181739" w14:textId="77777777" w:rsidR="00D73182" w:rsidRPr="002F1ACC" w:rsidRDefault="00D73182" w:rsidP="002F1ACC">
      <w:pPr>
        <w:spacing w:after="0" w:line="360" w:lineRule="auto"/>
        <w:rPr>
          <w:rFonts w:ascii="Arial" w:hAnsi="Arial" w:cs="Arial"/>
        </w:rPr>
      </w:pPr>
      <w:r w:rsidRPr="002F1ACC">
        <w:rPr>
          <w:rFonts w:ascii="Arial" w:hAnsi="Arial" w:cs="Arial"/>
        </w:rPr>
        <w:t>The conventional blast furnaces previously used at Port Talbot were entirely coal-fired. The process was highly polluting and accounted for approximately 26% of the UK’s total industrial greenhouse gas (GHG) emissions (Griffin &amp; Hammond, 2019). Reducing coal consumption was imperative to protect the environment (Garvey et al., 2022). Due to economic losses and environmental pressures, Tata Steel made a strategic decision to close the blast furnace by the end of 2024 (Cox, 2026).</w:t>
      </w:r>
    </w:p>
    <w:p w14:paraId="063F9EF5" w14:textId="77777777" w:rsidR="00D73182" w:rsidRPr="002F1ACC" w:rsidRDefault="00D73182" w:rsidP="002F1ACC">
      <w:pPr>
        <w:spacing w:after="0" w:line="360" w:lineRule="auto"/>
        <w:rPr>
          <w:rFonts w:ascii="Arial" w:hAnsi="Arial" w:cs="Arial"/>
        </w:rPr>
      </w:pPr>
    </w:p>
    <w:p w14:paraId="51C1C7CA" w14:textId="77777777" w:rsidR="00D73182" w:rsidRPr="002F1ACC" w:rsidRDefault="00D73182" w:rsidP="002F1ACC">
      <w:pPr>
        <w:spacing w:after="0" w:line="360" w:lineRule="auto"/>
        <w:rPr>
          <w:rFonts w:ascii="Arial" w:hAnsi="Arial" w:cs="Arial"/>
          <w:b/>
          <w:bCs/>
        </w:rPr>
      </w:pPr>
      <w:r w:rsidRPr="002F1ACC">
        <w:rPr>
          <w:rFonts w:ascii="Arial" w:hAnsi="Arial" w:cs="Arial"/>
          <w:b/>
          <w:bCs/>
        </w:rPr>
        <w:t>Impact of Climate Change:</w:t>
      </w:r>
    </w:p>
    <w:p w14:paraId="121A5F5C" w14:textId="77777777" w:rsidR="00D73182" w:rsidRPr="002F1ACC" w:rsidRDefault="00D73182" w:rsidP="002F1ACC">
      <w:pPr>
        <w:spacing w:after="0" w:line="360" w:lineRule="auto"/>
        <w:rPr>
          <w:rFonts w:ascii="Arial" w:hAnsi="Arial" w:cs="Arial"/>
        </w:rPr>
      </w:pPr>
      <w:r w:rsidRPr="002F1ACC">
        <w:rPr>
          <w:rFonts w:ascii="Arial" w:hAnsi="Arial" w:cs="Arial"/>
        </w:rPr>
        <w:t xml:space="preserve">The earth’s temperature is continuously rising due to global warming. Kotler et al. (2024) note that neglect of nature is now a direct operational threat to global industries. Blast furnace-based steel production is a major carbon emitter, which could lead to a shortage of raw materials in the long term (Watari &amp; McLellan, 2024). This is a tough </w:t>
      </w:r>
      <w:r w:rsidRPr="002F1ACC">
        <w:rPr>
          <w:rFonts w:ascii="Arial" w:hAnsi="Arial" w:cs="Arial"/>
        </w:rPr>
        <w:lastRenderedPageBreak/>
        <w:t>business constraint for Tata Steel UK to survive in this changing market. In addition, the UK government is now giving legislative emphasis to the Circular Economy model (Ellen MacArthur Foundation, 2024). Therefore, recycling old scrap steel instead of mining new iron has become extremely important to comply with environmental constraints.</w:t>
      </w:r>
    </w:p>
    <w:p w14:paraId="18C91122" w14:textId="77777777" w:rsidR="00D73182" w:rsidRPr="002F1ACC" w:rsidRDefault="00D73182" w:rsidP="002F1ACC">
      <w:pPr>
        <w:spacing w:after="0" w:line="360" w:lineRule="auto"/>
        <w:rPr>
          <w:rFonts w:ascii="Arial" w:hAnsi="Arial" w:cs="Arial"/>
        </w:rPr>
      </w:pPr>
    </w:p>
    <w:p w14:paraId="74A30E7B" w14:textId="77777777" w:rsidR="00D73182" w:rsidRPr="002F1ACC" w:rsidRDefault="00D73182" w:rsidP="002F1ACC">
      <w:pPr>
        <w:spacing w:after="0" w:line="360" w:lineRule="auto"/>
        <w:rPr>
          <w:rFonts w:ascii="Arial" w:hAnsi="Arial" w:cs="Arial"/>
          <w:b/>
          <w:bCs/>
        </w:rPr>
      </w:pPr>
      <w:r w:rsidRPr="002F1ACC">
        <w:rPr>
          <w:rFonts w:ascii="Arial" w:hAnsi="Arial" w:cs="Arial"/>
          <w:b/>
          <w:bCs/>
        </w:rPr>
        <w:t>Recycling and Scrap Steel Opportunities:</w:t>
      </w:r>
    </w:p>
    <w:p w14:paraId="0327F9CF" w14:textId="01406050" w:rsidR="00D73182" w:rsidRPr="002F1ACC" w:rsidRDefault="00D73182" w:rsidP="002F1ACC">
      <w:pPr>
        <w:spacing w:after="0" w:line="360" w:lineRule="auto"/>
        <w:rPr>
          <w:rFonts w:ascii="Arial" w:hAnsi="Arial" w:cs="Arial"/>
        </w:rPr>
      </w:pPr>
      <w:r w:rsidRPr="002F1ACC">
        <w:rPr>
          <w:rFonts w:ascii="Arial" w:hAnsi="Arial" w:cs="Arial"/>
        </w:rPr>
        <w:t>Tata Steel is replacing its coal-fired plant with modern electric arc furnace (EAF) technology to maintain environmental sustainability (Cox, 2026). EAF technology uses local UK scrap steel as a raw material instead of coal (Garvey et al., 2022). This change will reduce the company’s direct carbon emissions (Scope 1 emissions) by around 90%, which will directly accelerate the achievement of the UK’s net-zero targets.</w:t>
      </w:r>
      <w:r w:rsidR="00757D2F" w:rsidRPr="002F1ACC">
        <w:rPr>
          <w:rFonts w:ascii="Arial" w:hAnsi="Arial" w:cs="Arial"/>
        </w:rPr>
        <w:br/>
      </w:r>
    </w:p>
    <w:p w14:paraId="2FA72236" w14:textId="77777777" w:rsidR="00D73182" w:rsidRPr="002F1ACC" w:rsidRDefault="00D73182" w:rsidP="002F1ACC">
      <w:pPr>
        <w:spacing w:after="0" w:line="360" w:lineRule="auto"/>
        <w:rPr>
          <w:rFonts w:ascii="Arial" w:hAnsi="Arial" w:cs="Arial"/>
          <w:b/>
          <w:bCs/>
        </w:rPr>
      </w:pPr>
      <w:r w:rsidRPr="002F1ACC">
        <w:rPr>
          <w:rFonts w:ascii="Arial" w:hAnsi="Arial" w:cs="Arial"/>
          <w:b/>
          <w:bCs/>
        </w:rPr>
        <w:t>Operational Challenges:</w:t>
      </w:r>
    </w:p>
    <w:p w14:paraId="39D84B4F" w14:textId="5D35E437" w:rsidR="00D73182" w:rsidRPr="002F1ACC" w:rsidRDefault="00D73182" w:rsidP="002F1ACC">
      <w:pPr>
        <w:spacing w:after="0" w:line="360" w:lineRule="auto"/>
        <w:rPr>
          <w:rFonts w:ascii="Arial" w:hAnsi="Arial" w:cs="Arial"/>
        </w:rPr>
      </w:pPr>
      <w:r w:rsidRPr="002F1ACC">
        <w:rPr>
          <w:rFonts w:ascii="Arial" w:hAnsi="Arial" w:cs="Arial"/>
        </w:rPr>
        <w:t>However, this major technological change has created serious short-term challenges. Steel production in the UK has been temporarily halted while the new plant is being built. The company is currently having to import semi-finished steel slabs from India and the Netherlands to meet customer demand (Cox, 2026). This import by sea complicates the supply chain and causes additional emissions from shipping, which poses a challenge to the company’s ‘green brand image’.</w:t>
      </w:r>
      <w:r w:rsidR="00757D2F" w:rsidRPr="002F1ACC">
        <w:rPr>
          <w:rFonts w:ascii="Arial" w:hAnsi="Arial" w:cs="Arial"/>
        </w:rPr>
        <w:br/>
      </w:r>
      <w:r w:rsidR="00757D2F" w:rsidRPr="002F1ACC">
        <w:rPr>
          <w:rFonts w:ascii="Arial" w:hAnsi="Arial" w:cs="Arial"/>
        </w:rPr>
        <w:br/>
      </w:r>
      <w:r w:rsidR="00757D2F" w:rsidRPr="002F1ACC">
        <w:rPr>
          <w:rFonts w:ascii="Arial" w:hAnsi="Arial" w:cs="Arial"/>
          <w:b/>
          <w:bCs/>
        </w:rPr>
        <w:t>Analysis</w:t>
      </w:r>
      <w:r w:rsidR="00757D2F" w:rsidRPr="002F1ACC">
        <w:rPr>
          <w:rFonts w:ascii="Arial" w:hAnsi="Arial" w:cs="Arial"/>
        </w:rPr>
        <w:t xml:space="preserve">: Importing steel slabs from India and the Netherlands not only harms the </w:t>
      </w:r>
      <w:proofErr w:type="gramStart"/>
      <w:r w:rsidR="00757D2F" w:rsidRPr="002F1ACC">
        <w:rPr>
          <w:rFonts w:ascii="Arial" w:hAnsi="Arial" w:cs="Arial"/>
        </w:rPr>
        <w:t>environment</w:t>
      </w:r>
      <w:r w:rsidR="00793C62" w:rsidRPr="002F1ACC">
        <w:rPr>
          <w:rFonts w:ascii="Arial" w:hAnsi="Arial" w:cs="Arial"/>
        </w:rPr>
        <w:t xml:space="preserve">, </w:t>
      </w:r>
      <w:r w:rsidR="00757D2F" w:rsidRPr="002F1ACC">
        <w:rPr>
          <w:rFonts w:ascii="Arial" w:hAnsi="Arial" w:cs="Arial"/>
        </w:rPr>
        <w:t>but</w:t>
      </w:r>
      <w:proofErr w:type="gramEnd"/>
      <w:r w:rsidR="00757D2F" w:rsidRPr="002F1ACC">
        <w:rPr>
          <w:rFonts w:ascii="Arial" w:hAnsi="Arial" w:cs="Arial"/>
        </w:rPr>
        <w:t xml:space="preserve"> also increases commercial risk. Long maritime supply chains are vulnerable to global crises. If these imports are delayed, Tata Steel will not be able to deliver goods to its customers on time. As a result, B2B customers (such as car manufacturers) may turn to other foreign suppliers to save their production schedules, which will prove to be a major blow to Tata Steel's market share.</w:t>
      </w:r>
    </w:p>
    <w:p w14:paraId="21760CF1" w14:textId="77777777" w:rsidR="00D73182" w:rsidRPr="002F1ACC" w:rsidRDefault="00D73182" w:rsidP="002F1ACC">
      <w:pPr>
        <w:spacing w:after="0" w:line="360" w:lineRule="auto"/>
        <w:rPr>
          <w:rFonts w:ascii="Arial" w:hAnsi="Arial" w:cs="Arial"/>
        </w:rPr>
      </w:pPr>
    </w:p>
    <w:p w14:paraId="2DE2A347" w14:textId="23E0A435" w:rsidR="001A3D97" w:rsidRPr="002F1ACC" w:rsidRDefault="001A3D97" w:rsidP="002F1ACC">
      <w:pPr>
        <w:spacing w:after="0" w:line="360" w:lineRule="auto"/>
        <w:rPr>
          <w:rFonts w:ascii="Arial" w:hAnsi="Arial" w:cs="Arial"/>
          <w:b/>
          <w:bCs/>
        </w:rPr>
      </w:pPr>
      <w:r w:rsidRPr="002F1ACC">
        <w:rPr>
          <w:rFonts w:ascii="Arial" w:hAnsi="Arial" w:cs="Arial"/>
          <w:b/>
          <w:bCs/>
        </w:rPr>
        <w:t>Actor 2: The Political/Legal Environment</w:t>
      </w:r>
    </w:p>
    <w:p w14:paraId="6A9EB169" w14:textId="77777777" w:rsidR="001A3D97" w:rsidRPr="002F1ACC" w:rsidRDefault="001A3D97" w:rsidP="002F1ACC">
      <w:pPr>
        <w:spacing w:after="0" w:line="360" w:lineRule="auto"/>
        <w:rPr>
          <w:rFonts w:ascii="Arial" w:hAnsi="Arial" w:cs="Arial"/>
        </w:rPr>
      </w:pPr>
      <w:r w:rsidRPr="002F1ACC">
        <w:rPr>
          <w:rFonts w:ascii="Arial" w:hAnsi="Arial" w:cs="Arial"/>
        </w:rPr>
        <w:t>Political and legal factors affect businesses through legal constraints, tax systems and government policies (Kotler et al., 2024). In the UK, this factor has proven to be extremely important for the survival of Tata Steel’s green project.</w:t>
      </w:r>
    </w:p>
    <w:p w14:paraId="6508F916" w14:textId="77777777" w:rsidR="001A3D97" w:rsidRPr="002F1ACC" w:rsidRDefault="001A3D97" w:rsidP="002F1ACC">
      <w:pPr>
        <w:spacing w:after="0" w:line="360" w:lineRule="auto"/>
        <w:rPr>
          <w:rFonts w:ascii="Arial" w:hAnsi="Arial" w:cs="Arial"/>
        </w:rPr>
      </w:pPr>
    </w:p>
    <w:p w14:paraId="2448A912" w14:textId="75186A82" w:rsidR="001A3D97" w:rsidRPr="002F1ACC" w:rsidRDefault="001A3D97" w:rsidP="002F1ACC">
      <w:pPr>
        <w:spacing w:after="0" w:line="360" w:lineRule="auto"/>
        <w:rPr>
          <w:rFonts w:ascii="Arial" w:hAnsi="Arial" w:cs="Arial"/>
        </w:rPr>
      </w:pPr>
      <w:r w:rsidRPr="002F1ACC">
        <w:rPr>
          <w:rFonts w:ascii="Arial" w:hAnsi="Arial" w:cs="Arial"/>
          <w:b/>
          <w:bCs/>
        </w:rPr>
        <w:t>Carbon Tax &amp; Government Funding:</w:t>
      </w:r>
      <w:r w:rsidRPr="002F1ACC">
        <w:rPr>
          <w:rFonts w:ascii="Arial" w:hAnsi="Arial" w:cs="Arial"/>
        </w:rPr>
        <w:t xml:space="preserve"> Tata Steel UK had to pay a huge carbon tax of £70-80 million annually under the UK Emissions Trading Scheme (UK ETS) (Cox, 2026). To avoid this legal financial burden, the company needed to move towards </w:t>
      </w:r>
      <w:proofErr w:type="gramStart"/>
      <w:r w:rsidRPr="002F1ACC">
        <w:rPr>
          <w:rFonts w:ascii="Arial" w:hAnsi="Arial" w:cs="Arial"/>
        </w:rPr>
        <w:t>low-carbon</w:t>
      </w:r>
      <w:proofErr w:type="gramEnd"/>
      <w:r w:rsidRPr="002F1ACC">
        <w:rPr>
          <w:rFonts w:ascii="Arial" w:hAnsi="Arial" w:cs="Arial"/>
        </w:rPr>
        <w:t>. To support this green transition, the UK government has signed a Green Steel Proposal with Tata Steel, under which the government is providing a grant (government financial assistance) of £500 million (Cox, 2026).</w:t>
      </w:r>
      <w:r w:rsidR="00673695" w:rsidRPr="002F1ACC">
        <w:rPr>
          <w:rFonts w:ascii="Arial" w:hAnsi="Arial" w:cs="Arial"/>
        </w:rPr>
        <w:br/>
      </w:r>
      <w:r w:rsidR="00673695" w:rsidRPr="002F1ACC">
        <w:rPr>
          <w:rFonts w:ascii="Arial" w:hAnsi="Arial" w:cs="Arial"/>
        </w:rPr>
        <w:br/>
      </w:r>
      <w:r w:rsidR="00673695" w:rsidRPr="002F1ACC">
        <w:rPr>
          <w:rFonts w:ascii="Arial" w:hAnsi="Arial" w:cs="Arial"/>
          <w:b/>
          <w:bCs/>
        </w:rPr>
        <w:t>Analysis</w:t>
      </w:r>
      <w:r w:rsidR="00673695" w:rsidRPr="002F1ACC">
        <w:rPr>
          <w:rFonts w:ascii="Arial" w:hAnsi="Arial" w:cs="Arial"/>
        </w:rPr>
        <w:t>: The £500 million government grant is a relief for Tata Steel, but it also brings a commercial liability. If Britain's National Grid delays the connection, this government money will be blocked. The delay in the project will increase the burden of interest and day-to-day operational costs on the company, which could lead to financial losses in the long run.</w:t>
      </w:r>
    </w:p>
    <w:p w14:paraId="128AD67B" w14:textId="77777777" w:rsidR="001A3D97" w:rsidRPr="002F1ACC" w:rsidRDefault="001A3D97" w:rsidP="002F1ACC">
      <w:pPr>
        <w:spacing w:after="0" w:line="360" w:lineRule="auto"/>
        <w:rPr>
          <w:rFonts w:ascii="Arial" w:hAnsi="Arial" w:cs="Arial"/>
        </w:rPr>
      </w:pPr>
    </w:p>
    <w:p w14:paraId="7352F656" w14:textId="178D9C09" w:rsidR="001A3D97" w:rsidRPr="002F1ACC" w:rsidRDefault="001A3D97" w:rsidP="002F1ACC">
      <w:pPr>
        <w:spacing w:after="0" w:line="360" w:lineRule="auto"/>
        <w:rPr>
          <w:rFonts w:ascii="Arial" w:hAnsi="Arial" w:cs="Arial"/>
        </w:rPr>
      </w:pPr>
      <w:r w:rsidRPr="002F1ACC">
        <w:rPr>
          <w:rFonts w:ascii="Arial" w:hAnsi="Arial" w:cs="Arial"/>
          <w:b/>
          <w:bCs/>
        </w:rPr>
        <w:t>Green Procurement and Marketing Laws:</w:t>
      </w:r>
      <w:r w:rsidRPr="002F1ACC">
        <w:rPr>
          <w:rFonts w:ascii="Arial" w:hAnsi="Arial" w:cs="Arial"/>
        </w:rPr>
        <w:t xml:space="preserve"> The UK government is working on new Green Public Procurement </w:t>
      </w:r>
      <w:r w:rsidR="0059374E" w:rsidRPr="002F1ACC">
        <w:rPr>
          <w:rFonts w:ascii="Arial" w:hAnsi="Arial" w:cs="Arial"/>
        </w:rPr>
        <w:t xml:space="preserve">(Government Procurement Service, 2025) </w:t>
      </w:r>
      <w:r w:rsidRPr="002F1ACC">
        <w:rPr>
          <w:rFonts w:ascii="Arial" w:hAnsi="Arial" w:cs="Arial"/>
        </w:rPr>
        <w:t xml:space="preserve">Criteria for the use of ‘low-carbon steel’ and green industrial products in infrastructure projects </w:t>
      </w:r>
      <w:r w:rsidR="00E57499" w:rsidRPr="002F1ACC">
        <w:rPr>
          <w:rFonts w:ascii="Arial" w:hAnsi="Arial" w:cs="Arial"/>
        </w:rPr>
        <w:t>(Government Procurement Service, 2025)</w:t>
      </w:r>
      <w:r w:rsidR="00B80FBE" w:rsidRPr="002F1ACC">
        <w:rPr>
          <w:rFonts w:ascii="Arial" w:hAnsi="Arial" w:cs="Arial"/>
        </w:rPr>
        <w:t>.</w:t>
      </w:r>
      <w:r w:rsidRPr="002F1ACC">
        <w:rPr>
          <w:rFonts w:ascii="Arial" w:hAnsi="Arial" w:cs="Arial"/>
        </w:rPr>
        <w:t xml:space="preserve"> This legal change presents a major marketing opportunity for Tata Steel to secure the domestic market in the future.</w:t>
      </w:r>
    </w:p>
    <w:p w14:paraId="50C13049" w14:textId="77777777" w:rsidR="001A3D97" w:rsidRPr="002F1ACC" w:rsidRDefault="001A3D97" w:rsidP="002F1ACC">
      <w:pPr>
        <w:spacing w:after="0" w:line="360" w:lineRule="auto"/>
        <w:rPr>
          <w:rFonts w:ascii="Arial" w:hAnsi="Arial" w:cs="Arial"/>
        </w:rPr>
      </w:pPr>
    </w:p>
    <w:p w14:paraId="6E26921B" w14:textId="1E6641DB" w:rsidR="008F2130" w:rsidRPr="002F1ACC" w:rsidRDefault="001A3D97" w:rsidP="002F1ACC">
      <w:pPr>
        <w:spacing w:after="0" w:line="360" w:lineRule="auto"/>
        <w:rPr>
          <w:rFonts w:ascii="Arial" w:hAnsi="Arial" w:cs="Arial"/>
        </w:rPr>
      </w:pPr>
      <w:r w:rsidRPr="002F1ACC">
        <w:rPr>
          <w:rFonts w:ascii="Arial" w:hAnsi="Arial" w:cs="Arial"/>
          <w:b/>
          <w:bCs/>
        </w:rPr>
        <w:t>Grid Connection and Infrastructure Delays:</w:t>
      </w:r>
      <w:r w:rsidRPr="002F1ACC">
        <w:rPr>
          <w:rFonts w:ascii="Arial" w:hAnsi="Arial" w:cs="Arial"/>
        </w:rPr>
        <w:t xml:space="preserve"> A major challenge at the political and regulatory level is the huge amount of electricity that will be required to operate new electric arc furnaces (EAF). Planning and Grid Connection Delays in the UK have created a major obstacle to the timely commencement of green projects (IE, 2025).</w:t>
      </w:r>
    </w:p>
    <w:p w14:paraId="24F8F5B9" w14:textId="1110BF54" w:rsidR="00C74C18" w:rsidRPr="002F1ACC" w:rsidRDefault="00C74C18" w:rsidP="002F1ACC">
      <w:pPr>
        <w:spacing w:after="0" w:line="360" w:lineRule="auto"/>
        <w:rPr>
          <w:rFonts w:ascii="Arial" w:hAnsi="Arial" w:cs="Arial"/>
          <w:b/>
          <w:bCs/>
        </w:rPr>
      </w:pPr>
      <w:r w:rsidRPr="002F1ACC">
        <w:rPr>
          <w:rFonts w:ascii="Arial" w:hAnsi="Arial" w:cs="Arial"/>
          <w:b/>
          <w:bCs/>
        </w:rPr>
        <w:t>Market Opportunities &amp; Challenges Assessment</w:t>
      </w:r>
      <w:r w:rsidR="00E92EC2" w:rsidRPr="002F1ACC">
        <w:rPr>
          <w:rFonts w:ascii="Arial" w:hAnsi="Arial" w:cs="Arial"/>
          <w:b/>
          <w:bCs/>
        </w:rPr>
        <w:br/>
      </w:r>
    </w:p>
    <w:p w14:paraId="7DF780A3" w14:textId="77777777" w:rsidR="00C74C18" w:rsidRPr="002F1ACC" w:rsidRDefault="00C74C18" w:rsidP="002F1ACC">
      <w:pPr>
        <w:spacing w:after="0" w:line="360" w:lineRule="auto"/>
        <w:rPr>
          <w:rFonts w:ascii="Arial" w:hAnsi="Arial" w:cs="Arial"/>
          <w:b/>
          <w:bCs/>
        </w:rPr>
      </w:pPr>
      <w:r w:rsidRPr="002F1ACC">
        <w:rPr>
          <w:rFonts w:ascii="Arial" w:hAnsi="Arial" w:cs="Arial"/>
          <w:b/>
          <w:bCs/>
        </w:rPr>
        <w:t>Key Challenges</w:t>
      </w:r>
    </w:p>
    <w:p w14:paraId="1B0EF12B" w14:textId="77777777" w:rsidR="00C74C18" w:rsidRPr="002F1ACC" w:rsidRDefault="00C74C18" w:rsidP="002F1ACC">
      <w:pPr>
        <w:spacing w:after="0" w:line="360" w:lineRule="auto"/>
        <w:rPr>
          <w:rFonts w:ascii="Arial" w:hAnsi="Arial" w:cs="Arial"/>
        </w:rPr>
      </w:pPr>
      <w:r w:rsidRPr="002F1ACC">
        <w:rPr>
          <w:rFonts w:ascii="Arial" w:hAnsi="Arial" w:cs="Arial"/>
          <w:b/>
          <w:bCs/>
        </w:rPr>
        <w:t>1. Infrastructure and power supply risks:</w:t>
      </w:r>
      <w:r w:rsidRPr="002F1ACC">
        <w:rPr>
          <w:rFonts w:ascii="Arial" w:hAnsi="Arial" w:cs="Arial"/>
        </w:rPr>
        <w:t xml:space="preserve"> Regulatory delays in obtaining high-voltage power connections from the National Grid could disrupt the project schedule (IE, 2025).</w:t>
      </w:r>
    </w:p>
    <w:p w14:paraId="2746AD27" w14:textId="77777777" w:rsidR="00C74C18" w:rsidRPr="002F1ACC" w:rsidRDefault="00C74C18" w:rsidP="002F1ACC">
      <w:pPr>
        <w:spacing w:after="0" w:line="360" w:lineRule="auto"/>
        <w:rPr>
          <w:rFonts w:ascii="Arial" w:hAnsi="Arial" w:cs="Arial"/>
        </w:rPr>
      </w:pPr>
      <w:r w:rsidRPr="002F1ACC">
        <w:rPr>
          <w:rFonts w:ascii="Arial" w:hAnsi="Arial" w:cs="Arial"/>
          <w:b/>
          <w:bCs/>
        </w:rPr>
        <w:t xml:space="preserve">2. Employment and social challenges: </w:t>
      </w:r>
      <w:r w:rsidRPr="002F1ACC">
        <w:rPr>
          <w:rFonts w:ascii="Arial" w:hAnsi="Arial" w:cs="Arial"/>
        </w:rPr>
        <w:t xml:space="preserve">The closure of the conventional blast furnace has led to massive job losses at Port Talbot, which the government has provided £100 </w:t>
      </w:r>
      <w:r w:rsidRPr="002F1ACC">
        <w:rPr>
          <w:rFonts w:ascii="Arial" w:hAnsi="Arial" w:cs="Arial"/>
        </w:rPr>
        <w:lastRenderedPageBreak/>
        <w:t>million in economic relief (Cox, 2026). However, this poses a social challenge to the company’s corporate brand image.</w:t>
      </w:r>
    </w:p>
    <w:p w14:paraId="5D6D834A" w14:textId="77777777" w:rsidR="00C74C18" w:rsidRPr="002F1ACC" w:rsidRDefault="00C74C18" w:rsidP="002F1ACC">
      <w:pPr>
        <w:spacing w:after="0" w:line="360" w:lineRule="auto"/>
        <w:rPr>
          <w:rFonts w:ascii="Arial" w:hAnsi="Arial" w:cs="Arial"/>
        </w:rPr>
      </w:pPr>
    </w:p>
    <w:p w14:paraId="4D528AB8" w14:textId="77777777" w:rsidR="00C74C18" w:rsidRPr="002F1ACC" w:rsidRDefault="00C74C18" w:rsidP="002F1ACC">
      <w:pPr>
        <w:spacing w:after="0" w:line="360" w:lineRule="auto"/>
        <w:rPr>
          <w:rFonts w:ascii="Arial" w:hAnsi="Arial" w:cs="Arial"/>
          <w:b/>
          <w:bCs/>
        </w:rPr>
      </w:pPr>
      <w:r w:rsidRPr="002F1ACC">
        <w:rPr>
          <w:rFonts w:ascii="Arial" w:hAnsi="Arial" w:cs="Arial"/>
          <w:b/>
          <w:bCs/>
        </w:rPr>
        <w:t>Key Opportunities</w:t>
      </w:r>
    </w:p>
    <w:p w14:paraId="72A090B4" w14:textId="02FD7B8B" w:rsidR="00C74C18" w:rsidRPr="002F1ACC" w:rsidRDefault="00C74C18" w:rsidP="002F1ACC">
      <w:pPr>
        <w:spacing w:after="0" w:line="360" w:lineRule="auto"/>
        <w:rPr>
          <w:rFonts w:ascii="Arial" w:hAnsi="Arial" w:cs="Arial"/>
        </w:rPr>
      </w:pPr>
      <w:r w:rsidRPr="002F1ACC">
        <w:rPr>
          <w:rFonts w:ascii="Arial" w:hAnsi="Arial" w:cs="Arial"/>
          <w:b/>
          <w:bCs/>
        </w:rPr>
        <w:t>1. Market Dominance:</w:t>
      </w:r>
      <w:r w:rsidRPr="002F1ACC">
        <w:rPr>
          <w:rFonts w:ascii="Arial" w:hAnsi="Arial" w:cs="Arial"/>
        </w:rPr>
        <w:t xml:space="preserve"> The UK’s offshore </w:t>
      </w:r>
      <w:proofErr w:type="gramStart"/>
      <w:r w:rsidRPr="002F1ACC">
        <w:rPr>
          <w:rFonts w:ascii="Arial" w:hAnsi="Arial" w:cs="Arial"/>
        </w:rPr>
        <w:t>wind mills</w:t>
      </w:r>
      <w:proofErr w:type="gramEnd"/>
      <w:r w:rsidRPr="002F1ACC">
        <w:rPr>
          <w:rFonts w:ascii="Arial" w:hAnsi="Arial" w:cs="Arial"/>
        </w:rPr>
        <w:t xml:space="preserve">, eco-friendly construction and green public procurement </w:t>
      </w:r>
      <w:r w:rsidR="00BA2065" w:rsidRPr="002F1ACC">
        <w:rPr>
          <w:rFonts w:ascii="Arial" w:hAnsi="Arial" w:cs="Arial"/>
        </w:rPr>
        <w:t xml:space="preserve">(Government Procurement Service, 2025) </w:t>
      </w:r>
      <w:r w:rsidRPr="002F1ACC">
        <w:rPr>
          <w:rFonts w:ascii="Arial" w:hAnsi="Arial" w:cs="Arial"/>
        </w:rPr>
        <w:t>will require millions of tonnes of green steel in the coming years (IE, 2025). Tata Steel can capitalize on this market opportunity by becoming the leading green steel producer in the UK.</w:t>
      </w:r>
    </w:p>
    <w:p w14:paraId="14DC3DC2" w14:textId="77777777" w:rsidR="00C74C18" w:rsidRPr="002F1ACC" w:rsidRDefault="00C74C18" w:rsidP="002F1ACC">
      <w:pPr>
        <w:spacing w:after="0" w:line="360" w:lineRule="auto"/>
        <w:rPr>
          <w:rFonts w:ascii="Arial" w:hAnsi="Arial" w:cs="Arial"/>
          <w:b/>
          <w:bCs/>
        </w:rPr>
      </w:pPr>
      <w:r w:rsidRPr="002F1ACC">
        <w:rPr>
          <w:rFonts w:ascii="Arial" w:hAnsi="Arial" w:cs="Arial"/>
          <w:b/>
          <w:bCs/>
        </w:rPr>
        <w:t>2. Strategic Frameworks:</w:t>
      </w:r>
    </w:p>
    <w:p w14:paraId="2A15125D" w14:textId="2CE55E1B" w:rsidR="00C74C18" w:rsidRPr="002F1ACC" w:rsidRDefault="00C74C18" w:rsidP="002F1ACC">
      <w:pPr>
        <w:pStyle w:val="ListParagraph"/>
        <w:numPr>
          <w:ilvl w:val="0"/>
          <w:numId w:val="6"/>
        </w:numPr>
        <w:spacing w:after="0" w:line="360" w:lineRule="auto"/>
        <w:rPr>
          <w:rFonts w:ascii="Arial" w:hAnsi="Arial" w:cs="Arial"/>
        </w:rPr>
      </w:pPr>
      <w:r w:rsidRPr="002F1ACC">
        <w:rPr>
          <w:rFonts w:ascii="Arial" w:hAnsi="Arial" w:cs="Arial"/>
        </w:rPr>
        <w:t>Based on the Ansoff Matrix</w:t>
      </w:r>
      <w:r w:rsidR="00F06460" w:rsidRPr="002F1ACC">
        <w:rPr>
          <w:rFonts w:ascii="Arial" w:hAnsi="Arial" w:cs="Arial"/>
        </w:rPr>
        <w:t xml:space="preserve"> (Ansoff, 1957)</w:t>
      </w:r>
      <w:r w:rsidRPr="002F1ACC">
        <w:rPr>
          <w:rFonts w:ascii="Arial" w:hAnsi="Arial" w:cs="Arial"/>
        </w:rPr>
        <w:t>, Tata Steel UK is adopting a strategy of "Product Development" (developing new green steel for the current market).</w:t>
      </w:r>
    </w:p>
    <w:p w14:paraId="132FF11D" w14:textId="3DE3DF91" w:rsidR="009B5313" w:rsidRPr="002F1ACC" w:rsidRDefault="00C74C18" w:rsidP="002F1ACC">
      <w:pPr>
        <w:pStyle w:val="ListParagraph"/>
        <w:numPr>
          <w:ilvl w:val="0"/>
          <w:numId w:val="6"/>
        </w:numPr>
        <w:spacing w:after="0" w:line="360" w:lineRule="auto"/>
        <w:rPr>
          <w:rFonts w:ascii="Arial" w:hAnsi="Arial" w:cs="Arial"/>
        </w:rPr>
      </w:pPr>
      <w:r w:rsidRPr="002F1ACC">
        <w:rPr>
          <w:rFonts w:ascii="Arial" w:hAnsi="Arial" w:cs="Arial"/>
        </w:rPr>
        <w:t>According to Porter’s Generic Strategies</w:t>
      </w:r>
      <w:r w:rsidR="00064C67" w:rsidRPr="002F1ACC">
        <w:rPr>
          <w:rFonts w:ascii="Arial" w:hAnsi="Arial" w:cs="Arial"/>
        </w:rPr>
        <w:t xml:space="preserve"> (Porter, 1985)</w:t>
      </w:r>
      <w:r w:rsidRPr="002F1ACC">
        <w:rPr>
          <w:rFonts w:ascii="Arial" w:hAnsi="Arial" w:cs="Arial"/>
        </w:rPr>
        <w:t>, the company can charge a premium price from environmentally conscious customers by using "Differentiation".</w:t>
      </w:r>
      <w:r w:rsidR="009B5313" w:rsidRPr="002F1ACC">
        <w:rPr>
          <w:rFonts w:ascii="Arial" w:hAnsi="Arial" w:cs="Arial"/>
        </w:rPr>
        <w:br/>
      </w:r>
    </w:p>
    <w:p w14:paraId="27EE13E8" w14:textId="77777777" w:rsidR="00E27012" w:rsidRPr="002F1ACC" w:rsidRDefault="00E27012" w:rsidP="002F1ACC">
      <w:pPr>
        <w:spacing w:after="0" w:line="360" w:lineRule="auto"/>
        <w:rPr>
          <w:rFonts w:ascii="Arial" w:hAnsi="Arial" w:cs="Arial"/>
          <w:b/>
          <w:bCs/>
        </w:rPr>
      </w:pPr>
      <w:r w:rsidRPr="002F1ACC">
        <w:rPr>
          <w:rFonts w:ascii="Arial" w:hAnsi="Arial" w:cs="Arial"/>
          <w:b/>
          <w:bCs/>
        </w:rPr>
        <w:t>Conclusion</w:t>
      </w:r>
    </w:p>
    <w:p w14:paraId="71F5C39C" w14:textId="5DEF8D33" w:rsidR="002C645A" w:rsidRPr="002F1ACC" w:rsidRDefault="00A41838" w:rsidP="002F1ACC">
      <w:pPr>
        <w:spacing w:after="0" w:line="360" w:lineRule="auto"/>
        <w:rPr>
          <w:rFonts w:ascii="Arial" w:hAnsi="Arial" w:cs="Arial"/>
        </w:rPr>
      </w:pPr>
      <w:r w:rsidRPr="002F1ACC">
        <w:rPr>
          <w:rFonts w:ascii="Arial" w:hAnsi="Arial" w:cs="Arial"/>
        </w:rPr>
        <w:t>In conclusion, the Tata Steel UK case demonstrates that macro-environmental factors are not just background variables, but active strategic drivers (Kotler et al., 2024). The natural environment forces the company to shift from volume-based production to value-focused circular recycling. While the political/legal framework makes green steel commercially viable through carbon taxes and subsidies (Cox, 2026). Ultimately, long-term market success depends on striking a balance between these legal changes and sustainable differentiation to justify the green premium.</w:t>
      </w:r>
    </w:p>
    <w:p w14:paraId="528E83A5" w14:textId="77777777" w:rsidR="00F349D5" w:rsidRPr="002F1ACC" w:rsidRDefault="00F349D5" w:rsidP="002F1ACC">
      <w:pPr>
        <w:spacing w:after="0" w:line="360" w:lineRule="auto"/>
        <w:rPr>
          <w:rFonts w:ascii="Arial" w:hAnsi="Arial" w:cs="Arial"/>
        </w:rPr>
      </w:pPr>
    </w:p>
    <w:p w14:paraId="3B12D304" w14:textId="77777777" w:rsidR="00EB29DF" w:rsidRPr="002F1ACC" w:rsidRDefault="00EB29DF" w:rsidP="002F1ACC">
      <w:pPr>
        <w:spacing w:after="0" w:line="360" w:lineRule="auto"/>
        <w:jc w:val="center"/>
        <w:rPr>
          <w:rFonts w:ascii="Arial" w:hAnsi="Arial" w:cs="Arial"/>
          <w:b/>
          <w:bCs/>
        </w:rPr>
      </w:pPr>
    </w:p>
    <w:p w14:paraId="2342396B" w14:textId="77777777" w:rsidR="00EB29DF" w:rsidRPr="002F1ACC" w:rsidRDefault="00EB29DF" w:rsidP="002F1ACC">
      <w:pPr>
        <w:spacing w:after="0" w:line="360" w:lineRule="auto"/>
        <w:jc w:val="center"/>
        <w:rPr>
          <w:rFonts w:ascii="Arial" w:hAnsi="Arial" w:cs="Arial"/>
          <w:b/>
          <w:bCs/>
        </w:rPr>
      </w:pPr>
    </w:p>
    <w:p w14:paraId="56E182D3" w14:textId="77777777" w:rsidR="00EB29DF" w:rsidRPr="002F1ACC" w:rsidRDefault="00EB29DF" w:rsidP="002F1ACC">
      <w:pPr>
        <w:spacing w:after="0" w:line="360" w:lineRule="auto"/>
        <w:jc w:val="center"/>
        <w:rPr>
          <w:rFonts w:ascii="Arial" w:hAnsi="Arial" w:cs="Arial"/>
          <w:b/>
          <w:bCs/>
        </w:rPr>
      </w:pPr>
    </w:p>
    <w:p w14:paraId="47E68903" w14:textId="77777777" w:rsidR="00EB29DF" w:rsidRPr="002F1ACC" w:rsidRDefault="00EB29DF" w:rsidP="002F1ACC">
      <w:pPr>
        <w:spacing w:after="0" w:line="360" w:lineRule="auto"/>
        <w:jc w:val="center"/>
        <w:rPr>
          <w:rFonts w:ascii="Arial" w:hAnsi="Arial" w:cs="Arial"/>
          <w:b/>
          <w:bCs/>
        </w:rPr>
      </w:pPr>
    </w:p>
    <w:p w14:paraId="468AA819" w14:textId="77777777" w:rsidR="00EB29DF" w:rsidRPr="002F1ACC" w:rsidRDefault="00EB29DF" w:rsidP="002F1ACC">
      <w:pPr>
        <w:spacing w:after="0" w:line="360" w:lineRule="auto"/>
        <w:jc w:val="center"/>
        <w:rPr>
          <w:rFonts w:ascii="Arial" w:hAnsi="Arial" w:cs="Arial"/>
          <w:b/>
          <w:bCs/>
        </w:rPr>
      </w:pPr>
    </w:p>
    <w:p w14:paraId="0070C69E" w14:textId="77777777" w:rsidR="00EB29DF" w:rsidRPr="002F1ACC" w:rsidRDefault="00EB29DF" w:rsidP="002F1ACC">
      <w:pPr>
        <w:spacing w:after="0" w:line="360" w:lineRule="auto"/>
        <w:jc w:val="center"/>
        <w:rPr>
          <w:rFonts w:ascii="Arial" w:hAnsi="Arial" w:cs="Arial"/>
          <w:b/>
          <w:bCs/>
        </w:rPr>
      </w:pPr>
    </w:p>
    <w:p w14:paraId="308D0E00" w14:textId="77777777" w:rsidR="00EB29DF" w:rsidRPr="002F1ACC" w:rsidRDefault="00EB29DF" w:rsidP="002F1ACC">
      <w:pPr>
        <w:spacing w:after="0" w:line="360" w:lineRule="auto"/>
        <w:jc w:val="center"/>
        <w:rPr>
          <w:rFonts w:ascii="Arial" w:hAnsi="Arial" w:cs="Arial"/>
          <w:b/>
          <w:bCs/>
        </w:rPr>
      </w:pPr>
    </w:p>
    <w:p w14:paraId="0620E576" w14:textId="018042BD" w:rsidR="00EC4295" w:rsidRPr="002F1ACC" w:rsidRDefault="00EC4295" w:rsidP="002F1ACC">
      <w:pPr>
        <w:spacing w:after="0" w:line="360" w:lineRule="auto"/>
        <w:jc w:val="center"/>
        <w:rPr>
          <w:rFonts w:ascii="Arial" w:hAnsi="Arial" w:cs="Arial"/>
          <w:b/>
          <w:bCs/>
        </w:rPr>
      </w:pPr>
      <w:r w:rsidRPr="002F1ACC">
        <w:rPr>
          <w:rFonts w:ascii="Arial" w:hAnsi="Arial" w:cs="Arial"/>
          <w:b/>
          <w:bCs/>
        </w:rPr>
        <w:lastRenderedPageBreak/>
        <w:t>Task 2: Strategic Growth and Competitive Positioning (40%) – 1,000 words</w:t>
      </w:r>
    </w:p>
    <w:p w14:paraId="1D224630" w14:textId="77777777" w:rsidR="00EC4295" w:rsidRPr="002F1ACC" w:rsidRDefault="00EC4295" w:rsidP="002F1ACC">
      <w:pPr>
        <w:spacing w:after="0" w:line="360" w:lineRule="auto"/>
        <w:rPr>
          <w:rFonts w:ascii="Arial" w:hAnsi="Arial" w:cs="Arial"/>
        </w:rPr>
      </w:pPr>
    </w:p>
    <w:p w14:paraId="370FA028" w14:textId="5D04D312" w:rsidR="00EC4295" w:rsidRPr="002F1ACC" w:rsidRDefault="00EC4295" w:rsidP="002F1ACC">
      <w:pPr>
        <w:spacing w:after="0" w:line="360" w:lineRule="auto"/>
        <w:rPr>
          <w:rFonts w:ascii="Arial" w:hAnsi="Arial" w:cs="Arial"/>
          <w:b/>
          <w:bCs/>
        </w:rPr>
      </w:pPr>
      <w:r w:rsidRPr="002F1ACC">
        <w:rPr>
          <w:rFonts w:ascii="Arial" w:hAnsi="Arial" w:cs="Arial"/>
          <w:b/>
          <w:bCs/>
        </w:rPr>
        <w:t>Introduction</w:t>
      </w:r>
    </w:p>
    <w:p w14:paraId="2D60770B" w14:textId="6C3CC52C" w:rsidR="00E11D51" w:rsidRPr="002F1ACC" w:rsidRDefault="00EE4F5A" w:rsidP="002F1ACC">
      <w:pPr>
        <w:spacing w:after="0" w:line="360" w:lineRule="auto"/>
        <w:rPr>
          <w:rFonts w:ascii="Arial" w:hAnsi="Arial" w:cs="Arial"/>
        </w:rPr>
      </w:pPr>
      <w:r w:rsidRPr="002F1ACC">
        <w:rPr>
          <w:rFonts w:ascii="Arial" w:hAnsi="Arial" w:cs="Arial"/>
        </w:rPr>
        <w:t xml:space="preserve">After analyzing the marketing environment, the company needs to align its internal capabilities with external changes. </w:t>
      </w:r>
      <w:r w:rsidR="0081549C" w:rsidRPr="002F1ACC">
        <w:rPr>
          <w:rFonts w:ascii="Arial" w:hAnsi="Arial" w:cs="Arial"/>
        </w:rPr>
        <w:t>“</w:t>
      </w:r>
      <w:r w:rsidRPr="002F1ACC">
        <w:rPr>
          <w:rFonts w:ascii="Arial" w:hAnsi="Arial" w:cs="Arial"/>
        </w:rPr>
        <w:t>According to Kotler et al. (2024, pp. 115-117)</w:t>
      </w:r>
      <w:r w:rsidR="00586D34" w:rsidRPr="002F1ACC">
        <w:rPr>
          <w:rFonts w:ascii="Arial" w:hAnsi="Arial" w:cs="Arial"/>
        </w:rPr>
        <w:t>”</w:t>
      </w:r>
      <w:r w:rsidRPr="002F1ACC">
        <w:rPr>
          <w:rFonts w:ascii="Arial" w:hAnsi="Arial" w:cs="Arial"/>
        </w:rPr>
        <w:t xml:space="preserve">, natural and legal factors determine the future strategy of heavy industries. For Tata Steel UK, the closure of the blast furnace at Port Talbot is a major existential challenge. This report suggests a growth path through the Ansoff Matrix </w:t>
      </w:r>
      <w:r w:rsidR="00F06460" w:rsidRPr="002F1ACC">
        <w:rPr>
          <w:rFonts w:ascii="Arial" w:hAnsi="Arial" w:cs="Arial"/>
        </w:rPr>
        <w:t xml:space="preserve">(Ansoff, 1957) </w:t>
      </w:r>
      <w:r w:rsidRPr="002F1ACC">
        <w:rPr>
          <w:rFonts w:ascii="Arial" w:hAnsi="Arial" w:cs="Arial"/>
        </w:rPr>
        <w:t>and assesses how the company can maintain its competitive advantage in the market by adopting a low-carbon model.</w:t>
      </w:r>
      <w:r w:rsidR="009B5313" w:rsidRPr="002F1ACC">
        <w:rPr>
          <w:rFonts w:ascii="Arial" w:hAnsi="Arial" w:cs="Arial"/>
        </w:rPr>
        <w:br/>
      </w:r>
    </w:p>
    <w:p w14:paraId="4FC782CA" w14:textId="4AC98953" w:rsidR="00E11D51" w:rsidRPr="002F1ACC" w:rsidRDefault="00E11D51" w:rsidP="002F1ACC">
      <w:pPr>
        <w:pStyle w:val="ListParagraph"/>
        <w:numPr>
          <w:ilvl w:val="0"/>
          <w:numId w:val="7"/>
        </w:numPr>
        <w:spacing w:after="0" w:line="360" w:lineRule="auto"/>
        <w:rPr>
          <w:rFonts w:ascii="Arial" w:hAnsi="Arial" w:cs="Arial"/>
          <w:b/>
          <w:bCs/>
        </w:rPr>
      </w:pPr>
      <w:r w:rsidRPr="002F1ACC">
        <w:rPr>
          <w:rFonts w:ascii="Arial" w:hAnsi="Arial" w:cs="Arial"/>
          <w:b/>
          <w:bCs/>
        </w:rPr>
        <w:t>Strategic Growth via Ansoff Matrix</w:t>
      </w:r>
      <w:r w:rsidR="00F06460" w:rsidRPr="002F1ACC">
        <w:rPr>
          <w:rFonts w:ascii="Arial" w:hAnsi="Arial" w:cs="Arial"/>
          <w:b/>
          <w:bCs/>
        </w:rPr>
        <w:t xml:space="preserve"> (Ansoff, 1957)</w:t>
      </w:r>
    </w:p>
    <w:p w14:paraId="59291CC5" w14:textId="58513018" w:rsidR="00072E6C" w:rsidRPr="002F1ACC" w:rsidRDefault="00E11D51" w:rsidP="002F1ACC">
      <w:pPr>
        <w:spacing w:after="0" w:line="360" w:lineRule="auto"/>
        <w:rPr>
          <w:rFonts w:ascii="Arial" w:hAnsi="Arial" w:cs="Arial"/>
        </w:rPr>
      </w:pPr>
      <w:r w:rsidRPr="002F1ACC">
        <w:rPr>
          <w:rFonts w:ascii="Arial" w:hAnsi="Arial" w:cs="Arial"/>
        </w:rPr>
        <w:t xml:space="preserve">The Ansoff Matrix is ​​a basic marketing framework that helps companies identify growth opportunities through four different product-market combinations: market penetration, </w:t>
      </w:r>
      <w:r w:rsidRPr="002F1ACC">
        <w:rPr>
          <w:rFonts w:ascii="Arial" w:hAnsi="Arial" w:cs="Arial"/>
        </w:rPr>
        <w:lastRenderedPageBreak/>
        <w:t>market development, product development, and diversification (Kotler et al., 2024).</w:t>
      </w:r>
      <w:r w:rsidR="00072E6C" w:rsidRPr="002F1ACC">
        <w:rPr>
          <w:rFonts w:ascii="Arial" w:hAnsi="Arial" w:cs="Arial"/>
          <w:noProof/>
        </w:rPr>
        <w:drawing>
          <wp:inline distT="0" distB="0" distL="0" distR="0" wp14:anchorId="3A1CD779" wp14:editId="0EDA6FC2">
            <wp:extent cx="5943600" cy="5943600"/>
            <wp:effectExtent l="0" t="0" r="0" b="0"/>
            <wp:docPr id="253260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60474" name="Picture 253260474"/>
                    <pic:cNvPicPr/>
                  </pic:nvPicPr>
                  <pic:blipFill>
                    <a:blip r:embed="rId8">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2FEE9C51" w14:textId="377AB26E" w:rsidR="00072E6C" w:rsidRPr="002F1ACC" w:rsidRDefault="00EE2012" w:rsidP="002F1ACC">
      <w:pPr>
        <w:spacing w:after="0" w:line="360" w:lineRule="auto"/>
        <w:rPr>
          <w:rFonts w:ascii="Arial" w:hAnsi="Arial" w:cs="Arial"/>
        </w:rPr>
      </w:pPr>
      <w:r w:rsidRPr="002F1ACC">
        <w:rPr>
          <w:rFonts w:ascii="Arial" w:hAnsi="Arial" w:cs="Arial"/>
        </w:rPr>
        <w:t>(</w:t>
      </w:r>
      <w:r w:rsidR="009725CA" w:rsidRPr="002F1ACC">
        <w:rPr>
          <w:rFonts w:ascii="Arial" w:hAnsi="Arial" w:cs="Arial"/>
        </w:rPr>
        <w:t>Generated via Gemini AI based on the conceptual framework originally developed by Igor Ansoff (1957)</w:t>
      </w:r>
      <w:r w:rsidR="00406E0F" w:rsidRPr="002F1ACC">
        <w:rPr>
          <w:rFonts w:ascii="Arial" w:hAnsi="Arial" w:cs="Arial"/>
        </w:rPr>
        <w:t xml:space="preserve"> </w:t>
      </w:r>
      <w:r w:rsidR="00406E0F" w:rsidRPr="002F1ACC">
        <w:rPr>
          <w:rFonts w:ascii="Arial" w:eastAsia="Times New Roman" w:hAnsi="Arial" w:cs="Arial"/>
          <w:kern w:val="0"/>
          <w14:ligatures w14:val="none"/>
        </w:rPr>
        <w:t>Google, 2026</w:t>
      </w:r>
      <w:r w:rsidR="009725CA" w:rsidRPr="002F1ACC">
        <w:rPr>
          <w:rFonts w:ascii="Arial" w:hAnsi="Arial" w:cs="Arial"/>
        </w:rPr>
        <w:t>.</w:t>
      </w:r>
      <w:r w:rsidRPr="002F1ACC">
        <w:rPr>
          <w:rFonts w:ascii="Arial" w:hAnsi="Arial" w:cs="Arial"/>
        </w:rPr>
        <w:t>)</w:t>
      </w:r>
      <w:r w:rsidR="009B5313" w:rsidRPr="002F1ACC">
        <w:rPr>
          <w:rFonts w:ascii="Arial" w:hAnsi="Arial" w:cs="Arial"/>
        </w:rPr>
        <w:br/>
      </w:r>
    </w:p>
    <w:p w14:paraId="3BFBC916" w14:textId="77777777" w:rsidR="00196EDC" w:rsidRPr="002F1ACC" w:rsidRDefault="00196EDC" w:rsidP="002F1ACC">
      <w:pPr>
        <w:spacing w:after="0" w:line="360" w:lineRule="auto"/>
        <w:rPr>
          <w:rFonts w:ascii="Arial" w:hAnsi="Arial" w:cs="Arial"/>
        </w:rPr>
      </w:pPr>
      <w:r w:rsidRPr="002F1ACC">
        <w:rPr>
          <w:rFonts w:ascii="Arial" w:hAnsi="Arial" w:cs="Arial"/>
          <w:b/>
          <w:bCs/>
        </w:rPr>
        <w:t xml:space="preserve">Recommendation: </w:t>
      </w:r>
      <w:r w:rsidRPr="002F1ACC">
        <w:rPr>
          <w:rFonts w:ascii="Arial" w:hAnsi="Arial" w:cs="Arial"/>
        </w:rPr>
        <w:t>Product Development Strategy</w:t>
      </w:r>
    </w:p>
    <w:p w14:paraId="22DCC742" w14:textId="77777777" w:rsidR="00C361FF" w:rsidRPr="002F1ACC" w:rsidRDefault="00C51FC8" w:rsidP="002F1ACC">
      <w:pPr>
        <w:spacing w:after="0" w:line="360" w:lineRule="auto"/>
        <w:rPr>
          <w:rFonts w:ascii="Arial" w:hAnsi="Arial" w:cs="Arial"/>
        </w:rPr>
      </w:pPr>
      <w:r w:rsidRPr="002F1ACC">
        <w:rPr>
          <w:rFonts w:ascii="Arial" w:hAnsi="Arial" w:cs="Arial"/>
        </w:rPr>
        <w:t xml:space="preserve">Considering the current natural and political conditions, the most practical and legally compliant path for Tata Steel UK is a Product Development Strategy (see the growth analysis framework shown in </w:t>
      </w:r>
      <w:r w:rsidR="00414BAD" w:rsidRPr="002F1ACC">
        <w:rPr>
          <w:rFonts w:ascii="Arial" w:hAnsi="Arial" w:cs="Arial"/>
        </w:rPr>
        <w:t>above image</w:t>
      </w:r>
      <w:r w:rsidRPr="002F1ACC">
        <w:rPr>
          <w:rFonts w:ascii="Arial" w:hAnsi="Arial" w:cs="Arial"/>
        </w:rPr>
        <w:t xml:space="preserve">). Under this strategy, the company </w:t>
      </w:r>
      <w:r w:rsidRPr="002F1ACC">
        <w:rPr>
          <w:rFonts w:ascii="Arial" w:hAnsi="Arial" w:cs="Arial"/>
        </w:rPr>
        <w:lastRenderedPageBreak/>
        <w:t>introduces a completely new or significantly improved product into its existing market (Kotler et al., 2024).</w:t>
      </w:r>
    </w:p>
    <w:p w14:paraId="25731D22" w14:textId="77777777" w:rsidR="00C361FF" w:rsidRPr="002F1ACC" w:rsidRDefault="00C361FF" w:rsidP="002F1ACC">
      <w:pPr>
        <w:spacing w:after="0" w:line="360" w:lineRule="auto"/>
        <w:rPr>
          <w:rFonts w:ascii="Arial" w:hAnsi="Arial" w:cs="Arial"/>
        </w:rPr>
      </w:pPr>
    </w:p>
    <w:p w14:paraId="55389621" w14:textId="0AD4EC1F" w:rsidR="00196EDC" w:rsidRPr="002F1ACC" w:rsidRDefault="00196EDC" w:rsidP="002F1ACC">
      <w:pPr>
        <w:spacing w:after="0" w:line="360" w:lineRule="auto"/>
        <w:rPr>
          <w:rFonts w:ascii="Arial" w:hAnsi="Arial" w:cs="Arial"/>
        </w:rPr>
      </w:pPr>
      <w:r w:rsidRPr="002F1ACC">
        <w:rPr>
          <w:rFonts w:ascii="Arial" w:hAnsi="Arial" w:cs="Arial"/>
          <w:b/>
          <w:bCs/>
        </w:rPr>
        <w:t>Definition of a new product:</w:t>
      </w:r>
      <w:r w:rsidRPr="002F1ACC">
        <w:rPr>
          <w:rFonts w:ascii="Arial" w:hAnsi="Arial" w:cs="Arial"/>
        </w:rPr>
        <w:t xml:space="preserve"> Tata Steel UK is completely phasing out its old, carbon-intensive primary steel production. The company is investing £1.25 billion to install modern electric arc furnace (EAF) technology (Cox, 2026). The new product produced by this process is ‘eco-certified, low-carbon steel’, which will be made by recycling local UK scrap steel.</w:t>
      </w:r>
      <w:r w:rsidR="009B5313" w:rsidRPr="002F1ACC">
        <w:rPr>
          <w:rFonts w:ascii="Arial" w:hAnsi="Arial" w:cs="Arial"/>
        </w:rPr>
        <w:br/>
      </w:r>
    </w:p>
    <w:p w14:paraId="5D2E87AB" w14:textId="77777777" w:rsidR="00E92EC2" w:rsidRPr="002F1ACC" w:rsidRDefault="00196EDC" w:rsidP="002F1ACC">
      <w:pPr>
        <w:spacing w:after="0" w:line="360" w:lineRule="auto"/>
        <w:rPr>
          <w:rFonts w:ascii="Arial" w:hAnsi="Arial" w:cs="Arial"/>
        </w:rPr>
      </w:pPr>
      <w:r w:rsidRPr="002F1ACC">
        <w:rPr>
          <w:rFonts w:ascii="Arial" w:hAnsi="Arial" w:cs="Arial"/>
          <w:b/>
          <w:bCs/>
        </w:rPr>
        <w:t>Targeting the current market:</w:t>
      </w:r>
      <w:r w:rsidRPr="002F1ACC">
        <w:rPr>
          <w:rFonts w:ascii="Arial" w:hAnsi="Arial" w:cs="Arial"/>
        </w:rPr>
        <w:t xml:space="preserve"> The company's target market will </w:t>
      </w:r>
      <w:proofErr w:type="gramStart"/>
      <w:r w:rsidRPr="002F1ACC">
        <w:rPr>
          <w:rFonts w:ascii="Arial" w:hAnsi="Arial" w:cs="Arial"/>
        </w:rPr>
        <w:t>remain</w:t>
      </w:r>
      <w:proofErr w:type="gramEnd"/>
      <w:r w:rsidRPr="002F1ACC">
        <w:rPr>
          <w:rFonts w:ascii="Arial" w:hAnsi="Arial" w:cs="Arial"/>
        </w:rPr>
        <w:t xml:space="preserve"> the same old and familiar market, which includes customers in the automobile (vehicle manufacturers), aerospace and construction sectors in the UK and Europe. These buyers are already connected to Tata's network, but they now desperately need green steel to meet their net-zero goals.</w:t>
      </w:r>
      <w:r w:rsidR="00E92EC2" w:rsidRPr="002F1ACC">
        <w:rPr>
          <w:rFonts w:ascii="Arial" w:hAnsi="Arial" w:cs="Arial"/>
        </w:rPr>
        <w:br/>
      </w:r>
    </w:p>
    <w:p w14:paraId="5B0DF4CE" w14:textId="77777777" w:rsidR="00B63E9C" w:rsidRPr="002F1ACC" w:rsidRDefault="002E4808" w:rsidP="002F1ACC">
      <w:pPr>
        <w:spacing w:after="0" w:line="360" w:lineRule="auto"/>
        <w:rPr>
          <w:rFonts w:ascii="Arial" w:hAnsi="Arial" w:cs="Arial"/>
          <w:b/>
          <w:bCs/>
        </w:rPr>
      </w:pPr>
      <w:r w:rsidRPr="002F1ACC">
        <w:rPr>
          <w:rFonts w:ascii="Arial" w:hAnsi="Arial" w:cs="Arial"/>
          <w:b/>
          <w:bCs/>
        </w:rPr>
        <w:t>Strategic Alignment Matrix of Tata Steel UK's Business Model Transition</w:t>
      </w:r>
    </w:p>
    <w:p w14:paraId="39495590" w14:textId="15500DB1" w:rsidR="0034555F" w:rsidRPr="002F1ACC" w:rsidRDefault="0034555F" w:rsidP="002F1ACC">
      <w:pPr>
        <w:spacing w:after="0" w:line="360" w:lineRule="auto"/>
        <w:rPr>
          <w:rFonts w:ascii="Arial" w:hAnsi="Arial" w:cs="Arial"/>
        </w:rPr>
      </w:pPr>
      <w:r w:rsidRPr="002F1ACC">
        <w:rPr>
          <w:rFonts w:ascii="Arial" w:hAnsi="Arial" w:cs="Arial"/>
        </w:rPr>
        <w:t>This matrix (</w:t>
      </w:r>
      <w:r w:rsidR="00BE7627" w:rsidRPr="002F1ACC">
        <w:rPr>
          <w:rFonts w:ascii="Arial" w:hAnsi="Arial" w:cs="Arial"/>
        </w:rPr>
        <w:t>Below image</w:t>
      </w:r>
      <w:r w:rsidRPr="002F1ACC">
        <w:rPr>
          <w:rFonts w:ascii="Arial" w:hAnsi="Arial" w:cs="Arial"/>
        </w:rPr>
        <w:t>) shows Tata Steel UK's strategic shift from the traditional blast furnace model to the modern Electric Arc Furnace (EAF) model. It explains how this green transition will give the company a strong competitive advantage in the market by reducing carbon emissions and utilizing local scrap steel.</w:t>
      </w:r>
    </w:p>
    <w:p w14:paraId="4137DEEA" w14:textId="28E7AE14" w:rsidR="00EF7B96" w:rsidRPr="002F1ACC" w:rsidRDefault="006969C6" w:rsidP="002F1ACC">
      <w:pPr>
        <w:spacing w:after="0" w:line="360" w:lineRule="auto"/>
        <w:rPr>
          <w:rFonts w:ascii="Arial" w:hAnsi="Arial" w:cs="Arial"/>
        </w:rPr>
      </w:pPr>
      <w:r w:rsidRPr="002F1ACC">
        <w:rPr>
          <w:rFonts w:ascii="Arial" w:hAnsi="Arial" w:cs="Arial"/>
          <w:noProof/>
        </w:rPr>
        <w:lastRenderedPageBreak/>
        <w:drawing>
          <wp:inline distT="0" distB="0" distL="0" distR="0" wp14:anchorId="4EFE4875" wp14:editId="2A8E93B7">
            <wp:extent cx="5943600" cy="6576695"/>
            <wp:effectExtent l="0" t="0" r="0" b="0"/>
            <wp:docPr id="1508733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33222" name="Picture 1508733222"/>
                    <pic:cNvPicPr/>
                  </pic:nvPicPr>
                  <pic:blipFill>
                    <a:blip r:embed="rId9">
                      <a:extLst>
                        <a:ext uri="{28A0092B-C50C-407E-A947-70E740481C1C}">
                          <a14:useLocalDpi xmlns:a14="http://schemas.microsoft.com/office/drawing/2010/main" val="0"/>
                        </a:ext>
                      </a:extLst>
                    </a:blip>
                    <a:stretch>
                      <a:fillRect/>
                    </a:stretch>
                  </pic:blipFill>
                  <pic:spPr>
                    <a:xfrm>
                      <a:off x="0" y="0"/>
                      <a:ext cx="5943600" cy="6576695"/>
                    </a:xfrm>
                    <a:prstGeom prst="rect">
                      <a:avLst/>
                    </a:prstGeom>
                  </pic:spPr>
                </pic:pic>
              </a:graphicData>
            </a:graphic>
          </wp:inline>
        </w:drawing>
      </w:r>
    </w:p>
    <w:p w14:paraId="2BECBF56" w14:textId="579C08D7" w:rsidR="00EF7B96" w:rsidRPr="002F1ACC" w:rsidRDefault="00093641" w:rsidP="002F1ACC">
      <w:pPr>
        <w:spacing w:after="0" w:line="360" w:lineRule="auto"/>
        <w:rPr>
          <w:rFonts w:ascii="Arial" w:hAnsi="Arial" w:cs="Arial"/>
        </w:rPr>
      </w:pPr>
      <w:r w:rsidRPr="002F1ACC">
        <w:rPr>
          <w:rFonts w:ascii="Arial" w:hAnsi="Arial" w:cs="Arial"/>
          <w:b/>
          <w:bCs/>
        </w:rPr>
        <w:t>Source:</w:t>
      </w:r>
      <w:r w:rsidRPr="002F1ACC">
        <w:rPr>
          <w:rFonts w:ascii="Arial" w:hAnsi="Arial" w:cs="Arial"/>
        </w:rPr>
        <w:t xml:space="preserve"> Developed by the author via Canva, adapted from Cox (2026) and IE (2025).</w:t>
      </w:r>
    </w:p>
    <w:p w14:paraId="1EC2B314" w14:textId="77777777" w:rsidR="00B63E9C" w:rsidRPr="002F1ACC" w:rsidRDefault="00B63E9C" w:rsidP="002F1ACC">
      <w:pPr>
        <w:spacing w:after="0" w:line="360" w:lineRule="auto"/>
        <w:rPr>
          <w:rFonts w:ascii="Arial" w:hAnsi="Arial" w:cs="Arial"/>
        </w:rPr>
      </w:pPr>
    </w:p>
    <w:p w14:paraId="1A8ACC32" w14:textId="3408A7D3" w:rsidR="004316D6" w:rsidRPr="002F1ACC" w:rsidRDefault="004316D6" w:rsidP="002F1ACC">
      <w:pPr>
        <w:pStyle w:val="ListParagraph"/>
        <w:numPr>
          <w:ilvl w:val="0"/>
          <w:numId w:val="7"/>
        </w:numPr>
        <w:spacing w:after="0" w:line="360" w:lineRule="auto"/>
        <w:rPr>
          <w:rFonts w:ascii="Arial" w:hAnsi="Arial" w:cs="Arial"/>
          <w:b/>
          <w:bCs/>
        </w:rPr>
      </w:pPr>
      <w:r w:rsidRPr="002F1ACC">
        <w:rPr>
          <w:rFonts w:ascii="Arial" w:hAnsi="Arial" w:cs="Arial"/>
          <w:b/>
          <w:bCs/>
        </w:rPr>
        <w:t>Critical analysis and justification of product development strategy</w:t>
      </w:r>
    </w:p>
    <w:p w14:paraId="77C9D68B" w14:textId="3694FF04" w:rsidR="004316D6" w:rsidRPr="002F1ACC" w:rsidRDefault="004316D6" w:rsidP="002F1ACC">
      <w:pPr>
        <w:spacing w:after="0" w:line="360" w:lineRule="auto"/>
        <w:rPr>
          <w:rFonts w:ascii="Arial" w:hAnsi="Arial" w:cs="Arial"/>
        </w:rPr>
      </w:pPr>
      <w:r w:rsidRPr="002F1ACC">
        <w:rPr>
          <w:rFonts w:ascii="Arial" w:hAnsi="Arial" w:cs="Arial"/>
        </w:rPr>
        <w:t xml:space="preserve">The choice of product development is a direct response to the natural and political factors </w:t>
      </w:r>
      <w:r w:rsidR="00C24981" w:rsidRPr="002F1ACC">
        <w:rPr>
          <w:rFonts w:ascii="Arial" w:hAnsi="Arial" w:cs="Arial"/>
        </w:rPr>
        <w:t>analyzed</w:t>
      </w:r>
      <w:r w:rsidRPr="002F1ACC">
        <w:rPr>
          <w:rFonts w:ascii="Arial" w:hAnsi="Arial" w:cs="Arial"/>
        </w:rPr>
        <w:t xml:space="preserve"> in Task 1. This strategy reduces the risks of entering the market and solves a key customer problem.</w:t>
      </w:r>
    </w:p>
    <w:p w14:paraId="15389313" w14:textId="77777777" w:rsidR="004316D6" w:rsidRPr="002F1ACC" w:rsidRDefault="004316D6" w:rsidP="002F1ACC">
      <w:pPr>
        <w:spacing w:after="0" w:line="360" w:lineRule="auto"/>
        <w:rPr>
          <w:rFonts w:ascii="Arial" w:hAnsi="Arial" w:cs="Arial"/>
          <w:b/>
          <w:bCs/>
        </w:rPr>
      </w:pPr>
      <w:r w:rsidRPr="002F1ACC">
        <w:rPr>
          <w:rFonts w:ascii="Arial" w:hAnsi="Arial" w:cs="Arial"/>
          <w:b/>
          <w:bCs/>
        </w:rPr>
        <w:lastRenderedPageBreak/>
        <w:t>Reducing compliance risk for existing buyers</w:t>
      </w:r>
    </w:p>
    <w:p w14:paraId="366F0E0E" w14:textId="261497B2" w:rsidR="004316D6" w:rsidRPr="002F1ACC" w:rsidRDefault="004316D6" w:rsidP="002F1ACC">
      <w:pPr>
        <w:spacing w:after="0" w:line="360" w:lineRule="auto"/>
        <w:rPr>
          <w:rFonts w:ascii="Arial" w:hAnsi="Arial" w:cs="Arial"/>
        </w:rPr>
      </w:pPr>
      <w:r w:rsidRPr="002F1ACC">
        <w:rPr>
          <w:rFonts w:ascii="Arial" w:hAnsi="Arial" w:cs="Arial"/>
        </w:rPr>
        <w:t xml:space="preserve">The UK’s major vehicle manufacturers and infrastructure groups are under heavy pressure from supply chain audits. Tata Steel UK is reducing its customers’ Scope 3 emissions by around 90% with its new EAF product (Cox, 2026). This will keep customers with the </w:t>
      </w:r>
      <w:proofErr w:type="gramStart"/>
      <w:r w:rsidRPr="002F1ACC">
        <w:rPr>
          <w:rFonts w:ascii="Arial" w:hAnsi="Arial" w:cs="Arial"/>
        </w:rPr>
        <w:t>company</w:t>
      </w:r>
      <w:proofErr w:type="gramEnd"/>
      <w:r w:rsidRPr="002F1ACC">
        <w:rPr>
          <w:rFonts w:ascii="Arial" w:hAnsi="Arial" w:cs="Arial"/>
        </w:rPr>
        <w:t xml:space="preserve"> and they will not need to look for overseas green suppliers.</w:t>
      </w:r>
      <w:r w:rsidR="000B36A2" w:rsidRPr="002F1ACC">
        <w:rPr>
          <w:rFonts w:ascii="Arial" w:hAnsi="Arial" w:cs="Arial"/>
        </w:rPr>
        <w:br/>
      </w:r>
    </w:p>
    <w:p w14:paraId="50EA821C" w14:textId="1824A828" w:rsidR="004316D6" w:rsidRPr="002F1ACC" w:rsidRDefault="004316D6" w:rsidP="002F1ACC">
      <w:pPr>
        <w:spacing w:after="0" w:line="360" w:lineRule="auto"/>
        <w:rPr>
          <w:rFonts w:ascii="Arial" w:hAnsi="Arial" w:cs="Arial"/>
          <w:b/>
          <w:bCs/>
        </w:rPr>
      </w:pPr>
      <w:r w:rsidRPr="002F1ACC">
        <w:rPr>
          <w:rFonts w:ascii="Arial" w:hAnsi="Arial" w:cs="Arial"/>
          <w:b/>
          <w:bCs/>
        </w:rPr>
        <w:t>Benefits of the circular economy</w:t>
      </w:r>
      <w:r w:rsidR="000C476F" w:rsidRPr="002F1ACC">
        <w:rPr>
          <w:rFonts w:ascii="Arial" w:hAnsi="Arial" w:cs="Arial"/>
          <w:b/>
          <w:bCs/>
        </w:rPr>
        <w:t xml:space="preserve"> </w:t>
      </w:r>
    </w:p>
    <w:p w14:paraId="47981597" w14:textId="7F0C501E" w:rsidR="005E03DA" w:rsidRPr="002F1ACC" w:rsidRDefault="005E03DA" w:rsidP="002F1ACC">
      <w:pPr>
        <w:spacing w:after="0" w:line="360" w:lineRule="auto"/>
        <w:rPr>
          <w:rFonts w:ascii="Arial" w:hAnsi="Arial" w:cs="Arial"/>
        </w:rPr>
      </w:pPr>
      <w:r w:rsidRPr="002F1ACC">
        <w:rPr>
          <w:rFonts w:ascii="Arial" w:hAnsi="Arial" w:cs="Arial"/>
        </w:rPr>
        <w:t>According to the Ellen MacArthur Foundation (2024), the natural environment demands that the waste of valuable resources be stopped immediately. By adopting product development based on scrap-steel recycling, Tata Steel has become at the heart of the UK’s emerging circular economy. This shift will insulate the company from volatile international iron ore prices and shipping pollution, demonstrating its long-term operational strength.</w:t>
      </w:r>
      <w:r w:rsidR="000B36A2" w:rsidRPr="002F1ACC">
        <w:rPr>
          <w:rFonts w:ascii="Arial" w:hAnsi="Arial" w:cs="Arial"/>
        </w:rPr>
        <w:br/>
      </w:r>
    </w:p>
    <w:p w14:paraId="77F18C7F" w14:textId="7DFF5620" w:rsidR="004316D6" w:rsidRPr="002F1ACC" w:rsidRDefault="004316D6" w:rsidP="002F1ACC">
      <w:pPr>
        <w:spacing w:after="0" w:line="360" w:lineRule="auto"/>
        <w:rPr>
          <w:rFonts w:ascii="Arial" w:hAnsi="Arial" w:cs="Arial"/>
          <w:b/>
          <w:bCs/>
        </w:rPr>
      </w:pPr>
      <w:r w:rsidRPr="002F1ACC">
        <w:rPr>
          <w:rFonts w:ascii="Arial" w:hAnsi="Arial" w:cs="Arial"/>
          <w:b/>
          <w:bCs/>
        </w:rPr>
        <w:t>Short-term supply gap and operational challenges</w:t>
      </w:r>
    </w:p>
    <w:p w14:paraId="6A16A8A9" w14:textId="08A7D3B5" w:rsidR="00196EDC" w:rsidRPr="002F1ACC" w:rsidRDefault="004316D6" w:rsidP="002F1ACC">
      <w:pPr>
        <w:spacing w:after="0" w:line="360" w:lineRule="auto"/>
        <w:rPr>
          <w:rFonts w:ascii="Arial" w:hAnsi="Arial" w:cs="Arial"/>
        </w:rPr>
      </w:pPr>
      <w:r w:rsidRPr="002F1ACC">
        <w:rPr>
          <w:rFonts w:ascii="Arial" w:hAnsi="Arial" w:cs="Arial"/>
        </w:rPr>
        <w:t xml:space="preserve">However, this approach poses a significant short-term challenge. Local production is currently suspended as a new furnace is being built at Port Talbot. The company </w:t>
      </w:r>
      <w:proofErr w:type="gramStart"/>
      <w:r w:rsidRPr="002F1ACC">
        <w:rPr>
          <w:rFonts w:ascii="Arial" w:hAnsi="Arial" w:cs="Arial"/>
        </w:rPr>
        <w:t>has to</w:t>
      </w:r>
      <w:proofErr w:type="gramEnd"/>
      <w:r w:rsidRPr="002F1ACC">
        <w:rPr>
          <w:rFonts w:ascii="Arial" w:hAnsi="Arial" w:cs="Arial"/>
        </w:rPr>
        <w:t xml:space="preserve"> import steel slabs from India and the Netherlands to keep its UK rolling mills running (Cox, 2026). If this imported steel is high in carbon, it could temporarily damage the company’s green brand image.</w:t>
      </w:r>
    </w:p>
    <w:p w14:paraId="0C538A4C" w14:textId="77777777" w:rsidR="00C072D8" w:rsidRPr="002F1ACC" w:rsidRDefault="00C072D8" w:rsidP="002F1ACC">
      <w:pPr>
        <w:spacing w:after="0" w:line="360" w:lineRule="auto"/>
        <w:rPr>
          <w:rFonts w:ascii="Arial" w:hAnsi="Arial" w:cs="Arial"/>
        </w:rPr>
      </w:pPr>
    </w:p>
    <w:p w14:paraId="06D594B3" w14:textId="097D8D7B" w:rsidR="0071216C" w:rsidRPr="002F1ACC" w:rsidRDefault="0071216C" w:rsidP="002F1ACC">
      <w:pPr>
        <w:pStyle w:val="ListParagraph"/>
        <w:numPr>
          <w:ilvl w:val="0"/>
          <w:numId w:val="7"/>
        </w:numPr>
        <w:spacing w:after="0" w:line="360" w:lineRule="auto"/>
        <w:rPr>
          <w:rFonts w:ascii="Arial" w:hAnsi="Arial" w:cs="Arial"/>
          <w:b/>
          <w:bCs/>
        </w:rPr>
      </w:pPr>
      <w:r w:rsidRPr="002F1ACC">
        <w:rPr>
          <w:rFonts w:ascii="Arial" w:hAnsi="Arial" w:cs="Arial"/>
          <w:b/>
          <w:bCs/>
        </w:rPr>
        <w:t>Achieving Sustainable Competitive Advantage</w:t>
      </w:r>
    </w:p>
    <w:p w14:paraId="05C9730B" w14:textId="166A818B" w:rsidR="00196EDC" w:rsidRPr="002F1ACC" w:rsidRDefault="0071216C" w:rsidP="002F1ACC">
      <w:pPr>
        <w:spacing w:after="0" w:line="360" w:lineRule="auto"/>
        <w:rPr>
          <w:rFonts w:ascii="Arial" w:hAnsi="Arial" w:cs="Arial"/>
        </w:rPr>
      </w:pPr>
      <w:r w:rsidRPr="002F1ACC">
        <w:rPr>
          <w:rFonts w:ascii="Arial" w:hAnsi="Arial" w:cs="Arial"/>
        </w:rPr>
        <w:t xml:space="preserve">Competitive advantage is achieved when a company has capabilities that provide superior value to customers than its competitors. During the low-carbon transition, Tata Steel UK will not be able to compete on cost leadership, as electricity prices in the UK are volatile (IE, 2025). Therefore, Tata </w:t>
      </w:r>
      <w:r w:rsidR="008F77D1" w:rsidRPr="002F1ACC">
        <w:rPr>
          <w:rFonts w:ascii="Arial" w:hAnsi="Arial" w:cs="Arial"/>
        </w:rPr>
        <w:t>Steel</w:t>
      </w:r>
      <w:r w:rsidRPr="002F1ACC">
        <w:rPr>
          <w:rFonts w:ascii="Arial" w:hAnsi="Arial" w:cs="Arial"/>
        </w:rPr>
        <w:t xml:space="preserve"> will have to build its competitive advantage on two main pillars: Sustainable Differentiation and Regulatory Lock-In.</w:t>
      </w:r>
      <w:r w:rsidR="000B36A2" w:rsidRPr="002F1ACC">
        <w:rPr>
          <w:rFonts w:ascii="Arial" w:hAnsi="Arial" w:cs="Arial"/>
        </w:rPr>
        <w:br/>
      </w:r>
    </w:p>
    <w:p w14:paraId="12B5FEE8" w14:textId="56915D58" w:rsidR="00D46561" w:rsidRPr="002F1ACC" w:rsidRDefault="00D46561" w:rsidP="002F1ACC">
      <w:pPr>
        <w:spacing w:after="0" w:line="360" w:lineRule="auto"/>
        <w:rPr>
          <w:rFonts w:ascii="Arial" w:hAnsi="Arial" w:cs="Arial"/>
          <w:b/>
          <w:bCs/>
        </w:rPr>
      </w:pPr>
      <w:r w:rsidRPr="002F1ACC">
        <w:rPr>
          <w:rFonts w:ascii="Arial" w:hAnsi="Arial" w:cs="Arial"/>
          <w:b/>
          <w:bCs/>
        </w:rPr>
        <w:t>Sustainable differentiation and ‘green premium’:</w:t>
      </w:r>
    </w:p>
    <w:p w14:paraId="6B00C360" w14:textId="051644F7" w:rsidR="00D46561" w:rsidRPr="002F1ACC" w:rsidRDefault="00621571" w:rsidP="002F1ACC">
      <w:pPr>
        <w:spacing w:after="0" w:line="360" w:lineRule="auto"/>
        <w:rPr>
          <w:rFonts w:ascii="Arial" w:hAnsi="Arial" w:cs="Arial"/>
        </w:rPr>
      </w:pPr>
      <w:r w:rsidRPr="002F1ACC">
        <w:rPr>
          <w:rFonts w:ascii="Arial" w:hAnsi="Arial" w:cs="Arial"/>
        </w:rPr>
        <w:lastRenderedPageBreak/>
        <w:t>Tata Steel can market its steel as premium ‘green steel’ through the new EAF technology. Cheap but polluting steel from other countries will not be able to meet the new carbon regulations. Therefore, conscious consumers will be willing to pay a higher price (Green Premium) for Tata steel to avoid government penalties and to maintain their reputation, which will protect the company from a global price war (Aviva Investors, 2025).</w:t>
      </w:r>
      <w:r w:rsidR="009744FE" w:rsidRPr="002F1ACC">
        <w:rPr>
          <w:rFonts w:ascii="Arial" w:hAnsi="Arial" w:cs="Arial"/>
        </w:rPr>
        <w:br/>
      </w:r>
      <w:r w:rsidR="00200936" w:rsidRPr="002F1ACC">
        <w:rPr>
          <w:rFonts w:ascii="Arial" w:hAnsi="Arial" w:cs="Arial"/>
        </w:rPr>
        <w:br/>
      </w:r>
      <w:r w:rsidR="00200936" w:rsidRPr="002F1ACC">
        <w:rPr>
          <w:rFonts w:ascii="Arial" w:hAnsi="Arial" w:cs="Arial"/>
          <w:b/>
          <w:bCs/>
        </w:rPr>
        <w:t>Analysis</w:t>
      </w:r>
      <w:r w:rsidR="00200936" w:rsidRPr="002F1ACC">
        <w:rPr>
          <w:rFonts w:ascii="Arial" w:hAnsi="Arial" w:cs="Arial"/>
        </w:rPr>
        <w:t xml:space="preserve">: </w:t>
      </w:r>
      <w:r w:rsidR="0034076E" w:rsidRPr="002F1ACC">
        <w:rPr>
          <w:rFonts w:ascii="Arial" w:hAnsi="Arial" w:cs="Arial"/>
        </w:rPr>
        <w:t>Since consumers in the B2B market are very price sensitive, Tata Steel cannot assume that they will pay more for ‘green steel’. The company will have to convince consumers through marketing that this little extra cost now will save them from heavy carbon taxes and penalties in the future. In short, Tata will have to do strategic marketing so that consumers see this green premium not as a ‘cost’ but as a ‘long-term economic benefit’.</w:t>
      </w:r>
      <w:r w:rsidR="0034076E" w:rsidRPr="002F1ACC">
        <w:rPr>
          <w:rFonts w:ascii="Arial" w:hAnsi="Arial" w:cs="Arial"/>
        </w:rPr>
        <w:br/>
      </w:r>
    </w:p>
    <w:p w14:paraId="11E0CA12" w14:textId="0BF80A63" w:rsidR="00D46561" w:rsidRPr="002F1ACC" w:rsidRDefault="00D46561" w:rsidP="002F1ACC">
      <w:pPr>
        <w:spacing w:after="0" w:line="360" w:lineRule="auto"/>
        <w:rPr>
          <w:rFonts w:ascii="Arial" w:hAnsi="Arial" w:cs="Arial"/>
          <w:b/>
          <w:bCs/>
        </w:rPr>
      </w:pPr>
      <w:r w:rsidRPr="002F1ACC">
        <w:rPr>
          <w:rFonts w:ascii="Arial" w:hAnsi="Arial" w:cs="Arial"/>
          <w:b/>
          <w:bCs/>
        </w:rPr>
        <w:t>Legal alignment and regulatory fortification</w:t>
      </w:r>
      <w:r w:rsidR="00550A15" w:rsidRPr="002F1ACC">
        <w:rPr>
          <w:rFonts w:ascii="Arial" w:hAnsi="Arial" w:cs="Arial"/>
          <w:b/>
          <w:bCs/>
        </w:rPr>
        <w:t>:</w:t>
      </w:r>
    </w:p>
    <w:p w14:paraId="70EDCAA5" w14:textId="758B119B" w:rsidR="00D46561" w:rsidRPr="002F1ACC" w:rsidRDefault="0018713C" w:rsidP="002F1ACC">
      <w:pPr>
        <w:spacing w:after="0" w:line="360" w:lineRule="auto"/>
        <w:rPr>
          <w:rFonts w:ascii="Arial" w:hAnsi="Arial" w:cs="Arial"/>
        </w:rPr>
      </w:pPr>
      <w:r w:rsidRPr="002F1ACC">
        <w:rPr>
          <w:rFonts w:ascii="Arial" w:hAnsi="Arial" w:cs="Arial"/>
        </w:rPr>
        <w:t>The UK government's new 'Green Public Procurement 2025' rules now mandate that low-carbon materials be prioritised in public infrastructure projects (such as railways, schools, etc.). Tata Steel will become the first domestic company to complete a large-scale EAF (Electric Arc Furnace) transition in the UK. This will give the company a regulatory advantage that will lock out foreign competitors.</w:t>
      </w:r>
      <w:r w:rsidR="000B36A2" w:rsidRPr="002F1ACC">
        <w:rPr>
          <w:rFonts w:ascii="Arial" w:hAnsi="Arial" w:cs="Arial"/>
        </w:rPr>
        <w:br/>
      </w:r>
    </w:p>
    <w:p w14:paraId="240BDD21" w14:textId="77777777" w:rsidR="00550A15" w:rsidRPr="002F1ACC" w:rsidRDefault="00D46561" w:rsidP="002F1ACC">
      <w:pPr>
        <w:spacing w:after="0" w:line="360" w:lineRule="auto"/>
        <w:rPr>
          <w:rFonts w:ascii="Arial" w:hAnsi="Arial" w:cs="Arial"/>
          <w:b/>
          <w:bCs/>
        </w:rPr>
      </w:pPr>
      <w:r w:rsidRPr="002F1ACC">
        <w:rPr>
          <w:rFonts w:ascii="Arial" w:hAnsi="Arial" w:cs="Arial"/>
          <w:b/>
          <w:bCs/>
        </w:rPr>
        <w:t>Managing social brand capital</w:t>
      </w:r>
      <w:r w:rsidR="00550A15" w:rsidRPr="002F1ACC">
        <w:rPr>
          <w:rFonts w:ascii="Arial" w:hAnsi="Arial" w:cs="Arial"/>
          <w:b/>
          <w:bCs/>
        </w:rPr>
        <w:t>:</w:t>
      </w:r>
    </w:p>
    <w:p w14:paraId="651E5566" w14:textId="38147630" w:rsidR="00D46561" w:rsidRPr="002F1ACC" w:rsidRDefault="00D46561" w:rsidP="002F1ACC">
      <w:pPr>
        <w:spacing w:after="0" w:line="360" w:lineRule="auto"/>
        <w:rPr>
          <w:rFonts w:ascii="Arial" w:hAnsi="Arial" w:cs="Arial"/>
        </w:rPr>
      </w:pPr>
      <w:r w:rsidRPr="002F1ACC">
        <w:rPr>
          <w:rFonts w:ascii="Arial" w:hAnsi="Arial" w:cs="Arial"/>
        </w:rPr>
        <w:t>A major threat to the company’s competitive advantage is the social backlash caused by the loss of around 2,000 jobs at Port Talbot (Cox, 2026). To overcome this negativity, Tata Steel will need to change its marketing communications strategy. The company will need to position itself not as a mere job-cutting organisation, but as a “Green Champion” of British manufacturing, creating a positive image among consumers and society.</w:t>
      </w:r>
      <w:r w:rsidR="000B36A2" w:rsidRPr="002F1ACC">
        <w:rPr>
          <w:rFonts w:ascii="Arial" w:hAnsi="Arial" w:cs="Arial"/>
        </w:rPr>
        <w:br/>
      </w:r>
    </w:p>
    <w:p w14:paraId="6A91A600" w14:textId="7B083079" w:rsidR="00B65FEB" w:rsidRPr="002F1ACC" w:rsidRDefault="00B65FEB" w:rsidP="002F1ACC">
      <w:pPr>
        <w:spacing w:after="0" w:line="360" w:lineRule="auto"/>
        <w:rPr>
          <w:rFonts w:ascii="Arial" w:hAnsi="Arial" w:cs="Arial"/>
          <w:b/>
          <w:bCs/>
        </w:rPr>
      </w:pPr>
      <w:r w:rsidRPr="002F1ACC">
        <w:rPr>
          <w:rFonts w:ascii="Arial" w:hAnsi="Arial" w:cs="Arial"/>
          <w:b/>
          <w:bCs/>
        </w:rPr>
        <w:t>Strategic Implementation Challenges</w:t>
      </w:r>
    </w:p>
    <w:p w14:paraId="67E29327" w14:textId="6FD7B15E" w:rsidR="00B65FEB" w:rsidRPr="002F1ACC" w:rsidRDefault="00B65FEB" w:rsidP="002F1ACC">
      <w:pPr>
        <w:spacing w:after="0" w:line="360" w:lineRule="auto"/>
        <w:rPr>
          <w:rFonts w:ascii="Arial" w:hAnsi="Arial" w:cs="Arial"/>
        </w:rPr>
      </w:pPr>
      <w:r w:rsidRPr="002F1ACC">
        <w:rPr>
          <w:rFonts w:ascii="Arial" w:hAnsi="Arial" w:cs="Arial"/>
        </w:rPr>
        <w:lastRenderedPageBreak/>
        <w:t>While this strategic approach is theoretically sound, there are two main risks to its implementation:</w:t>
      </w:r>
      <w:r w:rsidR="0079544A" w:rsidRPr="002F1ACC">
        <w:rPr>
          <w:rFonts w:ascii="Arial" w:hAnsi="Arial" w:cs="Arial"/>
        </w:rPr>
        <w:br/>
      </w:r>
    </w:p>
    <w:p w14:paraId="7A341B67" w14:textId="40BC4335" w:rsidR="00B65FEB" w:rsidRPr="002F1ACC" w:rsidRDefault="00B65FEB" w:rsidP="002F1ACC">
      <w:pPr>
        <w:spacing w:after="0" w:line="360" w:lineRule="auto"/>
        <w:rPr>
          <w:rFonts w:ascii="Arial" w:hAnsi="Arial" w:cs="Arial"/>
        </w:rPr>
      </w:pPr>
      <w:r w:rsidRPr="002F1ACC">
        <w:rPr>
          <w:rFonts w:ascii="Arial" w:hAnsi="Arial" w:cs="Arial"/>
          <w:b/>
          <w:bCs/>
        </w:rPr>
        <w:t>Grid infrastructure bottleneck</w:t>
      </w:r>
      <w:r w:rsidR="00540359" w:rsidRPr="002F1ACC">
        <w:rPr>
          <w:rFonts w:ascii="Arial" w:hAnsi="Arial" w:cs="Arial"/>
          <w:b/>
          <w:bCs/>
        </w:rPr>
        <w:t xml:space="preserve"> </w:t>
      </w:r>
      <w:r w:rsidR="003907B2" w:rsidRPr="002F1ACC">
        <w:rPr>
          <w:rFonts w:ascii="Arial" w:hAnsi="Arial" w:cs="Arial"/>
          <w:b/>
          <w:bCs/>
        </w:rPr>
        <w:t xml:space="preserve">(National Grid plc, 2025): </w:t>
      </w:r>
      <w:r w:rsidRPr="002F1ACC">
        <w:rPr>
          <w:rFonts w:ascii="Arial" w:hAnsi="Arial" w:cs="Arial"/>
        </w:rPr>
        <w:t>The EAF plant requires a significant amount of electricity to operate. Delays in connecting to the UK’s National Grid could disrupt the project schedule (IE, 2025). If the launch is delayed, international green steel suppliers could take Tata’s market share.</w:t>
      </w:r>
      <w:r w:rsidR="0079544A" w:rsidRPr="002F1ACC">
        <w:rPr>
          <w:rFonts w:ascii="Arial" w:hAnsi="Arial" w:cs="Arial"/>
        </w:rPr>
        <w:br/>
      </w:r>
    </w:p>
    <w:p w14:paraId="22670D15" w14:textId="116B1D00" w:rsidR="00196EDC" w:rsidRPr="002F1ACC" w:rsidRDefault="00B65FEB" w:rsidP="002F1ACC">
      <w:pPr>
        <w:spacing w:after="0" w:line="360" w:lineRule="auto"/>
        <w:rPr>
          <w:rFonts w:ascii="Arial" w:hAnsi="Arial" w:cs="Arial"/>
        </w:rPr>
      </w:pPr>
      <w:r w:rsidRPr="002F1ACC">
        <w:rPr>
          <w:rFonts w:ascii="Arial" w:hAnsi="Arial" w:cs="Arial"/>
          <w:b/>
          <w:bCs/>
        </w:rPr>
        <w:t>Greenwashing risk</w:t>
      </w:r>
      <w:r w:rsidR="00D45264" w:rsidRPr="002F1ACC">
        <w:rPr>
          <w:rFonts w:ascii="Arial" w:hAnsi="Arial" w:cs="Arial"/>
          <w:b/>
          <w:bCs/>
        </w:rPr>
        <w:t xml:space="preserve"> (Walker &amp; Wan, 2024)</w:t>
      </w:r>
      <w:r w:rsidRPr="002F1ACC">
        <w:rPr>
          <w:rFonts w:ascii="Arial" w:hAnsi="Arial" w:cs="Arial"/>
          <w:b/>
          <w:bCs/>
        </w:rPr>
        <w:t>:</w:t>
      </w:r>
      <w:r w:rsidRPr="002F1ACC">
        <w:rPr>
          <w:rFonts w:ascii="Arial" w:hAnsi="Arial" w:cs="Arial"/>
        </w:rPr>
        <w:t xml:space="preserve"> If the backend power grid is still dependent on fossil fuels in the early stages of the transition, critics could accuse the company of ‘greenwashing’ (false environmentalism), which would immediately erode the company’s competitive advantage.</w:t>
      </w:r>
      <w:r w:rsidR="0079544A" w:rsidRPr="002F1ACC">
        <w:rPr>
          <w:rFonts w:ascii="Arial" w:hAnsi="Arial" w:cs="Arial"/>
        </w:rPr>
        <w:br/>
      </w:r>
    </w:p>
    <w:p w14:paraId="4446D1EE" w14:textId="6E382D3F" w:rsidR="00FC5474" w:rsidRPr="002F1ACC" w:rsidRDefault="00FC5474" w:rsidP="002F1ACC">
      <w:pPr>
        <w:spacing w:after="0" w:line="360" w:lineRule="auto"/>
        <w:rPr>
          <w:rFonts w:ascii="Arial" w:hAnsi="Arial" w:cs="Arial"/>
          <w:b/>
          <w:bCs/>
        </w:rPr>
      </w:pPr>
      <w:r w:rsidRPr="002F1ACC">
        <w:rPr>
          <w:rFonts w:ascii="Arial" w:hAnsi="Arial" w:cs="Arial"/>
          <w:b/>
          <w:bCs/>
        </w:rPr>
        <w:t>Conclusion:</w:t>
      </w:r>
    </w:p>
    <w:p w14:paraId="16D0FD4B" w14:textId="6884C918" w:rsidR="00196EDC" w:rsidRPr="002F1ACC" w:rsidRDefault="0094200E" w:rsidP="002F1ACC">
      <w:pPr>
        <w:spacing w:after="0" w:line="360" w:lineRule="auto"/>
        <w:rPr>
          <w:rFonts w:ascii="Arial" w:hAnsi="Arial" w:cs="Arial"/>
        </w:rPr>
      </w:pPr>
      <w:r w:rsidRPr="002F1ACC">
        <w:rPr>
          <w:rFonts w:ascii="Arial" w:hAnsi="Arial" w:cs="Arial"/>
        </w:rPr>
        <w:t>The traditional model is unviable for Tata Steel UK in the future. The company can maintain its market share through Ansoff's product development strategy (EAF steel). This transformation creates a strong competitive advantage through sustainable differentiation and government regulation. If the company solves the grid and brand challenges, it will gain long-term leadership in the British economy.</w:t>
      </w:r>
    </w:p>
    <w:p w14:paraId="59EC11C8" w14:textId="77777777" w:rsidR="0087108A" w:rsidRPr="002F1ACC" w:rsidRDefault="0087108A" w:rsidP="002F1ACC">
      <w:pPr>
        <w:spacing w:after="0" w:line="360" w:lineRule="auto"/>
        <w:jc w:val="center"/>
        <w:rPr>
          <w:rFonts w:ascii="Arial" w:hAnsi="Arial" w:cs="Arial"/>
          <w:b/>
          <w:bCs/>
        </w:rPr>
      </w:pPr>
    </w:p>
    <w:p w14:paraId="1287875B" w14:textId="77777777" w:rsidR="00E05971" w:rsidRPr="002F1ACC" w:rsidRDefault="00E05971" w:rsidP="002F1ACC">
      <w:pPr>
        <w:spacing w:after="0" w:line="360" w:lineRule="auto"/>
        <w:jc w:val="center"/>
        <w:rPr>
          <w:rFonts w:ascii="Arial" w:hAnsi="Arial" w:cs="Arial"/>
          <w:b/>
          <w:bCs/>
        </w:rPr>
      </w:pPr>
    </w:p>
    <w:p w14:paraId="31ACE961" w14:textId="77777777" w:rsidR="00E05971" w:rsidRPr="002F1ACC" w:rsidRDefault="00E05971" w:rsidP="002F1ACC">
      <w:pPr>
        <w:spacing w:after="0" w:line="360" w:lineRule="auto"/>
        <w:jc w:val="center"/>
        <w:rPr>
          <w:rFonts w:ascii="Arial" w:hAnsi="Arial" w:cs="Arial"/>
          <w:b/>
          <w:bCs/>
        </w:rPr>
      </w:pPr>
    </w:p>
    <w:p w14:paraId="054BAFA1" w14:textId="77777777" w:rsidR="00E05971" w:rsidRPr="002F1ACC" w:rsidRDefault="00E05971" w:rsidP="002F1ACC">
      <w:pPr>
        <w:spacing w:after="0" w:line="360" w:lineRule="auto"/>
        <w:jc w:val="center"/>
        <w:rPr>
          <w:rFonts w:ascii="Arial" w:hAnsi="Arial" w:cs="Arial"/>
          <w:b/>
          <w:bCs/>
        </w:rPr>
      </w:pPr>
    </w:p>
    <w:p w14:paraId="09F99298" w14:textId="77777777" w:rsidR="00E05971" w:rsidRPr="002F1ACC" w:rsidRDefault="00E05971" w:rsidP="002F1ACC">
      <w:pPr>
        <w:spacing w:after="0" w:line="360" w:lineRule="auto"/>
        <w:jc w:val="center"/>
        <w:rPr>
          <w:rFonts w:ascii="Arial" w:hAnsi="Arial" w:cs="Arial"/>
          <w:b/>
          <w:bCs/>
        </w:rPr>
      </w:pPr>
    </w:p>
    <w:p w14:paraId="3F06F0C9" w14:textId="77777777" w:rsidR="00E05971" w:rsidRPr="002F1ACC" w:rsidRDefault="00E05971" w:rsidP="002F1ACC">
      <w:pPr>
        <w:spacing w:after="0" w:line="360" w:lineRule="auto"/>
        <w:jc w:val="center"/>
        <w:rPr>
          <w:rFonts w:ascii="Arial" w:hAnsi="Arial" w:cs="Arial"/>
          <w:b/>
          <w:bCs/>
        </w:rPr>
      </w:pPr>
    </w:p>
    <w:p w14:paraId="0481A584" w14:textId="77777777" w:rsidR="00E05971" w:rsidRPr="002F1ACC" w:rsidRDefault="00E05971" w:rsidP="002F1ACC">
      <w:pPr>
        <w:spacing w:after="0" w:line="360" w:lineRule="auto"/>
        <w:jc w:val="center"/>
        <w:rPr>
          <w:rFonts w:ascii="Arial" w:hAnsi="Arial" w:cs="Arial"/>
          <w:b/>
          <w:bCs/>
        </w:rPr>
      </w:pPr>
    </w:p>
    <w:p w14:paraId="2115A8AC" w14:textId="77777777" w:rsidR="00E05971" w:rsidRPr="002F1ACC" w:rsidRDefault="00E05971" w:rsidP="002F1ACC">
      <w:pPr>
        <w:spacing w:after="0" w:line="360" w:lineRule="auto"/>
        <w:jc w:val="center"/>
        <w:rPr>
          <w:rFonts w:ascii="Arial" w:hAnsi="Arial" w:cs="Arial"/>
          <w:b/>
          <w:bCs/>
        </w:rPr>
      </w:pPr>
    </w:p>
    <w:p w14:paraId="019CD8D5" w14:textId="77777777" w:rsidR="00E05971" w:rsidRPr="002F1ACC" w:rsidRDefault="00E05971" w:rsidP="002F1ACC">
      <w:pPr>
        <w:spacing w:after="0" w:line="360" w:lineRule="auto"/>
        <w:jc w:val="center"/>
        <w:rPr>
          <w:rFonts w:ascii="Arial" w:hAnsi="Arial" w:cs="Arial"/>
          <w:b/>
          <w:bCs/>
        </w:rPr>
      </w:pPr>
    </w:p>
    <w:p w14:paraId="4E4A05B3" w14:textId="77777777" w:rsidR="00E05971" w:rsidRPr="002F1ACC" w:rsidRDefault="00E05971" w:rsidP="002F1ACC">
      <w:pPr>
        <w:spacing w:after="0" w:line="360" w:lineRule="auto"/>
        <w:jc w:val="center"/>
        <w:rPr>
          <w:rFonts w:ascii="Arial" w:hAnsi="Arial" w:cs="Arial"/>
          <w:b/>
          <w:bCs/>
        </w:rPr>
      </w:pPr>
    </w:p>
    <w:p w14:paraId="384718C8" w14:textId="77777777" w:rsidR="00E05971" w:rsidRPr="002F1ACC" w:rsidRDefault="00E05971" w:rsidP="002F1ACC">
      <w:pPr>
        <w:spacing w:after="0" w:line="360" w:lineRule="auto"/>
        <w:jc w:val="center"/>
        <w:rPr>
          <w:rFonts w:ascii="Arial" w:hAnsi="Arial" w:cs="Arial"/>
          <w:b/>
          <w:bCs/>
        </w:rPr>
      </w:pPr>
    </w:p>
    <w:p w14:paraId="69417D5C" w14:textId="77777777" w:rsidR="00E05971" w:rsidRPr="002F1ACC" w:rsidRDefault="00E05971" w:rsidP="002F1ACC">
      <w:pPr>
        <w:spacing w:after="0" w:line="360" w:lineRule="auto"/>
        <w:jc w:val="center"/>
        <w:rPr>
          <w:rFonts w:ascii="Arial" w:hAnsi="Arial" w:cs="Arial"/>
          <w:b/>
          <w:bCs/>
        </w:rPr>
      </w:pPr>
    </w:p>
    <w:p w14:paraId="57FC20CE" w14:textId="1A8E8999" w:rsidR="00196EDC" w:rsidRPr="002F1ACC" w:rsidRDefault="00E41423" w:rsidP="002F1ACC">
      <w:pPr>
        <w:spacing w:after="0" w:line="360" w:lineRule="auto"/>
        <w:jc w:val="center"/>
        <w:rPr>
          <w:rFonts w:ascii="Arial" w:hAnsi="Arial" w:cs="Arial"/>
          <w:b/>
          <w:bCs/>
        </w:rPr>
      </w:pPr>
      <w:r w:rsidRPr="002F1ACC">
        <w:rPr>
          <w:rFonts w:ascii="Arial" w:hAnsi="Arial" w:cs="Arial"/>
          <w:b/>
          <w:bCs/>
        </w:rPr>
        <w:lastRenderedPageBreak/>
        <w:t>Task 3: Critical Reflection on AI Usage (20%) – 500 words</w:t>
      </w:r>
    </w:p>
    <w:p w14:paraId="23A70A8A" w14:textId="77777777" w:rsidR="004731A7" w:rsidRPr="002F1ACC" w:rsidRDefault="004731A7" w:rsidP="002F1ACC">
      <w:pPr>
        <w:spacing w:after="0" w:line="360" w:lineRule="auto"/>
        <w:jc w:val="center"/>
        <w:rPr>
          <w:rFonts w:ascii="Arial" w:hAnsi="Arial" w:cs="Arial"/>
          <w:b/>
          <w:bCs/>
        </w:rPr>
      </w:pPr>
    </w:p>
    <w:p w14:paraId="1D72771A" w14:textId="77777777" w:rsidR="00B16B81" w:rsidRPr="002F1ACC" w:rsidRDefault="00B16B81" w:rsidP="002F1ACC">
      <w:pPr>
        <w:spacing w:after="0" w:line="360" w:lineRule="auto"/>
        <w:rPr>
          <w:rFonts w:ascii="Arial" w:hAnsi="Arial" w:cs="Arial"/>
          <w:b/>
          <w:bCs/>
        </w:rPr>
      </w:pPr>
      <w:r w:rsidRPr="002F1ACC">
        <w:rPr>
          <w:rFonts w:ascii="Arial" w:hAnsi="Arial" w:cs="Arial"/>
          <w:b/>
          <w:bCs/>
        </w:rPr>
        <w:t>Tool Disclosure:</w:t>
      </w:r>
    </w:p>
    <w:p w14:paraId="4B4FF4D0" w14:textId="732F5E5E" w:rsidR="00B16B81" w:rsidRPr="002F1ACC" w:rsidRDefault="00B16B81" w:rsidP="002F1ACC">
      <w:pPr>
        <w:spacing w:after="0" w:line="360" w:lineRule="auto"/>
        <w:rPr>
          <w:rFonts w:ascii="Arial" w:hAnsi="Arial" w:cs="Arial"/>
        </w:rPr>
      </w:pPr>
      <w:r w:rsidRPr="002F1ACC">
        <w:rPr>
          <w:rFonts w:ascii="Arial" w:hAnsi="Arial" w:cs="Arial"/>
        </w:rPr>
        <w:t>In preparing this report, the large language model 'Gemini' (Google, 2026) developed by Google was used only as a tool for digital proofreading (correcting errors) and minor visual aids. In accordance with university guidelines, all major structural frameworks, market research and strategic choices — in particular the use of Ansoff's Matrix (Ansoff, 1957) and Porter’s Generic Strategies (Porter, 1985</w:t>
      </w:r>
      <w:proofErr w:type="gramStart"/>
      <w:r w:rsidRPr="002F1ACC">
        <w:rPr>
          <w:rFonts w:ascii="Arial" w:hAnsi="Arial" w:cs="Arial"/>
        </w:rPr>
        <w:t>)  were</w:t>
      </w:r>
      <w:proofErr w:type="gramEnd"/>
      <w:r w:rsidRPr="002F1ACC">
        <w:rPr>
          <w:rFonts w:ascii="Arial" w:hAnsi="Arial" w:cs="Arial"/>
        </w:rPr>
        <w:t xml:space="preserve"> made by the author (student) himself. The AI ​​tool was used only in the final stages to check for grammatical errors, improve sentence structure and help prepare the basic data outline for creating the visual matrix in Task 2.</w:t>
      </w:r>
    </w:p>
    <w:p w14:paraId="556FBDA2" w14:textId="77777777" w:rsidR="00B16B81" w:rsidRPr="002F1ACC" w:rsidRDefault="00B16B81" w:rsidP="002F1ACC">
      <w:pPr>
        <w:spacing w:after="0" w:line="360" w:lineRule="auto"/>
        <w:rPr>
          <w:rFonts w:ascii="Arial" w:hAnsi="Arial" w:cs="Arial"/>
          <w:b/>
          <w:bCs/>
        </w:rPr>
      </w:pPr>
    </w:p>
    <w:p w14:paraId="3ACAC32C" w14:textId="77777777" w:rsidR="00B16B81" w:rsidRPr="002F1ACC" w:rsidRDefault="00B16B81" w:rsidP="002F1ACC">
      <w:pPr>
        <w:spacing w:after="0" w:line="360" w:lineRule="auto"/>
        <w:rPr>
          <w:rFonts w:ascii="Arial" w:hAnsi="Arial" w:cs="Arial"/>
          <w:b/>
          <w:bCs/>
        </w:rPr>
      </w:pPr>
      <w:r w:rsidRPr="002F1ACC">
        <w:rPr>
          <w:rFonts w:ascii="Arial" w:hAnsi="Arial" w:cs="Arial"/>
          <w:b/>
          <w:bCs/>
        </w:rPr>
        <w:t>Critical Evaluation of AI Output:</w:t>
      </w:r>
    </w:p>
    <w:p w14:paraId="0FAE483A" w14:textId="77777777" w:rsidR="00B16B81" w:rsidRPr="002F1ACC" w:rsidRDefault="00B16B81" w:rsidP="002F1ACC">
      <w:pPr>
        <w:spacing w:after="0" w:line="360" w:lineRule="auto"/>
        <w:rPr>
          <w:rFonts w:ascii="Arial" w:hAnsi="Arial" w:cs="Arial"/>
        </w:rPr>
      </w:pPr>
      <w:r w:rsidRPr="002F1ACC">
        <w:rPr>
          <w:rFonts w:ascii="Arial" w:hAnsi="Arial" w:cs="Arial"/>
        </w:rPr>
        <w:t>The output of generative AI cannot be fully relied upon for academic research due to the systemic risks of data hallucination (creating false information) and analytical over-simplification. Therefore, to ensure the accuracy of the facts regarding Tata Steel UK’s Port Talbot transition, a rigorous manual audit process was conducted against the original primary sources, such as Cox (2026)’s Industrial Policy Study and Aviva Investors (2025) updates.</w:t>
      </w:r>
    </w:p>
    <w:p w14:paraId="2C15995C" w14:textId="77777777" w:rsidR="00B16B81" w:rsidRPr="002F1ACC" w:rsidRDefault="00B16B81" w:rsidP="002F1ACC">
      <w:pPr>
        <w:spacing w:after="0" w:line="360" w:lineRule="auto"/>
        <w:rPr>
          <w:rFonts w:ascii="Arial" w:hAnsi="Arial" w:cs="Arial"/>
        </w:rPr>
      </w:pPr>
    </w:p>
    <w:p w14:paraId="53A9326A" w14:textId="77777777" w:rsidR="00B16B81" w:rsidRPr="002F1ACC" w:rsidRDefault="00B16B81" w:rsidP="002F1ACC">
      <w:pPr>
        <w:spacing w:after="0" w:line="360" w:lineRule="auto"/>
        <w:rPr>
          <w:rFonts w:ascii="Arial" w:hAnsi="Arial" w:cs="Arial"/>
        </w:rPr>
      </w:pPr>
      <w:r w:rsidRPr="002F1ACC">
        <w:rPr>
          <w:rFonts w:ascii="Arial" w:hAnsi="Arial" w:cs="Arial"/>
        </w:rPr>
        <w:t>During the grammar and text proofreading process, some significant contextual errors and formatting inconsistencies were caught and manually corrected. Additionally, in-text tracking, such as adding references to specific page numbers from Principles of Marketing (Kotler et al., 2024, pp. 115-117), was done entirely manually to maintain academic integrity.</w:t>
      </w:r>
    </w:p>
    <w:p w14:paraId="1CFFFE1A" w14:textId="77777777" w:rsidR="00B16B81" w:rsidRPr="002F1ACC" w:rsidRDefault="00B16B81" w:rsidP="002F1ACC">
      <w:pPr>
        <w:spacing w:after="0" w:line="360" w:lineRule="auto"/>
        <w:rPr>
          <w:rFonts w:ascii="Arial" w:hAnsi="Arial" w:cs="Arial"/>
        </w:rPr>
      </w:pPr>
    </w:p>
    <w:p w14:paraId="23C3ED02" w14:textId="77777777" w:rsidR="00B16B81" w:rsidRPr="002F1ACC" w:rsidRDefault="00B16B81" w:rsidP="002F1ACC">
      <w:pPr>
        <w:spacing w:after="0" w:line="360" w:lineRule="auto"/>
        <w:rPr>
          <w:rFonts w:ascii="Arial" w:hAnsi="Arial" w:cs="Arial"/>
          <w:b/>
          <w:bCs/>
        </w:rPr>
      </w:pPr>
      <w:r w:rsidRPr="002F1ACC">
        <w:rPr>
          <w:rFonts w:ascii="Arial" w:hAnsi="Arial" w:cs="Arial"/>
          <w:b/>
          <w:bCs/>
        </w:rPr>
        <w:t>Contribution Analysis:</w:t>
      </w:r>
    </w:p>
    <w:p w14:paraId="2E683D18" w14:textId="77777777" w:rsidR="00B16B81" w:rsidRPr="002F1ACC" w:rsidRDefault="00B16B81" w:rsidP="002F1ACC">
      <w:pPr>
        <w:spacing w:after="0" w:line="360" w:lineRule="auto"/>
        <w:rPr>
          <w:rFonts w:ascii="Arial" w:hAnsi="Arial" w:cs="Arial"/>
        </w:rPr>
      </w:pPr>
      <w:r w:rsidRPr="002F1ACC">
        <w:rPr>
          <w:rFonts w:ascii="Arial" w:hAnsi="Arial" w:cs="Arial"/>
        </w:rPr>
        <w:t xml:space="preserve">There is a clear line between mere automated proofreading (correcting grammar) and true human academic synthesis. The entire intellectual roadmap, logical flow, and task distribution in this assignment were developed independently without any AI tools. AI’s </w:t>
      </w:r>
      <w:r w:rsidRPr="002F1ACC">
        <w:rPr>
          <w:rFonts w:ascii="Arial" w:hAnsi="Arial" w:cs="Arial"/>
        </w:rPr>
        <w:lastRenderedPageBreak/>
        <w:t>contribution was entirely limited to technical changes, such as correcting passive verbs, correcting punctuation errors, and making the text easier to read.</w:t>
      </w:r>
    </w:p>
    <w:p w14:paraId="6FFC939D" w14:textId="77777777" w:rsidR="00B16B81" w:rsidRPr="002F1ACC" w:rsidRDefault="00B16B81" w:rsidP="002F1ACC">
      <w:pPr>
        <w:spacing w:after="0" w:line="360" w:lineRule="auto"/>
        <w:rPr>
          <w:rFonts w:ascii="Arial" w:hAnsi="Arial" w:cs="Arial"/>
        </w:rPr>
      </w:pPr>
    </w:p>
    <w:p w14:paraId="47B7DC54" w14:textId="77777777" w:rsidR="00B16B81" w:rsidRPr="002F1ACC" w:rsidRDefault="00B16B81" w:rsidP="002F1ACC">
      <w:pPr>
        <w:spacing w:after="0" w:line="360" w:lineRule="auto"/>
        <w:rPr>
          <w:rFonts w:ascii="Arial" w:hAnsi="Arial" w:cs="Arial"/>
        </w:rPr>
      </w:pPr>
      <w:r w:rsidRPr="002F1ACC">
        <w:rPr>
          <w:rFonts w:ascii="Arial" w:hAnsi="Arial" w:cs="Arial"/>
        </w:rPr>
        <w:t>In contrast, key business and socio-economic assessments — such as analysing the supply-chain risks of importing steel slabs from India, assessing the financial risks of grid connection delays with National Grid plc (2025), and examining consumer sensitivity to B2B green premium prices — are entirely the result of my own critical thinking.</w:t>
      </w:r>
    </w:p>
    <w:p w14:paraId="738C6ABD" w14:textId="77777777" w:rsidR="00B16B81" w:rsidRPr="002F1ACC" w:rsidRDefault="00B16B81" w:rsidP="002F1ACC">
      <w:pPr>
        <w:spacing w:after="0" w:line="360" w:lineRule="auto"/>
        <w:rPr>
          <w:rFonts w:ascii="Arial" w:hAnsi="Arial" w:cs="Arial"/>
        </w:rPr>
      </w:pPr>
    </w:p>
    <w:p w14:paraId="6CE7C7E6" w14:textId="77777777" w:rsidR="00B16B81" w:rsidRPr="002F1ACC" w:rsidRDefault="00B16B81" w:rsidP="002F1ACC">
      <w:pPr>
        <w:spacing w:after="0" w:line="360" w:lineRule="auto"/>
        <w:rPr>
          <w:rFonts w:ascii="Arial" w:hAnsi="Arial" w:cs="Arial"/>
          <w:b/>
          <w:bCs/>
        </w:rPr>
      </w:pPr>
      <w:r w:rsidRPr="002F1ACC">
        <w:rPr>
          <w:rFonts w:ascii="Arial" w:hAnsi="Arial" w:cs="Arial"/>
          <w:b/>
          <w:bCs/>
        </w:rPr>
        <w:t>Ethical &amp; Professional Reflection:</w:t>
      </w:r>
    </w:p>
    <w:p w14:paraId="12ECAA7C" w14:textId="77777777" w:rsidR="00B16B81" w:rsidRPr="002F1ACC" w:rsidRDefault="00B16B81" w:rsidP="002F1ACC">
      <w:pPr>
        <w:spacing w:after="0" w:line="360" w:lineRule="auto"/>
        <w:rPr>
          <w:rFonts w:ascii="Arial" w:hAnsi="Arial" w:cs="Arial"/>
        </w:rPr>
      </w:pPr>
    </w:p>
    <w:p w14:paraId="1C550821" w14:textId="77777777" w:rsidR="00B16B81" w:rsidRPr="002F1ACC" w:rsidRDefault="00B16B81" w:rsidP="002F1ACC">
      <w:pPr>
        <w:spacing w:after="0" w:line="360" w:lineRule="auto"/>
        <w:rPr>
          <w:rFonts w:ascii="Arial" w:hAnsi="Arial" w:cs="Arial"/>
        </w:rPr>
      </w:pPr>
      <w:r w:rsidRPr="002F1ACC">
        <w:rPr>
          <w:rFonts w:ascii="Arial" w:hAnsi="Arial" w:cs="Arial"/>
        </w:rPr>
        <w:t xml:space="preserve">The use of automated tools in professional marketing management raises serious ethical questions. Using technology for grammar auditing increases the clarity of a </w:t>
      </w:r>
      <w:proofErr w:type="gramStart"/>
      <w:r w:rsidRPr="002F1ACC">
        <w:rPr>
          <w:rFonts w:ascii="Arial" w:hAnsi="Arial" w:cs="Arial"/>
        </w:rPr>
        <w:t>document, but</w:t>
      </w:r>
      <w:proofErr w:type="gramEnd"/>
      <w:r w:rsidRPr="002F1ACC">
        <w:rPr>
          <w:rFonts w:ascii="Arial" w:hAnsi="Arial" w:cs="Arial"/>
        </w:rPr>
        <w:t xml:space="preserve"> relying on machines for strategic research or structural synthesis risks undermining the marketer’s ability to think independently and critically.</w:t>
      </w:r>
    </w:p>
    <w:p w14:paraId="05258C7E" w14:textId="77777777" w:rsidR="00B16B81" w:rsidRPr="002F1ACC" w:rsidRDefault="00B16B81" w:rsidP="002F1ACC">
      <w:pPr>
        <w:spacing w:after="0" w:line="360" w:lineRule="auto"/>
        <w:rPr>
          <w:rFonts w:ascii="Arial" w:hAnsi="Arial" w:cs="Arial"/>
        </w:rPr>
      </w:pPr>
    </w:p>
    <w:p w14:paraId="23BD9B87" w14:textId="2EE4ABF3" w:rsidR="0080702F" w:rsidRPr="002F1ACC" w:rsidRDefault="00B16B81" w:rsidP="002F1ACC">
      <w:pPr>
        <w:spacing w:after="0" w:line="360" w:lineRule="auto"/>
        <w:rPr>
          <w:rFonts w:ascii="Arial" w:hAnsi="Arial" w:cs="Arial"/>
        </w:rPr>
      </w:pPr>
      <w:r w:rsidRPr="002F1ACC">
        <w:rPr>
          <w:rFonts w:ascii="Arial" w:hAnsi="Arial" w:cs="Arial"/>
        </w:rPr>
        <w:t>From an ethical perspective, algorithmic models often contain data biases that oversimplify human realities (Bender et al., 2021). AI that evaluates an industrial change solely by secondary financial metrics or percentage carbon reduction may overlook large social costs, such as the loss of up to 2,000 jobs in Port Talbot that affected the local community (Cox, 2026). Consequently, maintaining full human accountability, limiting the use of AI to grammatical assistance, and manually verifying all data is an important professional duty to keep marketing analysis socio-economically robust and ethically sound.</w:t>
      </w:r>
      <w:r w:rsidRPr="002F1ACC">
        <w:rPr>
          <w:rFonts w:ascii="Arial" w:hAnsi="Arial" w:cs="Arial"/>
        </w:rPr>
        <w:br/>
      </w:r>
    </w:p>
    <w:p w14:paraId="1D8E4DB4" w14:textId="77777777" w:rsidR="00E05971" w:rsidRPr="002F1ACC" w:rsidRDefault="00E05971" w:rsidP="002F1ACC">
      <w:pPr>
        <w:spacing w:after="0" w:line="360" w:lineRule="auto"/>
        <w:rPr>
          <w:rFonts w:ascii="Arial" w:hAnsi="Arial" w:cs="Arial"/>
          <w:b/>
          <w:bCs/>
        </w:rPr>
      </w:pPr>
    </w:p>
    <w:p w14:paraId="16229FC0" w14:textId="77777777" w:rsidR="00E05971" w:rsidRPr="002F1ACC" w:rsidRDefault="00E05971" w:rsidP="002F1ACC">
      <w:pPr>
        <w:spacing w:after="0" w:line="360" w:lineRule="auto"/>
        <w:rPr>
          <w:rFonts w:ascii="Arial" w:hAnsi="Arial" w:cs="Arial"/>
          <w:b/>
          <w:bCs/>
        </w:rPr>
      </w:pPr>
    </w:p>
    <w:p w14:paraId="335AC6FC" w14:textId="77777777" w:rsidR="00E05971" w:rsidRPr="002F1ACC" w:rsidRDefault="00E05971" w:rsidP="002F1ACC">
      <w:pPr>
        <w:spacing w:after="0" w:line="360" w:lineRule="auto"/>
        <w:rPr>
          <w:rFonts w:ascii="Arial" w:hAnsi="Arial" w:cs="Arial"/>
          <w:b/>
          <w:bCs/>
        </w:rPr>
      </w:pPr>
    </w:p>
    <w:p w14:paraId="0D9F84E7" w14:textId="77777777" w:rsidR="00E05971" w:rsidRPr="002F1ACC" w:rsidRDefault="00E05971" w:rsidP="002F1ACC">
      <w:pPr>
        <w:spacing w:after="0" w:line="360" w:lineRule="auto"/>
        <w:rPr>
          <w:rFonts w:ascii="Arial" w:hAnsi="Arial" w:cs="Arial"/>
          <w:b/>
          <w:bCs/>
        </w:rPr>
      </w:pPr>
    </w:p>
    <w:p w14:paraId="74BCFD15" w14:textId="77777777" w:rsidR="00E05971" w:rsidRPr="002F1ACC" w:rsidRDefault="00E05971" w:rsidP="002F1ACC">
      <w:pPr>
        <w:spacing w:after="0" w:line="360" w:lineRule="auto"/>
        <w:rPr>
          <w:rFonts w:ascii="Arial" w:hAnsi="Arial" w:cs="Arial"/>
          <w:b/>
          <w:bCs/>
        </w:rPr>
      </w:pPr>
    </w:p>
    <w:p w14:paraId="485A8BA0" w14:textId="77777777" w:rsidR="00E05971" w:rsidRPr="002F1ACC" w:rsidRDefault="00E05971" w:rsidP="002F1ACC">
      <w:pPr>
        <w:spacing w:after="0" w:line="360" w:lineRule="auto"/>
        <w:rPr>
          <w:rFonts w:ascii="Arial" w:hAnsi="Arial" w:cs="Arial"/>
          <w:b/>
          <w:bCs/>
        </w:rPr>
      </w:pPr>
    </w:p>
    <w:p w14:paraId="1B7AF71B" w14:textId="1146132E" w:rsidR="00B1091C" w:rsidRPr="002F1ACC" w:rsidRDefault="00B1091C" w:rsidP="002F1ACC">
      <w:pPr>
        <w:spacing w:after="0" w:line="360" w:lineRule="auto"/>
        <w:rPr>
          <w:rFonts w:ascii="Arial" w:hAnsi="Arial" w:cs="Arial"/>
          <w:b/>
          <w:bCs/>
        </w:rPr>
      </w:pPr>
      <w:r w:rsidRPr="002F1ACC">
        <w:rPr>
          <w:rFonts w:ascii="Arial" w:hAnsi="Arial" w:cs="Arial"/>
          <w:b/>
          <w:bCs/>
        </w:rPr>
        <w:lastRenderedPageBreak/>
        <w:t>Reference List</w:t>
      </w:r>
    </w:p>
    <w:p w14:paraId="753CE34E"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Ansoff, H.I., 1957. Strategies for diversification. </w:t>
      </w:r>
      <w:r w:rsidRPr="002F1ACC">
        <w:rPr>
          <w:rFonts w:ascii="Arial" w:eastAsia="Times New Roman" w:hAnsi="Arial" w:cs="Arial"/>
          <w:i/>
          <w:iCs/>
          <w:kern w:val="0"/>
          <w14:ligatures w14:val="none"/>
        </w:rPr>
        <w:t>Harvard Business Review</w:t>
      </w:r>
      <w:r w:rsidRPr="002F1ACC">
        <w:rPr>
          <w:rFonts w:ascii="Arial" w:eastAsia="Times New Roman" w:hAnsi="Arial" w:cs="Arial"/>
          <w:kern w:val="0"/>
          <w14:ligatures w14:val="none"/>
        </w:rPr>
        <w:t>, 35(5), pp.113–124.</w:t>
      </w:r>
    </w:p>
    <w:p w14:paraId="3BE9163B"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Aviva Investors, 2025. </w:t>
      </w:r>
      <w:r w:rsidRPr="002F1ACC">
        <w:rPr>
          <w:rFonts w:ascii="Arial" w:eastAsia="Times New Roman" w:hAnsi="Arial" w:cs="Arial"/>
          <w:i/>
          <w:iCs/>
          <w:kern w:val="0"/>
          <w14:ligatures w14:val="none"/>
        </w:rPr>
        <w:t>Macroeconomic updates and infrastructure outlook 2025</w:t>
      </w:r>
      <w:r w:rsidRPr="002F1ACC">
        <w:rPr>
          <w:rFonts w:ascii="Arial" w:eastAsia="Times New Roman" w:hAnsi="Arial" w:cs="Arial"/>
          <w:kern w:val="0"/>
          <w14:ligatures w14:val="none"/>
        </w:rPr>
        <w:t>. London: Aviva Investors.</w:t>
      </w:r>
    </w:p>
    <w:p w14:paraId="7806A8AD"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Bender, E.M., Gebru, T., McMillan-Major, A. and Shmitchell, S., 2021. On the dangers of stochastic parrots: Can language models be too big? In: </w:t>
      </w:r>
      <w:r w:rsidRPr="002F1ACC">
        <w:rPr>
          <w:rFonts w:ascii="Arial" w:eastAsia="Times New Roman" w:hAnsi="Arial" w:cs="Arial"/>
          <w:i/>
          <w:iCs/>
          <w:kern w:val="0"/>
          <w14:ligatures w14:val="none"/>
        </w:rPr>
        <w:t>Proceedings of the 2021 ACM FAccT Conference (Conference on Fairness, Accountability, and Transparency)</w:t>
      </w:r>
      <w:r w:rsidRPr="002F1ACC">
        <w:rPr>
          <w:rFonts w:ascii="Arial" w:eastAsia="Times New Roman" w:hAnsi="Arial" w:cs="Arial"/>
          <w:kern w:val="0"/>
          <w14:ligatures w14:val="none"/>
        </w:rPr>
        <w:t>. Virtual Event, Canada, 3–10 March 2021. New York: ACM, pp.610–623.</w:t>
      </w:r>
    </w:p>
    <w:p w14:paraId="3281ED7C"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Cox, J., 2026. Place-based industrial policy and the green transition: A case study of Tata Steel UK and Port Talbot. </w:t>
      </w:r>
      <w:r w:rsidRPr="002F1ACC">
        <w:rPr>
          <w:rFonts w:ascii="Arial" w:eastAsia="Times New Roman" w:hAnsi="Arial" w:cs="Arial"/>
          <w:i/>
          <w:iCs/>
          <w:kern w:val="0"/>
          <w14:ligatures w14:val="none"/>
        </w:rPr>
        <w:t>Journal of British Industrial Studies</w:t>
      </w:r>
      <w:r w:rsidRPr="002F1ACC">
        <w:rPr>
          <w:rFonts w:ascii="Arial" w:eastAsia="Times New Roman" w:hAnsi="Arial" w:cs="Arial"/>
          <w:kern w:val="0"/>
          <w14:ligatures w14:val="none"/>
        </w:rPr>
        <w:t>, 14(2), pp.45–68.</w:t>
      </w:r>
    </w:p>
    <w:p w14:paraId="3D80729B"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Ellen MacArthur Foundation, 2024. </w:t>
      </w:r>
      <w:r w:rsidRPr="002F1ACC">
        <w:rPr>
          <w:rFonts w:ascii="Arial" w:eastAsia="Times New Roman" w:hAnsi="Arial" w:cs="Arial"/>
          <w:i/>
          <w:iCs/>
          <w:kern w:val="0"/>
          <w14:ligatures w14:val="none"/>
        </w:rPr>
        <w:t>The circular economy: A framework for industrial transformation and resource resilience</w:t>
      </w:r>
      <w:r w:rsidRPr="002F1ACC">
        <w:rPr>
          <w:rFonts w:ascii="Arial" w:eastAsia="Times New Roman" w:hAnsi="Arial" w:cs="Arial"/>
          <w:kern w:val="0"/>
          <w14:ligatures w14:val="none"/>
        </w:rPr>
        <w:t>. Cowes: Ellen MacArthur Foundation.</w:t>
      </w:r>
    </w:p>
    <w:p w14:paraId="03B985DF"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Garvey, A., Barrett, J., Owen, A. and Taylor, P.G., 2022. Towards net-zero industrial clusters: Material efficiency and technological pathways for UK steelmaking. </w:t>
      </w:r>
      <w:r w:rsidRPr="002F1ACC">
        <w:rPr>
          <w:rFonts w:ascii="Arial" w:eastAsia="Times New Roman" w:hAnsi="Arial" w:cs="Arial"/>
          <w:i/>
          <w:iCs/>
          <w:kern w:val="0"/>
          <w14:ligatures w14:val="none"/>
        </w:rPr>
        <w:t>Journal of Cleaner Production</w:t>
      </w:r>
      <w:r w:rsidRPr="002F1ACC">
        <w:rPr>
          <w:rFonts w:ascii="Arial" w:eastAsia="Times New Roman" w:hAnsi="Arial" w:cs="Arial"/>
          <w:kern w:val="0"/>
          <w14:ligatures w14:val="none"/>
        </w:rPr>
        <w:t>, 363, p.132410.</w:t>
      </w:r>
    </w:p>
    <w:p w14:paraId="7F515C27"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Google, 2026. </w:t>
      </w:r>
      <w:r w:rsidRPr="002F1ACC">
        <w:rPr>
          <w:rFonts w:ascii="Arial" w:eastAsia="Times New Roman" w:hAnsi="Arial" w:cs="Arial"/>
          <w:i/>
          <w:iCs/>
          <w:kern w:val="0"/>
          <w14:ligatures w14:val="none"/>
        </w:rPr>
        <w:t>Gemini Architecture Report: Large Language Model capabilities, generative operations, and administrative tool integration</w:t>
      </w:r>
      <w:r w:rsidRPr="002F1ACC">
        <w:rPr>
          <w:rFonts w:ascii="Arial" w:eastAsia="Times New Roman" w:hAnsi="Arial" w:cs="Arial"/>
          <w:kern w:val="0"/>
          <w14:ligatures w14:val="none"/>
        </w:rPr>
        <w:t>. Mountain View: Google AI.</w:t>
      </w:r>
    </w:p>
    <w:p w14:paraId="6F494172"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Government Procurement Service, 2025. </w:t>
      </w:r>
      <w:r w:rsidRPr="002F1ACC">
        <w:rPr>
          <w:rFonts w:ascii="Arial" w:eastAsia="Times New Roman" w:hAnsi="Arial" w:cs="Arial"/>
          <w:i/>
          <w:iCs/>
          <w:kern w:val="0"/>
          <w14:ligatures w14:val="none"/>
        </w:rPr>
        <w:t>Green public procurement criteria for construction and infrastructure materials</w:t>
      </w:r>
      <w:r w:rsidRPr="002F1ACC">
        <w:rPr>
          <w:rFonts w:ascii="Arial" w:eastAsia="Times New Roman" w:hAnsi="Arial" w:cs="Arial"/>
          <w:kern w:val="0"/>
          <w14:ligatures w14:val="none"/>
        </w:rPr>
        <w:t>. London: HM Stationery Office.</w:t>
      </w:r>
    </w:p>
    <w:p w14:paraId="6860A73A"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Griffin, P.W. and Hammond, G.P., 2019. Industrial energy use and carbon emissions reduction in the UK steel sector: A systems approach. </w:t>
      </w:r>
      <w:r w:rsidRPr="002F1ACC">
        <w:rPr>
          <w:rFonts w:ascii="Arial" w:eastAsia="Times New Roman" w:hAnsi="Arial" w:cs="Arial"/>
          <w:i/>
          <w:iCs/>
          <w:kern w:val="0"/>
          <w14:ligatures w14:val="none"/>
        </w:rPr>
        <w:t>Applied Energy</w:t>
      </w:r>
      <w:r w:rsidRPr="002F1ACC">
        <w:rPr>
          <w:rFonts w:ascii="Arial" w:eastAsia="Times New Roman" w:hAnsi="Arial" w:cs="Arial"/>
          <w:kern w:val="0"/>
          <w14:ligatures w14:val="none"/>
        </w:rPr>
        <w:t>, 238, pp.202–215.</w:t>
      </w:r>
    </w:p>
    <w:p w14:paraId="5EFC3CCD"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Industrial Environment (IE), 2025. UK heavy industry transformation: National grid bottlenecks, green premiums, and market procurement legislation. </w:t>
      </w:r>
      <w:r w:rsidRPr="002F1ACC">
        <w:rPr>
          <w:rFonts w:ascii="Arial" w:eastAsia="Times New Roman" w:hAnsi="Arial" w:cs="Arial"/>
          <w:i/>
          <w:iCs/>
          <w:kern w:val="0"/>
          <w14:ligatures w14:val="none"/>
        </w:rPr>
        <w:t>Industrial Environment Quarterly</w:t>
      </w:r>
      <w:r w:rsidRPr="002F1ACC">
        <w:rPr>
          <w:rFonts w:ascii="Arial" w:eastAsia="Times New Roman" w:hAnsi="Arial" w:cs="Arial"/>
          <w:kern w:val="0"/>
          <w14:ligatures w14:val="none"/>
        </w:rPr>
        <w:t>, 29(3), pp.112–128.</w:t>
      </w:r>
    </w:p>
    <w:p w14:paraId="0DB5716C"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lastRenderedPageBreak/>
        <w:t xml:space="preserve">Kotler, P., Armstrong, G., Harris, L.C. and He, H., 2024. </w:t>
      </w:r>
      <w:r w:rsidRPr="002F1ACC">
        <w:rPr>
          <w:rFonts w:ascii="Arial" w:eastAsia="Times New Roman" w:hAnsi="Arial" w:cs="Arial"/>
          <w:i/>
          <w:iCs/>
          <w:kern w:val="0"/>
          <w14:ligatures w14:val="none"/>
        </w:rPr>
        <w:t>Principles of marketing</w:t>
      </w:r>
      <w:r w:rsidRPr="002F1ACC">
        <w:rPr>
          <w:rFonts w:ascii="Arial" w:eastAsia="Times New Roman" w:hAnsi="Arial" w:cs="Arial"/>
          <w:kern w:val="0"/>
          <w14:ligatures w14:val="none"/>
        </w:rPr>
        <w:t>. 9th European ed. Harlow: Pearson Education.</w:t>
      </w:r>
    </w:p>
    <w:p w14:paraId="04CCF3C3"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National Grid plc, 2025. </w:t>
      </w:r>
      <w:r w:rsidRPr="002F1ACC">
        <w:rPr>
          <w:rFonts w:ascii="Arial" w:eastAsia="Times New Roman" w:hAnsi="Arial" w:cs="Arial"/>
          <w:i/>
          <w:iCs/>
          <w:kern w:val="0"/>
          <w14:ligatures w14:val="none"/>
        </w:rPr>
        <w:t>Connecting net zero: Network infrastructure transmission and grid bottleneck assessments</w:t>
      </w:r>
      <w:r w:rsidRPr="002F1ACC">
        <w:rPr>
          <w:rFonts w:ascii="Arial" w:eastAsia="Times New Roman" w:hAnsi="Arial" w:cs="Arial"/>
          <w:kern w:val="0"/>
          <w14:ligatures w14:val="none"/>
        </w:rPr>
        <w:t>. London: National Grid.</w:t>
      </w:r>
    </w:p>
    <w:p w14:paraId="45B023CE"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Porter, M.E., 1985. </w:t>
      </w:r>
      <w:r w:rsidRPr="002F1ACC">
        <w:rPr>
          <w:rFonts w:ascii="Arial" w:eastAsia="Times New Roman" w:hAnsi="Arial" w:cs="Arial"/>
          <w:i/>
          <w:iCs/>
          <w:kern w:val="0"/>
          <w14:ligatures w14:val="none"/>
        </w:rPr>
        <w:t>Competitive advantage: Creating and sustaining superior performance</w:t>
      </w:r>
      <w:r w:rsidRPr="002F1ACC">
        <w:rPr>
          <w:rFonts w:ascii="Arial" w:eastAsia="Times New Roman" w:hAnsi="Arial" w:cs="Arial"/>
          <w:kern w:val="0"/>
          <w14:ligatures w14:val="none"/>
        </w:rPr>
        <w:t>. New York: Free Press.</w:t>
      </w:r>
    </w:p>
    <w:p w14:paraId="115A76DF" w14:textId="77777777" w:rsidR="00B1091C" w:rsidRPr="002F1ACC" w:rsidRDefault="00B1091C" w:rsidP="002F1ACC">
      <w:pPr>
        <w:pStyle w:val="ListParagraph"/>
        <w:numPr>
          <w:ilvl w:val="0"/>
          <w:numId w:val="9"/>
        </w:numPr>
        <w:spacing w:before="100" w:beforeAutospacing="1" w:after="0" w:line="360" w:lineRule="auto"/>
        <w:rPr>
          <w:rFonts w:ascii="Arial" w:eastAsia="Times New Roman" w:hAnsi="Arial" w:cs="Arial"/>
          <w:kern w:val="0"/>
          <w14:ligatures w14:val="none"/>
        </w:rPr>
      </w:pPr>
      <w:r w:rsidRPr="002F1ACC">
        <w:rPr>
          <w:rFonts w:ascii="Arial" w:eastAsia="Times New Roman" w:hAnsi="Arial" w:cs="Arial"/>
          <w:kern w:val="0"/>
          <w14:ligatures w14:val="none"/>
        </w:rPr>
        <w:t xml:space="preserve">Walker, K. and Wan, F., 2024. The harm of symbolic greening: Distinguishing greenwashing from genuine corporate environmental sustainability. </w:t>
      </w:r>
      <w:r w:rsidRPr="002F1ACC">
        <w:rPr>
          <w:rFonts w:ascii="Arial" w:eastAsia="Times New Roman" w:hAnsi="Arial" w:cs="Arial"/>
          <w:i/>
          <w:iCs/>
          <w:kern w:val="0"/>
          <w14:ligatures w14:val="none"/>
        </w:rPr>
        <w:t>Journal of Business Ethics</w:t>
      </w:r>
      <w:r w:rsidRPr="002F1ACC">
        <w:rPr>
          <w:rFonts w:ascii="Arial" w:eastAsia="Times New Roman" w:hAnsi="Arial" w:cs="Arial"/>
          <w:kern w:val="0"/>
          <w14:ligatures w14:val="none"/>
        </w:rPr>
        <w:t>, 182(4), pp.915–932.</w:t>
      </w:r>
    </w:p>
    <w:p w14:paraId="71976BE7" w14:textId="34DB85C0" w:rsidR="0070291E" w:rsidRPr="002F1ACC" w:rsidRDefault="00B1091C" w:rsidP="002F1ACC">
      <w:pPr>
        <w:pStyle w:val="ListParagraph"/>
        <w:numPr>
          <w:ilvl w:val="0"/>
          <w:numId w:val="9"/>
        </w:numPr>
        <w:spacing w:before="100" w:beforeAutospacing="1" w:after="0" w:line="360" w:lineRule="auto"/>
        <w:rPr>
          <w:rFonts w:ascii="Arial" w:hAnsi="Arial" w:cs="Arial"/>
        </w:rPr>
      </w:pPr>
      <w:r w:rsidRPr="002F1ACC">
        <w:rPr>
          <w:rFonts w:ascii="Arial" w:eastAsia="Times New Roman" w:hAnsi="Arial" w:cs="Arial"/>
          <w:kern w:val="0"/>
          <w14:ligatures w14:val="none"/>
        </w:rPr>
        <w:t xml:space="preserve">Watari, T. and McLellan, B.C., 2024. Long-term raw material constraints in carbon-constrained primary metal production. </w:t>
      </w:r>
      <w:r w:rsidRPr="002F1ACC">
        <w:rPr>
          <w:rFonts w:ascii="Arial" w:eastAsia="Times New Roman" w:hAnsi="Arial" w:cs="Arial"/>
          <w:i/>
          <w:iCs/>
          <w:kern w:val="0"/>
          <w14:ligatures w14:val="none"/>
        </w:rPr>
        <w:t>Resources, Conservation and Recycling</w:t>
      </w:r>
      <w:r w:rsidRPr="002F1ACC">
        <w:rPr>
          <w:rFonts w:ascii="Arial" w:eastAsia="Times New Roman" w:hAnsi="Arial" w:cs="Arial"/>
          <w:kern w:val="0"/>
          <w14:ligatures w14:val="none"/>
        </w:rPr>
        <w:t>, 201, p.107304.</w:t>
      </w:r>
    </w:p>
    <w:sectPr w:rsidR="0070291E" w:rsidRPr="002F1A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7ADBA" w14:textId="77777777" w:rsidR="00E82987" w:rsidRDefault="00E82987" w:rsidP="00C16A10">
      <w:pPr>
        <w:spacing w:after="0" w:line="240" w:lineRule="auto"/>
      </w:pPr>
      <w:r>
        <w:separator/>
      </w:r>
    </w:p>
  </w:endnote>
  <w:endnote w:type="continuationSeparator" w:id="0">
    <w:p w14:paraId="630BF104" w14:textId="77777777" w:rsidR="00E82987" w:rsidRDefault="00E82987" w:rsidP="00C16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10BC0" w14:textId="77777777" w:rsidR="00E82987" w:rsidRDefault="00E82987" w:rsidP="00C16A10">
      <w:pPr>
        <w:spacing w:after="0" w:line="240" w:lineRule="auto"/>
      </w:pPr>
      <w:r>
        <w:separator/>
      </w:r>
    </w:p>
  </w:footnote>
  <w:footnote w:type="continuationSeparator" w:id="0">
    <w:p w14:paraId="4C17EC2F" w14:textId="77777777" w:rsidR="00E82987" w:rsidRDefault="00E82987" w:rsidP="00C16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A04A7"/>
    <w:multiLevelType w:val="multilevel"/>
    <w:tmpl w:val="4908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3210A"/>
    <w:multiLevelType w:val="hybridMultilevel"/>
    <w:tmpl w:val="8A1AA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664DF"/>
    <w:multiLevelType w:val="hybridMultilevel"/>
    <w:tmpl w:val="20DCD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6501EC"/>
    <w:multiLevelType w:val="hybridMultilevel"/>
    <w:tmpl w:val="623CEE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391298"/>
    <w:multiLevelType w:val="multilevel"/>
    <w:tmpl w:val="107C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10D64"/>
    <w:multiLevelType w:val="hybridMultilevel"/>
    <w:tmpl w:val="C686B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FD19A5"/>
    <w:multiLevelType w:val="hybridMultilevel"/>
    <w:tmpl w:val="0AF4B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CC1DF5"/>
    <w:multiLevelType w:val="multilevel"/>
    <w:tmpl w:val="415022D4"/>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4653AE7"/>
    <w:multiLevelType w:val="hybridMultilevel"/>
    <w:tmpl w:val="BE1A6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040072"/>
    <w:multiLevelType w:val="multilevel"/>
    <w:tmpl w:val="9FB42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EE3198"/>
    <w:multiLevelType w:val="hybridMultilevel"/>
    <w:tmpl w:val="5A5C1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B531BA"/>
    <w:multiLevelType w:val="hybridMultilevel"/>
    <w:tmpl w:val="71789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A32DE9"/>
    <w:multiLevelType w:val="hybridMultilevel"/>
    <w:tmpl w:val="1CF8B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3609159">
    <w:abstractNumId w:val="3"/>
  </w:num>
  <w:num w:numId="2" w16cid:durableId="1147698449">
    <w:abstractNumId w:val="7"/>
  </w:num>
  <w:num w:numId="3" w16cid:durableId="1321928467">
    <w:abstractNumId w:val="6"/>
  </w:num>
  <w:num w:numId="4" w16cid:durableId="747461356">
    <w:abstractNumId w:val="10"/>
  </w:num>
  <w:num w:numId="5" w16cid:durableId="101801266">
    <w:abstractNumId w:val="1"/>
  </w:num>
  <w:num w:numId="6" w16cid:durableId="1678731287">
    <w:abstractNumId w:val="2"/>
  </w:num>
  <w:num w:numId="7" w16cid:durableId="895818244">
    <w:abstractNumId w:val="11"/>
  </w:num>
  <w:num w:numId="8" w16cid:durableId="650064096">
    <w:abstractNumId w:val="8"/>
  </w:num>
  <w:num w:numId="9" w16cid:durableId="306477340">
    <w:abstractNumId w:val="12"/>
  </w:num>
  <w:num w:numId="10" w16cid:durableId="1169518926">
    <w:abstractNumId w:val="9"/>
  </w:num>
  <w:num w:numId="11" w16cid:durableId="963580835">
    <w:abstractNumId w:val="0"/>
  </w:num>
  <w:num w:numId="12" w16cid:durableId="82381487">
    <w:abstractNumId w:val="4"/>
  </w:num>
  <w:num w:numId="13" w16cid:durableId="605625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B8"/>
    <w:rsid w:val="0000284E"/>
    <w:rsid w:val="0003291D"/>
    <w:rsid w:val="0004293F"/>
    <w:rsid w:val="00064C67"/>
    <w:rsid w:val="00072E6C"/>
    <w:rsid w:val="00082474"/>
    <w:rsid w:val="00085D78"/>
    <w:rsid w:val="00093641"/>
    <w:rsid w:val="000A4FE9"/>
    <w:rsid w:val="000B0838"/>
    <w:rsid w:val="000B36A2"/>
    <w:rsid w:val="000C476F"/>
    <w:rsid w:val="000C61A5"/>
    <w:rsid w:val="000E098F"/>
    <w:rsid w:val="000E0DA5"/>
    <w:rsid w:val="000E3103"/>
    <w:rsid w:val="0010669E"/>
    <w:rsid w:val="00124D70"/>
    <w:rsid w:val="00135A73"/>
    <w:rsid w:val="00140CF7"/>
    <w:rsid w:val="00141316"/>
    <w:rsid w:val="00144D7E"/>
    <w:rsid w:val="001562EF"/>
    <w:rsid w:val="00156567"/>
    <w:rsid w:val="00156B5A"/>
    <w:rsid w:val="001770FF"/>
    <w:rsid w:val="00183215"/>
    <w:rsid w:val="0018713C"/>
    <w:rsid w:val="00193D5F"/>
    <w:rsid w:val="00196EDC"/>
    <w:rsid w:val="0019769F"/>
    <w:rsid w:val="001A3D97"/>
    <w:rsid w:val="001A457E"/>
    <w:rsid w:val="001B6744"/>
    <w:rsid w:val="001C0C68"/>
    <w:rsid w:val="00200936"/>
    <w:rsid w:val="00207A83"/>
    <w:rsid w:val="00240494"/>
    <w:rsid w:val="00243EF6"/>
    <w:rsid w:val="00251E59"/>
    <w:rsid w:val="0026025D"/>
    <w:rsid w:val="00272C53"/>
    <w:rsid w:val="002B6ED8"/>
    <w:rsid w:val="002C645A"/>
    <w:rsid w:val="002D3AC6"/>
    <w:rsid w:val="002E4808"/>
    <w:rsid w:val="002E6CC6"/>
    <w:rsid w:val="002F1ACC"/>
    <w:rsid w:val="00302D1A"/>
    <w:rsid w:val="00304761"/>
    <w:rsid w:val="0031209B"/>
    <w:rsid w:val="00320960"/>
    <w:rsid w:val="00326F22"/>
    <w:rsid w:val="00332D3F"/>
    <w:rsid w:val="00336167"/>
    <w:rsid w:val="0033687B"/>
    <w:rsid w:val="0034076E"/>
    <w:rsid w:val="00341635"/>
    <w:rsid w:val="0034555F"/>
    <w:rsid w:val="003501F8"/>
    <w:rsid w:val="003533BF"/>
    <w:rsid w:val="00372793"/>
    <w:rsid w:val="0037656D"/>
    <w:rsid w:val="003777B6"/>
    <w:rsid w:val="003907B2"/>
    <w:rsid w:val="00396FC9"/>
    <w:rsid w:val="003A6C5B"/>
    <w:rsid w:val="003B03AD"/>
    <w:rsid w:val="003B3B18"/>
    <w:rsid w:val="003C5791"/>
    <w:rsid w:val="003D32DC"/>
    <w:rsid w:val="004015AB"/>
    <w:rsid w:val="00406E0F"/>
    <w:rsid w:val="00411CAF"/>
    <w:rsid w:val="00414BAD"/>
    <w:rsid w:val="00423071"/>
    <w:rsid w:val="00430195"/>
    <w:rsid w:val="004316D6"/>
    <w:rsid w:val="0044746D"/>
    <w:rsid w:val="00451B2D"/>
    <w:rsid w:val="00452BD8"/>
    <w:rsid w:val="00461644"/>
    <w:rsid w:val="00465713"/>
    <w:rsid w:val="004731A7"/>
    <w:rsid w:val="00483673"/>
    <w:rsid w:val="004B40B5"/>
    <w:rsid w:val="0050199D"/>
    <w:rsid w:val="005050A5"/>
    <w:rsid w:val="00506B71"/>
    <w:rsid w:val="00524D64"/>
    <w:rsid w:val="00536F7F"/>
    <w:rsid w:val="00540359"/>
    <w:rsid w:val="00541EA2"/>
    <w:rsid w:val="00550A15"/>
    <w:rsid w:val="00572D39"/>
    <w:rsid w:val="00586D34"/>
    <w:rsid w:val="0059374E"/>
    <w:rsid w:val="005937FC"/>
    <w:rsid w:val="0059670C"/>
    <w:rsid w:val="00596819"/>
    <w:rsid w:val="00597EA2"/>
    <w:rsid w:val="005A5EE3"/>
    <w:rsid w:val="005B350F"/>
    <w:rsid w:val="005B4DA5"/>
    <w:rsid w:val="005C0A42"/>
    <w:rsid w:val="005D1C2E"/>
    <w:rsid w:val="005E0274"/>
    <w:rsid w:val="005E03DA"/>
    <w:rsid w:val="005E2F3C"/>
    <w:rsid w:val="00600CF9"/>
    <w:rsid w:val="00605CDC"/>
    <w:rsid w:val="0061182C"/>
    <w:rsid w:val="00621571"/>
    <w:rsid w:val="00650446"/>
    <w:rsid w:val="00662E01"/>
    <w:rsid w:val="00673695"/>
    <w:rsid w:val="00683FC6"/>
    <w:rsid w:val="00686930"/>
    <w:rsid w:val="006969C6"/>
    <w:rsid w:val="006E2F2B"/>
    <w:rsid w:val="006F64D6"/>
    <w:rsid w:val="006F7177"/>
    <w:rsid w:val="00700099"/>
    <w:rsid w:val="007015D6"/>
    <w:rsid w:val="0070291E"/>
    <w:rsid w:val="0071216C"/>
    <w:rsid w:val="007163F6"/>
    <w:rsid w:val="00723212"/>
    <w:rsid w:val="00757D2F"/>
    <w:rsid w:val="00766B36"/>
    <w:rsid w:val="0078374F"/>
    <w:rsid w:val="007856A6"/>
    <w:rsid w:val="00785756"/>
    <w:rsid w:val="00786397"/>
    <w:rsid w:val="00793C62"/>
    <w:rsid w:val="0079544A"/>
    <w:rsid w:val="007C0320"/>
    <w:rsid w:val="007D17C0"/>
    <w:rsid w:val="007F700C"/>
    <w:rsid w:val="0080702F"/>
    <w:rsid w:val="0081549C"/>
    <w:rsid w:val="008177EA"/>
    <w:rsid w:val="00831C0A"/>
    <w:rsid w:val="00834A44"/>
    <w:rsid w:val="008661E3"/>
    <w:rsid w:val="0087108A"/>
    <w:rsid w:val="00877A95"/>
    <w:rsid w:val="008B073B"/>
    <w:rsid w:val="008B4D22"/>
    <w:rsid w:val="008D4F62"/>
    <w:rsid w:val="008E1279"/>
    <w:rsid w:val="008E7EDE"/>
    <w:rsid w:val="008F0FEE"/>
    <w:rsid w:val="008F2130"/>
    <w:rsid w:val="008F2AF3"/>
    <w:rsid w:val="008F77D1"/>
    <w:rsid w:val="00900736"/>
    <w:rsid w:val="00916871"/>
    <w:rsid w:val="00931C39"/>
    <w:rsid w:val="00934FBC"/>
    <w:rsid w:val="0094200E"/>
    <w:rsid w:val="00954951"/>
    <w:rsid w:val="00961ED6"/>
    <w:rsid w:val="009700F7"/>
    <w:rsid w:val="009725CA"/>
    <w:rsid w:val="009731B5"/>
    <w:rsid w:val="009744FE"/>
    <w:rsid w:val="00974C14"/>
    <w:rsid w:val="00995CB9"/>
    <w:rsid w:val="00997396"/>
    <w:rsid w:val="009A15AA"/>
    <w:rsid w:val="009B5313"/>
    <w:rsid w:val="009B6F0A"/>
    <w:rsid w:val="009C0B78"/>
    <w:rsid w:val="009C2D4C"/>
    <w:rsid w:val="009F2BC2"/>
    <w:rsid w:val="00A13DC1"/>
    <w:rsid w:val="00A26371"/>
    <w:rsid w:val="00A41838"/>
    <w:rsid w:val="00A43CF4"/>
    <w:rsid w:val="00A4540E"/>
    <w:rsid w:val="00A454E3"/>
    <w:rsid w:val="00A73CD7"/>
    <w:rsid w:val="00A74F16"/>
    <w:rsid w:val="00A97D04"/>
    <w:rsid w:val="00AA428A"/>
    <w:rsid w:val="00AA4417"/>
    <w:rsid w:val="00AA7D1B"/>
    <w:rsid w:val="00AE087F"/>
    <w:rsid w:val="00B05E0A"/>
    <w:rsid w:val="00B1091C"/>
    <w:rsid w:val="00B16B81"/>
    <w:rsid w:val="00B30487"/>
    <w:rsid w:val="00B50815"/>
    <w:rsid w:val="00B63E9C"/>
    <w:rsid w:val="00B65FEB"/>
    <w:rsid w:val="00B80FBE"/>
    <w:rsid w:val="00B84545"/>
    <w:rsid w:val="00B905D0"/>
    <w:rsid w:val="00B929D0"/>
    <w:rsid w:val="00BA1079"/>
    <w:rsid w:val="00BA2065"/>
    <w:rsid w:val="00BA6161"/>
    <w:rsid w:val="00BB5310"/>
    <w:rsid w:val="00BC45BE"/>
    <w:rsid w:val="00BD402A"/>
    <w:rsid w:val="00BD64F1"/>
    <w:rsid w:val="00BE7627"/>
    <w:rsid w:val="00BF6539"/>
    <w:rsid w:val="00C00F58"/>
    <w:rsid w:val="00C072D8"/>
    <w:rsid w:val="00C12D78"/>
    <w:rsid w:val="00C12F5F"/>
    <w:rsid w:val="00C1305F"/>
    <w:rsid w:val="00C16A10"/>
    <w:rsid w:val="00C16B94"/>
    <w:rsid w:val="00C17593"/>
    <w:rsid w:val="00C24981"/>
    <w:rsid w:val="00C25BBA"/>
    <w:rsid w:val="00C361FF"/>
    <w:rsid w:val="00C50E0C"/>
    <w:rsid w:val="00C51FC8"/>
    <w:rsid w:val="00C60D71"/>
    <w:rsid w:val="00C61E3A"/>
    <w:rsid w:val="00C74C18"/>
    <w:rsid w:val="00C840C2"/>
    <w:rsid w:val="00C93D07"/>
    <w:rsid w:val="00CA0CF2"/>
    <w:rsid w:val="00CA6D71"/>
    <w:rsid w:val="00CD0AA9"/>
    <w:rsid w:val="00CE1473"/>
    <w:rsid w:val="00CE1615"/>
    <w:rsid w:val="00CE56B8"/>
    <w:rsid w:val="00CE7DED"/>
    <w:rsid w:val="00CF187E"/>
    <w:rsid w:val="00D01FE7"/>
    <w:rsid w:val="00D027FE"/>
    <w:rsid w:val="00D15569"/>
    <w:rsid w:val="00D20A56"/>
    <w:rsid w:val="00D249A4"/>
    <w:rsid w:val="00D27365"/>
    <w:rsid w:val="00D32147"/>
    <w:rsid w:val="00D429D1"/>
    <w:rsid w:val="00D45061"/>
    <w:rsid w:val="00D45264"/>
    <w:rsid w:val="00D46561"/>
    <w:rsid w:val="00D73182"/>
    <w:rsid w:val="00D77DB4"/>
    <w:rsid w:val="00D92FD4"/>
    <w:rsid w:val="00DA33E9"/>
    <w:rsid w:val="00DC5C87"/>
    <w:rsid w:val="00DD1A65"/>
    <w:rsid w:val="00E05971"/>
    <w:rsid w:val="00E06515"/>
    <w:rsid w:val="00E11D51"/>
    <w:rsid w:val="00E25D0A"/>
    <w:rsid w:val="00E27012"/>
    <w:rsid w:val="00E41423"/>
    <w:rsid w:val="00E43337"/>
    <w:rsid w:val="00E50712"/>
    <w:rsid w:val="00E57499"/>
    <w:rsid w:val="00E72FBC"/>
    <w:rsid w:val="00E76414"/>
    <w:rsid w:val="00E82987"/>
    <w:rsid w:val="00E84FE5"/>
    <w:rsid w:val="00E90E14"/>
    <w:rsid w:val="00E91B80"/>
    <w:rsid w:val="00E92D8E"/>
    <w:rsid w:val="00E92EC2"/>
    <w:rsid w:val="00E97AA4"/>
    <w:rsid w:val="00EB119A"/>
    <w:rsid w:val="00EB29DF"/>
    <w:rsid w:val="00EC4295"/>
    <w:rsid w:val="00EC7A60"/>
    <w:rsid w:val="00ED4DB1"/>
    <w:rsid w:val="00ED67AA"/>
    <w:rsid w:val="00EE0286"/>
    <w:rsid w:val="00EE2012"/>
    <w:rsid w:val="00EE4F5A"/>
    <w:rsid w:val="00EF4151"/>
    <w:rsid w:val="00EF5AF2"/>
    <w:rsid w:val="00EF7B96"/>
    <w:rsid w:val="00F0495F"/>
    <w:rsid w:val="00F06460"/>
    <w:rsid w:val="00F13537"/>
    <w:rsid w:val="00F349D5"/>
    <w:rsid w:val="00F41C8B"/>
    <w:rsid w:val="00F45D69"/>
    <w:rsid w:val="00F519E5"/>
    <w:rsid w:val="00F555EC"/>
    <w:rsid w:val="00F5673D"/>
    <w:rsid w:val="00F602F2"/>
    <w:rsid w:val="00F742B6"/>
    <w:rsid w:val="00FA52C3"/>
    <w:rsid w:val="00FB3DF3"/>
    <w:rsid w:val="00FC5474"/>
    <w:rsid w:val="00FD1842"/>
    <w:rsid w:val="00FD268A"/>
    <w:rsid w:val="00FF288D"/>
    <w:rsid w:val="00FF3B33"/>
    <w:rsid w:val="00FF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EE866"/>
  <w15:chartTrackingRefBased/>
  <w15:docId w15:val="{49CE39A7-4D27-471B-B77D-7D1615FC4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6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56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6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6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6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6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6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6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6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6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56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6B8"/>
    <w:rPr>
      <w:rFonts w:eastAsiaTheme="majorEastAsia" w:cstheme="majorBidi"/>
      <w:color w:val="272727" w:themeColor="text1" w:themeTint="D8"/>
    </w:rPr>
  </w:style>
  <w:style w:type="paragraph" w:styleId="Title">
    <w:name w:val="Title"/>
    <w:basedOn w:val="Normal"/>
    <w:next w:val="Normal"/>
    <w:link w:val="TitleChar"/>
    <w:uiPriority w:val="10"/>
    <w:qFormat/>
    <w:rsid w:val="00CE5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6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6B8"/>
    <w:pPr>
      <w:spacing w:before="160"/>
      <w:jc w:val="center"/>
    </w:pPr>
    <w:rPr>
      <w:i/>
      <w:iCs/>
      <w:color w:val="404040" w:themeColor="text1" w:themeTint="BF"/>
    </w:rPr>
  </w:style>
  <w:style w:type="character" w:customStyle="1" w:styleId="QuoteChar">
    <w:name w:val="Quote Char"/>
    <w:basedOn w:val="DefaultParagraphFont"/>
    <w:link w:val="Quote"/>
    <w:uiPriority w:val="29"/>
    <w:rsid w:val="00CE56B8"/>
    <w:rPr>
      <w:i/>
      <w:iCs/>
      <w:color w:val="404040" w:themeColor="text1" w:themeTint="BF"/>
    </w:rPr>
  </w:style>
  <w:style w:type="paragraph" w:styleId="ListParagraph">
    <w:name w:val="List Paragraph"/>
    <w:basedOn w:val="Normal"/>
    <w:uiPriority w:val="34"/>
    <w:qFormat/>
    <w:rsid w:val="00CE56B8"/>
    <w:pPr>
      <w:ind w:left="720"/>
      <w:contextualSpacing/>
    </w:pPr>
  </w:style>
  <w:style w:type="character" w:styleId="IntenseEmphasis">
    <w:name w:val="Intense Emphasis"/>
    <w:basedOn w:val="DefaultParagraphFont"/>
    <w:uiPriority w:val="21"/>
    <w:qFormat/>
    <w:rsid w:val="00CE56B8"/>
    <w:rPr>
      <w:i/>
      <w:iCs/>
      <w:color w:val="0F4761" w:themeColor="accent1" w:themeShade="BF"/>
    </w:rPr>
  </w:style>
  <w:style w:type="paragraph" w:styleId="IntenseQuote">
    <w:name w:val="Intense Quote"/>
    <w:basedOn w:val="Normal"/>
    <w:next w:val="Normal"/>
    <w:link w:val="IntenseQuoteChar"/>
    <w:uiPriority w:val="30"/>
    <w:qFormat/>
    <w:rsid w:val="00CE5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6B8"/>
    <w:rPr>
      <w:i/>
      <w:iCs/>
      <w:color w:val="0F4761" w:themeColor="accent1" w:themeShade="BF"/>
    </w:rPr>
  </w:style>
  <w:style w:type="character" w:styleId="IntenseReference">
    <w:name w:val="Intense Reference"/>
    <w:basedOn w:val="DefaultParagraphFont"/>
    <w:uiPriority w:val="32"/>
    <w:qFormat/>
    <w:rsid w:val="00CE56B8"/>
    <w:rPr>
      <w:b/>
      <w:bCs/>
      <w:smallCaps/>
      <w:color w:val="0F4761" w:themeColor="accent1" w:themeShade="BF"/>
      <w:spacing w:val="5"/>
    </w:rPr>
  </w:style>
  <w:style w:type="paragraph" w:styleId="NormalWeb">
    <w:name w:val="Normal (Web)"/>
    <w:basedOn w:val="Normal"/>
    <w:uiPriority w:val="99"/>
    <w:semiHidden/>
    <w:unhideWhenUsed/>
    <w:rsid w:val="008B4D22"/>
    <w:rPr>
      <w:rFonts w:ascii="Times New Roman" w:hAnsi="Times New Roman" w:cs="Times New Roman"/>
    </w:rPr>
  </w:style>
  <w:style w:type="character" w:styleId="Hyperlink">
    <w:name w:val="Hyperlink"/>
    <w:basedOn w:val="DefaultParagraphFont"/>
    <w:uiPriority w:val="99"/>
    <w:unhideWhenUsed/>
    <w:rsid w:val="008B4D22"/>
    <w:rPr>
      <w:color w:val="467886" w:themeColor="hyperlink"/>
      <w:u w:val="single"/>
    </w:rPr>
  </w:style>
  <w:style w:type="character" w:styleId="UnresolvedMention">
    <w:name w:val="Unresolved Mention"/>
    <w:basedOn w:val="DefaultParagraphFont"/>
    <w:uiPriority w:val="99"/>
    <w:semiHidden/>
    <w:unhideWhenUsed/>
    <w:rsid w:val="008B4D22"/>
    <w:rPr>
      <w:color w:val="605E5C"/>
      <w:shd w:val="clear" w:color="auto" w:fill="E1DFDD"/>
    </w:rPr>
  </w:style>
  <w:style w:type="character" w:styleId="CommentReference">
    <w:name w:val="annotation reference"/>
    <w:basedOn w:val="DefaultParagraphFont"/>
    <w:uiPriority w:val="99"/>
    <w:semiHidden/>
    <w:unhideWhenUsed/>
    <w:rsid w:val="00C17593"/>
    <w:rPr>
      <w:sz w:val="16"/>
      <w:szCs w:val="16"/>
    </w:rPr>
  </w:style>
  <w:style w:type="paragraph" w:styleId="CommentText">
    <w:name w:val="annotation text"/>
    <w:basedOn w:val="Normal"/>
    <w:link w:val="CommentTextChar"/>
    <w:uiPriority w:val="99"/>
    <w:unhideWhenUsed/>
    <w:rsid w:val="00C17593"/>
    <w:pPr>
      <w:spacing w:line="240" w:lineRule="auto"/>
    </w:pPr>
    <w:rPr>
      <w:sz w:val="20"/>
      <w:szCs w:val="20"/>
    </w:rPr>
  </w:style>
  <w:style w:type="character" w:customStyle="1" w:styleId="CommentTextChar">
    <w:name w:val="Comment Text Char"/>
    <w:basedOn w:val="DefaultParagraphFont"/>
    <w:link w:val="CommentText"/>
    <w:uiPriority w:val="99"/>
    <w:rsid w:val="00C17593"/>
    <w:rPr>
      <w:sz w:val="20"/>
      <w:szCs w:val="20"/>
    </w:rPr>
  </w:style>
  <w:style w:type="paragraph" w:styleId="CommentSubject">
    <w:name w:val="annotation subject"/>
    <w:basedOn w:val="CommentText"/>
    <w:next w:val="CommentText"/>
    <w:link w:val="CommentSubjectChar"/>
    <w:uiPriority w:val="99"/>
    <w:semiHidden/>
    <w:unhideWhenUsed/>
    <w:rsid w:val="00C17593"/>
    <w:rPr>
      <w:b/>
      <w:bCs/>
    </w:rPr>
  </w:style>
  <w:style w:type="character" w:customStyle="1" w:styleId="CommentSubjectChar">
    <w:name w:val="Comment Subject Char"/>
    <w:basedOn w:val="CommentTextChar"/>
    <w:link w:val="CommentSubject"/>
    <w:uiPriority w:val="99"/>
    <w:semiHidden/>
    <w:rsid w:val="00C17593"/>
    <w:rPr>
      <w:b/>
      <w:bCs/>
      <w:sz w:val="20"/>
      <w:szCs w:val="20"/>
    </w:rPr>
  </w:style>
  <w:style w:type="paragraph" w:styleId="Header">
    <w:name w:val="header"/>
    <w:basedOn w:val="Normal"/>
    <w:link w:val="HeaderChar"/>
    <w:uiPriority w:val="99"/>
    <w:unhideWhenUsed/>
    <w:rsid w:val="00C16A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A10"/>
  </w:style>
  <w:style w:type="paragraph" w:styleId="Footer">
    <w:name w:val="footer"/>
    <w:basedOn w:val="Normal"/>
    <w:link w:val="FooterChar"/>
    <w:uiPriority w:val="99"/>
    <w:unhideWhenUsed/>
    <w:rsid w:val="00C16A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E6451-090D-4A65-ACEC-444E97668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4808</TotalTime>
  <Pages>16</Pages>
  <Words>3178</Words>
  <Characters>18119</Characters>
  <Application>Microsoft Office Word</Application>
  <DocSecurity>0</DocSecurity>
  <Lines>150</Lines>
  <Paragraphs>42</Paragraphs>
  <ScaleCrop>false</ScaleCrop>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Patel</dc:creator>
  <cp:keywords/>
  <dc:description/>
  <cp:lastModifiedBy>Jeel Patel</cp:lastModifiedBy>
  <cp:revision>241</cp:revision>
  <dcterms:created xsi:type="dcterms:W3CDTF">2026-06-13T15:22:00Z</dcterms:created>
  <dcterms:modified xsi:type="dcterms:W3CDTF">2026-06-21T15:10:00Z</dcterms:modified>
</cp:coreProperties>
</file>