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3823DB" w14:textId="03090785" w:rsidR="00926509" w:rsidRDefault="00C30431" w:rsidP="00926509">
      <w:r>
        <w:t>2327</w:t>
      </w:r>
    </w:p>
    <w:p w14:paraId="0AF25EE3" w14:textId="77777777" w:rsidR="00C30431" w:rsidRPr="009E7CF8" w:rsidRDefault="00C30431" w:rsidP="00C30431">
      <w:pPr>
        <w:jc w:val="center"/>
      </w:pPr>
      <w:r>
        <w:drawing>
          <wp:inline distT="0" distB="0" distL="0" distR="0" wp14:anchorId="2A0615DE" wp14:editId="4681A783">
            <wp:extent cx="2399647" cy="957943"/>
            <wp:effectExtent l="0" t="0" r="1270" b="0"/>
            <wp:docPr id="1877011079" name="Picture 2" descr="University of Wales Trinity Saint David, UK | Application, Courses, Fee,  Ranking | Standy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iversity of Wales Trinity Saint David, UK | Application, Courses, Fee,  Ranking | Standyou"/>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40732" cy="974344"/>
                    </a:xfrm>
                    <a:prstGeom prst="rect">
                      <a:avLst/>
                    </a:prstGeom>
                    <a:noFill/>
                    <a:ln>
                      <a:noFill/>
                    </a:ln>
                  </pic:spPr>
                </pic:pic>
              </a:graphicData>
            </a:graphic>
          </wp:inline>
        </w:drawing>
      </w:r>
    </w:p>
    <w:tbl>
      <w:tblPr>
        <w:tblStyle w:val="TableGrid"/>
        <w:tblpPr w:leftFromText="180" w:rightFromText="180" w:vertAnchor="text" w:horzAnchor="margin" w:tblpY="202"/>
        <w:tblW w:w="9182" w:type="dxa"/>
        <w:tblLook w:val="04A0" w:firstRow="1" w:lastRow="0" w:firstColumn="1" w:lastColumn="0" w:noHBand="0" w:noVBand="1"/>
      </w:tblPr>
      <w:tblGrid>
        <w:gridCol w:w="2337"/>
        <w:gridCol w:w="2698"/>
        <w:gridCol w:w="2271"/>
        <w:gridCol w:w="1876"/>
      </w:tblGrid>
      <w:tr w:rsidR="00C30431" w:rsidRPr="009E7CF8" w14:paraId="55F62176" w14:textId="77777777" w:rsidTr="004438AE">
        <w:trPr>
          <w:trHeight w:val="990"/>
        </w:trPr>
        <w:tc>
          <w:tcPr>
            <w:tcW w:w="2295" w:type="dxa"/>
            <w:tcBorders>
              <w:top w:val="single" w:sz="4" w:space="0" w:color="auto"/>
              <w:left w:val="single" w:sz="4" w:space="0" w:color="auto"/>
              <w:bottom w:val="single" w:sz="4" w:space="0" w:color="auto"/>
              <w:right w:val="single" w:sz="4" w:space="0" w:color="auto"/>
            </w:tcBorders>
            <w:hideMark/>
          </w:tcPr>
          <w:p w14:paraId="0F2ED15B" w14:textId="77777777" w:rsidR="00C30431" w:rsidRPr="009E7CF8" w:rsidRDefault="00C30431" w:rsidP="004438AE">
            <w:pPr>
              <w:spacing w:after="160" w:line="259" w:lineRule="auto"/>
              <w:rPr>
                <w:b/>
                <w:bCs/>
                <w:sz w:val="36"/>
                <w:szCs w:val="36"/>
              </w:rPr>
            </w:pPr>
            <w:r w:rsidRPr="009E7CF8">
              <w:rPr>
                <w:b/>
                <w:bCs/>
                <w:sz w:val="36"/>
                <w:szCs w:val="36"/>
              </w:rPr>
              <w:t>Student Name:</w:t>
            </w:r>
          </w:p>
        </w:tc>
        <w:tc>
          <w:tcPr>
            <w:tcW w:w="2295" w:type="dxa"/>
            <w:tcBorders>
              <w:top w:val="single" w:sz="4" w:space="0" w:color="auto"/>
              <w:left w:val="single" w:sz="4" w:space="0" w:color="auto"/>
              <w:bottom w:val="single" w:sz="4" w:space="0" w:color="auto"/>
              <w:right w:val="single" w:sz="4" w:space="0" w:color="auto"/>
            </w:tcBorders>
            <w:hideMark/>
          </w:tcPr>
          <w:p w14:paraId="12224DF4" w14:textId="29285728" w:rsidR="00C30431" w:rsidRPr="009E7CF8" w:rsidRDefault="00B251AE" w:rsidP="004438AE">
            <w:pPr>
              <w:spacing w:after="160" w:line="259" w:lineRule="auto"/>
              <w:rPr>
                <w:sz w:val="36"/>
                <w:szCs w:val="36"/>
              </w:rPr>
            </w:pPr>
            <w:r>
              <w:rPr>
                <w:sz w:val="36"/>
                <w:szCs w:val="36"/>
              </w:rPr>
              <w:t>Mushkanbi Multani</w:t>
            </w:r>
          </w:p>
        </w:tc>
        <w:tc>
          <w:tcPr>
            <w:tcW w:w="2295" w:type="dxa"/>
            <w:tcBorders>
              <w:top w:val="single" w:sz="4" w:space="0" w:color="auto"/>
              <w:left w:val="single" w:sz="4" w:space="0" w:color="auto"/>
              <w:bottom w:val="single" w:sz="4" w:space="0" w:color="auto"/>
              <w:right w:val="single" w:sz="4" w:space="0" w:color="auto"/>
            </w:tcBorders>
            <w:hideMark/>
          </w:tcPr>
          <w:p w14:paraId="49153E77" w14:textId="77777777" w:rsidR="00C30431" w:rsidRPr="009E7CF8" w:rsidRDefault="00C30431" w:rsidP="004438AE">
            <w:pPr>
              <w:spacing w:after="160" w:line="259" w:lineRule="auto"/>
              <w:rPr>
                <w:b/>
                <w:bCs/>
                <w:sz w:val="36"/>
                <w:szCs w:val="36"/>
              </w:rPr>
            </w:pPr>
            <w:r w:rsidRPr="009E7CF8">
              <w:rPr>
                <w:b/>
                <w:bCs/>
                <w:sz w:val="36"/>
                <w:szCs w:val="36"/>
              </w:rPr>
              <w:t>Student ID:</w:t>
            </w:r>
          </w:p>
        </w:tc>
        <w:tc>
          <w:tcPr>
            <w:tcW w:w="2297" w:type="dxa"/>
            <w:tcBorders>
              <w:top w:val="single" w:sz="4" w:space="0" w:color="auto"/>
              <w:left w:val="single" w:sz="4" w:space="0" w:color="auto"/>
              <w:bottom w:val="single" w:sz="4" w:space="0" w:color="auto"/>
              <w:right w:val="single" w:sz="4" w:space="0" w:color="auto"/>
            </w:tcBorders>
            <w:hideMark/>
          </w:tcPr>
          <w:p w14:paraId="4F0A373E" w14:textId="276B9382" w:rsidR="00C30431" w:rsidRPr="009E7CF8" w:rsidRDefault="00C30431" w:rsidP="004438AE">
            <w:pPr>
              <w:spacing w:after="160" w:line="259" w:lineRule="auto"/>
              <w:rPr>
                <w:sz w:val="36"/>
                <w:szCs w:val="36"/>
              </w:rPr>
            </w:pPr>
            <w:r w:rsidRPr="00BA3DF1">
              <w:rPr>
                <w:sz w:val="36"/>
                <w:szCs w:val="36"/>
              </w:rPr>
              <w:t>25</w:t>
            </w:r>
            <w:r w:rsidR="00B251AE">
              <w:rPr>
                <w:sz w:val="36"/>
                <w:szCs w:val="36"/>
              </w:rPr>
              <w:t>31718</w:t>
            </w:r>
          </w:p>
        </w:tc>
      </w:tr>
      <w:tr w:rsidR="00C30431" w:rsidRPr="009E7CF8" w14:paraId="5E7C4618" w14:textId="77777777" w:rsidTr="004438AE">
        <w:trPr>
          <w:trHeight w:val="928"/>
        </w:trPr>
        <w:tc>
          <w:tcPr>
            <w:tcW w:w="2295" w:type="dxa"/>
            <w:tcBorders>
              <w:top w:val="single" w:sz="4" w:space="0" w:color="auto"/>
              <w:left w:val="single" w:sz="4" w:space="0" w:color="auto"/>
              <w:bottom w:val="single" w:sz="4" w:space="0" w:color="auto"/>
              <w:right w:val="single" w:sz="4" w:space="0" w:color="auto"/>
            </w:tcBorders>
            <w:hideMark/>
          </w:tcPr>
          <w:p w14:paraId="5E6E80D6" w14:textId="77777777" w:rsidR="00C30431" w:rsidRPr="009E7CF8" w:rsidRDefault="00C30431" w:rsidP="004438AE">
            <w:pPr>
              <w:spacing w:after="160" w:line="259" w:lineRule="auto"/>
              <w:rPr>
                <w:b/>
                <w:bCs/>
                <w:sz w:val="36"/>
                <w:szCs w:val="36"/>
              </w:rPr>
            </w:pPr>
            <w:r w:rsidRPr="009E7CF8">
              <w:rPr>
                <w:b/>
                <w:bCs/>
                <w:sz w:val="36"/>
                <w:szCs w:val="36"/>
              </w:rPr>
              <w:t>Programme:</w:t>
            </w:r>
          </w:p>
        </w:tc>
        <w:tc>
          <w:tcPr>
            <w:tcW w:w="6887" w:type="dxa"/>
            <w:gridSpan w:val="3"/>
            <w:tcBorders>
              <w:top w:val="single" w:sz="4" w:space="0" w:color="auto"/>
              <w:left w:val="single" w:sz="4" w:space="0" w:color="auto"/>
              <w:bottom w:val="single" w:sz="4" w:space="0" w:color="auto"/>
              <w:right w:val="single" w:sz="4" w:space="0" w:color="auto"/>
            </w:tcBorders>
            <w:hideMark/>
          </w:tcPr>
          <w:p w14:paraId="50516AD5" w14:textId="77777777" w:rsidR="00C30431" w:rsidRPr="009E7CF8" w:rsidRDefault="00C30431" w:rsidP="004438AE">
            <w:pPr>
              <w:spacing w:after="160" w:line="259" w:lineRule="auto"/>
              <w:rPr>
                <w:sz w:val="36"/>
                <w:szCs w:val="36"/>
              </w:rPr>
            </w:pPr>
            <w:r w:rsidRPr="009E7CF8">
              <w:rPr>
                <w:sz w:val="36"/>
                <w:szCs w:val="36"/>
              </w:rPr>
              <w:t>Master of Business Administration</w:t>
            </w:r>
          </w:p>
        </w:tc>
      </w:tr>
      <w:tr w:rsidR="00C30431" w:rsidRPr="009E7CF8" w14:paraId="67EDACA6" w14:textId="77777777" w:rsidTr="004438AE">
        <w:trPr>
          <w:trHeight w:val="990"/>
        </w:trPr>
        <w:tc>
          <w:tcPr>
            <w:tcW w:w="2295" w:type="dxa"/>
            <w:tcBorders>
              <w:top w:val="single" w:sz="4" w:space="0" w:color="auto"/>
              <w:left w:val="single" w:sz="4" w:space="0" w:color="auto"/>
              <w:bottom w:val="single" w:sz="4" w:space="0" w:color="auto"/>
              <w:right w:val="single" w:sz="4" w:space="0" w:color="auto"/>
            </w:tcBorders>
            <w:hideMark/>
          </w:tcPr>
          <w:p w14:paraId="6099E2F4" w14:textId="77777777" w:rsidR="00C30431" w:rsidRPr="009E7CF8" w:rsidRDefault="00C30431" w:rsidP="004438AE">
            <w:pPr>
              <w:spacing w:after="160" w:line="259" w:lineRule="auto"/>
              <w:rPr>
                <w:b/>
                <w:bCs/>
                <w:sz w:val="36"/>
                <w:szCs w:val="36"/>
              </w:rPr>
            </w:pPr>
            <w:r w:rsidRPr="009E7CF8">
              <w:rPr>
                <w:b/>
                <w:bCs/>
                <w:sz w:val="36"/>
                <w:szCs w:val="36"/>
              </w:rPr>
              <w:t>Module:</w:t>
            </w:r>
          </w:p>
        </w:tc>
        <w:tc>
          <w:tcPr>
            <w:tcW w:w="6887" w:type="dxa"/>
            <w:gridSpan w:val="3"/>
            <w:tcBorders>
              <w:top w:val="single" w:sz="4" w:space="0" w:color="auto"/>
              <w:left w:val="single" w:sz="4" w:space="0" w:color="auto"/>
              <w:bottom w:val="single" w:sz="4" w:space="0" w:color="auto"/>
              <w:right w:val="single" w:sz="4" w:space="0" w:color="auto"/>
            </w:tcBorders>
            <w:hideMark/>
          </w:tcPr>
          <w:p w14:paraId="0AA49B7C" w14:textId="77777777" w:rsidR="00C30431" w:rsidRPr="009E7CF8" w:rsidRDefault="00C30431" w:rsidP="004438AE">
            <w:pPr>
              <w:spacing w:after="160" w:line="259" w:lineRule="auto"/>
              <w:rPr>
                <w:sz w:val="36"/>
                <w:szCs w:val="36"/>
              </w:rPr>
            </w:pPr>
            <w:r w:rsidRPr="009E7CF8">
              <w:rPr>
                <w:sz w:val="36"/>
                <w:szCs w:val="36"/>
              </w:rPr>
              <w:t>Marketing Management</w:t>
            </w:r>
          </w:p>
        </w:tc>
      </w:tr>
      <w:tr w:rsidR="00C30431" w:rsidRPr="009E7CF8" w14:paraId="49B43A66" w14:textId="77777777" w:rsidTr="004438AE">
        <w:trPr>
          <w:trHeight w:val="990"/>
        </w:trPr>
        <w:tc>
          <w:tcPr>
            <w:tcW w:w="2295" w:type="dxa"/>
            <w:tcBorders>
              <w:top w:val="single" w:sz="4" w:space="0" w:color="auto"/>
              <w:left w:val="single" w:sz="4" w:space="0" w:color="auto"/>
              <w:bottom w:val="single" w:sz="4" w:space="0" w:color="auto"/>
              <w:right w:val="single" w:sz="4" w:space="0" w:color="auto"/>
            </w:tcBorders>
            <w:hideMark/>
          </w:tcPr>
          <w:p w14:paraId="24055CE2" w14:textId="77777777" w:rsidR="00C30431" w:rsidRPr="009E7CF8" w:rsidRDefault="00C30431" w:rsidP="004438AE">
            <w:pPr>
              <w:spacing w:after="160" w:line="259" w:lineRule="auto"/>
              <w:rPr>
                <w:b/>
                <w:bCs/>
                <w:sz w:val="36"/>
                <w:szCs w:val="36"/>
              </w:rPr>
            </w:pPr>
            <w:r w:rsidRPr="009E7CF8">
              <w:rPr>
                <w:b/>
                <w:bCs/>
                <w:sz w:val="36"/>
                <w:szCs w:val="36"/>
              </w:rPr>
              <w:t>Module Code:</w:t>
            </w:r>
          </w:p>
        </w:tc>
        <w:tc>
          <w:tcPr>
            <w:tcW w:w="6887" w:type="dxa"/>
            <w:gridSpan w:val="3"/>
            <w:tcBorders>
              <w:top w:val="single" w:sz="4" w:space="0" w:color="auto"/>
              <w:left w:val="single" w:sz="4" w:space="0" w:color="auto"/>
              <w:bottom w:val="single" w:sz="4" w:space="0" w:color="auto"/>
              <w:right w:val="single" w:sz="4" w:space="0" w:color="auto"/>
            </w:tcBorders>
            <w:hideMark/>
          </w:tcPr>
          <w:p w14:paraId="7CC91840" w14:textId="77777777" w:rsidR="00C30431" w:rsidRPr="009E7CF8" w:rsidRDefault="00C30431" w:rsidP="004438AE">
            <w:pPr>
              <w:spacing w:after="160" w:line="259" w:lineRule="auto"/>
              <w:rPr>
                <w:sz w:val="36"/>
                <w:szCs w:val="36"/>
              </w:rPr>
            </w:pPr>
            <w:r w:rsidRPr="009E7CF8">
              <w:rPr>
                <w:sz w:val="36"/>
                <w:szCs w:val="36"/>
              </w:rPr>
              <w:t>LCMB7024</w:t>
            </w:r>
          </w:p>
        </w:tc>
      </w:tr>
      <w:tr w:rsidR="00C30431" w:rsidRPr="009E7CF8" w14:paraId="4F2A33AB" w14:textId="77777777" w:rsidTr="004438AE">
        <w:trPr>
          <w:trHeight w:val="990"/>
        </w:trPr>
        <w:tc>
          <w:tcPr>
            <w:tcW w:w="2295" w:type="dxa"/>
            <w:tcBorders>
              <w:top w:val="single" w:sz="4" w:space="0" w:color="auto"/>
              <w:left w:val="single" w:sz="4" w:space="0" w:color="auto"/>
              <w:bottom w:val="single" w:sz="4" w:space="0" w:color="auto"/>
              <w:right w:val="single" w:sz="4" w:space="0" w:color="auto"/>
            </w:tcBorders>
            <w:hideMark/>
          </w:tcPr>
          <w:p w14:paraId="22312B4E" w14:textId="77777777" w:rsidR="00C30431" w:rsidRPr="009E7CF8" w:rsidRDefault="00C30431" w:rsidP="004438AE">
            <w:pPr>
              <w:spacing w:after="160" w:line="259" w:lineRule="auto"/>
              <w:rPr>
                <w:b/>
                <w:bCs/>
                <w:sz w:val="36"/>
                <w:szCs w:val="36"/>
              </w:rPr>
            </w:pPr>
            <w:r w:rsidRPr="009E7CF8">
              <w:rPr>
                <w:b/>
                <w:bCs/>
                <w:sz w:val="36"/>
                <w:szCs w:val="36"/>
              </w:rPr>
              <w:t>Assignment Title:</w:t>
            </w:r>
          </w:p>
        </w:tc>
        <w:tc>
          <w:tcPr>
            <w:tcW w:w="6887" w:type="dxa"/>
            <w:gridSpan w:val="3"/>
            <w:tcBorders>
              <w:top w:val="single" w:sz="4" w:space="0" w:color="auto"/>
              <w:left w:val="single" w:sz="4" w:space="0" w:color="auto"/>
              <w:bottom w:val="single" w:sz="4" w:space="0" w:color="auto"/>
              <w:right w:val="single" w:sz="4" w:space="0" w:color="auto"/>
            </w:tcBorders>
            <w:hideMark/>
          </w:tcPr>
          <w:p w14:paraId="5357176B" w14:textId="77777777" w:rsidR="00C30431" w:rsidRPr="009E7CF8" w:rsidRDefault="00C30431" w:rsidP="004438AE">
            <w:pPr>
              <w:spacing w:after="160" w:line="259" w:lineRule="auto"/>
              <w:rPr>
                <w:sz w:val="36"/>
                <w:szCs w:val="36"/>
              </w:rPr>
            </w:pPr>
            <w:r w:rsidRPr="00B570D8">
              <w:rPr>
                <w:sz w:val="36"/>
                <w:szCs w:val="36"/>
              </w:rPr>
              <w:t>Marketing Strategies Portfolio</w:t>
            </w:r>
          </w:p>
        </w:tc>
      </w:tr>
      <w:tr w:rsidR="00C30431" w:rsidRPr="009E7CF8" w14:paraId="6A342ED6" w14:textId="77777777" w:rsidTr="004438AE">
        <w:trPr>
          <w:trHeight w:val="928"/>
        </w:trPr>
        <w:tc>
          <w:tcPr>
            <w:tcW w:w="2295" w:type="dxa"/>
            <w:tcBorders>
              <w:top w:val="single" w:sz="4" w:space="0" w:color="auto"/>
              <w:left w:val="single" w:sz="4" w:space="0" w:color="auto"/>
              <w:bottom w:val="single" w:sz="4" w:space="0" w:color="auto"/>
              <w:right w:val="single" w:sz="4" w:space="0" w:color="auto"/>
            </w:tcBorders>
            <w:hideMark/>
          </w:tcPr>
          <w:p w14:paraId="210D121F" w14:textId="77777777" w:rsidR="00C30431" w:rsidRPr="009E7CF8" w:rsidRDefault="00C30431" w:rsidP="004438AE">
            <w:pPr>
              <w:spacing w:after="160" w:line="259" w:lineRule="auto"/>
              <w:rPr>
                <w:b/>
                <w:bCs/>
                <w:sz w:val="36"/>
                <w:szCs w:val="36"/>
              </w:rPr>
            </w:pPr>
            <w:r w:rsidRPr="009E7CF8">
              <w:rPr>
                <w:b/>
                <w:bCs/>
                <w:sz w:val="36"/>
                <w:szCs w:val="36"/>
              </w:rPr>
              <w:t>Lecturer Name:</w:t>
            </w:r>
          </w:p>
        </w:tc>
        <w:tc>
          <w:tcPr>
            <w:tcW w:w="6887" w:type="dxa"/>
            <w:gridSpan w:val="3"/>
            <w:tcBorders>
              <w:top w:val="single" w:sz="4" w:space="0" w:color="auto"/>
              <w:left w:val="single" w:sz="4" w:space="0" w:color="auto"/>
              <w:bottom w:val="single" w:sz="4" w:space="0" w:color="auto"/>
              <w:right w:val="single" w:sz="4" w:space="0" w:color="auto"/>
            </w:tcBorders>
            <w:hideMark/>
          </w:tcPr>
          <w:p w14:paraId="0D46A4FD" w14:textId="7BF1E39C" w:rsidR="00C30431" w:rsidRPr="009E7CF8" w:rsidRDefault="00C30431" w:rsidP="004438AE">
            <w:pPr>
              <w:spacing w:after="160" w:line="259" w:lineRule="auto"/>
              <w:rPr>
                <w:sz w:val="36"/>
                <w:szCs w:val="36"/>
              </w:rPr>
            </w:pPr>
            <w:r>
              <w:rPr>
                <w:sz w:val="36"/>
                <w:szCs w:val="36"/>
              </w:rPr>
              <w:t>Isaiah Oino</w:t>
            </w:r>
          </w:p>
        </w:tc>
      </w:tr>
      <w:tr w:rsidR="00C30431" w:rsidRPr="009E7CF8" w14:paraId="08EDE8BB" w14:textId="77777777" w:rsidTr="004438AE">
        <w:trPr>
          <w:trHeight w:val="990"/>
        </w:trPr>
        <w:tc>
          <w:tcPr>
            <w:tcW w:w="2295" w:type="dxa"/>
            <w:tcBorders>
              <w:top w:val="single" w:sz="4" w:space="0" w:color="auto"/>
              <w:left w:val="single" w:sz="4" w:space="0" w:color="auto"/>
              <w:bottom w:val="single" w:sz="4" w:space="0" w:color="auto"/>
              <w:right w:val="single" w:sz="4" w:space="0" w:color="auto"/>
            </w:tcBorders>
            <w:hideMark/>
          </w:tcPr>
          <w:p w14:paraId="6EF5B908" w14:textId="77777777" w:rsidR="00C30431" w:rsidRPr="009E7CF8" w:rsidRDefault="00C30431" w:rsidP="004438AE">
            <w:pPr>
              <w:spacing w:after="160" w:line="259" w:lineRule="auto"/>
              <w:rPr>
                <w:b/>
                <w:bCs/>
                <w:sz w:val="36"/>
                <w:szCs w:val="36"/>
              </w:rPr>
            </w:pPr>
            <w:r w:rsidRPr="009E7CF8">
              <w:rPr>
                <w:b/>
                <w:bCs/>
                <w:sz w:val="36"/>
                <w:szCs w:val="36"/>
              </w:rPr>
              <w:t>Word Count:</w:t>
            </w:r>
          </w:p>
        </w:tc>
        <w:tc>
          <w:tcPr>
            <w:tcW w:w="2295" w:type="dxa"/>
            <w:tcBorders>
              <w:top w:val="single" w:sz="4" w:space="0" w:color="auto"/>
              <w:left w:val="single" w:sz="4" w:space="0" w:color="auto"/>
              <w:bottom w:val="single" w:sz="4" w:space="0" w:color="auto"/>
              <w:right w:val="single" w:sz="4" w:space="0" w:color="auto"/>
            </w:tcBorders>
            <w:hideMark/>
          </w:tcPr>
          <w:p w14:paraId="63C85A52" w14:textId="3C67963E" w:rsidR="00C30431" w:rsidRPr="009E7CF8" w:rsidRDefault="00C30431" w:rsidP="004438AE">
            <w:pPr>
              <w:spacing w:after="160" w:line="259" w:lineRule="auto"/>
              <w:rPr>
                <w:sz w:val="36"/>
                <w:szCs w:val="36"/>
              </w:rPr>
            </w:pPr>
            <w:r w:rsidRPr="009E7CF8">
              <w:rPr>
                <w:sz w:val="36"/>
                <w:szCs w:val="36"/>
              </w:rPr>
              <w:t>2</w:t>
            </w:r>
            <w:r>
              <w:rPr>
                <w:sz w:val="36"/>
                <w:szCs w:val="36"/>
              </w:rPr>
              <w:t>327</w:t>
            </w:r>
            <w:r w:rsidRPr="009E7CF8">
              <w:rPr>
                <w:sz w:val="36"/>
                <w:szCs w:val="36"/>
              </w:rPr>
              <w:t>(Excluding Refernces, Tables)</w:t>
            </w:r>
          </w:p>
        </w:tc>
        <w:tc>
          <w:tcPr>
            <w:tcW w:w="2295" w:type="dxa"/>
            <w:tcBorders>
              <w:top w:val="single" w:sz="4" w:space="0" w:color="auto"/>
              <w:left w:val="single" w:sz="4" w:space="0" w:color="auto"/>
              <w:bottom w:val="single" w:sz="4" w:space="0" w:color="auto"/>
              <w:right w:val="single" w:sz="4" w:space="0" w:color="auto"/>
            </w:tcBorders>
            <w:hideMark/>
          </w:tcPr>
          <w:p w14:paraId="183DE3B8" w14:textId="77777777" w:rsidR="00C30431" w:rsidRPr="009E7CF8" w:rsidRDefault="00C30431" w:rsidP="004438AE">
            <w:pPr>
              <w:spacing w:after="160" w:line="259" w:lineRule="auto"/>
              <w:rPr>
                <w:b/>
                <w:bCs/>
                <w:sz w:val="36"/>
                <w:szCs w:val="36"/>
              </w:rPr>
            </w:pPr>
            <w:r w:rsidRPr="009E7CF8">
              <w:rPr>
                <w:b/>
                <w:bCs/>
                <w:sz w:val="36"/>
                <w:szCs w:val="36"/>
              </w:rPr>
              <w:t>Submission Date:</w:t>
            </w:r>
          </w:p>
        </w:tc>
        <w:tc>
          <w:tcPr>
            <w:tcW w:w="2297" w:type="dxa"/>
            <w:tcBorders>
              <w:top w:val="single" w:sz="4" w:space="0" w:color="auto"/>
              <w:left w:val="single" w:sz="4" w:space="0" w:color="auto"/>
              <w:bottom w:val="single" w:sz="4" w:space="0" w:color="auto"/>
              <w:right w:val="single" w:sz="4" w:space="0" w:color="auto"/>
            </w:tcBorders>
            <w:hideMark/>
          </w:tcPr>
          <w:p w14:paraId="1955BAD9" w14:textId="77777777" w:rsidR="00C30431" w:rsidRPr="009E7CF8" w:rsidRDefault="00C30431" w:rsidP="004438AE">
            <w:pPr>
              <w:spacing w:after="160" w:line="259" w:lineRule="auto"/>
              <w:rPr>
                <w:sz w:val="36"/>
                <w:szCs w:val="36"/>
              </w:rPr>
            </w:pPr>
            <w:r>
              <w:rPr>
                <w:sz w:val="36"/>
                <w:szCs w:val="36"/>
              </w:rPr>
              <w:t>1</w:t>
            </w:r>
            <w:r w:rsidRPr="00E6708A">
              <w:rPr>
                <w:sz w:val="36"/>
                <w:szCs w:val="36"/>
                <w:vertAlign w:val="superscript"/>
              </w:rPr>
              <w:t>st</w:t>
            </w:r>
            <w:r>
              <w:rPr>
                <w:sz w:val="36"/>
                <w:szCs w:val="36"/>
              </w:rPr>
              <w:t xml:space="preserve"> </w:t>
            </w:r>
            <w:r w:rsidRPr="009E7CF8">
              <w:rPr>
                <w:sz w:val="36"/>
                <w:szCs w:val="36"/>
              </w:rPr>
              <w:t xml:space="preserve"> Ma</w:t>
            </w:r>
            <w:r>
              <w:rPr>
                <w:sz w:val="36"/>
                <w:szCs w:val="36"/>
              </w:rPr>
              <w:t>y</w:t>
            </w:r>
            <w:r w:rsidRPr="009E7CF8">
              <w:rPr>
                <w:sz w:val="36"/>
                <w:szCs w:val="36"/>
              </w:rPr>
              <w:t>, 2026</w:t>
            </w:r>
          </w:p>
        </w:tc>
      </w:tr>
    </w:tbl>
    <w:p w14:paraId="15C81B6B" w14:textId="77777777" w:rsidR="00C30431" w:rsidRDefault="00C30431" w:rsidP="00926509"/>
    <w:p w14:paraId="3E5B1BA6" w14:textId="00ED08C5" w:rsidR="00B251AE" w:rsidRDefault="00B251AE">
      <w:pPr>
        <w:jc w:val="left"/>
      </w:pPr>
      <w:r>
        <w:br w:type="page"/>
      </w:r>
    </w:p>
    <w:p w14:paraId="207619DA" w14:textId="77777777" w:rsidR="00B251AE" w:rsidRDefault="00B251AE" w:rsidP="00926509"/>
    <w:sdt>
      <w:sdtPr>
        <w:id w:val="-1044132614"/>
        <w:docPartObj>
          <w:docPartGallery w:val="Table of Contents"/>
          <w:docPartUnique/>
        </w:docPartObj>
      </w:sdtPr>
      <w:sdtEndPr>
        <w:rPr>
          <w:rFonts w:ascii="Arial" w:eastAsiaTheme="minorHAnsi" w:hAnsi="Arial" w:cstheme="minorBidi"/>
          <w:b/>
          <w:bCs/>
          <w:noProof/>
          <w:color w:val="auto"/>
          <w:kern w:val="2"/>
          <w:sz w:val="24"/>
          <w:szCs w:val="22"/>
          <w:lang w:val="en-IN"/>
          <w14:ligatures w14:val="standardContextual"/>
        </w:rPr>
      </w:sdtEndPr>
      <w:sdtContent>
        <w:p w14:paraId="2D6062D0" w14:textId="05E94400" w:rsidR="00B251AE" w:rsidRDefault="00B251AE">
          <w:pPr>
            <w:pStyle w:val="TOCHeading"/>
          </w:pPr>
          <w:r>
            <w:t>Table of Contents</w:t>
          </w:r>
        </w:p>
        <w:p w14:paraId="16B0537F" w14:textId="1529D851" w:rsidR="00B251AE" w:rsidRDefault="00B251AE">
          <w:pPr>
            <w:pStyle w:val="TOC1"/>
            <w:tabs>
              <w:tab w:val="right" w:leader="dot" w:pos="9016"/>
            </w:tabs>
            <w:rPr>
              <w:rFonts w:asciiTheme="minorHAnsi" w:eastAsiaTheme="minorEastAsia" w:hAnsiTheme="minorHAnsi"/>
              <w:szCs w:val="24"/>
              <w:lang w:eastAsia="en-IN"/>
            </w:rPr>
          </w:pPr>
          <w:r>
            <w:fldChar w:fldCharType="begin"/>
          </w:r>
          <w:r>
            <w:instrText xml:space="preserve"> TOC \o "1-3" \h \z \u </w:instrText>
          </w:r>
          <w:r>
            <w:fldChar w:fldCharType="separate"/>
          </w:r>
          <w:hyperlink w:anchor="_Toc228300719" w:history="1">
            <w:r w:rsidRPr="00BE5257">
              <w:rPr>
                <w:rStyle w:val="Hyperlink"/>
              </w:rPr>
              <w:t>ELEMENT 1: Brand Extension</w:t>
            </w:r>
            <w:r>
              <w:rPr>
                <w:webHidden/>
              </w:rPr>
              <w:tab/>
            </w:r>
            <w:r>
              <w:rPr>
                <w:webHidden/>
              </w:rPr>
              <w:fldChar w:fldCharType="begin"/>
            </w:r>
            <w:r>
              <w:rPr>
                <w:webHidden/>
              </w:rPr>
              <w:instrText xml:space="preserve"> PAGEREF _Toc228300719 \h </w:instrText>
            </w:r>
            <w:r>
              <w:rPr>
                <w:webHidden/>
              </w:rPr>
            </w:r>
            <w:r>
              <w:rPr>
                <w:webHidden/>
              </w:rPr>
              <w:fldChar w:fldCharType="separate"/>
            </w:r>
            <w:r>
              <w:rPr>
                <w:webHidden/>
              </w:rPr>
              <w:t>1</w:t>
            </w:r>
            <w:r>
              <w:rPr>
                <w:webHidden/>
              </w:rPr>
              <w:fldChar w:fldCharType="end"/>
            </w:r>
          </w:hyperlink>
        </w:p>
        <w:p w14:paraId="057FF234" w14:textId="4F233061" w:rsidR="00B251AE" w:rsidRDefault="00B251AE">
          <w:pPr>
            <w:pStyle w:val="TOC2"/>
            <w:tabs>
              <w:tab w:val="right" w:leader="dot" w:pos="9016"/>
            </w:tabs>
            <w:rPr>
              <w:rFonts w:asciiTheme="minorHAnsi" w:eastAsiaTheme="minorEastAsia" w:hAnsiTheme="minorHAnsi"/>
              <w:szCs w:val="24"/>
              <w:lang w:eastAsia="en-IN"/>
            </w:rPr>
          </w:pPr>
          <w:hyperlink w:anchor="_Toc228300720" w:history="1">
            <w:r w:rsidRPr="00BE5257">
              <w:rPr>
                <w:rStyle w:val="Hyperlink"/>
              </w:rPr>
              <w:t>1. Introduction</w:t>
            </w:r>
            <w:r>
              <w:rPr>
                <w:webHidden/>
              </w:rPr>
              <w:tab/>
            </w:r>
            <w:r>
              <w:rPr>
                <w:webHidden/>
              </w:rPr>
              <w:fldChar w:fldCharType="begin"/>
            </w:r>
            <w:r>
              <w:rPr>
                <w:webHidden/>
              </w:rPr>
              <w:instrText xml:space="preserve"> PAGEREF _Toc228300720 \h </w:instrText>
            </w:r>
            <w:r>
              <w:rPr>
                <w:webHidden/>
              </w:rPr>
            </w:r>
            <w:r>
              <w:rPr>
                <w:webHidden/>
              </w:rPr>
              <w:fldChar w:fldCharType="separate"/>
            </w:r>
            <w:r>
              <w:rPr>
                <w:webHidden/>
              </w:rPr>
              <w:t>1</w:t>
            </w:r>
            <w:r>
              <w:rPr>
                <w:webHidden/>
              </w:rPr>
              <w:fldChar w:fldCharType="end"/>
            </w:r>
          </w:hyperlink>
        </w:p>
        <w:p w14:paraId="187B57CF" w14:textId="73E7AAD4" w:rsidR="00B251AE" w:rsidRDefault="00B251AE">
          <w:pPr>
            <w:pStyle w:val="TOC1"/>
            <w:tabs>
              <w:tab w:val="right" w:leader="dot" w:pos="9016"/>
            </w:tabs>
            <w:rPr>
              <w:rFonts w:asciiTheme="minorHAnsi" w:eastAsiaTheme="minorEastAsia" w:hAnsiTheme="minorHAnsi"/>
              <w:szCs w:val="24"/>
              <w:lang w:eastAsia="en-IN"/>
            </w:rPr>
          </w:pPr>
          <w:hyperlink w:anchor="_Toc228300721" w:history="1">
            <w:r w:rsidRPr="00BE5257">
              <w:rPr>
                <w:rStyle w:val="Hyperlink"/>
              </w:rPr>
              <w:t>ELEMENT 2: STDP Analysis</w:t>
            </w:r>
            <w:r>
              <w:rPr>
                <w:webHidden/>
              </w:rPr>
              <w:tab/>
            </w:r>
            <w:r>
              <w:rPr>
                <w:webHidden/>
              </w:rPr>
              <w:fldChar w:fldCharType="begin"/>
            </w:r>
            <w:r>
              <w:rPr>
                <w:webHidden/>
              </w:rPr>
              <w:instrText xml:space="preserve"> PAGEREF _Toc228300721 \h </w:instrText>
            </w:r>
            <w:r>
              <w:rPr>
                <w:webHidden/>
              </w:rPr>
            </w:r>
            <w:r>
              <w:rPr>
                <w:webHidden/>
              </w:rPr>
              <w:fldChar w:fldCharType="separate"/>
            </w:r>
            <w:r>
              <w:rPr>
                <w:webHidden/>
              </w:rPr>
              <w:t>1</w:t>
            </w:r>
            <w:r>
              <w:rPr>
                <w:webHidden/>
              </w:rPr>
              <w:fldChar w:fldCharType="end"/>
            </w:r>
          </w:hyperlink>
        </w:p>
        <w:p w14:paraId="4EE46C67" w14:textId="7B5CCAC9" w:rsidR="00B251AE" w:rsidRDefault="00B251AE">
          <w:pPr>
            <w:pStyle w:val="TOC2"/>
            <w:tabs>
              <w:tab w:val="right" w:leader="dot" w:pos="9016"/>
            </w:tabs>
            <w:rPr>
              <w:rFonts w:asciiTheme="minorHAnsi" w:eastAsiaTheme="minorEastAsia" w:hAnsiTheme="minorHAnsi"/>
              <w:szCs w:val="24"/>
              <w:lang w:eastAsia="en-IN"/>
            </w:rPr>
          </w:pPr>
          <w:hyperlink w:anchor="_Toc228300722" w:history="1">
            <w:r w:rsidRPr="00BE5257">
              <w:rPr>
                <w:rStyle w:val="Hyperlink"/>
              </w:rPr>
              <w:t>2.1 Market Segmentation</w:t>
            </w:r>
            <w:r>
              <w:rPr>
                <w:webHidden/>
              </w:rPr>
              <w:tab/>
            </w:r>
            <w:r>
              <w:rPr>
                <w:webHidden/>
              </w:rPr>
              <w:fldChar w:fldCharType="begin"/>
            </w:r>
            <w:r>
              <w:rPr>
                <w:webHidden/>
              </w:rPr>
              <w:instrText xml:space="preserve"> PAGEREF _Toc228300722 \h </w:instrText>
            </w:r>
            <w:r>
              <w:rPr>
                <w:webHidden/>
              </w:rPr>
            </w:r>
            <w:r>
              <w:rPr>
                <w:webHidden/>
              </w:rPr>
              <w:fldChar w:fldCharType="separate"/>
            </w:r>
            <w:r>
              <w:rPr>
                <w:webHidden/>
              </w:rPr>
              <w:t>1</w:t>
            </w:r>
            <w:r>
              <w:rPr>
                <w:webHidden/>
              </w:rPr>
              <w:fldChar w:fldCharType="end"/>
            </w:r>
          </w:hyperlink>
        </w:p>
        <w:p w14:paraId="2C1F7AD8" w14:textId="71876E59" w:rsidR="00B251AE" w:rsidRDefault="00B251AE">
          <w:pPr>
            <w:pStyle w:val="TOC2"/>
            <w:tabs>
              <w:tab w:val="right" w:leader="dot" w:pos="9016"/>
            </w:tabs>
            <w:rPr>
              <w:rFonts w:asciiTheme="minorHAnsi" w:eastAsiaTheme="minorEastAsia" w:hAnsiTheme="minorHAnsi"/>
              <w:szCs w:val="24"/>
              <w:lang w:eastAsia="en-IN"/>
            </w:rPr>
          </w:pPr>
          <w:hyperlink w:anchor="_Toc228300723" w:history="1">
            <w:r w:rsidRPr="00BE5257">
              <w:rPr>
                <w:rStyle w:val="Hyperlink"/>
              </w:rPr>
              <w:t>2.2 Target Market</w:t>
            </w:r>
            <w:r>
              <w:rPr>
                <w:webHidden/>
              </w:rPr>
              <w:tab/>
            </w:r>
            <w:r>
              <w:rPr>
                <w:webHidden/>
              </w:rPr>
              <w:fldChar w:fldCharType="begin"/>
            </w:r>
            <w:r>
              <w:rPr>
                <w:webHidden/>
              </w:rPr>
              <w:instrText xml:space="preserve"> PAGEREF _Toc228300723 \h </w:instrText>
            </w:r>
            <w:r>
              <w:rPr>
                <w:webHidden/>
              </w:rPr>
            </w:r>
            <w:r>
              <w:rPr>
                <w:webHidden/>
              </w:rPr>
              <w:fldChar w:fldCharType="separate"/>
            </w:r>
            <w:r>
              <w:rPr>
                <w:webHidden/>
              </w:rPr>
              <w:t>2</w:t>
            </w:r>
            <w:r>
              <w:rPr>
                <w:webHidden/>
              </w:rPr>
              <w:fldChar w:fldCharType="end"/>
            </w:r>
          </w:hyperlink>
        </w:p>
        <w:p w14:paraId="4EB878A0" w14:textId="0BF9AD01" w:rsidR="00B251AE" w:rsidRDefault="00B251AE">
          <w:pPr>
            <w:pStyle w:val="TOC2"/>
            <w:tabs>
              <w:tab w:val="right" w:leader="dot" w:pos="9016"/>
            </w:tabs>
            <w:rPr>
              <w:rFonts w:asciiTheme="minorHAnsi" w:eastAsiaTheme="minorEastAsia" w:hAnsiTheme="minorHAnsi"/>
              <w:szCs w:val="24"/>
              <w:lang w:eastAsia="en-IN"/>
            </w:rPr>
          </w:pPr>
          <w:hyperlink w:anchor="_Toc228300724" w:history="1">
            <w:r w:rsidRPr="00BE5257">
              <w:rPr>
                <w:rStyle w:val="Hyperlink"/>
              </w:rPr>
              <w:t>2.3 Differentiation Strategy</w:t>
            </w:r>
            <w:r>
              <w:rPr>
                <w:webHidden/>
              </w:rPr>
              <w:tab/>
            </w:r>
            <w:r>
              <w:rPr>
                <w:webHidden/>
              </w:rPr>
              <w:fldChar w:fldCharType="begin"/>
            </w:r>
            <w:r>
              <w:rPr>
                <w:webHidden/>
              </w:rPr>
              <w:instrText xml:space="preserve"> PAGEREF _Toc228300724 \h </w:instrText>
            </w:r>
            <w:r>
              <w:rPr>
                <w:webHidden/>
              </w:rPr>
            </w:r>
            <w:r>
              <w:rPr>
                <w:webHidden/>
              </w:rPr>
              <w:fldChar w:fldCharType="separate"/>
            </w:r>
            <w:r>
              <w:rPr>
                <w:webHidden/>
              </w:rPr>
              <w:t>2</w:t>
            </w:r>
            <w:r>
              <w:rPr>
                <w:webHidden/>
              </w:rPr>
              <w:fldChar w:fldCharType="end"/>
            </w:r>
          </w:hyperlink>
        </w:p>
        <w:p w14:paraId="15F868E5" w14:textId="24A4C13B" w:rsidR="00B251AE" w:rsidRDefault="00B251AE">
          <w:pPr>
            <w:pStyle w:val="TOC2"/>
            <w:tabs>
              <w:tab w:val="right" w:leader="dot" w:pos="9016"/>
            </w:tabs>
            <w:rPr>
              <w:rFonts w:asciiTheme="minorHAnsi" w:eastAsiaTheme="minorEastAsia" w:hAnsiTheme="minorHAnsi"/>
              <w:szCs w:val="24"/>
              <w:lang w:eastAsia="en-IN"/>
            </w:rPr>
          </w:pPr>
          <w:hyperlink w:anchor="_Toc228300725" w:history="1">
            <w:r w:rsidRPr="00BE5257">
              <w:rPr>
                <w:rStyle w:val="Hyperlink"/>
              </w:rPr>
              <w:t>2.4 Positioning Strategy</w:t>
            </w:r>
            <w:r>
              <w:rPr>
                <w:webHidden/>
              </w:rPr>
              <w:tab/>
            </w:r>
            <w:r>
              <w:rPr>
                <w:webHidden/>
              </w:rPr>
              <w:fldChar w:fldCharType="begin"/>
            </w:r>
            <w:r>
              <w:rPr>
                <w:webHidden/>
              </w:rPr>
              <w:instrText xml:space="preserve"> PAGEREF _Toc228300725 \h </w:instrText>
            </w:r>
            <w:r>
              <w:rPr>
                <w:webHidden/>
              </w:rPr>
            </w:r>
            <w:r>
              <w:rPr>
                <w:webHidden/>
              </w:rPr>
              <w:fldChar w:fldCharType="separate"/>
            </w:r>
            <w:r>
              <w:rPr>
                <w:webHidden/>
              </w:rPr>
              <w:t>3</w:t>
            </w:r>
            <w:r>
              <w:rPr>
                <w:webHidden/>
              </w:rPr>
              <w:fldChar w:fldCharType="end"/>
            </w:r>
          </w:hyperlink>
        </w:p>
        <w:p w14:paraId="75DCD9B4" w14:textId="0C431CB7" w:rsidR="00B251AE" w:rsidRDefault="00B251AE">
          <w:pPr>
            <w:pStyle w:val="TOC1"/>
            <w:tabs>
              <w:tab w:val="right" w:leader="dot" w:pos="9016"/>
            </w:tabs>
            <w:rPr>
              <w:rFonts w:asciiTheme="minorHAnsi" w:eastAsiaTheme="minorEastAsia" w:hAnsiTheme="minorHAnsi"/>
              <w:szCs w:val="24"/>
              <w:lang w:eastAsia="en-IN"/>
            </w:rPr>
          </w:pPr>
          <w:hyperlink w:anchor="_Toc228300726" w:history="1">
            <w:r w:rsidRPr="00BE5257">
              <w:rPr>
                <w:rStyle w:val="Hyperlink"/>
              </w:rPr>
              <w:t>ELEMENT 3: MARKETING MIX</w:t>
            </w:r>
            <w:r>
              <w:rPr>
                <w:webHidden/>
              </w:rPr>
              <w:tab/>
            </w:r>
            <w:r>
              <w:rPr>
                <w:webHidden/>
              </w:rPr>
              <w:fldChar w:fldCharType="begin"/>
            </w:r>
            <w:r>
              <w:rPr>
                <w:webHidden/>
              </w:rPr>
              <w:instrText xml:space="preserve"> PAGEREF _Toc228300726 \h </w:instrText>
            </w:r>
            <w:r>
              <w:rPr>
                <w:webHidden/>
              </w:rPr>
            </w:r>
            <w:r>
              <w:rPr>
                <w:webHidden/>
              </w:rPr>
              <w:fldChar w:fldCharType="separate"/>
            </w:r>
            <w:r>
              <w:rPr>
                <w:webHidden/>
              </w:rPr>
              <w:t>3</w:t>
            </w:r>
            <w:r>
              <w:rPr>
                <w:webHidden/>
              </w:rPr>
              <w:fldChar w:fldCharType="end"/>
            </w:r>
          </w:hyperlink>
        </w:p>
        <w:p w14:paraId="3498B74B" w14:textId="7EC43BC6" w:rsidR="00B251AE" w:rsidRDefault="00B251AE">
          <w:pPr>
            <w:pStyle w:val="TOC2"/>
            <w:tabs>
              <w:tab w:val="right" w:leader="dot" w:pos="9016"/>
            </w:tabs>
            <w:rPr>
              <w:rFonts w:asciiTheme="minorHAnsi" w:eastAsiaTheme="minorEastAsia" w:hAnsiTheme="minorHAnsi"/>
              <w:szCs w:val="24"/>
              <w:lang w:eastAsia="en-IN"/>
            </w:rPr>
          </w:pPr>
          <w:hyperlink w:anchor="_Toc228300727" w:history="1">
            <w:r w:rsidRPr="00BE5257">
              <w:rPr>
                <w:rStyle w:val="Hyperlink"/>
              </w:rPr>
              <w:t>3.1 Product Strategy</w:t>
            </w:r>
            <w:r>
              <w:rPr>
                <w:webHidden/>
              </w:rPr>
              <w:tab/>
            </w:r>
            <w:r>
              <w:rPr>
                <w:webHidden/>
              </w:rPr>
              <w:fldChar w:fldCharType="begin"/>
            </w:r>
            <w:r>
              <w:rPr>
                <w:webHidden/>
              </w:rPr>
              <w:instrText xml:space="preserve"> PAGEREF _Toc228300727 \h </w:instrText>
            </w:r>
            <w:r>
              <w:rPr>
                <w:webHidden/>
              </w:rPr>
            </w:r>
            <w:r>
              <w:rPr>
                <w:webHidden/>
              </w:rPr>
              <w:fldChar w:fldCharType="separate"/>
            </w:r>
            <w:r>
              <w:rPr>
                <w:webHidden/>
              </w:rPr>
              <w:t>3</w:t>
            </w:r>
            <w:r>
              <w:rPr>
                <w:webHidden/>
              </w:rPr>
              <w:fldChar w:fldCharType="end"/>
            </w:r>
          </w:hyperlink>
        </w:p>
        <w:p w14:paraId="61BC771C" w14:textId="3C56F21E" w:rsidR="00B251AE" w:rsidRDefault="00B251AE">
          <w:pPr>
            <w:pStyle w:val="TOC2"/>
            <w:tabs>
              <w:tab w:val="right" w:leader="dot" w:pos="9016"/>
            </w:tabs>
            <w:rPr>
              <w:rFonts w:asciiTheme="minorHAnsi" w:eastAsiaTheme="minorEastAsia" w:hAnsiTheme="minorHAnsi"/>
              <w:szCs w:val="24"/>
              <w:lang w:eastAsia="en-IN"/>
            </w:rPr>
          </w:pPr>
          <w:hyperlink w:anchor="_Toc228300728" w:history="1">
            <w:r w:rsidRPr="00BE5257">
              <w:rPr>
                <w:rStyle w:val="Hyperlink"/>
              </w:rPr>
              <w:t>3.2 Pricing Strategy</w:t>
            </w:r>
            <w:r>
              <w:rPr>
                <w:webHidden/>
              </w:rPr>
              <w:tab/>
            </w:r>
            <w:r>
              <w:rPr>
                <w:webHidden/>
              </w:rPr>
              <w:fldChar w:fldCharType="begin"/>
            </w:r>
            <w:r>
              <w:rPr>
                <w:webHidden/>
              </w:rPr>
              <w:instrText xml:space="preserve"> PAGEREF _Toc228300728 \h </w:instrText>
            </w:r>
            <w:r>
              <w:rPr>
                <w:webHidden/>
              </w:rPr>
            </w:r>
            <w:r>
              <w:rPr>
                <w:webHidden/>
              </w:rPr>
              <w:fldChar w:fldCharType="separate"/>
            </w:r>
            <w:r>
              <w:rPr>
                <w:webHidden/>
              </w:rPr>
              <w:t>4</w:t>
            </w:r>
            <w:r>
              <w:rPr>
                <w:webHidden/>
              </w:rPr>
              <w:fldChar w:fldCharType="end"/>
            </w:r>
          </w:hyperlink>
        </w:p>
        <w:p w14:paraId="16325639" w14:textId="1ED3A81B" w:rsidR="00B251AE" w:rsidRDefault="00B251AE">
          <w:pPr>
            <w:pStyle w:val="TOC2"/>
            <w:tabs>
              <w:tab w:val="right" w:leader="dot" w:pos="9016"/>
            </w:tabs>
            <w:rPr>
              <w:rFonts w:asciiTheme="minorHAnsi" w:eastAsiaTheme="minorEastAsia" w:hAnsiTheme="minorHAnsi"/>
              <w:szCs w:val="24"/>
              <w:lang w:eastAsia="en-IN"/>
            </w:rPr>
          </w:pPr>
          <w:hyperlink w:anchor="_Toc228300729" w:history="1">
            <w:r w:rsidRPr="00BE5257">
              <w:rPr>
                <w:rStyle w:val="Hyperlink"/>
              </w:rPr>
              <w:t>3.3 Place (Distribution) Strategy</w:t>
            </w:r>
            <w:r>
              <w:rPr>
                <w:webHidden/>
              </w:rPr>
              <w:tab/>
            </w:r>
            <w:r>
              <w:rPr>
                <w:webHidden/>
              </w:rPr>
              <w:fldChar w:fldCharType="begin"/>
            </w:r>
            <w:r>
              <w:rPr>
                <w:webHidden/>
              </w:rPr>
              <w:instrText xml:space="preserve"> PAGEREF _Toc228300729 \h </w:instrText>
            </w:r>
            <w:r>
              <w:rPr>
                <w:webHidden/>
              </w:rPr>
            </w:r>
            <w:r>
              <w:rPr>
                <w:webHidden/>
              </w:rPr>
              <w:fldChar w:fldCharType="separate"/>
            </w:r>
            <w:r>
              <w:rPr>
                <w:webHidden/>
              </w:rPr>
              <w:t>4</w:t>
            </w:r>
            <w:r>
              <w:rPr>
                <w:webHidden/>
              </w:rPr>
              <w:fldChar w:fldCharType="end"/>
            </w:r>
          </w:hyperlink>
        </w:p>
        <w:p w14:paraId="24229583" w14:textId="3FB1DFAB" w:rsidR="00B251AE" w:rsidRDefault="00B251AE">
          <w:pPr>
            <w:pStyle w:val="TOC2"/>
            <w:tabs>
              <w:tab w:val="right" w:leader="dot" w:pos="9016"/>
            </w:tabs>
            <w:rPr>
              <w:rFonts w:asciiTheme="minorHAnsi" w:eastAsiaTheme="minorEastAsia" w:hAnsiTheme="minorHAnsi"/>
              <w:szCs w:val="24"/>
              <w:lang w:eastAsia="en-IN"/>
            </w:rPr>
          </w:pPr>
          <w:hyperlink w:anchor="_Toc228300730" w:history="1">
            <w:r w:rsidRPr="00BE5257">
              <w:rPr>
                <w:rStyle w:val="Hyperlink"/>
              </w:rPr>
              <w:t>3.4 Promotion Strategy</w:t>
            </w:r>
            <w:r>
              <w:rPr>
                <w:webHidden/>
              </w:rPr>
              <w:tab/>
            </w:r>
            <w:r>
              <w:rPr>
                <w:webHidden/>
              </w:rPr>
              <w:fldChar w:fldCharType="begin"/>
            </w:r>
            <w:r>
              <w:rPr>
                <w:webHidden/>
              </w:rPr>
              <w:instrText xml:space="preserve"> PAGEREF _Toc228300730 \h </w:instrText>
            </w:r>
            <w:r>
              <w:rPr>
                <w:webHidden/>
              </w:rPr>
            </w:r>
            <w:r>
              <w:rPr>
                <w:webHidden/>
              </w:rPr>
              <w:fldChar w:fldCharType="separate"/>
            </w:r>
            <w:r>
              <w:rPr>
                <w:webHidden/>
              </w:rPr>
              <w:t>5</w:t>
            </w:r>
            <w:r>
              <w:rPr>
                <w:webHidden/>
              </w:rPr>
              <w:fldChar w:fldCharType="end"/>
            </w:r>
          </w:hyperlink>
        </w:p>
        <w:p w14:paraId="5DCE7D08" w14:textId="646F6F66" w:rsidR="00B251AE" w:rsidRDefault="00B251AE">
          <w:pPr>
            <w:pStyle w:val="TOC1"/>
            <w:tabs>
              <w:tab w:val="right" w:leader="dot" w:pos="9016"/>
            </w:tabs>
            <w:rPr>
              <w:rFonts w:asciiTheme="minorHAnsi" w:eastAsiaTheme="minorEastAsia" w:hAnsiTheme="minorHAnsi"/>
              <w:szCs w:val="24"/>
              <w:lang w:eastAsia="en-IN"/>
            </w:rPr>
          </w:pPr>
          <w:hyperlink w:anchor="_Toc228300731" w:history="1">
            <w:r w:rsidRPr="00BE5257">
              <w:rPr>
                <w:rStyle w:val="Hyperlink"/>
              </w:rPr>
              <w:t>ELEMENT 4: Reflection</w:t>
            </w:r>
            <w:r>
              <w:rPr>
                <w:webHidden/>
              </w:rPr>
              <w:tab/>
            </w:r>
            <w:r>
              <w:rPr>
                <w:webHidden/>
              </w:rPr>
              <w:fldChar w:fldCharType="begin"/>
            </w:r>
            <w:r>
              <w:rPr>
                <w:webHidden/>
              </w:rPr>
              <w:instrText xml:space="preserve"> PAGEREF _Toc228300731 \h </w:instrText>
            </w:r>
            <w:r>
              <w:rPr>
                <w:webHidden/>
              </w:rPr>
            </w:r>
            <w:r>
              <w:rPr>
                <w:webHidden/>
              </w:rPr>
              <w:fldChar w:fldCharType="separate"/>
            </w:r>
            <w:r>
              <w:rPr>
                <w:webHidden/>
              </w:rPr>
              <w:t>5</w:t>
            </w:r>
            <w:r>
              <w:rPr>
                <w:webHidden/>
              </w:rPr>
              <w:fldChar w:fldCharType="end"/>
            </w:r>
          </w:hyperlink>
        </w:p>
        <w:p w14:paraId="559F8FD2" w14:textId="14BC0EA8" w:rsidR="00B251AE" w:rsidRDefault="00B251AE">
          <w:pPr>
            <w:pStyle w:val="TOC2"/>
            <w:tabs>
              <w:tab w:val="right" w:leader="dot" w:pos="9016"/>
            </w:tabs>
            <w:rPr>
              <w:rFonts w:asciiTheme="minorHAnsi" w:eastAsiaTheme="minorEastAsia" w:hAnsiTheme="minorHAnsi"/>
              <w:szCs w:val="24"/>
              <w:lang w:eastAsia="en-IN"/>
            </w:rPr>
          </w:pPr>
          <w:hyperlink w:anchor="_Toc228300732" w:history="1">
            <w:r w:rsidRPr="00BE5257">
              <w:rPr>
                <w:rStyle w:val="Hyperlink"/>
              </w:rPr>
              <w:t>4.1 Learning Experience</w:t>
            </w:r>
            <w:r>
              <w:rPr>
                <w:webHidden/>
              </w:rPr>
              <w:tab/>
            </w:r>
            <w:r>
              <w:rPr>
                <w:webHidden/>
              </w:rPr>
              <w:fldChar w:fldCharType="begin"/>
            </w:r>
            <w:r>
              <w:rPr>
                <w:webHidden/>
              </w:rPr>
              <w:instrText xml:space="preserve"> PAGEREF _Toc228300732 \h </w:instrText>
            </w:r>
            <w:r>
              <w:rPr>
                <w:webHidden/>
              </w:rPr>
            </w:r>
            <w:r>
              <w:rPr>
                <w:webHidden/>
              </w:rPr>
              <w:fldChar w:fldCharType="separate"/>
            </w:r>
            <w:r>
              <w:rPr>
                <w:webHidden/>
              </w:rPr>
              <w:t>5</w:t>
            </w:r>
            <w:r>
              <w:rPr>
                <w:webHidden/>
              </w:rPr>
              <w:fldChar w:fldCharType="end"/>
            </w:r>
          </w:hyperlink>
        </w:p>
        <w:p w14:paraId="655D450D" w14:textId="2941D254" w:rsidR="00B251AE" w:rsidRDefault="00B251AE">
          <w:pPr>
            <w:pStyle w:val="TOC2"/>
            <w:tabs>
              <w:tab w:val="right" w:leader="dot" w:pos="9016"/>
            </w:tabs>
            <w:rPr>
              <w:rFonts w:asciiTheme="minorHAnsi" w:eastAsiaTheme="minorEastAsia" w:hAnsiTheme="minorHAnsi"/>
              <w:szCs w:val="24"/>
              <w:lang w:eastAsia="en-IN"/>
            </w:rPr>
          </w:pPr>
          <w:hyperlink w:anchor="_Toc228300733" w:history="1">
            <w:r w:rsidRPr="00BE5257">
              <w:rPr>
                <w:rStyle w:val="Hyperlink"/>
              </w:rPr>
              <w:t>4.2 Skills Developed</w:t>
            </w:r>
            <w:r>
              <w:rPr>
                <w:webHidden/>
              </w:rPr>
              <w:tab/>
            </w:r>
            <w:r>
              <w:rPr>
                <w:webHidden/>
              </w:rPr>
              <w:fldChar w:fldCharType="begin"/>
            </w:r>
            <w:r>
              <w:rPr>
                <w:webHidden/>
              </w:rPr>
              <w:instrText xml:space="preserve"> PAGEREF _Toc228300733 \h </w:instrText>
            </w:r>
            <w:r>
              <w:rPr>
                <w:webHidden/>
              </w:rPr>
            </w:r>
            <w:r>
              <w:rPr>
                <w:webHidden/>
              </w:rPr>
              <w:fldChar w:fldCharType="separate"/>
            </w:r>
            <w:r>
              <w:rPr>
                <w:webHidden/>
              </w:rPr>
              <w:t>5</w:t>
            </w:r>
            <w:r>
              <w:rPr>
                <w:webHidden/>
              </w:rPr>
              <w:fldChar w:fldCharType="end"/>
            </w:r>
          </w:hyperlink>
        </w:p>
        <w:p w14:paraId="462EF4CA" w14:textId="624322AA" w:rsidR="00B251AE" w:rsidRDefault="00B251AE">
          <w:pPr>
            <w:pStyle w:val="TOC2"/>
            <w:tabs>
              <w:tab w:val="right" w:leader="dot" w:pos="9016"/>
            </w:tabs>
            <w:rPr>
              <w:rFonts w:asciiTheme="minorHAnsi" w:eastAsiaTheme="minorEastAsia" w:hAnsiTheme="minorHAnsi"/>
              <w:szCs w:val="24"/>
              <w:lang w:eastAsia="en-IN"/>
            </w:rPr>
          </w:pPr>
          <w:hyperlink w:anchor="_Toc228300734" w:history="1">
            <w:r w:rsidRPr="00BE5257">
              <w:rPr>
                <w:rStyle w:val="Hyperlink"/>
              </w:rPr>
              <w:t>4.3 Future Improvement</w:t>
            </w:r>
            <w:r>
              <w:rPr>
                <w:webHidden/>
              </w:rPr>
              <w:tab/>
            </w:r>
            <w:r>
              <w:rPr>
                <w:webHidden/>
              </w:rPr>
              <w:fldChar w:fldCharType="begin"/>
            </w:r>
            <w:r>
              <w:rPr>
                <w:webHidden/>
              </w:rPr>
              <w:instrText xml:space="preserve"> PAGEREF _Toc228300734 \h </w:instrText>
            </w:r>
            <w:r>
              <w:rPr>
                <w:webHidden/>
              </w:rPr>
            </w:r>
            <w:r>
              <w:rPr>
                <w:webHidden/>
              </w:rPr>
              <w:fldChar w:fldCharType="separate"/>
            </w:r>
            <w:r>
              <w:rPr>
                <w:webHidden/>
              </w:rPr>
              <w:t>6</w:t>
            </w:r>
            <w:r>
              <w:rPr>
                <w:webHidden/>
              </w:rPr>
              <w:fldChar w:fldCharType="end"/>
            </w:r>
          </w:hyperlink>
        </w:p>
        <w:p w14:paraId="1271C6E5" w14:textId="3E4B4B95" w:rsidR="00B251AE" w:rsidRDefault="00B251AE">
          <w:pPr>
            <w:pStyle w:val="TOC2"/>
            <w:tabs>
              <w:tab w:val="right" w:leader="dot" w:pos="9016"/>
            </w:tabs>
            <w:rPr>
              <w:rFonts w:asciiTheme="minorHAnsi" w:eastAsiaTheme="minorEastAsia" w:hAnsiTheme="minorHAnsi"/>
              <w:szCs w:val="24"/>
              <w:lang w:eastAsia="en-IN"/>
            </w:rPr>
          </w:pPr>
          <w:hyperlink w:anchor="_Toc228300735" w:history="1">
            <w:r w:rsidRPr="00BE5257">
              <w:rPr>
                <w:rStyle w:val="Hyperlink"/>
              </w:rPr>
              <w:t>References</w:t>
            </w:r>
            <w:r>
              <w:rPr>
                <w:webHidden/>
              </w:rPr>
              <w:tab/>
            </w:r>
            <w:r>
              <w:rPr>
                <w:webHidden/>
              </w:rPr>
              <w:fldChar w:fldCharType="begin"/>
            </w:r>
            <w:r>
              <w:rPr>
                <w:webHidden/>
              </w:rPr>
              <w:instrText xml:space="preserve"> PAGEREF _Toc228300735 \h </w:instrText>
            </w:r>
            <w:r>
              <w:rPr>
                <w:webHidden/>
              </w:rPr>
            </w:r>
            <w:r>
              <w:rPr>
                <w:webHidden/>
              </w:rPr>
              <w:fldChar w:fldCharType="separate"/>
            </w:r>
            <w:r>
              <w:rPr>
                <w:webHidden/>
              </w:rPr>
              <w:t>6</w:t>
            </w:r>
            <w:r>
              <w:rPr>
                <w:webHidden/>
              </w:rPr>
              <w:fldChar w:fldCharType="end"/>
            </w:r>
          </w:hyperlink>
        </w:p>
        <w:p w14:paraId="31E80D0B" w14:textId="210ADB76" w:rsidR="00B251AE" w:rsidRDefault="00B251AE">
          <w:pPr>
            <w:pStyle w:val="TOC2"/>
            <w:tabs>
              <w:tab w:val="right" w:leader="dot" w:pos="9016"/>
            </w:tabs>
            <w:rPr>
              <w:rFonts w:asciiTheme="minorHAnsi" w:eastAsiaTheme="minorEastAsia" w:hAnsiTheme="minorHAnsi"/>
              <w:szCs w:val="24"/>
              <w:lang w:eastAsia="en-IN"/>
            </w:rPr>
          </w:pPr>
          <w:hyperlink w:anchor="_Toc228300736" w:history="1">
            <w:r w:rsidRPr="00BE5257">
              <w:rPr>
                <w:rStyle w:val="Hyperlink"/>
              </w:rPr>
              <w:t>Appendix</w:t>
            </w:r>
            <w:r>
              <w:rPr>
                <w:webHidden/>
              </w:rPr>
              <w:tab/>
            </w:r>
            <w:r>
              <w:rPr>
                <w:webHidden/>
              </w:rPr>
              <w:fldChar w:fldCharType="begin"/>
            </w:r>
            <w:r>
              <w:rPr>
                <w:webHidden/>
              </w:rPr>
              <w:instrText xml:space="preserve"> PAGEREF _Toc228300736 \h </w:instrText>
            </w:r>
            <w:r>
              <w:rPr>
                <w:webHidden/>
              </w:rPr>
            </w:r>
            <w:r>
              <w:rPr>
                <w:webHidden/>
              </w:rPr>
              <w:fldChar w:fldCharType="separate"/>
            </w:r>
            <w:r>
              <w:rPr>
                <w:webHidden/>
              </w:rPr>
              <w:t>8</w:t>
            </w:r>
            <w:r>
              <w:rPr>
                <w:webHidden/>
              </w:rPr>
              <w:fldChar w:fldCharType="end"/>
            </w:r>
          </w:hyperlink>
        </w:p>
        <w:p w14:paraId="65BB7F41" w14:textId="2E492E46" w:rsidR="00B251AE" w:rsidRDefault="00B251AE">
          <w:r>
            <w:rPr>
              <w:b/>
              <w:bCs/>
            </w:rPr>
            <w:fldChar w:fldCharType="end"/>
          </w:r>
        </w:p>
      </w:sdtContent>
    </w:sdt>
    <w:p w14:paraId="70EB0A51" w14:textId="77777777" w:rsidR="00B251AE" w:rsidRDefault="00B251AE" w:rsidP="00926509"/>
    <w:p w14:paraId="69D84774" w14:textId="77777777" w:rsidR="00B251AE" w:rsidRDefault="00B251AE">
      <w:pPr>
        <w:jc w:val="left"/>
        <w:rPr>
          <w:rFonts w:eastAsiaTheme="majorEastAsia" w:cstheme="majorBidi"/>
          <w:b/>
          <w:color w:val="000000" w:themeColor="text1"/>
          <w:sz w:val="36"/>
          <w:szCs w:val="40"/>
          <w:u w:val="single"/>
        </w:rPr>
      </w:pPr>
      <w:r>
        <w:br w:type="page"/>
      </w:r>
    </w:p>
    <w:p w14:paraId="293A1B70" w14:textId="77777777" w:rsidR="00B251AE" w:rsidRDefault="00B251AE" w:rsidP="00926509">
      <w:pPr>
        <w:pStyle w:val="Heading1"/>
        <w:sectPr w:rsidR="00B251AE" w:rsidSect="008D3D35">
          <w:footerReference w:type="default" r:id="rId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F27F2EA" w14:textId="3CE2F4DB" w:rsidR="00926509" w:rsidRDefault="00926509" w:rsidP="00926509">
      <w:pPr>
        <w:pStyle w:val="Heading1"/>
      </w:pPr>
      <w:bookmarkStart w:id="0" w:name="_Toc228300719"/>
      <w:r>
        <w:lastRenderedPageBreak/>
        <w:t>ELEMENT 1: Brand Extension</w:t>
      </w:r>
      <w:bookmarkEnd w:id="0"/>
    </w:p>
    <w:p w14:paraId="650F7A7B" w14:textId="7EC46371" w:rsidR="00926509" w:rsidRDefault="00926509" w:rsidP="00926509">
      <w:pPr>
        <w:pStyle w:val="Heading2"/>
      </w:pPr>
      <w:bookmarkStart w:id="1" w:name="_Toc228300720"/>
      <w:r>
        <w:t>1. Introduction</w:t>
      </w:r>
      <w:bookmarkEnd w:id="1"/>
    </w:p>
    <w:p w14:paraId="1DDAB4C0" w14:textId="77777777" w:rsidR="00926509" w:rsidRDefault="00926509" w:rsidP="00926509">
      <w:r>
        <w:t>Microsoft Corporation is a multinational technology company established in 1975 and is known as one of the most innovative companies in the fields of software, artificial intelligence, cloud computing, and entertainment over the digital world. Microsoft has found its way into the gaming industry through its successful platforms, including Xbox, Azure, and Game Pass, which have enabled the company to achieve a dominant position in the industry. Microsoft has an opportunity to grow its brand strategically with GameSphere, a mixed-reality gaming console with holographic gameplay, cloud streaming, and an environmentally-friendly design in response to the increasing consumer demand of immersive, sustainable, and interconnected entertainment. This is an innovation-driven extension, which builds on the new trends in AR/VR, subscription gaming and sustainability and reinforces the competitive edge of Microsoft in competing against changing competitors. GameSphere fits into the mission of Microsoft to empower users with transformative technology and grow long-term brand growth (Kotler et al., 2024; Microsoft, 2024; Statista, 2025).</w:t>
      </w:r>
    </w:p>
    <w:p w14:paraId="6A54F68D" w14:textId="77777777" w:rsidR="00926509" w:rsidRDefault="00926509" w:rsidP="00926509"/>
    <w:p w14:paraId="58836007" w14:textId="77777777" w:rsidR="00926509" w:rsidRDefault="00926509" w:rsidP="00926509">
      <w:pPr>
        <w:pStyle w:val="Heading1"/>
      </w:pPr>
      <w:bookmarkStart w:id="2" w:name="_Toc228300721"/>
      <w:r>
        <w:t>ELEMENT 2: STDP Analysis</w:t>
      </w:r>
      <w:bookmarkEnd w:id="2"/>
    </w:p>
    <w:p w14:paraId="4307E075" w14:textId="77777777" w:rsidR="00926509" w:rsidRDefault="00926509" w:rsidP="00926509">
      <w:pPr>
        <w:pStyle w:val="Heading2"/>
      </w:pPr>
      <w:bookmarkStart w:id="3" w:name="_Toc228300722"/>
      <w:r>
        <w:t>2.1 Market Segmentation</w:t>
      </w:r>
      <w:bookmarkEnd w:id="3"/>
    </w:p>
    <w:p w14:paraId="203AC245" w14:textId="77777777" w:rsidR="00926509" w:rsidRDefault="00926509" w:rsidP="00926509">
      <w:r>
        <w:t xml:space="preserve">Microsoft GameSphere is a data-driven segmentation strategy that addresses growing segments in the global market in immersive-entertainment and connected technologies. Priority markets are geographically North America, Western Europe, Japan, South Korea and some cities in Asia-Pacific where broadband penetration, disposable income and gaming culture are highly evolved. These areas are also more inclined to the use of subscription services and digital ecosystems, becoming more prepared to mixed-reality products (Statista, 2025). The core population is demographically a group of individuals aged between 18 and 40, with a medium-to-high disposable income, specifically Gen Z and Millennials who are big spenders on gaming, streaming and consumer technology. There is a secondary segment of families wanting to have a common entertainment experience and professionals, who want to use creativity or simulation applications. The psychographics of the GameSphere are innovation adopters, competitive gamers, experience seekers and eco-friendly consumers, who value high-quality design and responsible manufacturing. Such users are driven by convenience, performance, status and access to the latest experiences. The most appealing customers behaviourally are those who own an Xbox console, are subscribers to Game Pass, users of cloud gaming, frequent multiplayer players, and those who frequently upgrade their devices. Their brand recognition alleviates resistance to switching and acquisition cost of customers. Segmenting by these variables will enable Microsoft to focus on high-value </w:t>
      </w:r>
      <w:r>
        <w:lastRenderedPageBreak/>
        <w:t>customers without losing the flexibility to pursue other adjacent segments as adoption increases (PwC, 2023).</w:t>
      </w:r>
    </w:p>
    <w:p w14:paraId="093B9BC6" w14:textId="77777777" w:rsidR="00926509" w:rsidRDefault="00926509" w:rsidP="00926509"/>
    <w:p w14:paraId="4ED3B214" w14:textId="77777777" w:rsidR="00926509" w:rsidRDefault="00926509" w:rsidP="00926509">
      <w:pPr>
        <w:pStyle w:val="Heading2"/>
      </w:pPr>
      <w:bookmarkStart w:id="4" w:name="_Toc228300723"/>
      <w:r>
        <w:t>2.2 Target Market</w:t>
      </w:r>
      <w:bookmarkEnd w:id="4"/>
    </w:p>
    <w:p w14:paraId="2A63771E" w14:textId="77777777" w:rsidR="00926509" w:rsidRDefault="00926509" w:rsidP="00926509">
      <w:r>
        <w:t>Microsoft ought to pursue differentiated targeting, which will allow it to offer propositions to a variety of segments which are profitable and not just one mass-market offer. The main audience includes Gen Z and Millennial gamers aged 18-40 who are digitally active, subscribers, and are ready to spend the money on premium experiences. This group appreciates convenience and social connectivity, cross-platform support, and constant updates to the content, and it is very compatible with the services of Xbox Game Pass and Azure. The secondary target market is families who are interested in interactive home entertainment and younger users who are interested in a motion-based or educational gameplay. A third party target market comprises of companies, colleges, and training agencies that have an interest in simulation, collaboration, and immersion learning solutions. Differentiated targeting is a stronger strategy than undifferentiated targeting since the needs of customers differ greatly in gaming, education and productivity settings. It also enables Microsoft to tailor segment-based pricing levels, software packages, and promotional messages. Nonetheless, excessively segmenting the market might create complexity and raise marketing expenses, and Microsoft should focus on the top lifetime-value segments first. On balance, this plan will help to diversify revenues, enhance retention, and develop the ecosystem in the long term (Kotler et al., 2024).</w:t>
      </w:r>
    </w:p>
    <w:p w14:paraId="44DD892C" w14:textId="77777777" w:rsidR="00926509" w:rsidRDefault="00926509" w:rsidP="00926509"/>
    <w:p w14:paraId="01E43D92" w14:textId="77777777" w:rsidR="00926509" w:rsidRDefault="00926509" w:rsidP="00926509">
      <w:pPr>
        <w:pStyle w:val="Heading2"/>
      </w:pPr>
      <w:bookmarkStart w:id="5" w:name="_Toc228300724"/>
      <w:r>
        <w:t>2.3 Differentiation Strategy</w:t>
      </w:r>
      <w:bookmarkEnd w:id="5"/>
    </w:p>
    <w:p w14:paraId="2C1AC2B0" w14:textId="77777777" w:rsidR="00926509" w:rsidRDefault="00926509" w:rsidP="00926509">
      <w:r>
        <w:t>The differentiation strategy of GameSphere is based on the integrated ecosystem of Microsoft, which establishes competitive advantages that competitors focused on hardware can hardly imitate. First, using the Azure cloud infrastructure, Microsoft can provide scalable, low-latency gaming without having to rely on costly local processing hardware. Second, Xbox Game Pass integration provides access to a big library of content at once, perceived value and reduces barriers to trial. Third, the console is capable of integrating mixed-reality games, gesture recognition, voice recognition, and cross-platform synchronisation to make immersive and seamless experiences. Fourth, sustainability attributes, including recycled materials, energy-saving components, and less packaging are in line with the growing consumer demands of responsible technology brands. In contrast to Sony PlayStation, which is much more console-centric, and Meta Quest, which is more limited to VR devices, Microsoft can make GameSphere a more comprehensive entertainment and productivity solution. However, differentiation should be significant and not merely technical, consumers can only adopt the product when there is a good exclusive content, comfort, affordability and usability. Thus, the ecosystem synergy facilitated by the convincing user advantages must be the key aspect of strategy (Accenture, 2023; Microsoft, 2024).</w:t>
      </w:r>
    </w:p>
    <w:p w14:paraId="19AB99B5" w14:textId="77777777" w:rsidR="00926509" w:rsidRDefault="00926509" w:rsidP="00926509"/>
    <w:p w14:paraId="67346EF9" w14:textId="77777777" w:rsidR="00926509" w:rsidRDefault="00926509" w:rsidP="00926509">
      <w:pPr>
        <w:pStyle w:val="Heading2"/>
      </w:pPr>
      <w:bookmarkStart w:id="6" w:name="_Toc228300725"/>
      <w:r>
        <w:lastRenderedPageBreak/>
        <w:t>2.4 Positioning Strategy</w:t>
      </w:r>
      <w:bookmarkEnd w:id="6"/>
    </w:p>
    <w:p w14:paraId="4472798B" w14:textId="21168F01" w:rsidR="006B01C2" w:rsidRDefault="00926509" w:rsidP="00926509">
      <w:r>
        <w:t>Microsoft GameSphere is to be positioned as the high-end but affordable, cloud-based mixed-reality platform of the next-generation entertainment. This positioning is a blend of innovation leadership and everyday practical value, avoids being viewed as niche luxury hardware or a low-cost entry technology. GameSphere would be placed between the high-end exclusivity of Apple Vision Pro on a perceptual map and the more VR-focused Metro Quest, yet have more gaming credentials than either. The main pillar of the value proposition is a smooth access to immersive entertainment, connectivity, convenience on the cloud, and sustainable design in a single trusted ecosystem. Functional benefits are instant content access, cross-platform continuity, high-performance experiences, and emotional benefits are excitement, community, and status of early adoption. The appropriate positioning statement is: Microsoft GameSphere provides immersive, cloud-based and sustainable entertainment to consumers who desire to get the future of gaming unlimited. This stance enhances the competitive edge of Microsoft as it correlates with the consumer demand of innovation, flexibility, and responsible consumption and contributes to long-term brand equity (Deloitte, 2024; Kotler et al., 2024).</w:t>
      </w:r>
    </w:p>
    <w:p w14:paraId="65C1F680" w14:textId="77777777" w:rsidR="00926509" w:rsidRDefault="00926509" w:rsidP="00926509"/>
    <w:p w14:paraId="1D883E22" w14:textId="08F25B28" w:rsidR="00926509" w:rsidRDefault="00926509" w:rsidP="00926509">
      <w:pPr>
        <w:pStyle w:val="Heading1"/>
      </w:pPr>
      <w:bookmarkStart w:id="7" w:name="_Toc228300726"/>
      <w:r>
        <w:t>ELEMENT 3: MARKETING MIX</w:t>
      </w:r>
      <w:bookmarkEnd w:id="7"/>
      <w:r>
        <w:t xml:space="preserve"> </w:t>
      </w:r>
    </w:p>
    <w:p w14:paraId="1E33304A" w14:textId="16EFCF5A" w:rsidR="00926509" w:rsidRDefault="00926509" w:rsidP="00926509">
      <w:pPr>
        <w:pStyle w:val="Heading2"/>
      </w:pPr>
      <w:bookmarkStart w:id="8" w:name="_Toc228300727"/>
      <w:r>
        <w:t>3.1 Product Strategy</w:t>
      </w:r>
      <w:bookmarkEnd w:id="8"/>
      <w:r>
        <w:t xml:space="preserve"> </w:t>
      </w:r>
    </w:p>
    <w:p w14:paraId="2CD05BEE" w14:textId="77777777" w:rsidR="00926509" w:rsidRDefault="00926509" w:rsidP="00926509">
      <w:r>
        <w:t xml:space="preserve">Microsoft GameSphere is a disruptive product innovation by expanding the Microsoft gaming ecosystem to the mixed reality with the advanced AR/VR features, holographic projection, Xbox cloud-based game, gesture, voice recognition, and sustainable hardware design. On the core product level, GameSphere provides immersive entertainment, social interaction, and increased gaming experiences. The physical characteristics of its actual product consist of advanced capabilities, like wearable mixed-reality hardware, cloud connectivity, easy-to-use controls, and sustainable materials. The augmented product enhances value by providing subscriptions of the Xbox Game Pass, game library in the cloud, software updates, customer care, and cross-platform connectivity. Under product life cycle, GameSphere would be introduced at introduction stage which would necessitate great innovation based marketing to facilitate adoption. The diffusion of innovation theory suggests that the first to adopt the technique, technology lovers, and high-end gamers will probably speed up market penetration (Rogers, 2003; Kotler et al., 2024). The combination of gaming, cloud services, and sustainability in GameSphere makes it unlike typical consoles, and a disruptive innovation that can transform the consumption patterns of entertainment and empower Microsoft to lead its brand in the long-term (Microsoft, 2024; Deloitte, 2024). </w:t>
      </w:r>
    </w:p>
    <w:p w14:paraId="50637328" w14:textId="77777777" w:rsidR="00926509" w:rsidRDefault="00926509" w:rsidP="00926509"/>
    <w:p w14:paraId="13369A3D" w14:textId="039B6469" w:rsidR="00926509" w:rsidRDefault="00926509" w:rsidP="00926509">
      <w:pPr>
        <w:pStyle w:val="Heading2"/>
      </w:pPr>
      <w:bookmarkStart w:id="9" w:name="_Toc228300728"/>
      <w:r>
        <w:lastRenderedPageBreak/>
        <w:t>3.2 Pricing Strategy</w:t>
      </w:r>
      <w:bookmarkEnd w:id="9"/>
    </w:p>
    <w:p w14:paraId="30C7DD1E" w14:textId="77777777" w:rsidR="00926509" w:rsidRDefault="00926509" w:rsidP="00926509">
      <w:r>
        <w:t>The premium pricing strategy and market-skimming should be applied by Microsoft to ensure that maximum profitability is realised in the launch stage of GameSphere. The introductory price would be high since the product has advanced mixed-reality technology, cloud infrastructure and is designed with innovation that would help to perceive value, enhance exclusivity and offset the large research and development investments. As with the high-end positioning of Apple Vision Pro, GameSphere can position itself as a technologically advanced product and stand out amid cheaper options like Meta Quest. But in contrast to the remote hardware design of Apple, Microsoft is able to add value to affordability by means of subscription bundling with Xbox Game Pass whereby it can offer customers recurring digital services at a discounted price to perceived ownership costs. Installment financing opportunities can also further enhance accessibility of younger target segments without compromise of premium brand equity. The hybrid hardware-service model of Microsoft pricing compares to the pricing model of Sony consoles; it adds recurring revenue streams, and raises the lifetime value of customers. This approach is exclusive and accessible enough to provide future profitability, as well as ecosystem reliance (Kotler et al., 2024; Accenture, 2023). Flexibility in strategic pricing will also enable Microsoft to steadily increase the number of consumers that it caters to as the scale of production increases and more people adopt it.</w:t>
      </w:r>
    </w:p>
    <w:p w14:paraId="7E7AA242" w14:textId="77777777" w:rsidR="00926509" w:rsidRDefault="00926509" w:rsidP="00926509"/>
    <w:p w14:paraId="0E75F895" w14:textId="4761F900" w:rsidR="00926509" w:rsidRDefault="00926509" w:rsidP="00926509">
      <w:pPr>
        <w:pStyle w:val="Heading2"/>
      </w:pPr>
      <w:bookmarkStart w:id="10" w:name="_Toc228300729"/>
      <w:r>
        <w:t>3.3 Place (Distribution) Strategy</w:t>
      </w:r>
      <w:bookmarkEnd w:id="10"/>
    </w:p>
    <w:p w14:paraId="5ECE1D94" w14:textId="77777777" w:rsidR="00926509" w:rsidRDefault="00926509" w:rsidP="00926509">
      <w:r>
        <w:t>The distribution strategy of GameSphere must be omni-channel, digital-first to ensure that the target audience receives as many channels as possible, as well as coverage of the entire globe. The main physical outlets comprise the official online store of Microsoft, the Xbox retail stores, Amazon, Best Buy, and specialised gaming stores, which guarantees a good market penetration in the developed economies. At the same time, the ability to engage in cloud gaming allows distributing games, services, and updates digitally, abandoning reliance on physical stocks and enhancing the competitive edge of Microsoft with the ability to deliver content on a large scale. This Azure-powered digital infrastructure enables Microsoft to deliver immersive gaming experiences worldwide without geographic restrictions, especially in areas with limited access to traditional hardware. Emerging markets are important long-term growth prospects since penetration of the internet and cloud infrastructure will be enhanced (PwC, 2023). Microsoft cloud-based distribution is more flexible, reduces logistical expenses and facilitates expansion through subscription compared to competitors that depend on hardware-centric models. Moreover, with omnichannel integration, customer experiences are seamlessly executed in both physical retail and digital services, as well as enterprise partnerships. It is a strategy that can not only facilitate access but also strengthens the overall ecosystem of Microsoft allowing GameSphere to also serve as a consumer product and a platform of a digital service (Microsoft Annual Report, 2024).</w:t>
      </w:r>
    </w:p>
    <w:p w14:paraId="2451B279" w14:textId="77777777" w:rsidR="00926509" w:rsidRDefault="00926509" w:rsidP="00926509"/>
    <w:p w14:paraId="30997C27" w14:textId="34F8DCE6" w:rsidR="00926509" w:rsidRDefault="00926509" w:rsidP="00926509">
      <w:pPr>
        <w:pStyle w:val="Heading2"/>
      </w:pPr>
      <w:bookmarkStart w:id="11" w:name="_Toc228300730"/>
      <w:r>
        <w:lastRenderedPageBreak/>
        <w:t>3.4 Promotion Strategy</w:t>
      </w:r>
      <w:bookmarkEnd w:id="11"/>
      <w:r>
        <w:t xml:space="preserve"> </w:t>
      </w:r>
    </w:p>
    <w:p w14:paraId="5919E62C" w14:textId="0B3CC25B" w:rsidR="00926509" w:rsidRDefault="00926509" w:rsidP="00926509">
      <w:r>
        <w:t>To make GameSphere the future of immersive gaming, Microsoft ought to use an integrated marketing communications strategy to position the product. Promotions should include influencer marketing, esports sponsorships, social media and experiential demonstrations, product launch events and collaborations with gaming content creators on YouTube and Twitch. Communication strategies can be directed using the AIDA model(Attention, Interest, Desire, Action) to create awareness by using high-profile campaigns, arousing consumer interest through product demonstrations, creating desire through emotional storytelling and exclusivity, and taking action by offering strategic calls to action. The online marketing and social media funnels will be needed to attract younger audiences and create online communities that will increase customer loyalty. The promotional messages should also have sustainability branding, which will attract consumers with a stronger focus on the environment and enhance the corporate responsibility image. Microsoft can produce good brand resonance and involvement of communities by striking a balance between emotional appeal, which is innovation, excitement, social connection and technological superiority. The approach adopted by GameSphere needs to consider the idea of ecosystem change, placing Microsoft not just as a gaming provider but as a leader of next-generation digital entertainment, as opposed to the usual approach of promoting hardware (Kotler et al., 2024; Statista, 2025).</w:t>
      </w:r>
    </w:p>
    <w:p w14:paraId="167328A2" w14:textId="77777777" w:rsidR="00926509" w:rsidRDefault="00926509" w:rsidP="00926509"/>
    <w:p w14:paraId="76D6C98F" w14:textId="77777777" w:rsidR="00C30431" w:rsidRDefault="00C30431" w:rsidP="00C30431">
      <w:pPr>
        <w:pStyle w:val="Heading1"/>
      </w:pPr>
      <w:bookmarkStart w:id="12" w:name="_Toc228300731"/>
      <w:r>
        <w:t>ELEMENT 4: Reflection</w:t>
      </w:r>
      <w:bookmarkEnd w:id="12"/>
    </w:p>
    <w:p w14:paraId="28FF7B2C" w14:textId="77777777" w:rsidR="00C30431" w:rsidRDefault="00C30431" w:rsidP="00C30431">
      <w:pPr>
        <w:pStyle w:val="Heading2"/>
      </w:pPr>
      <w:bookmarkStart w:id="13" w:name="_Toc228300732"/>
      <w:r>
        <w:t>4.1 Learning Experience</w:t>
      </w:r>
      <w:bookmarkEnd w:id="13"/>
    </w:p>
    <w:p w14:paraId="6C250326" w14:textId="77777777" w:rsidR="00C30431" w:rsidRDefault="00C30431" w:rsidP="00C30431">
      <w:r>
        <w:t>The project of creating the Microsoft GameSphere brand extension was a learning experience that has greatly enhanced my knowledge on strategic marketing and growth based on innovation. The use of the theory like STDP analysis and marketing mix helped me to realise that the theoretical aspects of business could be applied to practical business strategies. My initial interpretation of brand extensions was that it is only another way of expanding the line of a product but this project made me realize that a successful brand extension should also be aligned with brand equity, market demand and the long term competitive positioning. Studying the trends like mixed reality, cloud gaming and sustainability also helped me to be more conscious of how the change in technology is transforming consumer expectations at an alarming rate. Consequently, I was able to appreciate more the need to integrate creativity and commercial realism in coming up with future-oriented products.</w:t>
      </w:r>
    </w:p>
    <w:p w14:paraId="62F6C389" w14:textId="77777777" w:rsidR="00C30431" w:rsidRDefault="00C30431" w:rsidP="00C30431"/>
    <w:p w14:paraId="2FB84CFE" w14:textId="77777777" w:rsidR="00C30431" w:rsidRDefault="00C30431" w:rsidP="00C30431">
      <w:pPr>
        <w:pStyle w:val="Heading2"/>
      </w:pPr>
      <w:bookmarkStart w:id="14" w:name="_Toc228300733"/>
      <w:r>
        <w:t>4.2 Skills Developed</w:t>
      </w:r>
      <w:bookmarkEnd w:id="14"/>
    </w:p>
    <w:p w14:paraId="4C6E672B" w14:textId="77777777" w:rsidR="00C30431" w:rsidRDefault="00C30431" w:rsidP="00C30431">
      <w:r>
        <w:t xml:space="preserve">This task enhanced various postgraduate and professional abilities. The ability to research enhanced as I was able to analyse academic literature, industry reports and market data to support recommendations. It is also through this that I enhanced my critical thinking ability as I had to compare Microsoft to its rivals like Sony, Apple and </w:t>
      </w:r>
      <w:r>
        <w:lastRenderedPageBreak/>
        <w:t>Meta that demanded the consideration of various strategic strengths and weaknesses. Moreover, my strategic planning proficiency was enhanced by my ability to orchestrate a comprehensive brand extension strategy which linked the segmentation, targeting, pricing, promotion and positioning decision making to a single conceptualized strategy. The skills of academic writing were developed through presenting the arguments in the form of structured and evidence-based presentation. Making the poster also enhanced my visual communication skills as I needed to simplify the complex marketing concepts into a convincing and professional poster that can be understood by investors and customers. These are very transferable to the managerial positions in the future where clarity in analysis and proper communication will be required.</w:t>
      </w:r>
    </w:p>
    <w:p w14:paraId="4278AD9E" w14:textId="77777777" w:rsidR="00C30431" w:rsidRDefault="00C30431" w:rsidP="00C30431"/>
    <w:p w14:paraId="2AA96DCD" w14:textId="77777777" w:rsidR="00C30431" w:rsidRDefault="00C30431" w:rsidP="00C30431">
      <w:pPr>
        <w:pStyle w:val="Heading2"/>
      </w:pPr>
      <w:bookmarkStart w:id="15" w:name="_Toc228300734"/>
      <w:r>
        <w:t>4.3 Future Improvement</w:t>
      </w:r>
      <w:bookmarkEnd w:id="15"/>
    </w:p>
    <w:p w14:paraId="75CF718F" w14:textId="40E61E6D" w:rsidR="00926509" w:rsidRDefault="00C30431" w:rsidP="00C30431">
      <w:r>
        <w:t>Despite the success of the project, there are a number of ways in which it can be improved to enhance similar work in future. First, I would incorporate greater amounts of primary research, survey or focus group, to confirm the consumer demand as opposed to using secondary sources primarily. Second, I would enhance more financial analysis, such as estimated expenditures, pricing scenarios and ROI, in order to enhance business credibility. Third, I would diversify risk analysis by looking at the barriers to technological adoption, competitor responses and economic unpredictability. Lastly, I would devote a little bit more time to the design of the poster in order to make data visualisation and messaging even more apparent. On the whole, this experience has boosted my self-confidence in using marketing theory to real business opportunities and make professional strategic proposals.</w:t>
      </w:r>
    </w:p>
    <w:p w14:paraId="5F0CBFB7" w14:textId="77777777" w:rsidR="00C30431" w:rsidRDefault="00C30431" w:rsidP="00C30431"/>
    <w:p w14:paraId="5E23F11F" w14:textId="1587168F" w:rsidR="00C30431" w:rsidRPr="00C30431" w:rsidRDefault="00C30431" w:rsidP="00C30431">
      <w:pPr>
        <w:pStyle w:val="Heading2"/>
      </w:pPr>
      <w:bookmarkStart w:id="16" w:name="_Toc228300735"/>
      <w:r>
        <w:t>References</w:t>
      </w:r>
      <w:bookmarkEnd w:id="16"/>
    </w:p>
    <w:p w14:paraId="23E61CE3" w14:textId="77777777" w:rsidR="00C30431" w:rsidRPr="00C30431" w:rsidRDefault="00C30431" w:rsidP="00C30431">
      <w:r w:rsidRPr="00C30431">
        <w:t xml:space="preserve">Accenture (2023) </w:t>
      </w:r>
      <w:r w:rsidRPr="00C30431">
        <w:rPr>
          <w:i/>
          <w:iCs/>
        </w:rPr>
        <w:t>Technology Vision 2023: When Atoms Meet Bits – The Foundations of Our New Reality</w:t>
      </w:r>
      <w:r w:rsidRPr="00C30431">
        <w:t>. Dublin: Accenture.</w:t>
      </w:r>
    </w:p>
    <w:p w14:paraId="4DEEF626" w14:textId="77777777" w:rsidR="00C30431" w:rsidRPr="00C30431" w:rsidRDefault="00C30431" w:rsidP="00C30431">
      <w:r w:rsidRPr="00C30431">
        <w:t xml:space="preserve">Deloitte (2024) </w:t>
      </w:r>
      <w:r w:rsidRPr="00C30431">
        <w:rPr>
          <w:i/>
          <w:iCs/>
        </w:rPr>
        <w:t>Digital Media Trends Survey, 18th Edition</w:t>
      </w:r>
      <w:r w:rsidRPr="00C30431">
        <w:t>. London: Deloitte Insights.</w:t>
      </w:r>
    </w:p>
    <w:p w14:paraId="6365E6CB" w14:textId="77777777" w:rsidR="00C30431" w:rsidRPr="00C30431" w:rsidRDefault="00C30431" w:rsidP="00C30431">
      <w:r w:rsidRPr="00C30431">
        <w:t xml:space="preserve">Euromonitor International (2024) </w:t>
      </w:r>
      <w:r w:rsidRPr="00C30431">
        <w:rPr>
          <w:i/>
          <w:iCs/>
        </w:rPr>
        <w:t>Consumer Trends in Digital Entertainment and Immersive Technology</w:t>
      </w:r>
      <w:r w:rsidRPr="00C30431">
        <w:t>. London: Euromonitor.</w:t>
      </w:r>
    </w:p>
    <w:p w14:paraId="5753F587" w14:textId="77777777" w:rsidR="00C30431" w:rsidRPr="00C30431" w:rsidRDefault="00C30431" w:rsidP="00C30431">
      <w:r w:rsidRPr="00C30431">
        <w:t xml:space="preserve">Gartner (2024) </w:t>
      </w:r>
      <w:r w:rsidRPr="00C30431">
        <w:rPr>
          <w:i/>
          <w:iCs/>
        </w:rPr>
        <w:t>Emerging Technologies and Hype Cycle for Extended Reality</w:t>
      </w:r>
      <w:r w:rsidRPr="00C30431">
        <w:t>. Stamford, CT: Gartner Research.</w:t>
      </w:r>
    </w:p>
    <w:p w14:paraId="4AFF1894" w14:textId="77777777" w:rsidR="00C30431" w:rsidRPr="00C30431" w:rsidRDefault="00C30431" w:rsidP="00C30431">
      <w:r w:rsidRPr="00C30431">
        <w:t xml:space="preserve">Grand View Research (2024) </w:t>
      </w:r>
      <w:r w:rsidRPr="00C30431">
        <w:rPr>
          <w:i/>
          <w:iCs/>
        </w:rPr>
        <w:t>Augmented Reality and Virtual Reality Market Size Report 2024–2030</w:t>
      </w:r>
      <w:r w:rsidRPr="00C30431">
        <w:t>. San Francisco: Grand View Research.</w:t>
      </w:r>
    </w:p>
    <w:p w14:paraId="375ECC1E" w14:textId="77777777" w:rsidR="00C30431" w:rsidRPr="00C30431" w:rsidRDefault="00C30431" w:rsidP="00C30431">
      <w:r w:rsidRPr="00C30431">
        <w:t xml:space="preserve">IDC (2024) </w:t>
      </w:r>
      <w:r w:rsidRPr="00C30431">
        <w:rPr>
          <w:i/>
          <w:iCs/>
        </w:rPr>
        <w:t>Worldwide Augmented and Virtual Reality Spending Guide</w:t>
      </w:r>
      <w:r w:rsidRPr="00C30431">
        <w:t>. Framingham, MA: International Data Corporation.</w:t>
      </w:r>
    </w:p>
    <w:p w14:paraId="4AC97962" w14:textId="77777777" w:rsidR="00C30431" w:rsidRPr="00C30431" w:rsidRDefault="00C30431" w:rsidP="00C30431">
      <w:r w:rsidRPr="00C30431">
        <w:t xml:space="preserve">International Data Corporation (IDC) (2023) </w:t>
      </w:r>
      <w:r w:rsidRPr="00C30431">
        <w:rPr>
          <w:i/>
          <w:iCs/>
        </w:rPr>
        <w:t>Gaming and Cloud Infrastructure Global Forecast Report</w:t>
      </w:r>
      <w:r w:rsidRPr="00C30431">
        <w:t>. Framingham, MA: IDC.</w:t>
      </w:r>
    </w:p>
    <w:p w14:paraId="2E428051" w14:textId="77777777" w:rsidR="00C30431" w:rsidRPr="00C30431" w:rsidRDefault="00C30431" w:rsidP="00C30431">
      <w:r w:rsidRPr="00C30431">
        <w:lastRenderedPageBreak/>
        <w:t xml:space="preserve">Kotler, P., Keller, K.L. and Chernev, A. (2024) </w:t>
      </w:r>
      <w:r w:rsidRPr="00C30431">
        <w:rPr>
          <w:i/>
          <w:iCs/>
        </w:rPr>
        <w:t>Marketing Management</w:t>
      </w:r>
      <w:r w:rsidRPr="00C30431">
        <w:t>. 17th edn. Harlow: Pearson Education.</w:t>
      </w:r>
    </w:p>
    <w:p w14:paraId="4841637D" w14:textId="77777777" w:rsidR="00C30431" w:rsidRPr="00C30431" w:rsidRDefault="00C30431" w:rsidP="00C30431">
      <w:r w:rsidRPr="00C30431">
        <w:t xml:space="preserve">McKinsey &amp; Company (2023) </w:t>
      </w:r>
      <w:r w:rsidRPr="00C30431">
        <w:rPr>
          <w:i/>
          <w:iCs/>
        </w:rPr>
        <w:t>The Future of Gaming: Technology, Monetisation and Consumer Engagement</w:t>
      </w:r>
      <w:r w:rsidRPr="00C30431">
        <w:t>. New York: McKinsey Digital.</w:t>
      </w:r>
    </w:p>
    <w:p w14:paraId="0F9297DE" w14:textId="77777777" w:rsidR="00C30431" w:rsidRPr="00C30431" w:rsidRDefault="00C30431" w:rsidP="00C30431">
      <w:r w:rsidRPr="00C30431">
        <w:t xml:space="preserve">Meta (2024) </w:t>
      </w:r>
      <w:r w:rsidRPr="00C30431">
        <w:rPr>
          <w:i/>
          <w:iCs/>
        </w:rPr>
        <w:t>Annual Report 2024</w:t>
      </w:r>
      <w:r w:rsidRPr="00C30431">
        <w:t>. Menlo Park, CA: Meta Platforms Inc.</w:t>
      </w:r>
    </w:p>
    <w:p w14:paraId="05D8D0E1" w14:textId="77777777" w:rsidR="00C30431" w:rsidRPr="00C30431" w:rsidRDefault="00C30431" w:rsidP="00C30431">
      <w:r w:rsidRPr="00C30431">
        <w:t xml:space="preserve">Microsoft (2024) </w:t>
      </w:r>
      <w:r w:rsidRPr="00C30431">
        <w:rPr>
          <w:i/>
          <w:iCs/>
        </w:rPr>
        <w:t>Annual Report 2024</w:t>
      </w:r>
      <w:r w:rsidRPr="00C30431">
        <w:t>. Redmond, WA: Microsoft Corporation.</w:t>
      </w:r>
    </w:p>
    <w:p w14:paraId="69D2082D" w14:textId="77777777" w:rsidR="00C30431" w:rsidRPr="00C30431" w:rsidRDefault="00C30431" w:rsidP="00C30431">
      <w:r w:rsidRPr="00C30431">
        <w:t xml:space="preserve">PwC (2023) </w:t>
      </w:r>
      <w:r w:rsidRPr="00C30431">
        <w:rPr>
          <w:i/>
          <w:iCs/>
        </w:rPr>
        <w:t>Global Entertainment &amp; Media Outlook 2023–2027</w:t>
      </w:r>
      <w:r w:rsidRPr="00C30431">
        <w:t>. London: PricewaterhouseCoopers.</w:t>
      </w:r>
    </w:p>
    <w:p w14:paraId="39908848" w14:textId="77777777" w:rsidR="00C30431" w:rsidRPr="00C30431" w:rsidRDefault="00C30431" w:rsidP="00C30431">
      <w:r w:rsidRPr="00C30431">
        <w:t xml:space="preserve">Sony Interactive Entertainment (2024) </w:t>
      </w:r>
      <w:r w:rsidRPr="00C30431">
        <w:rPr>
          <w:i/>
          <w:iCs/>
        </w:rPr>
        <w:t>Corporate Strategy Report 2024</w:t>
      </w:r>
      <w:r w:rsidRPr="00C30431">
        <w:t>. Tokyo: Sony Group Corporation.</w:t>
      </w:r>
    </w:p>
    <w:p w14:paraId="78C8F524" w14:textId="77777777" w:rsidR="00C30431" w:rsidRPr="00C30431" w:rsidRDefault="00C30431" w:rsidP="00C30431">
      <w:r w:rsidRPr="00C30431">
        <w:t xml:space="preserve">Statista (2025) </w:t>
      </w:r>
      <w:r w:rsidRPr="00C30431">
        <w:rPr>
          <w:i/>
          <w:iCs/>
        </w:rPr>
        <w:t>Global AR/VR Market Revenue Forecast 2025</w:t>
      </w:r>
      <w:r w:rsidRPr="00C30431">
        <w:t>. Hamburg: Statista Research Department.</w:t>
      </w:r>
    </w:p>
    <w:p w14:paraId="50714EC1" w14:textId="77777777" w:rsidR="00C30431" w:rsidRPr="00C30431" w:rsidRDefault="00C30431" w:rsidP="00C30431">
      <w:r w:rsidRPr="00C30431">
        <w:t xml:space="preserve">World Economic Forum (2023) </w:t>
      </w:r>
      <w:r w:rsidRPr="00C30431">
        <w:rPr>
          <w:i/>
          <w:iCs/>
        </w:rPr>
        <w:t>The Future of Technology Governance: Virtual Worlds, AI and Digital Economies</w:t>
      </w:r>
      <w:r w:rsidRPr="00C30431">
        <w:t>. Geneva: World Economic Forum.</w:t>
      </w:r>
    </w:p>
    <w:p w14:paraId="750E4E3B" w14:textId="77777777" w:rsidR="00C30431" w:rsidRDefault="00C30431" w:rsidP="00C30431"/>
    <w:p w14:paraId="15F65068" w14:textId="36D53511" w:rsidR="00C30431" w:rsidRDefault="00C30431" w:rsidP="00C30431">
      <w:pPr>
        <w:pStyle w:val="Heading2"/>
      </w:pPr>
      <w:bookmarkStart w:id="17" w:name="_Toc228300736"/>
      <w:r>
        <w:lastRenderedPageBreak/>
        <w:t>Appendix</w:t>
      </w:r>
      <w:bookmarkEnd w:id="17"/>
    </w:p>
    <w:p w14:paraId="43EF0985" w14:textId="080F6923" w:rsidR="00C30431" w:rsidRPr="00C30431" w:rsidRDefault="00C30431" w:rsidP="00C30431">
      <w:r>
        <w:t>Poster:</w:t>
      </w:r>
      <w:r>
        <w:drawing>
          <wp:inline distT="0" distB="0" distL="0" distR="0" wp14:anchorId="5241293F" wp14:editId="4BD7B4A1">
            <wp:extent cx="5731510" cy="8109585"/>
            <wp:effectExtent l="0" t="0" r="2540" b="5715"/>
            <wp:docPr id="1712356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356616" name="Picture 1712356616"/>
                    <pic:cNvPicPr/>
                  </pic:nvPicPr>
                  <pic:blipFill>
                    <a:blip r:embed="rId8">
                      <a:extLst>
                        <a:ext uri="{28A0092B-C50C-407E-A947-70E740481C1C}">
                          <a14:useLocalDpi xmlns:a14="http://schemas.microsoft.com/office/drawing/2010/main" val="0"/>
                        </a:ext>
                      </a:extLst>
                    </a:blip>
                    <a:stretch>
                      <a:fillRect/>
                    </a:stretch>
                  </pic:blipFill>
                  <pic:spPr>
                    <a:xfrm>
                      <a:off x="0" y="0"/>
                      <a:ext cx="5731510" cy="8109585"/>
                    </a:xfrm>
                    <a:prstGeom prst="rect">
                      <a:avLst/>
                    </a:prstGeom>
                  </pic:spPr>
                </pic:pic>
              </a:graphicData>
            </a:graphic>
          </wp:inline>
        </w:drawing>
      </w:r>
    </w:p>
    <w:sectPr w:rsidR="00C30431" w:rsidRPr="00C30431" w:rsidSect="008D3D35">
      <w:footerReference w:type="default" r:id="rId9"/>
      <w:footerReference w:type="firs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E1C20" w14:textId="77777777" w:rsidR="00893DC8" w:rsidRDefault="00893DC8" w:rsidP="00B251AE">
      <w:pPr>
        <w:spacing w:after="0" w:line="240" w:lineRule="auto"/>
      </w:pPr>
      <w:r>
        <w:separator/>
      </w:r>
    </w:p>
  </w:endnote>
  <w:endnote w:type="continuationSeparator" w:id="0">
    <w:p w14:paraId="07AED101" w14:textId="77777777" w:rsidR="00893DC8" w:rsidRDefault="00893DC8" w:rsidP="00B251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EC65E" w14:textId="2B0A0320" w:rsidR="00B251AE" w:rsidRDefault="00B251AE">
    <w:pPr>
      <w:pStyle w:val="Footer"/>
      <w:jc w:val="right"/>
    </w:pPr>
  </w:p>
  <w:p w14:paraId="3E605307" w14:textId="77777777" w:rsidR="00B251AE" w:rsidRDefault="00B251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680119398"/>
      <w:docPartObj>
        <w:docPartGallery w:val="Page Numbers (Bottom of Page)"/>
        <w:docPartUnique/>
      </w:docPartObj>
    </w:sdtPr>
    <w:sdtEndPr>
      <w:rPr>
        <w:noProof/>
      </w:rPr>
    </w:sdtEndPr>
    <w:sdtContent>
      <w:p w14:paraId="783B4DAD" w14:textId="77777777" w:rsidR="00B251AE" w:rsidRDefault="00B251AE">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p w14:paraId="161FDCB0" w14:textId="77777777" w:rsidR="00B251AE" w:rsidRDefault="00B251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955140415"/>
      <w:docPartObj>
        <w:docPartGallery w:val="Page Numbers (Bottom of Page)"/>
        <w:docPartUnique/>
      </w:docPartObj>
    </w:sdtPr>
    <w:sdtEndPr>
      <w:rPr>
        <w:noProof/>
      </w:rPr>
    </w:sdtEndPr>
    <w:sdtContent>
      <w:p w14:paraId="7068C390" w14:textId="2D94A330" w:rsidR="00B251AE" w:rsidRDefault="00B251AE">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p w14:paraId="1CEE524F" w14:textId="77777777" w:rsidR="00B251AE" w:rsidRDefault="00B251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89B95" w14:textId="77777777" w:rsidR="00893DC8" w:rsidRDefault="00893DC8" w:rsidP="00B251AE">
      <w:pPr>
        <w:spacing w:after="0" w:line="240" w:lineRule="auto"/>
      </w:pPr>
      <w:r>
        <w:separator/>
      </w:r>
    </w:p>
  </w:footnote>
  <w:footnote w:type="continuationSeparator" w:id="0">
    <w:p w14:paraId="7CFB06EA" w14:textId="77777777" w:rsidR="00893DC8" w:rsidRDefault="00893DC8" w:rsidP="00B251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509"/>
    <w:rsid w:val="002275A3"/>
    <w:rsid w:val="00387053"/>
    <w:rsid w:val="00512961"/>
    <w:rsid w:val="005C08EF"/>
    <w:rsid w:val="006B01C2"/>
    <w:rsid w:val="006E7942"/>
    <w:rsid w:val="0074186B"/>
    <w:rsid w:val="00893DC8"/>
    <w:rsid w:val="008D3D35"/>
    <w:rsid w:val="00926509"/>
    <w:rsid w:val="00A955EC"/>
    <w:rsid w:val="00B251AE"/>
    <w:rsid w:val="00C30431"/>
    <w:rsid w:val="00D91C68"/>
    <w:rsid w:val="00E16342"/>
    <w:rsid w:val="00E27655"/>
    <w:rsid w:val="00E346C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BDEC1"/>
  <w15:chartTrackingRefBased/>
  <w15:docId w15:val="{F1F5FF91-C1AD-407E-8817-FE163258E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509"/>
    <w:pPr>
      <w:jc w:val="both"/>
    </w:pPr>
    <w:rPr>
      <w:rFonts w:ascii="Arial" w:hAnsi="Arial"/>
      <w:noProof/>
      <w:sz w:val="24"/>
    </w:rPr>
  </w:style>
  <w:style w:type="paragraph" w:styleId="Heading1">
    <w:name w:val="heading 1"/>
    <w:basedOn w:val="Normal"/>
    <w:next w:val="Normal"/>
    <w:link w:val="Heading1Char"/>
    <w:uiPriority w:val="9"/>
    <w:qFormat/>
    <w:rsid w:val="00926509"/>
    <w:pPr>
      <w:keepNext/>
      <w:keepLines/>
      <w:spacing w:before="360" w:after="80"/>
      <w:outlineLvl w:val="0"/>
    </w:pPr>
    <w:rPr>
      <w:rFonts w:eastAsiaTheme="majorEastAsia" w:cstheme="majorBidi"/>
      <w:b/>
      <w:color w:val="000000" w:themeColor="text1"/>
      <w:sz w:val="36"/>
      <w:szCs w:val="40"/>
      <w:u w:val="single"/>
    </w:rPr>
  </w:style>
  <w:style w:type="paragraph" w:styleId="Heading2">
    <w:name w:val="heading 2"/>
    <w:basedOn w:val="Normal"/>
    <w:next w:val="Normal"/>
    <w:link w:val="Heading2Char"/>
    <w:uiPriority w:val="9"/>
    <w:unhideWhenUsed/>
    <w:qFormat/>
    <w:rsid w:val="00926509"/>
    <w:pPr>
      <w:keepNext/>
      <w:keepLines/>
      <w:spacing w:before="160" w:after="80"/>
      <w:outlineLvl w:val="1"/>
    </w:pPr>
    <w:rPr>
      <w:rFonts w:eastAsiaTheme="majorEastAsia" w:cstheme="majorBidi"/>
      <w:b/>
      <w:color w:val="000000" w:themeColor="text1"/>
      <w:sz w:val="32"/>
      <w:szCs w:val="32"/>
    </w:rPr>
  </w:style>
  <w:style w:type="paragraph" w:styleId="Heading3">
    <w:name w:val="heading 3"/>
    <w:basedOn w:val="Normal"/>
    <w:next w:val="Normal"/>
    <w:link w:val="Heading3Char"/>
    <w:uiPriority w:val="9"/>
    <w:semiHidden/>
    <w:unhideWhenUsed/>
    <w:qFormat/>
    <w:rsid w:val="0092650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2650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2650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265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65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65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65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6509"/>
    <w:rPr>
      <w:rFonts w:ascii="Arial" w:eastAsiaTheme="majorEastAsia" w:hAnsi="Arial" w:cstheme="majorBidi"/>
      <w:b/>
      <w:noProof/>
      <w:color w:val="000000" w:themeColor="text1"/>
      <w:sz w:val="36"/>
      <w:szCs w:val="40"/>
      <w:u w:val="single"/>
    </w:rPr>
  </w:style>
  <w:style w:type="character" w:customStyle="1" w:styleId="Heading2Char">
    <w:name w:val="Heading 2 Char"/>
    <w:basedOn w:val="DefaultParagraphFont"/>
    <w:link w:val="Heading2"/>
    <w:uiPriority w:val="9"/>
    <w:rsid w:val="00926509"/>
    <w:rPr>
      <w:rFonts w:ascii="Arial" w:eastAsiaTheme="majorEastAsia" w:hAnsi="Arial" w:cstheme="majorBidi"/>
      <w:b/>
      <w:noProof/>
      <w:color w:val="000000" w:themeColor="text1"/>
      <w:sz w:val="32"/>
      <w:szCs w:val="32"/>
    </w:rPr>
  </w:style>
  <w:style w:type="character" w:customStyle="1" w:styleId="Heading3Char">
    <w:name w:val="Heading 3 Char"/>
    <w:basedOn w:val="DefaultParagraphFont"/>
    <w:link w:val="Heading3"/>
    <w:uiPriority w:val="9"/>
    <w:semiHidden/>
    <w:rsid w:val="00926509"/>
    <w:rPr>
      <w:rFonts w:eastAsiaTheme="majorEastAsia" w:cstheme="majorBidi"/>
      <w:noProof/>
      <w:color w:val="2F5496" w:themeColor="accent1" w:themeShade="BF"/>
      <w:sz w:val="28"/>
      <w:szCs w:val="28"/>
    </w:rPr>
  </w:style>
  <w:style w:type="character" w:customStyle="1" w:styleId="Heading4Char">
    <w:name w:val="Heading 4 Char"/>
    <w:basedOn w:val="DefaultParagraphFont"/>
    <w:link w:val="Heading4"/>
    <w:uiPriority w:val="9"/>
    <w:semiHidden/>
    <w:rsid w:val="00926509"/>
    <w:rPr>
      <w:rFonts w:eastAsiaTheme="majorEastAsia" w:cstheme="majorBidi"/>
      <w:i/>
      <w:iCs/>
      <w:noProof/>
      <w:color w:val="2F5496" w:themeColor="accent1" w:themeShade="BF"/>
    </w:rPr>
  </w:style>
  <w:style w:type="character" w:customStyle="1" w:styleId="Heading5Char">
    <w:name w:val="Heading 5 Char"/>
    <w:basedOn w:val="DefaultParagraphFont"/>
    <w:link w:val="Heading5"/>
    <w:uiPriority w:val="9"/>
    <w:semiHidden/>
    <w:rsid w:val="00926509"/>
    <w:rPr>
      <w:rFonts w:eastAsiaTheme="majorEastAsia" w:cstheme="majorBidi"/>
      <w:noProof/>
      <w:color w:val="2F5496" w:themeColor="accent1" w:themeShade="BF"/>
    </w:rPr>
  </w:style>
  <w:style w:type="character" w:customStyle="1" w:styleId="Heading6Char">
    <w:name w:val="Heading 6 Char"/>
    <w:basedOn w:val="DefaultParagraphFont"/>
    <w:link w:val="Heading6"/>
    <w:uiPriority w:val="9"/>
    <w:semiHidden/>
    <w:rsid w:val="00926509"/>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926509"/>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926509"/>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926509"/>
    <w:rPr>
      <w:rFonts w:eastAsiaTheme="majorEastAsia" w:cstheme="majorBidi"/>
      <w:noProof/>
      <w:color w:val="272727" w:themeColor="text1" w:themeTint="D8"/>
    </w:rPr>
  </w:style>
  <w:style w:type="paragraph" w:styleId="Title">
    <w:name w:val="Title"/>
    <w:basedOn w:val="Normal"/>
    <w:next w:val="Normal"/>
    <w:link w:val="TitleChar"/>
    <w:uiPriority w:val="10"/>
    <w:qFormat/>
    <w:rsid w:val="009265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6509"/>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9265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6509"/>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926509"/>
    <w:pPr>
      <w:spacing w:before="160"/>
      <w:jc w:val="center"/>
    </w:pPr>
    <w:rPr>
      <w:i/>
      <w:iCs/>
      <w:color w:val="404040" w:themeColor="text1" w:themeTint="BF"/>
    </w:rPr>
  </w:style>
  <w:style w:type="character" w:customStyle="1" w:styleId="QuoteChar">
    <w:name w:val="Quote Char"/>
    <w:basedOn w:val="DefaultParagraphFont"/>
    <w:link w:val="Quote"/>
    <w:uiPriority w:val="29"/>
    <w:rsid w:val="00926509"/>
    <w:rPr>
      <w:i/>
      <w:iCs/>
      <w:noProof/>
      <w:color w:val="404040" w:themeColor="text1" w:themeTint="BF"/>
    </w:rPr>
  </w:style>
  <w:style w:type="paragraph" w:styleId="ListParagraph">
    <w:name w:val="List Paragraph"/>
    <w:basedOn w:val="Normal"/>
    <w:uiPriority w:val="34"/>
    <w:qFormat/>
    <w:rsid w:val="00926509"/>
    <w:pPr>
      <w:ind w:left="720"/>
      <w:contextualSpacing/>
    </w:pPr>
  </w:style>
  <w:style w:type="character" w:styleId="IntenseEmphasis">
    <w:name w:val="Intense Emphasis"/>
    <w:basedOn w:val="DefaultParagraphFont"/>
    <w:uiPriority w:val="21"/>
    <w:qFormat/>
    <w:rsid w:val="00926509"/>
    <w:rPr>
      <w:i/>
      <w:iCs/>
      <w:color w:val="2F5496" w:themeColor="accent1" w:themeShade="BF"/>
    </w:rPr>
  </w:style>
  <w:style w:type="paragraph" w:styleId="IntenseQuote">
    <w:name w:val="Intense Quote"/>
    <w:basedOn w:val="Normal"/>
    <w:next w:val="Normal"/>
    <w:link w:val="IntenseQuoteChar"/>
    <w:uiPriority w:val="30"/>
    <w:qFormat/>
    <w:rsid w:val="0092650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26509"/>
    <w:rPr>
      <w:i/>
      <w:iCs/>
      <w:noProof/>
      <w:color w:val="2F5496" w:themeColor="accent1" w:themeShade="BF"/>
    </w:rPr>
  </w:style>
  <w:style w:type="character" w:styleId="IntenseReference">
    <w:name w:val="Intense Reference"/>
    <w:basedOn w:val="DefaultParagraphFont"/>
    <w:uiPriority w:val="32"/>
    <w:qFormat/>
    <w:rsid w:val="00926509"/>
    <w:rPr>
      <w:b/>
      <w:bCs/>
      <w:smallCaps/>
      <w:color w:val="2F5496" w:themeColor="accent1" w:themeShade="BF"/>
      <w:spacing w:val="5"/>
    </w:rPr>
  </w:style>
  <w:style w:type="table" w:styleId="TableGrid">
    <w:name w:val="Table Grid"/>
    <w:basedOn w:val="TableNormal"/>
    <w:uiPriority w:val="39"/>
    <w:rsid w:val="00C304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251AE"/>
    <w:pPr>
      <w:spacing w:before="240" w:after="0"/>
      <w:jc w:val="left"/>
      <w:outlineLvl w:val="9"/>
    </w:pPr>
    <w:rPr>
      <w:rFonts w:asciiTheme="majorHAnsi" w:hAnsiTheme="majorHAnsi"/>
      <w:b w:val="0"/>
      <w:noProof w:val="0"/>
      <w:color w:val="2F5496" w:themeColor="accent1" w:themeShade="BF"/>
      <w:kern w:val="0"/>
      <w:sz w:val="32"/>
      <w:szCs w:val="32"/>
      <w:u w:val="none"/>
      <w:lang w:val="en-US"/>
      <w14:ligatures w14:val="none"/>
    </w:rPr>
  </w:style>
  <w:style w:type="paragraph" w:styleId="TOC1">
    <w:name w:val="toc 1"/>
    <w:basedOn w:val="Normal"/>
    <w:next w:val="Normal"/>
    <w:autoRedefine/>
    <w:uiPriority w:val="39"/>
    <w:unhideWhenUsed/>
    <w:rsid w:val="00B251AE"/>
    <w:pPr>
      <w:spacing w:after="100"/>
    </w:pPr>
  </w:style>
  <w:style w:type="paragraph" w:styleId="TOC2">
    <w:name w:val="toc 2"/>
    <w:basedOn w:val="Normal"/>
    <w:next w:val="Normal"/>
    <w:autoRedefine/>
    <w:uiPriority w:val="39"/>
    <w:unhideWhenUsed/>
    <w:rsid w:val="00B251AE"/>
    <w:pPr>
      <w:spacing w:after="100"/>
      <w:ind w:left="240"/>
    </w:pPr>
  </w:style>
  <w:style w:type="character" w:styleId="Hyperlink">
    <w:name w:val="Hyperlink"/>
    <w:basedOn w:val="DefaultParagraphFont"/>
    <w:uiPriority w:val="99"/>
    <w:unhideWhenUsed/>
    <w:rsid w:val="00B251AE"/>
    <w:rPr>
      <w:color w:val="0563C1" w:themeColor="hyperlink"/>
      <w:u w:val="single"/>
    </w:rPr>
  </w:style>
  <w:style w:type="paragraph" w:styleId="Header">
    <w:name w:val="header"/>
    <w:basedOn w:val="Normal"/>
    <w:link w:val="HeaderChar"/>
    <w:uiPriority w:val="99"/>
    <w:unhideWhenUsed/>
    <w:rsid w:val="00B251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51AE"/>
    <w:rPr>
      <w:rFonts w:ascii="Arial" w:hAnsi="Arial"/>
      <w:noProof/>
      <w:sz w:val="24"/>
    </w:rPr>
  </w:style>
  <w:style w:type="paragraph" w:styleId="Footer">
    <w:name w:val="footer"/>
    <w:basedOn w:val="Normal"/>
    <w:link w:val="FooterChar"/>
    <w:uiPriority w:val="99"/>
    <w:unhideWhenUsed/>
    <w:rsid w:val="00B251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51AE"/>
    <w:rPr>
      <w:rFonts w:ascii="Arial" w:hAnsi="Arial"/>
      <w:noProo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10</Pages>
  <Words>2999</Words>
  <Characters>17098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Avani Kasundra</dc:creator>
  <cp:keywords/>
  <dc:description/>
  <cp:lastModifiedBy>Avani Kasundra</cp:lastModifiedBy>
  <cp:revision>3</cp:revision>
  <dcterms:created xsi:type="dcterms:W3CDTF">2026-04-28T13:36:00Z</dcterms:created>
  <dcterms:modified xsi:type="dcterms:W3CDTF">2026-04-28T15:02:00Z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a2a8e08a-c604-431b-977e-301c34518f6d</vt:lpwstr>
  </property>
</Properties>
</file>