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72474898"/>
        <w:docPartObj>
          <w:docPartGallery w:val="Cover Pages"/>
          <w:docPartUnique/>
        </w:docPartObj>
      </w:sdtPr>
      <w:sdtEndPr>
        <w:rPr>
          <w:b/>
          <w:bCs/>
          <w:sz w:val="28"/>
          <w:szCs w:val="28"/>
          <w:u w:val="single"/>
        </w:rPr>
      </w:sdtEndPr>
      <w:sdtContent>
        <w:p w14:paraId="1934B792" w14:textId="77777777" w:rsidR="00B65A9E" w:rsidRDefault="00B65A9E"/>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B65A9E" w14:paraId="58913C54" w14:textId="77777777">
            <w:tc>
              <w:tcPr>
                <w:tcW w:w="7672" w:type="dxa"/>
                <w:tcMar>
                  <w:top w:w="216" w:type="dxa"/>
                  <w:left w:w="115" w:type="dxa"/>
                  <w:bottom w:w="216" w:type="dxa"/>
                  <w:right w:w="115" w:type="dxa"/>
                </w:tcMar>
              </w:tcPr>
              <w:p w14:paraId="167318F5" w14:textId="10EDBA9F" w:rsidR="00B65A9E" w:rsidRDefault="00B65A9E">
                <w:pPr>
                  <w:pStyle w:val="NoSpacing"/>
                  <w:rPr>
                    <w:color w:val="2F5496" w:themeColor="accent1" w:themeShade="BF"/>
                    <w:sz w:val="24"/>
                  </w:rPr>
                </w:pPr>
              </w:p>
            </w:tc>
          </w:tr>
          <w:tr w:rsidR="00B65A9E" w14:paraId="43E722BA" w14:textId="77777777">
            <w:tc>
              <w:tcPr>
                <w:tcW w:w="7672" w:type="dxa"/>
              </w:tcPr>
              <w:sdt>
                <w:sdtPr>
                  <w:rPr>
                    <w:rFonts w:asciiTheme="majorHAnsi" w:eastAsiaTheme="majorEastAsia" w:hAnsiTheme="majorHAnsi" w:cstheme="majorBidi"/>
                    <w:color w:val="000000" w:themeColor="text1"/>
                    <w:sz w:val="88"/>
                    <w:szCs w:val="88"/>
                  </w:rPr>
                  <w:alias w:val="Title"/>
                  <w:id w:val="13406919"/>
                  <w:placeholder>
                    <w:docPart w:val="9294536BD7F94E649C50F3258B994703"/>
                  </w:placeholder>
                  <w:dataBinding w:prefixMappings="xmlns:ns0='http://schemas.openxmlformats.org/package/2006/metadata/core-properties' xmlns:ns1='http://purl.org/dc/elements/1.1/'" w:xpath="/ns0:coreProperties[1]/ns1:title[1]" w:storeItemID="{6C3C8BC8-F283-45AE-878A-BAB7291924A1}"/>
                  <w:text/>
                </w:sdtPr>
                <w:sdtContent>
                  <w:p w14:paraId="56C44DBD" w14:textId="4682B3B1" w:rsidR="00B65A9E" w:rsidRDefault="005326E1">
                    <w:pPr>
                      <w:pStyle w:val="NoSpacing"/>
                      <w:spacing w:line="216" w:lineRule="auto"/>
                      <w:rPr>
                        <w:rFonts w:asciiTheme="majorHAnsi" w:eastAsiaTheme="majorEastAsia" w:hAnsiTheme="majorHAnsi" w:cstheme="majorBidi"/>
                        <w:color w:val="4472C4" w:themeColor="accent1"/>
                        <w:sz w:val="88"/>
                        <w:szCs w:val="88"/>
                      </w:rPr>
                    </w:pPr>
                    <w:r w:rsidRPr="007B13AA">
                      <w:rPr>
                        <w:rFonts w:asciiTheme="majorHAnsi" w:eastAsiaTheme="majorEastAsia" w:hAnsiTheme="majorHAnsi" w:cstheme="majorBidi"/>
                        <w:color w:val="000000" w:themeColor="text1"/>
                        <w:sz w:val="88"/>
                        <w:szCs w:val="88"/>
                      </w:rPr>
                      <w:t>The Exploitation of Tutankhamun</w:t>
                    </w:r>
                  </w:p>
                </w:sdtContent>
              </w:sdt>
            </w:tc>
          </w:tr>
          <w:tr w:rsidR="00B65A9E" w14:paraId="5753306B" w14:textId="77777777">
            <w:tc>
              <w:tcPr>
                <w:tcW w:w="7672" w:type="dxa"/>
                <w:tcMar>
                  <w:top w:w="216" w:type="dxa"/>
                  <w:left w:w="115" w:type="dxa"/>
                  <w:bottom w:w="216" w:type="dxa"/>
                  <w:right w:w="115" w:type="dxa"/>
                </w:tcMar>
              </w:tcPr>
              <w:p w14:paraId="152C15F6" w14:textId="29D44B60" w:rsidR="00B65A9E" w:rsidRDefault="00B65A9E">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B65A9E" w14:paraId="4D5DEC08" w14:textId="77777777">
            <w:tc>
              <w:tcPr>
                <w:tcW w:w="7221" w:type="dxa"/>
                <w:tcMar>
                  <w:top w:w="216" w:type="dxa"/>
                  <w:left w:w="115" w:type="dxa"/>
                  <w:bottom w:w="216" w:type="dxa"/>
                  <w:right w:w="115" w:type="dxa"/>
                </w:tcMar>
              </w:tcPr>
              <w:sdt>
                <w:sdtPr>
                  <w:rPr>
                    <w:color w:val="000000" w:themeColor="text1"/>
                    <w:sz w:val="28"/>
                    <w:szCs w:val="28"/>
                  </w:rPr>
                  <w:alias w:val="Author"/>
                  <w:id w:val="13406928"/>
                  <w:placeholder>
                    <w:docPart w:val="F771076C7CA348D98032C7D8886B42EE"/>
                  </w:placeholder>
                  <w:dataBinding w:prefixMappings="xmlns:ns0='http://schemas.openxmlformats.org/package/2006/metadata/core-properties' xmlns:ns1='http://purl.org/dc/elements/1.1/'" w:xpath="/ns0:coreProperties[1]/ns1:creator[1]" w:storeItemID="{6C3C8BC8-F283-45AE-878A-BAB7291924A1}"/>
                  <w:text/>
                </w:sdtPr>
                <w:sdtContent>
                  <w:p w14:paraId="2D755F99" w14:textId="1BD77667" w:rsidR="00B65A9E" w:rsidRDefault="00B65A9E">
                    <w:pPr>
                      <w:pStyle w:val="NoSpacing"/>
                      <w:rPr>
                        <w:color w:val="4472C4" w:themeColor="accent1"/>
                        <w:sz w:val="28"/>
                        <w:szCs w:val="28"/>
                      </w:rPr>
                    </w:pPr>
                    <w:r w:rsidRPr="007B13AA">
                      <w:rPr>
                        <w:color w:val="000000" w:themeColor="text1"/>
                        <w:sz w:val="28"/>
                        <w:szCs w:val="28"/>
                      </w:rPr>
                      <w:t>Melisa Pak (1701689)</w:t>
                    </w:r>
                  </w:p>
                </w:sdtContent>
              </w:sdt>
              <w:sdt>
                <w:sdtPr>
                  <w:rPr>
                    <w:color w:val="4472C4" w:themeColor="accent1"/>
                    <w:sz w:val="28"/>
                    <w:szCs w:val="28"/>
                  </w:rPr>
                  <w:alias w:val="Date"/>
                  <w:tag w:val="Date"/>
                  <w:id w:val="13406932"/>
                  <w:placeholder>
                    <w:docPart w:val="5D0BDB1605864FD397C86ECC2C09BF22"/>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0AE14B8C" w14:textId="77777777" w:rsidR="00B65A9E" w:rsidRDefault="00B65A9E">
                    <w:pPr>
                      <w:pStyle w:val="NoSpacing"/>
                      <w:rPr>
                        <w:color w:val="4472C4" w:themeColor="accent1"/>
                        <w:sz w:val="28"/>
                        <w:szCs w:val="28"/>
                      </w:rPr>
                    </w:pPr>
                    <w:r>
                      <w:rPr>
                        <w:color w:val="4472C4" w:themeColor="accent1"/>
                        <w:sz w:val="28"/>
                        <w:szCs w:val="28"/>
                      </w:rPr>
                      <w:t>[Date]</w:t>
                    </w:r>
                  </w:p>
                </w:sdtContent>
              </w:sdt>
              <w:p w14:paraId="001C00F8" w14:textId="77777777" w:rsidR="00B65A9E" w:rsidRDefault="00B65A9E">
                <w:pPr>
                  <w:pStyle w:val="NoSpacing"/>
                  <w:rPr>
                    <w:color w:val="4472C4" w:themeColor="accent1"/>
                  </w:rPr>
                </w:pPr>
              </w:p>
            </w:tc>
          </w:tr>
        </w:tbl>
        <w:p w14:paraId="7960FF72" w14:textId="77777777" w:rsidR="00B65A9E" w:rsidRDefault="00B65A9E">
          <w:pPr>
            <w:rPr>
              <w:b/>
              <w:bCs/>
              <w:sz w:val="28"/>
              <w:szCs w:val="28"/>
              <w:u w:val="single"/>
            </w:rPr>
          </w:pPr>
          <w:r>
            <w:rPr>
              <w:b/>
              <w:bCs/>
              <w:sz w:val="28"/>
              <w:szCs w:val="28"/>
              <w:u w:val="single"/>
            </w:rPr>
            <w:br w:type="page"/>
          </w:r>
        </w:p>
      </w:sdtContent>
    </w:sdt>
    <w:p w14:paraId="2E637A9E" w14:textId="77777777" w:rsidR="001B473A" w:rsidRDefault="001B473A" w:rsidP="00105905">
      <w:pPr>
        <w:jc w:val="center"/>
        <w:rPr>
          <w:b/>
          <w:bCs/>
          <w:sz w:val="28"/>
          <w:szCs w:val="28"/>
          <w:u w:val="single"/>
        </w:rPr>
        <w:sectPr w:rsidR="001B473A" w:rsidSect="001B473A">
          <w:footerReference w:type="default" r:id="rId11"/>
          <w:footerReference w:type="first" r:id="rId12"/>
          <w:pgSz w:w="11906" w:h="16838"/>
          <w:pgMar w:top="1440" w:right="1440" w:bottom="1440" w:left="1440" w:header="708" w:footer="708" w:gutter="0"/>
          <w:pgNumType w:fmt="lowerRoman"/>
          <w:cols w:space="708"/>
          <w:titlePg/>
          <w:docGrid w:linePitch="360"/>
        </w:sectPr>
      </w:pPr>
    </w:p>
    <w:p w14:paraId="7F0B58AC" w14:textId="5D198F51" w:rsidR="001B473A" w:rsidRDefault="001B473A" w:rsidP="00105905">
      <w:pPr>
        <w:jc w:val="center"/>
        <w:rPr>
          <w:b/>
          <w:bCs/>
          <w:sz w:val="28"/>
          <w:szCs w:val="28"/>
          <w:u w:val="single"/>
        </w:rPr>
      </w:pPr>
    </w:p>
    <w:p w14:paraId="6C54BF48" w14:textId="1F1F9016" w:rsidR="003733E9" w:rsidRDefault="003733E9" w:rsidP="00F16AEB">
      <w:pPr>
        <w:jc w:val="center"/>
        <w:rPr>
          <w:b/>
          <w:bCs/>
          <w:sz w:val="28"/>
          <w:szCs w:val="28"/>
          <w:u w:val="single"/>
        </w:rPr>
      </w:pPr>
      <w:r>
        <w:rPr>
          <w:b/>
          <w:bCs/>
          <w:sz w:val="28"/>
          <w:szCs w:val="28"/>
          <w:u w:val="single"/>
        </w:rPr>
        <w:t>Acknowledgements</w:t>
      </w:r>
    </w:p>
    <w:p w14:paraId="533C7DA7" w14:textId="77777777" w:rsidR="00F16AEB" w:rsidRDefault="00F16AEB" w:rsidP="00F16AEB">
      <w:pPr>
        <w:jc w:val="center"/>
        <w:rPr>
          <w:b/>
          <w:bCs/>
          <w:sz w:val="28"/>
          <w:szCs w:val="28"/>
          <w:u w:val="single"/>
        </w:rPr>
      </w:pPr>
    </w:p>
    <w:p w14:paraId="1976491F" w14:textId="7D1EC8B2" w:rsidR="003733E9" w:rsidRDefault="00C272CC" w:rsidP="00C272CC">
      <w:r w:rsidRPr="00C272CC">
        <w:t xml:space="preserve">I would </w:t>
      </w:r>
      <w:r>
        <w:t>like to thank my supervisor Katharina Zinn for support</w:t>
      </w:r>
      <w:r w:rsidR="00F16AEB">
        <w:t xml:space="preserve"> and guidance</w:t>
      </w:r>
      <w:r>
        <w:t xml:space="preserve"> throughout my dissertation. I would also like to thank Nicola Mason for </w:t>
      </w:r>
      <w:r w:rsidR="00F16AEB">
        <w:t>help and support</w:t>
      </w:r>
      <w:r>
        <w:t xml:space="preserve"> throughout my undergraduate degree. </w:t>
      </w:r>
    </w:p>
    <w:p w14:paraId="52FE58C0" w14:textId="029F9F89" w:rsidR="00C272CC" w:rsidRDefault="00C272CC" w:rsidP="00C272CC"/>
    <w:p w14:paraId="40B7FFD2" w14:textId="3E31B551" w:rsidR="00C272CC" w:rsidRPr="00C272CC" w:rsidRDefault="00C272CC" w:rsidP="00C272CC">
      <w:r>
        <w:t xml:space="preserve">I would also like to say a massive thank you to my mother for all her support on my journey to and threw university. </w:t>
      </w:r>
    </w:p>
    <w:p w14:paraId="4F94A770" w14:textId="14E8613C" w:rsidR="003733E9" w:rsidRDefault="003733E9" w:rsidP="00105905">
      <w:pPr>
        <w:jc w:val="center"/>
        <w:rPr>
          <w:b/>
          <w:bCs/>
          <w:sz w:val="28"/>
          <w:szCs w:val="28"/>
          <w:u w:val="single"/>
        </w:rPr>
      </w:pPr>
    </w:p>
    <w:p w14:paraId="31E703B4" w14:textId="0685E01E" w:rsidR="003733E9" w:rsidRDefault="003733E9" w:rsidP="00105905">
      <w:pPr>
        <w:jc w:val="center"/>
        <w:rPr>
          <w:b/>
          <w:bCs/>
          <w:sz w:val="28"/>
          <w:szCs w:val="28"/>
          <w:u w:val="single"/>
        </w:rPr>
      </w:pPr>
    </w:p>
    <w:p w14:paraId="58F39C90" w14:textId="14CA2CF6" w:rsidR="003733E9" w:rsidRDefault="003733E9" w:rsidP="00105905">
      <w:pPr>
        <w:jc w:val="center"/>
        <w:rPr>
          <w:b/>
          <w:bCs/>
          <w:sz w:val="28"/>
          <w:szCs w:val="28"/>
          <w:u w:val="single"/>
        </w:rPr>
      </w:pPr>
    </w:p>
    <w:p w14:paraId="2B2B9B61" w14:textId="42F4B30D" w:rsidR="003733E9" w:rsidRDefault="003733E9" w:rsidP="00105905">
      <w:pPr>
        <w:jc w:val="center"/>
        <w:rPr>
          <w:b/>
          <w:bCs/>
          <w:sz w:val="28"/>
          <w:szCs w:val="28"/>
          <w:u w:val="single"/>
        </w:rPr>
      </w:pPr>
    </w:p>
    <w:p w14:paraId="4085D942" w14:textId="69EC8327" w:rsidR="003733E9" w:rsidRDefault="003733E9" w:rsidP="00105905">
      <w:pPr>
        <w:jc w:val="center"/>
        <w:rPr>
          <w:b/>
          <w:bCs/>
          <w:sz w:val="28"/>
          <w:szCs w:val="28"/>
          <w:u w:val="single"/>
        </w:rPr>
      </w:pPr>
    </w:p>
    <w:p w14:paraId="317068A1" w14:textId="406AACD3" w:rsidR="003733E9" w:rsidRDefault="003733E9" w:rsidP="00105905">
      <w:pPr>
        <w:jc w:val="center"/>
        <w:rPr>
          <w:b/>
          <w:bCs/>
          <w:sz w:val="28"/>
          <w:szCs w:val="28"/>
          <w:u w:val="single"/>
        </w:rPr>
      </w:pPr>
    </w:p>
    <w:p w14:paraId="5774E74E" w14:textId="3ADA6E35" w:rsidR="003733E9" w:rsidRDefault="003733E9" w:rsidP="00105905">
      <w:pPr>
        <w:jc w:val="center"/>
        <w:rPr>
          <w:b/>
          <w:bCs/>
          <w:sz w:val="28"/>
          <w:szCs w:val="28"/>
          <w:u w:val="single"/>
        </w:rPr>
      </w:pPr>
    </w:p>
    <w:p w14:paraId="68C2BD0B" w14:textId="11DB4E61" w:rsidR="003733E9" w:rsidRDefault="003733E9" w:rsidP="00105905">
      <w:pPr>
        <w:jc w:val="center"/>
        <w:rPr>
          <w:b/>
          <w:bCs/>
          <w:sz w:val="28"/>
          <w:szCs w:val="28"/>
          <w:u w:val="single"/>
        </w:rPr>
      </w:pPr>
    </w:p>
    <w:p w14:paraId="255A8AA0" w14:textId="1D84D61F" w:rsidR="003733E9" w:rsidRDefault="003733E9" w:rsidP="00105905">
      <w:pPr>
        <w:jc w:val="center"/>
        <w:rPr>
          <w:b/>
          <w:bCs/>
          <w:sz w:val="28"/>
          <w:szCs w:val="28"/>
          <w:u w:val="single"/>
        </w:rPr>
      </w:pPr>
    </w:p>
    <w:p w14:paraId="0C172D5F" w14:textId="70343B46" w:rsidR="003733E9" w:rsidRDefault="003733E9" w:rsidP="00105905">
      <w:pPr>
        <w:jc w:val="center"/>
        <w:rPr>
          <w:b/>
          <w:bCs/>
          <w:sz w:val="28"/>
          <w:szCs w:val="28"/>
          <w:u w:val="single"/>
        </w:rPr>
      </w:pPr>
    </w:p>
    <w:p w14:paraId="1ED2DB40" w14:textId="1A31F29B" w:rsidR="003733E9" w:rsidRDefault="003733E9" w:rsidP="00105905">
      <w:pPr>
        <w:jc w:val="center"/>
        <w:rPr>
          <w:b/>
          <w:bCs/>
          <w:sz w:val="28"/>
          <w:szCs w:val="28"/>
          <w:u w:val="single"/>
        </w:rPr>
      </w:pPr>
    </w:p>
    <w:p w14:paraId="0934DB4F" w14:textId="4BCE259D" w:rsidR="003733E9" w:rsidRDefault="003733E9" w:rsidP="00105905">
      <w:pPr>
        <w:jc w:val="center"/>
        <w:rPr>
          <w:b/>
          <w:bCs/>
          <w:sz w:val="28"/>
          <w:szCs w:val="28"/>
          <w:u w:val="single"/>
        </w:rPr>
      </w:pPr>
    </w:p>
    <w:p w14:paraId="3E85CF8D" w14:textId="2E78340F" w:rsidR="003733E9" w:rsidRDefault="003733E9" w:rsidP="00105905">
      <w:pPr>
        <w:jc w:val="center"/>
        <w:rPr>
          <w:b/>
          <w:bCs/>
          <w:sz w:val="28"/>
          <w:szCs w:val="28"/>
          <w:u w:val="single"/>
        </w:rPr>
      </w:pPr>
    </w:p>
    <w:p w14:paraId="5471E323" w14:textId="30239EB1" w:rsidR="003733E9" w:rsidRDefault="003733E9" w:rsidP="00105905">
      <w:pPr>
        <w:jc w:val="center"/>
        <w:rPr>
          <w:b/>
          <w:bCs/>
          <w:sz w:val="28"/>
          <w:szCs w:val="28"/>
          <w:u w:val="single"/>
        </w:rPr>
      </w:pPr>
    </w:p>
    <w:p w14:paraId="618BB222" w14:textId="473DA748" w:rsidR="003733E9" w:rsidRDefault="003733E9" w:rsidP="00105905">
      <w:pPr>
        <w:jc w:val="center"/>
        <w:rPr>
          <w:b/>
          <w:bCs/>
          <w:sz w:val="28"/>
          <w:szCs w:val="28"/>
          <w:u w:val="single"/>
        </w:rPr>
      </w:pPr>
    </w:p>
    <w:p w14:paraId="23474256" w14:textId="7FC89429" w:rsidR="003733E9" w:rsidRDefault="003733E9" w:rsidP="00105905">
      <w:pPr>
        <w:jc w:val="center"/>
        <w:rPr>
          <w:b/>
          <w:bCs/>
          <w:sz w:val="28"/>
          <w:szCs w:val="28"/>
          <w:u w:val="single"/>
        </w:rPr>
      </w:pPr>
    </w:p>
    <w:p w14:paraId="4CE8EE91" w14:textId="1F150C51" w:rsidR="003733E9" w:rsidRDefault="003733E9" w:rsidP="00105905">
      <w:pPr>
        <w:jc w:val="center"/>
        <w:rPr>
          <w:b/>
          <w:bCs/>
          <w:sz w:val="28"/>
          <w:szCs w:val="28"/>
          <w:u w:val="single"/>
        </w:rPr>
      </w:pPr>
    </w:p>
    <w:p w14:paraId="05863886" w14:textId="09332FE5" w:rsidR="003733E9" w:rsidRDefault="003733E9" w:rsidP="00105905">
      <w:pPr>
        <w:jc w:val="center"/>
        <w:rPr>
          <w:b/>
          <w:bCs/>
          <w:sz w:val="28"/>
          <w:szCs w:val="28"/>
          <w:u w:val="single"/>
        </w:rPr>
      </w:pPr>
    </w:p>
    <w:p w14:paraId="3B752778" w14:textId="77777777" w:rsidR="00C272CC" w:rsidRDefault="00C272CC" w:rsidP="00C272CC">
      <w:pPr>
        <w:rPr>
          <w:b/>
          <w:bCs/>
          <w:sz w:val="28"/>
          <w:szCs w:val="28"/>
          <w:u w:val="single"/>
        </w:rPr>
      </w:pPr>
    </w:p>
    <w:p w14:paraId="730D0D38" w14:textId="1405BECB" w:rsidR="00FF6C10" w:rsidRDefault="00FF6C10" w:rsidP="00C272CC">
      <w:pPr>
        <w:jc w:val="center"/>
        <w:rPr>
          <w:b/>
          <w:bCs/>
          <w:sz w:val="28"/>
          <w:szCs w:val="28"/>
          <w:u w:val="single"/>
        </w:rPr>
      </w:pPr>
      <w:r>
        <w:rPr>
          <w:b/>
          <w:bCs/>
          <w:sz w:val="28"/>
          <w:szCs w:val="28"/>
          <w:u w:val="single"/>
        </w:rPr>
        <w:lastRenderedPageBreak/>
        <w:t>Contents Page</w:t>
      </w:r>
    </w:p>
    <w:p w14:paraId="4376F07F" w14:textId="35E128DE" w:rsidR="003733E9" w:rsidRDefault="003733E9" w:rsidP="003238D4">
      <w:pPr>
        <w:rPr>
          <w:sz w:val="28"/>
          <w:szCs w:val="28"/>
        </w:rPr>
      </w:pPr>
      <w:r>
        <w:rPr>
          <w:sz w:val="28"/>
          <w:szCs w:val="28"/>
        </w:rPr>
        <w:t xml:space="preserve">Abstract </w:t>
      </w:r>
      <w:r w:rsidR="00BC0AFC">
        <w:rPr>
          <w:sz w:val="28"/>
          <w:szCs w:val="28"/>
        </w:rPr>
        <w:t xml:space="preserve">                                                                                                                           iii</w:t>
      </w:r>
    </w:p>
    <w:p w14:paraId="15352245" w14:textId="312C7789" w:rsidR="00A1263C" w:rsidRDefault="006414CC" w:rsidP="003238D4">
      <w:pPr>
        <w:rPr>
          <w:sz w:val="28"/>
          <w:szCs w:val="28"/>
        </w:rPr>
      </w:pPr>
      <w:r>
        <w:rPr>
          <w:sz w:val="28"/>
          <w:szCs w:val="28"/>
        </w:rPr>
        <w:t>Introduction</w:t>
      </w:r>
      <w:r w:rsidR="00B4296D">
        <w:rPr>
          <w:sz w:val="28"/>
          <w:szCs w:val="28"/>
        </w:rPr>
        <w:t xml:space="preserve">                                                                                                                     </w:t>
      </w:r>
      <w:r w:rsidR="00BC0AFC">
        <w:rPr>
          <w:sz w:val="28"/>
          <w:szCs w:val="28"/>
        </w:rPr>
        <w:t>1</w:t>
      </w:r>
    </w:p>
    <w:p w14:paraId="3EB751FF" w14:textId="2141376F" w:rsidR="006414CC" w:rsidRDefault="006414CC" w:rsidP="003238D4">
      <w:pPr>
        <w:rPr>
          <w:sz w:val="28"/>
          <w:szCs w:val="28"/>
        </w:rPr>
      </w:pPr>
      <w:r>
        <w:rPr>
          <w:sz w:val="28"/>
          <w:szCs w:val="28"/>
        </w:rPr>
        <w:t xml:space="preserve">Chapter 1 – Context </w:t>
      </w:r>
      <w:r w:rsidR="00A1263C">
        <w:rPr>
          <w:sz w:val="28"/>
          <w:szCs w:val="28"/>
        </w:rPr>
        <w:t xml:space="preserve">                                                                                                       </w:t>
      </w:r>
      <w:r w:rsidR="00BC0AFC">
        <w:rPr>
          <w:sz w:val="28"/>
          <w:szCs w:val="28"/>
        </w:rPr>
        <w:t>3</w:t>
      </w:r>
    </w:p>
    <w:p w14:paraId="551742FD" w14:textId="1F036350" w:rsidR="00E84FF8" w:rsidRDefault="00987ECD" w:rsidP="00E84FF8">
      <w:pPr>
        <w:pStyle w:val="ListParagraph"/>
        <w:numPr>
          <w:ilvl w:val="0"/>
          <w:numId w:val="5"/>
        </w:numPr>
        <w:rPr>
          <w:sz w:val="28"/>
          <w:szCs w:val="28"/>
        </w:rPr>
      </w:pPr>
      <w:r>
        <w:rPr>
          <w:sz w:val="28"/>
          <w:szCs w:val="28"/>
        </w:rPr>
        <w:t>Westerners</w:t>
      </w:r>
      <w:r w:rsidR="00A1263C">
        <w:rPr>
          <w:sz w:val="28"/>
          <w:szCs w:val="28"/>
        </w:rPr>
        <w:t xml:space="preserve">                                                                                                </w:t>
      </w:r>
      <w:r w:rsidR="00BC0AFC">
        <w:rPr>
          <w:sz w:val="28"/>
          <w:szCs w:val="28"/>
        </w:rPr>
        <w:t>3</w:t>
      </w:r>
    </w:p>
    <w:p w14:paraId="4F5F907C" w14:textId="1E61B311" w:rsidR="00987ECD" w:rsidRPr="00E84FF8" w:rsidRDefault="00987ECD" w:rsidP="00E84FF8">
      <w:pPr>
        <w:pStyle w:val="ListParagraph"/>
        <w:numPr>
          <w:ilvl w:val="0"/>
          <w:numId w:val="5"/>
        </w:numPr>
        <w:rPr>
          <w:sz w:val="28"/>
          <w:szCs w:val="28"/>
        </w:rPr>
      </w:pPr>
      <w:r>
        <w:rPr>
          <w:sz w:val="28"/>
          <w:szCs w:val="28"/>
        </w:rPr>
        <w:t>Tutankhamun</w:t>
      </w:r>
      <w:r w:rsidR="00A1263C">
        <w:rPr>
          <w:sz w:val="28"/>
          <w:szCs w:val="28"/>
        </w:rPr>
        <w:t xml:space="preserve">                                                                                            8</w:t>
      </w:r>
    </w:p>
    <w:p w14:paraId="13157686" w14:textId="5682CD93" w:rsidR="006414CC" w:rsidRDefault="006414CC" w:rsidP="003238D4">
      <w:pPr>
        <w:rPr>
          <w:sz w:val="28"/>
          <w:szCs w:val="28"/>
        </w:rPr>
      </w:pPr>
      <w:r>
        <w:rPr>
          <w:sz w:val="28"/>
          <w:szCs w:val="28"/>
        </w:rPr>
        <w:t xml:space="preserve">Chapter 2 – Theory, Discovery and Politics </w:t>
      </w:r>
      <w:r w:rsidR="00E33EDC">
        <w:rPr>
          <w:sz w:val="28"/>
          <w:szCs w:val="28"/>
        </w:rPr>
        <w:t xml:space="preserve">                                                             1</w:t>
      </w:r>
      <w:r w:rsidR="00BC0AFC">
        <w:rPr>
          <w:sz w:val="28"/>
          <w:szCs w:val="28"/>
        </w:rPr>
        <w:t>3</w:t>
      </w:r>
    </w:p>
    <w:p w14:paraId="1A39131E" w14:textId="194A1F20" w:rsidR="00987ECD" w:rsidRDefault="00987ECD" w:rsidP="00987ECD">
      <w:pPr>
        <w:pStyle w:val="ListParagraph"/>
        <w:numPr>
          <w:ilvl w:val="0"/>
          <w:numId w:val="6"/>
        </w:numPr>
        <w:rPr>
          <w:sz w:val="28"/>
          <w:szCs w:val="28"/>
        </w:rPr>
      </w:pPr>
      <w:proofErr w:type="spellStart"/>
      <w:r>
        <w:rPr>
          <w:sz w:val="28"/>
          <w:szCs w:val="28"/>
        </w:rPr>
        <w:t>Pharaonism</w:t>
      </w:r>
      <w:proofErr w:type="spellEnd"/>
      <w:r w:rsidR="00E33EDC">
        <w:rPr>
          <w:sz w:val="28"/>
          <w:szCs w:val="28"/>
        </w:rPr>
        <w:t xml:space="preserve">                                                                                                   1</w:t>
      </w:r>
      <w:r w:rsidR="00BC0AFC">
        <w:rPr>
          <w:sz w:val="28"/>
          <w:szCs w:val="28"/>
        </w:rPr>
        <w:t>3</w:t>
      </w:r>
    </w:p>
    <w:p w14:paraId="598ADD2C" w14:textId="3DBA385C" w:rsidR="00987ECD" w:rsidRDefault="00987ECD" w:rsidP="00987ECD">
      <w:pPr>
        <w:pStyle w:val="ListParagraph"/>
        <w:numPr>
          <w:ilvl w:val="0"/>
          <w:numId w:val="6"/>
        </w:numPr>
        <w:rPr>
          <w:sz w:val="28"/>
          <w:szCs w:val="28"/>
        </w:rPr>
      </w:pPr>
      <w:r>
        <w:rPr>
          <w:sz w:val="28"/>
          <w:szCs w:val="28"/>
        </w:rPr>
        <w:t>Discovery</w:t>
      </w:r>
      <w:r w:rsidR="00BC05C0">
        <w:rPr>
          <w:sz w:val="28"/>
          <w:szCs w:val="28"/>
        </w:rPr>
        <w:t xml:space="preserve">                                                                                                       1</w:t>
      </w:r>
      <w:r w:rsidR="00BC0AFC">
        <w:rPr>
          <w:sz w:val="28"/>
          <w:szCs w:val="28"/>
        </w:rPr>
        <w:t>4</w:t>
      </w:r>
    </w:p>
    <w:p w14:paraId="36C72B77" w14:textId="2289CAC1" w:rsidR="00987ECD" w:rsidRPr="00987ECD" w:rsidRDefault="00987ECD" w:rsidP="00987ECD">
      <w:pPr>
        <w:pStyle w:val="ListParagraph"/>
        <w:numPr>
          <w:ilvl w:val="0"/>
          <w:numId w:val="6"/>
        </w:numPr>
        <w:rPr>
          <w:sz w:val="28"/>
          <w:szCs w:val="28"/>
        </w:rPr>
      </w:pPr>
      <w:r>
        <w:rPr>
          <w:sz w:val="28"/>
          <w:szCs w:val="28"/>
        </w:rPr>
        <w:t>Politics</w:t>
      </w:r>
      <w:r w:rsidR="00BC05C0">
        <w:rPr>
          <w:sz w:val="28"/>
          <w:szCs w:val="28"/>
        </w:rPr>
        <w:t xml:space="preserve">                                                                                                            2</w:t>
      </w:r>
      <w:r w:rsidR="00BC0AFC">
        <w:rPr>
          <w:sz w:val="28"/>
          <w:szCs w:val="28"/>
        </w:rPr>
        <w:t>2</w:t>
      </w:r>
    </w:p>
    <w:p w14:paraId="252625D8" w14:textId="39A01C51" w:rsidR="006414CC" w:rsidRDefault="006414CC" w:rsidP="003238D4">
      <w:pPr>
        <w:rPr>
          <w:sz w:val="28"/>
          <w:szCs w:val="28"/>
        </w:rPr>
      </w:pPr>
      <w:r>
        <w:rPr>
          <w:sz w:val="28"/>
          <w:szCs w:val="28"/>
        </w:rPr>
        <w:t xml:space="preserve">Chapter 3 – Modern and Global Presence </w:t>
      </w:r>
      <w:r w:rsidR="004003CF">
        <w:rPr>
          <w:sz w:val="28"/>
          <w:szCs w:val="28"/>
        </w:rPr>
        <w:t xml:space="preserve">                                                               2</w:t>
      </w:r>
      <w:r w:rsidR="00BC0AFC">
        <w:rPr>
          <w:sz w:val="28"/>
          <w:szCs w:val="28"/>
        </w:rPr>
        <w:t>5</w:t>
      </w:r>
    </w:p>
    <w:p w14:paraId="3FCC27BD" w14:textId="7CF04BD7" w:rsidR="00B816E7" w:rsidRDefault="00B816E7" w:rsidP="00B816E7">
      <w:pPr>
        <w:pStyle w:val="ListParagraph"/>
        <w:numPr>
          <w:ilvl w:val="0"/>
          <w:numId w:val="7"/>
        </w:numPr>
        <w:rPr>
          <w:sz w:val="28"/>
          <w:szCs w:val="28"/>
        </w:rPr>
      </w:pPr>
      <w:r>
        <w:rPr>
          <w:sz w:val="28"/>
          <w:szCs w:val="28"/>
        </w:rPr>
        <w:t>Treasures of Tutankhamun Tour (1967 – 1981)</w:t>
      </w:r>
      <w:r w:rsidR="004003CF">
        <w:rPr>
          <w:sz w:val="28"/>
          <w:szCs w:val="28"/>
        </w:rPr>
        <w:t xml:space="preserve">                                     2</w:t>
      </w:r>
      <w:r w:rsidR="00BC0AFC">
        <w:rPr>
          <w:sz w:val="28"/>
          <w:szCs w:val="28"/>
        </w:rPr>
        <w:t>6</w:t>
      </w:r>
    </w:p>
    <w:p w14:paraId="5542B654" w14:textId="277DD0D3" w:rsidR="00B816E7" w:rsidRDefault="00ED2EC3" w:rsidP="00B816E7">
      <w:pPr>
        <w:pStyle w:val="ListParagraph"/>
        <w:numPr>
          <w:ilvl w:val="0"/>
          <w:numId w:val="7"/>
        </w:numPr>
        <w:rPr>
          <w:sz w:val="28"/>
          <w:szCs w:val="28"/>
        </w:rPr>
      </w:pPr>
      <w:r>
        <w:rPr>
          <w:sz w:val="28"/>
          <w:szCs w:val="28"/>
        </w:rPr>
        <w:t>Tutankhamun and Golden Pharaohs Tour (2004 – 2007)</w:t>
      </w:r>
      <w:r w:rsidR="004003CF">
        <w:rPr>
          <w:sz w:val="28"/>
          <w:szCs w:val="28"/>
        </w:rPr>
        <w:t xml:space="preserve">                     2</w:t>
      </w:r>
      <w:r w:rsidR="00BC0AFC">
        <w:rPr>
          <w:sz w:val="28"/>
          <w:szCs w:val="28"/>
        </w:rPr>
        <w:t>8</w:t>
      </w:r>
    </w:p>
    <w:p w14:paraId="792906A9" w14:textId="26B7CF3C" w:rsidR="00ED2EC3" w:rsidRPr="00B816E7" w:rsidRDefault="00A87EF5" w:rsidP="00B816E7">
      <w:pPr>
        <w:pStyle w:val="ListParagraph"/>
        <w:numPr>
          <w:ilvl w:val="0"/>
          <w:numId w:val="7"/>
        </w:numPr>
        <w:rPr>
          <w:sz w:val="28"/>
          <w:szCs w:val="28"/>
        </w:rPr>
      </w:pPr>
      <w:r>
        <w:rPr>
          <w:sz w:val="28"/>
          <w:szCs w:val="28"/>
        </w:rPr>
        <w:t xml:space="preserve">Tutankhamun: Treasures of the Golden Pharaoh (2019 – </w:t>
      </w:r>
      <w:proofErr w:type="gramStart"/>
      <w:r>
        <w:rPr>
          <w:sz w:val="28"/>
          <w:szCs w:val="28"/>
        </w:rPr>
        <w:t xml:space="preserve">Present) </w:t>
      </w:r>
      <w:r w:rsidR="004003CF">
        <w:rPr>
          <w:sz w:val="28"/>
          <w:szCs w:val="28"/>
        </w:rPr>
        <w:t xml:space="preserve">  </w:t>
      </w:r>
      <w:proofErr w:type="gramEnd"/>
      <w:r w:rsidR="004003CF">
        <w:rPr>
          <w:sz w:val="28"/>
          <w:szCs w:val="28"/>
        </w:rPr>
        <w:t>2</w:t>
      </w:r>
      <w:r w:rsidR="00BC0AFC">
        <w:rPr>
          <w:sz w:val="28"/>
          <w:szCs w:val="28"/>
        </w:rPr>
        <w:t>9</w:t>
      </w:r>
    </w:p>
    <w:p w14:paraId="105720E7" w14:textId="37D2E70A" w:rsidR="006414CC" w:rsidRDefault="006414CC" w:rsidP="003238D4">
      <w:pPr>
        <w:rPr>
          <w:sz w:val="28"/>
          <w:szCs w:val="28"/>
        </w:rPr>
      </w:pPr>
      <w:r>
        <w:rPr>
          <w:sz w:val="28"/>
          <w:szCs w:val="28"/>
        </w:rPr>
        <w:t xml:space="preserve">Conclusion </w:t>
      </w:r>
      <w:r w:rsidR="007321D7">
        <w:rPr>
          <w:sz w:val="28"/>
          <w:szCs w:val="28"/>
        </w:rPr>
        <w:t xml:space="preserve">                                                                                                                     3</w:t>
      </w:r>
      <w:r w:rsidR="00BC0AFC">
        <w:rPr>
          <w:sz w:val="28"/>
          <w:szCs w:val="28"/>
        </w:rPr>
        <w:t>1</w:t>
      </w:r>
    </w:p>
    <w:p w14:paraId="21A234A3" w14:textId="70D63CD6" w:rsidR="006414CC" w:rsidRDefault="006414CC" w:rsidP="003238D4">
      <w:pPr>
        <w:rPr>
          <w:sz w:val="28"/>
          <w:szCs w:val="28"/>
        </w:rPr>
      </w:pPr>
      <w:r>
        <w:rPr>
          <w:sz w:val="28"/>
          <w:szCs w:val="28"/>
        </w:rPr>
        <w:t>Appendix</w:t>
      </w:r>
      <w:r w:rsidR="007321D7">
        <w:rPr>
          <w:sz w:val="28"/>
          <w:szCs w:val="28"/>
        </w:rPr>
        <w:t xml:space="preserve">                                                                                                                         3</w:t>
      </w:r>
      <w:r w:rsidR="00BC0AFC">
        <w:rPr>
          <w:sz w:val="28"/>
          <w:szCs w:val="28"/>
        </w:rPr>
        <w:t>3</w:t>
      </w:r>
    </w:p>
    <w:p w14:paraId="643316D4" w14:textId="2F52B8C9" w:rsidR="006414CC" w:rsidRDefault="00956072" w:rsidP="003238D4">
      <w:pPr>
        <w:rPr>
          <w:sz w:val="28"/>
          <w:szCs w:val="28"/>
        </w:rPr>
      </w:pPr>
      <w:r>
        <w:rPr>
          <w:sz w:val="28"/>
          <w:szCs w:val="28"/>
        </w:rPr>
        <w:t xml:space="preserve">References </w:t>
      </w:r>
      <w:r w:rsidR="007321D7">
        <w:rPr>
          <w:sz w:val="28"/>
          <w:szCs w:val="28"/>
        </w:rPr>
        <w:t xml:space="preserve">                                                                                                                     3</w:t>
      </w:r>
      <w:r w:rsidR="00BC0AFC">
        <w:rPr>
          <w:sz w:val="28"/>
          <w:szCs w:val="28"/>
        </w:rPr>
        <w:t>8</w:t>
      </w:r>
    </w:p>
    <w:p w14:paraId="316B6D5A" w14:textId="6B5B324F" w:rsidR="00956072" w:rsidRDefault="00956072" w:rsidP="003238D4">
      <w:pPr>
        <w:rPr>
          <w:sz w:val="28"/>
          <w:szCs w:val="28"/>
        </w:rPr>
      </w:pPr>
      <w:r>
        <w:rPr>
          <w:sz w:val="28"/>
          <w:szCs w:val="28"/>
        </w:rPr>
        <w:t xml:space="preserve">Bibliography </w:t>
      </w:r>
      <w:r w:rsidR="007321D7">
        <w:rPr>
          <w:sz w:val="28"/>
          <w:szCs w:val="28"/>
        </w:rPr>
        <w:t xml:space="preserve">                                                                                                                  </w:t>
      </w:r>
      <w:r w:rsidR="00BC0AFC">
        <w:rPr>
          <w:sz w:val="28"/>
          <w:szCs w:val="28"/>
        </w:rPr>
        <w:t>43</w:t>
      </w:r>
    </w:p>
    <w:p w14:paraId="7B0C365A" w14:textId="77777777" w:rsidR="00956072" w:rsidRPr="003238D4" w:rsidRDefault="00956072" w:rsidP="003238D4">
      <w:pPr>
        <w:rPr>
          <w:sz w:val="28"/>
          <w:szCs w:val="28"/>
        </w:rPr>
      </w:pPr>
    </w:p>
    <w:p w14:paraId="4AC24828" w14:textId="77777777" w:rsidR="00FF6C10" w:rsidRDefault="00FF6C10">
      <w:pPr>
        <w:rPr>
          <w:b/>
          <w:bCs/>
          <w:sz w:val="28"/>
          <w:szCs w:val="28"/>
          <w:u w:val="single"/>
        </w:rPr>
      </w:pPr>
      <w:r>
        <w:rPr>
          <w:b/>
          <w:bCs/>
          <w:sz w:val="28"/>
          <w:szCs w:val="28"/>
          <w:u w:val="single"/>
        </w:rPr>
        <w:br w:type="page"/>
      </w:r>
    </w:p>
    <w:p w14:paraId="0C52A0F3" w14:textId="77777777" w:rsidR="004C7F12" w:rsidRDefault="004C7F12" w:rsidP="00105905">
      <w:pPr>
        <w:jc w:val="center"/>
        <w:rPr>
          <w:b/>
          <w:bCs/>
          <w:sz w:val="28"/>
          <w:szCs w:val="28"/>
          <w:u w:val="single"/>
        </w:rPr>
      </w:pPr>
      <w:r>
        <w:rPr>
          <w:b/>
          <w:bCs/>
          <w:sz w:val="28"/>
          <w:szCs w:val="28"/>
          <w:u w:val="single"/>
        </w:rPr>
        <w:lastRenderedPageBreak/>
        <w:t xml:space="preserve">Abstract </w:t>
      </w:r>
    </w:p>
    <w:p w14:paraId="5448FB88" w14:textId="77777777" w:rsidR="004C7F12" w:rsidRDefault="004C7F12" w:rsidP="00105905">
      <w:pPr>
        <w:jc w:val="center"/>
        <w:rPr>
          <w:b/>
          <w:bCs/>
          <w:sz w:val="28"/>
          <w:szCs w:val="28"/>
          <w:u w:val="single"/>
        </w:rPr>
      </w:pPr>
    </w:p>
    <w:p w14:paraId="3C387A03" w14:textId="77777777" w:rsidR="004C7F12" w:rsidRDefault="004C7F12" w:rsidP="00105905">
      <w:pPr>
        <w:jc w:val="center"/>
        <w:rPr>
          <w:b/>
          <w:bCs/>
          <w:sz w:val="28"/>
          <w:szCs w:val="28"/>
          <w:u w:val="single"/>
        </w:rPr>
      </w:pPr>
    </w:p>
    <w:p w14:paraId="66AE998A" w14:textId="77777777" w:rsidR="004C7F12" w:rsidRDefault="004C7F12" w:rsidP="00105905">
      <w:pPr>
        <w:jc w:val="center"/>
        <w:rPr>
          <w:b/>
          <w:bCs/>
          <w:sz w:val="28"/>
          <w:szCs w:val="28"/>
          <w:u w:val="single"/>
        </w:rPr>
      </w:pPr>
    </w:p>
    <w:p w14:paraId="1FF0918D" w14:textId="77777777" w:rsidR="004C7F12" w:rsidRDefault="004C7F12" w:rsidP="00105905">
      <w:pPr>
        <w:jc w:val="center"/>
        <w:rPr>
          <w:b/>
          <w:bCs/>
          <w:sz w:val="28"/>
          <w:szCs w:val="28"/>
          <w:u w:val="single"/>
        </w:rPr>
      </w:pPr>
    </w:p>
    <w:p w14:paraId="5B459146" w14:textId="77777777" w:rsidR="004C7F12" w:rsidRDefault="004C7F12" w:rsidP="00105905">
      <w:pPr>
        <w:jc w:val="center"/>
        <w:rPr>
          <w:b/>
          <w:bCs/>
          <w:sz w:val="28"/>
          <w:szCs w:val="28"/>
          <w:u w:val="single"/>
        </w:rPr>
      </w:pPr>
    </w:p>
    <w:p w14:paraId="202745B8" w14:textId="77777777" w:rsidR="004C7F12" w:rsidRDefault="004C7F12" w:rsidP="00105905">
      <w:pPr>
        <w:jc w:val="center"/>
        <w:rPr>
          <w:b/>
          <w:bCs/>
          <w:sz w:val="28"/>
          <w:szCs w:val="28"/>
          <w:u w:val="single"/>
        </w:rPr>
      </w:pPr>
    </w:p>
    <w:p w14:paraId="2FE0FD0B" w14:textId="77777777" w:rsidR="004C7F12" w:rsidRDefault="004C7F12" w:rsidP="00105905">
      <w:pPr>
        <w:jc w:val="center"/>
        <w:rPr>
          <w:b/>
          <w:bCs/>
          <w:sz w:val="28"/>
          <w:szCs w:val="28"/>
          <w:u w:val="single"/>
        </w:rPr>
      </w:pPr>
    </w:p>
    <w:p w14:paraId="07AA1A3C" w14:textId="77777777" w:rsidR="004C7F12" w:rsidRDefault="004C7F12" w:rsidP="00105905">
      <w:pPr>
        <w:jc w:val="center"/>
        <w:rPr>
          <w:b/>
          <w:bCs/>
          <w:sz w:val="28"/>
          <w:szCs w:val="28"/>
          <w:u w:val="single"/>
        </w:rPr>
      </w:pPr>
    </w:p>
    <w:p w14:paraId="29470E61" w14:textId="77777777" w:rsidR="004C7F12" w:rsidRDefault="004C7F12" w:rsidP="00105905">
      <w:pPr>
        <w:jc w:val="center"/>
        <w:rPr>
          <w:b/>
          <w:bCs/>
          <w:sz w:val="28"/>
          <w:szCs w:val="28"/>
          <w:u w:val="single"/>
        </w:rPr>
      </w:pPr>
    </w:p>
    <w:p w14:paraId="540B8EFD" w14:textId="77777777" w:rsidR="004C7F12" w:rsidRDefault="004C7F12" w:rsidP="00105905">
      <w:pPr>
        <w:jc w:val="center"/>
        <w:rPr>
          <w:b/>
          <w:bCs/>
          <w:sz w:val="28"/>
          <w:szCs w:val="28"/>
          <w:u w:val="single"/>
        </w:rPr>
      </w:pPr>
    </w:p>
    <w:p w14:paraId="7F604ACB" w14:textId="77777777" w:rsidR="004C7F12" w:rsidRDefault="004C7F12" w:rsidP="00105905">
      <w:pPr>
        <w:jc w:val="center"/>
        <w:rPr>
          <w:b/>
          <w:bCs/>
          <w:sz w:val="28"/>
          <w:szCs w:val="28"/>
          <w:u w:val="single"/>
        </w:rPr>
      </w:pPr>
    </w:p>
    <w:p w14:paraId="3B6B7125" w14:textId="77777777" w:rsidR="004C7F12" w:rsidRDefault="004C7F12" w:rsidP="00105905">
      <w:pPr>
        <w:jc w:val="center"/>
        <w:rPr>
          <w:b/>
          <w:bCs/>
          <w:sz w:val="28"/>
          <w:szCs w:val="28"/>
          <w:u w:val="single"/>
        </w:rPr>
      </w:pPr>
    </w:p>
    <w:p w14:paraId="743F6951" w14:textId="77777777" w:rsidR="004C7F12" w:rsidRDefault="004C7F12" w:rsidP="00105905">
      <w:pPr>
        <w:jc w:val="center"/>
        <w:rPr>
          <w:b/>
          <w:bCs/>
          <w:sz w:val="28"/>
          <w:szCs w:val="28"/>
          <w:u w:val="single"/>
        </w:rPr>
      </w:pPr>
    </w:p>
    <w:p w14:paraId="1B2341AF" w14:textId="77777777" w:rsidR="004C7F12" w:rsidRDefault="004C7F12" w:rsidP="00105905">
      <w:pPr>
        <w:jc w:val="center"/>
        <w:rPr>
          <w:b/>
          <w:bCs/>
          <w:sz w:val="28"/>
          <w:szCs w:val="28"/>
          <w:u w:val="single"/>
        </w:rPr>
      </w:pPr>
    </w:p>
    <w:p w14:paraId="16C666F9" w14:textId="77777777" w:rsidR="004C7F12" w:rsidRDefault="004C7F12" w:rsidP="00105905">
      <w:pPr>
        <w:jc w:val="center"/>
        <w:rPr>
          <w:b/>
          <w:bCs/>
          <w:sz w:val="28"/>
          <w:szCs w:val="28"/>
          <w:u w:val="single"/>
        </w:rPr>
      </w:pPr>
    </w:p>
    <w:p w14:paraId="5D383720" w14:textId="77777777" w:rsidR="004C7F12" w:rsidRDefault="004C7F12" w:rsidP="00105905">
      <w:pPr>
        <w:jc w:val="center"/>
        <w:rPr>
          <w:b/>
          <w:bCs/>
          <w:sz w:val="28"/>
          <w:szCs w:val="28"/>
          <w:u w:val="single"/>
        </w:rPr>
      </w:pPr>
    </w:p>
    <w:p w14:paraId="4BA3D14E" w14:textId="77777777" w:rsidR="004C7F12" w:rsidRDefault="004C7F12" w:rsidP="00105905">
      <w:pPr>
        <w:jc w:val="center"/>
        <w:rPr>
          <w:b/>
          <w:bCs/>
          <w:sz w:val="28"/>
          <w:szCs w:val="28"/>
          <w:u w:val="single"/>
        </w:rPr>
      </w:pPr>
    </w:p>
    <w:p w14:paraId="5BADA7C9" w14:textId="77777777" w:rsidR="004C7F12" w:rsidRDefault="004C7F12" w:rsidP="00105905">
      <w:pPr>
        <w:jc w:val="center"/>
        <w:rPr>
          <w:b/>
          <w:bCs/>
          <w:sz w:val="28"/>
          <w:szCs w:val="28"/>
          <w:u w:val="single"/>
        </w:rPr>
      </w:pPr>
    </w:p>
    <w:p w14:paraId="24FA8C8D" w14:textId="77777777" w:rsidR="004C7F12" w:rsidRDefault="004C7F12" w:rsidP="00105905">
      <w:pPr>
        <w:jc w:val="center"/>
        <w:rPr>
          <w:b/>
          <w:bCs/>
          <w:sz w:val="28"/>
          <w:szCs w:val="28"/>
          <w:u w:val="single"/>
        </w:rPr>
      </w:pPr>
    </w:p>
    <w:p w14:paraId="73EEDE53" w14:textId="77777777" w:rsidR="004C7F12" w:rsidRDefault="004C7F12" w:rsidP="00105905">
      <w:pPr>
        <w:jc w:val="center"/>
        <w:rPr>
          <w:b/>
          <w:bCs/>
          <w:sz w:val="28"/>
          <w:szCs w:val="28"/>
          <w:u w:val="single"/>
        </w:rPr>
      </w:pPr>
    </w:p>
    <w:p w14:paraId="38FDBA53" w14:textId="77777777" w:rsidR="004C7F12" w:rsidRDefault="004C7F12" w:rsidP="00105905">
      <w:pPr>
        <w:jc w:val="center"/>
        <w:rPr>
          <w:b/>
          <w:bCs/>
          <w:sz w:val="28"/>
          <w:szCs w:val="28"/>
          <w:u w:val="single"/>
        </w:rPr>
      </w:pPr>
    </w:p>
    <w:p w14:paraId="0C6B0952" w14:textId="77777777" w:rsidR="004C7F12" w:rsidRDefault="004C7F12" w:rsidP="00105905">
      <w:pPr>
        <w:jc w:val="center"/>
        <w:rPr>
          <w:b/>
          <w:bCs/>
          <w:sz w:val="28"/>
          <w:szCs w:val="28"/>
          <w:u w:val="single"/>
        </w:rPr>
      </w:pPr>
    </w:p>
    <w:p w14:paraId="23685366" w14:textId="77777777" w:rsidR="004C7F12" w:rsidRDefault="004C7F12" w:rsidP="00105905">
      <w:pPr>
        <w:jc w:val="center"/>
        <w:rPr>
          <w:b/>
          <w:bCs/>
          <w:sz w:val="28"/>
          <w:szCs w:val="28"/>
          <w:u w:val="single"/>
        </w:rPr>
      </w:pPr>
    </w:p>
    <w:p w14:paraId="5B84EE56" w14:textId="77777777" w:rsidR="004C7F12" w:rsidRDefault="004C7F12" w:rsidP="00105905">
      <w:pPr>
        <w:jc w:val="center"/>
        <w:rPr>
          <w:b/>
          <w:bCs/>
          <w:sz w:val="28"/>
          <w:szCs w:val="28"/>
          <w:u w:val="single"/>
        </w:rPr>
      </w:pPr>
    </w:p>
    <w:p w14:paraId="2C5B7889" w14:textId="58B25431" w:rsidR="00327351" w:rsidRPr="00327351" w:rsidRDefault="00327351" w:rsidP="00327351">
      <w:pPr>
        <w:tabs>
          <w:tab w:val="left" w:pos="5580"/>
        </w:tabs>
        <w:rPr>
          <w:sz w:val="28"/>
          <w:szCs w:val="28"/>
        </w:rPr>
        <w:sectPr w:rsidR="00327351" w:rsidRPr="00327351" w:rsidSect="001B473A">
          <w:headerReference w:type="default" r:id="rId13"/>
          <w:headerReference w:type="first" r:id="rId14"/>
          <w:footerReference w:type="first" r:id="rId15"/>
          <w:pgSz w:w="11906" w:h="16838"/>
          <w:pgMar w:top="1440" w:right="1440" w:bottom="1440" w:left="1440" w:header="708" w:footer="708" w:gutter="0"/>
          <w:pgNumType w:fmt="lowerRoman" w:start="1"/>
          <w:cols w:space="708"/>
          <w:titlePg/>
          <w:docGrid w:linePitch="360"/>
        </w:sectPr>
      </w:pPr>
      <w:r>
        <w:rPr>
          <w:sz w:val="28"/>
          <w:szCs w:val="28"/>
        </w:rPr>
        <w:tab/>
      </w:r>
    </w:p>
    <w:p w14:paraId="62ACEA1E" w14:textId="34EE12FE" w:rsidR="00105905" w:rsidRPr="00105905" w:rsidRDefault="00105905" w:rsidP="00105905">
      <w:pPr>
        <w:jc w:val="center"/>
        <w:rPr>
          <w:b/>
          <w:bCs/>
          <w:sz w:val="28"/>
          <w:szCs w:val="28"/>
          <w:u w:val="single"/>
        </w:rPr>
      </w:pPr>
      <w:r w:rsidRPr="00105905">
        <w:rPr>
          <w:b/>
          <w:bCs/>
          <w:sz w:val="28"/>
          <w:szCs w:val="28"/>
          <w:u w:val="single"/>
        </w:rPr>
        <w:lastRenderedPageBreak/>
        <w:t>Introduction</w:t>
      </w:r>
    </w:p>
    <w:p w14:paraId="2EA4C8E9" w14:textId="0E860E9C" w:rsidR="00105905" w:rsidRDefault="00105905" w:rsidP="00105905">
      <w:pPr>
        <w:spacing w:line="360" w:lineRule="auto"/>
      </w:pPr>
      <w:r>
        <w:t xml:space="preserve">This dissertation is </w:t>
      </w:r>
      <w:r w:rsidR="00297F0C">
        <w:t>looking at</w:t>
      </w:r>
      <w:r>
        <w:t xml:space="preserve"> political exploitation of Egyptian Pharaoh Tutankhamun and how</w:t>
      </w:r>
      <w:r w:rsidR="00686065">
        <w:t xml:space="preserve"> this historical figure’s mummy</w:t>
      </w:r>
      <w:r>
        <w:t xml:space="preserve"> has been turned into a commodity. This is worth looking at because while Tutankhamun is an Egyptian and represents much of Egypt’s ancient royal past</w:t>
      </w:r>
      <w:r w:rsidR="0020758E">
        <w:t>, he is frequently represented in a westernised manner. T</w:t>
      </w:r>
      <w:r>
        <w:t>he discovery of Tutankhamun’s tomb led to political conflict between Egypt and Britain</w:t>
      </w:r>
      <w:r w:rsidR="002B6BFB">
        <w:rPr>
          <w:rStyle w:val="FootnoteReference"/>
        </w:rPr>
        <w:footnoteReference w:id="1"/>
      </w:r>
      <w:r>
        <w:t xml:space="preserve">. The worldwide exhibitions of Tutankhamun and his tomb artefacts are presented in a </w:t>
      </w:r>
      <w:proofErr w:type="gramStart"/>
      <w:r>
        <w:t>particular way</w:t>
      </w:r>
      <w:proofErr w:type="gramEnd"/>
      <w:r>
        <w:t xml:space="preserve"> to attract all members of the public. The research</w:t>
      </w:r>
      <w:r w:rsidR="001D3B7E">
        <w:t xml:space="preserve"> in this dissertation</w:t>
      </w:r>
      <w:r>
        <w:t xml:space="preserve"> will mainly consist of secondary and primary sources. </w:t>
      </w:r>
    </w:p>
    <w:p w14:paraId="4077A0A8" w14:textId="33DBCBE9" w:rsidR="00105905" w:rsidRPr="00BC0FDC" w:rsidRDefault="00105905" w:rsidP="00105905">
      <w:pPr>
        <w:spacing w:line="360" w:lineRule="auto"/>
        <w:rPr>
          <w:b/>
          <w:bCs/>
          <w:sz w:val="28"/>
          <w:szCs w:val="28"/>
          <w:u w:val="single"/>
        </w:rPr>
      </w:pPr>
      <w:r>
        <w:t xml:space="preserve">The type of methodology chosen to achieve the aims stated above is mainly based on secondary sources such as journals, books and </w:t>
      </w:r>
      <w:r w:rsidRPr="008538B8">
        <w:t>websites</w:t>
      </w:r>
      <w:r w:rsidR="005F2E82">
        <w:t>. Examples to be singled out here are</w:t>
      </w:r>
      <w:r w:rsidRPr="008538B8">
        <w:t xml:space="preserve"> the book by R.H. </w:t>
      </w:r>
      <w:proofErr w:type="spellStart"/>
      <w:r w:rsidRPr="008538B8">
        <w:t>Fritze</w:t>
      </w:r>
      <w:proofErr w:type="spellEnd"/>
      <w:r w:rsidRPr="008538B8">
        <w:t xml:space="preserve"> ‘</w:t>
      </w:r>
      <w:r w:rsidRPr="008538B8">
        <w:rPr>
          <w:i/>
          <w:iCs/>
        </w:rPr>
        <w:t>Egyptomania: a history of fascination, obsession and fantasy’</w:t>
      </w:r>
      <w:r w:rsidRPr="008538B8">
        <w:t xml:space="preserve"> and</w:t>
      </w:r>
      <w:r w:rsidRPr="008538B8">
        <w:rPr>
          <w:i/>
          <w:iCs/>
        </w:rPr>
        <w:t xml:space="preserve"> </w:t>
      </w:r>
      <w:r w:rsidRPr="00D55BC9">
        <w:t xml:space="preserve">The </w:t>
      </w:r>
      <w:r w:rsidRPr="008538B8">
        <w:t>Saatchi Gallery website ‘</w:t>
      </w:r>
      <w:r w:rsidRPr="008538B8">
        <w:rPr>
          <w:i/>
          <w:iCs/>
        </w:rPr>
        <w:t>Tutankhamun Treasures of the Golden Pharaoh’.</w:t>
      </w:r>
      <w:r w:rsidRPr="008538B8">
        <w:t xml:space="preserve"> This</w:t>
      </w:r>
      <w:r w:rsidR="00A75266">
        <w:t xml:space="preserve"> chosen</w:t>
      </w:r>
      <w:r w:rsidRPr="008538B8">
        <w:t xml:space="preserve"> method </w:t>
      </w:r>
      <w:r>
        <w:t>provide</w:t>
      </w:r>
      <w:r w:rsidR="005A050C">
        <w:t>s</w:t>
      </w:r>
      <w:r>
        <w:t xml:space="preserve"> a wide range of </w:t>
      </w:r>
      <w:r w:rsidR="005A050C">
        <w:t xml:space="preserve">ideas, facts and </w:t>
      </w:r>
      <w:r w:rsidR="00A40582">
        <w:t>arguments</w:t>
      </w:r>
      <w:r>
        <w:t xml:space="preserve"> by different scholars</w:t>
      </w:r>
      <w:r w:rsidR="005A050C">
        <w:t>,</w:t>
      </w:r>
      <w:r>
        <w:t xml:space="preserve"> including people who have studied Egypt to classical figures who ventured to Egypt. Having a wide range of sources meant it was easier to find out what information was likely to be correct and to correlate with dates or to fill in any gaps within my search. Howard Carter</w:t>
      </w:r>
      <w:r w:rsidR="00A40582">
        <w:t>’</w:t>
      </w:r>
      <w:r>
        <w:t>s diary entries on the discovery of Tutankhamun were also used</w:t>
      </w:r>
      <w:r w:rsidR="00616ED4">
        <w:t xml:space="preserve"> as a primary </w:t>
      </w:r>
      <w:r w:rsidR="00F673DE">
        <w:t>source because</w:t>
      </w:r>
      <w:r>
        <w:t xml:space="preserve"> only Carter himself can tell about the impressions and experience of the discovery of the tomb. The first-hand experience of </w:t>
      </w:r>
      <w:r w:rsidR="00F673DE">
        <w:t xml:space="preserve">the author of this dissertation of </w:t>
      </w:r>
      <w:r>
        <w:t xml:space="preserve">attending the </w:t>
      </w:r>
      <w:r w:rsidRPr="005620E4">
        <w:rPr>
          <w:i/>
          <w:iCs/>
        </w:rPr>
        <w:t>Tutankhamun: The Golden Pharaoh</w:t>
      </w:r>
      <w:r>
        <w:t xml:space="preserve"> exhibition tour in 2019 </w:t>
      </w:r>
      <w:r w:rsidR="00A2549D">
        <w:t>will be part of the discussion</w:t>
      </w:r>
      <w:r>
        <w:t xml:space="preserve">. </w:t>
      </w:r>
    </w:p>
    <w:p w14:paraId="485B2CB7" w14:textId="7C0438D6" w:rsidR="00105905" w:rsidRDefault="001668C1" w:rsidP="00105905">
      <w:pPr>
        <w:spacing w:line="360" w:lineRule="auto"/>
      </w:pPr>
      <w:r>
        <w:t xml:space="preserve">For the purpose of this dissertation, the author focussed on accessible sources in English language. </w:t>
      </w:r>
      <w:r w:rsidR="00105905">
        <w:t xml:space="preserve"> Fortunately, there has been a wide range of literature on the subject that has been published from the date of the discovery of Tutankhamun in 1922 up to the present day. To help narrow down the search for sources key words and phrases were used such as ‘Egyptomania’ and ‘antiquities’ because they were to be used throughout this dissertation. Once a source was found that fitted the above criteria, the date of publication and the credentials of the author were checked. The contents page, the indices and chapter headings were explored using key words and phrases to decide if this source contained information that would be relevant to the research (see </w:t>
      </w:r>
      <w:r w:rsidR="00441FA5">
        <w:t>a</w:t>
      </w:r>
      <w:r w:rsidR="00105905">
        <w:t xml:space="preserve">ppendix A). This inclusive and exclusive approach produced a large range of sources (approximately </w:t>
      </w:r>
      <w:r w:rsidR="00367AA8">
        <w:t>85</w:t>
      </w:r>
      <w:r w:rsidR="00105905">
        <w:t xml:space="preserve">) which although time consuming to analyse improved accuracy, reliability and objectivity of the information. </w:t>
      </w:r>
    </w:p>
    <w:p w14:paraId="58AC3AA9" w14:textId="12A9236F" w:rsidR="004A00C1" w:rsidRDefault="00105905" w:rsidP="004A00C1">
      <w:pPr>
        <w:spacing w:line="360" w:lineRule="auto"/>
      </w:pPr>
      <w:r>
        <w:lastRenderedPageBreak/>
        <w:t>Themes that emerged are the discovery of Tutankhamun’s tomb, political ramifications and global presentation of Tutankhamun were identified and charted in order to cross reference</w:t>
      </w:r>
      <w:commentRangeStart w:id="0"/>
      <w:commentRangeStart w:id="1"/>
      <w:commentRangeStart w:id="2"/>
      <w:r>
        <w:t xml:space="preserve">, </w:t>
      </w:r>
      <w:proofErr w:type="gramStart"/>
      <w:r>
        <w:t>compare and contrast</w:t>
      </w:r>
      <w:proofErr w:type="gramEnd"/>
      <w:r>
        <w:t xml:space="preserve"> the material and findings along with </w:t>
      </w:r>
      <w:proofErr w:type="spellStart"/>
      <w:r>
        <w:t>pharaonism</w:t>
      </w:r>
      <w:proofErr w:type="spellEnd"/>
      <w:r>
        <w:t xml:space="preserve"> theor</w:t>
      </w:r>
      <w:commentRangeEnd w:id="0"/>
      <w:r w:rsidR="001430D9">
        <w:rPr>
          <w:rStyle w:val="CommentReference"/>
        </w:rPr>
        <w:commentReference w:id="0"/>
      </w:r>
      <w:commentRangeEnd w:id="1"/>
      <w:r w:rsidR="00931DC2">
        <w:rPr>
          <w:rStyle w:val="CommentReference"/>
        </w:rPr>
        <w:commentReference w:id="1"/>
      </w:r>
      <w:commentRangeEnd w:id="2"/>
      <w:r w:rsidR="00931DC2">
        <w:rPr>
          <w:rStyle w:val="CommentReference"/>
        </w:rPr>
        <w:commentReference w:id="2"/>
      </w:r>
      <w:r>
        <w:t>y</w:t>
      </w:r>
      <w:r w:rsidRPr="00695560">
        <w:t xml:space="preserve">. </w:t>
      </w:r>
    </w:p>
    <w:p w14:paraId="1A72F295" w14:textId="0C228986" w:rsidR="00105905" w:rsidRDefault="00105905" w:rsidP="00105905">
      <w:pPr>
        <w:spacing w:line="360" w:lineRule="auto"/>
      </w:pPr>
    </w:p>
    <w:p w14:paraId="2402854A" w14:textId="0FC036C9" w:rsidR="0034506B" w:rsidRDefault="0034506B" w:rsidP="00105905">
      <w:pPr>
        <w:spacing w:line="360" w:lineRule="auto"/>
      </w:pPr>
    </w:p>
    <w:p w14:paraId="5C027AC2" w14:textId="662C5817" w:rsidR="0034506B" w:rsidRDefault="0034506B" w:rsidP="00105905">
      <w:pPr>
        <w:spacing w:line="360" w:lineRule="auto"/>
      </w:pPr>
    </w:p>
    <w:p w14:paraId="4E3C4E9C" w14:textId="7AA091DB" w:rsidR="0034506B" w:rsidRDefault="0034506B" w:rsidP="00105905">
      <w:pPr>
        <w:spacing w:line="360" w:lineRule="auto"/>
      </w:pPr>
    </w:p>
    <w:p w14:paraId="7D0880EE" w14:textId="4A472CC3" w:rsidR="0034506B" w:rsidRDefault="0034506B" w:rsidP="00105905">
      <w:pPr>
        <w:spacing w:line="360" w:lineRule="auto"/>
      </w:pPr>
    </w:p>
    <w:p w14:paraId="278D09E3" w14:textId="68C10328" w:rsidR="0034506B" w:rsidRDefault="0034506B" w:rsidP="00105905">
      <w:pPr>
        <w:spacing w:line="360" w:lineRule="auto"/>
      </w:pPr>
    </w:p>
    <w:p w14:paraId="4FA3107D" w14:textId="3DBC6806" w:rsidR="0034506B" w:rsidRDefault="0034506B" w:rsidP="00105905">
      <w:pPr>
        <w:spacing w:line="360" w:lineRule="auto"/>
      </w:pPr>
    </w:p>
    <w:p w14:paraId="7FEF7522" w14:textId="206D9A15" w:rsidR="0034506B" w:rsidRDefault="0034506B" w:rsidP="00105905">
      <w:pPr>
        <w:spacing w:line="360" w:lineRule="auto"/>
      </w:pPr>
    </w:p>
    <w:p w14:paraId="27BCCD81" w14:textId="11249858" w:rsidR="0034506B" w:rsidRDefault="0034506B" w:rsidP="00105905">
      <w:pPr>
        <w:spacing w:line="360" w:lineRule="auto"/>
      </w:pPr>
    </w:p>
    <w:p w14:paraId="43F53093" w14:textId="3055519E" w:rsidR="0034506B" w:rsidRDefault="0034506B" w:rsidP="00105905">
      <w:pPr>
        <w:spacing w:line="360" w:lineRule="auto"/>
      </w:pPr>
    </w:p>
    <w:p w14:paraId="5428E88C" w14:textId="406E2E02" w:rsidR="0034506B" w:rsidRDefault="0034506B" w:rsidP="00105905">
      <w:pPr>
        <w:spacing w:line="360" w:lineRule="auto"/>
      </w:pPr>
    </w:p>
    <w:p w14:paraId="5DE7D2D3" w14:textId="218FC92A" w:rsidR="0034506B" w:rsidRDefault="0034506B" w:rsidP="00105905">
      <w:pPr>
        <w:spacing w:line="360" w:lineRule="auto"/>
      </w:pPr>
    </w:p>
    <w:p w14:paraId="242501F0" w14:textId="3AC81813" w:rsidR="0034506B" w:rsidRDefault="0034506B" w:rsidP="00105905">
      <w:pPr>
        <w:spacing w:line="360" w:lineRule="auto"/>
      </w:pPr>
    </w:p>
    <w:p w14:paraId="29505A1C" w14:textId="0A9DA969" w:rsidR="0034506B" w:rsidRDefault="0034506B" w:rsidP="00105905">
      <w:pPr>
        <w:spacing w:line="360" w:lineRule="auto"/>
      </w:pPr>
    </w:p>
    <w:p w14:paraId="5D78CE53" w14:textId="7E90344B" w:rsidR="0034506B" w:rsidRDefault="0034506B" w:rsidP="00105905">
      <w:pPr>
        <w:spacing w:line="360" w:lineRule="auto"/>
      </w:pPr>
    </w:p>
    <w:p w14:paraId="7D3321E5" w14:textId="2DA849C0" w:rsidR="0034506B" w:rsidRDefault="0034506B" w:rsidP="00105905">
      <w:pPr>
        <w:spacing w:line="360" w:lineRule="auto"/>
      </w:pPr>
    </w:p>
    <w:p w14:paraId="2C221275" w14:textId="322AE5D3" w:rsidR="0034506B" w:rsidRDefault="0034506B" w:rsidP="00105905">
      <w:pPr>
        <w:spacing w:line="360" w:lineRule="auto"/>
      </w:pPr>
    </w:p>
    <w:p w14:paraId="32BFA8E5" w14:textId="7DBF197A" w:rsidR="0034506B" w:rsidRDefault="0034506B" w:rsidP="00105905">
      <w:pPr>
        <w:spacing w:line="360" w:lineRule="auto"/>
      </w:pPr>
    </w:p>
    <w:p w14:paraId="274157AE" w14:textId="10CD7984" w:rsidR="0034506B" w:rsidRDefault="0034506B" w:rsidP="00105905">
      <w:pPr>
        <w:spacing w:line="360" w:lineRule="auto"/>
      </w:pPr>
    </w:p>
    <w:p w14:paraId="35BB857C" w14:textId="75FCB94A" w:rsidR="0034506B" w:rsidRDefault="0034506B" w:rsidP="00105905">
      <w:pPr>
        <w:spacing w:line="360" w:lineRule="auto"/>
      </w:pPr>
    </w:p>
    <w:p w14:paraId="7B5D4484" w14:textId="441A66E0" w:rsidR="0034506B" w:rsidRDefault="0034506B" w:rsidP="00105905">
      <w:pPr>
        <w:spacing w:line="360" w:lineRule="auto"/>
      </w:pPr>
    </w:p>
    <w:p w14:paraId="564658AF" w14:textId="77777777" w:rsidR="0034506B" w:rsidRDefault="0034506B" w:rsidP="00105905">
      <w:pPr>
        <w:spacing w:line="360" w:lineRule="auto"/>
      </w:pPr>
    </w:p>
    <w:p w14:paraId="6D4C4C04" w14:textId="691BD4A9" w:rsidR="00105905" w:rsidRPr="00105905" w:rsidRDefault="00105905" w:rsidP="00105905">
      <w:pPr>
        <w:spacing w:line="360" w:lineRule="auto"/>
        <w:jc w:val="center"/>
      </w:pPr>
      <w:r w:rsidRPr="00105905">
        <w:rPr>
          <w:b/>
          <w:bCs/>
          <w:sz w:val="28"/>
          <w:szCs w:val="28"/>
          <w:u w:val="single"/>
        </w:rPr>
        <w:lastRenderedPageBreak/>
        <w:t>Chapter 1 – Context</w:t>
      </w:r>
    </w:p>
    <w:p w14:paraId="4559518E" w14:textId="18ED05F5" w:rsidR="00105905" w:rsidRPr="00105905" w:rsidRDefault="007448D2" w:rsidP="00105905">
      <w:pPr>
        <w:pStyle w:val="ListParagraph"/>
        <w:numPr>
          <w:ilvl w:val="0"/>
          <w:numId w:val="2"/>
        </w:numPr>
        <w:rPr>
          <w:b/>
          <w:bCs/>
          <w:sz w:val="24"/>
          <w:szCs w:val="24"/>
        </w:rPr>
      </w:pPr>
      <w:r w:rsidRPr="00105905">
        <w:rPr>
          <w:b/>
          <w:bCs/>
          <w:sz w:val="24"/>
          <w:szCs w:val="24"/>
        </w:rPr>
        <w:t>Westerners</w:t>
      </w:r>
    </w:p>
    <w:p w14:paraId="5EE529E1" w14:textId="1884814B" w:rsidR="009D2E03" w:rsidRDefault="00105905" w:rsidP="009D2E03">
      <w:pPr>
        <w:spacing w:line="360" w:lineRule="auto"/>
      </w:pPr>
      <w:r w:rsidRPr="00BB7CA4">
        <w:t xml:space="preserve">This chapter </w:t>
      </w:r>
      <w:r>
        <w:t>considers</w:t>
      </w:r>
      <w:r w:rsidRPr="00BB7CA4">
        <w:t xml:space="preserve"> what Westerners were doing in Egypt, looking at the classical world such as Rome and Greece and modern Europe (France, Britain, Germany and Italy). The word Westerner means ‘a native or inhabitant of the West, especially of Western Europe or North America’</w:t>
      </w:r>
      <w:r w:rsidRPr="00BB7CA4">
        <w:rPr>
          <w:rStyle w:val="FootnoteReference"/>
        </w:rPr>
        <w:footnoteReference w:id="2"/>
      </w:r>
      <w:r w:rsidRPr="00BB7CA4">
        <w:t xml:space="preserve">. </w:t>
      </w:r>
      <w:r>
        <w:t>T</w:t>
      </w:r>
      <w:r w:rsidRPr="00BB7CA4">
        <w:t xml:space="preserve">he classical world and modern Europe are located </w:t>
      </w:r>
      <w:r w:rsidR="000144B4">
        <w:t xml:space="preserve">to the </w:t>
      </w:r>
      <w:r w:rsidRPr="00BB7CA4">
        <w:t>West of Egypt</w:t>
      </w:r>
      <w:r>
        <w:t xml:space="preserve"> (map </w:t>
      </w:r>
      <w:r w:rsidR="00EF5BB9">
        <w:t>1</w:t>
      </w:r>
      <w:r w:rsidRPr="004018A4">
        <w:rPr>
          <w:highlight w:val="cyan"/>
        </w:rPr>
        <w:t>). This chapter</w:t>
      </w:r>
      <w:r w:rsidR="00D1653E" w:rsidRPr="004018A4">
        <w:rPr>
          <w:highlight w:val="cyan"/>
        </w:rPr>
        <w:t xml:space="preserve"> is looking at</w:t>
      </w:r>
      <w:r w:rsidRPr="004018A4">
        <w:rPr>
          <w:highlight w:val="cyan"/>
        </w:rPr>
        <w:t xml:space="preserve"> years before the discovery of Tutankhamun to establish that there has been an obsession with Egypt since at least the fifth century with Herodotus’ first visit to Egypt, and that there has been a conflict of exploiting Egyptian artefacts for political prestige for at least a hundred years from Napoleon’s expedition.</w:t>
      </w:r>
      <w:r w:rsidRPr="00BB7CA4">
        <w:t xml:space="preserve"> </w:t>
      </w:r>
    </w:p>
    <w:p w14:paraId="2E60EAF2" w14:textId="43C670D3" w:rsidR="009D2E03" w:rsidRDefault="007A6A6F" w:rsidP="009D2E03">
      <w:pPr>
        <w:spacing w:line="360" w:lineRule="auto"/>
      </w:pPr>
      <w:r>
        <w:rPr>
          <w:noProof/>
        </w:rPr>
        <mc:AlternateContent>
          <mc:Choice Requires="wps">
            <w:drawing>
              <wp:anchor distT="0" distB="0" distL="114300" distR="114300" simplePos="0" relativeHeight="251657214" behindDoc="0" locked="0" layoutInCell="1" allowOverlap="1" wp14:anchorId="7A07D903" wp14:editId="514B7D34">
                <wp:simplePos x="0" y="0"/>
                <wp:positionH relativeFrom="column">
                  <wp:posOffset>0</wp:posOffset>
                </wp:positionH>
                <wp:positionV relativeFrom="paragraph">
                  <wp:posOffset>2618105</wp:posOffset>
                </wp:positionV>
                <wp:extent cx="1133475" cy="1180465"/>
                <wp:effectExtent l="0" t="0" r="28575" b="19685"/>
                <wp:wrapNone/>
                <wp:docPr id="32" name="Rectangle 32"/>
                <wp:cNvGraphicFramePr/>
                <a:graphic xmlns:a="http://schemas.openxmlformats.org/drawingml/2006/main">
                  <a:graphicData uri="http://schemas.microsoft.com/office/word/2010/wordprocessingShape">
                    <wps:wsp>
                      <wps:cNvSpPr/>
                      <wps:spPr>
                        <a:xfrm>
                          <a:off x="0" y="0"/>
                          <a:ext cx="1133475" cy="118046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01D39" id="Rectangle 32" o:spid="_x0000_s1026" style="position:absolute;margin-left:0;margin-top:206.15pt;width:89.25pt;height:92.95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" fillcolor="white [3212]" strokecolor="black [3213]" strokeweight="1pt"/>
            </w:pict>
          </mc:Fallback>
        </mc:AlternateContent>
      </w:r>
      <w:r w:rsidR="00F3273C">
        <w:rPr>
          <w:noProof/>
        </w:rPr>
        <mc:AlternateContent>
          <mc:Choice Requires="wps">
            <w:drawing>
              <wp:anchor distT="0" distB="0" distL="114300" distR="114300" simplePos="0" relativeHeight="251729920" behindDoc="0" locked="0" layoutInCell="1" allowOverlap="1" wp14:anchorId="0C66E671" wp14:editId="10714CAC">
                <wp:simplePos x="0" y="0"/>
                <wp:positionH relativeFrom="column">
                  <wp:posOffset>400050</wp:posOffset>
                </wp:positionH>
                <wp:positionV relativeFrom="paragraph">
                  <wp:posOffset>2627630</wp:posOffset>
                </wp:positionV>
                <wp:extent cx="552450" cy="30480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52450" cy="304800"/>
                        </a:xfrm>
                        <a:prstGeom prst="rect">
                          <a:avLst/>
                        </a:prstGeom>
                        <a:solidFill>
                          <a:schemeClr val="lt1"/>
                        </a:solidFill>
                        <a:ln w="6350">
                          <a:noFill/>
                        </a:ln>
                      </wps:spPr>
                      <wps:txbx>
                        <w:txbxContent>
                          <w:p w14:paraId="286A09A6" w14:textId="5DAD452B" w:rsidR="009943DF" w:rsidRPr="00F3273C" w:rsidRDefault="009943DF">
                            <w:pPr>
                              <w:rPr>
                                <w:b/>
                                <w:bCs/>
                                <w:u w:val="single"/>
                              </w:rPr>
                            </w:pPr>
                            <w:r w:rsidRPr="00F3273C">
                              <w:rPr>
                                <w:b/>
                                <w:bCs/>
                                <w:u w:val="single"/>
                              </w:rPr>
                              <w:t>Key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66E671" id="_x0000_t202" coordsize="21600,21600" o:spt="202" path="m,l,21600r21600,l21600,xe">
                <v:stroke joinstyle="miter"/>
                <v:path gradientshapeok="t" o:connecttype="rect"/>
              </v:shapetype>
              <v:shape id="Text Box 38" o:spid="_x0000_s1026" type="#_x0000_t202" style="position:absolute;margin-left:31.5pt;margin-top:206.9pt;width:43.5pt;height:24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" fillcolor="white [3201]" stroked="f" strokeweight=".5pt">
                <v:textbox>
                  <w:txbxContent>
                    <w:p w14:paraId="286A09A6" w14:textId="5DAD452B" w:rsidR="009943DF" w:rsidRPr="00F3273C" w:rsidRDefault="009943DF">
                      <w:pPr>
                        <w:rPr>
                          <w:b/>
                          <w:bCs/>
                          <w:u w:val="single"/>
                        </w:rPr>
                      </w:pPr>
                      <w:r w:rsidRPr="00F3273C">
                        <w:rPr>
                          <w:b/>
                          <w:bCs/>
                          <w:u w:val="single"/>
                        </w:rPr>
                        <w:t>Key</w:t>
                      </w:r>
                    </w:p>
                  </w:txbxContent>
                </v:textbox>
              </v:shape>
            </w:pict>
          </mc:Fallback>
        </mc:AlternateContent>
      </w:r>
      <w:r w:rsidR="00F3273C">
        <w:rPr>
          <w:noProof/>
        </w:rPr>
        <mc:AlternateContent>
          <mc:Choice Requires="wps">
            <w:drawing>
              <wp:anchor distT="0" distB="0" distL="114300" distR="114300" simplePos="0" relativeHeight="251658239" behindDoc="0" locked="0" layoutInCell="1" allowOverlap="1" wp14:anchorId="41607B70" wp14:editId="3A426AC4">
                <wp:simplePos x="0" y="0"/>
                <wp:positionH relativeFrom="column">
                  <wp:posOffset>161925</wp:posOffset>
                </wp:positionH>
                <wp:positionV relativeFrom="paragraph">
                  <wp:posOffset>2912745</wp:posOffset>
                </wp:positionV>
                <wp:extent cx="857250" cy="885825"/>
                <wp:effectExtent l="0" t="0" r="0" b="9525"/>
                <wp:wrapNone/>
                <wp:docPr id="37" name="Text Box 37"/>
                <wp:cNvGraphicFramePr/>
                <a:graphic xmlns:a="http://schemas.openxmlformats.org/drawingml/2006/main">
                  <a:graphicData uri="http://schemas.microsoft.com/office/word/2010/wordprocessingShape">
                    <wps:wsp>
                      <wps:cNvSpPr txBox="1"/>
                      <wps:spPr>
                        <a:xfrm>
                          <a:off x="0" y="0"/>
                          <a:ext cx="857250" cy="885825"/>
                        </a:xfrm>
                        <a:prstGeom prst="rect">
                          <a:avLst/>
                        </a:prstGeom>
                        <a:solidFill>
                          <a:schemeClr val="lt1"/>
                        </a:solidFill>
                        <a:ln w="6350">
                          <a:noFill/>
                        </a:ln>
                      </wps:spPr>
                      <wps:txbx>
                        <w:txbxContent>
                          <w:p w14:paraId="2DEB2BF4" w14:textId="5A136BDE" w:rsidR="009943DF" w:rsidRPr="00F3273C" w:rsidRDefault="009943DF" w:rsidP="00F75521">
                            <w:pPr>
                              <w:pStyle w:val="NoSpacing"/>
                              <w:spacing w:line="276" w:lineRule="auto"/>
                              <w:rPr>
                                <w:sz w:val="20"/>
                                <w:szCs w:val="20"/>
                              </w:rPr>
                            </w:pPr>
                            <w:r w:rsidRPr="00F3273C">
                              <w:rPr>
                                <w:sz w:val="20"/>
                                <w:szCs w:val="20"/>
                              </w:rPr>
                              <w:t xml:space="preserve">Germany </w:t>
                            </w:r>
                          </w:p>
                          <w:p w14:paraId="361DFFA9" w14:textId="35EABC62" w:rsidR="009943DF" w:rsidRPr="00F3273C" w:rsidRDefault="009943DF" w:rsidP="00F75521">
                            <w:pPr>
                              <w:pStyle w:val="NoSpacing"/>
                              <w:spacing w:line="276" w:lineRule="auto"/>
                              <w:rPr>
                                <w:sz w:val="20"/>
                                <w:szCs w:val="20"/>
                              </w:rPr>
                            </w:pPr>
                            <w:r w:rsidRPr="00F3273C">
                              <w:rPr>
                                <w:sz w:val="20"/>
                                <w:szCs w:val="20"/>
                              </w:rPr>
                              <w:t>France</w:t>
                            </w:r>
                          </w:p>
                          <w:p w14:paraId="3DF59053" w14:textId="09F0958E" w:rsidR="009943DF" w:rsidRPr="00F3273C" w:rsidRDefault="009943DF" w:rsidP="00F75521">
                            <w:pPr>
                              <w:pStyle w:val="NoSpacing"/>
                              <w:spacing w:line="276" w:lineRule="auto"/>
                              <w:rPr>
                                <w:sz w:val="20"/>
                                <w:szCs w:val="20"/>
                              </w:rPr>
                            </w:pPr>
                            <w:r w:rsidRPr="00F3273C">
                              <w:rPr>
                                <w:sz w:val="20"/>
                                <w:szCs w:val="20"/>
                              </w:rPr>
                              <w:t xml:space="preserve">England </w:t>
                            </w:r>
                          </w:p>
                          <w:p w14:paraId="6DA631B7" w14:textId="3E5D87FB" w:rsidR="009943DF" w:rsidRPr="00F3273C" w:rsidRDefault="009943DF" w:rsidP="00F75521">
                            <w:pPr>
                              <w:pStyle w:val="NoSpacing"/>
                              <w:spacing w:line="276" w:lineRule="auto"/>
                              <w:rPr>
                                <w:sz w:val="20"/>
                                <w:szCs w:val="20"/>
                              </w:rPr>
                            </w:pPr>
                            <w:r w:rsidRPr="00F3273C">
                              <w:rPr>
                                <w:sz w:val="20"/>
                                <w:szCs w:val="20"/>
                              </w:rPr>
                              <w:t>Egypt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607B70" id="Text Box 37" o:spid="_x0000_s1027" type="#_x0000_t202" style="position:absolute;margin-left:12.75pt;margin-top:229.35pt;width:67.5pt;height:69.75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" fillcolor="white [3201]" stroked="f" strokeweight=".5pt">
                <v:textbox>
                  <w:txbxContent>
                    <w:p w14:paraId="2DEB2BF4" w14:textId="5A136BDE" w:rsidR="009943DF" w:rsidRPr="00F3273C" w:rsidRDefault="009943DF" w:rsidP="00F75521">
                      <w:pPr>
                        <w:pStyle w:val="NoSpacing"/>
                        <w:spacing w:line="276" w:lineRule="auto"/>
                        <w:rPr>
                          <w:sz w:val="20"/>
                          <w:szCs w:val="20"/>
                        </w:rPr>
                      </w:pPr>
                      <w:r w:rsidRPr="00F3273C">
                        <w:rPr>
                          <w:sz w:val="20"/>
                          <w:szCs w:val="20"/>
                        </w:rPr>
                        <w:t xml:space="preserve">Germany </w:t>
                      </w:r>
                    </w:p>
                    <w:p w14:paraId="361DFFA9" w14:textId="35EABC62" w:rsidR="009943DF" w:rsidRPr="00F3273C" w:rsidRDefault="009943DF" w:rsidP="00F75521">
                      <w:pPr>
                        <w:pStyle w:val="NoSpacing"/>
                        <w:spacing w:line="276" w:lineRule="auto"/>
                        <w:rPr>
                          <w:sz w:val="20"/>
                          <w:szCs w:val="20"/>
                        </w:rPr>
                      </w:pPr>
                      <w:r w:rsidRPr="00F3273C">
                        <w:rPr>
                          <w:sz w:val="20"/>
                          <w:szCs w:val="20"/>
                        </w:rPr>
                        <w:t>France</w:t>
                      </w:r>
                    </w:p>
                    <w:p w14:paraId="3DF59053" w14:textId="09F0958E" w:rsidR="009943DF" w:rsidRPr="00F3273C" w:rsidRDefault="009943DF" w:rsidP="00F75521">
                      <w:pPr>
                        <w:pStyle w:val="NoSpacing"/>
                        <w:spacing w:line="276" w:lineRule="auto"/>
                        <w:rPr>
                          <w:sz w:val="20"/>
                          <w:szCs w:val="20"/>
                        </w:rPr>
                      </w:pPr>
                      <w:r w:rsidRPr="00F3273C">
                        <w:rPr>
                          <w:sz w:val="20"/>
                          <w:szCs w:val="20"/>
                        </w:rPr>
                        <w:t xml:space="preserve">England </w:t>
                      </w:r>
                    </w:p>
                    <w:p w14:paraId="6DA631B7" w14:textId="3E5D87FB" w:rsidR="009943DF" w:rsidRPr="00F3273C" w:rsidRDefault="009943DF" w:rsidP="00F75521">
                      <w:pPr>
                        <w:pStyle w:val="NoSpacing"/>
                        <w:spacing w:line="276" w:lineRule="auto"/>
                        <w:rPr>
                          <w:sz w:val="20"/>
                          <w:szCs w:val="20"/>
                        </w:rPr>
                      </w:pPr>
                      <w:r w:rsidRPr="00F3273C">
                        <w:rPr>
                          <w:sz w:val="20"/>
                          <w:szCs w:val="20"/>
                        </w:rPr>
                        <w:t>Egypt</w:t>
                      </w:r>
                    </w:p>
                  </w:txbxContent>
                </v:textbox>
              </v:shape>
            </w:pict>
          </mc:Fallback>
        </mc:AlternateContent>
      </w:r>
      <w:r w:rsidR="00F75521">
        <w:rPr>
          <w:noProof/>
        </w:rPr>
        <mc:AlternateContent>
          <mc:Choice Requires="wps">
            <w:drawing>
              <wp:anchor distT="0" distB="0" distL="114300" distR="114300" simplePos="0" relativeHeight="251724800" behindDoc="0" locked="0" layoutInCell="1" allowOverlap="1" wp14:anchorId="73780871" wp14:editId="657DC1F6">
                <wp:simplePos x="0" y="0"/>
                <wp:positionH relativeFrom="column">
                  <wp:posOffset>47625</wp:posOffset>
                </wp:positionH>
                <wp:positionV relativeFrom="paragraph">
                  <wp:posOffset>2961005</wp:posOffset>
                </wp:positionV>
                <wp:extent cx="114300" cy="152400"/>
                <wp:effectExtent l="0" t="0" r="19050" b="19050"/>
                <wp:wrapNone/>
                <wp:docPr id="34" name="Oval 34"/>
                <wp:cNvGraphicFramePr/>
                <a:graphic xmlns:a="http://schemas.openxmlformats.org/drawingml/2006/main">
                  <a:graphicData uri="http://schemas.microsoft.com/office/word/2010/wordprocessingShape">
                    <wps:wsp>
                      <wps:cNvSpPr/>
                      <wps:spPr>
                        <a:xfrm flipH="1" flipV="1">
                          <a:off x="0" y="0"/>
                          <a:ext cx="114300" cy="152400"/>
                        </a:xfrm>
                        <a:prstGeom prst="ellipse">
                          <a:avLst/>
                        </a:prstGeom>
                        <a:solidFill>
                          <a:srgbClr val="18FC23"/>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C6F952" id="Oval 34" o:spid="_x0000_s1026" style="position:absolute;margin-left:3.75pt;margin-top:233.15pt;width:9pt;height:12pt;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" fillcolor="#18fc23" strokecolor="#1f3763 [1604]" strokeweight="1pt">
                <v:stroke joinstyle="miter"/>
              </v:oval>
            </w:pict>
          </mc:Fallback>
        </mc:AlternateContent>
      </w:r>
      <w:r w:rsidR="00F75521">
        <w:rPr>
          <w:noProof/>
        </w:rPr>
        <mc:AlternateContent>
          <mc:Choice Requires="wps">
            <w:drawing>
              <wp:anchor distT="0" distB="0" distL="114300" distR="114300" simplePos="0" relativeHeight="251726848" behindDoc="0" locked="0" layoutInCell="1" allowOverlap="1" wp14:anchorId="4C161D4C" wp14:editId="6B423803">
                <wp:simplePos x="0" y="0"/>
                <wp:positionH relativeFrom="column">
                  <wp:posOffset>47625</wp:posOffset>
                </wp:positionH>
                <wp:positionV relativeFrom="paragraph">
                  <wp:posOffset>3151505</wp:posOffset>
                </wp:positionV>
                <wp:extent cx="114300" cy="152400"/>
                <wp:effectExtent l="0" t="0" r="19050" b="19050"/>
                <wp:wrapNone/>
                <wp:docPr id="35" name="Oval 35"/>
                <wp:cNvGraphicFramePr/>
                <a:graphic xmlns:a="http://schemas.openxmlformats.org/drawingml/2006/main">
                  <a:graphicData uri="http://schemas.microsoft.com/office/word/2010/wordprocessingShape">
                    <wps:wsp>
                      <wps:cNvSpPr/>
                      <wps:spPr>
                        <a:xfrm flipH="1" flipV="1">
                          <a:off x="0" y="0"/>
                          <a:ext cx="114300" cy="152400"/>
                        </a:xfrm>
                        <a:prstGeom prst="ellips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B0125A" id="Oval 35" o:spid="_x0000_s1026" style="position:absolute;margin-left:3.75pt;margin-top:248.15pt;width:9pt;height:12pt;flip:x 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" fillcolor="#00b0f0" strokecolor="#1f3763 [1604]" strokeweight="1pt">
                <v:stroke joinstyle="miter"/>
              </v:oval>
            </w:pict>
          </mc:Fallback>
        </mc:AlternateContent>
      </w:r>
      <w:r w:rsidR="00F75521">
        <w:rPr>
          <w:noProof/>
        </w:rPr>
        <mc:AlternateContent>
          <mc:Choice Requires="wps">
            <w:drawing>
              <wp:anchor distT="0" distB="0" distL="114300" distR="114300" simplePos="0" relativeHeight="251722752" behindDoc="0" locked="0" layoutInCell="1" allowOverlap="1" wp14:anchorId="30B55B9D" wp14:editId="7B2840DC">
                <wp:simplePos x="0" y="0"/>
                <wp:positionH relativeFrom="column">
                  <wp:posOffset>47625</wp:posOffset>
                </wp:positionH>
                <wp:positionV relativeFrom="paragraph">
                  <wp:posOffset>3351530</wp:posOffset>
                </wp:positionV>
                <wp:extent cx="114300" cy="152400"/>
                <wp:effectExtent l="0" t="0" r="19050" b="19050"/>
                <wp:wrapNone/>
                <wp:docPr id="33" name="Oval 33"/>
                <wp:cNvGraphicFramePr/>
                <a:graphic xmlns:a="http://schemas.openxmlformats.org/drawingml/2006/main">
                  <a:graphicData uri="http://schemas.microsoft.com/office/word/2010/wordprocessingShape">
                    <wps:wsp>
                      <wps:cNvSpPr/>
                      <wps:spPr>
                        <a:xfrm flipH="1" flipV="1">
                          <a:off x="0" y="0"/>
                          <a:ext cx="114300" cy="152400"/>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83DD2A" id="Oval 33" o:spid="_x0000_s1026" style="position:absolute;margin-left:3.75pt;margin-top:263.9pt;width:9pt;height:12pt;flip:x 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" fillcolor="yellow" strokecolor="#1f3763 [1604]" strokeweight="1pt">
                <v:stroke joinstyle="miter"/>
              </v:oval>
            </w:pict>
          </mc:Fallback>
        </mc:AlternateContent>
      </w:r>
      <w:r w:rsidR="00F75521">
        <w:rPr>
          <w:noProof/>
        </w:rPr>
        <mc:AlternateContent>
          <mc:Choice Requires="wps">
            <w:drawing>
              <wp:anchor distT="0" distB="0" distL="114300" distR="114300" simplePos="0" relativeHeight="251728896" behindDoc="0" locked="0" layoutInCell="1" allowOverlap="1" wp14:anchorId="1764D046" wp14:editId="7F27AFD8">
                <wp:simplePos x="0" y="0"/>
                <wp:positionH relativeFrom="column">
                  <wp:posOffset>47625</wp:posOffset>
                </wp:positionH>
                <wp:positionV relativeFrom="paragraph">
                  <wp:posOffset>3522980</wp:posOffset>
                </wp:positionV>
                <wp:extent cx="114300" cy="152400"/>
                <wp:effectExtent l="0" t="0" r="19050" b="19050"/>
                <wp:wrapNone/>
                <wp:docPr id="36" name="Oval 36"/>
                <wp:cNvGraphicFramePr/>
                <a:graphic xmlns:a="http://schemas.openxmlformats.org/drawingml/2006/main">
                  <a:graphicData uri="http://schemas.microsoft.com/office/word/2010/wordprocessingShape">
                    <wps:wsp>
                      <wps:cNvSpPr/>
                      <wps:spPr>
                        <a:xfrm flipH="1" flipV="1">
                          <a:off x="0" y="0"/>
                          <a:ext cx="114300" cy="152400"/>
                        </a:xfrm>
                        <a:prstGeom prst="ellipse">
                          <a:avLst/>
                        </a:prstGeom>
                        <a:solidFill>
                          <a:srgbClr val="0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BEBC73" id="Oval 36" o:spid="_x0000_s1026" style="position:absolute;margin-left:3.75pt;margin-top:277.4pt;width:9pt;height:12pt;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" fillcolor="black" strokecolor="#1f3763 [1604]" strokeweight="1pt">
                <v:stroke joinstyle="miter"/>
              </v:oval>
            </w:pict>
          </mc:Fallback>
        </mc:AlternateContent>
      </w:r>
      <w:r w:rsidR="001F1E4C">
        <w:rPr>
          <w:noProof/>
        </w:rPr>
        <mc:AlternateContent>
          <mc:Choice Requires="wps">
            <w:drawing>
              <wp:anchor distT="0" distB="0" distL="114300" distR="114300" simplePos="0" relativeHeight="251719680" behindDoc="0" locked="0" layoutInCell="1" allowOverlap="1" wp14:anchorId="141C7E3B" wp14:editId="2F6EC4AF">
                <wp:simplePos x="0" y="0"/>
                <wp:positionH relativeFrom="column">
                  <wp:posOffset>2962275</wp:posOffset>
                </wp:positionH>
                <wp:positionV relativeFrom="paragraph">
                  <wp:posOffset>3113405</wp:posOffset>
                </wp:positionV>
                <wp:extent cx="114300" cy="152400"/>
                <wp:effectExtent l="0" t="0" r="19050" b="19050"/>
                <wp:wrapNone/>
                <wp:docPr id="30" name="Oval 30"/>
                <wp:cNvGraphicFramePr/>
                <a:graphic xmlns:a="http://schemas.openxmlformats.org/drawingml/2006/main">
                  <a:graphicData uri="http://schemas.microsoft.com/office/word/2010/wordprocessingShape">
                    <wps:wsp>
                      <wps:cNvSpPr/>
                      <wps:spPr>
                        <a:xfrm flipH="1" flipV="1">
                          <a:off x="0" y="0"/>
                          <a:ext cx="114300" cy="152400"/>
                        </a:xfrm>
                        <a:prstGeom prst="ellipse">
                          <a:avLst/>
                        </a:prstGeom>
                        <a:solidFill>
                          <a:srgbClr val="0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035EDB" id="Oval 30" o:spid="_x0000_s1026" style="position:absolute;margin-left:233.25pt;margin-top:245.15pt;width:9pt;height:12pt;flip:x 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" fillcolor="black" strokecolor="#1f3763 [1604]" strokeweight="1pt">
                <v:stroke joinstyle="miter"/>
              </v:oval>
            </w:pict>
          </mc:Fallback>
        </mc:AlternateContent>
      </w:r>
      <w:r w:rsidR="001F1E4C">
        <w:rPr>
          <w:noProof/>
        </w:rPr>
        <mc:AlternateContent>
          <mc:Choice Requires="wps">
            <w:drawing>
              <wp:anchor distT="0" distB="0" distL="114300" distR="114300" simplePos="0" relativeHeight="251717632" behindDoc="0" locked="0" layoutInCell="1" allowOverlap="1" wp14:anchorId="11B65540" wp14:editId="53822065">
                <wp:simplePos x="0" y="0"/>
                <wp:positionH relativeFrom="column">
                  <wp:posOffset>1209675</wp:posOffset>
                </wp:positionH>
                <wp:positionV relativeFrom="paragraph">
                  <wp:posOffset>1351280</wp:posOffset>
                </wp:positionV>
                <wp:extent cx="114300" cy="152400"/>
                <wp:effectExtent l="0" t="0" r="19050" b="19050"/>
                <wp:wrapNone/>
                <wp:docPr id="29" name="Oval 29"/>
                <wp:cNvGraphicFramePr/>
                <a:graphic xmlns:a="http://schemas.openxmlformats.org/drawingml/2006/main">
                  <a:graphicData uri="http://schemas.microsoft.com/office/word/2010/wordprocessingShape">
                    <wps:wsp>
                      <wps:cNvSpPr/>
                      <wps:spPr>
                        <a:xfrm flipH="1" flipV="1">
                          <a:off x="0" y="0"/>
                          <a:ext cx="114300" cy="152400"/>
                        </a:xfrm>
                        <a:prstGeom prst="ellips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8FA90C" id="Oval 29" o:spid="_x0000_s1026" style="position:absolute;margin-left:95.25pt;margin-top:106.4pt;width:9pt;height:12pt;flip:x 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" fillcolor="#00b0f0" strokecolor="#1f3763 [1604]" strokeweight="1pt">
                <v:stroke joinstyle="miter"/>
              </v:oval>
            </w:pict>
          </mc:Fallback>
        </mc:AlternateContent>
      </w:r>
      <w:r w:rsidR="003E2602">
        <w:rPr>
          <w:noProof/>
        </w:rPr>
        <mc:AlternateContent>
          <mc:Choice Requires="wps">
            <w:drawing>
              <wp:anchor distT="0" distB="0" distL="114300" distR="114300" simplePos="0" relativeHeight="251715584" behindDoc="0" locked="0" layoutInCell="1" allowOverlap="1" wp14:anchorId="2BF759AC" wp14:editId="5A94C703">
                <wp:simplePos x="0" y="0"/>
                <wp:positionH relativeFrom="column">
                  <wp:posOffset>1714500</wp:posOffset>
                </wp:positionH>
                <wp:positionV relativeFrom="paragraph">
                  <wp:posOffset>913765</wp:posOffset>
                </wp:positionV>
                <wp:extent cx="114300" cy="152400"/>
                <wp:effectExtent l="0" t="0" r="19050" b="19050"/>
                <wp:wrapNone/>
                <wp:docPr id="27" name="Oval 27"/>
                <wp:cNvGraphicFramePr/>
                <a:graphic xmlns:a="http://schemas.openxmlformats.org/drawingml/2006/main">
                  <a:graphicData uri="http://schemas.microsoft.com/office/word/2010/wordprocessingShape">
                    <wps:wsp>
                      <wps:cNvSpPr/>
                      <wps:spPr>
                        <a:xfrm flipH="1" flipV="1">
                          <a:off x="0" y="0"/>
                          <a:ext cx="114300" cy="152400"/>
                        </a:xfrm>
                        <a:prstGeom prst="ellipse">
                          <a:avLst/>
                        </a:prstGeom>
                        <a:solidFill>
                          <a:srgbClr val="18FC23"/>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D72A58" id="Oval 27" o:spid="_x0000_s1026" style="position:absolute;margin-left:135pt;margin-top:71.95pt;width:9pt;height:12pt;flip:x 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" fillcolor="#18fc23" strokecolor="#1f3763 [1604]" strokeweight="1pt">
                <v:stroke joinstyle="miter"/>
              </v:oval>
            </w:pict>
          </mc:Fallback>
        </mc:AlternateContent>
      </w:r>
      <w:r w:rsidR="003E2602">
        <w:rPr>
          <w:noProof/>
        </w:rPr>
        <mc:AlternateContent>
          <mc:Choice Requires="wps">
            <w:drawing>
              <wp:anchor distT="0" distB="0" distL="114300" distR="114300" simplePos="0" relativeHeight="251713536" behindDoc="0" locked="0" layoutInCell="1" allowOverlap="1" wp14:anchorId="48CFD40C" wp14:editId="08C4C46D">
                <wp:simplePos x="0" y="0"/>
                <wp:positionH relativeFrom="column">
                  <wp:posOffset>885825</wp:posOffset>
                </wp:positionH>
                <wp:positionV relativeFrom="paragraph">
                  <wp:posOffset>655955</wp:posOffset>
                </wp:positionV>
                <wp:extent cx="114300" cy="152400"/>
                <wp:effectExtent l="0" t="0" r="19050" b="19050"/>
                <wp:wrapNone/>
                <wp:docPr id="26" name="Oval 26"/>
                <wp:cNvGraphicFramePr/>
                <a:graphic xmlns:a="http://schemas.openxmlformats.org/drawingml/2006/main">
                  <a:graphicData uri="http://schemas.microsoft.com/office/word/2010/wordprocessingShape">
                    <wps:wsp>
                      <wps:cNvSpPr/>
                      <wps:spPr>
                        <a:xfrm flipH="1" flipV="1">
                          <a:off x="0" y="0"/>
                          <a:ext cx="114300" cy="152400"/>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96B6D5" id="Oval 26" o:spid="_x0000_s1026" style="position:absolute;margin-left:69.75pt;margin-top:51.65pt;width:9pt;height:12pt;flip:x 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" fillcolor="yellow" strokecolor="#1f3763 [1604]" strokeweight="1pt">
                <v:stroke joinstyle="miter"/>
              </v:oval>
            </w:pict>
          </mc:Fallback>
        </mc:AlternateContent>
      </w:r>
      <w:r w:rsidR="00822FFA">
        <w:rPr>
          <w:noProof/>
        </w:rPr>
        <w:drawing>
          <wp:inline distT="0" distB="0" distL="0" distR="0" wp14:anchorId="472BCFF9" wp14:editId="428A7CF1">
            <wp:extent cx="4019550" cy="379990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36350" cy="3815785"/>
                    </a:xfrm>
                    <a:prstGeom prst="rect">
                      <a:avLst/>
                    </a:prstGeom>
                  </pic:spPr>
                </pic:pic>
              </a:graphicData>
            </a:graphic>
          </wp:inline>
        </w:drawing>
      </w:r>
    </w:p>
    <w:p w14:paraId="5103F97C" w14:textId="5366DB83" w:rsidR="009D2E03" w:rsidRPr="007A6A6F" w:rsidRDefault="007A6A6F" w:rsidP="009D2E03">
      <w:pPr>
        <w:spacing w:line="360" w:lineRule="auto"/>
        <w:rPr>
          <w:sz w:val="18"/>
          <w:szCs w:val="18"/>
        </w:rPr>
      </w:pPr>
      <w:r w:rsidRPr="007A6A6F">
        <w:rPr>
          <w:sz w:val="18"/>
          <w:szCs w:val="18"/>
        </w:rPr>
        <w:t>Map 1. Map of Europe and North Africa, showing selected countries by key</w:t>
      </w:r>
      <w:r w:rsidR="0095780D">
        <w:rPr>
          <w:rStyle w:val="FootnoteReference"/>
          <w:sz w:val="18"/>
          <w:szCs w:val="18"/>
        </w:rPr>
        <w:footnoteReference w:id="3"/>
      </w:r>
      <w:r w:rsidRPr="007A6A6F">
        <w:rPr>
          <w:sz w:val="18"/>
          <w:szCs w:val="18"/>
        </w:rPr>
        <w:t xml:space="preserve">. </w:t>
      </w:r>
    </w:p>
    <w:p w14:paraId="0E4B5BF9" w14:textId="5F3066D0" w:rsidR="00105905" w:rsidRPr="009D2E03" w:rsidRDefault="00105905" w:rsidP="009D2E03">
      <w:pPr>
        <w:spacing w:line="360" w:lineRule="auto"/>
      </w:pPr>
      <w:commentRangeStart w:id="3"/>
      <w:r w:rsidRPr="007C61E2">
        <w:rPr>
          <w:u w:val="single"/>
        </w:rPr>
        <w:t xml:space="preserve">The </w:t>
      </w:r>
      <w:r w:rsidR="006D4832" w:rsidRPr="007C61E2">
        <w:rPr>
          <w:u w:val="single"/>
        </w:rPr>
        <w:t>notion that Egypt is appealing to visitors and audiences</w:t>
      </w:r>
      <w:r w:rsidRPr="007C61E2">
        <w:rPr>
          <w:u w:val="single"/>
        </w:rPr>
        <w:t xml:space="preserve"> is not a new concept, the fascination and curiosity can be traced back to the fifth century BC when Greek historian</w:t>
      </w:r>
      <w:r w:rsidRPr="007C61E2">
        <w:rPr>
          <w:rStyle w:val="FootnoteReference"/>
          <w:u w:val="single"/>
        </w:rPr>
        <w:footnoteReference w:id="4"/>
      </w:r>
      <w:r w:rsidRPr="007C61E2">
        <w:rPr>
          <w:u w:val="single"/>
        </w:rPr>
        <w:t>, Herodotus first visited Egypt in 450 BC</w:t>
      </w:r>
      <w:r w:rsidRPr="007C61E2">
        <w:rPr>
          <w:rStyle w:val="FootnoteReference"/>
          <w:u w:val="single"/>
        </w:rPr>
        <w:footnoteReference w:id="5"/>
      </w:r>
      <w:r w:rsidRPr="007C61E2">
        <w:rPr>
          <w:u w:val="single"/>
        </w:rPr>
        <w:t xml:space="preserve">. </w:t>
      </w:r>
      <w:commentRangeEnd w:id="3"/>
      <w:r w:rsidR="001D449C" w:rsidRPr="007C61E2">
        <w:rPr>
          <w:rStyle w:val="CommentReference"/>
          <w:u w:val="single"/>
        </w:rPr>
        <w:commentReference w:id="3"/>
      </w:r>
      <w:r w:rsidRPr="00BB7CA4">
        <w:t xml:space="preserve">Herodotus expressed ambivalence on his experience in Egypt, the place ‘fascinates </w:t>
      </w:r>
      <w:r w:rsidRPr="00BB7CA4">
        <w:lastRenderedPageBreak/>
        <w:t>him and repulses him’</w:t>
      </w:r>
      <w:r>
        <w:t>, because he was amazed by the manmade monuments but realised these monuments existed because of slave labour</w:t>
      </w:r>
      <w:r w:rsidRPr="00BB7CA4">
        <w:rPr>
          <w:rStyle w:val="FootnoteReference"/>
        </w:rPr>
        <w:footnoteReference w:id="6"/>
      </w:r>
      <w:r w:rsidRPr="00BB7CA4">
        <w:t xml:space="preserve">. </w:t>
      </w:r>
      <w:r w:rsidRPr="00FC237D">
        <w:t xml:space="preserve">Herodotus was not the only scholarly Greek to </w:t>
      </w:r>
      <w:r>
        <w:t>be lured</w:t>
      </w:r>
      <w:r w:rsidRPr="00FC237D">
        <w:t xml:space="preserve"> towards Egypt</w:t>
      </w:r>
      <w:r>
        <w:t>.</w:t>
      </w:r>
      <w:r w:rsidRPr="00FC237D">
        <w:t xml:space="preserve"> ‘</w:t>
      </w:r>
      <w:r>
        <w:t>F</w:t>
      </w:r>
      <w:r w:rsidRPr="00FC237D">
        <w:t>rom the fourth century onwards, Egypt is presented as the place where the most prestigious Greek philosophers acquired at least part of their wisdom and knowledge’</w:t>
      </w:r>
      <w:r w:rsidRPr="00FC237D">
        <w:rPr>
          <w:rStyle w:val="FootnoteReference"/>
        </w:rPr>
        <w:footnoteReference w:id="7"/>
      </w:r>
      <w:r>
        <w:t xml:space="preserve">; </w:t>
      </w:r>
      <w:r w:rsidRPr="00FC237D">
        <w:t xml:space="preserve">Greek historian </w:t>
      </w:r>
      <w:proofErr w:type="spellStart"/>
      <w:r w:rsidRPr="00FC237D">
        <w:t>Diodorus</w:t>
      </w:r>
      <w:proofErr w:type="spellEnd"/>
      <w:r w:rsidRPr="00FC237D">
        <w:t xml:space="preserve"> Siculus</w:t>
      </w:r>
      <w:r w:rsidRPr="00FC237D">
        <w:rPr>
          <w:rStyle w:val="FootnoteReference"/>
        </w:rPr>
        <w:footnoteReference w:id="8"/>
      </w:r>
      <w:r w:rsidRPr="00FC237D">
        <w:t xml:space="preserve"> gave a list of ‘philosophers’ to express that the Greeks gained some of their knowledge from Egypt: </w:t>
      </w:r>
    </w:p>
    <w:p w14:paraId="7C1407D7" w14:textId="3FEF9167" w:rsidR="00105905" w:rsidRPr="00FC237D" w:rsidRDefault="00105905" w:rsidP="00105905">
      <w:pPr>
        <w:spacing w:line="360" w:lineRule="auto"/>
        <w:ind w:left="720"/>
        <w:rPr>
          <w:i/>
          <w:iCs/>
        </w:rPr>
      </w:pPr>
      <w:r w:rsidRPr="00FC237D">
        <w:rPr>
          <w:i/>
          <w:iCs/>
        </w:rPr>
        <w:t xml:space="preserve">“(…) we must enumerate what Greeks, who have won fame for their wisdom and learning, visited Egypt in ancient times, in order to become acquainted with its customs and learning. For the priests of Egypt recount from the records of their sacred books that they were visited in early times by Orpheus, </w:t>
      </w:r>
      <w:proofErr w:type="spellStart"/>
      <w:r w:rsidRPr="00FC237D">
        <w:rPr>
          <w:i/>
          <w:iCs/>
        </w:rPr>
        <w:t>Musaeus</w:t>
      </w:r>
      <w:proofErr w:type="spellEnd"/>
      <w:r w:rsidRPr="00FC237D">
        <w:rPr>
          <w:i/>
          <w:iCs/>
        </w:rPr>
        <w:t xml:space="preserve">, </w:t>
      </w:r>
      <w:proofErr w:type="spellStart"/>
      <w:r w:rsidRPr="00FC237D">
        <w:rPr>
          <w:i/>
          <w:iCs/>
        </w:rPr>
        <w:t>Melampus</w:t>
      </w:r>
      <w:proofErr w:type="spellEnd"/>
      <w:r w:rsidRPr="00FC237D">
        <w:rPr>
          <w:i/>
          <w:iCs/>
        </w:rPr>
        <w:t xml:space="preserve">, and Daedalus, also by the poet Homer and Lycurgus of Sparta, later by Solon of Athens and the philosopher Plato, and that there also came Pythagoras of Samos and the mathematician </w:t>
      </w:r>
      <w:proofErr w:type="spellStart"/>
      <w:r w:rsidRPr="00FC237D">
        <w:rPr>
          <w:i/>
          <w:iCs/>
        </w:rPr>
        <w:t>Eudoxus</w:t>
      </w:r>
      <w:proofErr w:type="spellEnd"/>
      <w:r w:rsidRPr="00FC237D">
        <w:rPr>
          <w:i/>
          <w:iCs/>
        </w:rPr>
        <w:t xml:space="preserve">, as well as Democritus of Abdera and </w:t>
      </w:r>
      <w:proofErr w:type="spellStart"/>
      <w:r w:rsidRPr="00FC237D">
        <w:rPr>
          <w:i/>
          <w:iCs/>
        </w:rPr>
        <w:t>Oenopides</w:t>
      </w:r>
      <w:proofErr w:type="spellEnd"/>
      <w:r w:rsidRPr="00FC237D">
        <w:rPr>
          <w:i/>
          <w:iCs/>
        </w:rPr>
        <w:t xml:space="preserve"> of Chios.’ And the Egyptian priests argue that ‘all the things for which they were admired amongst the Greeks were transferred from Egypt” (1:96,1-3)</w:t>
      </w:r>
      <w:r w:rsidRPr="00FC237D">
        <w:rPr>
          <w:rStyle w:val="FootnoteReference"/>
          <w:i/>
          <w:iCs/>
        </w:rPr>
        <w:footnoteReference w:id="9"/>
      </w:r>
      <w:r w:rsidRPr="00FC237D">
        <w:rPr>
          <w:i/>
          <w:iCs/>
        </w:rPr>
        <w:t xml:space="preserve">. </w:t>
      </w:r>
    </w:p>
    <w:p w14:paraId="277DBFA3" w14:textId="4C955844" w:rsidR="00105905" w:rsidRPr="003B208A" w:rsidRDefault="00105905" w:rsidP="00105905">
      <w:pPr>
        <w:spacing w:line="360" w:lineRule="auto"/>
      </w:pPr>
      <w:r w:rsidRPr="00FC237D">
        <w:t>To the Greeks, Egypt was ‘a land of enormous antiquity’</w:t>
      </w:r>
      <w:r w:rsidRPr="00FC237D">
        <w:rPr>
          <w:rStyle w:val="FootnoteReference"/>
        </w:rPr>
        <w:footnoteReference w:id="10"/>
      </w:r>
      <w:r w:rsidRPr="00FC237D">
        <w:t xml:space="preserve"> and ‘a land full of wonders, natural ones such as the Nile river and even more impressive, manmade ones, such as pyramids’</w:t>
      </w:r>
      <w:r w:rsidRPr="00FC237D">
        <w:rPr>
          <w:rStyle w:val="FootnoteReference"/>
        </w:rPr>
        <w:footnoteReference w:id="11"/>
      </w:r>
      <w:r w:rsidRPr="00FC237D">
        <w:t>. The Greeks were not the only ones who were inquisitive about Egypt and the Egyptians. Due to ‘</w:t>
      </w:r>
      <w:commentRangeStart w:id="4"/>
      <w:commentRangeStart w:id="5"/>
      <w:r w:rsidRPr="00FC237D">
        <w:t>archaeological and literary evidence</w:t>
      </w:r>
      <w:commentRangeEnd w:id="4"/>
      <w:r w:rsidR="00487FE6">
        <w:rPr>
          <w:rStyle w:val="CommentReference"/>
        </w:rPr>
        <w:commentReference w:id="4"/>
      </w:r>
      <w:commentRangeEnd w:id="5"/>
      <w:r w:rsidR="00487FE6">
        <w:rPr>
          <w:rStyle w:val="CommentReference"/>
        </w:rPr>
        <w:commentReference w:id="5"/>
      </w:r>
      <w:r w:rsidRPr="00FC237D">
        <w:t xml:space="preserve">’ </w:t>
      </w:r>
      <w:r>
        <w:t xml:space="preserve">it is </w:t>
      </w:r>
      <w:r w:rsidRPr="00FC237D">
        <w:t>know</w:t>
      </w:r>
      <w:r>
        <w:t>n</w:t>
      </w:r>
      <w:r w:rsidRPr="00FC237D">
        <w:t xml:space="preserve"> that it was not just the Greeks who were captivated by Egypt, but the Romans were to</w:t>
      </w:r>
      <w:r>
        <w:t>o</w:t>
      </w:r>
      <w:r w:rsidRPr="00FC237D">
        <w:rPr>
          <w:rStyle w:val="FootnoteReference"/>
        </w:rPr>
        <w:footnoteReference w:id="12"/>
      </w:r>
      <w:r w:rsidRPr="00FC237D">
        <w:t xml:space="preserve">.  </w:t>
      </w:r>
      <w:r w:rsidRPr="003B208A">
        <w:t>The Romans ‘feared not only the irrational elements of foreign cult practices but also the danger of political opposition and subversion being fomented in foreign cult associations’</w:t>
      </w:r>
      <w:r w:rsidRPr="003B208A">
        <w:rPr>
          <w:rStyle w:val="FootnoteReference"/>
        </w:rPr>
        <w:footnoteReference w:id="13"/>
      </w:r>
      <w:r w:rsidRPr="003B208A">
        <w:t xml:space="preserve">, perhaps the Romans were right to keep their distance from Egypt because during 30BCE </w:t>
      </w:r>
      <w:r>
        <w:t xml:space="preserve">to </w:t>
      </w:r>
      <w:r w:rsidRPr="003B208A">
        <w:t>323BCE</w:t>
      </w:r>
      <w:r w:rsidRPr="003B208A">
        <w:rPr>
          <w:rStyle w:val="FootnoteReference"/>
        </w:rPr>
        <w:footnoteReference w:id="14"/>
      </w:r>
      <w:r w:rsidR="00085816">
        <w:t xml:space="preserve">, as </w:t>
      </w:r>
      <w:r w:rsidRPr="003B208A">
        <w:t>‘Rome’s rule in Egypt was one of its most unsuccessful ventures and there was persistent mutual hostility and mistrust between Romans and Egyptians’</w:t>
      </w:r>
      <w:r w:rsidRPr="003B208A">
        <w:rPr>
          <w:rStyle w:val="FootnoteReference"/>
        </w:rPr>
        <w:footnoteReference w:id="15"/>
      </w:r>
      <w:r w:rsidRPr="003B208A">
        <w:t>. The difference between the Greek and Roman engrossment in Egypt appears to be the Greeks were wanting to bet</w:t>
      </w:r>
      <w:r>
        <w:t xml:space="preserve">ter </w:t>
      </w:r>
      <w:r w:rsidRPr="003B208A">
        <w:t>themselves by interacting with another culture whereas the Romans wanted to know the Egyptian</w:t>
      </w:r>
      <w:r>
        <w:t>s</w:t>
      </w:r>
      <w:r w:rsidRPr="003B208A">
        <w:t xml:space="preserve"> so they could be aware of </w:t>
      </w:r>
      <w:r>
        <w:t xml:space="preserve">potential </w:t>
      </w:r>
      <w:r w:rsidRPr="003B208A">
        <w:t xml:space="preserve">opponents. </w:t>
      </w:r>
    </w:p>
    <w:p w14:paraId="5840B400" w14:textId="14D3C6A1" w:rsidR="00105905" w:rsidRDefault="00105905" w:rsidP="00105905">
      <w:pPr>
        <w:spacing w:line="360" w:lineRule="auto"/>
      </w:pPr>
      <w:r>
        <w:lastRenderedPageBreak/>
        <w:t>European’s knowledge about ancient Egypt was based on second-hand information such as classical writers and the Bible</w:t>
      </w:r>
      <w:r w:rsidRPr="008A3A06">
        <w:rPr>
          <w:rStyle w:val="FootnoteReference"/>
          <w:highlight w:val="lightGray"/>
        </w:rPr>
        <w:footnoteReference w:id="16"/>
      </w:r>
      <w:r w:rsidRPr="008A3A06">
        <w:rPr>
          <w:highlight w:val="lightGray"/>
        </w:rPr>
        <w:t>. Europeans view on ancient Egyptian artefacts was they had a ‘right to excavate, study and export pharaonic remains however they see fit’</w:t>
      </w:r>
      <w:r w:rsidRPr="008A3A06">
        <w:rPr>
          <w:rStyle w:val="FootnoteReference"/>
          <w:highlight w:val="lightGray"/>
        </w:rPr>
        <w:footnoteReference w:id="17"/>
      </w:r>
      <w:r w:rsidR="005924BD">
        <w:rPr>
          <w:highlight w:val="lightGray"/>
        </w:rPr>
        <w:t>, when</w:t>
      </w:r>
      <w:r w:rsidR="00E7669F">
        <w:rPr>
          <w:highlight w:val="lightGray"/>
        </w:rPr>
        <w:t xml:space="preserve"> Tutankhamun’s tomb was discovered, the concept of Europeans keeping artefacts</w:t>
      </w:r>
      <w:r w:rsidR="00161212">
        <w:rPr>
          <w:highlight w:val="lightGray"/>
        </w:rPr>
        <w:t>, was no longer accept</w:t>
      </w:r>
      <w:r w:rsidR="006D33F2">
        <w:rPr>
          <w:highlight w:val="lightGray"/>
        </w:rPr>
        <w:t>ed</w:t>
      </w:r>
      <w:r w:rsidR="00161212">
        <w:rPr>
          <w:highlight w:val="lightGray"/>
        </w:rPr>
        <w:t xml:space="preserve"> by Egyptian </w:t>
      </w:r>
      <w:r w:rsidR="00713AA2" w:rsidRPr="00713AA2">
        <w:rPr>
          <w:highlight w:val="lightGray"/>
        </w:rPr>
        <w:t>government</w:t>
      </w:r>
      <w:r w:rsidRPr="00713AA2">
        <w:rPr>
          <w:highlight w:val="lightGray"/>
        </w:rPr>
        <w:t>.</w:t>
      </w:r>
      <w:r w:rsidR="00161212" w:rsidRPr="00713AA2">
        <w:rPr>
          <w:highlight w:val="lightGray"/>
        </w:rPr>
        <w:t xml:space="preserve"> Resulting in</w:t>
      </w:r>
      <w:r w:rsidR="00713AA2" w:rsidRPr="00713AA2">
        <w:rPr>
          <w:highlight w:val="lightGray"/>
        </w:rPr>
        <w:t xml:space="preserve"> conflict between the British and Egyptians</w:t>
      </w:r>
      <w:r w:rsidR="00713AA2">
        <w:t>.</w:t>
      </w:r>
      <w:r>
        <w:t xml:space="preserve"> </w:t>
      </w:r>
      <w:r w:rsidRPr="00055910">
        <w:t>Even before the discovery of Tutankhamun’s tomb,</w:t>
      </w:r>
      <w:r w:rsidR="007C3A11">
        <w:t xml:space="preserve"> </w:t>
      </w:r>
      <w:r w:rsidRPr="00055910">
        <w:t>Europeans were enthusiastic about Egypt</w:t>
      </w:r>
      <w:r w:rsidRPr="00055910">
        <w:rPr>
          <w:rStyle w:val="FootnoteReference"/>
        </w:rPr>
        <w:footnoteReference w:id="18"/>
      </w:r>
      <w:r w:rsidRPr="00055910">
        <w:t xml:space="preserve">. </w:t>
      </w:r>
      <w:r w:rsidR="005465DA" w:rsidRPr="00970408">
        <w:rPr>
          <w:highlight w:val="cyan"/>
        </w:rPr>
        <w:t>The Europeans exploited different aspects of Egypt</w:t>
      </w:r>
      <w:r w:rsidR="000A78DF" w:rsidRPr="00970408">
        <w:rPr>
          <w:highlight w:val="cyan"/>
        </w:rPr>
        <w:t xml:space="preserve"> then the physical side of the pharaonic past but also on </w:t>
      </w:r>
      <w:r w:rsidR="00B1720C" w:rsidRPr="00970408">
        <w:rPr>
          <w:highlight w:val="cyan"/>
        </w:rPr>
        <w:t>an</w:t>
      </w:r>
      <w:r w:rsidR="000A78DF" w:rsidRPr="00970408">
        <w:rPr>
          <w:highlight w:val="cyan"/>
        </w:rPr>
        <w:t xml:space="preserve"> ideological</w:t>
      </w:r>
      <w:r w:rsidR="00970408" w:rsidRPr="00970408">
        <w:rPr>
          <w:highlight w:val="cyan"/>
        </w:rPr>
        <w:t xml:space="preserve"> level</w:t>
      </w:r>
      <w:r w:rsidRPr="00970408">
        <w:rPr>
          <w:rStyle w:val="FootnoteReference"/>
          <w:highlight w:val="cyan"/>
        </w:rPr>
        <w:footnoteReference w:id="19"/>
      </w:r>
      <w:r w:rsidRPr="00970408">
        <w:rPr>
          <w:highlight w:val="cyan"/>
        </w:rPr>
        <w:t>.</w:t>
      </w:r>
      <w:r w:rsidR="00E411C3">
        <w:t xml:space="preserve"> </w:t>
      </w:r>
      <w:r>
        <w:t xml:space="preserve">This can be seen through Napoleons expedition to Egypt, resulting in further imperialist and nationalist conflict in Egypt. </w:t>
      </w:r>
    </w:p>
    <w:p w14:paraId="45463DFD" w14:textId="12150B66" w:rsidR="00105905" w:rsidRPr="00055910" w:rsidRDefault="00105905" w:rsidP="00105905">
      <w:pPr>
        <w:spacing w:line="360" w:lineRule="auto"/>
      </w:pPr>
      <w:r w:rsidRPr="00055910">
        <w:t>In 1798, Napoleon Bonaparte</w:t>
      </w:r>
      <w:r w:rsidRPr="00055910">
        <w:rPr>
          <w:rStyle w:val="FootnoteReference"/>
        </w:rPr>
        <w:footnoteReference w:id="20"/>
      </w:r>
      <w:r>
        <w:t>,</w:t>
      </w:r>
      <w:r w:rsidRPr="00055910">
        <w:t xml:space="preserve"> led an expedition to Egypt</w:t>
      </w:r>
      <w:r w:rsidRPr="00055910">
        <w:rPr>
          <w:rStyle w:val="FootnoteReference"/>
        </w:rPr>
        <w:footnoteReference w:id="21"/>
      </w:r>
      <w:r>
        <w:t>. H</w:t>
      </w:r>
      <w:r w:rsidRPr="00055910">
        <w:t xml:space="preserve">is </w:t>
      </w:r>
      <w:r w:rsidR="006C20D2">
        <w:t xml:space="preserve">army also comprised </w:t>
      </w:r>
      <w:r w:rsidRPr="00055910">
        <w:t xml:space="preserve">scientific experts </w:t>
      </w:r>
      <w:r w:rsidR="006C20D2">
        <w:t xml:space="preserve">and scholars </w:t>
      </w:r>
      <w:r w:rsidRPr="00055910">
        <w:t xml:space="preserve">which included ‘students of ancient history and of </w:t>
      </w:r>
      <w:r w:rsidR="00FB293B">
        <w:t>E</w:t>
      </w:r>
      <w:r w:rsidRPr="00055910">
        <w:t xml:space="preserve">astern languages and cultures’ </w:t>
      </w:r>
      <w:r w:rsidRPr="00055910">
        <w:rPr>
          <w:rStyle w:val="FootnoteReference"/>
        </w:rPr>
        <w:footnoteReference w:id="22"/>
      </w:r>
      <w:r w:rsidRPr="00055910">
        <w:t>. Napoleon</w:t>
      </w:r>
      <w:r w:rsidR="00944070">
        <w:t xml:space="preserve"> aimed to</w:t>
      </w:r>
      <w:r w:rsidRPr="00055910">
        <w:t xml:space="preserve"> ‘record pharaonic monuments’</w:t>
      </w:r>
      <w:r w:rsidRPr="00055910">
        <w:rPr>
          <w:rStyle w:val="FootnoteReference"/>
        </w:rPr>
        <w:footnoteReference w:id="23"/>
      </w:r>
      <w:r w:rsidRPr="00055910">
        <w:t>. Napoleon</w:t>
      </w:r>
      <w:r>
        <w:t>’</w:t>
      </w:r>
      <w:r w:rsidRPr="00055910">
        <w:t>s expedition began the ‘European rival of pharaonic art and architecture’</w:t>
      </w:r>
      <w:r w:rsidRPr="00055910">
        <w:rPr>
          <w:rStyle w:val="FootnoteReference"/>
        </w:rPr>
        <w:footnoteReference w:id="24"/>
      </w:r>
      <w:r w:rsidRPr="00055910">
        <w:t xml:space="preserve">. </w:t>
      </w:r>
      <w:r w:rsidRPr="008A3A06">
        <w:rPr>
          <w:highlight w:val="cyan"/>
        </w:rPr>
        <w:t>The discovery</w:t>
      </w:r>
      <w:r w:rsidR="002F2E96" w:rsidRPr="008A3A06">
        <w:rPr>
          <w:highlight w:val="cyan"/>
        </w:rPr>
        <w:t xml:space="preserve"> of</w:t>
      </w:r>
      <w:r w:rsidRPr="008A3A06">
        <w:rPr>
          <w:highlight w:val="cyan"/>
        </w:rPr>
        <w:t xml:space="preserve"> Tutankhamun was not the </w:t>
      </w:r>
      <w:r w:rsidR="00CF20DB" w:rsidRPr="008A3A06">
        <w:rPr>
          <w:highlight w:val="cyan"/>
        </w:rPr>
        <w:t xml:space="preserve">only </w:t>
      </w:r>
      <w:r w:rsidRPr="008A3A06">
        <w:rPr>
          <w:highlight w:val="cyan"/>
        </w:rPr>
        <w:t>exploitation of Egyptian artefacts; in 1799, Napoleon’s expedition members accidentally discovered the Rosetta Stone</w:t>
      </w:r>
      <w:r w:rsidRPr="008A3A06">
        <w:rPr>
          <w:rStyle w:val="FootnoteReference"/>
          <w:highlight w:val="cyan"/>
        </w:rPr>
        <w:footnoteReference w:id="25"/>
      </w:r>
      <w:r w:rsidRPr="008A3A06">
        <w:rPr>
          <w:highlight w:val="cyan"/>
        </w:rPr>
        <w:t>,</w:t>
      </w:r>
      <w:r w:rsidRPr="00055910">
        <w:t xml:space="preserve"> which led to the book </w:t>
      </w:r>
      <w:r w:rsidRPr="00055910">
        <w:rPr>
          <w:i/>
          <w:iCs/>
        </w:rPr>
        <w:t xml:space="preserve">Description de </w:t>
      </w:r>
      <w:proofErr w:type="spellStart"/>
      <w:r w:rsidRPr="00055910">
        <w:rPr>
          <w:i/>
          <w:iCs/>
        </w:rPr>
        <w:t>l’</w:t>
      </w:r>
      <w:r w:rsidRPr="7E5E4CCF">
        <w:rPr>
          <w:i/>
        </w:rPr>
        <w:t>É</w:t>
      </w:r>
      <w:r w:rsidRPr="00055910">
        <w:rPr>
          <w:i/>
          <w:iCs/>
        </w:rPr>
        <w:t>gypt</w:t>
      </w:r>
      <w:proofErr w:type="spellEnd"/>
      <w:r w:rsidRPr="00055910">
        <w:rPr>
          <w:rStyle w:val="FootnoteReference"/>
        </w:rPr>
        <w:footnoteReference w:id="26"/>
      </w:r>
      <w:r w:rsidRPr="00055910">
        <w:t xml:space="preserve"> wr</w:t>
      </w:r>
      <w:r>
        <w:t>itten</w:t>
      </w:r>
      <w:r w:rsidRPr="00055910">
        <w:t xml:space="preserve"> by Napoleon himself</w:t>
      </w:r>
      <w:r w:rsidRPr="00055910">
        <w:rPr>
          <w:rStyle w:val="FootnoteReference"/>
        </w:rPr>
        <w:footnoteReference w:id="27"/>
      </w:r>
      <w:r w:rsidRPr="00055910">
        <w:t xml:space="preserve">, and </w:t>
      </w:r>
      <w:r w:rsidRPr="008A3A06">
        <w:rPr>
          <w:highlight w:val="cyan"/>
        </w:rPr>
        <w:t>rivalry between the Europeans continued</w:t>
      </w:r>
      <w:r w:rsidRPr="00232146">
        <w:rPr>
          <w:highlight w:val="cyan"/>
        </w:rPr>
        <w:t xml:space="preserve">. </w:t>
      </w:r>
      <w:r w:rsidR="005B3E80" w:rsidRPr="00232146">
        <w:rPr>
          <w:highlight w:val="cyan"/>
        </w:rPr>
        <w:t xml:space="preserve">The political conflict between European countries </w:t>
      </w:r>
      <w:r w:rsidR="00BC3CD0" w:rsidRPr="00232146">
        <w:rPr>
          <w:highlight w:val="cyan"/>
        </w:rPr>
        <w:t>was</w:t>
      </w:r>
      <w:r w:rsidR="00232146" w:rsidRPr="00232146">
        <w:rPr>
          <w:highlight w:val="cyan"/>
        </w:rPr>
        <w:t xml:space="preserve"> </w:t>
      </w:r>
      <w:r w:rsidR="005B3E80" w:rsidRPr="00232146">
        <w:rPr>
          <w:highlight w:val="cyan"/>
        </w:rPr>
        <w:t>enhanced by</w:t>
      </w:r>
      <w:r w:rsidR="00BC3CD0" w:rsidRPr="00232146">
        <w:rPr>
          <w:highlight w:val="cyan"/>
        </w:rPr>
        <w:t xml:space="preserve"> </w:t>
      </w:r>
      <w:r w:rsidR="00232146" w:rsidRPr="00232146">
        <w:rPr>
          <w:highlight w:val="cyan"/>
        </w:rPr>
        <w:t>the exploitation of</w:t>
      </w:r>
      <w:r w:rsidR="00BC3CD0" w:rsidRPr="00232146">
        <w:rPr>
          <w:highlight w:val="cyan"/>
        </w:rPr>
        <w:t xml:space="preserve"> Egyptian artefacts</w:t>
      </w:r>
      <w:r w:rsidR="00592433">
        <w:rPr>
          <w:highlight w:val="cyan"/>
        </w:rPr>
        <w:t xml:space="preserve"> to represent who was the most prestige</w:t>
      </w:r>
      <w:r w:rsidR="00BC3CD0" w:rsidRPr="00232146">
        <w:rPr>
          <w:highlight w:val="cyan"/>
        </w:rPr>
        <w:t>.</w:t>
      </w:r>
      <w:r w:rsidR="00BC3CD0">
        <w:t xml:space="preserve"> </w:t>
      </w:r>
      <w:r>
        <w:t>John Marlowe (pseudonym) was a member of the army who spent much time in the Middle East</w:t>
      </w:r>
      <w:r>
        <w:rPr>
          <w:rStyle w:val="FootnoteReference"/>
        </w:rPr>
        <w:footnoteReference w:id="28"/>
      </w:r>
      <w:r>
        <w:t xml:space="preserve">, he said that Napoleon’s expedition or invasion in 1798 was the start of </w:t>
      </w:r>
      <w:r w:rsidR="00AB5644">
        <w:t>W</w:t>
      </w:r>
      <w:r>
        <w:t>estern interest in Egypt</w:t>
      </w:r>
      <w:r>
        <w:rPr>
          <w:rStyle w:val="FootnoteReference"/>
        </w:rPr>
        <w:footnoteReference w:id="29"/>
      </w:r>
      <w:r>
        <w:t xml:space="preserve">. </w:t>
      </w:r>
      <w:commentRangeStart w:id="6"/>
      <w:commentRangeStart w:id="7"/>
      <w:r w:rsidRPr="008A3A06">
        <w:rPr>
          <w:highlight w:val="lightGray"/>
        </w:rPr>
        <w:t xml:space="preserve">Not long after the discovery, </w:t>
      </w:r>
      <w:r w:rsidR="009071D7" w:rsidRPr="008A3A06">
        <w:rPr>
          <w:highlight w:val="lightGray"/>
        </w:rPr>
        <w:t xml:space="preserve">the </w:t>
      </w:r>
      <w:r w:rsidRPr="008A3A06">
        <w:rPr>
          <w:highlight w:val="lightGray"/>
        </w:rPr>
        <w:t xml:space="preserve">British </w:t>
      </w:r>
      <w:r w:rsidR="009071D7" w:rsidRPr="008A3A06">
        <w:rPr>
          <w:highlight w:val="lightGray"/>
        </w:rPr>
        <w:t>g</w:t>
      </w:r>
      <w:r w:rsidRPr="008A3A06">
        <w:rPr>
          <w:highlight w:val="lightGray"/>
        </w:rPr>
        <w:t xml:space="preserve">eneral Hutchinson took the Rosetta Stone from the French </w:t>
      </w:r>
      <w:r w:rsidR="00CD3AE5">
        <w:rPr>
          <w:highlight w:val="lightGray"/>
        </w:rPr>
        <w:t>g</w:t>
      </w:r>
      <w:r w:rsidRPr="008A3A06">
        <w:rPr>
          <w:highlight w:val="lightGray"/>
        </w:rPr>
        <w:t>eneral Menon</w:t>
      </w:r>
      <w:r w:rsidRPr="008A3A06">
        <w:rPr>
          <w:rStyle w:val="FootnoteReference"/>
          <w:highlight w:val="lightGray"/>
        </w:rPr>
        <w:footnoteReference w:id="30"/>
      </w:r>
      <w:r w:rsidRPr="008A3A06">
        <w:rPr>
          <w:highlight w:val="lightGray"/>
        </w:rPr>
        <w:t xml:space="preserve">. </w:t>
      </w:r>
      <w:commentRangeEnd w:id="6"/>
      <w:r w:rsidR="005D0784" w:rsidRPr="006E4CD1">
        <w:rPr>
          <w:rStyle w:val="CommentReference"/>
          <w:highlight w:val="lightGray"/>
        </w:rPr>
        <w:commentReference w:id="6"/>
      </w:r>
      <w:commentRangeEnd w:id="7"/>
      <w:r w:rsidR="005D0784" w:rsidRPr="006E4CD1">
        <w:rPr>
          <w:rStyle w:val="CommentReference"/>
          <w:highlight w:val="lightGray"/>
        </w:rPr>
        <w:commentReference w:id="7"/>
      </w:r>
      <w:r w:rsidRPr="006E4CD1">
        <w:rPr>
          <w:highlight w:val="lightGray"/>
        </w:rPr>
        <w:t>Due to this, the Rosetta Stone was exhibited in the British Museum, London and was given on loan to the Louvre, Paris for an</w:t>
      </w:r>
      <w:r w:rsidRPr="00055910">
        <w:t xml:space="preserve"> </w:t>
      </w:r>
      <w:r w:rsidRPr="00FD1A0A">
        <w:rPr>
          <w:highlight w:val="lightGray"/>
        </w:rPr>
        <w:t>exhibition in 1973</w:t>
      </w:r>
      <w:r w:rsidRPr="00FD1A0A">
        <w:rPr>
          <w:rStyle w:val="FootnoteReference"/>
          <w:highlight w:val="lightGray"/>
        </w:rPr>
        <w:footnoteReference w:id="31"/>
      </w:r>
      <w:r w:rsidRPr="00FD1A0A">
        <w:rPr>
          <w:highlight w:val="lightGray"/>
        </w:rPr>
        <w:t xml:space="preserve">. This was not the only rivalry </w:t>
      </w:r>
      <w:r w:rsidR="00754533" w:rsidRPr="00FD1A0A">
        <w:rPr>
          <w:highlight w:val="lightGray"/>
        </w:rPr>
        <w:t>surrounding</w:t>
      </w:r>
      <w:r w:rsidRPr="00FD1A0A">
        <w:rPr>
          <w:highlight w:val="lightGray"/>
        </w:rPr>
        <w:t xml:space="preserve"> the Rosetta Stone; the Europeans were competing to see who could decipher the </w:t>
      </w:r>
      <w:r w:rsidRPr="00FD1A0A">
        <w:rPr>
          <w:highlight w:val="lightGray"/>
        </w:rPr>
        <w:lastRenderedPageBreak/>
        <w:t>inscription first</w:t>
      </w:r>
      <w:r w:rsidRPr="00FD1A0A">
        <w:rPr>
          <w:rStyle w:val="FootnoteReference"/>
          <w:highlight w:val="lightGray"/>
        </w:rPr>
        <w:footnoteReference w:id="32"/>
      </w:r>
      <w:r w:rsidRPr="00FD1A0A">
        <w:rPr>
          <w:highlight w:val="lightGray"/>
        </w:rPr>
        <w:t xml:space="preserve">. The </w:t>
      </w:r>
      <w:r w:rsidR="00C27BD5" w:rsidRPr="00FD1A0A">
        <w:rPr>
          <w:highlight w:val="lightGray"/>
        </w:rPr>
        <w:t xml:space="preserve">decree on the </w:t>
      </w:r>
      <w:r w:rsidRPr="00FD1A0A">
        <w:rPr>
          <w:highlight w:val="lightGray"/>
        </w:rPr>
        <w:t>Rosetta Stone was written in hieroglyphs, demotic and ancient Greek; scholars could read the Greek inscriptions</w:t>
      </w:r>
      <w:r w:rsidRPr="00FD1A0A">
        <w:rPr>
          <w:rStyle w:val="FootnoteReference"/>
          <w:highlight w:val="lightGray"/>
        </w:rPr>
        <w:footnoteReference w:id="33"/>
      </w:r>
      <w:r w:rsidRPr="00FD1A0A">
        <w:rPr>
          <w:highlight w:val="lightGray"/>
        </w:rPr>
        <w:t>.  An English physicist, Thomas Young</w:t>
      </w:r>
      <w:r w:rsidR="000E2F1C" w:rsidRPr="00FD1A0A">
        <w:rPr>
          <w:highlight w:val="lightGray"/>
        </w:rPr>
        <w:t>, discovered at first that the hieroglyphs incorporated royal name</w:t>
      </w:r>
      <w:r w:rsidR="00AE6527" w:rsidRPr="00FD1A0A">
        <w:rPr>
          <w:highlight w:val="lightGray"/>
        </w:rPr>
        <w:t>s</w:t>
      </w:r>
      <w:r w:rsidRPr="00FD1A0A">
        <w:rPr>
          <w:rStyle w:val="FootnoteReference"/>
          <w:highlight w:val="lightGray"/>
        </w:rPr>
        <w:footnoteReference w:id="34"/>
      </w:r>
      <w:r w:rsidRPr="00FD1A0A">
        <w:rPr>
          <w:highlight w:val="lightGray"/>
        </w:rPr>
        <w:t>.  French scholar, Jean-Francois Champollion</w:t>
      </w:r>
      <w:r w:rsidR="00AE6527" w:rsidRPr="00FD1A0A">
        <w:rPr>
          <w:highlight w:val="lightGray"/>
        </w:rPr>
        <w:t>, then</w:t>
      </w:r>
      <w:r w:rsidRPr="00FD1A0A">
        <w:rPr>
          <w:highlight w:val="lightGray"/>
        </w:rPr>
        <w:t xml:space="preserve"> ‘realised that hieroglyphs recorded the sound of the Egyptian language’ </w:t>
      </w:r>
      <w:r w:rsidR="001A0B3E" w:rsidRPr="00FD1A0A">
        <w:rPr>
          <w:highlight w:val="lightGray"/>
        </w:rPr>
        <w:t>which led him</w:t>
      </w:r>
      <w:r w:rsidRPr="00FD1A0A">
        <w:rPr>
          <w:highlight w:val="lightGray"/>
        </w:rPr>
        <w:t xml:space="preserve"> to decipher the Rosetta Stone</w:t>
      </w:r>
      <w:r w:rsidR="001A0B3E" w:rsidRPr="00FD1A0A">
        <w:rPr>
          <w:highlight w:val="lightGray"/>
        </w:rPr>
        <w:t>. He published his findings in 1822</w:t>
      </w:r>
      <w:r w:rsidRPr="00FD1A0A">
        <w:rPr>
          <w:rStyle w:val="FootnoteReference"/>
          <w:highlight w:val="lightGray"/>
        </w:rPr>
        <w:footnoteReference w:id="35"/>
      </w:r>
      <w:r w:rsidRPr="00FD1A0A">
        <w:rPr>
          <w:highlight w:val="lightGray"/>
        </w:rPr>
        <w:t>.</w:t>
      </w:r>
      <w:r w:rsidRPr="00055910">
        <w:t xml:space="preserve">  </w:t>
      </w:r>
      <w:r w:rsidR="00BE37C7" w:rsidRPr="00BE37C7">
        <w:rPr>
          <w:highlight w:val="lightGray"/>
        </w:rPr>
        <w:t>The Rosetta Stone clearly caused further disagreements between the French and British regarding ownership</w:t>
      </w:r>
      <w:r w:rsidR="00471A01">
        <w:rPr>
          <w:highlight w:val="lightGray"/>
        </w:rPr>
        <w:t xml:space="preserve">, </w:t>
      </w:r>
      <w:r w:rsidR="00BE37C7" w:rsidRPr="00BE37C7">
        <w:rPr>
          <w:highlight w:val="lightGray"/>
        </w:rPr>
        <w:t>decipherment of the decree</w:t>
      </w:r>
      <w:r w:rsidR="00471A01">
        <w:rPr>
          <w:highlight w:val="lightGray"/>
        </w:rPr>
        <w:t xml:space="preserve"> and again</w:t>
      </w:r>
      <w:r w:rsidR="00BF1DA9">
        <w:rPr>
          <w:highlight w:val="lightGray"/>
        </w:rPr>
        <w:t xml:space="preserve"> who was </w:t>
      </w:r>
      <w:r w:rsidR="00067D0D">
        <w:rPr>
          <w:highlight w:val="lightGray"/>
        </w:rPr>
        <w:t>prestige</w:t>
      </w:r>
      <w:r w:rsidR="00BE37C7" w:rsidRPr="00BE37C7">
        <w:rPr>
          <w:highlight w:val="lightGray"/>
        </w:rPr>
        <w:t>.</w:t>
      </w:r>
      <w:r w:rsidR="00BE37C7">
        <w:t xml:space="preserve">  </w:t>
      </w:r>
    </w:p>
    <w:p w14:paraId="32C4F285" w14:textId="4DF3A1BE" w:rsidR="00105905" w:rsidRDefault="00105905" w:rsidP="00105905">
      <w:pPr>
        <w:spacing w:line="360" w:lineRule="auto"/>
      </w:pPr>
      <w:r w:rsidRPr="00FD1A0A">
        <w:rPr>
          <w:highlight w:val="lightGray"/>
        </w:rPr>
        <w:t xml:space="preserve">There was European </w:t>
      </w:r>
      <w:r w:rsidR="003953BA" w:rsidRPr="00FD1A0A">
        <w:rPr>
          <w:highlight w:val="lightGray"/>
        </w:rPr>
        <w:t>competition</w:t>
      </w:r>
      <w:r w:rsidRPr="00FD1A0A">
        <w:rPr>
          <w:highlight w:val="lightGray"/>
        </w:rPr>
        <w:t xml:space="preserve"> to see who had the largest possession of Egyptian antiquities</w:t>
      </w:r>
      <w:r w:rsidRPr="00FD1A0A">
        <w:rPr>
          <w:rStyle w:val="FootnoteReference"/>
          <w:highlight w:val="lightGray"/>
        </w:rPr>
        <w:footnoteReference w:id="36"/>
      </w:r>
      <w:r w:rsidR="00891970" w:rsidRPr="00FD1A0A">
        <w:rPr>
          <w:highlight w:val="lightGray"/>
        </w:rPr>
        <w:t xml:space="preserve">. </w:t>
      </w:r>
      <w:r w:rsidR="0015498B">
        <w:t>I</w:t>
      </w:r>
      <w:r w:rsidR="0015498B" w:rsidRPr="00853E63">
        <w:rPr>
          <w:highlight w:val="lightGray"/>
        </w:rPr>
        <w:t xml:space="preserve">n 1812 the amateur Italian Egyptologist, Giovanni Belzoni gained permission from British Consul </w:t>
      </w:r>
      <w:r w:rsidR="008A2FB3">
        <w:rPr>
          <w:highlight w:val="lightGray"/>
        </w:rPr>
        <w:t>g</w:t>
      </w:r>
      <w:r w:rsidR="0015498B" w:rsidRPr="00853E63">
        <w:rPr>
          <w:highlight w:val="lightGray"/>
        </w:rPr>
        <w:t>eneral Henry Salt</w:t>
      </w:r>
      <w:r w:rsidR="0015498B" w:rsidRPr="00853E63">
        <w:rPr>
          <w:rStyle w:val="FootnoteReference"/>
          <w:highlight w:val="lightGray"/>
        </w:rPr>
        <w:footnoteReference w:id="37"/>
      </w:r>
      <w:r w:rsidR="0015498B" w:rsidRPr="00853E63">
        <w:rPr>
          <w:highlight w:val="lightGray"/>
        </w:rPr>
        <w:t xml:space="preserve"> to move the colossal head named ‘Young Memnon’ in 1819. </w:t>
      </w:r>
      <w:r w:rsidR="0015498B" w:rsidRPr="008A2FB3">
        <w:rPr>
          <w:highlight w:val="lightGray"/>
          <w:u w:val="single"/>
        </w:rPr>
        <w:t>This permission and success resulted in further excavation work for Belzoni</w:t>
      </w:r>
      <w:r w:rsidR="0015498B" w:rsidRPr="008A2FB3">
        <w:rPr>
          <w:rStyle w:val="FootnoteReference"/>
          <w:highlight w:val="lightGray"/>
          <w:u w:val="single"/>
        </w:rPr>
        <w:footnoteReference w:id="38"/>
      </w:r>
      <w:r w:rsidR="0015498B" w:rsidRPr="008A2FB3">
        <w:rPr>
          <w:highlight w:val="lightGray"/>
          <w:u w:val="single"/>
        </w:rPr>
        <w:t xml:space="preserve">. </w:t>
      </w:r>
      <w:r w:rsidR="0015498B" w:rsidRPr="00853E63">
        <w:rPr>
          <w:highlight w:val="lightGray"/>
        </w:rPr>
        <w:t>Even though Belzoni was Italian, he worked under the British excavating team in Egypt. It appears that the British were imperialists</w:t>
      </w:r>
      <w:r w:rsidR="0015498B" w:rsidRPr="00853E63">
        <w:rPr>
          <w:rStyle w:val="FootnoteReference"/>
          <w:highlight w:val="lightGray"/>
        </w:rPr>
        <w:footnoteReference w:id="39"/>
      </w:r>
      <w:r w:rsidR="0015498B" w:rsidRPr="00853E63">
        <w:rPr>
          <w:highlight w:val="lightGray"/>
        </w:rPr>
        <w:t xml:space="preserve"> by using their military force to ensure that they had control over many aspects of Egypt.</w:t>
      </w:r>
      <w:r w:rsidR="0015498B">
        <w:t xml:space="preserve"> </w:t>
      </w:r>
      <w:r w:rsidR="0046692C" w:rsidRPr="000A5A12">
        <w:rPr>
          <w:highlight w:val="lightGray"/>
          <w:u w:val="single"/>
        </w:rPr>
        <w:t xml:space="preserve">The </w:t>
      </w:r>
      <w:r w:rsidRPr="000A5A12">
        <w:rPr>
          <w:highlight w:val="lightGray"/>
          <w:u w:val="single"/>
        </w:rPr>
        <w:t>German archaeologist Ludwig Borchardt discover</w:t>
      </w:r>
      <w:r w:rsidR="009C1E5B" w:rsidRPr="000A5A12">
        <w:rPr>
          <w:highlight w:val="lightGray"/>
          <w:u w:val="single"/>
        </w:rPr>
        <w:t>ed</w:t>
      </w:r>
      <w:r w:rsidRPr="000A5A12">
        <w:rPr>
          <w:highlight w:val="lightGray"/>
          <w:u w:val="single"/>
        </w:rPr>
        <w:t xml:space="preserve"> Nefertiti’s bust in 1912</w:t>
      </w:r>
      <w:r w:rsidRPr="000A5A12">
        <w:rPr>
          <w:rStyle w:val="FootnoteReference"/>
          <w:highlight w:val="lightGray"/>
          <w:u w:val="single"/>
        </w:rPr>
        <w:footnoteReference w:id="40"/>
      </w:r>
      <w:r w:rsidRPr="000A5A12">
        <w:rPr>
          <w:highlight w:val="lightGray"/>
          <w:u w:val="single"/>
        </w:rPr>
        <w:t>.</w:t>
      </w:r>
      <w:r w:rsidRPr="00055910">
        <w:t xml:space="preserve"> </w:t>
      </w:r>
      <w:r w:rsidRPr="00042A92">
        <w:rPr>
          <w:highlight w:val="lightGray"/>
        </w:rPr>
        <w:t>The French and the British were in the lead of this rivalry</w:t>
      </w:r>
      <w:r w:rsidRPr="00042A92">
        <w:rPr>
          <w:rStyle w:val="FootnoteReference"/>
          <w:highlight w:val="lightGray"/>
        </w:rPr>
        <w:footnoteReference w:id="41"/>
      </w:r>
      <w:r w:rsidRPr="00042A92">
        <w:rPr>
          <w:highlight w:val="lightGray"/>
        </w:rPr>
        <w:t>,</w:t>
      </w:r>
      <w:r w:rsidRPr="00055910">
        <w:t xml:space="preserve"> </w:t>
      </w:r>
      <w:r w:rsidRPr="00042A92">
        <w:rPr>
          <w:highlight w:val="cyan"/>
        </w:rPr>
        <w:t xml:space="preserve">such as the West bank of the Nile controlled by Salt and on the East bank of the Nile the French </w:t>
      </w:r>
      <w:r w:rsidR="00B27975" w:rsidRPr="00042A92">
        <w:rPr>
          <w:highlight w:val="cyan"/>
        </w:rPr>
        <w:t>C</w:t>
      </w:r>
      <w:r w:rsidRPr="00042A92">
        <w:rPr>
          <w:highlight w:val="cyan"/>
        </w:rPr>
        <w:t xml:space="preserve">onsul </w:t>
      </w:r>
      <w:r w:rsidR="009C1E5B" w:rsidRPr="00042A92">
        <w:rPr>
          <w:highlight w:val="cyan"/>
        </w:rPr>
        <w:t>g</w:t>
      </w:r>
      <w:r w:rsidRPr="00042A92">
        <w:rPr>
          <w:highlight w:val="cyan"/>
        </w:rPr>
        <w:t xml:space="preserve">eneral Bernardino </w:t>
      </w:r>
      <w:proofErr w:type="spellStart"/>
      <w:r w:rsidRPr="00042A92">
        <w:rPr>
          <w:highlight w:val="cyan"/>
        </w:rPr>
        <w:t>Drovetti</w:t>
      </w:r>
      <w:proofErr w:type="spellEnd"/>
      <w:r w:rsidRPr="00042A92">
        <w:rPr>
          <w:rStyle w:val="FootnoteReference"/>
          <w:highlight w:val="cyan"/>
        </w:rPr>
        <w:footnoteReference w:id="42"/>
      </w:r>
      <w:r w:rsidRPr="00042A92">
        <w:rPr>
          <w:highlight w:val="cyan"/>
        </w:rPr>
        <w:t xml:space="preserve">. Salt and </w:t>
      </w:r>
      <w:proofErr w:type="spellStart"/>
      <w:r w:rsidRPr="00042A92">
        <w:rPr>
          <w:highlight w:val="cyan"/>
        </w:rPr>
        <w:t>Drovetti</w:t>
      </w:r>
      <w:proofErr w:type="spellEnd"/>
      <w:r w:rsidRPr="00042A92">
        <w:rPr>
          <w:highlight w:val="cyan"/>
        </w:rPr>
        <w:t xml:space="preserve"> both were digging </w:t>
      </w:r>
      <w:r w:rsidR="00B65842" w:rsidRPr="00042A92">
        <w:rPr>
          <w:highlight w:val="cyan"/>
        </w:rPr>
        <w:t>in</w:t>
      </w:r>
      <w:r w:rsidRPr="00042A92">
        <w:rPr>
          <w:highlight w:val="cyan"/>
        </w:rPr>
        <w:t xml:space="preserve"> different locations of Egypt to see who could discover the most Egyptian artefacts. Britain was behind the French in designing an Egyptology programme as a university specialty and profession</w:t>
      </w:r>
      <w:r w:rsidRPr="00042A92">
        <w:rPr>
          <w:rStyle w:val="FootnoteReference"/>
          <w:highlight w:val="cyan"/>
        </w:rPr>
        <w:footnoteReference w:id="43"/>
      </w:r>
      <w:r w:rsidRPr="00042A92">
        <w:rPr>
          <w:highlight w:val="cyan"/>
        </w:rPr>
        <w:t xml:space="preserve">. The Egyptian government was allowing foreigners to take their heritage because they did not see the antiquities as being valuable </w:t>
      </w:r>
      <w:proofErr w:type="gramStart"/>
      <w:r w:rsidRPr="00042A92">
        <w:rPr>
          <w:highlight w:val="cyan"/>
        </w:rPr>
        <w:t>at this time</w:t>
      </w:r>
      <w:proofErr w:type="gramEnd"/>
      <w:r w:rsidRPr="00042A92">
        <w:rPr>
          <w:rStyle w:val="FootnoteReference"/>
          <w:highlight w:val="cyan"/>
        </w:rPr>
        <w:footnoteReference w:id="44"/>
      </w:r>
      <w:r w:rsidRPr="00042A92">
        <w:rPr>
          <w:highlight w:val="cyan"/>
        </w:rPr>
        <w:t>.</w:t>
      </w:r>
    </w:p>
    <w:p w14:paraId="215BA6B6" w14:textId="7D173420" w:rsidR="00105636" w:rsidRDefault="00105636" w:rsidP="00105636">
      <w:pPr>
        <w:spacing w:line="360" w:lineRule="auto"/>
      </w:pPr>
      <w:commentRangeStart w:id="8"/>
      <w:commentRangeStart w:id="9"/>
      <w:r w:rsidRPr="004F535F">
        <w:rPr>
          <w:u w:val="single"/>
        </w:rPr>
        <w:t>The French played a large role in Egyptian antiquities</w:t>
      </w:r>
      <w:r w:rsidR="00960807" w:rsidRPr="004F535F">
        <w:rPr>
          <w:u w:val="single"/>
        </w:rPr>
        <w:t>,</w:t>
      </w:r>
      <w:r w:rsidRPr="004F535F">
        <w:rPr>
          <w:u w:val="single"/>
        </w:rPr>
        <w:t xml:space="preserve"> in 1835 Champollion suggested to Egyptian leader Mohamed Ali to stop artefacts leaving Egypt</w:t>
      </w:r>
      <w:r w:rsidRPr="004F535F">
        <w:rPr>
          <w:rStyle w:val="FootnoteReference"/>
          <w:u w:val="single"/>
        </w:rPr>
        <w:footnoteReference w:id="45"/>
      </w:r>
      <w:r w:rsidRPr="004F535F">
        <w:rPr>
          <w:u w:val="single"/>
        </w:rPr>
        <w:t>.</w:t>
      </w:r>
      <w:r>
        <w:t xml:space="preserve"> This was not enforced until </w:t>
      </w:r>
      <w:r w:rsidR="00E62C14">
        <w:t>22</w:t>
      </w:r>
      <w:r>
        <w:t xml:space="preserve"> years later in 1857, when new leader </w:t>
      </w:r>
      <w:proofErr w:type="spellStart"/>
      <w:r>
        <w:t>Sa</w:t>
      </w:r>
      <w:r w:rsidR="004F535F">
        <w:t>’</w:t>
      </w:r>
      <w:r>
        <w:t>id</w:t>
      </w:r>
      <w:proofErr w:type="spellEnd"/>
      <w:r>
        <w:t xml:space="preserve"> Pasha appointed Auguste Mariette the director of the </w:t>
      </w:r>
      <w:r w:rsidR="009347F9">
        <w:t xml:space="preserve">Egyptian Antiquity </w:t>
      </w:r>
      <w:r>
        <w:t>S</w:t>
      </w:r>
      <w:r w:rsidR="009347F9">
        <w:t>ervice</w:t>
      </w:r>
      <w:r>
        <w:rPr>
          <w:rStyle w:val="FootnoteReference"/>
        </w:rPr>
        <w:footnoteReference w:id="46"/>
      </w:r>
      <w:r w:rsidR="009347F9">
        <w:t xml:space="preserve"> (EAS)</w:t>
      </w:r>
      <w:r>
        <w:t xml:space="preserve">. </w:t>
      </w:r>
      <w:r w:rsidRPr="004F535F">
        <w:rPr>
          <w:u w:val="single"/>
        </w:rPr>
        <w:t xml:space="preserve">Mariette visited Egypt in 1850, sent to Cairo by the Louvre to purchase </w:t>
      </w:r>
      <w:r w:rsidRPr="004F535F">
        <w:rPr>
          <w:u w:val="single"/>
        </w:rPr>
        <w:lastRenderedPageBreak/>
        <w:t>Coptic manuscripts, however,</w:t>
      </w:r>
      <w:r>
        <w:t xml:space="preserve"> </w:t>
      </w:r>
      <w:r w:rsidRPr="004F535F">
        <w:rPr>
          <w:u w:val="single"/>
        </w:rPr>
        <w:t>he spent the money on excavation work at Sakkara</w:t>
      </w:r>
      <w:r w:rsidRPr="004F535F">
        <w:rPr>
          <w:rStyle w:val="FootnoteReference"/>
          <w:u w:val="single"/>
        </w:rPr>
        <w:footnoteReference w:id="47"/>
      </w:r>
      <w:r w:rsidRPr="004F535F">
        <w:rPr>
          <w:u w:val="single"/>
        </w:rPr>
        <w:t>.</w:t>
      </w:r>
      <w:r>
        <w:t xml:space="preserve"> Mariette passed away in 1881</w:t>
      </w:r>
      <w:r>
        <w:rPr>
          <w:rStyle w:val="FootnoteReference"/>
        </w:rPr>
        <w:footnoteReference w:id="48"/>
      </w:r>
      <w:r>
        <w:t xml:space="preserve">. The EAS however continued to stay under French control, with new director Gaston </w:t>
      </w:r>
      <w:proofErr w:type="spellStart"/>
      <w:r>
        <w:t>Maspero</w:t>
      </w:r>
      <w:proofErr w:type="spellEnd"/>
      <w:r>
        <w:t xml:space="preserve"> who was also </w:t>
      </w:r>
      <w:r w:rsidRPr="00790A8C">
        <w:rPr>
          <w:u w:val="single"/>
        </w:rPr>
        <w:t xml:space="preserve">the founder of </w:t>
      </w:r>
      <w:proofErr w:type="spellStart"/>
      <w:r w:rsidRPr="00790A8C">
        <w:rPr>
          <w:u w:val="single"/>
        </w:rPr>
        <w:t>Francais</w:t>
      </w:r>
      <w:proofErr w:type="spellEnd"/>
      <w:r w:rsidRPr="00790A8C">
        <w:rPr>
          <w:u w:val="single"/>
        </w:rPr>
        <w:t xml:space="preserve"> </w:t>
      </w:r>
      <w:proofErr w:type="spellStart"/>
      <w:r w:rsidRPr="00790A8C">
        <w:rPr>
          <w:u w:val="single"/>
        </w:rPr>
        <w:t>D’archaeologie</w:t>
      </w:r>
      <w:proofErr w:type="spellEnd"/>
      <w:r w:rsidRPr="00790A8C">
        <w:rPr>
          <w:u w:val="single"/>
        </w:rPr>
        <w:t xml:space="preserve"> Oriental du </w:t>
      </w:r>
      <w:proofErr w:type="spellStart"/>
      <w:r w:rsidRPr="00790A8C">
        <w:rPr>
          <w:u w:val="single"/>
        </w:rPr>
        <w:t>Caire</w:t>
      </w:r>
      <w:proofErr w:type="spellEnd"/>
      <w:r w:rsidRPr="00790A8C">
        <w:rPr>
          <w:u w:val="single"/>
        </w:rPr>
        <w:t xml:space="preserve"> (IFAO) and</w:t>
      </w:r>
      <w:r>
        <w:t xml:space="preserve"> an Egyptologist</w:t>
      </w:r>
      <w:r>
        <w:rPr>
          <w:rStyle w:val="FootnoteReference"/>
        </w:rPr>
        <w:footnoteReference w:id="49"/>
      </w:r>
      <w:r>
        <w:t xml:space="preserve">. </w:t>
      </w:r>
      <w:proofErr w:type="spellStart"/>
      <w:r>
        <w:t>Maspero’s</w:t>
      </w:r>
      <w:proofErr w:type="spellEnd"/>
      <w:r>
        <w:t xml:space="preserve"> work consisted of keeping the EAS under French control over the British, and he welcomed foreign excavators and typically allowed the excavators to keep up to half of their findings</w:t>
      </w:r>
      <w:r>
        <w:rPr>
          <w:rStyle w:val="FootnoteReference"/>
        </w:rPr>
        <w:footnoteReference w:id="50"/>
      </w:r>
      <w:r>
        <w:t xml:space="preserve">. After </w:t>
      </w:r>
      <w:proofErr w:type="spellStart"/>
      <w:r>
        <w:t>Maspero</w:t>
      </w:r>
      <w:proofErr w:type="spellEnd"/>
      <w:r>
        <w:t xml:space="preserve">, the director of the EAS was another French man called Pierre </w:t>
      </w:r>
      <w:proofErr w:type="spellStart"/>
      <w:r>
        <w:t>Lacau</w:t>
      </w:r>
      <w:proofErr w:type="spellEnd"/>
      <w:r>
        <w:rPr>
          <w:rStyle w:val="FootnoteReference"/>
        </w:rPr>
        <w:footnoteReference w:id="51"/>
      </w:r>
      <w:r>
        <w:t xml:space="preserve">. </w:t>
      </w:r>
      <w:proofErr w:type="spellStart"/>
      <w:r>
        <w:t>Lacau</w:t>
      </w:r>
      <w:proofErr w:type="spellEnd"/>
      <w:r>
        <w:t xml:space="preserve"> did a variety of work regarding the possessions of discoveries in Egypt on behalf of the Egyptian government</w:t>
      </w:r>
      <w:r>
        <w:rPr>
          <w:rStyle w:val="FootnoteReference"/>
        </w:rPr>
        <w:footnoteReference w:id="52"/>
      </w:r>
      <w:r>
        <w:t xml:space="preserve">; </w:t>
      </w:r>
      <w:commentRangeStart w:id="10"/>
      <w:r w:rsidRPr="000514ED">
        <w:rPr>
          <w:u w:val="single"/>
        </w:rPr>
        <w:t>essential restoration and consolidation work at Karnak, partial uncovering of funerary temples and dependant buildings at Saqqara and insisted that all the findings from Tutankhamun’s tomb stayed in Egypt at the Cairo Museum</w:t>
      </w:r>
      <w:r w:rsidRPr="000514ED">
        <w:rPr>
          <w:rStyle w:val="FootnoteReference"/>
          <w:u w:val="single"/>
        </w:rPr>
        <w:footnoteReference w:id="53"/>
      </w:r>
      <w:r w:rsidRPr="000514ED">
        <w:rPr>
          <w:u w:val="single"/>
        </w:rPr>
        <w:t>.</w:t>
      </w:r>
      <w:r w:rsidRPr="000514ED">
        <w:rPr>
          <w:i/>
          <w:iCs/>
        </w:rPr>
        <w:t xml:space="preserve">  </w:t>
      </w:r>
      <w:commentRangeEnd w:id="10"/>
      <w:r w:rsidR="000514ED">
        <w:rPr>
          <w:rStyle w:val="CommentReference"/>
        </w:rPr>
        <w:commentReference w:id="10"/>
      </w:r>
    </w:p>
    <w:p w14:paraId="7763F5EE" w14:textId="77777777" w:rsidR="00CD3AE5" w:rsidRDefault="00105636" w:rsidP="00105905">
      <w:pPr>
        <w:spacing w:line="360" w:lineRule="auto"/>
      </w:pPr>
      <w:r>
        <w:t xml:space="preserve">In 1915 George </w:t>
      </w:r>
      <w:proofErr w:type="spellStart"/>
      <w:r>
        <w:t>Daressy</w:t>
      </w:r>
      <w:proofErr w:type="spellEnd"/>
      <w:r>
        <w:t xml:space="preserve">, a French Egyptologist and secretary of </w:t>
      </w:r>
      <w:proofErr w:type="spellStart"/>
      <w:r>
        <w:t>Lacau</w:t>
      </w:r>
      <w:proofErr w:type="spellEnd"/>
      <w:r>
        <w:t xml:space="preserve">, was standing in for Pierre </w:t>
      </w:r>
      <w:proofErr w:type="spellStart"/>
      <w:r>
        <w:t>Lacau</w:t>
      </w:r>
      <w:proofErr w:type="spellEnd"/>
      <w:r>
        <w:t>, and signed a concession that said ‘mummies, coffins, sarcophagi from intact tombs were to stay in Egypt’</w:t>
      </w:r>
      <w:r>
        <w:rPr>
          <w:rStyle w:val="FootnoteReference"/>
        </w:rPr>
        <w:footnoteReference w:id="54"/>
      </w:r>
      <w:r>
        <w:t>. Months before the discovery of Tutankhamun</w:t>
      </w:r>
      <w:r w:rsidR="00CD3AE5">
        <w:t>,</w:t>
      </w:r>
      <w:r>
        <w:t xml:space="preserve"> </w:t>
      </w:r>
      <w:proofErr w:type="spellStart"/>
      <w:r>
        <w:t>Lacau</w:t>
      </w:r>
      <w:proofErr w:type="spellEnd"/>
      <w:r>
        <w:t xml:space="preserve"> announced intentions to change this concession signed by </w:t>
      </w:r>
      <w:proofErr w:type="spellStart"/>
      <w:r>
        <w:t>Daressy</w:t>
      </w:r>
      <w:proofErr w:type="spellEnd"/>
      <w:r>
        <w:t xml:space="preserve"> to the ‘antiquity service would claim everything found and gifts would be given to foreigners’</w:t>
      </w:r>
      <w:r>
        <w:rPr>
          <w:rStyle w:val="FootnoteReference"/>
        </w:rPr>
        <w:footnoteReference w:id="55"/>
      </w:r>
      <w:r>
        <w:t xml:space="preserve">, and at a later date </w:t>
      </w:r>
      <w:proofErr w:type="spellStart"/>
      <w:r>
        <w:t>Lacau</w:t>
      </w:r>
      <w:proofErr w:type="spellEnd"/>
      <w:r>
        <w:t xml:space="preserve"> altered to say that the gifts would be to institutions and not individuals </w:t>
      </w:r>
      <w:r>
        <w:rPr>
          <w:rStyle w:val="FootnoteReference"/>
        </w:rPr>
        <w:footnoteReference w:id="56"/>
      </w:r>
      <w:r>
        <w:t xml:space="preserve">. </w:t>
      </w:r>
      <w:proofErr w:type="spellStart"/>
      <w:r>
        <w:t>Lacau</w:t>
      </w:r>
      <w:proofErr w:type="spellEnd"/>
      <w:r>
        <w:t xml:space="preserve"> retired in 1936</w:t>
      </w:r>
      <w:r>
        <w:rPr>
          <w:rStyle w:val="FootnoteReference"/>
        </w:rPr>
        <w:footnoteReference w:id="57"/>
      </w:r>
      <w:r>
        <w:t xml:space="preserve">. </w:t>
      </w:r>
      <w:commentRangeEnd w:id="8"/>
      <w:r>
        <w:rPr>
          <w:rStyle w:val="CommentReference"/>
        </w:rPr>
        <w:commentReference w:id="8"/>
      </w:r>
      <w:commentRangeEnd w:id="9"/>
      <w:r w:rsidR="004F535F">
        <w:rPr>
          <w:rStyle w:val="CommentReference"/>
        </w:rPr>
        <w:commentReference w:id="9"/>
      </w:r>
    </w:p>
    <w:p w14:paraId="4898A977" w14:textId="6702F453" w:rsidR="00105905" w:rsidRPr="00821C91" w:rsidRDefault="00105905" w:rsidP="00105905">
      <w:pPr>
        <w:spacing w:line="360" w:lineRule="auto"/>
        <w:rPr>
          <w:highlight w:val="cyan"/>
        </w:rPr>
      </w:pPr>
      <w:r w:rsidRPr="00042A92">
        <w:rPr>
          <w:highlight w:val="lightGray"/>
        </w:rPr>
        <w:t xml:space="preserve">The Europeans </w:t>
      </w:r>
      <w:r w:rsidR="000C09E5" w:rsidRPr="00042A92">
        <w:rPr>
          <w:highlight w:val="lightGray"/>
        </w:rPr>
        <w:t>fought</w:t>
      </w:r>
      <w:r w:rsidRPr="00042A92">
        <w:rPr>
          <w:highlight w:val="lightGray"/>
        </w:rPr>
        <w:t xml:space="preserve"> over political prestige by having the most possession of Egyptian antiquities.</w:t>
      </w:r>
      <w:r>
        <w:t xml:space="preserve"> This has resulted many countries other than Egypt, having many of the first discovered artefacts from Egypt. </w:t>
      </w:r>
      <w:r w:rsidRPr="00055910">
        <w:t xml:space="preserve">Due to the rivalry between the European countries </w:t>
      </w:r>
      <w:r>
        <w:t xml:space="preserve">this has </w:t>
      </w:r>
      <w:r w:rsidRPr="00055910">
        <w:t>meant that most of our views of ancient Egypt belong to outsiders rather than the Egyptians</w:t>
      </w:r>
      <w:r w:rsidRPr="00055910">
        <w:rPr>
          <w:rStyle w:val="FootnoteReference"/>
        </w:rPr>
        <w:footnoteReference w:id="58"/>
      </w:r>
      <w:r w:rsidRPr="00055910">
        <w:t>.</w:t>
      </w:r>
      <w:r>
        <w:t xml:space="preserve"> </w:t>
      </w:r>
      <w:r w:rsidRPr="00821C91">
        <w:rPr>
          <w:highlight w:val="cyan"/>
        </w:rPr>
        <w:t xml:space="preserve">When looking at Egyptian artefacts it is important to remember the </w:t>
      </w:r>
      <w:r w:rsidR="003528DA" w:rsidRPr="00821C91">
        <w:rPr>
          <w:highlight w:val="cyan"/>
        </w:rPr>
        <w:t>colonial bias and the attempt of treasure hunting,</w:t>
      </w:r>
      <w:r w:rsidRPr="00821C91">
        <w:rPr>
          <w:highlight w:val="cyan"/>
        </w:rPr>
        <w:t xml:space="preserve"> potentially resulting in bias historical information regarding the artefact.</w:t>
      </w:r>
    </w:p>
    <w:p w14:paraId="23AA0935" w14:textId="0DA96DF6" w:rsidR="00105905" w:rsidRPr="00055910" w:rsidRDefault="00105905" w:rsidP="00105905">
      <w:pPr>
        <w:spacing w:line="360" w:lineRule="auto"/>
      </w:pPr>
      <w:commentRangeStart w:id="11"/>
      <w:commentRangeStart w:id="12"/>
      <w:r w:rsidRPr="00821C91">
        <w:rPr>
          <w:highlight w:val="cyan"/>
        </w:rPr>
        <w:t>Before 1922, it was ‘normal for excavators in Egypt to demand and usually receive up to one half of the tomb’s precious contents’</w:t>
      </w:r>
      <w:r w:rsidRPr="00821C91">
        <w:rPr>
          <w:rStyle w:val="FootnoteReference"/>
          <w:highlight w:val="cyan"/>
        </w:rPr>
        <w:footnoteReference w:id="59"/>
      </w:r>
      <w:r w:rsidRPr="00821C91">
        <w:rPr>
          <w:highlight w:val="cyan"/>
        </w:rPr>
        <w:t xml:space="preserve">. </w:t>
      </w:r>
      <w:commentRangeEnd w:id="11"/>
      <w:r w:rsidR="006F444B" w:rsidRPr="00821C91">
        <w:rPr>
          <w:rStyle w:val="CommentReference"/>
          <w:highlight w:val="cyan"/>
        </w:rPr>
        <w:commentReference w:id="11"/>
      </w:r>
      <w:commentRangeEnd w:id="12"/>
      <w:r w:rsidR="00C83C80" w:rsidRPr="00821C91">
        <w:rPr>
          <w:rStyle w:val="CommentReference"/>
          <w:highlight w:val="cyan"/>
        </w:rPr>
        <w:commentReference w:id="12"/>
      </w:r>
      <w:r>
        <w:t>T</w:t>
      </w:r>
      <w:r w:rsidRPr="00055910">
        <w:t xml:space="preserve">his is one reason why many Egyptian artefacts can be found in </w:t>
      </w:r>
      <w:r w:rsidRPr="00055910">
        <w:lastRenderedPageBreak/>
        <w:t>museums outside of Egypt.</w:t>
      </w:r>
      <w:r>
        <w:t xml:space="preserve"> </w:t>
      </w:r>
      <w:r w:rsidRPr="00821C91">
        <w:rPr>
          <w:highlight w:val="lightGray"/>
        </w:rPr>
        <w:t>For countries</w:t>
      </w:r>
      <w:r w:rsidR="00860494" w:rsidRPr="00821C91">
        <w:rPr>
          <w:highlight w:val="lightGray"/>
        </w:rPr>
        <w:t xml:space="preserve"> that showed</w:t>
      </w:r>
      <w:r w:rsidRPr="00821C91">
        <w:rPr>
          <w:highlight w:val="lightGray"/>
        </w:rPr>
        <w:t xml:space="preserve"> off Egyptian artefacts </w:t>
      </w:r>
      <w:r w:rsidR="00860494" w:rsidRPr="00821C91">
        <w:rPr>
          <w:highlight w:val="lightGray"/>
        </w:rPr>
        <w:t xml:space="preserve">also showed that </w:t>
      </w:r>
      <w:r w:rsidRPr="00821C91">
        <w:rPr>
          <w:highlight w:val="lightGray"/>
        </w:rPr>
        <w:t xml:space="preserve">they </w:t>
      </w:r>
      <w:r w:rsidR="00EA4D4D">
        <w:rPr>
          <w:highlight w:val="lightGray"/>
        </w:rPr>
        <w:t xml:space="preserve">had </w:t>
      </w:r>
      <w:r w:rsidRPr="00821C91">
        <w:rPr>
          <w:highlight w:val="lightGray"/>
        </w:rPr>
        <w:t>political power and flexed political muscle.</w:t>
      </w:r>
      <w:r>
        <w:t xml:space="preserve"> </w:t>
      </w:r>
      <w:commentRangeStart w:id="13"/>
      <w:r w:rsidRPr="00055910">
        <w:t>‘It was Europeans who pressed the Egyptians into founding an antiquities service in 1858</w:t>
      </w:r>
      <w:r>
        <w:t>’</w:t>
      </w:r>
      <w:r w:rsidRPr="00055910">
        <w:rPr>
          <w:rStyle w:val="FootnoteReference"/>
        </w:rPr>
        <w:footnoteReference w:id="60"/>
      </w:r>
      <w:r w:rsidR="00CC0EF4">
        <w:t xml:space="preserve">, the directors of this new </w:t>
      </w:r>
      <w:r w:rsidR="00267255">
        <w:t xml:space="preserve">Egyptian </w:t>
      </w:r>
      <w:r w:rsidR="00CC0EF4">
        <w:t xml:space="preserve">service </w:t>
      </w:r>
      <w:r w:rsidR="0007296B">
        <w:t>were</w:t>
      </w:r>
      <w:r w:rsidR="00CC0EF4">
        <w:t xml:space="preserve"> under </w:t>
      </w:r>
      <w:r w:rsidR="00267255">
        <w:t xml:space="preserve">French </w:t>
      </w:r>
      <w:r w:rsidR="00CC0EF4">
        <w:t>control,</w:t>
      </w:r>
      <w:r>
        <w:t xml:space="preserve"> this may be surprising considering the Europeans wanted the artefacts themselves. </w:t>
      </w:r>
      <w:commentRangeEnd w:id="13"/>
      <w:r w:rsidR="007115FA">
        <w:rPr>
          <w:rStyle w:val="CommentReference"/>
        </w:rPr>
        <w:commentReference w:id="13"/>
      </w:r>
      <w:r>
        <w:t>Perhaps the conflict over antiquities was awful that even the Europeans wanted some sort of regulations in place, but the new legislation the Egyptians designed may have undermined European ownership of antiquities in 1858</w:t>
      </w:r>
      <w:r>
        <w:rPr>
          <w:rStyle w:val="FootnoteReference"/>
        </w:rPr>
        <w:footnoteReference w:id="61"/>
      </w:r>
      <w:r>
        <w:t xml:space="preserve">. </w:t>
      </w:r>
      <w:commentRangeStart w:id="14"/>
      <w:r w:rsidRPr="00A65C72">
        <w:rPr>
          <w:u w:val="single"/>
        </w:rPr>
        <w:t xml:space="preserve">Viceroy of Egypt </w:t>
      </w:r>
      <w:r w:rsidR="00C477A8" w:rsidRPr="00A65C72">
        <w:rPr>
          <w:u w:val="single"/>
        </w:rPr>
        <w:t>in 1854 to 1863</w:t>
      </w:r>
      <w:r w:rsidR="00B66EDB" w:rsidRPr="00A65C72">
        <w:rPr>
          <w:rStyle w:val="FootnoteReference"/>
          <w:u w:val="single"/>
        </w:rPr>
        <w:footnoteReference w:id="62"/>
      </w:r>
      <w:r w:rsidR="00C477A8" w:rsidRPr="00A65C72">
        <w:rPr>
          <w:u w:val="single"/>
        </w:rPr>
        <w:t xml:space="preserve">, </w:t>
      </w:r>
      <w:proofErr w:type="spellStart"/>
      <w:r w:rsidRPr="00A65C72">
        <w:rPr>
          <w:u w:val="single"/>
        </w:rPr>
        <w:t>Sa</w:t>
      </w:r>
      <w:r w:rsidR="00C477A8" w:rsidRPr="00A65C72">
        <w:rPr>
          <w:u w:val="single"/>
        </w:rPr>
        <w:t>’</w:t>
      </w:r>
      <w:r w:rsidRPr="00A65C72">
        <w:rPr>
          <w:u w:val="single"/>
        </w:rPr>
        <w:t>id</w:t>
      </w:r>
      <w:proofErr w:type="spellEnd"/>
      <w:r w:rsidRPr="00A65C72">
        <w:rPr>
          <w:u w:val="single"/>
        </w:rPr>
        <w:t xml:space="preserve"> Pasha, introduced a system to control excavation work and to regularise the removal of artefacts in Egypt, known as </w:t>
      </w:r>
      <w:r w:rsidRPr="00A65C72">
        <w:rPr>
          <w:i/>
          <w:iCs/>
          <w:u w:val="single"/>
        </w:rPr>
        <w:t>The Egyptian Antiquity Services</w:t>
      </w:r>
      <w:r w:rsidRPr="00A65C72">
        <w:rPr>
          <w:u w:val="single"/>
        </w:rPr>
        <w:t>, which was placed, ironically, under control of a Frenchman called Auguste Mariette</w:t>
      </w:r>
      <w:r w:rsidRPr="00A65C72">
        <w:rPr>
          <w:rStyle w:val="FootnoteReference"/>
          <w:u w:val="single"/>
        </w:rPr>
        <w:footnoteReference w:id="63"/>
      </w:r>
      <w:r w:rsidRPr="00A65C72">
        <w:rPr>
          <w:u w:val="single"/>
        </w:rPr>
        <w:t xml:space="preserve">. </w:t>
      </w:r>
      <w:commentRangeEnd w:id="14"/>
      <w:r w:rsidR="00A65C72">
        <w:rPr>
          <w:rStyle w:val="CommentReference"/>
        </w:rPr>
        <w:commentReference w:id="14"/>
      </w:r>
      <w:r w:rsidRPr="001B0338">
        <w:rPr>
          <w:highlight w:val="green"/>
        </w:rPr>
        <w:t>This new system along with the opening of a museum in 1863</w:t>
      </w:r>
      <w:r w:rsidRPr="001B0338">
        <w:rPr>
          <w:rStyle w:val="FootnoteReference"/>
          <w:highlight w:val="green"/>
        </w:rPr>
        <w:footnoteReference w:id="64"/>
      </w:r>
      <w:r w:rsidRPr="001B0338">
        <w:rPr>
          <w:highlight w:val="green"/>
        </w:rPr>
        <w:t xml:space="preserve"> meant that artefacts no longer left Egypt without the Egyptian government’s agreement</w:t>
      </w:r>
      <w:r w:rsidRPr="001B0338">
        <w:rPr>
          <w:rStyle w:val="FootnoteReference"/>
          <w:highlight w:val="green"/>
        </w:rPr>
        <w:footnoteReference w:id="65"/>
      </w:r>
      <w:r w:rsidRPr="001B0338">
        <w:rPr>
          <w:highlight w:val="green"/>
        </w:rPr>
        <w:t xml:space="preserve"> and it showed Egypt was beginning to take control of their own heritage</w:t>
      </w:r>
      <w:r>
        <w:t>.</w:t>
      </w:r>
      <w:r w:rsidRPr="00055910">
        <w:t xml:space="preserve"> </w:t>
      </w:r>
      <w:r w:rsidR="00A86C36" w:rsidRPr="00A86C36">
        <w:rPr>
          <w:highlight w:val="green"/>
        </w:rPr>
        <w:t>The beginning of Egypt gaining their nationalism, t</w:t>
      </w:r>
      <w:r w:rsidRPr="00A86C36">
        <w:rPr>
          <w:highlight w:val="green"/>
        </w:rPr>
        <w:t xml:space="preserve">his is discussed further in chapter </w:t>
      </w:r>
      <w:r w:rsidR="00394D09" w:rsidRPr="00A86C36">
        <w:rPr>
          <w:highlight w:val="green"/>
        </w:rPr>
        <w:t>2</w:t>
      </w:r>
      <w:r w:rsidR="00495BC1" w:rsidRPr="00A86C36">
        <w:rPr>
          <w:highlight w:val="green"/>
        </w:rPr>
        <w:t>.</w:t>
      </w:r>
      <w:r w:rsidRPr="00055910">
        <w:t xml:space="preserve"> Despite this rivalry, the Europeans</w:t>
      </w:r>
      <w:r>
        <w:t xml:space="preserve"> incidentally</w:t>
      </w:r>
      <w:r w:rsidRPr="00055910">
        <w:t xml:space="preserve"> helped the Egyptian government gain control over their antiquit</w:t>
      </w:r>
      <w:r>
        <w:t xml:space="preserve">ies. </w:t>
      </w:r>
    </w:p>
    <w:p w14:paraId="7094CEB3" w14:textId="77777777" w:rsidR="00105905" w:rsidRDefault="00105905"/>
    <w:p w14:paraId="0CD74AD9" w14:textId="4F283E46" w:rsidR="00105905" w:rsidRPr="00105905" w:rsidRDefault="00105905" w:rsidP="00105905">
      <w:pPr>
        <w:pStyle w:val="ListParagraph"/>
        <w:numPr>
          <w:ilvl w:val="0"/>
          <w:numId w:val="2"/>
        </w:numPr>
        <w:rPr>
          <w:b/>
          <w:bCs/>
          <w:sz w:val="24"/>
          <w:szCs w:val="24"/>
        </w:rPr>
      </w:pPr>
      <w:r w:rsidRPr="00105905">
        <w:rPr>
          <w:b/>
          <w:bCs/>
          <w:sz w:val="24"/>
          <w:szCs w:val="24"/>
        </w:rPr>
        <w:t>Tutankhamun</w:t>
      </w:r>
    </w:p>
    <w:p w14:paraId="21DD54A3" w14:textId="70EAFDB1" w:rsidR="00FA0BAE" w:rsidRDefault="00105905" w:rsidP="00105905">
      <w:pPr>
        <w:spacing w:line="360" w:lineRule="auto"/>
      </w:pPr>
      <w:commentRangeStart w:id="15"/>
      <w:commentRangeStart w:id="16"/>
      <w:r w:rsidRPr="00A772EC">
        <w:rPr>
          <w:u w:val="single"/>
        </w:rPr>
        <w:t xml:space="preserve">By the New Kingdom (1550 to 1070 BC), </w:t>
      </w:r>
      <w:r w:rsidR="00A210EB" w:rsidRPr="00A772EC">
        <w:rPr>
          <w:u w:val="single"/>
        </w:rPr>
        <w:t xml:space="preserve">ancient </w:t>
      </w:r>
      <w:r w:rsidRPr="00A772EC">
        <w:rPr>
          <w:u w:val="single"/>
        </w:rPr>
        <w:t>Egypt had approximately three million occupants</w:t>
      </w:r>
      <w:r w:rsidRPr="00A772EC">
        <w:rPr>
          <w:rStyle w:val="FootnoteReference"/>
          <w:u w:val="single"/>
        </w:rPr>
        <w:footnoteReference w:id="66"/>
      </w:r>
      <w:r w:rsidRPr="00A772EC">
        <w:rPr>
          <w:u w:val="single"/>
        </w:rPr>
        <w:t>.</w:t>
      </w:r>
      <w:commentRangeEnd w:id="15"/>
      <w:r w:rsidR="0024251D" w:rsidRPr="00A772EC">
        <w:rPr>
          <w:rStyle w:val="CommentReference"/>
          <w:u w:val="single"/>
        </w:rPr>
        <w:commentReference w:id="15"/>
      </w:r>
      <w:commentRangeEnd w:id="16"/>
      <w:r w:rsidR="00CF3F3B" w:rsidRPr="00A772EC">
        <w:rPr>
          <w:rStyle w:val="CommentReference"/>
          <w:u w:val="single"/>
        </w:rPr>
        <w:commentReference w:id="16"/>
      </w:r>
      <w:r w:rsidRPr="00A772EC">
        <w:rPr>
          <w:u w:val="single"/>
        </w:rPr>
        <w:t xml:space="preserve"> </w:t>
      </w:r>
      <w:r>
        <w:t>The 18</w:t>
      </w:r>
      <w:r w:rsidRPr="002054A4">
        <w:rPr>
          <w:vertAlign w:val="superscript"/>
        </w:rPr>
        <w:t>th</w:t>
      </w:r>
      <w:r>
        <w:t xml:space="preserve"> dynasty (1550 to 1295 BC)</w:t>
      </w:r>
      <w:r>
        <w:rPr>
          <w:rStyle w:val="FootnoteReference"/>
        </w:rPr>
        <w:footnoteReference w:id="67"/>
      </w:r>
      <w:r>
        <w:t xml:space="preserve"> has been described as the ‘golden age’ of Egypt because of its ‘political stability, great prosperity and achievements in architecture, the arts and literature’</w:t>
      </w:r>
      <w:r>
        <w:rPr>
          <w:rStyle w:val="FootnoteReference"/>
        </w:rPr>
        <w:footnoteReference w:id="68"/>
      </w:r>
      <w:r>
        <w:t xml:space="preserve">. There has been much debate about Tutankhamun’s ancestry and DNA (deoxyribonucleic acid) analysis has not always been reliable for mummies of this </w:t>
      </w:r>
      <w:proofErr w:type="gramStart"/>
      <w:r>
        <w:t>period of time</w:t>
      </w:r>
      <w:proofErr w:type="gramEnd"/>
      <w:r>
        <w:t xml:space="preserve"> because of incestuous relationships</w:t>
      </w:r>
      <w:r w:rsidR="00D814DF">
        <w:rPr>
          <w:rStyle w:val="FootnoteReference"/>
        </w:rPr>
        <w:footnoteReference w:id="69"/>
      </w:r>
      <w:r>
        <w:t>. It is widely believed that pharaoh Akhenaten was the father of Tutankhamun, however the identity of his mother is unclear</w:t>
      </w:r>
      <w:r>
        <w:rPr>
          <w:rStyle w:val="FootnoteReference"/>
        </w:rPr>
        <w:footnoteReference w:id="70"/>
      </w:r>
      <w:r>
        <w:t>. Some scholars such as British Egyptologist T. G. H. James</w:t>
      </w:r>
      <w:r>
        <w:rPr>
          <w:rStyle w:val="FootnoteReference"/>
        </w:rPr>
        <w:footnoteReference w:id="71"/>
      </w:r>
      <w:r>
        <w:t>, have believed that Kiya, Akhenaten’s second wife was the mother of Tutankhamun</w:t>
      </w:r>
      <w:r>
        <w:rPr>
          <w:rStyle w:val="FootnoteReference"/>
        </w:rPr>
        <w:footnoteReference w:id="72"/>
      </w:r>
      <w:r>
        <w:t xml:space="preserve"> perhaps supported by the fact that Kiya seems to disappear from history at the same time of Tutankhamun’s birth suggesting death </w:t>
      </w:r>
      <w:r>
        <w:lastRenderedPageBreak/>
        <w:t>in childbirth</w:t>
      </w:r>
      <w:r>
        <w:rPr>
          <w:rStyle w:val="FootnoteReference"/>
        </w:rPr>
        <w:footnoteReference w:id="73"/>
      </w:r>
      <w:r>
        <w:t>.</w:t>
      </w:r>
      <w:r w:rsidR="00587277">
        <w:t xml:space="preserve"> In 2007 to 2009,</w:t>
      </w:r>
      <w:r>
        <w:t xml:space="preserve"> </w:t>
      </w:r>
      <w:commentRangeStart w:id="17"/>
      <w:commentRangeStart w:id="18"/>
      <w:r>
        <w:t>DNA testing on royal mummies</w:t>
      </w:r>
      <w:r w:rsidR="00587277">
        <w:t xml:space="preserve"> (including Tuta</w:t>
      </w:r>
      <w:r w:rsidR="005F0684">
        <w:t>nkhamun)</w:t>
      </w:r>
      <w:r>
        <w:t xml:space="preserve"> of this period shows that Akhenaten married one of his full sisters (daughter of Amenhotep III and </w:t>
      </w:r>
      <w:proofErr w:type="spellStart"/>
      <w:r>
        <w:t>Tiye</w:t>
      </w:r>
      <w:proofErr w:type="spellEnd"/>
      <w:r>
        <w:t>)</w:t>
      </w:r>
      <w:r w:rsidR="0093237B">
        <w:t>.</w:t>
      </w:r>
      <w:r>
        <w:t xml:space="preserve"> </w:t>
      </w:r>
      <w:r w:rsidR="0093237B">
        <w:t>H</w:t>
      </w:r>
      <w:r>
        <w:t>er name is</w:t>
      </w:r>
      <w:r w:rsidR="0093237B">
        <w:t xml:space="preserve"> not known,</w:t>
      </w:r>
      <w:r>
        <w:t xml:space="preserve"> but she is often referred to as the ‘younger lady’</w:t>
      </w:r>
      <w:r w:rsidR="00492A90">
        <w:rPr>
          <w:rStyle w:val="FootnoteReference"/>
        </w:rPr>
        <w:footnoteReference w:id="74"/>
      </w:r>
      <w:r w:rsidR="00095B37">
        <w:t xml:space="preserve"> and tomb number KV35YL</w:t>
      </w:r>
      <w:r w:rsidR="00E645FD">
        <w:rPr>
          <w:rStyle w:val="FootnoteReference"/>
        </w:rPr>
        <w:footnoteReference w:id="75"/>
      </w:r>
      <w:r>
        <w:t>, and Tutankhamun could be the baby of this marriage</w:t>
      </w:r>
      <w:r>
        <w:rPr>
          <w:rStyle w:val="FootnoteReference"/>
        </w:rPr>
        <w:footnoteReference w:id="76"/>
      </w:r>
      <w:r>
        <w:t xml:space="preserve">. </w:t>
      </w:r>
      <w:commentRangeEnd w:id="17"/>
      <w:r w:rsidR="0010041F">
        <w:rPr>
          <w:rStyle w:val="CommentReference"/>
        </w:rPr>
        <w:commentReference w:id="17"/>
      </w:r>
      <w:commentRangeEnd w:id="18"/>
      <w:r w:rsidR="00046E02">
        <w:rPr>
          <w:rStyle w:val="CommentReference"/>
        </w:rPr>
        <w:commentReference w:id="18"/>
      </w:r>
      <w:r w:rsidR="00FA0BAE">
        <w:t>The results on the DNA analysis lead to</w:t>
      </w:r>
      <w:r w:rsidR="00E662CD">
        <w:t xml:space="preserve"> the most plausible </w:t>
      </w:r>
      <w:r w:rsidR="00160E87">
        <w:t>ex</w:t>
      </w:r>
      <w:r w:rsidR="00D80930">
        <w:t xml:space="preserve">planation of five </w:t>
      </w:r>
      <w:r w:rsidR="00C213DD">
        <w:t>generations</w:t>
      </w:r>
      <w:r w:rsidR="00627514">
        <w:t xml:space="preserve"> of Tutankhamun’s ancestry</w:t>
      </w:r>
      <w:r w:rsidR="00C213DD">
        <w:t xml:space="preserve"> (Diagram 1)</w:t>
      </w:r>
      <w:r w:rsidR="00627514">
        <w:t xml:space="preserve">. </w:t>
      </w:r>
      <w:r w:rsidR="00160E87">
        <w:t xml:space="preserve">In </w:t>
      </w:r>
      <w:r w:rsidR="00160E87" w:rsidRPr="00562A75">
        <w:rPr>
          <w:i/>
          <w:iCs/>
        </w:rPr>
        <w:t xml:space="preserve">Ancestry and Pathology in </w:t>
      </w:r>
      <w:r w:rsidR="00562A75" w:rsidRPr="00562A75">
        <w:rPr>
          <w:i/>
          <w:iCs/>
        </w:rPr>
        <w:t>King Tutankhamun’s Family</w:t>
      </w:r>
      <w:r w:rsidR="00562A75">
        <w:rPr>
          <w:i/>
          <w:iCs/>
        </w:rPr>
        <w:t xml:space="preserve">, </w:t>
      </w:r>
      <w:r w:rsidR="00B13AFD">
        <w:t xml:space="preserve">Egyptian archaeologist, </w:t>
      </w:r>
      <w:proofErr w:type="spellStart"/>
      <w:r w:rsidR="00B13AFD">
        <w:t>Zahi</w:t>
      </w:r>
      <w:proofErr w:type="spellEnd"/>
      <w:r w:rsidR="00B13AFD">
        <w:t xml:space="preserve"> </w:t>
      </w:r>
      <w:proofErr w:type="spellStart"/>
      <w:r w:rsidR="00B13AFD">
        <w:t>Hawass</w:t>
      </w:r>
      <w:proofErr w:type="spellEnd"/>
      <w:r w:rsidR="00B13AFD">
        <w:t xml:space="preserve">, </w:t>
      </w:r>
      <w:r w:rsidR="00CB2821">
        <w:t>argued that KV35YL is likely to be Nefertiti</w:t>
      </w:r>
      <w:r w:rsidR="001E23AC">
        <w:rPr>
          <w:rStyle w:val="FootnoteReference"/>
        </w:rPr>
        <w:footnoteReference w:id="77"/>
      </w:r>
      <w:r w:rsidR="00CB2821">
        <w:t xml:space="preserve">. </w:t>
      </w:r>
      <w:r w:rsidR="004A17B6">
        <w:t xml:space="preserve">Tutankhamun is </w:t>
      </w:r>
      <w:r w:rsidR="00CC2729">
        <w:t>most plausibly the son of either Nefertiti or Kiya</w:t>
      </w:r>
      <w:r w:rsidR="00A725F4">
        <w:t xml:space="preserve">; </w:t>
      </w:r>
      <w:r w:rsidR="00763EF3">
        <w:t xml:space="preserve">difficult to identify who </w:t>
      </w:r>
      <w:r w:rsidR="009401F9">
        <w:t>due to conflicting information</w:t>
      </w:r>
      <w:r w:rsidR="00005E50">
        <w:t xml:space="preserve"> such as </w:t>
      </w:r>
      <w:r w:rsidR="00BC7370">
        <w:t>neither Nefertiti or Kiya appear to be Akhenaten’s sisters, art depictions and DNA</w:t>
      </w:r>
      <w:r w:rsidR="00913BC2">
        <w:t xml:space="preserve"> analysis.</w:t>
      </w:r>
    </w:p>
    <w:p w14:paraId="2FC8D06C" w14:textId="4630931A" w:rsidR="00105905" w:rsidRDefault="00C42821" w:rsidP="00105905">
      <w:pPr>
        <w:spacing w:line="360" w:lineRule="auto"/>
      </w:pPr>
      <w:r>
        <w:t xml:space="preserve">However, </w:t>
      </w:r>
      <w:proofErr w:type="spellStart"/>
      <w:r w:rsidR="00105905">
        <w:t>Hawass</w:t>
      </w:r>
      <w:proofErr w:type="spellEnd"/>
      <w:r w:rsidR="00105905">
        <w:t>, discusses this</w:t>
      </w:r>
      <w:r w:rsidR="00E11014">
        <w:t xml:space="preserve"> </w:t>
      </w:r>
      <w:r>
        <w:t>problem</w:t>
      </w:r>
      <w:r w:rsidR="000E156E">
        <w:t xml:space="preserve"> </w:t>
      </w:r>
      <w:r w:rsidR="00E11014">
        <w:t>further</w:t>
      </w:r>
      <w:r w:rsidR="00105905">
        <w:t xml:space="preserve"> in his</w:t>
      </w:r>
      <w:r w:rsidR="00105905" w:rsidRPr="00516CCF">
        <w:t xml:space="preserve"> book</w:t>
      </w:r>
      <w:r w:rsidR="00105905">
        <w:rPr>
          <w:rStyle w:val="FootnoteReference"/>
        </w:rPr>
        <w:footnoteReference w:id="78"/>
      </w:r>
      <w:r w:rsidR="00105905">
        <w:t xml:space="preserve">. He suggests that </w:t>
      </w:r>
      <w:r w:rsidR="00105905" w:rsidRPr="00516CCF">
        <w:t>Akhenaten married one of his sisters and this marriage was the parenthood of Tutankhamun, whereas later in the book he suggests that the mother of Tutankhamun is not clear and remains a mystery.</w:t>
      </w:r>
      <w:r w:rsidR="000E156E">
        <w:t xml:space="preserve"> The highly conflicting information regarding the mother of Tutankhamun, causes the mystery to become an even large</w:t>
      </w:r>
      <w:r w:rsidR="002D1D46">
        <w:t>r</w:t>
      </w:r>
      <w:r w:rsidR="000E156E">
        <w:t xml:space="preserve"> ambig</w:t>
      </w:r>
      <w:r w:rsidR="00DC59B9">
        <w:t>uity.</w:t>
      </w:r>
      <w:r w:rsidR="000E156E">
        <w:t xml:space="preserve"> </w:t>
      </w:r>
      <w:r w:rsidR="00105905">
        <w:t xml:space="preserve"> </w:t>
      </w:r>
      <w:commentRangeStart w:id="19"/>
      <w:r w:rsidR="00105905" w:rsidRPr="00DC59B9">
        <w:rPr>
          <w:u w:val="single"/>
        </w:rPr>
        <w:t xml:space="preserve">Below is a family tree that was adapted from the family tree diagram that was on display at the recent Tutankhamun exhibition in London. The diagram provides an easier way to understand the possible ancestry of Tutankhamun (Diagram 1). </w:t>
      </w:r>
      <w:commentRangeEnd w:id="19"/>
      <w:r w:rsidR="00DC59B9">
        <w:rPr>
          <w:rStyle w:val="CommentReference"/>
        </w:rPr>
        <w:commentReference w:id="19"/>
      </w:r>
      <w:r w:rsidR="00105905" w:rsidRPr="00516CCF">
        <w:t>It is important to note that on this diagram Kiya</w:t>
      </w:r>
      <w:r w:rsidR="00046E02">
        <w:t xml:space="preserve"> nor Nefertiti</w:t>
      </w:r>
      <w:r w:rsidR="00105905" w:rsidRPr="00516CCF">
        <w:t xml:space="preserve"> is nowhere to be seen</w:t>
      </w:r>
      <w:r w:rsidR="00105905">
        <w:t xml:space="preserve"> </w:t>
      </w:r>
      <w:r w:rsidR="00105905" w:rsidRPr="00516CCF">
        <w:t xml:space="preserve">even though </w:t>
      </w:r>
      <w:r w:rsidR="00046E02">
        <w:t xml:space="preserve">they both seem to be plausible to be the mother </w:t>
      </w:r>
      <w:r w:rsidR="00105905" w:rsidRPr="00516CCF">
        <w:t xml:space="preserve">of Tutankhamun. </w:t>
      </w:r>
    </w:p>
    <w:p w14:paraId="6B9C9A15" w14:textId="71D007B8" w:rsidR="00E351E2" w:rsidRDefault="00E351E2" w:rsidP="00105905">
      <w:pPr>
        <w:spacing w:line="360" w:lineRule="auto"/>
      </w:pPr>
    </w:p>
    <w:p w14:paraId="54C513DB" w14:textId="279795B2" w:rsidR="00E351E2" w:rsidRDefault="00E351E2" w:rsidP="00105905">
      <w:pPr>
        <w:spacing w:line="360" w:lineRule="auto"/>
      </w:pPr>
    </w:p>
    <w:p w14:paraId="7D569F08" w14:textId="7F200025" w:rsidR="00E351E2" w:rsidRDefault="00E351E2" w:rsidP="00105905">
      <w:pPr>
        <w:spacing w:line="360" w:lineRule="auto"/>
      </w:pPr>
    </w:p>
    <w:p w14:paraId="09B29098" w14:textId="2261C228" w:rsidR="00E351E2" w:rsidRDefault="00E351E2" w:rsidP="00105905">
      <w:pPr>
        <w:spacing w:line="360" w:lineRule="auto"/>
      </w:pPr>
    </w:p>
    <w:p w14:paraId="1B622F15" w14:textId="20B4F519" w:rsidR="00E351E2" w:rsidRDefault="00E351E2" w:rsidP="00105905">
      <w:pPr>
        <w:spacing w:line="360" w:lineRule="auto"/>
      </w:pPr>
    </w:p>
    <w:p w14:paraId="592B89F6" w14:textId="76587FF3" w:rsidR="00E351E2" w:rsidRDefault="00E351E2" w:rsidP="00105905">
      <w:pPr>
        <w:spacing w:line="360" w:lineRule="auto"/>
      </w:pPr>
    </w:p>
    <w:p w14:paraId="3C318876" w14:textId="534CE205" w:rsidR="00E351E2" w:rsidRDefault="00E351E2" w:rsidP="00105905">
      <w:pPr>
        <w:spacing w:line="360" w:lineRule="auto"/>
      </w:pPr>
    </w:p>
    <w:p w14:paraId="4787BAC6" w14:textId="77777777" w:rsidR="00E351E2" w:rsidRDefault="00E351E2" w:rsidP="00105905">
      <w:pPr>
        <w:spacing w:line="360" w:lineRule="auto"/>
      </w:pPr>
    </w:p>
    <w:p w14:paraId="45F0994C" w14:textId="693DAE82" w:rsidR="00105905" w:rsidRDefault="00105905" w:rsidP="00105905">
      <w:pPr>
        <w:spacing w:line="360" w:lineRule="auto"/>
      </w:pPr>
      <w:r>
        <w:rPr>
          <w:rFonts w:ascii="Times New Roman" w:hAnsi="Times New Roman" w:cs="Times New Roman"/>
          <w:noProof/>
          <w:sz w:val="24"/>
          <w:szCs w:val="24"/>
        </w:rPr>
        <w:lastRenderedPageBreak/>
        <mc:AlternateContent>
          <mc:Choice Requires="wps">
            <w:drawing>
              <wp:anchor distT="36576" distB="36576" distL="36576" distR="36576" simplePos="0" relativeHeight="251667456" behindDoc="0" locked="0" layoutInCell="1" allowOverlap="1" wp14:anchorId="05457EA0" wp14:editId="56176E5B">
                <wp:simplePos x="0" y="0"/>
                <wp:positionH relativeFrom="column">
                  <wp:posOffset>4975860</wp:posOffset>
                </wp:positionH>
                <wp:positionV relativeFrom="paragraph">
                  <wp:posOffset>234315</wp:posOffset>
                </wp:positionV>
                <wp:extent cx="447675" cy="295275"/>
                <wp:effectExtent l="0" t="3810" r="0" b="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2952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2A842AD" w14:textId="77777777" w:rsidR="009943DF" w:rsidRDefault="009943DF" w:rsidP="00105905">
                            <w:pPr>
                              <w:widowControl w:val="0"/>
                            </w:pPr>
                            <w:proofErr w:type="spellStart"/>
                            <w:r>
                              <w:t>Tjuya</w:t>
                            </w:r>
                            <w:proofErr w:type="spell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457EA0" id="Text Box 80" o:spid="_x0000_s1028" type="#_x0000_t202" style="position:absolute;margin-left:391.8pt;margin-top:18.45pt;width:35.25pt;height:23.25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" filled="f" fillcolor="#5b9bd5" stroked="f" strokecolor="black [0]" strokeweight="2pt">
                <v:textbox inset="2.88pt,2.88pt,2.88pt,2.88pt">
                  <w:txbxContent>
                    <w:p w14:paraId="32A842AD" w14:textId="77777777" w:rsidR="009943DF" w:rsidRDefault="009943DF" w:rsidP="00105905">
                      <w:pPr>
                        <w:widowControl w:val="0"/>
                      </w:pPr>
                      <w:proofErr w:type="spellStart"/>
                      <w:r>
                        <w:t>Tjuya</w:t>
                      </w:r>
                      <w:proofErr w:type="spellEnd"/>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80768" behindDoc="0" locked="0" layoutInCell="1" allowOverlap="1" wp14:anchorId="5BF175AB" wp14:editId="593C0E71">
                <wp:simplePos x="0" y="0"/>
                <wp:positionH relativeFrom="column">
                  <wp:posOffset>4981575</wp:posOffset>
                </wp:positionH>
                <wp:positionV relativeFrom="paragraph">
                  <wp:posOffset>91440</wp:posOffset>
                </wp:positionV>
                <wp:extent cx="164465" cy="158115"/>
                <wp:effectExtent l="0" t="0" r="26035" b="13335"/>
                <wp:wrapNone/>
                <wp:docPr id="105" name="Oval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58115"/>
                        </a:xfrm>
                        <a:prstGeom prst="ellipse">
                          <a:avLst/>
                        </a:prstGeom>
                        <a:solidFill>
                          <a:srgbClr val="C285A3"/>
                        </a:solidFill>
                        <a:ln w="25400">
                          <a:solidFill>
                            <a:srgbClr val="C285A3"/>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8805D9F" id="Oval 105" o:spid="_x0000_s1026" style="position:absolute;margin-left:392.25pt;margin-top:7.2pt;width:12.95pt;height:12.45pt;z-index:2516807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" fillcolor="#c285a3" strokecolor="#c285a3" strokeweight="2pt">
                <v:shadow color="black [0]"/>
                <v:textbox inset="2.88pt,2.88pt,2.88pt,2.88pt"/>
              </v:oval>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9744" behindDoc="0" locked="0" layoutInCell="1" allowOverlap="1" wp14:anchorId="7002DF69" wp14:editId="3941C198">
                <wp:simplePos x="0" y="0"/>
                <wp:positionH relativeFrom="column">
                  <wp:posOffset>3660775</wp:posOffset>
                </wp:positionH>
                <wp:positionV relativeFrom="paragraph">
                  <wp:posOffset>76200</wp:posOffset>
                </wp:positionV>
                <wp:extent cx="181610" cy="161925"/>
                <wp:effectExtent l="0" t="0" r="27940" b="28575"/>
                <wp:wrapNone/>
                <wp:docPr id="104"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61925"/>
                        </a:xfrm>
                        <a:prstGeom prst="rect">
                          <a:avLst/>
                        </a:prstGeom>
                        <a:solidFill>
                          <a:srgbClr val="063D71"/>
                        </a:solidFill>
                        <a:ln w="25400">
                          <a:solidFill>
                            <a:srgbClr val="063D71"/>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3766F" id="Rectangle 104" o:spid="_x0000_s1026" style="position:absolute;margin-left:288.25pt;margin-top:6pt;width:14.3pt;height:12.75pt;z-index:25167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" fillcolor="#063d71" strokecolor="#063d71" strokeweight="2pt">
                <v:shadow color="black [0]"/>
                <v:textbox inset="2.88pt,2.88pt,2.88pt,2.88pt"/>
              </v:rect>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6432" behindDoc="0" locked="0" layoutInCell="1" allowOverlap="1" wp14:anchorId="2AACC733" wp14:editId="4162C758">
                <wp:simplePos x="0" y="0"/>
                <wp:positionH relativeFrom="column">
                  <wp:posOffset>3524250</wp:posOffset>
                </wp:positionH>
                <wp:positionV relativeFrom="paragraph">
                  <wp:posOffset>245110</wp:posOffset>
                </wp:positionV>
                <wp:extent cx="428625" cy="276225"/>
                <wp:effectExtent l="0" t="0" r="9525" b="9525"/>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2762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06D6A6" w14:textId="77777777" w:rsidR="009943DF" w:rsidRDefault="009943DF" w:rsidP="00105905">
                            <w:pPr>
                              <w:widowControl w:val="0"/>
                            </w:pPr>
                            <w:proofErr w:type="spellStart"/>
                            <w:r>
                              <w:t>Yuya</w:t>
                            </w:r>
                            <w:proofErr w:type="spell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ACC733" id="Text Box 81" o:spid="_x0000_s1029" type="#_x0000_t202" style="position:absolute;margin-left:277.5pt;margin-top:19.3pt;width:33.75pt;height:21.75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" filled="f" fillcolor="#5b9bd5" stroked="f" strokecolor="black [0]" strokeweight="2pt">
                <v:textbox inset="2.88pt,2.88pt,2.88pt,2.88pt">
                  <w:txbxContent>
                    <w:p w14:paraId="7606D6A6" w14:textId="77777777" w:rsidR="009943DF" w:rsidRDefault="009943DF" w:rsidP="00105905">
                      <w:pPr>
                        <w:widowControl w:val="0"/>
                      </w:pPr>
                      <w:proofErr w:type="spellStart"/>
                      <w:r>
                        <w:t>Yuya</w:t>
                      </w:r>
                      <w:proofErr w:type="spellEnd"/>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3360" behindDoc="0" locked="0" layoutInCell="1" allowOverlap="1" wp14:anchorId="05865051" wp14:editId="0CC3E2A2">
                <wp:simplePos x="0" y="0"/>
                <wp:positionH relativeFrom="column">
                  <wp:posOffset>3830320</wp:posOffset>
                </wp:positionH>
                <wp:positionV relativeFrom="paragraph">
                  <wp:posOffset>196215</wp:posOffset>
                </wp:positionV>
                <wp:extent cx="1160145" cy="0"/>
                <wp:effectExtent l="20955" t="18415" r="19050" b="1968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0145" cy="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3D4B78B0" id="_x0000_t32" coordsize="21600,21600" o:spt="32" o:oned="t" path="m,l21600,21600e" filled="f">
                <v:path arrowok="t" fillok="f" o:connecttype="none"/>
                <o:lock v:ext="edit" shapetype="t"/>
              </v:shapetype>
              <v:shape id="Straight Arrow Connector 92" o:spid="_x0000_s1026" type="#_x0000_t32" style="position:absolute;margin-left:301.6pt;margin-top:15.45pt;width:91.35pt;height:0;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51DA24F6" wp14:editId="38C8CF7A">
                <wp:simplePos x="0" y="0"/>
                <wp:positionH relativeFrom="column">
                  <wp:posOffset>4429125</wp:posOffset>
                </wp:positionH>
                <wp:positionV relativeFrom="paragraph">
                  <wp:posOffset>206375</wp:posOffset>
                </wp:positionV>
                <wp:extent cx="0" cy="304800"/>
                <wp:effectExtent l="19050" t="0" r="19050" b="19050"/>
                <wp:wrapNone/>
                <wp:docPr id="106" name="Straight Connector 106"/>
                <wp:cNvGraphicFramePr/>
                <a:graphic xmlns:a="http://schemas.openxmlformats.org/drawingml/2006/main">
                  <a:graphicData uri="http://schemas.microsoft.com/office/word/2010/wordprocessingShape">
                    <wps:wsp>
                      <wps:cNvCnPr/>
                      <wps:spPr>
                        <a:xfrm>
                          <a:off x="0" y="0"/>
                          <a:ext cx="0" cy="30480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318EBE" id="Straight Connector 106"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48.75pt,16.25pt" to="348.7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" strokecolor="black [3213]" strokeweight="2.25pt">
                <v:stroke joinstyle="miter"/>
              </v:line>
            </w:pict>
          </mc:Fallback>
        </mc:AlternateContent>
      </w:r>
    </w:p>
    <w:p w14:paraId="3A35DF30" w14:textId="74A6CA73" w:rsidR="00105905" w:rsidRDefault="00105905" w:rsidP="00105905">
      <w:pPr>
        <w:spacing w:line="360" w:lineRule="auto"/>
      </w:pPr>
      <w:r>
        <w:rPr>
          <w:rFonts w:ascii="Times New Roman" w:hAnsi="Times New Roman" w:cs="Times New Roman"/>
          <w:noProof/>
          <w:sz w:val="24"/>
          <w:szCs w:val="24"/>
        </w:rPr>
        <mc:AlternateContent>
          <mc:Choice Requires="wps">
            <w:drawing>
              <wp:anchor distT="0" distB="0" distL="114300" distR="114300" simplePos="0" relativeHeight="251685888" behindDoc="0" locked="0" layoutInCell="1" allowOverlap="1" wp14:anchorId="25112C19" wp14:editId="1ED57C1F">
                <wp:simplePos x="0" y="0"/>
                <wp:positionH relativeFrom="column">
                  <wp:posOffset>2571750</wp:posOffset>
                </wp:positionH>
                <wp:positionV relativeFrom="paragraph">
                  <wp:posOffset>237490</wp:posOffset>
                </wp:positionV>
                <wp:extent cx="0" cy="638175"/>
                <wp:effectExtent l="19050" t="0" r="19050" b="28575"/>
                <wp:wrapNone/>
                <wp:docPr id="109" name="Straight Connector 109"/>
                <wp:cNvGraphicFramePr/>
                <a:graphic xmlns:a="http://schemas.openxmlformats.org/drawingml/2006/main">
                  <a:graphicData uri="http://schemas.microsoft.com/office/word/2010/wordprocessingShape">
                    <wps:wsp>
                      <wps:cNvCnPr/>
                      <wps:spPr>
                        <a:xfrm>
                          <a:off x="0" y="0"/>
                          <a:ext cx="0" cy="63817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2604628" id="Straight Connector 109" o:spid="_x0000_s1026" style="position:absolute;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2.5pt,18.7pt" to="202.5pt,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" strokecolor="black [3213]" strokeweight="2.2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7F077E36" wp14:editId="5D81CC5C">
                <wp:simplePos x="0" y="0"/>
                <wp:positionH relativeFrom="column">
                  <wp:posOffset>848360</wp:posOffset>
                </wp:positionH>
                <wp:positionV relativeFrom="paragraph">
                  <wp:posOffset>228600</wp:posOffset>
                </wp:positionV>
                <wp:extent cx="3495040" cy="6985"/>
                <wp:effectExtent l="19050" t="19050" r="29210" b="31115"/>
                <wp:wrapNone/>
                <wp:docPr id="108" name="Straight Connector 108"/>
                <wp:cNvGraphicFramePr/>
                <a:graphic xmlns:a="http://schemas.openxmlformats.org/drawingml/2006/main">
                  <a:graphicData uri="http://schemas.microsoft.com/office/word/2010/wordprocessingShape">
                    <wps:wsp>
                      <wps:cNvCnPr/>
                      <wps:spPr>
                        <a:xfrm flipV="1">
                          <a:off x="0" y="0"/>
                          <a:ext cx="3495040" cy="698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FD10A" id="Straight Connector 108"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66.8pt,18pt" to="342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" strokecolor="black [3213]" strokeweight="2.25pt">
                <v:stroke joinstyle="miter"/>
              </v:lin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82816" behindDoc="0" locked="0" layoutInCell="1" allowOverlap="1" wp14:anchorId="5789D13E" wp14:editId="5D2D1FF9">
                <wp:simplePos x="0" y="0"/>
                <wp:positionH relativeFrom="column">
                  <wp:posOffset>4354195</wp:posOffset>
                </wp:positionH>
                <wp:positionV relativeFrom="paragraph">
                  <wp:posOffset>154940</wp:posOffset>
                </wp:positionV>
                <wp:extent cx="164465" cy="158115"/>
                <wp:effectExtent l="0" t="0" r="26035" b="13335"/>
                <wp:wrapNone/>
                <wp:docPr id="107" name="Oval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58115"/>
                        </a:xfrm>
                        <a:prstGeom prst="ellipse">
                          <a:avLst/>
                        </a:prstGeom>
                        <a:solidFill>
                          <a:srgbClr val="C285A3"/>
                        </a:solidFill>
                        <a:ln w="25400">
                          <a:solidFill>
                            <a:srgbClr val="C285A3"/>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0094D0A" id="Oval 107" o:spid="_x0000_s1026" style="position:absolute;margin-left:342.85pt;margin-top:12.2pt;width:12.95pt;height:12.45pt;z-index:251682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" fillcolor="#c285a3" strokecolor="#c285a3" strokeweight="2pt">
                <v:shadow color="black [0]"/>
                <v:textbox inset="2.88pt,2.88pt,2.88pt,2.88pt"/>
              </v:oval>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8720" behindDoc="0" locked="0" layoutInCell="1" allowOverlap="1" wp14:anchorId="2730753E" wp14:editId="090E8094">
                <wp:simplePos x="0" y="0"/>
                <wp:positionH relativeFrom="column">
                  <wp:posOffset>676275</wp:posOffset>
                </wp:positionH>
                <wp:positionV relativeFrom="paragraph">
                  <wp:posOffset>131445</wp:posOffset>
                </wp:positionV>
                <wp:extent cx="181610" cy="161925"/>
                <wp:effectExtent l="0" t="0" r="27940" b="28575"/>
                <wp:wrapNone/>
                <wp:docPr id="103"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61925"/>
                        </a:xfrm>
                        <a:prstGeom prst="rect">
                          <a:avLst/>
                        </a:prstGeom>
                        <a:solidFill>
                          <a:srgbClr val="063D71"/>
                        </a:solidFill>
                        <a:ln w="25400">
                          <a:solidFill>
                            <a:srgbClr val="063D71"/>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8FE528" id="Rectangle 103" o:spid="_x0000_s1026" style="position:absolute;margin-left:53.25pt;margin-top:10.35pt;width:14.3pt;height:12.75pt;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" fillcolor="#063d71" strokecolor="#063d71" strokeweight="2pt">
                <v:shadow color="black [0]"/>
                <v:textbox inset="2.88pt,2.88pt,2.88pt,2.88pt"/>
              </v:rect>
            </w:pict>
          </mc:Fallback>
        </mc:AlternateContent>
      </w:r>
    </w:p>
    <w:p w14:paraId="3FC00177" w14:textId="77777777" w:rsidR="00105905" w:rsidRDefault="00105905" w:rsidP="00105905">
      <w:pPr>
        <w:spacing w:line="360" w:lineRule="auto"/>
      </w:pPr>
      <w:r>
        <w:rPr>
          <w:noProof/>
        </w:rPr>
        <mc:AlternateContent>
          <mc:Choice Requires="wps">
            <w:drawing>
              <wp:anchor distT="45720" distB="45720" distL="114300" distR="114300" simplePos="0" relativeHeight="251683840" behindDoc="0" locked="0" layoutInCell="1" allowOverlap="1" wp14:anchorId="48F04ADC" wp14:editId="4574A886">
                <wp:simplePos x="0" y="0"/>
                <wp:positionH relativeFrom="column">
                  <wp:posOffset>4226560</wp:posOffset>
                </wp:positionH>
                <wp:positionV relativeFrom="paragraph">
                  <wp:posOffset>76200</wp:posOffset>
                </wp:positionV>
                <wp:extent cx="523875" cy="2952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295275"/>
                        </a:xfrm>
                        <a:prstGeom prst="rect">
                          <a:avLst/>
                        </a:prstGeom>
                        <a:solidFill>
                          <a:srgbClr val="FFFFFF"/>
                        </a:solidFill>
                        <a:ln w="9525">
                          <a:solidFill>
                            <a:schemeClr val="bg1"/>
                          </a:solidFill>
                          <a:miter lim="800000"/>
                          <a:headEnd/>
                          <a:tailEnd/>
                        </a:ln>
                      </wps:spPr>
                      <wps:txbx>
                        <w:txbxContent>
                          <w:p w14:paraId="2A26C836" w14:textId="77777777" w:rsidR="009943DF" w:rsidRDefault="009943DF" w:rsidP="00105905">
                            <w:proofErr w:type="spellStart"/>
                            <w:r>
                              <w:t>Tiye</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F04ADC" id="Text Box 2" o:spid="_x0000_s1030" type="#_x0000_t202" style="position:absolute;margin-left:332.8pt;margin-top:6pt;width:41.25pt;height:23.2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" strokecolor="white [3212]">
                <v:textbox>
                  <w:txbxContent>
                    <w:p w14:paraId="2A26C836" w14:textId="77777777" w:rsidR="009943DF" w:rsidRDefault="009943DF" w:rsidP="00105905">
                      <w:proofErr w:type="spellStart"/>
                      <w:r>
                        <w:t>Tiye</w:t>
                      </w:r>
                      <w:proofErr w:type="spellEnd"/>
                    </w:p>
                  </w:txbxContent>
                </v:textbox>
                <w10:wrap type="square"/>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8480" behindDoc="0" locked="0" layoutInCell="1" allowOverlap="1" wp14:anchorId="2771E4EA" wp14:editId="57679C61">
                <wp:simplePos x="0" y="0"/>
                <wp:positionH relativeFrom="column">
                  <wp:posOffset>372745</wp:posOffset>
                </wp:positionH>
                <wp:positionV relativeFrom="paragraph">
                  <wp:posOffset>15875</wp:posOffset>
                </wp:positionV>
                <wp:extent cx="828675" cy="276225"/>
                <wp:effectExtent l="0" t="0" r="3175" b="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2762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FEE4B6C" w14:textId="77777777" w:rsidR="009943DF" w:rsidRDefault="009943DF" w:rsidP="00105905">
                            <w:pPr>
                              <w:widowControl w:val="0"/>
                            </w:pPr>
                            <w:r>
                              <w:t>Amenhotep III</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71E4EA" id="Text Box 79" o:spid="_x0000_s1031" type="#_x0000_t202" style="position:absolute;margin-left:29.35pt;margin-top:1.25pt;width:65.25pt;height:21.75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" filled="f" fillcolor="#5b9bd5" stroked="f" strokecolor="black [0]" strokeweight="2pt">
                <v:textbox inset="2.88pt,2.88pt,2.88pt,2.88pt">
                  <w:txbxContent>
                    <w:p w14:paraId="7FEE4B6C" w14:textId="77777777" w:rsidR="009943DF" w:rsidRDefault="009943DF" w:rsidP="00105905">
                      <w:pPr>
                        <w:widowControl w:val="0"/>
                      </w:pPr>
                      <w:r>
                        <w:t>Amenhotep III</w:t>
                      </w:r>
                    </w:p>
                  </w:txbxContent>
                </v:textbox>
              </v:shape>
            </w:pict>
          </mc:Fallback>
        </mc:AlternateContent>
      </w:r>
    </w:p>
    <w:p w14:paraId="44050194" w14:textId="0B6E3852" w:rsidR="00105905" w:rsidRDefault="00105905" w:rsidP="00105905">
      <w:pPr>
        <w:spacing w:line="360" w:lineRule="auto"/>
      </w:pPr>
      <w:r>
        <w:rPr>
          <w:rFonts w:ascii="Times New Roman" w:hAnsi="Times New Roman" w:cs="Times New Roman"/>
          <w:noProof/>
          <w:sz w:val="24"/>
          <w:szCs w:val="24"/>
        </w:rPr>
        <mc:AlternateContent>
          <mc:Choice Requires="wps">
            <w:drawing>
              <wp:anchor distT="0" distB="0" distL="114300" distR="114300" simplePos="0" relativeHeight="251696128" behindDoc="0" locked="0" layoutInCell="1" allowOverlap="1" wp14:anchorId="3CE717FF" wp14:editId="0D2E0262">
                <wp:simplePos x="0" y="0"/>
                <wp:positionH relativeFrom="column">
                  <wp:posOffset>2117090</wp:posOffset>
                </wp:positionH>
                <wp:positionV relativeFrom="paragraph">
                  <wp:posOffset>309880</wp:posOffset>
                </wp:positionV>
                <wp:extent cx="0" cy="552450"/>
                <wp:effectExtent l="19050" t="0" r="19050" b="19050"/>
                <wp:wrapNone/>
                <wp:docPr id="120" name="Straight Connector 120"/>
                <wp:cNvGraphicFramePr/>
                <a:graphic xmlns:a="http://schemas.openxmlformats.org/drawingml/2006/main">
                  <a:graphicData uri="http://schemas.microsoft.com/office/word/2010/wordprocessingShape">
                    <wps:wsp>
                      <wps:cNvCnPr/>
                      <wps:spPr>
                        <a:xfrm>
                          <a:off x="0" y="0"/>
                          <a:ext cx="0" cy="55245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5D9B1ED" id="Straight Connector 120"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6.7pt,24.4pt" to="166.7pt,6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" strokecolor="black [3213]" strokeweight="2.2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1008" behindDoc="0" locked="0" layoutInCell="1" allowOverlap="1" wp14:anchorId="24086091" wp14:editId="706D6F1E">
                <wp:simplePos x="0" y="0"/>
                <wp:positionH relativeFrom="column">
                  <wp:posOffset>148590</wp:posOffset>
                </wp:positionH>
                <wp:positionV relativeFrom="paragraph">
                  <wp:posOffset>315595</wp:posOffset>
                </wp:positionV>
                <wp:extent cx="2312035" cy="0"/>
                <wp:effectExtent l="0" t="19050" r="31115" b="19050"/>
                <wp:wrapNone/>
                <wp:docPr id="115" name="Straight Connector 115"/>
                <wp:cNvGraphicFramePr/>
                <a:graphic xmlns:a="http://schemas.openxmlformats.org/drawingml/2006/main">
                  <a:graphicData uri="http://schemas.microsoft.com/office/word/2010/wordprocessingShape">
                    <wps:wsp>
                      <wps:cNvCnPr/>
                      <wps:spPr>
                        <a:xfrm>
                          <a:off x="0" y="0"/>
                          <a:ext cx="2312035"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9C4885" id="Straight Connector 115"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11.7pt,24.85pt" to="193.7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" strokecolor="red" strokeweight="2.2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9984" behindDoc="0" locked="0" layoutInCell="1" allowOverlap="1" wp14:anchorId="56B2D352" wp14:editId="16813278">
                <wp:simplePos x="0" y="0"/>
                <wp:positionH relativeFrom="column">
                  <wp:posOffset>173355</wp:posOffset>
                </wp:positionH>
                <wp:positionV relativeFrom="paragraph">
                  <wp:posOffset>215265</wp:posOffset>
                </wp:positionV>
                <wp:extent cx="2312035" cy="0"/>
                <wp:effectExtent l="0" t="19050" r="31115" b="19050"/>
                <wp:wrapNone/>
                <wp:docPr id="114" name="Straight Connector 114"/>
                <wp:cNvGraphicFramePr/>
                <a:graphic xmlns:a="http://schemas.openxmlformats.org/drawingml/2006/main">
                  <a:graphicData uri="http://schemas.microsoft.com/office/word/2010/wordprocessingShape">
                    <wps:wsp>
                      <wps:cNvCnPr/>
                      <wps:spPr>
                        <a:xfrm>
                          <a:off x="0" y="0"/>
                          <a:ext cx="231203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5B9334" id="Straight Connector 114"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3.65pt,16.95pt" to="195.7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" strokecolor="black [3213]" strokeweight="2.25pt">
                <v:stroke joinstyle="miter"/>
              </v:lin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9504" behindDoc="0" locked="0" layoutInCell="1" allowOverlap="1" wp14:anchorId="33CF925A" wp14:editId="3D2E4CC1">
                <wp:simplePos x="0" y="0"/>
                <wp:positionH relativeFrom="column">
                  <wp:posOffset>-224155</wp:posOffset>
                </wp:positionH>
                <wp:positionV relativeFrom="paragraph">
                  <wp:posOffset>332740</wp:posOffset>
                </wp:positionV>
                <wp:extent cx="1076325" cy="304800"/>
                <wp:effectExtent l="0" t="0" r="0" b="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048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D6EB8EB" w14:textId="4EC2C707" w:rsidR="009943DF" w:rsidRDefault="009943DF" w:rsidP="00105905">
                            <w:pPr>
                              <w:widowControl w:val="0"/>
                            </w:pPr>
                            <w:r>
                              <w:t>KV35YL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CF925A" id="Text Box 77" o:spid="_x0000_s1032" type="#_x0000_t202" style="position:absolute;margin-left:-17.65pt;margin-top:26.2pt;width:84.75pt;height:24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" filled="f" fillcolor="#5b9bd5" stroked="f" strokecolor="black [0]" strokeweight="2pt">
                <v:textbox inset="2.88pt,2.88pt,2.88pt,2.88pt">
                  <w:txbxContent>
                    <w:p w14:paraId="1D6EB8EB" w14:textId="4EC2C707" w:rsidR="009943DF" w:rsidRDefault="009943DF" w:rsidP="00105905">
                      <w:pPr>
                        <w:widowControl w:val="0"/>
                      </w:pPr>
                      <w:r>
                        <w:t>KV35YL</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87936" behindDoc="0" locked="0" layoutInCell="1" allowOverlap="1" wp14:anchorId="34435B96" wp14:editId="171D4A4F">
                <wp:simplePos x="0" y="0"/>
                <wp:positionH relativeFrom="column">
                  <wp:posOffset>12065</wp:posOffset>
                </wp:positionH>
                <wp:positionV relativeFrom="paragraph">
                  <wp:posOffset>167640</wp:posOffset>
                </wp:positionV>
                <wp:extent cx="164465" cy="158115"/>
                <wp:effectExtent l="0" t="0" r="26035" b="13335"/>
                <wp:wrapNone/>
                <wp:docPr id="112" name="Oval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58115"/>
                        </a:xfrm>
                        <a:prstGeom prst="ellipse">
                          <a:avLst/>
                        </a:prstGeom>
                        <a:solidFill>
                          <a:srgbClr val="C285A3"/>
                        </a:solidFill>
                        <a:ln w="25400">
                          <a:solidFill>
                            <a:srgbClr val="C285A3"/>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DA07CD9" id="Oval 112" o:spid="_x0000_s1026" style="position:absolute;margin-left:.95pt;margin-top:13.2pt;width:12.95pt;height:12.45pt;z-index:2516879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" fillcolor="#c285a3" strokecolor="#c285a3" strokeweight="2pt">
                <v:shadow color="black [0]"/>
                <v:textbox inset="2.88pt,2.88pt,2.88pt,2.88pt"/>
              </v:oval>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86912" behindDoc="0" locked="0" layoutInCell="1" allowOverlap="1" wp14:anchorId="4CD8F089" wp14:editId="476F4A8B">
                <wp:simplePos x="0" y="0"/>
                <wp:positionH relativeFrom="column">
                  <wp:posOffset>2486025</wp:posOffset>
                </wp:positionH>
                <wp:positionV relativeFrom="paragraph">
                  <wp:posOffset>160020</wp:posOffset>
                </wp:positionV>
                <wp:extent cx="181610" cy="161925"/>
                <wp:effectExtent l="0" t="0" r="27940" b="28575"/>
                <wp:wrapNone/>
                <wp:docPr id="111"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61925"/>
                        </a:xfrm>
                        <a:prstGeom prst="rect">
                          <a:avLst/>
                        </a:prstGeom>
                        <a:solidFill>
                          <a:srgbClr val="063D71"/>
                        </a:solidFill>
                        <a:ln w="25400">
                          <a:solidFill>
                            <a:srgbClr val="063D71"/>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68ED4" id="Rectangle 111" o:spid="_x0000_s1026" style="position:absolute;margin-left:195.75pt;margin-top:12.6pt;width:14.3pt;height:12.75pt;z-index:2516869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" fillcolor="#063d71" strokecolor="#063d71" strokeweight="2pt">
                <v:shadow color="black [0]"/>
                <v:textbox inset="2.88pt,2.88pt,2.88pt,2.88pt"/>
              </v:rect>
            </w:pict>
          </mc:Fallback>
        </mc:AlternateContent>
      </w:r>
    </w:p>
    <w:p w14:paraId="0F1A7252" w14:textId="6DAF7A14" w:rsidR="00105905" w:rsidRDefault="00243ABA" w:rsidP="00105905">
      <w:pPr>
        <w:spacing w:line="360" w:lineRule="auto"/>
      </w:pPr>
      <w:r>
        <w:rPr>
          <w:rFonts w:ascii="Times New Roman" w:hAnsi="Times New Roman" w:cs="Times New Roman"/>
          <w:noProof/>
          <w:sz w:val="24"/>
          <w:szCs w:val="24"/>
        </w:rPr>
        <mc:AlternateContent>
          <mc:Choice Requires="wps">
            <w:drawing>
              <wp:anchor distT="0" distB="0" distL="114300" distR="114300" simplePos="0" relativeHeight="251730944" behindDoc="0" locked="0" layoutInCell="1" allowOverlap="1" wp14:anchorId="7E865765" wp14:editId="6B66188E">
                <wp:simplePos x="0" y="0"/>
                <wp:positionH relativeFrom="column">
                  <wp:posOffset>-38100</wp:posOffset>
                </wp:positionH>
                <wp:positionV relativeFrom="paragraph">
                  <wp:posOffset>227965</wp:posOffset>
                </wp:positionV>
                <wp:extent cx="1638300" cy="147637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1638300" cy="1476375"/>
                        </a:xfrm>
                        <a:prstGeom prst="rect">
                          <a:avLst/>
                        </a:prstGeom>
                        <a:solidFill>
                          <a:schemeClr val="lt1"/>
                        </a:solidFill>
                        <a:ln w="6350">
                          <a:solidFill>
                            <a:prstClr val="black"/>
                          </a:solidFill>
                        </a:ln>
                      </wps:spPr>
                      <wps:txbx>
                        <w:txbxContent>
                          <w:p w14:paraId="0E1223FF" w14:textId="073E5C67" w:rsidR="009943DF" w:rsidRPr="005B7A81" w:rsidRDefault="009943DF" w:rsidP="005B7A81">
                            <w:pPr>
                              <w:pStyle w:val="NoSpacing"/>
                              <w:jc w:val="center"/>
                              <w:rPr>
                                <w:u w:val="single"/>
                              </w:rPr>
                            </w:pPr>
                            <w:r w:rsidRPr="005B7A81">
                              <w:rPr>
                                <w:u w:val="single"/>
                              </w:rPr>
                              <w:t>Key</w:t>
                            </w:r>
                          </w:p>
                          <w:p w14:paraId="6BF2419A" w14:textId="05810C72" w:rsidR="009943DF" w:rsidRPr="00504B8E" w:rsidRDefault="009943DF" w:rsidP="004A729C">
                            <w:pPr>
                              <w:pStyle w:val="NoSpacing"/>
                              <w:spacing w:line="360" w:lineRule="auto"/>
                              <w:rPr>
                                <w:sz w:val="20"/>
                                <w:szCs w:val="20"/>
                              </w:rPr>
                            </w:pPr>
                            <w:r w:rsidRPr="00504B8E">
                              <w:rPr>
                                <w:sz w:val="20"/>
                                <w:szCs w:val="20"/>
                              </w:rPr>
                              <w:t>Female</w:t>
                            </w:r>
                          </w:p>
                          <w:p w14:paraId="72B06B91" w14:textId="42C717B4" w:rsidR="009943DF" w:rsidRPr="00504B8E" w:rsidRDefault="009943DF" w:rsidP="004A729C">
                            <w:pPr>
                              <w:pStyle w:val="NoSpacing"/>
                              <w:spacing w:line="360" w:lineRule="auto"/>
                              <w:rPr>
                                <w:sz w:val="20"/>
                                <w:szCs w:val="20"/>
                              </w:rPr>
                            </w:pPr>
                            <w:r w:rsidRPr="00504B8E">
                              <w:rPr>
                                <w:sz w:val="20"/>
                                <w:szCs w:val="20"/>
                              </w:rPr>
                              <w:t>Male</w:t>
                            </w:r>
                          </w:p>
                          <w:p w14:paraId="27A3C0A8" w14:textId="6AE52742" w:rsidR="009943DF" w:rsidRPr="00504B8E" w:rsidRDefault="009943DF" w:rsidP="004A729C">
                            <w:pPr>
                              <w:pStyle w:val="NoSpacing"/>
                              <w:spacing w:line="360" w:lineRule="auto"/>
                              <w:rPr>
                                <w:sz w:val="20"/>
                                <w:szCs w:val="20"/>
                              </w:rPr>
                            </w:pPr>
                            <w:r w:rsidRPr="00504B8E">
                              <w:rPr>
                                <w:sz w:val="20"/>
                                <w:szCs w:val="20"/>
                              </w:rPr>
                              <w:t>Stillborn</w:t>
                            </w:r>
                          </w:p>
                          <w:p w14:paraId="043A4168" w14:textId="0C80B374" w:rsidR="009943DF" w:rsidRPr="00504B8E" w:rsidRDefault="009943DF" w:rsidP="004A729C">
                            <w:pPr>
                              <w:pStyle w:val="NoSpacing"/>
                              <w:spacing w:line="360" w:lineRule="auto"/>
                              <w:rPr>
                                <w:sz w:val="20"/>
                                <w:szCs w:val="20"/>
                              </w:rPr>
                            </w:pPr>
                            <w:r w:rsidRPr="00504B8E">
                              <w:rPr>
                                <w:sz w:val="20"/>
                                <w:szCs w:val="20"/>
                              </w:rPr>
                              <w:t>Siblings</w:t>
                            </w:r>
                          </w:p>
                          <w:p w14:paraId="40711499" w14:textId="34AEDD42" w:rsidR="009943DF" w:rsidRPr="00504B8E" w:rsidRDefault="009943DF" w:rsidP="004A729C">
                            <w:pPr>
                              <w:pStyle w:val="NoSpacing"/>
                              <w:spacing w:line="360" w:lineRule="auto"/>
                              <w:rPr>
                                <w:sz w:val="20"/>
                                <w:szCs w:val="20"/>
                              </w:rPr>
                            </w:pPr>
                            <w:r w:rsidRPr="00504B8E">
                              <w:rPr>
                                <w:sz w:val="20"/>
                                <w:szCs w:val="20"/>
                              </w:rPr>
                              <w:t>Assumed relations</w:t>
                            </w:r>
                          </w:p>
                          <w:p w14:paraId="644350D6" w14:textId="77777777" w:rsidR="009943DF" w:rsidRPr="00243ABA" w:rsidRDefault="009943DF" w:rsidP="005B7A81">
                            <w:pPr>
                              <w:pStyle w:val="ListParagraph"/>
                              <w:rPr>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65765" id="Text Box 7" o:spid="_x0000_s1033" type="#_x0000_t202" style="position:absolute;margin-left:-3pt;margin-top:17.95pt;width:129pt;height:116.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" fillcolor="white [3201]" strokeweight=".5pt">
                <v:textbox>
                  <w:txbxContent>
                    <w:p w14:paraId="0E1223FF" w14:textId="073E5C67" w:rsidR="009943DF" w:rsidRPr="005B7A81" w:rsidRDefault="009943DF" w:rsidP="005B7A81">
                      <w:pPr>
                        <w:pStyle w:val="NoSpacing"/>
                        <w:jc w:val="center"/>
                        <w:rPr>
                          <w:u w:val="single"/>
                        </w:rPr>
                      </w:pPr>
                      <w:r w:rsidRPr="005B7A81">
                        <w:rPr>
                          <w:u w:val="single"/>
                        </w:rPr>
                        <w:t>Key</w:t>
                      </w:r>
                    </w:p>
                    <w:p w14:paraId="6BF2419A" w14:textId="05810C72" w:rsidR="009943DF" w:rsidRPr="00504B8E" w:rsidRDefault="009943DF" w:rsidP="004A729C">
                      <w:pPr>
                        <w:pStyle w:val="NoSpacing"/>
                        <w:spacing w:line="360" w:lineRule="auto"/>
                        <w:rPr>
                          <w:sz w:val="20"/>
                          <w:szCs w:val="20"/>
                        </w:rPr>
                      </w:pPr>
                      <w:r w:rsidRPr="00504B8E">
                        <w:rPr>
                          <w:sz w:val="20"/>
                          <w:szCs w:val="20"/>
                        </w:rPr>
                        <w:t>Female</w:t>
                      </w:r>
                    </w:p>
                    <w:p w14:paraId="72B06B91" w14:textId="42C717B4" w:rsidR="009943DF" w:rsidRPr="00504B8E" w:rsidRDefault="009943DF" w:rsidP="004A729C">
                      <w:pPr>
                        <w:pStyle w:val="NoSpacing"/>
                        <w:spacing w:line="360" w:lineRule="auto"/>
                        <w:rPr>
                          <w:sz w:val="20"/>
                          <w:szCs w:val="20"/>
                        </w:rPr>
                      </w:pPr>
                      <w:r w:rsidRPr="00504B8E">
                        <w:rPr>
                          <w:sz w:val="20"/>
                          <w:szCs w:val="20"/>
                        </w:rPr>
                        <w:t>Male</w:t>
                      </w:r>
                    </w:p>
                    <w:p w14:paraId="27A3C0A8" w14:textId="6AE52742" w:rsidR="009943DF" w:rsidRPr="00504B8E" w:rsidRDefault="009943DF" w:rsidP="004A729C">
                      <w:pPr>
                        <w:pStyle w:val="NoSpacing"/>
                        <w:spacing w:line="360" w:lineRule="auto"/>
                        <w:rPr>
                          <w:sz w:val="20"/>
                          <w:szCs w:val="20"/>
                        </w:rPr>
                      </w:pPr>
                      <w:r w:rsidRPr="00504B8E">
                        <w:rPr>
                          <w:sz w:val="20"/>
                          <w:szCs w:val="20"/>
                        </w:rPr>
                        <w:t>Stillborn</w:t>
                      </w:r>
                    </w:p>
                    <w:p w14:paraId="043A4168" w14:textId="0C80B374" w:rsidR="009943DF" w:rsidRPr="00504B8E" w:rsidRDefault="009943DF" w:rsidP="004A729C">
                      <w:pPr>
                        <w:pStyle w:val="NoSpacing"/>
                        <w:spacing w:line="360" w:lineRule="auto"/>
                        <w:rPr>
                          <w:sz w:val="20"/>
                          <w:szCs w:val="20"/>
                        </w:rPr>
                      </w:pPr>
                      <w:r w:rsidRPr="00504B8E">
                        <w:rPr>
                          <w:sz w:val="20"/>
                          <w:szCs w:val="20"/>
                        </w:rPr>
                        <w:t>Siblings</w:t>
                      </w:r>
                    </w:p>
                    <w:p w14:paraId="40711499" w14:textId="34AEDD42" w:rsidR="009943DF" w:rsidRPr="00504B8E" w:rsidRDefault="009943DF" w:rsidP="004A729C">
                      <w:pPr>
                        <w:pStyle w:val="NoSpacing"/>
                        <w:spacing w:line="360" w:lineRule="auto"/>
                        <w:rPr>
                          <w:sz w:val="20"/>
                          <w:szCs w:val="20"/>
                        </w:rPr>
                      </w:pPr>
                      <w:r w:rsidRPr="00504B8E">
                        <w:rPr>
                          <w:sz w:val="20"/>
                          <w:szCs w:val="20"/>
                        </w:rPr>
                        <w:t>Assumed relations</w:t>
                      </w:r>
                    </w:p>
                    <w:p w14:paraId="644350D6" w14:textId="77777777" w:rsidR="009943DF" w:rsidRPr="00243ABA" w:rsidRDefault="009943DF" w:rsidP="005B7A81">
                      <w:pPr>
                        <w:pStyle w:val="ListParagraph"/>
                        <w:rPr>
                          <w:u w:val="single"/>
                        </w:rPr>
                      </w:pPr>
                    </w:p>
                  </w:txbxContent>
                </v:textbox>
              </v:shape>
            </w:pict>
          </mc:Fallback>
        </mc:AlternateContent>
      </w:r>
      <w:r w:rsidR="00105905">
        <w:rPr>
          <w:rFonts w:ascii="Times New Roman" w:hAnsi="Times New Roman" w:cs="Times New Roman"/>
          <w:noProof/>
          <w:sz w:val="24"/>
          <w:szCs w:val="24"/>
        </w:rPr>
        <mc:AlternateContent>
          <mc:Choice Requires="wps">
            <w:drawing>
              <wp:anchor distT="36576" distB="36576" distL="36576" distR="36576" simplePos="0" relativeHeight="251670528" behindDoc="0" locked="0" layoutInCell="1" allowOverlap="1" wp14:anchorId="415AF049" wp14:editId="6BB0CE9E">
                <wp:simplePos x="0" y="0"/>
                <wp:positionH relativeFrom="column">
                  <wp:posOffset>2292985</wp:posOffset>
                </wp:positionH>
                <wp:positionV relativeFrom="paragraph">
                  <wp:posOffset>108585</wp:posOffset>
                </wp:positionV>
                <wp:extent cx="752475" cy="247650"/>
                <wp:effectExtent l="0" t="0" r="0" b="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2476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52374B7" w14:textId="77777777" w:rsidR="009943DF" w:rsidRDefault="009943DF" w:rsidP="00105905">
                            <w:pPr>
                              <w:widowControl w:val="0"/>
                            </w:pPr>
                            <w:r>
                              <w:t>Akhenaten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5AF049" id="Text Box 76" o:spid="_x0000_s1034" type="#_x0000_t202" style="position:absolute;margin-left:180.55pt;margin-top:8.55pt;width:59.25pt;height:19.5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" filled="f" fillcolor="#5b9bd5" stroked="f" strokecolor="black [0]" strokeweight="2pt">
                <v:textbox inset="2.88pt,2.88pt,2.88pt,2.88pt">
                  <w:txbxContent>
                    <w:p w14:paraId="552374B7" w14:textId="77777777" w:rsidR="009943DF" w:rsidRDefault="009943DF" w:rsidP="00105905">
                      <w:pPr>
                        <w:widowControl w:val="0"/>
                      </w:pPr>
                      <w:r>
                        <w:t>Akhenaten</w:t>
                      </w:r>
                    </w:p>
                  </w:txbxContent>
                </v:textbox>
              </v:shape>
            </w:pict>
          </mc:Fallback>
        </mc:AlternateContent>
      </w:r>
    </w:p>
    <w:p w14:paraId="18CEAB91" w14:textId="24B8DAA7" w:rsidR="00105905" w:rsidRPr="00243ABA" w:rsidRDefault="00504B8E" w:rsidP="00243ABA">
      <w:pPr>
        <w:pStyle w:val="NoSpacing"/>
        <w:rPr>
          <w:u w:val="single"/>
        </w:rPr>
      </w:pPr>
      <w:r w:rsidRPr="00E351E2">
        <w:rPr>
          <w:rFonts w:ascii="Times New Roman" w:hAnsi="Times New Roman" w:cs="Times New Roman"/>
          <w:noProof/>
          <w:sz w:val="24"/>
          <w:szCs w:val="24"/>
          <w:u w:val="single"/>
        </w:rPr>
        <mc:AlternateContent>
          <mc:Choice Requires="wps">
            <w:drawing>
              <wp:anchor distT="36576" distB="36576" distL="36576" distR="36576" simplePos="0" relativeHeight="251694080" behindDoc="0" locked="0" layoutInCell="1" allowOverlap="1" wp14:anchorId="3A2BD18E" wp14:editId="2EB8C93E">
                <wp:simplePos x="0" y="0"/>
                <wp:positionH relativeFrom="column">
                  <wp:posOffset>3528695</wp:posOffset>
                </wp:positionH>
                <wp:positionV relativeFrom="paragraph">
                  <wp:posOffset>165100</wp:posOffset>
                </wp:positionV>
                <wp:extent cx="164465" cy="158115"/>
                <wp:effectExtent l="0" t="0" r="26035" b="13335"/>
                <wp:wrapNone/>
                <wp:docPr id="118" name="Oval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58115"/>
                        </a:xfrm>
                        <a:prstGeom prst="ellipse">
                          <a:avLst/>
                        </a:prstGeom>
                        <a:solidFill>
                          <a:srgbClr val="C285A3"/>
                        </a:solidFill>
                        <a:ln w="25400">
                          <a:solidFill>
                            <a:srgbClr val="C285A3"/>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C221146" id="Oval 118" o:spid="_x0000_s1026" style="position:absolute;margin-left:277.85pt;margin-top:13pt;width:12.95pt;height:12.45pt;z-index:2516940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" fillcolor="#c285a3" strokecolor="#c285a3" strokeweight="2pt">
                <v:shadow color="black [0]"/>
                <v:textbox inset="2.88pt,2.88pt,2.88pt,2.88pt"/>
              </v:oval>
            </w:pict>
          </mc:Fallback>
        </mc:AlternateContent>
      </w:r>
      <w:r w:rsidRPr="00E351E2">
        <w:rPr>
          <w:rFonts w:ascii="Times New Roman" w:hAnsi="Times New Roman" w:cs="Times New Roman"/>
          <w:noProof/>
          <w:sz w:val="24"/>
          <w:szCs w:val="24"/>
          <w:u w:val="single"/>
        </w:rPr>
        <mc:AlternateContent>
          <mc:Choice Requires="wps">
            <w:drawing>
              <wp:anchor distT="36576" distB="36576" distL="36576" distR="36576" simplePos="0" relativeHeight="251693056" behindDoc="0" locked="0" layoutInCell="1" allowOverlap="1" wp14:anchorId="319EEFDC" wp14:editId="31671CA2">
                <wp:simplePos x="0" y="0"/>
                <wp:positionH relativeFrom="column">
                  <wp:posOffset>2047875</wp:posOffset>
                </wp:positionH>
                <wp:positionV relativeFrom="paragraph">
                  <wp:posOffset>165735</wp:posOffset>
                </wp:positionV>
                <wp:extent cx="181610" cy="161925"/>
                <wp:effectExtent l="0" t="0" r="27940" b="28575"/>
                <wp:wrapNone/>
                <wp:docPr id="117"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61925"/>
                        </a:xfrm>
                        <a:prstGeom prst="rect">
                          <a:avLst/>
                        </a:prstGeom>
                        <a:solidFill>
                          <a:srgbClr val="063D71"/>
                        </a:solidFill>
                        <a:ln w="25400">
                          <a:solidFill>
                            <a:srgbClr val="063D71"/>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3ADED" id="Rectangle 117" o:spid="_x0000_s1026" style="position:absolute;margin-left:161.25pt;margin-top:13.05pt;width:14.3pt;height:12.75pt;z-index:2516930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" fillcolor="#063d71" strokecolor="#063d71" strokeweight="2pt">
                <v:shadow color="black [0]"/>
                <v:textbox inset="2.88pt,2.88pt,2.88pt,2.88pt"/>
              </v:rect>
            </w:pict>
          </mc:Fallback>
        </mc:AlternateContent>
      </w:r>
      <w:r w:rsidR="004A729C">
        <w:rPr>
          <w:rFonts w:ascii="Times New Roman" w:hAnsi="Times New Roman" w:cs="Times New Roman"/>
          <w:noProof/>
          <w:sz w:val="24"/>
          <w:szCs w:val="24"/>
        </w:rPr>
        <mc:AlternateContent>
          <mc:Choice Requires="wps">
            <w:drawing>
              <wp:anchor distT="36576" distB="36576" distL="36576" distR="36576" simplePos="0" relativeHeight="251732992" behindDoc="0" locked="0" layoutInCell="1" allowOverlap="1" wp14:anchorId="44B7D1E7" wp14:editId="788DF00E">
                <wp:simplePos x="0" y="0"/>
                <wp:positionH relativeFrom="column">
                  <wp:posOffset>1200150</wp:posOffset>
                </wp:positionH>
                <wp:positionV relativeFrom="paragraph">
                  <wp:posOffset>118110</wp:posOffset>
                </wp:positionV>
                <wp:extent cx="104775" cy="114300"/>
                <wp:effectExtent l="0" t="0" r="28575" b="19050"/>
                <wp:wrapNone/>
                <wp:docPr id="1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14300"/>
                        </a:xfrm>
                        <a:prstGeom prst="ellipse">
                          <a:avLst/>
                        </a:prstGeom>
                        <a:solidFill>
                          <a:srgbClr val="C285A3"/>
                        </a:solidFill>
                        <a:ln w="25400">
                          <a:solidFill>
                            <a:srgbClr val="C285A3"/>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4FE817F" id="Oval 10" o:spid="_x0000_s1026" style="position:absolute;margin-left:94.5pt;margin-top:9.3pt;width:8.25pt;height:9pt;z-index:2517329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" fillcolor="#c285a3" strokecolor="#c285a3" strokeweight="2pt">
                <v:shadow color="black [0]"/>
                <v:textbox inset="2.88pt,2.88pt,2.88pt,2.88pt"/>
              </v:oval>
            </w:pict>
          </mc:Fallback>
        </mc:AlternateContent>
      </w:r>
      <w:r w:rsidR="00105905" w:rsidRPr="00E351E2">
        <w:rPr>
          <w:rFonts w:ascii="Times New Roman" w:hAnsi="Times New Roman" w:cs="Times New Roman"/>
          <w:noProof/>
          <w:sz w:val="24"/>
          <w:szCs w:val="24"/>
          <w:u w:val="single"/>
        </w:rPr>
        <mc:AlternateContent>
          <mc:Choice Requires="wps">
            <w:drawing>
              <wp:anchor distT="36576" distB="36576" distL="36576" distR="36576" simplePos="0" relativeHeight="251697152" behindDoc="0" locked="0" layoutInCell="1" allowOverlap="1" wp14:anchorId="7B8B6D09" wp14:editId="2165DD6E">
                <wp:simplePos x="0" y="0"/>
                <wp:positionH relativeFrom="column">
                  <wp:posOffset>3264535</wp:posOffset>
                </wp:positionH>
                <wp:positionV relativeFrom="paragraph">
                  <wp:posOffset>288290</wp:posOffset>
                </wp:positionV>
                <wp:extent cx="952500" cy="257175"/>
                <wp:effectExtent l="1270" t="0" r="0" b="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2571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3B2A7D0" w14:textId="77777777" w:rsidR="009943DF" w:rsidRDefault="009943DF" w:rsidP="00105905">
                            <w:pPr>
                              <w:widowControl w:val="0"/>
                            </w:pPr>
                            <w:proofErr w:type="spellStart"/>
                            <w:r>
                              <w:t>Ankheseamun</w:t>
                            </w:r>
                            <w:proofErr w:type="spell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8B6D09" id="Text Box 121" o:spid="_x0000_s1035" type="#_x0000_t202" style="position:absolute;margin-left:257.05pt;margin-top:22.7pt;width:75pt;height:20.25pt;z-index:2516971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" filled="f" fillcolor="#5b9bd5" stroked="f" strokecolor="black [0]" strokeweight="2pt">
                <v:textbox inset="2.88pt,2.88pt,2.88pt,2.88pt">
                  <w:txbxContent>
                    <w:p w14:paraId="03B2A7D0" w14:textId="77777777" w:rsidR="009943DF" w:rsidRDefault="009943DF" w:rsidP="00105905">
                      <w:pPr>
                        <w:widowControl w:val="0"/>
                      </w:pPr>
                      <w:proofErr w:type="spellStart"/>
                      <w:r>
                        <w:t>Ankheseamun</w:t>
                      </w:r>
                      <w:proofErr w:type="spellEnd"/>
                    </w:p>
                  </w:txbxContent>
                </v:textbox>
              </v:shape>
            </w:pict>
          </mc:Fallback>
        </mc:AlternateContent>
      </w:r>
      <w:r w:rsidR="00105905" w:rsidRPr="00E351E2">
        <w:rPr>
          <w:rFonts w:ascii="Times New Roman" w:hAnsi="Times New Roman" w:cs="Times New Roman"/>
          <w:noProof/>
          <w:sz w:val="24"/>
          <w:szCs w:val="24"/>
          <w:u w:val="single"/>
        </w:rPr>
        <mc:AlternateContent>
          <mc:Choice Requires="wps">
            <w:drawing>
              <wp:anchor distT="0" distB="0" distL="114300" distR="114300" simplePos="0" relativeHeight="251699200" behindDoc="0" locked="0" layoutInCell="1" allowOverlap="1" wp14:anchorId="48499211" wp14:editId="1AA2A589">
                <wp:simplePos x="0" y="0"/>
                <wp:positionH relativeFrom="column">
                  <wp:posOffset>2781300</wp:posOffset>
                </wp:positionH>
                <wp:positionV relativeFrom="paragraph">
                  <wp:posOffset>243840</wp:posOffset>
                </wp:positionV>
                <wp:extent cx="0" cy="552450"/>
                <wp:effectExtent l="19050" t="0" r="19050" b="19050"/>
                <wp:wrapNone/>
                <wp:docPr id="124" name="Straight Connector 124"/>
                <wp:cNvGraphicFramePr/>
                <a:graphic xmlns:a="http://schemas.openxmlformats.org/drawingml/2006/main">
                  <a:graphicData uri="http://schemas.microsoft.com/office/word/2010/wordprocessingShape">
                    <wps:wsp>
                      <wps:cNvCnPr/>
                      <wps:spPr>
                        <a:xfrm>
                          <a:off x="0" y="0"/>
                          <a:ext cx="0" cy="552450"/>
                        </a:xfrm>
                        <a:prstGeom prst="line">
                          <a:avLst/>
                        </a:prstGeom>
                        <a:ln w="2857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B3D2002" id="Straight Connector 124"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pt,19.2pt" to="219pt,6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" strokecolor="black [3213]" strokeweight="2.25pt">
                <v:stroke dashstyle="dash" joinstyle="miter"/>
              </v:line>
            </w:pict>
          </mc:Fallback>
        </mc:AlternateContent>
      </w:r>
      <w:r w:rsidR="00E351E2">
        <w:t xml:space="preserve">             </w:t>
      </w:r>
    </w:p>
    <w:p w14:paraId="4B989FBC" w14:textId="205202A2" w:rsidR="00105905" w:rsidRDefault="00504B8E" w:rsidP="00105905">
      <w:pPr>
        <w:spacing w:line="360" w:lineRule="auto"/>
      </w:pPr>
      <w:r w:rsidRPr="00E351E2">
        <w:rPr>
          <w:rFonts w:ascii="Times New Roman" w:hAnsi="Times New Roman" w:cs="Times New Roman"/>
          <w:noProof/>
          <w:sz w:val="24"/>
          <w:szCs w:val="24"/>
          <w:u w:val="single"/>
        </w:rPr>
        <mc:AlternateContent>
          <mc:Choice Requires="wps">
            <w:drawing>
              <wp:anchor distT="36576" distB="36576" distL="36576" distR="36576" simplePos="0" relativeHeight="251695104" behindDoc="0" locked="0" layoutInCell="1" allowOverlap="1" wp14:anchorId="50BC9D76" wp14:editId="72DE758A">
                <wp:simplePos x="0" y="0"/>
                <wp:positionH relativeFrom="column">
                  <wp:posOffset>1774190</wp:posOffset>
                </wp:positionH>
                <wp:positionV relativeFrom="paragraph">
                  <wp:posOffset>141605</wp:posOffset>
                </wp:positionV>
                <wp:extent cx="976389" cy="252248"/>
                <wp:effectExtent l="0" t="0" r="0" b="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389" cy="25224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414EFB" w14:textId="77777777" w:rsidR="009943DF" w:rsidRDefault="009943DF" w:rsidP="00105905">
                            <w:pPr>
                              <w:widowControl w:val="0"/>
                            </w:pPr>
                            <w:r>
                              <w:t>Tutankhamun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BC9D76" id="Text Box 119" o:spid="_x0000_s1036" type="#_x0000_t202" style="position:absolute;margin-left:139.7pt;margin-top:11.15pt;width:76.9pt;height:19.85pt;z-index:2516951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" filled="f" fillcolor="#5b9bd5" stroked="f" strokecolor="black [0]" strokeweight="2pt">
                <v:textbox inset="2.88pt,2.88pt,2.88pt,2.88pt">
                  <w:txbxContent>
                    <w:p w14:paraId="60414EFB" w14:textId="77777777" w:rsidR="009943DF" w:rsidRDefault="009943DF" w:rsidP="00105905">
                      <w:pPr>
                        <w:widowControl w:val="0"/>
                      </w:pPr>
                      <w:r>
                        <w:t>Tutankhamun</w:t>
                      </w:r>
                    </w:p>
                  </w:txbxContent>
                </v:textbox>
              </v:shape>
            </w:pict>
          </mc:Fallback>
        </mc:AlternateContent>
      </w:r>
      <w:r w:rsidRPr="00E351E2">
        <w:rPr>
          <w:rFonts w:ascii="Times New Roman" w:hAnsi="Times New Roman" w:cs="Times New Roman"/>
          <w:noProof/>
          <w:sz w:val="24"/>
          <w:szCs w:val="24"/>
          <w:u w:val="single"/>
        </w:rPr>
        <mc:AlternateContent>
          <mc:Choice Requires="wps">
            <w:drawing>
              <wp:anchor distT="0" distB="0" distL="114300" distR="114300" simplePos="0" relativeHeight="251698176" behindDoc="0" locked="0" layoutInCell="1" allowOverlap="1" wp14:anchorId="7C56BAAE" wp14:editId="66006188">
                <wp:simplePos x="0" y="0"/>
                <wp:positionH relativeFrom="column">
                  <wp:posOffset>2198370</wp:posOffset>
                </wp:positionH>
                <wp:positionV relativeFrom="paragraph">
                  <wp:posOffset>63500</wp:posOffset>
                </wp:positionV>
                <wp:extent cx="1370965" cy="0"/>
                <wp:effectExtent l="0" t="19050" r="19685" b="19050"/>
                <wp:wrapNone/>
                <wp:docPr id="123" name="Straight Connector 123"/>
                <wp:cNvGraphicFramePr/>
                <a:graphic xmlns:a="http://schemas.openxmlformats.org/drawingml/2006/main">
                  <a:graphicData uri="http://schemas.microsoft.com/office/word/2010/wordprocessingShape">
                    <wps:wsp>
                      <wps:cNvCnPr/>
                      <wps:spPr>
                        <a:xfrm>
                          <a:off x="0" y="0"/>
                          <a:ext cx="1370965" cy="0"/>
                        </a:xfrm>
                        <a:prstGeom prst="line">
                          <a:avLst/>
                        </a:prstGeom>
                        <a:ln w="2857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408E3E" id="Straight Connector 123"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73.1pt,5pt" to="281.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" strokecolor="black [3213]" strokeweight="2.25pt">
                <v:stroke dashstyle="dash" joinstyle="miter"/>
              </v:line>
            </w:pict>
          </mc:Fallback>
        </mc:AlternateContent>
      </w:r>
      <w:r w:rsidR="004A729C" w:rsidRPr="00E351E2">
        <w:rPr>
          <w:rFonts w:ascii="Times New Roman" w:hAnsi="Times New Roman" w:cs="Times New Roman"/>
          <w:noProof/>
          <w:sz w:val="24"/>
          <w:szCs w:val="24"/>
          <w:u w:val="single"/>
        </w:rPr>
        <mc:AlternateContent>
          <mc:Choice Requires="wps">
            <w:drawing>
              <wp:anchor distT="36576" distB="36576" distL="36576" distR="36576" simplePos="0" relativeHeight="251737088" behindDoc="0" locked="0" layoutInCell="1" allowOverlap="1" wp14:anchorId="24926E4D" wp14:editId="583F0D8E">
                <wp:simplePos x="0" y="0"/>
                <wp:positionH relativeFrom="column">
                  <wp:posOffset>1199515</wp:posOffset>
                </wp:positionH>
                <wp:positionV relativeFrom="paragraph">
                  <wp:posOffset>175895</wp:posOffset>
                </wp:positionV>
                <wp:extent cx="104775" cy="80645"/>
                <wp:effectExtent l="0" t="0" r="28575" b="1460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80645"/>
                        </a:xfrm>
                        <a:prstGeom prst="rect">
                          <a:avLst/>
                        </a:prstGeom>
                        <a:solidFill>
                          <a:srgbClr val="063D71"/>
                        </a:solidFill>
                        <a:ln w="25400">
                          <a:solidFill>
                            <a:srgbClr val="063D71"/>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831FDD" id="Rectangle 13" o:spid="_x0000_s1026" style="position:absolute;margin-left:94.45pt;margin-top:13.85pt;width:8.25pt;height:6.35pt;z-index:2517370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" fillcolor="#063d71" strokecolor="#063d71" strokeweight="2pt">
                <v:shadow color="black [0]"/>
                <v:textbox inset="2.88pt,2.88pt,2.88pt,2.88pt"/>
              </v:rect>
            </w:pict>
          </mc:Fallback>
        </mc:AlternateContent>
      </w:r>
      <w:r w:rsidR="00105905">
        <w:t xml:space="preserve">           </w:t>
      </w:r>
    </w:p>
    <w:p w14:paraId="3934C2C5" w14:textId="2D5D21D0" w:rsidR="00105905" w:rsidRDefault="00504B8E" w:rsidP="00105905">
      <w:pPr>
        <w:spacing w:line="360" w:lineRule="auto"/>
      </w:pPr>
      <w:r>
        <w:rPr>
          <w:rFonts w:ascii="Times New Roman" w:hAnsi="Times New Roman" w:cs="Times New Roman"/>
          <w:noProof/>
          <w:sz w:val="24"/>
          <w:szCs w:val="24"/>
        </w:rPr>
        <mc:AlternateContent>
          <mc:Choice Requires="wps">
            <w:drawing>
              <wp:anchor distT="36576" distB="36576" distL="36576" distR="36576" simplePos="0" relativeHeight="251700224" behindDoc="0" locked="0" layoutInCell="1" allowOverlap="1" wp14:anchorId="624E592D" wp14:editId="13F01282">
                <wp:simplePos x="0" y="0"/>
                <wp:positionH relativeFrom="column">
                  <wp:posOffset>2261870</wp:posOffset>
                </wp:positionH>
                <wp:positionV relativeFrom="paragraph">
                  <wp:posOffset>287655</wp:posOffset>
                </wp:positionV>
                <wp:extent cx="220345" cy="314325"/>
                <wp:effectExtent l="19050" t="38100" r="46355" b="28575"/>
                <wp:wrapNone/>
                <wp:docPr id="127" name="Isosceles Tri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345" cy="314325"/>
                        </a:xfrm>
                        <a:prstGeom prst="triangle">
                          <a:avLst>
                            <a:gd name="adj" fmla="val 50000"/>
                          </a:avLst>
                        </a:prstGeom>
                        <a:solidFill>
                          <a:srgbClr val="FFC000"/>
                        </a:solidFill>
                        <a:ln w="25400">
                          <a:solidFill>
                            <a:srgbClr val="FFC000"/>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071F8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27" o:spid="_x0000_s1026" type="#_x0000_t5" style="position:absolute;margin-left:178.1pt;margin-top:22.65pt;width:17.35pt;height:24.75pt;z-index:2517002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" fillcolor="#ffc000" strokecolor="#ffc000" strokeweight="2pt">
                <v:shadow color="black [0]"/>
                <v:textbox inset="2.88pt,2.88pt,2.88pt,2.88pt"/>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4BACD190" wp14:editId="2E2AB734">
                <wp:simplePos x="0" y="0"/>
                <wp:positionH relativeFrom="column">
                  <wp:posOffset>3153410</wp:posOffset>
                </wp:positionH>
                <wp:positionV relativeFrom="paragraph">
                  <wp:posOffset>289560</wp:posOffset>
                </wp:positionV>
                <wp:extent cx="220345" cy="314325"/>
                <wp:effectExtent l="19050" t="38100" r="46355" b="28575"/>
                <wp:wrapNone/>
                <wp:docPr id="51" name="Isosceles Tri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345" cy="314325"/>
                        </a:xfrm>
                        <a:prstGeom prst="triangle">
                          <a:avLst>
                            <a:gd name="adj" fmla="val 50000"/>
                          </a:avLst>
                        </a:prstGeom>
                        <a:solidFill>
                          <a:srgbClr val="FFC000"/>
                        </a:solidFill>
                        <a:ln w="25400">
                          <a:solidFill>
                            <a:srgbClr val="FFC000"/>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EA1595" id="Isosceles Triangle 51" o:spid="_x0000_s1026" type="#_x0000_t5" style="position:absolute;margin-left:248.3pt;margin-top:22.8pt;width:17.35pt;height:24.75pt;z-index:2517104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" fillcolor="#ffc000" strokecolor="#ffc000" strokeweight="2pt">
                <v:shadow color="black [0]"/>
                <v:textbox inset="2.88pt,2.88pt,2.88pt,2.88pt"/>
              </v:shape>
            </w:pict>
          </mc:Fallback>
        </mc:AlternateContent>
      </w:r>
      <w:r>
        <w:rPr>
          <w:noProof/>
        </w:rPr>
        <mc:AlternateContent>
          <mc:Choice Requires="wps">
            <w:drawing>
              <wp:anchor distT="0" distB="0" distL="114300" distR="114300" simplePos="0" relativeHeight="251701248" behindDoc="0" locked="0" layoutInCell="1" allowOverlap="1" wp14:anchorId="00E0501F" wp14:editId="49624AB9">
                <wp:simplePos x="0" y="0"/>
                <wp:positionH relativeFrom="column">
                  <wp:posOffset>2378710</wp:posOffset>
                </wp:positionH>
                <wp:positionV relativeFrom="paragraph">
                  <wp:posOffset>261620</wp:posOffset>
                </wp:positionV>
                <wp:extent cx="866775" cy="0"/>
                <wp:effectExtent l="0" t="19050" r="28575" b="19050"/>
                <wp:wrapNone/>
                <wp:docPr id="192" name="Straight Connector 192"/>
                <wp:cNvGraphicFramePr/>
                <a:graphic xmlns:a="http://schemas.openxmlformats.org/drawingml/2006/main">
                  <a:graphicData uri="http://schemas.microsoft.com/office/word/2010/wordprocessingShape">
                    <wps:wsp>
                      <wps:cNvCnPr/>
                      <wps:spPr>
                        <a:xfrm>
                          <a:off x="0" y="0"/>
                          <a:ext cx="866775" cy="0"/>
                        </a:xfrm>
                        <a:prstGeom prst="line">
                          <a:avLst/>
                        </a:prstGeom>
                        <a:ln w="28575">
                          <a:solidFill>
                            <a:srgbClr val="FF0000"/>
                          </a:solidFill>
                          <a:prstDash val="dash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0AF5989" id="Straight Connector 192" o:spid="_x0000_s1026" style="position:absolute;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3pt,20.6pt" to="255.5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" strokecolor="red" strokeweight="2.25pt">
                <v:stroke dashstyle="dashDot" joinstyle="miter"/>
              </v:line>
            </w:pict>
          </mc:Fallback>
        </mc:AlternateContent>
      </w:r>
      <w:r>
        <w:rPr>
          <w:noProof/>
        </w:rPr>
        <mc:AlternateContent>
          <mc:Choice Requires="wps">
            <w:drawing>
              <wp:anchor distT="0" distB="0" distL="114300" distR="114300" simplePos="0" relativeHeight="251738112" behindDoc="0" locked="0" layoutInCell="1" allowOverlap="1" wp14:anchorId="2297FDE3" wp14:editId="43FC6B46">
                <wp:simplePos x="0" y="0"/>
                <wp:positionH relativeFrom="column">
                  <wp:posOffset>1057275</wp:posOffset>
                </wp:positionH>
                <wp:positionV relativeFrom="paragraph">
                  <wp:posOffset>361315</wp:posOffset>
                </wp:positionV>
                <wp:extent cx="342265" cy="0"/>
                <wp:effectExtent l="0" t="19050" r="19685" b="19050"/>
                <wp:wrapNone/>
                <wp:docPr id="14" name="Straight Connector 14"/>
                <wp:cNvGraphicFramePr/>
                <a:graphic xmlns:a="http://schemas.openxmlformats.org/drawingml/2006/main">
                  <a:graphicData uri="http://schemas.microsoft.com/office/word/2010/wordprocessingShape">
                    <wps:wsp>
                      <wps:cNvCnPr/>
                      <wps:spPr>
                        <a:xfrm>
                          <a:off x="0" y="0"/>
                          <a:ext cx="342265"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8F6E75" id="Straight Connector 14"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83.25pt,28.45pt" to="110.2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" strokecolor="red" strokeweight="2.25pt">
                <v:stroke joinstyle="miter"/>
              </v:line>
            </w:pict>
          </mc:Fallback>
        </mc:AlternateContent>
      </w:r>
      <w:r w:rsidR="005B7A81">
        <w:rPr>
          <w:rFonts w:ascii="Times New Roman" w:hAnsi="Times New Roman" w:cs="Times New Roman"/>
          <w:noProof/>
          <w:sz w:val="24"/>
          <w:szCs w:val="24"/>
        </w:rPr>
        <mc:AlternateContent>
          <mc:Choice Requires="wps">
            <w:drawing>
              <wp:anchor distT="36576" distB="36576" distL="36576" distR="36576" simplePos="0" relativeHeight="251735040" behindDoc="0" locked="0" layoutInCell="1" allowOverlap="1" wp14:anchorId="1F46C41A" wp14:editId="37639BFC">
                <wp:simplePos x="0" y="0"/>
                <wp:positionH relativeFrom="column">
                  <wp:posOffset>1199515</wp:posOffset>
                </wp:positionH>
                <wp:positionV relativeFrom="paragraph">
                  <wp:posOffset>66040</wp:posOffset>
                </wp:positionV>
                <wp:extent cx="104775" cy="133350"/>
                <wp:effectExtent l="19050" t="19050" r="47625" b="19050"/>
                <wp:wrapNone/>
                <wp:docPr id="12" name="Isosceles Tri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33350"/>
                        </a:xfrm>
                        <a:prstGeom prst="triangle">
                          <a:avLst>
                            <a:gd name="adj" fmla="val 50000"/>
                          </a:avLst>
                        </a:prstGeom>
                        <a:solidFill>
                          <a:srgbClr val="FFC000"/>
                        </a:solidFill>
                        <a:ln w="25400">
                          <a:solidFill>
                            <a:srgbClr val="FFC000"/>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4D736" id="Isosceles Triangle 12" o:spid="_x0000_s1026" type="#_x0000_t5" style="position:absolute;margin-left:94.45pt;margin-top:5.2pt;width:8.25pt;height:10.5pt;z-index:2517350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" fillcolor="#ffc000" strokecolor="#ffc000" strokeweight="2pt">
                <v:shadow color="black [0]"/>
                <v:textbox inset="2.88pt,2.88pt,2.88pt,2.88pt"/>
              </v:shape>
            </w:pict>
          </mc:Fallback>
        </mc:AlternateContent>
      </w:r>
    </w:p>
    <w:p w14:paraId="3820C061" w14:textId="6E041316" w:rsidR="00105905" w:rsidRDefault="00504B8E" w:rsidP="00105905">
      <w:pPr>
        <w:spacing w:line="360" w:lineRule="auto"/>
      </w:pPr>
      <w:r>
        <w:rPr>
          <w:noProof/>
        </w:rPr>
        <mc:AlternateContent>
          <mc:Choice Requires="wps">
            <w:drawing>
              <wp:anchor distT="0" distB="0" distL="114300" distR="114300" simplePos="0" relativeHeight="251740160" behindDoc="0" locked="0" layoutInCell="1" allowOverlap="1" wp14:anchorId="214A2316" wp14:editId="3A0013A3">
                <wp:simplePos x="0" y="0"/>
                <wp:positionH relativeFrom="column">
                  <wp:posOffset>1105535</wp:posOffset>
                </wp:positionH>
                <wp:positionV relativeFrom="paragraph">
                  <wp:posOffset>228600</wp:posOffset>
                </wp:positionV>
                <wp:extent cx="342265" cy="0"/>
                <wp:effectExtent l="0" t="19050" r="19685" b="19050"/>
                <wp:wrapNone/>
                <wp:docPr id="15" name="Straight Connector 15"/>
                <wp:cNvGraphicFramePr/>
                <a:graphic xmlns:a="http://schemas.openxmlformats.org/drawingml/2006/main">
                  <a:graphicData uri="http://schemas.microsoft.com/office/word/2010/wordprocessingShape">
                    <wps:wsp>
                      <wps:cNvCnPr/>
                      <wps:spPr>
                        <a:xfrm>
                          <a:off x="0" y="0"/>
                          <a:ext cx="342265" cy="0"/>
                        </a:xfrm>
                        <a:prstGeom prst="line">
                          <a:avLst/>
                        </a:prstGeom>
                        <a:ln w="28575">
                          <a:solidFill>
                            <a:srgbClr val="FF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0CE573" id="Straight Connector 15"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87.05pt,18pt" to="11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" strokecolor="red" strokeweight="2.25pt">
                <v:stroke dashstyle="dash" joinstyle="miter"/>
              </v:line>
            </w:pict>
          </mc:Fallback>
        </mc:AlternateContent>
      </w:r>
    </w:p>
    <w:p w14:paraId="7DB1B2E7" w14:textId="6E8836E6" w:rsidR="004A729C" w:rsidRDefault="004A729C" w:rsidP="00105905">
      <w:pPr>
        <w:pStyle w:val="NoSpacing"/>
        <w:rPr>
          <w:sz w:val="20"/>
          <w:szCs w:val="20"/>
        </w:rPr>
      </w:pPr>
    </w:p>
    <w:p w14:paraId="5B8127A6" w14:textId="630398B7" w:rsidR="00105905" w:rsidRPr="00B43452" w:rsidRDefault="00105905" w:rsidP="00105905">
      <w:pPr>
        <w:pStyle w:val="NoSpacing"/>
        <w:rPr>
          <w:sz w:val="20"/>
          <w:szCs w:val="20"/>
        </w:rPr>
      </w:pPr>
      <w:commentRangeStart w:id="20"/>
      <w:r w:rsidRPr="00B43452">
        <w:rPr>
          <w:sz w:val="18"/>
          <w:szCs w:val="18"/>
        </w:rPr>
        <w:t xml:space="preserve">Diagram 1: Ancestry diagram of Tutankhamun, Adapted from </w:t>
      </w:r>
      <w:r w:rsidR="007E213D" w:rsidRPr="00B43452">
        <w:rPr>
          <w:sz w:val="18"/>
          <w:szCs w:val="18"/>
        </w:rPr>
        <w:t>Tutankhamun</w:t>
      </w:r>
      <w:r w:rsidR="00BF5A9A" w:rsidRPr="00B43452">
        <w:rPr>
          <w:sz w:val="18"/>
          <w:szCs w:val="18"/>
        </w:rPr>
        <w:t xml:space="preserve">: Treasures of the golden pharaoh </w:t>
      </w:r>
      <w:r w:rsidRPr="00B43452">
        <w:rPr>
          <w:sz w:val="18"/>
          <w:szCs w:val="18"/>
        </w:rPr>
        <w:t>2019</w:t>
      </w:r>
      <w:r w:rsidR="00BF5A9A" w:rsidRPr="00B43452">
        <w:rPr>
          <w:sz w:val="18"/>
          <w:szCs w:val="18"/>
        </w:rPr>
        <w:t xml:space="preserve"> and </w:t>
      </w:r>
      <w:proofErr w:type="spellStart"/>
      <w:r w:rsidR="008A01BE" w:rsidRPr="00B43452">
        <w:rPr>
          <w:sz w:val="18"/>
          <w:szCs w:val="18"/>
        </w:rPr>
        <w:t>Hawass</w:t>
      </w:r>
      <w:proofErr w:type="spellEnd"/>
      <w:r w:rsidR="008A01BE" w:rsidRPr="00B43452">
        <w:rPr>
          <w:sz w:val="18"/>
          <w:szCs w:val="18"/>
        </w:rPr>
        <w:t xml:space="preserve"> et al, 201</w:t>
      </w:r>
      <w:r w:rsidR="00AE3FEE" w:rsidRPr="00B43452">
        <w:rPr>
          <w:sz w:val="18"/>
          <w:szCs w:val="18"/>
        </w:rPr>
        <w:t>0; 641</w:t>
      </w:r>
      <w:r w:rsidRPr="00B43452">
        <w:rPr>
          <w:rStyle w:val="FootnoteReference"/>
          <w:sz w:val="18"/>
          <w:szCs w:val="18"/>
        </w:rPr>
        <w:footnoteReference w:id="79"/>
      </w:r>
      <w:r w:rsidR="002F4B89" w:rsidRPr="00B43452">
        <w:rPr>
          <w:sz w:val="18"/>
          <w:szCs w:val="18"/>
        </w:rPr>
        <w:t xml:space="preserve"> </w:t>
      </w:r>
      <w:commentRangeEnd w:id="20"/>
      <w:r w:rsidR="00AE3FEE" w:rsidRPr="00B43452">
        <w:rPr>
          <w:rStyle w:val="CommentReference"/>
          <w:sz w:val="14"/>
          <w:szCs w:val="14"/>
        </w:rPr>
        <w:commentReference w:id="20"/>
      </w:r>
    </w:p>
    <w:p w14:paraId="04DAE00D" w14:textId="77777777" w:rsidR="00105905" w:rsidRDefault="00105905" w:rsidP="00105905">
      <w:pPr>
        <w:spacing w:line="360" w:lineRule="auto"/>
      </w:pPr>
    </w:p>
    <w:p w14:paraId="475A3572" w14:textId="2C54B13D" w:rsidR="00EB6681" w:rsidRDefault="00105905" w:rsidP="00105905">
      <w:pPr>
        <w:spacing w:line="360" w:lineRule="auto"/>
      </w:pPr>
      <w:r>
        <w:t xml:space="preserve">When Akhenaten died, </w:t>
      </w:r>
      <w:proofErr w:type="spellStart"/>
      <w:r w:rsidR="005F7041">
        <w:t>S</w:t>
      </w:r>
      <w:r w:rsidR="0085165F">
        <w:t>emenkhkare</w:t>
      </w:r>
      <w:proofErr w:type="spellEnd"/>
      <w:r w:rsidR="0085165F">
        <w:t xml:space="preserve"> was</w:t>
      </w:r>
      <w:r w:rsidR="002D1D46">
        <w:t xml:space="preserve"> the</w:t>
      </w:r>
      <w:r w:rsidR="0085165F">
        <w:t xml:space="preserve"> </w:t>
      </w:r>
      <w:r w:rsidR="005F7041">
        <w:t xml:space="preserve">successor, who </w:t>
      </w:r>
      <w:proofErr w:type="spellStart"/>
      <w:r w:rsidR="005F7041">
        <w:t>Semenkhkare</w:t>
      </w:r>
      <w:proofErr w:type="spellEnd"/>
      <w:r w:rsidR="00311AAD">
        <w:t xml:space="preserve"> was</w:t>
      </w:r>
      <w:r w:rsidR="005F7041">
        <w:t xml:space="preserve"> raises a lot of questions</w:t>
      </w:r>
      <w:r w:rsidR="00BD75EA">
        <w:t xml:space="preserve">, was </w:t>
      </w:r>
      <w:proofErr w:type="gramStart"/>
      <w:r w:rsidR="00BD75EA">
        <w:t>it</w:t>
      </w:r>
      <w:proofErr w:type="gramEnd"/>
      <w:r w:rsidR="00BD75EA">
        <w:t xml:space="preserve"> Akhenaten’s brother? Could it be Nefertiti with a changed name?</w:t>
      </w:r>
      <w:r w:rsidR="009C61B7">
        <w:rPr>
          <w:rStyle w:val="FootnoteReference"/>
        </w:rPr>
        <w:footnoteReference w:id="80"/>
      </w:r>
      <w:r w:rsidR="00B94504">
        <w:t>.</w:t>
      </w:r>
      <w:r w:rsidR="000B4BA2">
        <w:t xml:space="preserve"> </w:t>
      </w:r>
      <w:r w:rsidR="00311AAD">
        <w:t>This is a large debt</w:t>
      </w:r>
      <w:r w:rsidR="001943AF">
        <w:t>, but for this dissertation it does not affect understanding Tutankhamun; tells us Tuta</w:t>
      </w:r>
      <w:r w:rsidR="00496B92">
        <w:t>nkhamun was the second successor of Akhenaten</w:t>
      </w:r>
      <w:r w:rsidR="00496B92">
        <w:rPr>
          <w:rStyle w:val="FootnoteReference"/>
        </w:rPr>
        <w:footnoteReference w:id="81"/>
      </w:r>
      <w:r w:rsidR="001943AF">
        <w:t xml:space="preserve">. </w:t>
      </w:r>
      <w:r w:rsidR="000B4BA2">
        <w:t xml:space="preserve">The </w:t>
      </w:r>
      <w:r>
        <w:t xml:space="preserve">role of a pharaoh was usually filled by a male. Carter suggests that perhaps because Tutankhamun was not of full royal descent his marriage to his half-sister </w:t>
      </w:r>
      <w:commentRangeStart w:id="21"/>
      <w:commentRangeStart w:id="22"/>
      <w:proofErr w:type="spellStart"/>
      <w:r>
        <w:t>Ankhesenpaaten</w:t>
      </w:r>
      <w:proofErr w:type="spellEnd"/>
      <w:r>
        <w:t xml:space="preserve"> meant he could then be a potential heir</w:t>
      </w:r>
      <w:commentRangeEnd w:id="21"/>
      <w:r w:rsidR="006947BD">
        <w:rPr>
          <w:rStyle w:val="CommentReference"/>
        </w:rPr>
        <w:commentReference w:id="21"/>
      </w:r>
      <w:commentRangeEnd w:id="22"/>
      <w:r w:rsidR="00435135">
        <w:rPr>
          <w:rStyle w:val="CommentReference"/>
        </w:rPr>
        <w:commentReference w:id="22"/>
      </w:r>
      <w:r>
        <w:rPr>
          <w:rStyle w:val="FootnoteReference"/>
        </w:rPr>
        <w:footnoteReference w:id="82"/>
      </w:r>
      <w:r>
        <w:t xml:space="preserve">. </w:t>
      </w:r>
    </w:p>
    <w:p w14:paraId="5BD216E8" w14:textId="4240B485" w:rsidR="00105905" w:rsidRDefault="00105905" w:rsidP="00105905">
      <w:pPr>
        <w:spacing w:line="360" w:lineRule="auto"/>
      </w:pPr>
      <w:r>
        <w:t xml:space="preserve">Tutankhamun married his half-sister </w:t>
      </w:r>
      <w:proofErr w:type="spellStart"/>
      <w:r>
        <w:t>Ankhesenpaaten</w:t>
      </w:r>
      <w:proofErr w:type="spellEnd"/>
      <w:r>
        <w:t>, one of the six daughters of Akhenaten and Nefertiti</w:t>
      </w:r>
      <w:r>
        <w:rPr>
          <w:rStyle w:val="FootnoteReference"/>
        </w:rPr>
        <w:footnoteReference w:id="83"/>
      </w:r>
      <w:r>
        <w:t xml:space="preserve">. Tutankhamun’s birth name was Tutankhaten and his throne name </w:t>
      </w:r>
      <w:proofErr w:type="gramStart"/>
      <w:r>
        <w:t>was</w:t>
      </w:r>
      <w:proofErr w:type="gramEnd"/>
      <w:r>
        <w:t xml:space="preserve"> </w:t>
      </w:r>
      <w:proofErr w:type="spellStart"/>
      <w:r>
        <w:t>Nebkheperure</w:t>
      </w:r>
      <w:proofErr w:type="spellEnd"/>
      <w:r>
        <w:rPr>
          <w:rStyle w:val="FootnoteReference"/>
        </w:rPr>
        <w:footnoteReference w:id="84"/>
      </w:r>
      <w:r>
        <w:t xml:space="preserve">. During </w:t>
      </w:r>
      <w:r w:rsidR="001F425E">
        <w:t xml:space="preserve">a couple of years into </w:t>
      </w:r>
      <w:r>
        <w:t>his reign he moved the administrative centre from Amarna back to Thebes and restored traditional cults and religion</w:t>
      </w:r>
      <w:r>
        <w:rPr>
          <w:rStyle w:val="FootnoteReference"/>
        </w:rPr>
        <w:footnoteReference w:id="85"/>
      </w:r>
      <w:r>
        <w:t xml:space="preserve"> </w:t>
      </w:r>
      <w:r w:rsidRPr="009441BE">
        <w:t xml:space="preserve">(map </w:t>
      </w:r>
      <w:r w:rsidR="00B85143">
        <w:t>2</w:t>
      </w:r>
      <w:r w:rsidRPr="009441BE">
        <w:t>);</w:t>
      </w:r>
      <w:r>
        <w:t xml:space="preserve"> the main god Aten of Amarna was abandoned, and the god Amun in Thebes restored</w:t>
      </w:r>
      <w:r>
        <w:rPr>
          <w:rStyle w:val="FootnoteReference"/>
        </w:rPr>
        <w:footnoteReference w:id="86"/>
      </w:r>
      <w:r>
        <w:t xml:space="preserve">. This meant that Tutankhaten and his wife </w:t>
      </w:r>
      <w:proofErr w:type="spellStart"/>
      <w:r>
        <w:t>Ankhesenpaaten</w:t>
      </w:r>
      <w:proofErr w:type="spellEnd"/>
      <w:r>
        <w:t xml:space="preserve"> changed their names to Tutankhamun and </w:t>
      </w:r>
      <w:proofErr w:type="spellStart"/>
      <w:r>
        <w:t>Ankhesenamun</w:t>
      </w:r>
      <w:proofErr w:type="spellEnd"/>
      <w:r>
        <w:rPr>
          <w:rStyle w:val="FootnoteReference"/>
        </w:rPr>
        <w:footnoteReference w:id="87"/>
      </w:r>
      <w:r>
        <w:t xml:space="preserve"> in order to reflect this. </w:t>
      </w:r>
    </w:p>
    <w:p w14:paraId="25C5A75D" w14:textId="59576627" w:rsidR="00105905" w:rsidRDefault="008C5339" w:rsidP="00105905">
      <w:pPr>
        <w:spacing w:line="360" w:lineRule="auto"/>
      </w:pPr>
      <w:r>
        <w:rPr>
          <w:noProof/>
        </w:rPr>
        <w:lastRenderedPageBreak/>
        <w:drawing>
          <wp:anchor distT="0" distB="0" distL="114300" distR="114300" simplePos="0" relativeHeight="251659264" behindDoc="1" locked="0" layoutInCell="1" allowOverlap="1" wp14:anchorId="7770F8E6" wp14:editId="5E8E790A">
            <wp:simplePos x="0" y="0"/>
            <wp:positionH relativeFrom="column">
              <wp:posOffset>0</wp:posOffset>
            </wp:positionH>
            <wp:positionV relativeFrom="paragraph">
              <wp:posOffset>5715</wp:posOffset>
            </wp:positionV>
            <wp:extent cx="3991610" cy="3811905"/>
            <wp:effectExtent l="0" t="0" r="8890" b="0"/>
            <wp:wrapSquare wrapText="bothSides"/>
            <wp:docPr id="1" name="Picture 1" descr="Map of Ancient Egy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 of Ancient Egypt"/>
                    <pic:cNvPicPr>
                      <a:picLocks noChangeAspect="1" noChangeArrowheads="1"/>
                    </pic:cNvPicPr>
                  </pic:nvPicPr>
                  <pic:blipFill rotWithShape="1">
                    <a:blip r:embed="rId20">
                      <a:extLst>
                        <a:ext uri="{28A0092B-C50C-407E-A947-70E740481C1C}">
                          <a14:useLocalDpi xmlns:a14="http://schemas.microsoft.com/office/drawing/2010/main" val="0"/>
                        </a:ext>
                      </a:extLst>
                    </a:blip>
                    <a:srcRect l="9697" t="43081" r="17919" b="15604"/>
                    <a:stretch/>
                  </pic:blipFill>
                  <pic:spPr bwMode="auto">
                    <a:xfrm>
                      <a:off x="0" y="0"/>
                      <a:ext cx="3991610" cy="38119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5905">
        <w:rPr>
          <w:noProof/>
        </w:rPr>
        <mc:AlternateContent>
          <mc:Choice Requires="wps">
            <w:drawing>
              <wp:anchor distT="0" distB="0" distL="114300" distR="114300" simplePos="0" relativeHeight="251672576" behindDoc="0" locked="0" layoutInCell="1" allowOverlap="1" wp14:anchorId="6F3B0820" wp14:editId="39CC146C">
                <wp:simplePos x="0" y="0"/>
                <wp:positionH relativeFrom="column">
                  <wp:posOffset>1265555</wp:posOffset>
                </wp:positionH>
                <wp:positionV relativeFrom="paragraph">
                  <wp:posOffset>159385</wp:posOffset>
                </wp:positionV>
                <wp:extent cx="289709" cy="285008"/>
                <wp:effectExtent l="19050" t="19050" r="15240" b="39370"/>
                <wp:wrapNone/>
                <wp:docPr id="2" name="Diamond 2"/>
                <wp:cNvGraphicFramePr/>
                <a:graphic xmlns:a="http://schemas.openxmlformats.org/drawingml/2006/main">
                  <a:graphicData uri="http://schemas.microsoft.com/office/word/2010/wordprocessingShape">
                    <wps:wsp>
                      <wps:cNvSpPr/>
                      <wps:spPr>
                        <a:xfrm>
                          <a:off x="0" y="0"/>
                          <a:ext cx="289709" cy="285008"/>
                        </a:xfrm>
                        <a:prstGeom prst="diamond">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5B82A5F" id="_x0000_t4" coordsize="21600,21600" o:spt="4" path="m10800,l,10800,10800,21600,21600,10800xe">
                <v:stroke joinstyle="miter"/>
                <v:path gradientshapeok="t" o:connecttype="rect" textboxrect="5400,5400,16200,16200"/>
              </v:shapetype>
              <v:shape id="Diamond 2" o:spid="_x0000_s1026" type="#_x0000_t4" style="position:absolute;margin-left:99.65pt;margin-top:12.55pt;width:22.8pt;height:22.4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" fillcolor="#7030a0" strokecolor="#1f3763 [1604]" strokeweight="1pt"/>
            </w:pict>
          </mc:Fallback>
        </mc:AlternateContent>
      </w:r>
    </w:p>
    <w:p w14:paraId="11E34AB3" w14:textId="78FB19B3" w:rsidR="005326E1" w:rsidRDefault="005326E1" w:rsidP="00105905">
      <w:pPr>
        <w:spacing w:line="360" w:lineRule="auto"/>
      </w:pPr>
    </w:p>
    <w:p w14:paraId="6593AD3D" w14:textId="1C91364D" w:rsidR="005326E1" w:rsidRDefault="005326E1" w:rsidP="00105905">
      <w:pPr>
        <w:spacing w:line="360" w:lineRule="auto"/>
      </w:pPr>
    </w:p>
    <w:p w14:paraId="15AB3026" w14:textId="72636593" w:rsidR="005326E1" w:rsidRDefault="005326E1" w:rsidP="00105905">
      <w:pPr>
        <w:spacing w:line="360" w:lineRule="auto"/>
      </w:pPr>
    </w:p>
    <w:p w14:paraId="65BECD3C" w14:textId="3094CAB7" w:rsidR="005326E1" w:rsidRDefault="00687B1B" w:rsidP="00105905">
      <w:pPr>
        <w:spacing w:line="360" w:lineRule="auto"/>
      </w:pPr>
      <w:r>
        <w:rPr>
          <w:noProof/>
        </w:rPr>
        <mc:AlternateContent>
          <mc:Choice Requires="wps">
            <w:drawing>
              <wp:anchor distT="0" distB="0" distL="114300" distR="114300" simplePos="0" relativeHeight="251675648" behindDoc="0" locked="0" layoutInCell="1" allowOverlap="1" wp14:anchorId="5FB206B0" wp14:editId="1160ACEF">
                <wp:simplePos x="0" y="0"/>
                <wp:positionH relativeFrom="column">
                  <wp:posOffset>691515</wp:posOffset>
                </wp:positionH>
                <wp:positionV relativeFrom="paragraph">
                  <wp:posOffset>360045</wp:posOffset>
                </wp:positionV>
                <wp:extent cx="289560" cy="284480"/>
                <wp:effectExtent l="19050" t="19050" r="15240" b="39370"/>
                <wp:wrapNone/>
                <wp:docPr id="5" name="Diamond 5"/>
                <wp:cNvGraphicFramePr/>
                <a:graphic xmlns:a="http://schemas.openxmlformats.org/drawingml/2006/main">
                  <a:graphicData uri="http://schemas.microsoft.com/office/word/2010/wordprocessingShape">
                    <wps:wsp>
                      <wps:cNvSpPr/>
                      <wps:spPr>
                        <a:xfrm>
                          <a:off x="0" y="0"/>
                          <a:ext cx="289560" cy="284480"/>
                        </a:xfrm>
                        <a:prstGeom prst="diamond">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4829E04" id="Diamond 5" o:spid="_x0000_s1026" type="#_x0000_t4" style="position:absolute;margin-left:54.45pt;margin-top:28.35pt;width:22.8pt;height:22.4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" fillcolor="#7030a0" strokecolor="#1f3763 [1604]" strokeweight="1pt"/>
            </w:pict>
          </mc:Fallback>
        </mc:AlternateContent>
      </w:r>
      <w:r>
        <w:rPr>
          <w:noProof/>
        </w:rPr>
        <mc:AlternateContent>
          <mc:Choice Requires="wps">
            <w:drawing>
              <wp:anchor distT="0" distB="0" distL="114300" distR="114300" simplePos="0" relativeHeight="251660288" behindDoc="0" locked="0" layoutInCell="1" allowOverlap="1" wp14:anchorId="3DF0F665" wp14:editId="6BE2BEAA">
                <wp:simplePos x="0" y="0"/>
                <wp:positionH relativeFrom="column">
                  <wp:posOffset>23033</wp:posOffset>
                </wp:positionH>
                <wp:positionV relativeFrom="paragraph">
                  <wp:posOffset>145514</wp:posOffset>
                </wp:positionV>
                <wp:extent cx="1104900" cy="921385"/>
                <wp:effectExtent l="0" t="0" r="19050" b="12065"/>
                <wp:wrapNone/>
                <wp:docPr id="6" name="Text Box 6"/>
                <wp:cNvGraphicFramePr/>
                <a:graphic xmlns:a="http://schemas.openxmlformats.org/drawingml/2006/main">
                  <a:graphicData uri="http://schemas.microsoft.com/office/word/2010/wordprocessingShape">
                    <wps:wsp>
                      <wps:cNvSpPr txBox="1"/>
                      <wps:spPr>
                        <a:xfrm>
                          <a:off x="0" y="0"/>
                          <a:ext cx="1104900" cy="921385"/>
                        </a:xfrm>
                        <a:prstGeom prst="rect">
                          <a:avLst/>
                        </a:prstGeom>
                        <a:noFill/>
                        <a:ln w="6350">
                          <a:solidFill>
                            <a:prstClr val="black"/>
                          </a:solidFill>
                        </a:ln>
                      </wps:spPr>
                      <wps:txbx>
                        <w:txbxContent>
                          <w:p w14:paraId="63959530" w14:textId="77777777" w:rsidR="009943DF" w:rsidRDefault="009943DF" w:rsidP="00105905">
                            <w:r>
                              <w:t xml:space="preserve">Key </w:t>
                            </w:r>
                          </w:p>
                          <w:p w14:paraId="7C894287" w14:textId="77777777" w:rsidR="009943DF" w:rsidRDefault="009943DF" w:rsidP="00105905">
                            <w:r>
                              <w:t xml:space="preserve">Amarna </w:t>
                            </w:r>
                          </w:p>
                          <w:p w14:paraId="38CA2B0E" w14:textId="77777777" w:rsidR="009943DF" w:rsidRDefault="009943DF" w:rsidP="00105905">
                            <w:r>
                              <w:t>Thebes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F0F665" id="Text Box 6" o:spid="_x0000_s1037" type="#_x0000_t202" style="position:absolute;margin-left:1.8pt;margin-top:11.45pt;width:87pt;height:7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" filled="f" strokeweight=".5pt">
                <v:textbox>
                  <w:txbxContent>
                    <w:p w14:paraId="63959530" w14:textId="77777777" w:rsidR="009943DF" w:rsidRDefault="009943DF" w:rsidP="00105905">
                      <w:r>
                        <w:t xml:space="preserve">Key </w:t>
                      </w:r>
                    </w:p>
                    <w:p w14:paraId="7C894287" w14:textId="77777777" w:rsidR="009943DF" w:rsidRDefault="009943DF" w:rsidP="00105905">
                      <w:r>
                        <w:t xml:space="preserve">Amarna </w:t>
                      </w:r>
                    </w:p>
                    <w:p w14:paraId="38CA2B0E" w14:textId="77777777" w:rsidR="009943DF" w:rsidRDefault="009943DF" w:rsidP="00105905">
                      <w:r>
                        <w:t>Thebes</w:t>
                      </w:r>
                    </w:p>
                  </w:txbxContent>
                </v:textbox>
              </v:shape>
            </w:pict>
          </mc:Fallback>
        </mc:AlternateContent>
      </w:r>
    </w:p>
    <w:p w14:paraId="65C6F09F" w14:textId="1DDFDE3D" w:rsidR="005326E1" w:rsidRDefault="00877113" w:rsidP="00105905">
      <w:pPr>
        <w:spacing w:line="360" w:lineRule="auto"/>
      </w:pPr>
      <w:r>
        <w:rPr>
          <w:noProof/>
        </w:rPr>
        <mc:AlternateContent>
          <mc:Choice Requires="wps">
            <w:drawing>
              <wp:anchor distT="0" distB="0" distL="114300" distR="114300" simplePos="0" relativeHeight="251673600" behindDoc="0" locked="0" layoutInCell="1" allowOverlap="1" wp14:anchorId="58AD1117" wp14:editId="5A4C1F29">
                <wp:simplePos x="0" y="0"/>
                <wp:positionH relativeFrom="column">
                  <wp:posOffset>2521585</wp:posOffset>
                </wp:positionH>
                <wp:positionV relativeFrom="paragraph">
                  <wp:posOffset>7576</wp:posOffset>
                </wp:positionV>
                <wp:extent cx="249381" cy="285008"/>
                <wp:effectExtent l="19050" t="19050" r="17780" b="39370"/>
                <wp:wrapNone/>
                <wp:docPr id="3" name="Diamond 3"/>
                <wp:cNvGraphicFramePr/>
                <a:graphic xmlns:a="http://schemas.openxmlformats.org/drawingml/2006/main">
                  <a:graphicData uri="http://schemas.microsoft.com/office/word/2010/wordprocessingShape">
                    <wps:wsp>
                      <wps:cNvSpPr/>
                      <wps:spPr>
                        <a:xfrm>
                          <a:off x="0" y="0"/>
                          <a:ext cx="249381" cy="285008"/>
                        </a:xfrm>
                        <a:prstGeom prst="diamond">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ABBF24" id="Diamond 3" o:spid="_x0000_s1026" type="#_x0000_t4" style="position:absolute;margin-left:198.55pt;margin-top:.6pt;width:19.65pt;height:22.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" fillcolor="#002060" strokecolor="#1f3763 [1604]" strokeweight="1pt"/>
            </w:pict>
          </mc:Fallback>
        </mc:AlternateContent>
      </w:r>
    </w:p>
    <w:p w14:paraId="466C763B" w14:textId="67E3967B" w:rsidR="005326E1" w:rsidRDefault="00687B1B" w:rsidP="00105905">
      <w:pPr>
        <w:spacing w:line="360" w:lineRule="auto"/>
      </w:pPr>
      <w:r>
        <w:rPr>
          <w:noProof/>
        </w:rPr>
        <mc:AlternateContent>
          <mc:Choice Requires="wps">
            <w:drawing>
              <wp:anchor distT="0" distB="0" distL="114300" distR="114300" simplePos="0" relativeHeight="251674624" behindDoc="0" locked="0" layoutInCell="1" allowOverlap="1" wp14:anchorId="2B359F97" wp14:editId="1D511CD5">
                <wp:simplePos x="0" y="0"/>
                <wp:positionH relativeFrom="column">
                  <wp:posOffset>739718</wp:posOffset>
                </wp:positionH>
                <wp:positionV relativeFrom="paragraph">
                  <wp:posOffset>6837</wp:posOffset>
                </wp:positionV>
                <wp:extent cx="249381" cy="285008"/>
                <wp:effectExtent l="19050" t="19050" r="17780" b="39370"/>
                <wp:wrapNone/>
                <wp:docPr id="4" name="Diamond 4"/>
                <wp:cNvGraphicFramePr/>
                <a:graphic xmlns:a="http://schemas.openxmlformats.org/drawingml/2006/main">
                  <a:graphicData uri="http://schemas.microsoft.com/office/word/2010/wordprocessingShape">
                    <wps:wsp>
                      <wps:cNvSpPr/>
                      <wps:spPr>
                        <a:xfrm>
                          <a:off x="0" y="0"/>
                          <a:ext cx="249381" cy="285008"/>
                        </a:xfrm>
                        <a:prstGeom prst="diamond">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3AA90D" id="Diamond 4" o:spid="_x0000_s1026" type="#_x0000_t4" style="position:absolute;margin-left:58.25pt;margin-top:.55pt;width:19.65pt;height:22.4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" fillcolor="#002060" strokecolor="#1f3763 [1604]" strokeweight="1pt"/>
            </w:pict>
          </mc:Fallback>
        </mc:AlternateContent>
      </w:r>
    </w:p>
    <w:p w14:paraId="13657804" w14:textId="28C12233" w:rsidR="005326E1" w:rsidRDefault="005326E1" w:rsidP="00105905">
      <w:pPr>
        <w:spacing w:line="360" w:lineRule="auto"/>
      </w:pPr>
    </w:p>
    <w:p w14:paraId="181127C9" w14:textId="7B5FF9D0" w:rsidR="005326E1" w:rsidRDefault="005326E1" w:rsidP="00105905">
      <w:pPr>
        <w:spacing w:line="360" w:lineRule="auto"/>
      </w:pPr>
    </w:p>
    <w:p w14:paraId="7FD46382" w14:textId="1E6D730E" w:rsidR="005326E1" w:rsidRDefault="005326E1" w:rsidP="00105905">
      <w:pPr>
        <w:spacing w:line="360" w:lineRule="auto"/>
      </w:pPr>
    </w:p>
    <w:p w14:paraId="70C24B54" w14:textId="7ED3B6DC" w:rsidR="008C5339" w:rsidRDefault="008C5339" w:rsidP="00105905">
      <w:pPr>
        <w:spacing w:line="360" w:lineRule="auto"/>
      </w:pPr>
    </w:p>
    <w:p w14:paraId="24E0483B" w14:textId="37F94469" w:rsidR="008C5339" w:rsidRPr="00882F9D" w:rsidRDefault="008C5339" w:rsidP="00105905">
      <w:pPr>
        <w:spacing w:line="360" w:lineRule="auto"/>
        <w:rPr>
          <w:sz w:val="20"/>
          <w:szCs w:val="20"/>
        </w:rPr>
      </w:pPr>
      <w:r w:rsidRPr="00882F9D">
        <w:rPr>
          <w:sz w:val="18"/>
          <w:szCs w:val="18"/>
        </w:rPr>
        <w:t>Map 2: Map of Ancient Egypt</w:t>
      </w:r>
      <w:r w:rsidRPr="00882F9D">
        <w:rPr>
          <w:rStyle w:val="FootnoteReference"/>
          <w:sz w:val="18"/>
          <w:szCs w:val="18"/>
        </w:rPr>
        <w:footnoteReference w:id="88"/>
      </w:r>
    </w:p>
    <w:p w14:paraId="15A20FD1" w14:textId="2CDE14D5" w:rsidR="00105905" w:rsidRDefault="00105905" w:rsidP="00105905">
      <w:pPr>
        <w:spacing w:line="360" w:lineRule="auto"/>
      </w:pPr>
      <w:r>
        <w:t xml:space="preserve">Due to Tutankhamun’s young age </w:t>
      </w:r>
      <w:r w:rsidR="009D4821">
        <w:t xml:space="preserve">at the time </w:t>
      </w:r>
      <w:r>
        <w:t>of accession to the throne, it is believed that he would have been under the influence of officials from his father’s reign; one influencer could have been Ay, Tutankhamun’s vizier</w:t>
      </w:r>
      <w:r w:rsidR="001F425E">
        <w:rPr>
          <w:rStyle w:val="FootnoteReference"/>
        </w:rPr>
        <w:footnoteReference w:id="89"/>
      </w:r>
      <w:r>
        <w:t xml:space="preserve">. The second influencer could have been Maya, his overseer of treasury, or finally </w:t>
      </w:r>
      <w:proofErr w:type="spellStart"/>
      <w:r>
        <w:t>Horemheb</w:t>
      </w:r>
      <w:proofErr w:type="spellEnd"/>
      <w:r>
        <w:t xml:space="preserve">, </w:t>
      </w:r>
      <w:commentRangeStart w:id="23"/>
      <w:commentRangeStart w:id="24"/>
      <w:r>
        <w:t>his crowned prince</w:t>
      </w:r>
      <w:commentRangeEnd w:id="23"/>
      <w:r w:rsidR="00996432">
        <w:rPr>
          <w:rStyle w:val="CommentReference"/>
        </w:rPr>
        <w:commentReference w:id="23"/>
      </w:r>
      <w:commentRangeEnd w:id="24"/>
      <w:r w:rsidR="002A4DE5">
        <w:rPr>
          <w:rStyle w:val="CommentReference"/>
        </w:rPr>
        <w:commentReference w:id="24"/>
      </w:r>
      <w:r>
        <w:rPr>
          <w:rStyle w:val="FootnoteReference"/>
        </w:rPr>
        <w:footnoteReference w:id="90"/>
      </w:r>
      <w:r>
        <w:t>. Tutankhamun was approximately eight or nine when he became ruler; it was a rather short reign of about ten years due to his early death</w:t>
      </w:r>
      <w:r>
        <w:rPr>
          <w:rStyle w:val="FootnoteReference"/>
        </w:rPr>
        <w:footnoteReference w:id="91"/>
      </w:r>
      <w:r>
        <w:t xml:space="preserve">. The reason for his death is unclear and is highly speculated. In his book, </w:t>
      </w:r>
      <w:r w:rsidRPr="00557BF0">
        <w:rPr>
          <w:rFonts w:cstheme="minorHAnsi"/>
          <w:i/>
          <w:iCs/>
        </w:rPr>
        <w:t xml:space="preserve">The Royal Mummies Immortality in </w:t>
      </w:r>
      <w:r>
        <w:rPr>
          <w:rFonts w:cstheme="minorHAnsi"/>
          <w:i/>
          <w:iCs/>
        </w:rPr>
        <w:t>ancient</w:t>
      </w:r>
      <w:r w:rsidR="005F59BE">
        <w:rPr>
          <w:rFonts w:cstheme="minorHAnsi"/>
          <w:i/>
          <w:iCs/>
        </w:rPr>
        <w:t xml:space="preserve"> Egypt</w:t>
      </w:r>
      <w:r>
        <w:rPr>
          <w:rFonts w:cstheme="minorHAnsi"/>
          <w:i/>
          <w:iCs/>
        </w:rPr>
        <w:t xml:space="preserve">, </w:t>
      </w:r>
      <w:r>
        <w:t xml:space="preserve">Egyptologist </w:t>
      </w:r>
      <w:proofErr w:type="spellStart"/>
      <w:r>
        <w:t>Franics</w:t>
      </w:r>
      <w:proofErr w:type="spellEnd"/>
      <w:r>
        <w:t xml:space="preserve"> </w:t>
      </w:r>
      <w:proofErr w:type="spellStart"/>
      <w:r>
        <w:t>Janot</w:t>
      </w:r>
      <w:proofErr w:type="spellEnd"/>
      <w:r>
        <w:t xml:space="preserve"> </w:t>
      </w:r>
      <w:r w:rsidRPr="00221A0C">
        <w:rPr>
          <w:u w:val="single"/>
        </w:rPr>
        <w:t>who specialises in embalming in ancient Egypt</w:t>
      </w:r>
      <w:r>
        <w:t xml:space="preserve">, </w:t>
      </w:r>
      <w:r w:rsidRPr="00031982">
        <w:rPr>
          <w:rFonts w:cstheme="minorHAnsi"/>
        </w:rPr>
        <w:t>s</w:t>
      </w:r>
      <w:r w:rsidRPr="00031982">
        <w:t>aid</w:t>
      </w:r>
      <w:r>
        <w:t xml:space="preserve"> that the conclusion from </w:t>
      </w:r>
      <w:proofErr w:type="spellStart"/>
      <w:r>
        <w:t>Hawass’s</w:t>
      </w:r>
      <w:proofErr w:type="spellEnd"/>
      <w:r>
        <w:t xml:space="preserve"> team’s analysis of Tutankhamun stated that he died of blood poisoning from a broken leg</w:t>
      </w:r>
      <w:r>
        <w:rPr>
          <w:rStyle w:val="FootnoteReference"/>
        </w:rPr>
        <w:footnoteReference w:id="92"/>
      </w:r>
      <w:r>
        <w:t>, but also that  Tutankhamun was in good general health and there were no signs of malnutrition or infectious disease</w:t>
      </w:r>
      <w:r>
        <w:rPr>
          <w:rStyle w:val="FootnoteReference"/>
        </w:rPr>
        <w:footnoteReference w:id="93"/>
      </w:r>
      <w:r>
        <w:t>. These findings contradict Egyptologist Marianne Eaton-Krauss’</w:t>
      </w:r>
      <w:r>
        <w:rPr>
          <w:rStyle w:val="FootnoteReference"/>
        </w:rPr>
        <w:footnoteReference w:id="94"/>
      </w:r>
      <w:r>
        <w:t xml:space="preserve"> interpretation</w:t>
      </w:r>
      <w:r w:rsidR="0011160E">
        <w:t>. S</w:t>
      </w:r>
      <w:r>
        <w:t xml:space="preserve">he suggests </w:t>
      </w:r>
      <w:proofErr w:type="spellStart"/>
      <w:r>
        <w:t>Hawass</w:t>
      </w:r>
      <w:proofErr w:type="spellEnd"/>
      <w:r>
        <w:t>’ team conclude</w:t>
      </w:r>
      <w:r w:rsidR="008D110D">
        <w:t xml:space="preserve">s </w:t>
      </w:r>
      <w:r>
        <w:t>that Tutankhamun died from ‘avascular bone necrosis in conjunction with malarial infection’</w:t>
      </w:r>
      <w:r>
        <w:rPr>
          <w:rStyle w:val="FootnoteReference"/>
        </w:rPr>
        <w:footnoteReference w:id="95"/>
      </w:r>
      <w:r>
        <w:t xml:space="preserve">. Paul Collins and Liam McNamara </w:t>
      </w:r>
      <w:r>
        <w:lastRenderedPageBreak/>
        <w:t>also discussed the analysis of</w:t>
      </w:r>
      <w:r w:rsidR="006A33C8">
        <w:t xml:space="preserve"> Tutankhamun’s</w:t>
      </w:r>
      <w:r>
        <w:t xml:space="preserve"> DNA in 2010 and conclude that the results showed malaria in </w:t>
      </w:r>
      <w:r w:rsidR="006A33C8">
        <w:t>his</w:t>
      </w:r>
      <w:r>
        <w:t xml:space="preserve"> system</w:t>
      </w:r>
      <w:r>
        <w:rPr>
          <w:rStyle w:val="FootnoteReference"/>
        </w:rPr>
        <w:footnoteReference w:id="96"/>
      </w:r>
      <w:r>
        <w:t>. Tutankhamun did not have any surviving children to reign after him, and the throne was passed onto his vizier, Ay,</w:t>
      </w:r>
      <w:r>
        <w:rPr>
          <w:rStyle w:val="FootnoteReference"/>
        </w:rPr>
        <w:footnoteReference w:id="97"/>
      </w:r>
      <w:r>
        <w:t>. Tutankhamun would not be disturbed for the next 3,000 years</w:t>
      </w:r>
      <w:r>
        <w:rPr>
          <w:rStyle w:val="FootnoteReference"/>
        </w:rPr>
        <w:footnoteReference w:id="98"/>
      </w:r>
      <w:r>
        <w:t xml:space="preserve">. </w:t>
      </w:r>
    </w:p>
    <w:p w14:paraId="2E633FAA" w14:textId="67DD1A9A" w:rsidR="00105905" w:rsidRDefault="00105905"/>
    <w:p w14:paraId="28527451" w14:textId="7E451041" w:rsidR="002117A2" w:rsidRDefault="002117A2"/>
    <w:p w14:paraId="3A8D7CBC" w14:textId="60F6FA28" w:rsidR="002117A2" w:rsidRDefault="002117A2"/>
    <w:p w14:paraId="7DE7C3C4" w14:textId="3F4E4458" w:rsidR="002117A2" w:rsidRDefault="002117A2"/>
    <w:p w14:paraId="38A0AD79" w14:textId="072BDC11" w:rsidR="002117A2" w:rsidRDefault="002117A2"/>
    <w:p w14:paraId="38A63B3D" w14:textId="5C3B5C70" w:rsidR="002117A2" w:rsidRDefault="002117A2"/>
    <w:p w14:paraId="6C562740" w14:textId="402CB80A" w:rsidR="002117A2" w:rsidRDefault="002117A2"/>
    <w:p w14:paraId="5CCC8B79" w14:textId="7FF3AF14" w:rsidR="002117A2" w:rsidRDefault="002117A2"/>
    <w:p w14:paraId="4290982A" w14:textId="402A4D83" w:rsidR="007A6A6F" w:rsidRDefault="007A6A6F"/>
    <w:p w14:paraId="31EC74A8" w14:textId="5802C5AE" w:rsidR="007A6A6F" w:rsidRDefault="007A6A6F"/>
    <w:p w14:paraId="7D669AAB" w14:textId="644898FD" w:rsidR="00F6125B" w:rsidRDefault="00F6125B"/>
    <w:p w14:paraId="50222050" w14:textId="483E8750" w:rsidR="00F6125B" w:rsidRDefault="00F6125B"/>
    <w:p w14:paraId="21D9D145" w14:textId="3C3E094D" w:rsidR="00F6125B" w:rsidRDefault="00F6125B"/>
    <w:p w14:paraId="32F7A285" w14:textId="61229019" w:rsidR="00F6125B" w:rsidRDefault="00F6125B"/>
    <w:p w14:paraId="05FEE960" w14:textId="1F4BB6A2" w:rsidR="00F6125B" w:rsidRDefault="00F6125B"/>
    <w:p w14:paraId="36AA2584" w14:textId="386E096D" w:rsidR="00F6125B" w:rsidRDefault="00F6125B"/>
    <w:p w14:paraId="706C7795" w14:textId="0C3478EE" w:rsidR="00F6125B" w:rsidRDefault="00F6125B"/>
    <w:p w14:paraId="54100838" w14:textId="06182A4F" w:rsidR="00F6125B" w:rsidRDefault="00F6125B"/>
    <w:p w14:paraId="681BC3A2" w14:textId="0C2CFAC4" w:rsidR="00F6125B" w:rsidRDefault="00F6125B"/>
    <w:p w14:paraId="349CEDAC" w14:textId="0356A95E" w:rsidR="00F6125B" w:rsidRDefault="00F6125B"/>
    <w:p w14:paraId="2EAC325F" w14:textId="77777777" w:rsidR="00F6125B" w:rsidRDefault="00F6125B"/>
    <w:p w14:paraId="69566AE9" w14:textId="3350625C" w:rsidR="007A6A6F" w:rsidRDefault="007A6A6F"/>
    <w:p w14:paraId="2DDA249C" w14:textId="24BB4F90" w:rsidR="007A6A6F" w:rsidRDefault="007A6A6F"/>
    <w:p w14:paraId="40E80774" w14:textId="77777777" w:rsidR="007A6A6F" w:rsidRDefault="007A6A6F"/>
    <w:p w14:paraId="23C8E867" w14:textId="28915829" w:rsidR="00105905" w:rsidRPr="00105905" w:rsidRDefault="00105905" w:rsidP="00105905">
      <w:pPr>
        <w:jc w:val="center"/>
        <w:rPr>
          <w:b/>
          <w:bCs/>
          <w:u w:val="single"/>
        </w:rPr>
      </w:pPr>
      <w:r w:rsidRPr="00105905">
        <w:rPr>
          <w:b/>
          <w:bCs/>
          <w:sz w:val="28"/>
          <w:szCs w:val="28"/>
          <w:u w:val="single"/>
        </w:rPr>
        <w:lastRenderedPageBreak/>
        <w:t>Chapter 2 – Theory, Discovery and Politics</w:t>
      </w:r>
    </w:p>
    <w:p w14:paraId="1669D490" w14:textId="1B3B4DF0" w:rsidR="00105905" w:rsidRPr="00105905" w:rsidRDefault="00105905" w:rsidP="00105905">
      <w:pPr>
        <w:pStyle w:val="ListParagraph"/>
        <w:numPr>
          <w:ilvl w:val="0"/>
          <w:numId w:val="3"/>
        </w:numPr>
        <w:rPr>
          <w:b/>
          <w:bCs/>
          <w:sz w:val="24"/>
          <w:szCs w:val="24"/>
        </w:rPr>
      </w:pPr>
      <w:commentRangeStart w:id="25"/>
      <w:proofErr w:type="spellStart"/>
      <w:r w:rsidRPr="00105905">
        <w:rPr>
          <w:b/>
          <w:bCs/>
          <w:sz w:val="24"/>
          <w:szCs w:val="24"/>
        </w:rPr>
        <w:t>Pharaonism</w:t>
      </w:r>
      <w:commentRangeEnd w:id="25"/>
      <w:proofErr w:type="spellEnd"/>
      <w:r w:rsidR="00750413">
        <w:rPr>
          <w:rStyle w:val="CommentReference"/>
        </w:rPr>
        <w:commentReference w:id="25"/>
      </w:r>
    </w:p>
    <w:p w14:paraId="64F6E340" w14:textId="2F43B22E" w:rsidR="00105905" w:rsidRPr="00695560" w:rsidRDefault="00F44378" w:rsidP="00105905">
      <w:pPr>
        <w:spacing w:line="360" w:lineRule="auto"/>
      </w:pPr>
      <w:commentRangeStart w:id="26"/>
      <w:proofErr w:type="spellStart"/>
      <w:r>
        <w:rPr>
          <w:highlight w:val="green"/>
        </w:rPr>
        <w:t>Pharaonism</w:t>
      </w:r>
      <w:proofErr w:type="spellEnd"/>
      <w:r>
        <w:rPr>
          <w:highlight w:val="green"/>
        </w:rPr>
        <w:t xml:space="preserve"> is the theory used </w:t>
      </w:r>
      <w:r w:rsidR="005D7421">
        <w:rPr>
          <w:highlight w:val="green"/>
        </w:rPr>
        <w:t xml:space="preserve">explore the concept of the pharaonic past by putting Egyptian nationalism first. </w:t>
      </w:r>
      <w:commentRangeEnd w:id="26"/>
      <w:r w:rsidR="005D7421">
        <w:rPr>
          <w:rStyle w:val="CommentReference"/>
        </w:rPr>
        <w:commentReference w:id="26"/>
      </w:r>
      <w:r w:rsidR="00105905" w:rsidRPr="003D3716">
        <w:rPr>
          <w:highlight w:val="green"/>
        </w:rPr>
        <w:t xml:space="preserve">The Egyptian battle for their nationalism was known as </w:t>
      </w:r>
      <w:proofErr w:type="spellStart"/>
      <w:r w:rsidR="00105905" w:rsidRPr="003D3716">
        <w:rPr>
          <w:highlight w:val="green"/>
        </w:rPr>
        <w:t>pharaonism</w:t>
      </w:r>
      <w:proofErr w:type="spellEnd"/>
      <w:r w:rsidR="00105905" w:rsidRPr="003D3716">
        <w:rPr>
          <w:highlight w:val="green"/>
        </w:rPr>
        <w:t>, which was at its peak during the 1920’s</w:t>
      </w:r>
      <w:r w:rsidR="00105905" w:rsidRPr="003D3716">
        <w:rPr>
          <w:rStyle w:val="FootnoteReference"/>
          <w:highlight w:val="green"/>
        </w:rPr>
        <w:footnoteReference w:id="99"/>
      </w:r>
      <w:r w:rsidR="00105905" w:rsidRPr="003D3716">
        <w:rPr>
          <w:highlight w:val="green"/>
        </w:rPr>
        <w:t>.</w:t>
      </w:r>
      <w:r w:rsidR="00105905" w:rsidRPr="00695560">
        <w:t xml:space="preserve"> </w:t>
      </w:r>
      <w:commentRangeStart w:id="27"/>
      <w:r w:rsidR="00105905">
        <w:t>N</w:t>
      </w:r>
      <w:r w:rsidR="00105905" w:rsidRPr="00695560">
        <w:t>ationalism</w:t>
      </w:r>
      <w:commentRangeEnd w:id="27"/>
      <w:r w:rsidR="003C2A54">
        <w:rPr>
          <w:rStyle w:val="CommentReference"/>
        </w:rPr>
        <w:commentReference w:id="27"/>
      </w:r>
      <w:r w:rsidR="00105905" w:rsidRPr="00695560">
        <w:t xml:space="preserve"> can either be described as ‘</w:t>
      </w:r>
      <w:r w:rsidR="00105905" w:rsidRPr="00695560">
        <w:rPr>
          <w:color w:val="1A1A1A"/>
          <w:shd w:val="clear" w:color="auto" w:fill="FFFFFF"/>
        </w:rPr>
        <w:t>the attitude that the members of a nation have when they care about their national identity’ or ‘the actions that the members of a nation take when seeking to achieve self-determination’</w:t>
      </w:r>
      <w:r w:rsidR="00105905" w:rsidRPr="00695560">
        <w:rPr>
          <w:rStyle w:val="FootnoteReference"/>
          <w:color w:val="1A1A1A"/>
          <w:shd w:val="clear" w:color="auto" w:fill="FFFFFF"/>
        </w:rPr>
        <w:footnoteReference w:id="100"/>
      </w:r>
      <w:r w:rsidR="00105905" w:rsidRPr="00695560">
        <w:rPr>
          <w:color w:val="1A1A1A"/>
          <w:shd w:val="clear" w:color="auto" w:fill="FFFFFF"/>
        </w:rPr>
        <w:t>.</w:t>
      </w:r>
    </w:p>
    <w:p w14:paraId="6E7900AA" w14:textId="77777777" w:rsidR="00105905" w:rsidRPr="00F15416" w:rsidRDefault="00105905" w:rsidP="00105905">
      <w:pPr>
        <w:spacing w:line="360" w:lineRule="auto"/>
        <w:ind w:left="720"/>
        <w:rPr>
          <w:i/>
          <w:iCs/>
        </w:rPr>
      </w:pPr>
      <w:r w:rsidRPr="00F15416">
        <w:rPr>
          <w:i/>
          <w:iCs/>
        </w:rPr>
        <w:t xml:space="preserve">‘In brief </w:t>
      </w:r>
      <w:proofErr w:type="spellStart"/>
      <w:r w:rsidRPr="00F15416">
        <w:rPr>
          <w:i/>
          <w:iCs/>
        </w:rPr>
        <w:t>pharaonism</w:t>
      </w:r>
      <w:proofErr w:type="spellEnd"/>
      <w:r w:rsidRPr="00F15416">
        <w:rPr>
          <w:i/>
          <w:iCs/>
        </w:rPr>
        <w:t xml:space="preserve"> identified Egypt as a distinctive territorial entity with its own history and character separate from that of the rest of the Arab and Islamic world. This separate identity drew on Egyptian symbols derived from the pharaonic and Hellenistic pre-Islamic past; an Islamic and Arab identity was in contrast downplayed or even rejected.’</w:t>
      </w:r>
      <w:r w:rsidRPr="00F15416">
        <w:rPr>
          <w:rStyle w:val="FootnoteReference"/>
          <w:i/>
          <w:iCs/>
        </w:rPr>
        <w:footnoteReference w:id="101"/>
      </w:r>
      <w:r w:rsidRPr="00F15416">
        <w:rPr>
          <w:i/>
          <w:iCs/>
        </w:rPr>
        <w:t xml:space="preserve"> </w:t>
      </w:r>
    </w:p>
    <w:p w14:paraId="12070A53" w14:textId="0511E71D" w:rsidR="00A66B5F" w:rsidRPr="006E277F" w:rsidRDefault="00105905" w:rsidP="00105905">
      <w:pPr>
        <w:spacing w:line="360" w:lineRule="auto"/>
        <w:rPr>
          <w:b/>
          <w:bCs/>
        </w:rPr>
      </w:pPr>
      <w:r w:rsidRPr="00446B6F">
        <w:rPr>
          <w:highlight w:val="green"/>
        </w:rPr>
        <w:t>It is important to note that this nationalism in Egypt was not only seen in art, literature and education but also in politics</w:t>
      </w:r>
      <w:r w:rsidRPr="00446B6F">
        <w:rPr>
          <w:rStyle w:val="FootnoteReference"/>
          <w:highlight w:val="green"/>
        </w:rPr>
        <w:footnoteReference w:id="102"/>
      </w:r>
      <w:r w:rsidRPr="00446B6F">
        <w:rPr>
          <w:highlight w:val="green"/>
        </w:rPr>
        <w:t xml:space="preserve"> as</w:t>
      </w:r>
      <w:r w:rsidR="0037174F" w:rsidRPr="00446B6F">
        <w:rPr>
          <w:highlight w:val="green"/>
        </w:rPr>
        <w:t xml:space="preserve"> represented b</w:t>
      </w:r>
      <w:r w:rsidR="002D381E" w:rsidRPr="00446B6F">
        <w:rPr>
          <w:highlight w:val="green"/>
        </w:rPr>
        <w:t>y</w:t>
      </w:r>
      <w:r w:rsidRPr="00446B6F">
        <w:rPr>
          <w:highlight w:val="green"/>
        </w:rPr>
        <w:t xml:space="preserve"> the </w:t>
      </w:r>
      <w:proofErr w:type="spellStart"/>
      <w:r w:rsidRPr="00446B6F">
        <w:rPr>
          <w:highlight w:val="green"/>
        </w:rPr>
        <w:t>Wafd</w:t>
      </w:r>
      <w:proofErr w:type="spellEnd"/>
      <w:r w:rsidRPr="00446B6F">
        <w:rPr>
          <w:highlight w:val="green"/>
        </w:rPr>
        <w:t xml:space="preserve"> Party.</w:t>
      </w:r>
      <w:r>
        <w:t xml:space="preserve"> The </w:t>
      </w:r>
      <w:proofErr w:type="spellStart"/>
      <w:r>
        <w:t>Wafd</w:t>
      </w:r>
      <w:proofErr w:type="spellEnd"/>
      <w:r>
        <w:t xml:space="preserve"> Party was officially formed in 1918, however the political party did not really </w:t>
      </w:r>
      <w:r w:rsidR="00ED0F8F">
        <w:t xml:space="preserve">become </w:t>
      </w:r>
      <w:r w:rsidR="00CD4481">
        <w:t xml:space="preserve">established </w:t>
      </w:r>
      <w:r>
        <w:t xml:space="preserve">until 1919 with the arrest of the party leader, </w:t>
      </w:r>
      <w:proofErr w:type="spellStart"/>
      <w:r w:rsidR="002D1D46" w:rsidRPr="002D1D46">
        <w:t>Sa’d</w:t>
      </w:r>
      <w:proofErr w:type="spellEnd"/>
      <w:r w:rsidR="002D1D46" w:rsidRPr="002D1D46">
        <w:t xml:space="preserve"> </w:t>
      </w:r>
      <w:proofErr w:type="spellStart"/>
      <w:r w:rsidR="002D1D46" w:rsidRPr="002D1D46">
        <w:t>Zaghlῡl</w:t>
      </w:r>
      <w:proofErr w:type="spellEnd"/>
      <w:r w:rsidRPr="002D1D46">
        <w:t>,</w:t>
      </w:r>
      <w:r>
        <w:t xml:space="preserve"> </w:t>
      </w:r>
      <w:r w:rsidR="009C7763">
        <w:t>and some colleagues to Malta</w:t>
      </w:r>
      <w:r w:rsidR="0010643B">
        <w:t xml:space="preserve">; </w:t>
      </w:r>
      <w:r w:rsidR="0017373E">
        <w:t>the result was political protests and violence</w:t>
      </w:r>
      <w:r w:rsidR="0017373E">
        <w:rPr>
          <w:rStyle w:val="FootnoteReference"/>
        </w:rPr>
        <w:footnoteReference w:id="103"/>
      </w:r>
      <w:r w:rsidR="0017373E">
        <w:t xml:space="preserve"> ending in the 1919 revolution in Egypt</w:t>
      </w:r>
      <w:r w:rsidR="0017373E">
        <w:rPr>
          <w:rStyle w:val="FootnoteReference"/>
        </w:rPr>
        <w:footnoteReference w:id="104"/>
      </w:r>
      <w:r w:rsidR="0017373E">
        <w:t>.</w:t>
      </w:r>
      <w:r w:rsidR="004A0C92">
        <w:t xml:space="preserve"> </w:t>
      </w:r>
      <w:r w:rsidR="00CD4481">
        <w:t xml:space="preserve">British </w:t>
      </w:r>
      <w:r>
        <w:t>historian</w:t>
      </w:r>
      <w:r w:rsidR="00CD4481">
        <w:t>,</w:t>
      </w:r>
      <w:r>
        <w:t xml:space="preserve"> Michael Wood</w:t>
      </w:r>
      <w:r>
        <w:rPr>
          <w:rStyle w:val="FootnoteReference"/>
        </w:rPr>
        <w:footnoteReference w:id="105"/>
      </w:r>
      <w:r w:rsidR="00CD4481">
        <w:t>,</w:t>
      </w:r>
      <w:r>
        <w:t xml:space="preserve"> suggests that the idea of nationalism could be argued back to the rule of Muhammed Ali in 1805 to 1848</w:t>
      </w:r>
      <w:r>
        <w:rPr>
          <w:rStyle w:val="FootnoteReference"/>
        </w:rPr>
        <w:footnoteReference w:id="106"/>
      </w:r>
      <w:r>
        <w:t xml:space="preserve"> , and his ideas of an Egyptian identity through his modernising and Ottoman empire influences</w:t>
      </w:r>
      <w:r>
        <w:rPr>
          <w:rStyle w:val="FootnoteReference"/>
        </w:rPr>
        <w:footnoteReference w:id="107"/>
      </w:r>
      <w:r>
        <w:t xml:space="preserve">. Ali was not the only one who had </w:t>
      </w:r>
      <w:proofErr w:type="spellStart"/>
      <w:r>
        <w:t>pharaonism</w:t>
      </w:r>
      <w:proofErr w:type="spellEnd"/>
      <w:r>
        <w:t xml:space="preserve"> ideas; political leaders Mustafa Kamal and Ahmad Lutfi al-Sayyid both included </w:t>
      </w:r>
      <w:proofErr w:type="spellStart"/>
      <w:r>
        <w:t>pharaonism</w:t>
      </w:r>
      <w:proofErr w:type="spellEnd"/>
      <w:r>
        <w:t xml:space="preserve"> into their political parties; The </w:t>
      </w:r>
      <w:commentRangeStart w:id="28"/>
      <w:commentRangeStart w:id="29"/>
      <w:proofErr w:type="spellStart"/>
      <w:r>
        <w:t>Watani</w:t>
      </w:r>
      <w:proofErr w:type="spellEnd"/>
      <w:r>
        <w:t xml:space="preserve"> Party and Umma Party respectively</w:t>
      </w:r>
      <w:commentRangeEnd w:id="28"/>
      <w:r w:rsidR="00EB10FE">
        <w:rPr>
          <w:rStyle w:val="CommentReference"/>
        </w:rPr>
        <w:commentReference w:id="28"/>
      </w:r>
      <w:commentRangeEnd w:id="29"/>
      <w:r w:rsidR="00D20AA0">
        <w:rPr>
          <w:rStyle w:val="CommentReference"/>
        </w:rPr>
        <w:commentReference w:id="29"/>
      </w:r>
      <w:r>
        <w:rPr>
          <w:rStyle w:val="FootnoteReference"/>
        </w:rPr>
        <w:footnoteReference w:id="108"/>
      </w:r>
      <w:r>
        <w:t xml:space="preserve">. </w:t>
      </w:r>
      <w:r w:rsidRPr="006E277F">
        <w:rPr>
          <w:b/>
          <w:bCs/>
        </w:rPr>
        <w:t xml:space="preserve">The </w:t>
      </w:r>
      <w:proofErr w:type="spellStart"/>
      <w:r w:rsidRPr="006E277F">
        <w:rPr>
          <w:b/>
          <w:bCs/>
        </w:rPr>
        <w:t>Watani</w:t>
      </w:r>
      <w:proofErr w:type="spellEnd"/>
      <w:r w:rsidRPr="006E277F">
        <w:rPr>
          <w:b/>
          <w:bCs/>
        </w:rPr>
        <w:t xml:space="preserve"> Party has been present since 1907 and has been well known for their radical behaviour of nationalism and typically appealed to the youths</w:t>
      </w:r>
      <w:r w:rsidRPr="006E277F">
        <w:rPr>
          <w:rStyle w:val="FootnoteReference"/>
          <w:b/>
          <w:bCs/>
        </w:rPr>
        <w:footnoteReference w:id="109"/>
      </w:r>
      <w:r w:rsidRPr="006E277F">
        <w:rPr>
          <w:b/>
          <w:bCs/>
        </w:rPr>
        <w:t xml:space="preserve">. </w:t>
      </w:r>
      <w:r w:rsidR="002338B3" w:rsidRPr="006E277F">
        <w:rPr>
          <w:b/>
          <w:bCs/>
        </w:rPr>
        <w:t>Abd al-Rahman al-</w:t>
      </w:r>
      <w:proofErr w:type="spellStart"/>
      <w:r w:rsidR="002338B3" w:rsidRPr="006E277F">
        <w:rPr>
          <w:b/>
          <w:bCs/>
        </w:rPr>
        <w:t>Rafi’</w:t>
      </w:r>
      <w:r w:rsidR="009E20B0" w:rsidRPr="006E277F">
        <w:rPr>
          <w:b/>
          <w:bCs/>
        </w:rPr>
        <w:t>I</w:t>
      </w:r>
      <w:proofErr w:type="spellEnd"/>
      <w:r w:rsidR="009E20B0" w:rsidRPr="006E277F">
        <w:rPr>
          <w:b/>
          <w:bCs/>
        </w:rPr>
        <w:t xml:space="preserve">, the leader of the </w:t>
      </w:r>
      <w:proofErr w:type="spellStart"/>
      <w:r w:rsidR="009E20B0" w:rsidRPr="006E277F">
        <w:rPr>
          <w:b/>
          <w:bCs/>
        </w:rPr>
        <w:t>Watani</w:t>
      </w:r>
      <w:proofErr w:type="spellEnd"/>
      <w:r w:rsidR="009E20B0" w:rsidRPr="006E277F">
        <w:rPr>
          <w:b/>
          <w:bCs/>
        </w:rPr>
        <w:t xml:space="preserve"> Party negatively criticised</w:t>
      </w:r>
      <w:r w:rsidR="001836D5">
        <w:t xml:space="preserve">, </w:t>
      </w:r>
      <w:proofErr w:type="spellStart"/>
      <w:r w:rsidR="001836D5" w:rsidRPr="001836D5">
        <w:rPr>
          <w:b/>
          <w:bCs/>
        </w:rPr>
        <w:t>Zaghlῡl</w:t>
      </w:r>
      <w:r w:rsidR="001836D5" w:rsidRPr="001836D5">
        <w:rPr>
          <w:b/>
          <w:bCs/>
        </w:rPr>
        <w:t>’</w:t>
      </w:r>
      <w:r w:rsidR="00116250" w:rsidRPr="001836D5">
        <w:rPr>
          <w:b/>
          <w:bCs/>
        </w:rPr>
        <w:t>s</w:t>
      </w:r>
      <w:proofErr w:type="spellEnd"/>
      <w:r w:rsidR="00116250" w:rsidRPr="001836D5">
        <w:rPr>
          <w:b/>
          <w:bCs/>
        </w:rPr>
        <w:t xml:space="preserve"> ideologies</w:t>
      </w:r>
      <w:r w:rsidR="00116250" w:rsidRPr="006E277F">
        <w:rPr>
          <w:rStyle w:val="FootnoteReference"/>
          <w:b/>
          <w:bCs/>
        </w:rPr>
        <w:footnoteReference w:id="110"/>
      </w:r>
      <w:r w:rsidR="00E76C6E" w:rsidRPr="006E277F">
        <w:rPr>
          <w:b/>
          <w:bCs/>
        </w:rPr>
        <w:t xml:space="preserve">, </w:t>
      </w:r>
      <w:r w:rsidR="00285E20" w:rsidRPr="006E277F">
        <w:rPr>
          <w:b/>
          <w:bCs/>
        </w:rPr>
        <w:t xml:space="preserve">either because </w:t>
      </w:r>
      <w:proofErr w:type="spellStart"/>
      <w:r w:rsidR="001836D5" w:rsidRPr="001836D5">
        <w:rPr>
          <w:b/>
          <w:bCs/>
        </w:rPr>
        <w:t>Zaghlῡl</w:t>
      </w:r>
      <w:proofErr w:type="spellEnd"/>
      <w:r w:rsidR="00285E20" w:rsidRPr="006E277F">
        <w:rPr>
          <w:b/>
          <w:bCs/>
        </w:rPr>
        <w:t xml:space="preserve"> was approaching Egyptian nationalism in a peaceful manner</w:t>
      </w:r>
      <w:r w:rsidR="00490578" w:rsidRPr="006E277F">
        <w:rPr>
          <w:b/>
          <w:bCs/>
        </w:rPr>
        <w:t xml:space="preserve">, or that the </w:t>
      </w:r>
      <w:proofErr w:type="spellStart"/>
      <w:r w:rsidR="00490578" w:rsidRPr="006E277F">
        <w:rPr>
          <w:b/>
          <w:bCs/>
        </w:rPr>
        <w:t>Wafd</w:t>
      </w:r>
      <w:proofErr w:type="spellEnd"/>
      <w:r w:rsidR="00490578" w:rsidRPr="006E277F">
        <w:rPr>
          <w:b/>
          <w:bCs/>
        </w:rPr>
        <w:t xml:space="preserve"> </w:t>
      </w:r>
      <w:r w:rsidR="00490578" w:rsidRPr="006E277F">
        <w:rPr>
          <w:b/>
          <w:bCs/>
        </w:rPr>
        <w:lastRenderedPageBreak/>
        <w:t>Party became the dominant nationalist party in Egypt after WW1</w:t>
      </w:r>
      <w:r w:rsidR="00490578" w:rsidRPr="006E277F">
        <w:rPr>
          <w:rStyle w:val="FootnoteReference"/>
          <w:b/>
          <w:bCs/>
        </w:rPr>
        <w:footnoteReference w:id="111"/>
      </w:r>
      <w:r w:rsidR="00490578" w:rsidRPr="006E277F">
        <w:rPr>
          <w:b/>
          <w:bCs/>
        </w:rPr>
        <w:t>.</w:t>
      </w:r>
      <w:r w:rsidR="00A66B5F" w:rsidRPr="006E277F">
        <w:rPr>
          <w:b/>
          <w:bCs/>
        </w:rPr>
        <w:t xml:space="preserve"> </w:t>
      </w:r>
      <w:r w:rsidRPr="006E277F">
        <w:rPr>
          <w:b/>
          <w:bCs/>
        </w:rPr>
        <w:t xml:space="preserve">The Umma </w:t>
      </w:r>
      <w:r w:rsidR="001836D5">
        <w:rPr>
          <w:b/>
          <w:bCs/>
        </w:rPr>
        <w:t>P</w:t>
      </w:r>
      <w:r w:rsidRPr="006E277F">
        <w:rPr>
          <w:b/>
          <w:bCs/>
        </w:rPr>
        <w:t>arty also began in 1907</w:t>
      </w:r>
      <w:r w:rsidRPr="006E277F">
        <w:rPr>
          <w:rStyle w:val="FootnoteReference"/>
          <w:b/>
          <w:bCs/>
        </w:rPr>
        <w:footnoteReference w:id="112"/>
      </w:r>
      <w:r w:rsidRPr="006E277F">
        <w:rPr>
          <w:b/>
          <w:bCs/>
        </w:rPr>
        <w:t xml:space="preserve"> but is considered a more moderate political party</w:t>
      </w:r>
      <w:r w:rsidRPr="006E277F">
        <w:rPr>
          <w:rStyle w:val="FootnoteReference"/>
          <w:b/>
          <w:bCs/>
        </w:rPr>
        <w:footnoteReference w:id="113"/>
      </w:r>
      <w:r w:rsidRPr="006E277F">
        <w:rPr>
          <w:b/>
          <w:bCs/>
        </w:rPr>
        <w:t xml:space="preserve">. </w:t>
      </w:r>
      <w:r w:rsidR="00B23AF6" w:rsidRPr="006E277F">
        <w:rPr>
          <w:b/>
          <w:bCs/>
        </w:rPr>
        <w:t xml:space="preserve">Many members of the Umma Party became </w:t>
      </w:r>
      <w:r w:rsidR="000426FC" w:rsidRPr="006E277F">
        <w:rPr>
          <w:b/>
          <w:bCs/>
        </w:rPr>
        <w:t xml:space="preserve">members of the </w:t>
      </w:r>
      <w:proofErr w:type="spellStart"/>
      <w:r w:rsidR="000426FC" w:rsidRPr="006E277F">
        <w:rPr>
          <w:b/>
          <w:bCs/>
        </w:rPr>
        <w:t>Wafd</w:t>
      </w:r>
      <w:proofErr w:type="spellEnd"/>
      <w:r w:rsidR="000426FC" w:rsidRPr="006E277F">
        <w:rPr>
          <w:b/>
          <w:bCs/>
        </w:rPr>
        <w:t xml:space="preserve"> during </w:t>
      </w:r>
      <w:proofErr w:type="spellStart"/>
      <w:r w:rsidR="001836D5" w:rsidRPr="001836D5">
        <w:rPr>
          <w:b/>
          <w:bCs/>
        </w:rPr>
        <w:t>Muṣṭafā</w:t>
      </w:r>
      <w:proofErr w:type="spellEnd"/>
      <w:r w:rsidR="001836D5" w:rsidRPr="001836D5">
        <w:rPr>
          <w:b/>
          <w:bCs/>
        </w:rPr>
        <w:t xml:space="preserve"> al‐</w:t>
      </w:r>
      <w:proofErr w:type="spellStart"/>
      <w:r w:rsidR="001836D5" w:rsidRPr="001836D5">
        <w:rPr>
          <w:b/>
          <w:bCs/>
        </w:rPr>
        <w:t>Naḥḥsā</w:t>
      </w:r>
      <w:proofErr w:type="spellEnd"/>
      <w:r w:rsidR="001836D5" w:rsidRPr="001836D5">
        <w:rPr>
          <w:b/>
          <w:bCs/>
        </w:rPr>
        <w:t xml:space="preserve"> Pasha</w:t>
      </w:r>
      <w:r w:rsidR="001836D5" w:rsidRPr="001836D5">
        <w:rPr>
          <w:b/>
          <w:bCs/>
        </w:rPr>
        <w:t>’s</w:t>
      </w:r>
      <w:r w:rsidR="001836D5">
        <w:rPr>
          <w:b/>
          <w:bCs/>
        </w:rPr>
        <w:t xml:space="preserve"> </w:t>
      </w:r>
      <w:r w:rsidR="000426FC" w:rsidRPr="006E277F">
        <w:rPr>
          <w:b/>
          <w:bCs/>
        </w:rPr>
        <w:t>leadership</w:t>
      </w:r>
      <w:r w:rsidR="00753651" w:rsidRPr="006E277F">
        <w:rPr>
          <w:b/>
          <w:bCs/>
        </w:rPr>
        <w:t xml:space="preserve"> of the</w:t>
      </w:r>
      <w:r w:rsidR="00F055A9" w:rsidRPr="006E277F">
        <w:rPr>
          <w:b/>
          <w:bCs/>
        </w:rPr>
        <w:t xml:space="preserve"> </w:t>
      </w:r>
      <w:proofErr w:type="spellStart"/>
      <w:r w:rsidR="00F055A9" w:rsidRPr="006E277F">
        <w:rPr>
          <w:b/>
          <w:bCs/>
        </w:rPr>
        <w:t>Wafd</w:t>
      </w:r>
      <w:proofErr w:type="spellEnd"/>
      <w:r w:rsidR="00753651" w:rsidRPr="006E277F">
        <w:rPr>
          <w:b/>
          <w:bCs/>
        </w:rPr>
        <w:t xml:space="preserve"> party, in 1929</w:t>
      </w:r>
      <w:r w:rsidR="00F055A9" w:rsidRPr="006E277F">
        <w:rPr>
          <w:rStyle w:val="FootnoteReference"/>
          <w:b/>
          <w:bCs/>
        </w:rPr>
        <w:footnoteReference w:id="114"/>
      </w:r>
      <w:r w:rsidR="00753651" w:rsidRPr="006E277F">
        <w:rPr>
          <w:b/>
          <w:bCs/>
        </w:rPr>
        <w:t xml:space="preserve">. </w:t>
      </w:r>
    </w:p>
    <w:p w14:paraId="331B619C" w14:textId="39D3EBBA" w:rsidR="00105905" w:rsidRDefault="00485E2E" w:rsidP="00105905">
      <w:pPr>
        <w:spacing w:line="360" w:lineRule="auto"/>
      </w:pPr>
      <w:commentRangeStart w:id="30"/>
      <w:r>
        <w:t xml:space="preserve">Kamal </w:t>
      </w:r>
      <w:r w:rsidR="00B12754">
        <w:t xml:space="preserve">often spoke of Egypt as the first civilised state, while Lutfi </w:t>
      </w:r>
      <w:r w:rsidR="00517B04">
        <w:t xml:space="preserve">showed an interest in </w:t>
      </w:r>
      <w:r w:rsidR="00BB60F5">
        <w:t>a</w:t>
      </w:r>
      <w:r w:rsidR="00517B04">
        <w:t xml:space="preserve"> pharaonic core of the Egyptian society which had and still was surviving the modern times</w:t>
      </w:r>
      <w:r w:rsidR="00105905">
        <w:rPr>
          <w:rStyle w:val="FootnoteReference"/>
        </w:rPr>
        <w:footnoteReference w:id="115"/>
      </w:r>
      <w:r w:rsidR="00105905">
        <w:t xml:space="preserve">. </w:t>
      </w:r>
      <w:r w:rsidR="008F106B">
        <w:t xml:space="preserve"> </w:t>
      </w:r>
      <w:commentRangeEnd w:id="30"/>
      <w:r w:rsidR="006E277F">
        <w:rPr>
          <w:rStyle w:val="CommentReference"/>
        </w:rPr>
        <w:commentReference w:id="30"/>
      </w:r>
    </w:p>
    <w:p w14:paraId="3C7C6E38" w14:textId="2F7D1A91" w:rsidR="00105905" w:rsidRDefault="00105905" w:rsidP="00105905">
      <w:pPr>
        <w:spacing w:line="360" w:lineRule="auto"/>
      </w:pPr>
      <w:r w:rsidRPr="00AD765E">
        <w:rPr>
          <w:highlight w:val="green"/>
        </w:rPr>
        <w:t xml:space="preserve">It might be assumed that modern Egyptians would have been fascinated </w:t>
      </w:r>
      <w:r w:rsidR="00F337B7" w:rsidRPr="00AD765E">
        <w:rPr>
          <w:highlight w:val="green"/>
        </w:rPr>
        <w:t>by</w:t>
      </w:r>
      <w:r w:rsidRPr="00AD765E">
        <w:rPr>
          <w:highlight w:val="green"/>
        </w:rPr>
        <w:t xml:space="preserve"> their ancient </w:t>
      </w:r>
      <w:r w:rsidR="00F337B7" w:rsidRPr="00AD765E">
        <w:rPr>
          <w:highlight w:val="green"/>
        </w:rPr>
        <w:t xml:space="preserve">and pharaonic </w:t>
      </w:r>
      <w:r w:rsidRPr="00AD765E">
        <w:rPr>
          <w:highlight w:val="green"/>
        </w:rPr>
        <w:t>heritage, however it was not until the 19</w:t>
      </w:r>
      <w:r w:rsidRPr="00AD765E">
        <w:rPr>
          <w:highlight w:val="green"/>
          <w:vertAlign w:val="superscript"/>
        </w:rPr>
        <w:t>th</w:t>
      </w:r>
      <w:r w:rsidRPr="00AD765E">
        <w:rPr>
          <w:highlight w:val="green"/>
        </w:rPr>
        <w:t xml:space="preserve"> and early 20</w:t>
      </w:r>
      <w:r w:rsidRPr="00AD765E">
        <w:rPr>
          <w:highlight w:val="green"/>
          <w:vertAlign w:val="superscript"/>
        </w:rPr>
        <w:t>th</w:t>
      </w:r>
      <w:r w:rsidRPr="00AD765E">
        <w:rPr>
          <w:highlight w:val="green"/>
        </w:rPr>
        <w:t xml:space="preserve"> century </w:t>
      </w:r>
      <w:r w:rsidR="00F337B7" w:rsidRPr="00AD765E">
        <w:rPr>
          <w:highlight w:val="green"/>
        </w:rPr>
        <w:t xml:space="preserve">AD </w:t>
      </w:r>
      <w:r w:rsidRPr="00AD765E">
        <w:rPr>
          <w:highlight w:val="green"/>
        </w:rPr>
        <w:t xml:space="preserve">that Egyptians </w:t>
      </w:r>
      <w:proofErr w:type="gramStart"/>
      <w:r w:rsidRPr="00AD765E">
        <w:rPr>
          <w:highlight w:val="green"/>
        </w:rPr>
        <w:t>actually began</w:t>
      </w:r>
      <w:proofErr w:type="gramEnd"/>
      <w:r w:rsidRPr="00AD765E">
        <w:rPr>
          <w:highlight w:val="green"/>
        </w:rPr>
        <w:t xml:space="preserve"> to express interest in their heritage</w:t>
      </w:r>
      <w:r w:rsidRPr="00AD765E">
        <w:rPr>
          <w:rStyle w:val="FootnoteReference"/>
          <w:highlight w:val="green"/>
        </w:rPr>
        <w:footnoteReference w:id="116"/>
      </w:r>
      <w:r w:rsidRPr="00AD765E">
        <w:rPr>
          <w:highlight w:val="green"/>
        </w:rPr>
        <w:t>.</w:t>
      </w:r>
      <w:r>
        <w:t xml:space="preserve"> </w:t>
      </w:r>
      <w:proofErr w:type="spellStart"/>
      <w:r w:rsidR="00533584">
        <w:t>Pharaonism</w:t>
      </w:r>
      <w:proofErr w:type="spellEnd"/>
      <w:r w:rsidR="00533584">
        <w:t xml:space="preserve"> was an </w:t>
      </w:r>
      <w:r w:rsidR="00F918D0">
        <w:t>attempt to counterbalance the western imperialism</w:t>
      </w:r>
      <w:r w:rsidR="00971ED2">
        <w:t xml:space="preserve">. </w:t>
      </w:r>
      <w:r>
        <w:t>‘</w:t>
      </w:r>
      <w:commentRangeStart w:id="31"/>
      <w:commentRangeStart w:id="32"/>
      <w:r>
        <w:t>Egyptology and modern western imperialism grew up together’</w:t>
      </w:r>
      <w:r>
        <w:rPr>
          <w:rStyle w:val="FootnoteReference"/>
        </w:rPr>
        <w:footnoteReference w:id="117"/>
      </w:r>
      <w:commentRangeEnd w:id="31"/>
      <w:r w:rsidR="0083518E">
        <w:rPr>
          <w:rStyle w:val="CommentReference"/>
        </w:rPr>
        <w:commentReference w:id="31"/>
      </w:r>
      <w:commentRangeEnd w:id="32"/>
      <w:r w:rsidR="00971ED2">
        <w:rPr>
          <w:rStyle w:val="CommentReference"/>
        </w:rPr>
        <w:commentReference w:id="32"/>
      </w:r>
      <w:r>
        <w:t>. This imperialism, extending dominion over other territories, was in no doubt reduced in Egypt by partial independence from the British and the discovery of Tutankhamun’s tomb</w:t>
      </w:r>
      <w:r>
        <w:rPr>
          <w:rStyle w:val="FootnoteReference"/>
        </w:rPr>
        <w:footnoteReference w:id="118"/>
      </w:r>
      <w:r>
        <w:t xml:space="preserve">. </w:t>
      </w:r>
    </w:p>
    <w:p w14:paraId="17C74269" w14:textId="12F3BB1C" w:rsidR="00105905" w:rsidRDefault="00105905" w:rsidP="00105905">
      <w:pPr>
        <w:spacing w:line="360" w:lineRule="auto"/>
      </w:pPr>
      <w:r w:rsidRPr="00AD765E">
        <w:rPr>
          <w:highlight w:val="green"/>
        </w:rPr>
        <w:t xml:space="preserve">The discovery of Tutankhamun’s tomb showed the political conflict of </w:t>
      </w:r>
      <w:r w:rsidR="001836D5">
        <w:rPr>
          <w:highlight w:val="green"/>
        </w:rPr>
        <w:t xml:space="preserve">Howard </w:t>
      </w:r>
      <w:r w:rsidRPr="00AD765E">
        <w:rPr>
          <w:highlight w:val="green"/>
        </w:rPr>
        <w:t>Carter’s British imperialism and the Egyptian Government and their pharaonic nationalism</w:t>
      </w:r>
      <w:r w:rsidRPr="00AD765E">
        <w:rPr>
          <w:rStyle w:val="FootnoteReference"/>
          <w:highlight w:val="green"/>
        </w:rPr>
        <w:footnoteReference w:id="119"/>
      </w:r>
      <w:r w:rsidRPr="00AD765E">
        <w:rPr>
          <w:highlight w:val="green"/>
        </w:rPr>
        <w:t>. Carter believed that the discovery belonged to the British whereas the Egyptians argued that Tutankhamun was a part of their heritage, so the discovery of Tutankhamun belonged to them.</w:t>
      </w:r>
      <w:r>
        <w:t xml:space="preserve"> </w:t>
      </w:r>
    </w:p>
    <w:p w14:paraId="6F38A1E6" w14:textId="77777777" w:rsidR="002117A2" w:rsidRPr="00105905" w:rsidRDefault="002117A2" w:rsidP="00105905">
      <w:pPr>
        <w:spacing w:line="360" w:lineRule="auto"/>
      </w:pPr>
    </w:p>
    <w:p w14:paraId="1DBF3306" w14:textId="77A19495" w:rsidR="00105905" w:rsidRPr="00A15F0B" w:rsidRDefault="00105905" w:rsidP="00105905">
      <w:pPr>
        <w:pStyle w:val="ListParagraph"/>
        <w:numPr>
          <w:ilvl w:val="0"/>
          <w:numId w:val="3"/>
        </w:numPr>
        <w:rPr>
          <w:b/>
          <w:bCs/>
          <w:sz w:val="24"/>
          <w:szCs w:val="24"/>
        </w:rPr>
      </w:pPr>
      <w:r w:rsidRPr="00A15F0B">
        <w:rPr>
          <w:b/>
          <w:bCs/>
          <w:sz w:val="24"/>
          <w:szCs w:val="24"/>
        </w:rPr>
        <w:t>Discovery</w:t>
      </w:r>
    </w:p>
    <w:p w14:paraId="2F2C4C8F" w14:textId="4DE598E4" w:rsidR="00105905" w:rsidRDefault="00F337B7" w:rsidP="00105905">
      <w:pPr>
        <w:spacing w:line="360" w:lineRule="auto"/>
        <w:rPr>
          <w:sz w:val="20"/>
          <w:szCs w:val="20"/>
        </w:rPr>
      </w:pPr>
      <w:r>
        <w:t xml:space="preserve">The tomb of </w:t>
      </w:r>
      <w:r w:rsidR="00105905">
        <w:t>Tutankhamun was discovered by Howard Carter in 1922</w:t>
      </w:r>
      <w:r w:rsidR="00105905">
        <w:rPr>
          <w:rStyle w:val="FootnoteReference"/>
        </w:rPr>
        <w:footnoteReference w:id="120"/>
      </w:r>
      <w:r w:rsidR="00105905">
        <w:t xml:space="preserve">. </w:t>
      </w:r>
      <w:r w:rsidR="004A0C10">
        <w:t>Being an artist</w:t>
      </w:r>
      <w:commentRangeStart w:id="33"/>
      <w:commentRangeStart w:id="34"/>
      <w:commentRangeEnd w:id="33"/>
      <w:r w:rsidR="00665407">
        <w:rPr>
          <w:rStyle w:val="CommentReference"/>
        </w:rPr>
        <w:commentReference w:id="33"/>
      </w:r>
      <w:commentRangeEnd w:id="34"/>
      <w:r w:rsidR="008B3446">
        <w:t>,</w:t>
      </w:r>
      <w:r w:rsidR="00332AA9">
        <w:rPr>
          <w:rStyle w:val="CommentReference"/>
        </w:rPr>
        <w:commentReference w:id="34"/>
      </w:r>
      <w:r w:rsidR="00105905">
        <w:t xml:space="preserve"> Carter first visited Egypt in 1890,</w:t>
      </w:r>
      <w:r w:rsidR="00453B10">
        <w:t xml:space="preserve"> when he was 17 to </w:t>
      </w:r>
      <w:r w:rsidR="001E12B5">
        <w:t>be an excavat</w:t>
      </w:r>
      <w:r w:rsidR="003E4CB3">
        <w:t>or</w:t>
      </w:r>
      <w:r w:rsidR="001E12B5">
        <w:t xml:space="preserve"> artist during a time before photography became easy to us</w:t>
      </w:r>
      <w:r w:rsidR="00332AA9">
        <w:t xml:space="preserve">e. </w:t>
      </w:r>
      <w:r w:rsidR="00105905">
        <w:t xml:space="preserve"> </w:t>
      </w:r>
      <w:r w:rsidR="00332AA9">
        <w:t>F</w:t>
      </w:r>
      <w:r w:rsidR="00105905">
        <w:t xml:space="preserve">rom </w:t>
      </w:r>
      <w:r w:rsidR="00332AA9">
        <w:t xml:space="preserve">his first journey </w:t>
      </w:r>
      <w:r w:rsidR="00032E2B">
        <w:t xml:space="preserve">to Egypt, </w:t>
      </w:r>
      <w:r w:rsidR="00105905">
        <w:t>he knew he wanted to excavate the Valley of the Kings (the royal burial location in ancient Egypt)</w:t>
      </w:r>
      <w:r w:rsidR="00105905">
        <w:rPr>
          <w:rStyle w:val="FootnoteReference"/>
        </w:rPr>
        <w:footnoteReference w:id="121"/>
      </w:r>
      <w:r w:rsidR="00105905">
        <w:t xml:space="preserve">, represented in the map below.  </w:t>
      </w:r>
      <w:r w:rsidR="00105905">
        <w:rPr>
          <w:noProof/>
        </w:rPr>
        <w:lastRenderedPageBreak/>
        <mc:AlternateContent>
          <mc:Choice Requires="wps">
            <w:drawing>
              <wp:anchor distT="0" distB="0" distL="114300" distR="114300" simplePos="0" relativeHeight="251712512" behindDoc="0" locked="0" layoutInCell="1" allowOverlap="1" wp14:anchorId="24DE0D2C" wp14:editId="4F81388F">
                <wp:simplePos x="0" y="0"/>
                <wp:positionH relativeFrom="column">
                  <wp:posOffset>3848986</wp:posOffset>
                </wp:positionH>
                <wp:positionV relativeFrom="paragraph">
                  <wp:posOffset>2987749</wp:posOffset>
                </wp:positionV>
                <wp:extent cx="169678" cy="139995"/>
                <wp:effectExtent l="0" t="0" r="20955" b="12700"/>
                <wp:wrapNone/>
                <wp:docPr id="52" name="Oval 52"/>
                <wp:cNvGraphicFramePr/>
                <a:graphic xmlns:a="http://schemas.openxmlformats.org/drawingml/2006/main">
                  <a:graphicData uri="http://schemas.microsoft.com/office/word/2010/wordprocessingShape">
                    <wps:wsp>
                      <wps:cNvSpPr/>
                      <wps:spPr>
                        <a:xfrm>
                          <a:off x="0" y="0"/>
                          <a:ext cx="169678" cy="139995"/>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7D067B" id="Oval 52" o:spid="_x0000_s1026" style="position:absolute;margin-left:303.05pt;margin-top:235.25pt;width:13.35pt;height:1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" fillcolor="yellow" strokecolor="#1f3763 [1604]" strokeweight="1pt">
                <v:stroke joinstyle="miter"/>
              </v:oval>
            </w:pict>
          </mc:Fallback>
        </mc:AlternateContent>
      </w:r>
      <w:r w:rsidR="00105905">
        <w:rPr>
          <w:noProof/>
        </w:rPr>
        <w:drawing>
          <wp:inline distT="0" distB="0" distL="0" distR="0" wp14:anchorId="65F714B9" wp14:editId="1F2FA7D5">
            <wp:extent cx="5544459" cy="5410200"/>
            <wp:effectExtent l="0" t="0" r="0" b="0"/>
            <wp:docPr id="49" name="Picture 4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WhatsApp Image 2020-02-03 at 18.33.39 (4).jpeg"/>
                    <pic:cNvPicPr/>
                  </pic:nvPicPr>
                  <pic:blipFill rotWithShape="1">
                    <a:blip r:embed="rId21">
                      <a:extLst>
                        <a:ext uri="{28A0092B-C50C-407E-A947-70E740481C1C}">
                          <a14:useLocalDpi xmlns:a14="http://schemas.microsoft.com/office/drawing/2010/main" val="0"/>
                        </a:ext>
                      </a:extLst>
                    </a:blip>
                    <a:srcRect l="5211" t="27277" b="1434"/>
                    <a:stretch/>
                  </pic:blipFill>
                  <pic:spPr bwMode="auto">
                    <a:xfrm>
                      <a:off x="0" y="0"/>
                      <a:ext cx="5580676" cy="5445540"/>
                    </a:xfrm>
                    <a:prstGeom prst="rect">
                      <a:avLst/>
                    </a:prstGeom>
                    <a:ln>
                      <a:noFill/>
                    </a:ln>
                    <a:extLst>
                      <a:ext uri="{53640926-AAD7-44D8-BBD7-CCE9431645EC}">
                        <a14:shadowObscured xmlns:a14="http://schemas.microsoft.com/office/drawing/2010/main"/>
                      </a:ext>
                    </a:extLst>
                  </pic:spPr>
                </pic:pic>
              </a:graphicData>
            </a:graphic>
          </wp:inline>
        </w:drawing>
      </w:r>
      <w:r w:rsidR="00105905" w:rsidRPr="00882F9D">
        <w:rPr>
          <w:sz w:val="18"/>
          <w:szCs w:val="18"/>
        </w:rPr>
        <w:t xml:space="preserve">Map </w:t>
      </w:r>
      <w:r w:rsidR="00BF785F" w:rsidRPr="00882F9D">
        <w:rPr>
          <w:sz w:val="18"/>
          <w:szCs w:val="18"/>
        </w:rPr>
        <w:t>3</w:t>
      </w:r>
      <w:r w:rsidR="00105905" w:rsidRPr="00882F9D">
        <w:rPr>
          <w:sz w:val="18"/>
          <w:szCs w:val="18"/>
        </w:rPr>
        <w:t>: Map of The Valley of the Kings in Egypt and location of discovered tombs. The yellow dot showing where Tutankhamun’s tomb is located</w:t>
      </w:r>
      <w:r w:rsidR="00105905" w:rsidRPr="00882F9D">
        <w:rPr>
          <w:rStyle w:val="FootnoteReference"/>
          <w:sz w:val="18"/>
          <w:szCs w:val="18"/>
        </w:rPr>
        <w:footnoteReference w:id="122"/>
      </w:r>
      <w:r w:rsidR="00105905" w:rsidRPr="00882F9D">
        <w:rPr>
          <w:sz w:val="18"/>
          <w:szCs w:val="18"/>
        </w:rPr>
        <w:t>.</w:t>
      </w:r>
    </w:p>
    <w:p w14:paraId="45DBE573" w14:textId="77777777" w:rsidR="002117A2" w:rsidRDefault="002117A2" w:rsidP="00105905">
      <w:pPr>
        <w:spacing w:line="360" w:lineRule="auto"/>
      </w:pPr>
    </w:p>
    <w:p w14:paraId="5181D181" w14:textId="3CC28AD7" w:rsidR="00105905" w:rsidRDefault="00105905" w:rsidP="00105905">
      <w:pPr>
        <w:spacing w:line="360" w:lineRule="auto"/>
      </w:pPr>
      <w:r>
        <w:t>In 18</w:t>
      </w:r>
      <w:r w:rsidR="00051656">
        <w:t>9</w:t>
      </w:r>
      <w:r>
        <w:t xml:space="preserve">1, Carter was hired to be an artist of the </w:t>
      </w:r>
      <w:r w:rsidR="00051656">
        <w:t xml:space="preserve">excavations at the </w:t>
      </w:r>
      <w:r>
        <w:t>Middle Kingdom Beni Hassan tombs. Working nearby was Egyptologist, Sir William Flinders Petrie, who gave guidance to Carter leading to his excavation career</w:t>
      </w:r>
      <w:r>
        <w:rPr>
          <w:rStyle w:val="FootnoteReference"/>
        </w:rPr>
        <w:footnoteReference w:id="123"/>
      </w:r>
      <w:r>
        <w:t xml:space="preserve">. Gaston </w:t>
      </w:r>
      <w:proofErr w:type="spellStart"/>
      <w:r>
        <w:t>Maspero</w:t>
      </w:r>
      <w:proofErr w:type="spellEnd"/>
      <w:r>
        <w:t>, the head of the Egyptian Antiquity Service (EAS), hired Carter in 1899 to be the chief inspector of Upper Egypt</w:t>
      </w:r>
      <w:r>
        <w:rPr>
          <w:rStyle w:val="FootnoteReference"/>
        </w:rPr>
        <w:footnoteReference w:id="124"/>
      </w:r>
      <w:r>
        <w:t xml:space="preserve"> (</w:t>
      </w:r>
      <w:r w:rsidRPr="000C4710">
        <w:t xml:space="preserve">map </w:t>
      </w:r>
      <w:r w:rsidR="00F30AEE">
        <w:t>4</w:t>
      </w:r>
      <w:r>
        <w:t>). This was a time when Egypt allowed foreign excavators to take a portion of their discoveries home with them</w:t>
      </w:r>
      <w:r>
        <w:rPr>
          <w:rStyle w:val="FootnoteReference"/>
        </w:rPr>
        <w:footnoteReference w:id="125"/>
      </w:r>
      <w:r>
        <w:t>. Whilst Carter was in Egypt, he met an American businessman called Theodore Davis</w:t>
      </w:r>
      <w:r>
        <w:rPr>
          <w:rStyle w:val="FootnoteReference"/>
        </w:rPr>
        <w:footnoteReference w:id="126"/>
      </w:r>
      <w:r>
        <w:t xml:space="preserve">; Carter convinced </w:t>
      </w:r>
      <w:r>
        <w:lastRenderedPageBreak/>
        <w:t>Davis to get a permit for excavating the Valley of the Kings</w:t>
      </w:r>
      <w:r>
        <w:rPr>
          <w:rStyle w:val="FootnoteReference"/>
        </w:rPr>
        <w:footnoteReference w:id="127"/>
      </w:r>
      <w:r>
        <w:t>. The work of these two led to discoveries such as the tomb of Thutmose IV (KV43) and work on rediscovering KV20</w:t>
      </w:r>
      <w:r>
        <w:rPr>
          <w:rStyle w:val="FootnoteReference"/>
        </w:rPr>
        <w:footnoteReference w:id="128"/>
      </w:r>
      <w:r>
        <w:t>.</w:t>
      </w:r>
      <w:r w:rsidR="0056243E">
        <w:t xml:space="preserve"> In 1904,</w:t>
      </w:r>
      <w:r>
        <w:t xml:space="preserve"> </w:t>
      </w:r>
      <w:r w:rsidR="0056243E">
        <w:t>s</w:t>
      </w:r>
      <w:r>
        <w:t xml:space="preserve">hortly after these discoveries, Carter was pulled from working in Upper Egypt and was assigned to be the chief inspector of </w:t>
      </w:r>
      <w:r w:rsidRPr="00386AE9">
        <w:t>Lower Egypt</w:t>
      </w:r>
      <w:r w:rsidRPr="00386AE9">
        <w:rPr>
          <w:rStyle w:val="FootnoteReference"/>
        </w:rPr>
        <w:footnoteReference w:id="129"/>
      </w:r>
      <w:r w:rsidRPr="00386AE9">
        <w:t xml:space="preserve"> (</w:t>
      </w:r>
      <w:r w:rsidRPr="00A9292D">
        <w:t xml:space="preserve">map </w:t>
      </w:r>
      <w:r w:rsidR="006C5508">
        <w:t>4</w:t>
      </w:r>
      <w:r w:rsidRPr="00386AE9">
        <w:t>).</w:t>
      </w:r>
      <w:r>
        <w:t xml:space="preserve">  </w:t>
      </w:r>
    </w:p>
    <w:p w14:paraId="205359EE" w14:textId="77777777" w:rsidR="009E6F71" w:rsidRDefault="00105905" w:rsidP="00105905">
      <w:pPr>
        <w:spacing w:line="360" w:lineRule="auto"/>
      </w:pPr>
      <w:r>
        <w:rPr>
          <w:noProof/>
        </w:rPr>
        <w:drawing>
          <wp:inline distT="0" distB="0" distL="0" distR="0" wp14:anchorId="669C93C9" wp14:editId="79F852BA">
            <wp:extent cx="3842312" cy="3859619"/>
            <wp:effectExtent l="0" t="0" r="6350" b="7620"/>
            <wp:docPr id="48" name="Picture 4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WhatsApp Image 2020-01-28 at 13.04.23.jpeg"/>
                    <pic:cNvPicPr/>
                  </pic:nvPicPr>
                  <pic:blipFill rotWithShape="1">
                    <a:blip r:embed="rId22">
                      <a:extLst>
                        <a:ext uri="{28A0092B-C50C-407E-A947-70E740481C1C}">
                          <a14:useLocalDpi xmlns:a14="http://schemas.microsoft.com/office/drawing/2010/main" val="0"/>
                        </a:ext>
                      </a:extLst>
                    </a:blip>
                    <a:srcRect l="9472" t="18945" r="16741" b="25467"/>
                    <a:stretch/>
                  </pic:blipFill>
                  <pic:spPr bwMode="auto">
                    <a:xfrm>
                      <a:off x="0" y="0"/>
                      <a:ext cx="3851713" cy="3869063"/>
                    </a:xfrm>
                    <a:prstGeom prst="rect">
                      <a:avLst/>
                    </a:prstGeom>
                    <a:ln>
                      <a:noFill/>
                    </a:ln>
                    <a:extLst>
                      <a:ext uri="{53640926-AAD7-44D8-BBD7-CCE9431645EC}">
                        <a14:shadowObscured xmlns:a14="http://schemas.microsoft.com/office/drawing/2010/main"/>
                      </a:ext>
                    </a:extLst>
                  </pic:spPr>
                </pic:pic>
              </a:graphicData>
            </a:graphic>
          </wp:inline>
        </w:drawing>
      </w:r>
    </w:p>
    <w:p w14:paraId="04959B28" w14:textId="7DEDA156" w:rsidR="00105905" w:rsidRPr="009E6F71" w:rsidRDefault="00105905" w:rsidP="00105905">
      <w:pPr>
        <w:spacing w:line="360" w:lineRule="auto"/>
      </w:pPr>
      <w:r w:rsidRPr="009E6F71">
        <w:rPr>
          <w:sz w:val="18"/>
          <w:szCs w:val="18"/>
        </w:rPr>
        <w:t xml:space="preserve">Map </w:t>
      </w:r>
      <w:r w:rsidR="006C5508" w:rsidRPr="009E6F71">
        <w:rPr>
          <w:sz w:val="18"/>
          <w:szCs w:val="18"/>
        </w:rPr>
        <w:t>4</w:t>
      </w:r>
      <w:r w:rsidRPr="009E6F71">
        <w:rPr>
          <w:sz w:val="18"/>
          <w:szCs w:val="18"/>
        </w:rPr>
        <w:t>: Map of Ancient Egypt, showing Upper and Lower Egypt</w:t>
      </w:r>
      <w:r w:rsidRPr="009E6F71">
        <w:rPr>
          <w:rStyle w:val="FootnoteReference"/>
          <w:sz w:val="18"/>
          <w:szCs w:val="18"/>
        </w:rPr>
        <w:footnoteReference w:id="130"/>
      </w:r>
      <w:r w:rsidRPr="009E6F71">
        <w:rPr>
          <w:sz w:val="18"/>
          <w:szCs w:val="18"/>
        </w:rPr>
        <w:t xml:space="preserve">. </w:t>
      </w:r>
    </w:p>
    <w:p w14:paraId="51C7F56E" w14:textId="77777777" w:rsidR="002117A2" w:rsidRPr="002117A2" w:rsidRDefault="002117A2" w:rsidP="00105905">
      <w:pPr>
        <w:spacing w:line="360" w:lineRule="auto"/>
        <w:rPr>
          <w:sz w:val="20"/>
          <w:szCs w:val="20"/>
        </w:rPr>
      </w:pPr>
    </w:p>
    <w:p w14:paraId="7A6E0D24" w14:textId="6C0C8548" w:rsidR="00105905" w:rsidRDefault="00105905" w:rsidP="00105905">
      <w:pPr>
        <w:spacing w:line="360" w:lineRule="auto"/>
      </w:pPr>
      <w:commentRangeStart w:id="35"/>
      <w:r w:rsidRPr="004874F7">
        <w:rPr>
          <w:u w:val="single"/>
        </w:rPr>
        <w:t xml:space="preserve">Davis continued excavating in the Valley with a different Egyptologist, James </w:t>
      </w:r>
      <w:proofErr w:type="spellStart"/>
      <w:r w:rsidRPr="004874F7">
        <w:rPr>
          <w:u w:val="single"/>
        </w:rPr>
        <w:t>Quibell</w:t>
      </w:r>
      <w:proofErr w:type="spellEnd"/>
      <w:r w:rsidRPr="004874F7">
        <w:rPr>
          <w:u w:val="single"/>
        </w:rPr>
        <w:t>; together they discovered tomb KV46. However, due to disputes their joint work ended and Davis hired a new Egyptologist named Edward Ayrton</w:t>
      </w:r>
      <w:r w:rsidRPr="004874F7">
        <w:rPr>
          <w:rStyle w:val="FootnoteReference"/>
          <w:u w:val="single"/>
        </w:rPr>
        <w:footnoteReference w:id="131"/>
      </w:r>
      <w:r w:rsidRPr="004874F7">
        <w:rPr>
          <w:u w:val="single"/>
        </w:rPr>
        <w:t xml:space="preserve">. Together they found tombs such as KV57, KV47 which consisted of inscribed objects with the name of Tutankhaten and </w:t>
      </w:r>
      <w:proofErr w:type="spellStart"/>
      <w:r w:rsidRPr="004874F7">
        <w:rPr>
          <w:u w:val="single"/>
        </w:rPr>
        <w:t>Nebkheperure</w:t>
      </w:r>
      <w:proofErr w:type="spellEnd"/>
      <w:r w:rsidRPr="004874F7">
        <w:rPr>
          <w:u w:val="single"/>
        </w:rPr>
        <w:t xml:space="preserve"> (Tutankhamun’s throne name) and KV54 which had linen with Tutankhamun’s throne name on</w:t>
      </w:r>
      <w:r w:rsidRPr="004874F7">
        <w:rPr>
          <w:rStyle w:val="FootnoteReference"/>
          <w:u w:val="single"/>
        </w:rPr>
        <w:footnoteReference w:id="132"/>
      </w:r>
      <w:r w:rsidRPr="004874F7">
        <w:rPr>
          <w:u w:val="single"/>
        </w:rPr>
        <w:t>. Davis then worked</w:t>
      </w:r>
      <w:r>
        <w:t xml:space="preserve"> </w:t>
      </w:r>
      <w:r w:rsidRPr="004874F7">
        <w:rPr>
          <w:u w:val="single"/>
        </w:rPr>
        <w:t xml:space="preserve">with a different Egyptologist called Ernest Harold Jones, they found KV58, also known as the Chariot </w:t>
      </w:r>
      <w:r w:rsidRPr="004874F7">
        <w:rPr>
          <w:u w:val="single"/>
        </w:rPr>
        <w:lastRenderedPageBreak/>
        <w:t>tomb</w:t>
      </w:r>
      <w:r w:rsidRPr="004874F7">
        <w:rPr>
          <w:rStyle w:val="FootnoteReference"/>
          <w:u w:val="single"/>
        </w:rPr>
        <w:footnoteReference w:id="133"/>
      </w:r>
      <w:r w:rsidRPr="004874F7">
        <w:rPr>
          <w:u w:val="single"/>
        </w:rPr>
        <w:t xml:space="preserve">. Some of the walls inside this tomb had Tutankhamun’s name </w:t>
      </w:r>
      <w:r w:rsidR="00460160" w:rsidRPr="004874F7">
        <w:rPr>
          <w:u w:val="single"/>
        </w:rPr>
        <w:t>in</w:t>
      </w:r>
      <w:r w:rsidRPr="004874F7">
        <w:rPr>
          <w:u w:val="single"/>
        </w:rPr>
        <w:t>scribed, leading both Egyptologists</w:t>
      </w:r>
      <w:r w:rsidR="00460160" w:rsidRPr="004874F7">
        <w:rPr>
          <w:u w:val="single"/>
        </w:rPr>
        <w:t xml:space="preserve"> to</w:t>
      </w:r>
      <w:r w:rsidRPr="004874F7">
        <w:rPr>
          <w:u w:val="single"/>
        </w:rPr>
        <w:t xml:space="preserve"> believ</w:t>
      </w:r>
      <w:r w:rsidR="006B16E7" w:rsidRPr="004874F7">
        <w:rPr>
          <w:u w:val="single"/>
        </w:rPr>
        <w:t>e that</w:t>
      </w:r>
      <w:r w:rsidRPr="004874F7">
        <w:rPr>
          <w:u w:val="single"/>
        </w:rPr>
        <w:t xml:space="preserve"> they had found Tutankhamun’s tomb</w:t>
      </w:r>
      <w:r w:rsidRPr="004874F7">
        <w:rPr>
          <w:rStyle w:val="FootnoteReference"/>
          <w:u w:val="single"/>
        </w:rPr>
        <w:footnoteReference w:id="134"/>
      </w:r>
      <w:r w:rsidR="00656DE4" w:rsidRPr="004874F7">
        <w:rPr>
          <w:u w:val="single"/>
        </w:rPr>
        <w:t xml:space="preserve">. </w:t>
      </w:r>
      <w:r w:rsidRPr="00FF29E3">
        <w:t>In 1912 Davis had that the site was now exhausted</w:t>
      </w:r>
      <w:r w:rsidR="006B16E7" w:rsidRPr="00FF29E3">
        <w:t xml:space="preserve"> that after sixty-one tombs being discovered in the Valley of the Kings</w:t>
      </w:r>
      <w:r w:rsidRPr="00FF29E3">
        <w:rPr>
          <w:rStyle w:val="FootnoteReference"/>
        </w:rPr>
        <w:footnoteReference w:id="135"/>
      </w:r>
      <w:r w:rsidRPr="00FF29E3">
        <w:t xml:space="preserve"> and he gave his excavation permit up</w:t>
      </w:r>
      <w:r w:rsidRPr="00FF29E3">
        <w:rPr>
          <w:rStyle w:val="FootnoteReference"/>
        </w:rPr>
        <w:footnoteReference w:id="136"/>
      </w:r>
      <w:r w:rsidR="00E8369A" w:rsidRPr="00FF29E3">
        <w:t xml:space="preserve"> (</w:t>
      </w:r>
      <w:r w:rsidR="00441FA5">
        <w:t>a</w:t>
      </w:r>
      <w:r w:rsidR="00E8369A" w:rsidRPr="00FF29E3">
        <w:t>ppendix</w:t>
      </w:r>
      <w:r w:rsidR="00B1520D" w:rsidRPr="00FF29E3">
        <w:t xml:space="preserve"> B)</w:t>
      </w:r>
      <w:r w:rsidRPr="00FF29E3">
        <w:t xml:space="preserve">. </w:t>
      </w:r>
      <w:commentRangeEnd w:id="35"/>
      <w:r w:rsidR="004874F7" w:rsidRPr="00FF29E3">
        <w:rPr>
          <w:rStyle w:val="CommentReference"/>
        </w:rPr>
        <w:commentReference w:id="35"/>
      </w:r>
    </w:p>
    <w:p w14:paraId="6AFB2672" w14:textId="4499667D" w:rsidR="00105905" w:rsidRDefault="00105905" w:rsidP="00105905">
      <w:pPr>
        <w:spacing w:line="360" w:lineRule="auto"/>
      </w:pPr>
      <w:r>
        <w:t>During Davis’ time at the Valley of the Kings, Carter was experiencing his own problems, he was involved in an incident with French tourists, resulting in his resignation at the EAS</w:t>
      </w:r>
      <w:r>
        <w:rPr>
          <w:rStyle w:val="FootnoteReference"/>
        </w:rPr>
        <w:footnoteReference w:id="137"/>
      </w:r>
      <w:r>
        <w:t xml:space="preserve">. Despite this, </w:t>
      </w:r>
      <w:proofErr w:type="spellStart"/>
      <w:r>
        <w:t>Maspero</w:t>
      </w:r>
      <w:proofErr w:type="spellEnd"/>
      <w:r>
        <w:t>, the head of EAS</w:t>
      </w:r>
      <w:r>
        <w:rPr>
          <w:rStyle w:val="FootnoteReference"/>
        </w:rPr>
        <w:footnoteReference w:id="138"/>
      </w:r>
      <w:r>
        <w:t>, wanted Carter to come back to work for the EAS however Carter refused the job offer</w:t>
      </w:r>
      <w:r>
        <w:rPr>
          <w:rStyle w:val="FootnoteReference"/>
        </w:rPr>
        <w:footnoteReference w:id="139"/>
      </w:r>
      <w:r>
        <w:t xml:space="preserve">.  </w:t>
      </w:r>
      <w:proofErr w:type="spellStart"/>
      <w:r>
        <w:t>Maspero</w:t>
      </w:r>
      <w:proofErr w:type="spellEnd"/>
      <w:r>
        <w:t xml:space="preserve"> recommended Carter to ‘hobbyist’ George Herbert, the 5</w:t>
      </w:r>
      <w:r w:rsidRPr="000334E3">
        <w:rPr>
          <w:vertAlign w:val="superscript"/>
        </w:rPr>
        <w:t>th</w:t>
      </w:r>
      <w:r>
        <w:t xml:space="preserve"> Earl of Carnarvon, as a field archaeologist</w:t>
      </w:r>
      <w:r>
        <w:rPr>
          <w:rStyle w:val="FootnoteReference"/>
        </w:rPr>
        <w:footnoteReference w:id="140"/>
      </w:r>
      <w:r>
        <w:t xml:space="preserve">. </w:t>
      </w:r>
      <w:r w:rsidRPr="00CF5B1C">
        <w:rPr>
          <w:u w:val="single"/>
        </w:rPr>
        <w:t>Carnarvon first visited Egypt in 1903 after a motor accident for recovery because of Egypt’s ‘dry therapeutic weather’</w:t>
      </w:r>
      <w:r w:rsidRPr="00CF5B1C">
        <w:rPr>
          <w:rStyle w:val="FootnoteReference"/>
          <w:u w:val="single"/>
        </w:rPr>
        <w:footnoteReference w:id="141"/>
      </w:r>
      <w:r w:rsidRPr="00CF5B1C">
        <w:rPr>
          <w:u w:val="single"/>
        </w:rPr>
        <w:t>.</w:t>
      </w:r>
      <w:r>
        <w:t xml:space="preserve"> Carnarvon began his first excavation work in Thebes in 1906</w:t>
      </w:r>
      <w:r>
        <w:rPr>
          <w:rStyle w:val="FootnoteReference"/>
        </w:rPr>
        <w:footnoteReference w:id="142"/>
      </w:r>
      <w:r>
        <w:t xml:space="preserve">, on his return to Egypt in 1909, Carter joined Carnarvon on project work throughout Egypt, </w:t>
      </w:r>
      <w:commentRangeStart w:id="36"/>
      <w:r w:rsidRPr="0086645C">
        <w:rPr>
          <w:u w:val="single"/>
        </w:rPr>
        <w:t xml:space="preserve">finds consisting of the discovery of Amenhotep I and Mother Ahmose </w:t>
      </w:r>
      <w:proofErr w:type="spellStart"/>
      <w:r w:rsidRPr="0086645C">
        <w:rPr>
          <w:u w:val="single"/>
        </w:rPr>
        <w:t>Nefertari’s</w:t>
      </w:r>
      <w:proofErr w:type="spellEnd"/>
      <w:r w:rsidRPr="0086645C">
        <w:rPr>
          <w:u w:val="single"/>
        </w:rPr>
        <w:t xml:space="preserve"> tombs in 1914</w:t>
      </w:r>
      <w:r w:rsidRPr="0086645C">
        <w:rPr>
          <w:rStyle w:val="FootnoteReference"/>
          <w:u w:val="single"/>
        </w:rPr>
        <w:footnoteReference w:id="143"/>
      </w:r>
      <w:r w:rsidRPr="0086645C">
        <w:rPr>
          <w:u w:val="single"/>
        </w:rPr>
        <w:t>. In 1914 Carnarvon was given concession for excavation work in the Valley of the Kings</w:t>
      </w:r>
      <w:r w:rsidRPr="0086645C">
        <w:rPr>
          <w:rStyle w:val="FootnoteReference"/>
          <w:u w:val="single"/>
        </w:rPr>
        <w:footnoteReference w:id="144"/>
      </w:r>
      <w:r w:rsidRPr="0086645C">
        <w:rPr>
          <w:u w:val="single"/>
        </w:rPr>
        <w:t>; their work began by re-excavating some work that was done by Davis and his Egyptologists</w:t>
      </w:r>
      <w:r w:rsidRPr="0086645C">
        <w:rPr>
          <w:rStyle w:val="FootnoteReference"/>
          <w:u w:val="single"/>
        </w:rPr>
        <w:footnoteReference w:id="145"/>
      </w:r>
      <w:r w:rsidRPr="0086645C">
        <w:rPr>
          <w:u w:val="single"/>
        </w:rPr>
        <w:t>.</w:t>
      </w:r>
      <w:r>
        <w:t xml:space="preserve"> </w:t>
      </w:r>
      <w:commentRangeEnd w:id="36"/>
      <w:r w:rsidR="0086645C">
        <w:rPr>
          <w:rStyle w:val="CommentReference"/>
        </w:rPr>
        <w:commentReference w:id="36"/>
      </w:r>
      <w:r>
        <w:t xml:space="preserve">With World War </w:t>
      </w:r>
      <w:r w:rsidR="00F46076">
        <w:t>I (WWI)</w:t>
      </w:r>
      <w:r>
        <w:t xml:space="preserve"> starting in 1914 it meant that minimal work was conducted at the Valley of the Kings which did not fully resume until 1919</w:t>
      </w:r>
      <w:r>
        <w:rPr>
          <w:rStyle w:val="FootnoteReference"/>
        </w:rPr>
        <w:footnoteReference w:id="146"/>
      </w:r>
      <w:r>
        <w:t xml:space="preserve">. </w:t>
      </w:r>
    </w:p>
    <w:p w14:paraId="3FFED3BB" w14:textId="77777777" w:rsidR="00105905" w:rsidRPr="0086645C" w:rsidRDefault="00105905" w:rsidP="00105905">
      <w:pPr>
        <w:spacing w:line="360" w:lineRule="auto"/>
        <w:rPr>
          <w:u w:val="single"/>
        </w:rPr>
      </w:pPr>
      <w:commentRangeStart w:id="37"/>
      <w:r w:rsidRPr="0086645C">
        <w:rPr>
          <w:u w:val="single"/>
        </w:rPr>
        <w:t xml:space="preserve">By 1922 and only a few discoveries from eighteen sites (figure 1), </w:t>
      </w:r>
      <w:commentRangeEnd w:id="37"/>
      <w:r w:rsidR="0086645C">
        <w:rPr>
          <w:rStyle w:val="CommentReference"/>
        </w:rPr>
        <w:commentReference w:id="37"/>
      </w:r>
    </w:p>
    <w:p w14:paraId="2E0D9190" w14:textId="77777777" w:rsidR="00105905" w:rsidRDefault="00105905" w:rsidP="00105905">
      <w:pPr>
        <w:spacing w:line="360" w:lineRule="auto"/>
      </w:pPr>
      <w:r>
        <w:rPr>
          <w:noProof/>
        </w:rPr>
        <w:lastRenderedPageBreak/>
        <w:drawing>
          <wp:inline distT="0" distB="0" distL="0" distR="0" wp14:anchorId="315B093C" wp14:editId="0C7DFDC5">
            <wp:extent cx="5731510" cy="6471285"/>
            <wp:effectExtent l="0" t="0" r="2540" b="5715"/>
            <wp:docPr id="50" name="Picture 5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WhatsApp Image 2020-02-04 at 12.51.44 (1).jpeg"/>
                    <pic:cNvPicPr/>
                  </pic:nvPicPr>
                  <pic:blipFill>
                    <a:blip r:embed="rId23">
                      <a:extLst>
                        <a:ext uri="{28A0092B-C50C-407E-A947-70E740481C1C}">
                          <a14:useLocalDpi xmlns:a14="http://schemas.microsoft.com/office/drawing/2010/main" val="0"/>
                        </a:ext>
                      </a:extLst>
                    </a:blip>
                    <a:stretch>
                      <a:fillRect/>
                    </a:stretch>
                  </pic:blipFill>
                  <pic:spPr>
                    <a:xfrm>
                      <a:off x="0" y="0"/>
                      <a:ext cx="5731510" cy="6471285"/>
                    </a:xfrm>
                    <a:prstGeom prst="rect">
                      <a:avLst/>
                    </a:prstGeom>
                  </pic:spPr>
                </pic:pic>
              </a:graphicData>
            </a:graphic>
          </wp:inline>
        </w:drawing>
      </w:r>
    </w:p>
    <w:p w14:paraId="599618FA" w14:textId="77777777" w:rsidR="00105905" w:rsidRPr="009E6F71" w:rsidRDefault="00105905" w:rsidP="00105905">
      <w:pPr>
        <w:spacing w:line="360" w:lineRule="auto"/>
        <w:rPr>
          <w:sz w:val="18"/>
          <w:szCs w:val="18"/>
        </w:rPr>
      </w:pPr>
      <w:r w:rsidRPr="009E6F71">
        <w:rPr>
          <w:sz w:val="18"/>
          <w:szCs w:val="18"/>
        </w:rPr>
        <w:t>Figure 1: List of Carnarvon’s excavations in Egypt from 1915 – 1922</w:t>
      </w:r>
      <w:r w:rsidRPr="009E6F71">
        <w:rPr>
          <w:rStyle w:val="FootnoteReference"/>
          <w:sz w:val="18"/>
          <w:szCs w:val="18"/>
        </w:rPr>
        <w:footnoteReference w:id="147"/>
      </w:r>
      <w:r w:rsidRPr="009E6F71">
        <w:rPr>
          <w:sz w:val="18"/>
          <w:szCs w:val="18"/>
        </w:rPr>
        <w:t xml:space="preserve">. </w:t>
      </w:r>
    </w:p>
    <w:p w14:paraId="6E491C96" w14:textId="77777777" w:rsidR="00105905" w:rsidRDefault="00105905" w:rsidP="00105905">
      <w:pPr>
        <w:spacing w:line="360" w:lineRule="auto"/>
      </w:pPr>
    </w:p>
    <w:p w14:paraId="05DAAAAB" w14:textId="77777777" w:rsidR="00105905" w:rsidRDefault="00105905" w:rsidP="00105905">
      <w:pPr>
        <w:spacing w:line="360" w:lineRule="auto"/>
      </w:pPr>
      <w:r>
        <w:t>Carnarvon was ready to stop further excavation work, however Carter persuaded him to fund one more season</w:t>
      </w:r>
      <w:r>
        <w:rPr>
          <w:rStyle w:val="FootnoteReference"/>
        </w:rPr>
        <w:footnoteReference w:id="148"/>
      </w:r>
      <w:r>
        <w:t>. On the 4</w:t>
      </w:r>
      <w:r w:rsidRPr="00C2680A">
        <w:rPr>
          <w:vertAlign w:val="superscript"/>
        </w:rPr>
        <w:t>th</w:t>
      </w:r>
      <w:r>
        <w:t xml:space="preserve"> November 1922, water boy Hussein </w:t>
      </w:r>
      <w:proofErr w:type="spellStart"/>
      <w:r>
        <w:t>Adbel</w:t>
      </w:r>
      <w:proofErr w:type="spellEnd"/>
      <w:r>
        <w:t xml:space="preserve"> </w:t>
      </w:r>
      <w:proofErr w:type="spellStart"/>
      <w:r>
        <w:t>Rassoul</w:t>
      </w:r>
      <w:proofErr w:type="spellEnd"/>
      <w:r>
        <w:t xml:space="preserve"> walked his donkey to the excavation site, on delivering the jars of water he began to dig small holes in the sand for the jars </w:t>
      </w:r>
      <w:r>
        <w:lastRenderedPageBreak/>
        <w:t>to stand in</w:t>
      </w:r>
      <w:r>
        <w:rPr>
          <w:rStyle w:val="FootnoteReference"/>
        </w:rPr>
        <w:footnoteReference w:id="149"/>
      </w:r>
      <w:r>
        <w:t>. On digging one hole he discovered a stone surface that was leading to a stairway</w:t>
      </w:r>
      <w:r>
        <w:rPr>
          <w:rStyle w:val="FootnoteReference"/>
        </w:rPr>
        <w:footnoteReference w:id="150"/>
      </w:r>
      <w:r>
        <w:t>. As Carter informed Carnarvon of this discovery and by the 24</w:t>
      </w:r>
      <w:r w:rsidRPr="00173691">
        <w:rPr>
          <w:vertAlign w:val="superscript"/>
        </w:rPr>
        <w:t>th</w:t>
      </w:r>
      <w:r>
        <w:t xml:space="preserve"> November Carnarvon was back in Egypt</w:t>
      </w:r>
      <w:r>
        <w:rPr>
          <w:rStyle w:val="FootnoteReference"/>
        </w:rPr>
        <w:footnoteReference w:id="151"/>
      </w:r>
      <w:r>
        <w:t>. On the 13</w:t>
      </w:r>
      <w:r w:rsidRPr="00EC65EE">
        <w:rPr>
          <w:vertAlign w:val="superscript"/>
        </w:rPr>
        <w:t>th</w:t>
      </w:r>
      <w:r>
        <w:t xml:space="preserve"> November 1922, Carnarvon invited Arthur Merton, from the London Times, to the opening of the tomb. The London Times article surprised the world with the news of this new discovery</w:t>
      </w:r>
      <w:r>
        <w:rPr>
          <w:rStyle w:val="FootnoteReference"/>
        </w:rPr>
        <w:footnoteReference w:id="152"/>
      </w:r>
      <w:r>
        <w:t>, however Carnarvon died in 1923 from an infected mosquito bite and never got to see the full rewards of his money and endeavours</w:t>
      </w:r>
      <w:r>
        <w:rPr>
          <w:rStyle w:val="FootnoteReference"/>
        </w:rPr>
        <w:footnoteReference w:id="153"/>
      </w:r>
      <w:r>
        <w:t xml:space="preserve">. </w:t>
      </w:r>
    </w:p>
    <w:p w14:paraId="30D2257C" w14:textId="666571EB" w:rsidR="00105905" w:rsidRDefault="00105905" w:rsidP="00105905">
      <w:pPr>
        <w:spacing w:line="360" w:lineRule="auto"/>
      </w:pPr>
      <w:r w:rsidRPr="007A0E3D">
        <w:rPr>
          <w:highlight w:val="lightGray"/>
        </w:rPr>
        <w:t>Months before the discovery of Tutankhamun’s tomb, the British had given partial independence to the Egyptians</w:t>
      </w:r>
      <w:r w:rsidRPr="007A0E3D">
        <w:rPr>
          <w:rStyle w:val="FootnoteReference"/>
          <w:highlight w:val="lightGray"/>
        </w:rPr>
        <w:footnoteReference w:id="154"/>
      </w:r>
      <w:r w:rsidRPr="007A0E3D">
        <w:rPr>
          <w:highlight w:val="lightGray"/>
        </w:rPr>
        <w:t xml:space="preserve">, meaning that no discoveries from intact tombs were to leave Egypt legally, </w:t>
      </w:r>
      <w:r w:rsidR="00BE70E6">
        <w:rPr>
          <w:highlight w:val="lightGray"/>
        </w:rPr>
        <w:t>the conflict this caused is</w:t>
      </w:r>
      <w:r w:rsidRPr="007A0E3D">
        <w:rPr>
          <w:highlight w:val="lightGray"/>
        </w:rPr>
        <w:t xml:space="preserve"> discussed further </w:t>
      </w:r>
      <w:r w:rsidR="00697A64" w:rsidRPr="007A0E3D">
        <w:rPr>
          <w:highlight w:val="lightGray"/>
        </w:rPr>
        <w:t>on in this</w:t>
      </w:r>
      <w:r w:rsidRPr="007A0E3D">
        <w:rPr>
          <w:highlight w:val="lightGray"/>
        </w:rPr>
        <w:t xml:space="preserve"> chapter. All excavation work that was done on the site was strictly watched by members of the EAS to ensure nothing was removed</w:t>
      </w:r>
      <w:r w:rsidRPr="007A0E3D">
        <w:rPr>
          <w:rStyle w:val="FootnoteReference"/>
          <w:highlight w:val="lightGray"/>
        </w:rPr>
        <w:footnoteReference w:id="155"/>
      </w:r>
      <w:r w:rsidRPr="007A0E3D">
        <w:rPr>
          <w:highlight w:val="lightGray"/>
        </w:rPr>
        <w:t xml:space="preserve"> and that regulations were followed</w:t>
      </w:r>
      <w:r w:rsidRPr="007A0E3D">
        <w:rPr>
          <w:rStyle w:val="FootnoteReference"/>
          <w:highlight w:val="lightGray"/>
        </w:rPr>
        <w:footnoteReference w:id="156"/>
      </w:r>
      <w:r w:rsidRPr="007A0E3D">
        <w:rPr>
          <w:highlight w:val="lightGray"/>
        </w:rPr>
        <w:t>;</w:t>
      </w:r>
      <w:r w:rsidRPr="00516CCF">
        <w:t xml:space="preserve"> this annoyed Carter because he believed the tomb had been looted at least twice which meant that the tomb was not intact</w:t>
      </w:r>
      <w:r w:rsidRPr="00516CCF">
        <w:rPr>
          <w:rStyle w:val="FootnoteReference"/>
        </w:rPr>
        <w:footnoteReference w:id="157"/>
      </w:r>
      <w:r w:rsidRPr="00516CCF">
        <w:t>. Carter argued that the tomb belonged to him and that the government was interrupting his work</w:t>
      </w:r>
      <w:r w:rsidRPr="00516CCF">
        <w:rPr>
          <w:rStyle w:val="FootnoteReference"/>
        </w:rPr>
        <w:footnoteReference w:id="158"/>
      </w:r>
      <w:r w:rsidRPr="00516CCF">
        <w:t xml:space="preserve">. The </w:t>
      </w:r>
      <w:r>
        <w:t xml:space="preserve">EAS </w:t>
      </w:r>
      <w:r w:rsidRPr="00516CCF">
        <w:t>disagreed with Carter because they argued that the tomb was only broken into close to the death of Tutankhamun and nothing was taken</w:t>
      </w:r>
      <w:r w:rsidRPr="00516CCF">
        <w:rPr>
          <w:rStyle w:val="FootnoteReference"/>
        </w:rPr>
        <w:footnoteReference w:id="159"/>
      </w:r>
      <w:r w:rsidRPr="00516CCF">
        <w:t>. In the end, it resulted in him and his team abandoning the tomb</w:t>
      </w:r>
      <w:r w:rsidRPr="00516CCF">
        <w:rPr>
          <w:rStyle w:val="FootnoteReference"/>
        </w:rPr>
        <w:footnoteReference w:id="160"/>
      </w:r>
      <w:r w:rsidRPr="00516CCF">
        <w:t xml:space="preserve">.  They sealed the tomb and stopped any work to </w:t>
      </w:r>
      <w:proofErr w:type="gramStart"/>
      <w:r w:rsidRPr="00516CCF">
        <w:t>protest against</w:t>
      </w:r>
      <w:proofErr w:type="gramEnd"/>
      <w:r w:rsidRPr="00516CCF">
        <w:t xml:space="preserve"> the government’s interference; the </w:t>
      </w:r>
      <w:r>
        <w:t xml:space="preserve">head of the EAS, Pierre </w:t>
      </w:r>
      <w:proofErr w:type="spellStart"/>
      <w:r w:rsidRPr="00516CCF">
        <w:t>Lacau</w:t>
      </w:r>
      <w:proofErr w:type="spellEnd"/>
      <w:r w:rsidRPr="00516CCF">
        <w:t>, had the tomb seized and said that all contents belonged to Egypt</w:t>
      </w:r>
      <w:r w:rsidRPr="00516CCF">
        <w:rPr>
          <w:rStyle w:val="FootnoteReference"/>
        </w:rPr>
        <w:footnoteReference w:id="161"/>
      </w:r>
      <w:r w:rsidRPr="00516CCF">
        <w:t xml:space="preserve">. The Prime Minister justified </w:t>
      </w:r>
      <w:proofErr w:type="spellStart"/>
      <w:r w:rsidRPr="00516CCF">
        <w:t>Lacau’s</w:t>
      </w:r>
      <w:proofErr w:type="spellEnd"/>
      <w:r w:rsidRPr="00516CCF">
        <w:t xml:space="preserve"> actions because ‘it is the duty of the government to defend the rights and dignity of the nation’</w:t>
      </w:r>
      <w:r w:rsidRPr="00516CCF">
        <w:rPr>
          <w:rStyle w:val="FootnoteReference"/>
        </w:rPr>
        <w:footnoteReference w:id="162"/>
      </w:r>
      <w:r w:rsidRPr="00516CCF">
        <w:t xml:space="preserve">. </w:t>
      </w:r>
      <w:proofErr w:type="gramStart"/>
      <w:r w:rsidRPr="00516CCF">
        <w:t>All of</w:t>
      </w:r>
      <w:proofErr w:type="gramEnd"/>
      <w:r w:rsidRPr="00516CCF">
        <w:t xml:space="preserve"> the artefacts from the tomb belonged to the Museum of Cairo at el-tahrir Square</w:t>
      </w:r>
      <w:r w:rsidRPr="00516CCF">
        <w:rPr>
          <w:rStyle w:val="FootnoteReference"/>
        </w:rPr>
        <w:footnoteReference w:id="163"/>
      </w:r>
      <w:r w:rsidRPr="00516CCF">
        <w:t xml:space="preserve">. The </w:t>
      </w:r>
      <w:r>
        <w:t>struggle</w:t>
      </w:r>
      <w:r w:rsidRPr="00516CCF">
        <w:t xml:space="preserve"> between Carter and the </w:t>
      </w:r>
      <w:r>
        <w:t>EAS</w:t>
      </w:r>
      <w:r w:rsidRPr="00516CCF">
        <w:t xml:space="preserve"> resulted in Egypt winning and being able to keep all Tutankhamun’s tomb’s contents</w:t>
      </w:r>
      <w:r w:rsidRPr="00516CCF">
        <w:rPr>
          <w:rStyle w:val="FootnoteReference"/>
        </w:rPr>
        <w:footnoteReference w:id="164"/>
      </w:r>
      <w:r w:rsidRPr="00516CCF">
        <w:t xml:space="preserve">. </w:t>
      </w:r>
      <w:r w:rsidRPr="00A26FB4">
        <w:rPr>
          <w:highlight w:val="lightGray"/>
        </w:rPr>
        <w:t>The conflict between Carter and the Egyptian government regarding Tutankhamun’s tomb illustrated the ‘competing ideologies of imperialism and pharaonic nationalism’</w:t>
      </w:r>
      <w:r w:rsidRPr="00A26FB4">
        <w:rPr>
          <w:rStyle w:val="FootnoteReference"/>
          <w:highlight w:val="lightGray"/>
        </w:rPr>
        <w:footnoteReference w:id="165"/>
      </w:r>
      <w:r w:rsidRPr="00A26FB4">
        <w:rPr>
          <w:highlight w:val="lightGray"/>
        </w:rPr>
        <w:t>.</w:t>
      </w:r>
      <w:r w:rsidRPr="00516CCF">
        <w:t xml:space="preserve"> However, due to the assassination of </w:t>
      </w:r>
      <w:r>
        <w:t xml:space="preserve">Governor </w:t>
      </w:r>
      <w:r w:rsidR="006F125A">
        <w:t>g</w:t>
      </w:r>
      <w:r>
        <w:t xml:space="preserve">eneral and Sirdar of the Egyptian </w:t>
      </w:r>
      <w:r>
        <w:lastRenderedPageBreak/>
        <w:t xml:space="preserve">army, </w:t>
      </w:r>
      <w:r w:rsidRPr="00516CCF">
        <w:t>Sir Lee Stack</w:t>
      </w:r>
      <w:r>
        <w:rPr>
          <w:rStyle w:val="FootnoteReference"/>
        </w:rPr>
        <w:footnoteReference w:id="166"/>
      </w:r>
      <w:r>
        <w:t>,</w:t>
      </w:r>
      <w:r w:rsidRPr="00516CCF">
        <w:t xml:space="preserve"> and the change of government, this meant that Carter managed to be back working at Tutankhamun’s tomb in 1924</w:t>
      </w:r>
      <w:r w:rsidRPr="00516CCF">
        <w:rPr>
          <w:rStyle w:val="FootnoteReference"/>
        </w:rPr>
        <w:footnoteReference w:id="167"/>
      </w:r>
      <w:r w:rsidRPr="00516CCF">
        <w:t xml:space="preserve">. Ahmad </w:t>
      </w:r>
      <w:proofErr w:type="spellStart"/>
      <w:r w:rsidRPr="00516CCF">
        <w:t>Ziwar</w:t>
      </w:r>
      <w:proofErr w:type="spellEnd"/>
      <w:r w:rsidRPr="00516CCF">
        <w:t>, the new Prime Minister had minimal interest in Egypt’s nationalism and allowed Carter to continue his work</w:t>
      </w:r>
      <w:r w:rsidRPr="00516CCF">
        <w:rPr>
          <w:rStyle w:val="FootnoteReference"/>
        </w:rPr>
        <w:footnoteReference w:id="168"/>
      </w:r>
      <w:r w:rsidRPr="00516CCF">
        <w:t xml:space="preserve">. By </w:t>
      </w:r>
      <w:proofErr w:type="gramStart"/>
      <w:r w:rsidRPr="00516CCF">
        <w:t>December 1927</w:t>
      </w:r>
      <w:proofErr w:type="gramEnd"/>
      <w:r w:rsidRPr="00516CCF">
        <w:t xml:space="preserve"> all 5,366 items from Tutankhamun’s tomb w</w:t>
      </w:r>
      <w:r>
        <w:t>ere</w:t>
      </w:r>
      <w:r w:rsidRPr="00516CCF">
        <w:t xml:space="preserve"> removed to Cairo Museum and catalogued</w:t>
      </w:r>
      <w:r w:rsidRPr="00516CCF">
        <w:rPr>
          <w:rStyle w:val="FootnoteReference"/>
        </w:rPr>
        <w:footnoteReference w:id="169"/>
      </w:r>
      <w:r w:rsidRPr="00516CCF">
        <w:t xml:space="preserve">. </w:t>
      </w:r>
    </w:p>
    <w:p w14:paraId="08F4C4D7" w14:textId="49F4A38C" w:rsidR="00105905" w:rsidRDefault="00105905" w:rsidP="00105905">
      <w:pPr>
        <w:spacing w:line="360" w:lineRule="auto"/>
      </w:pPr>
      <w:r>
        <w:t xml:space="preserve">After </w:t>
      </w:r>
      <w:r w:rsidR="00F46076">
        <w:t>WW1</w:t>
      </w:r>
      <w:r w:rsidR="00652FFF">
        <w:t>,</w:t>
      </w:r>
      <w:r>
        <w:t xml:space="preserve"> Britain was a different country; the war brought in some revenue, women were employed, and they gained their right to vote</w:t>
      </w:r>
      <w:r>
        <w:rPr>
          <w:rStyle w:val="FootnoteReference"/>
        </w:rPr>
        <w:footnoteReference w:id="170"/>
      </w:r>
      <w:r>
        <w:t xml:space="preserve">. </w:t>
      </w:r>
      <w:r w:rsidR="00730A23">
        <w:t>The life of the a</w:t>
      </w:r>
      <w:r>
        <w:t xml:space="preserve">ristocracy and wealthier classes had never been better, however costly </w:t>
      </w:r>
      <w:r w:rsidR="00730A23">
        <w:t>the British</w:t>
      </w:r>
      <w:r>
        <w:t xml:space="preserve"> exports and lack of investment led to depression, deflation and a decline in the economy resulting in two million people being unemployed in Britain by the mid 1920’s</w:t>
      </w:r>
      <w:r>
        <w:rPr>
          <w:rStyle w:val="FootnoteReference"/>
        </w:rPr>
        <w:footnoteReference w:id="171"/>
      </w:r>
      <w:r>
        <w:t xml:space="preserve">. </w:t>
      </w:r>
      <w:r w:rsidRPr="00D221C9">
        <w:rPr>
          <w:highlight w:val="cyan"/>
        </w:rPr>
        <w:t>The discovery of Tutankhamun’s tomb by a British archaeologist caused a mania in the west</w:t>
      </w:r>
      <w:r w:rsidRPr="00D221C9">
        <w:rPr>
          <w:rStyle w:val="FootnoteReference"/>
          <w:highlight w:val="cyan"/>
        </w:rPr>
        <w:footnoteReference w:id="172"/>
      </w:r>
      <w:r w:rsidRPr="00D221C9">
        <w:rPr>
          <w:highlight w:val="cyan"/>
        </w:rPr>
        <w:t xml:space="preserve"> as well as a much-needed boost to British morale.</w:t>
      </w:r>
    </w:p>
    <w:p w14:paraId="313027D3" w14:textId="795A73B0" w:rsidR="00105905" w:rsidRPr="00D7588F" w:rsidRDefault="00105905" w:rsidP="00105905">
      <w:pPr>
        <w:spacing w:line="360" w:lineRule="auto"/>
        <w:ind w:left="720"/>
        <w:rPr>
          <w:i/>
          <w:iCs/>
        </w:rPr>
      </w:pPr>
      <w:r w:rsidRPr="00D7588F">
        <w:rPr>
          <w:i/>
          <w:iCs/>
        </w:rPr>
        <w:t>‘</w:t>
      </w:r>
      <w:r w:rsidR="004F53B9">
        <w:rPr>
          <w:i/>
          <w:iCs/>
        </w:rPr>
        <w:t>[P]</w:t>
      </w:r>
      <w:r w:rsidRPr="00D7588F">
        <w:rPr>
          <w:i/>
          <w:iCs/>
        </w:rPr>
        <w:t>art of Tutankhamun’s fame is related to the fact that, in archaeological terms, the tomb presented an almost complete collection of mortuary goods, whereas most middle kingdom tombs had been rifled before the advent of Victorian archaeology’</w:t>
      </w:r>
      <w:r>
        <w:rPr>
          <w:rStyle w:val="FootnoteReference"/>
          <w:i/>
          <w:iCs/>
        </w:rPr>
        <w:footnoteReference w:id="173"/>
      </w:r>
      <w:r w:rsidRPr="00D7588F">
        <w:rPr>
          <w:i/>
          <w:iCs/>
        </w:rPr>
        <w:t xml:space="preserve"> </w:t>
      </w:r>
    </w:p>
    <w:p w14:paraId="1F749A94" w14:textId="30402C93" w:rsidR="00105905" w:rsidRDefault="00105905" w:rsidP="00105905">
      <w:pPr>
        <w:spacing w:line="360" w:lineRule="auto"/>
      </w:pPr>
      <w:commentRangeStart w:id="38"/>
      <w:commentRangeStart w:id="39"/>
      <w:r>
        <w:t>Allegra Fryxell, a cultural historian of modern Europe</w:t>
      </w:r>
      <w:r>
        <w:rPr>
          <w:rStyle w:val="FootnoteReference"/>
        </w:rPr>
        <w:footnoteReference w:id="174"/>
      </w:r>
      <w:r>
        <w:t xml:space="preserve">, said that the tomb of Tutankhamun was so famous because it was almost intact. Although Egyptology was not Fryxell‘s area of expertise her reasoning of Tutankhamun becoming famous is supported by Professor of Egyptology </w:t>
      </w:r>
      <w:proofErr w:type="spellStart"/>
      <w:r>
        <w:t>Salima</w:t>
      </w:r>
      <w:proofErr w:type="spellEnd"/>
      <w:r>
        <w:t xml:space="preserve"> Ikram</w:t>
      </w:r>
      <w:r>
        <w:rPr>
          <w:rStyle w:val="FootnoteReference"/>
        </w:rPr>
        <w:footnoteReference w:id="175"/>
      </w:r>
      <w:r>
        <w:t xml:space="preserve"> </w:t>
      </w:r>
      <w:commentRangeEnd w:id="38"/>
      <w:r w:rsidR="0093234D">
        <w:rPr>
          <w:rStyle w:val="CommentReference"/>
        </w:rPr>
        <w:commentReference w:id="38"/>
      </w:r>
      <w:commentRangeEnd w:id="39"/>
      <w:r w:rsidR="004F2083">
        <w:rPr>
          <w:rStyle w:val="CommentReference"/>
        </w:rPr>
        <w:commentReference w:id="39"/>
      </w:r>
      <w:r>
        <w:t>who also said that the tomb was the ‘only New Kingdom royal burial to have been found virtually intact’</w:t>
      </w:r>
      <w:r>
        <w:rPr>
          <w:rStyle w:val="FootnoteReference"/>
        </w:rPr>
        <w:footnoteReference w:id="176"/>
      </w:r>
      <w:r>
        <w:t>. However,</w:t>
      </w:r>
      <w:r w:rsidR="001552D8">
        <w:t xml:space="preserve"> Egyptologist </w:t>
      </w:r>
      <w:r>
        <w:t>Sir Grafton Elliot Smith,</w:t>
      </w:r>
      <w:r>
        <w:rPr>
          <w:rStyle w:val="FootnoteReference"/>
        </w:rPr>
        <w:footnoteReference w:id="177"/>
      </w:r>
      <w:r>
        <w:t xml:space="preserve"> mentions </w:t>
      </w:r>
      <w:r w:rsidR="00CA0C32">
        <w:t xml:space="preserve">in 1923 </w:t>
      </w:r>
      <w:r>
        <w:t>that it was because the items found in the tomb were better than any other archaeological discovery from ancient times</w:t>
      </w:r>
      <w:r>
        <w:rPr>
          <w:rStyle w:val="FootnoteReference"/>
        </w:rPr>
        <w:footnoteReference w:id="178"/>
      </w:r>
      <w:r>
        <w:t>. Smith may have been correct during his time, but with modern Egyptologists such as Ikram using new techniques and offering new interpretations, alternative reasons for Tutankhamun’s fame have been suggested</w:t>
      </w:r>
      <w:r w:rsidR="004F2083">
        <w:t xml:space="preserve">; </w:t>
      </w:r>
      <w:r w:rsidR="00AA320D">
        <w:t>intact tomb or his unique mummification</w:t>
      </w:r>
      <w:r w:rsidR="00AA320D" w:rsidRPr="007E6394">
        <w:rPr>
          <w:rStyle w:val="FootnoteReference"/>
        </w:rPr>
        <w:footnoteReference w:id="179"/>
      </w:r>
      <w:r w:rsidRPr="007E6394">
        <w:t>.</w:t>
      </w:r>
      <w:r>
        <w:rPr>
          <w:color w:val="FF0000"/>
        </w:rPr>
        <w:t xml:space="preserve"> </w:t>
      </w:r>
      <w:r w:rsidRPr="009A2B21">
        <w:t xml:space="preserve">However, the situation is not quite </w:t>
      </w:r>
      <w:r>
        <w:t>so clear cut</w:t>
      </w:r>
      <w:r w:rsidRPr="00516CCF">
        <w:t xml:space="preserve">. </w:t>
      </w:r>
      <w:r>
        <w:t xml:space="preserve">As Ikram said ‘initially, studies focussed on the myriad of glittering treasures found within the tomb. … Once unwrapped and the jewels and amulets removed, </w:t>
      </w:r>
      <w:r>
        <w:lastRenderedPageBreak/>
        <w:t>the same amount of attention was not lavished on Tutankhamun’s body itself’</w:t>
      </w:r>
      <w:r>
        <w:rPr>
          <w:rStyle w:val="FootnoteReference"/>
        </w:rPr>
        <w:footnoteReference w:id="180"/>
      </w:r>
      <w:r>
        <w:t xml:space="preserve">. </w:t>
      </w:r>
      <w:commentRangeStart w:id="40"/>
      <w:commentRangeStart w:id="41"/>
      <w:r w:rsidRPr="00AB32BC">
        <w:rPr>
          <w:highlight w:val="cyan"/>
        </w:rPr>
        <w:t xml:space="preserve">This suggests that Carter and his team focused on the areas of wealth rather than the whole discovery, likely resulting in an incomplete picture of the discovery. </w:t>
      </w:r>
      <w:commentRangeEnd w:id="40"/>
      <w:r w:rsidR="00D253E9" w:rsidRPr="00282806">
        <w:rPr>
          <w:rStyle w:val="CommentReference"/>
          <w:highlight w:val="yellow"/>
        </w:rPr>
        <w:commentReference w:id="40"/>
      </w:r>
      <w:commentRangeEnd w:id="41"/>
      <w:r w:rsidR="00AD5AA8" w:rsidRPr="00282806">
        <w:rPr>
          <w:rStyle w:val="CommentReference"/>
          <w:highlight w:val="yellow"/>
        </w:rPr>
        <w:commentReference w:id="41"/>
      </w:r>
      <w:r w:rsidRPr="00282806">
        <w:rPr>
          <w:highlight w:val="yellow"/>
        </w:rPr>
        <w:t xml:space="preserve">The appeal of Tutankhamun is not </w:t>
      </w:r>
      <w:r w:rsidR="00DE4DDF" w:rsidRPr="00282806">
        <w:rPr>
          <w:highlight w:val="yellow"/>
        </w:rPr>
        <w:t xml:space="preserve">due to the </w:t>
      </w:r>
      <w:r w:rsidRPr="00282806">
        <w:rPr>
          <w:highlight w:val="yellow"/>
        </w:rPr>
        <w:t>mark he left on history</w:t>
      </w:r>
      <w:r w:rsidR="00DE4DDF" w:rsidRPr="00282806">
        <w:rPr>
          <w:highlight w:val="yellow"/>
        </w:rPr>
        <w:t>.</w:t>
      </w:r>
      <w:r w:rsidR="00DE4DDF">
        <w:t xml:space="preserve"> </w:t>
      </w:r>
      <w:r>
        <w:t xml:space="preserve">Egyptologist Nicholas Reeves said </w:t>
      </w:r>
      <w:r w:rsidRPr="00282806">
        <w:rPr>
          <w:highlight w:val="yellow"/>
        </w:rPr>
        <w:t>Tutankhamun was a minor player in history</w:t>
      </w:r>
      <w:r w:rsidRPr="00282806">
        <w:rPr>
          <w:rStyle w:val="FootnoteReference"/>
          <w:highlight w:val="yellow"/>
        </w:rPr>
        <w:footnoteReference w:id="181"/>
      </w:r>
      <w:r w:rsidRPr="00282806">
        <w:rPr>
          <w:highlight w:val="yellow"/>
        </w:rPr>
        <w:t>; he died at a young age so did not reign for long nor did he do anything remarkable unlike his father who abandoned traditional religion and invented his own.</w:t>
      </w:r>
    </w:p>
    <w:p w14:paraId="575AD9D5" w14:textId="77777777" w:rsidR="00105905" w:rsidRPr="00516CCF" w:rsidRDefault="00105905" w:rsidP="00105905">
      <w:pPr>
        <w:spacing w:line="360" w:lineRule="auto"/>
      </w:pPr>
      <w:r w:rsidRPr="00282806">
        <w:rPr>
          <w:highlight w:val="yellow"/>
        </w:rPr>
        <w:t>His burial was also not straightforward because of his unique mummification for the period as listed by Ikram ‘ the resin in the cranium, the position of the arms, the evisceration cut, the position of the penis, the question of his heart, the issue of the (now?) missing ribs, and the amount of resins and oils used in the embalming’</w:t>
      </w:r>
      <w:r w:rsidRPr="00282806">
        <w:rPr>
          <w:rStyle w:val="FootnoteReference"/>
          <w:highlight w:val="yellow"/>
        </w:rPr>
        <w:footnoteReference w:id="182"/>
      </w:r>
      <w:r w:rsidRPr="00282806">
        <w:rPr>
          <w:highlight w:val="yellow"/>
        </w:rPr>
        <w:t>.</w:t>
      </w:r>
      <w:r>
        <w:t xml:space="preserve"> </w:t>
      </w:r>
      <w:commentRangeStart w:id="42"/>
      <w:commentRangeStart w:id="43"/>
      <w:r>
        <w:t xml:space="preserve">Another reason for </w:t>
      </w:r>
      <w:proofErr w:type="spellStart"/>
      <w:r>
        <w:t>Tutmania</w:t>
      </w:r>
      <w:proofErr w:type="spellEnd"/>
      <w:r>
        <w:t xml:space="preserve"> </w:t>
      </w:r>
      <w:commentRangeEnd w:id="42"/>
      <w:r w:rsidR="00CD70C7">
        <w:rPr>
          <w:rStyle w:val="CommentReference"/>
        </w:rPr>
        <w:commentReference w:id="42"/>
      </w:r>
      <w:commentRangeEnd w:id="43"/>
      <w:r w:rsidR="002B78A9">
        <w:rPr>
          <w:rStyle w:val="CommentReference"/>
        </w:rPr>
        <w:commentReference w:id="43"/>
      </w:r>
      <w:r>
        <w:t>could be because the tomb is believed to have not been for Tutankhamun. The tomb was relatively small for a pharaoh of the 18</w:t>
      </w:r>
      <w:r w:rsidRPr="008323FD">
        <w:rPr>
          <w:vertAlign w:val="superscript"/>
        </w:rPr>
        <w:t>th</w:t>
      </w:r>
      <w:r>
        <w:t xml:space="preserve"> dynasty</w:t>
      </w:r>
      <w:r>
        <w:rPr>
          <w:rStyle w:val="FootnoteReference"/>
        </w:rPr>
        <w:footnoteReference w:id="183"/>
      </w:r>
      <w:r>
        <w:t>, and due to the unexpected death, people had to hastily prepare a tomb</w:t>
      </w:r>
      <w:r>
        <w:rPr>
          <w:rStyle w:val="FootnoteReference"/>
        </w:rPr>
        <w:footnoteReference w:id="184"/>
      </w:r>
      <w:r>
        <w:t xml:space="preserve"> and to enlarge it to accommodate Tutankhamun and his belongings for the afterlife</w:t>
      </w:r>
      <w:r>
        <w:rPr>
          <w:rStyle w:val="FootnoteReference"/>
        </w:rPr>
        <w:footnoteReference w:id="185"/>
      </w:r>
      <w:r>
        <w:t xml:space="preserve">. </w:t>
      </w:r>
      <w:r w:rsidRPr="00282806">
        <w:rPr>
          <w:highlight w:val="yellow"/>
        </w:rPr>
        <w:t xml:space="preserve">The fascination of Tutankhamun is a relatively recent obsession, but the full reasons behind this </w:t>
      </w:r>
      <w:proofErr w:type="gramStart"/>
      <w:r w:rsidRPr="00282806">
        <w:rPr>
          <w:highlight w:val="yellow"/>
        </w:rPr>
        <w:t>still remains</w:t>
      </w:r>
      <w:proofErr w:type="gramEnd"/>
      <w:r w:rsidRPr="00282806">
        <w:rPr>
          <w:highlight w:val="yellow"/>
        </w:rPr>
        <w:t xml:space="preserve"> a complicated mystery.</w:t>
      </w:r>
      <w:r w:rsidRPr="00516CCF">
        <w:t xml:space="preserve"> </w:t>
      </w:r>
    </w:p>
    <w:p w14:paraId="5363B7D0" w14:textId="77777777" w:rsidR="00105905" w:rsidRDefault="00105905" w:rsidP="00105905">
      <w:pPr>
        <w:spacing w:line="360" w:lineRule="auto"/>
      </w:pPr>
      <w:r w:rsidRPr="00472CE1">
        <w:rPr>
          <w:highlight w:val="yellow"/>
        </w:rPr>
        <w:t>The discovery of Tutankhamun’s tomb (KV62)</w:t>
      </w:r>
      <w:r w:rsidRPr="00472CE1">
        <w:rPr>
          <w:rStyle w:val="FootnoteReference"/>
          <w:highlight w:val="yellow"/>
        </w:rPr>
        <w:footnoteReference w:id="186"/>
      </w:r>
      <w:r w:rsidRPr="00472CE1">
        <w:rPr>
          <w:highlight w:val="yellow"/>
        </w:rPr>
        <w:t xml:space="preserve"> could not have come at a better time for the British.</w:t>
      </w:r>
      <w:r w:rsidRPr="00516CCF">
        <w:t xml:space="preserve"> Despite the British winning the war against the Ottoman Empire, Britain was going through a</w:t>
      </w:r>
      <w:r>
        <w:t xml:space="preserve">n economic </w:t>
      </w:r>
      <w:r w:rsidRPr="00516CCF">
        <w:t>depression. Due to the wealth and political importance of the find, Tutankhamun became a mania throughout Europe</w:t>
      </w:r>
      <w:r>
        <w:t xml:space="preserve"> during the 1920’s</w:t>
      </w:r>
      <w:r w:rsidRPr="00516CCF">
        <w:t xml:space="preserve">. </w:t>
      </w:r>
      <w:r>
        <w:t xml:space="preserve">The discovery of Tutankhamun appears to have only been </w:t>
      </w:r>
      <w:commentRangeStart w:id="44"/>
      <w:commentRangeStart w:id="45"/>
      <w:r>
        <w:t xml:space="preserve">about wealth to Carter and Carnarvon </w:t>
      </w:r>
      <w:commentRangeEnd w:id="44"/>
      <w:r w:rsidR="001F674D">
        <w:rPr>
          <w:rStyle w:val="CommentReference"/>
        </w:rPr>
        <w:commentReference w:id="44"/>
      </w:r>
      <w:commentRangeEnd w:id="45"/>
      <w:r w:rsidR="002B78A9">
        <w:rPr>
          <w:rStyle w:val="CommentReference"/>
        </w:rPr>
        <w:commentReference w:id="45"/>
      </w:r>
      <w:r>
        <w:t>which is indicated through the removal of jewels and amulets from the body</w:t>
      </w:r>
      <w:r>
        <w:rPr>
          <w:rStyle w:val="FootnoteReference"/>
        </w:rPr>
        <w:footnoteReference w:id="187"/>
      </w:r>
      <w:r>
        <w:t>; the jewels were so stuck</w:t>
      </w:r>
      <w:r>
        <w:rPr>
          <w:rStyle w:val="FootnoteReference"/>
        </w:rPr>
        <w:footnoteReference w:id="188"/>
      </w:r>
      <w:r>
        <w:t xml:space="preserve"> that Carter and his team broke up the body to be able to remove the jewels</w:t>
      </w:r>
      <w:r>
        <w:rPr>
          <w:rStyle w:val="FootnoteReference"/>
        </w:rPr>
        <w:footnoteReference w:id="189"/>
      </w:r>
      <w:r>
        <w:t xml:space="preserve">. This may </w:t>
      </w:r>
      <w:commentRangeStart w:id="46"/>
      <w:commentRangeStart w:id="47"/>
      <w:r>
        <w:t xml:space="preserve">account for the discussion of the position of the arms </w:t>
      </w:r>
      <w:commentRangeEnd w:id="46"/>
      <w:r w:rsidR="00D523B1">
        <w:rPr>
          <w:rStyle w:val="CommentReference"/>
        </w:rPr>
        <w:commentReference w:id="46"/>
      </w:r>
      <w:commentRangeEnd w:id="47"/>
      <w:r w:rsidR="0095501A">
        <w:rPr>
          <w:rStyle w:val="CommentReference"/>
        </w:rPr>
        <w:commentReference w:id="47"/>
      </w:r>
      <w:r>
        <w:t xml:space="preserve">and perhaps this missing heart and ribs. </w:t>
      </w:r>
    </w:p>
    <w:p w14:paraId="338F94EF" w14:textId="77777777" w:rsidR="00105905" w:rsidRPr="00516CCF" w:rsidRDefault="00105905" w:rsidP="00105905">
      <w:pPr>
        <w:spacing w:line="360" w:lineRule="auto"/>
      </w:pPr>
      <w:r w:rsidRPr="00472CE1">
        <w:rPr>
          <w:highlight w:val="lightGray"/>
        </w:rPr>
        <w:lastRenderedPageBreak/>
        <w:t>In Egypt there was much political conflict between the Egyptian government, the EAS and Carter over who owned this new discovery.</w:t>
      </w:r>
      <w:r w:rsidRPr="00516CCF">
        <w:t xml:space="preserve"> When Carnarvon </w:t>
      </w:r>
      <w:r>
        <w:t>received</w:t>
      </w:r>
      <w:r w:rsidRPr="00516CCF">
        <w:t xml:space="preserve"> his concession for excavation work at the Valley of the Kings, this was signed by George </w:t>
      </w:r>
      <w:proofErr w:type="spellStart"/>
      <w:r w:rsidRPr="00516CCF">
        <w:t>Daressy</w:t>
      </w:r>
      <w:proofErr w:type="spellEnd"/>
      <w:r>
        <w:t>, acting</w:t>
      </w:r>
      <w:r w:rsidRPr="00516CCF">
        <w:t xml:space="preserve"> director </w:t>
      </w:r>
      <w:r>
        <w:t>for</w:t>
      </w:r>
      <w:r w:rsidRPr="00516CCF">
        <w:t xml:space="preserve"> the</w:t>
      </w:r>
      <w:r>
        <w:t xml:space="preserve"> EAS</w:t>
      </w:r>
      <w:r w:rsidRPr="00516CCF">
        <w:rPr>
          <w:rStyle w:val="FootnoteReference"/>
        </w:rPr>
        <w:footnoteReference w:id="190"/>
      </w:r>
      <w:r w:rsidRPr="00516CCF">
        <w:t xml:space="preserve">. </w:t>
      </w:r>
    </w:p>
    <w:p w14:paraId="26515DA8" w14:textId="77777777" w:rsidR="00105905" w:rsidRPr="00516CCF" w:rsidRDefault="00105905" w:rsidP="00105905">
      <w:pPr>
        <w:spacing w:line="360" w:lineRule="auto"/>
        <w:ind w:left="720"/>
        <w:rPr>
          <w:i/>
          <w:iCs/>
        </w:rPr>
      </w:pPr>
      <w:r w:rsidRPr="00516CCF">
        <w:rPr>
          <w:i/>
          <w:iCs/>
        </w:rPr>
        <w:t>‘The contract stipulated that Egypt would retain the mummies, coffins and sarcophagi of kings, princes and high priest, as well as the contents of any tomb found intact. If a tomb had been ‘’already search’’, the service would retain objects of ‘capital importance’’ and divide the rest so that ‘permittee’s share will sufficiently recompense him for the pain and labour of the undertaking’</w:t>
      </w:r>
      <w:r w:rsidRPr="00516CCF">
        <w:rPr>
          <w:rStyle w:val="FootnoteReference"/>
          <w:i/>
          <w:iCs/>
        </w:rPr>
        <w:footnoteReference w:id="191"/>
      </w:r>
    </w:p>
    <w:p w14:paraId="4B3F871D" w14:textId="1FFE57C7" w:rsidR="00105905" w:rsidRDefault="00105905" w:rsidP="002117A2">
      <w:pPr>
        <w:spacing w:line="360" w:lineRule="auto"/>
      </w:pPr>
      <w:r w:rsidRPr="00472CE1">
        <w:rPr>
          <w:highlight w:val="cyan"/>
        </w:rPr>
        <w:t>Despite the discovery of Tutankhamun’s tomb by a British archaeologist and the tomb being believed to have been looted at least twice (evidence including the re-plastering of the door)</w:t>
      </w:r>
      <w:r w:rsidRPr="00472CE1">
        <w:rPr>
          <w:rStyle w:val="FootnoteReference"/>
          <w:highlight w:val="cyan"/>
        </w:rPr>
        <w:footnoteReference w:id="192"/>
      </w:r>
      <w:r w:rsidRPr="00472CE1">
        <w:rPr>
          <w:highlight w:val="cyan"/>
        </w:rPr>
        <w:t xml:space="preserve">, the discovery belonged to Egypt. Until the discovery of Tutankhamun, </w:t>
      </w:r>
      <w:proofErr w:type="gramStart"/>
      <w:r w:rsidRPr="00472CE1">
        <w:rPr>
          <w:highlight w:val="cyan"/>
        </w:rPr>
        <w:t>the majority of</w:t>
      </w:r>
      <w:proofErr w:type="gramEnd"/>
      <w:r w:rsidRPr="00472CE1">
        <w:rPr>
          <w:highlight w:val="cyan"/>
        </w:rPr>
        <w:t xml:space="preserve"> findings were kept by the excavator. This discovery set a precedent.</w:t>
      </w:r>
      <w:r>
        <w:t xml:space="preserve"> </w:t>
      </w:r>
    </w:p>
    <w:p w14:paraId="7B7A2F74" w14:textId="77777777" w:rsidR="002117A2" w:rsidRPr="002117A2" w:rsidRDefault="002117A2" w:rsidP="002117A2">
      <w:pPr>
        <w:spacing w:line="360" w:lineRule="auto"/>
      </w:pPr>
    </w:p>
    <w:p w14:paraId="746EFAC5" w14:textId="5C06FB08" w:rsidR="00105905" w:rsidRDefault="00105905" w:rsidP="002117A2">
      <w:pPr>
        <w:pStyle w:val="ListParagraph"/>
        <w:numPr>
          <w:ilvl w:val="0"/>
          <w:numId w:val="3"/>
        </w:numPr>
        <w:rPr>
          <w:b/>
          <w:bCs/>
          <w:sz w:val="24"/>
          <w:szCs w:val="24"/>
        </w:rPr>
      </w:pPr>
      <w:r w:rsidRPr="002117A2">
        <w:rPr>
          <w:b/>
          <w:bCs/>
          <w:sz w:val="24"/>
          <w:szCs w:val="24"/>
        </w:rPr>
        <w:t>Politics</w:t>
      </w:r>
    </w:p>
    <w:p w14:paraId="725B358B" w14:textId="47FD1E8C" w:rsidR="002117A2" w:rsidRDefault="002117A2" w:rsidP="002117A2">
      <w:pPr>
        <w:spacing w:line="360" w:lineRule="auto"/>
      </w:pPr>
      <w:r>
        <w:t xml:space="preserve">By 1900’s, </w:t>
      </w:r>
      <w:r w:rsidR="00B75ECD">
        <w:t>all European states</w:t>
      </w:r>
      <w:r w:rsidR="008E0C64">
        <w:t xml:space="preserve"> (United Kingdom, France</w:t>
      </w:r>
      <w:r>
        <w:t>, German</w:t>
      </w:r>
      <w:r w:rsidR="008E0C64">
        <w:t>y</w:t>
      </w:r>
      <w:r>
        <w:t>, Ital</w:t>
      </w:r>
      <w:r w:rsidR="008E0C64">
        <w:t>y</w:t>
      </w:r>
      <w:r>
        <w:t xml:space="preserve"> and Russia</w:t>
      </w:r>
      <w:r w:rsidR="008E0C64">
        <w:t>)</w:t>
      </w:r>
      <w:r>
        <w:t xml:space="preserve"> had </w:t>
      </w:r>
      <w:r w:rsidR="00D5693D">
        <w:t xml:space="preserve">established Egyptological research focussed around </w:t>
      </w:r>
      <w:r>
        <w:t>numerous prominent Egyptologists</w:t>
      </w:r>
      <w:r>
        <w:rPr>
          <w:rStyle w:val="FootnoteReference"/>
        </w:rPr>
        <w:footnoteReference w:id="193"/>
      </w:r>
      <w:r>
        <w:t>, it was not till 1930’s when American Egyptologists began to become popular</w:t>
      </w:r>
      <w:r>
        <w:rPr>
          <w:rStyle w:val="FootnoteReference"/>
        </w:rPr>
        <w:footnoteReference w:id="194"/>
      </w:r>
      <w:r>
        <w:t xml:space="preserve"> (</w:t>
      </w:r>
      <w:r w:rsidR="00441FA5">
        <w:t>a</w:t>
      </w:r>
      <w:r>
        <w:t xml:space="preserve">ppendix </w:t>
      </w:r>
      <w:r w:rsidR="00AC63C1">
        <w:t>C</w:t>
      </w:r>
      <w:r>
        <w:t xml:space="preserve">). </w:t>
      </w:r>
    </w:p>
    <w:p w14:paraId="30220B96" w14:textId="77777777" w:rsidR="002117A2" w:rsidRDefault="002117A2" w:rsidP="002117A2">
      <w:pPr>
        <w:spacing w:line="360" w:lineRule="auto"/>
      </w:pPr>
      <w:r>
        <w:t>‘Westerners created Egyptology and eventually taught it to the Egyptians’</w:t>
      </w:r>
      <w:r>
        <w:rPr>
          <w:rStyle w:val="FootnoteReference"/>
        </w:rPr>
        <w:footnoteReference w:id="195"/>
      </w:r>
      <w:r>
        <w:t>, this was not as simple as it seems which will be discussed further into this chapter. Before the discovery of Tutankhamun many Europeans had not been to Egypt and they relied on rare artefact displays such as Giovanni Belzoni’s display in Piccadilly</w:t>
      </w:r>
      <w:r>
        <w:rPr>
          <w:rStyle w:val="FootnoteReference"/>
        </w:rPr>
        <w:footnoteReference w:id="196"/>
      </w:r>
      <w:r>
        <w:t xml:space="preserve">.  </w:t>
      </w:r>
    </w:p>
    <w:p w14:paraId="25233729" w14:textId="573C1750" w:rsidR="002117A2" w:rsidRPr="002117A2" w:rsidRDefault="002117A2" w:rsidP="002117A2">
      <w:pPr>
        <w:pStyle w:val="ListParagraph"/>
        <w:spacing w:line="360" w:lineRule="auto"/>
        <w:ind w:left="1080"/>
        <w:rPr>
          <w:i/>
          <w:iCs/>
        </w:rPr>
      </w:pPr>
      <w:r w:rsidRPr="002117A2">
        <w:rPr>
          <w:i/>
          <w:iCs/>
        </w:rPr>
        <w:t xml:space="preserve">‘Europeans had the right </w:t>
      </w:r>
      <w:r w:rsidR="00934BEA">
        <w:rPr>
          <w:i/>
          <w:iCs/>
        </w:rPr>
        <w:t xml:space="preserve">to </w:t>
      </w:r>
      <w:r w:rsidRPr="002117A2">
        <w:rPr>
          <w:i/>
          <w:iCs/>
        </w:rPr>
        <w:t>excavate, study and export pharaonic remains however they see fit is rooted in an attitude that feels that, in the end, Egypt’s past does not really belong to its present-day inhabitants. Europeans have not just taken over the control of the recovery and reconstruction of the pharaonic past on a physical level but have also done on an ideological level’</w:t>
      </w:r>
      <w:r>
        <w:rPr>
          <w:rStyle w:val="FootnoteReference"/>
          <w:i/>
          <w:iCs/>
        </w:rPr>
        <w:footnoteReference w:id="197"/>
      </w:r>
    </w:p>
    <w:p w14:paraId="3FBE7C68" w14:textId="6D646512" w:rsidR="002117A2" w:rsidRDefault="002117A2" w:rsidP="002117A2">
      <w:pPr>
        <w:spacing w:line="360" w:lineRule="auto"/>
      </w:pPr>
      <w:r>
        <w:lastRenderedPageBreak/>
        <w:t>The discovery of Tutankhamun lead to a modern obsession with Egypt; people were visiting Egypt for the first time and buying Egyptian merchandise such as paintings and literature</w:t>
      </w:r>
      <w:r>
        <w:rPr>
          <w:rStyle w:val="FootnoteReference"/>
        </w:rPr>
        <w:footnoteReference w:id="198"/>
      </w:r>
      <w:r>
        <w:t xml:space="preserve">. The discovery also led to the golden age of Egyptology </w:t>
      </w:r>
      <w:r w:rsidR="009C07DA">
        <w:t>connected with</w:t>
      </w:r>
      <w:r>
        <w:t xml:space="preserve"> aristocratic patrons</w:t>
      </w:r>
      <w:r>
        <w:rPr>
          <w:rStyle w:val="FootnoteReference"/>
        </w:rPr>
        <w:footnoteReference w:id="199"/>
      </w:r>
      <w:r>
        <w:t xml:space="preserve">. Western Egyptologists were </w:t>
      </w:r>
      <w:r w:rsidR="00965D84">
        <w:t xml:space="preserve">more prominent then the </w:t>
      </w:r>
      <w:r w:rsidR="00BC7735">
        <w:t>Egyptian Egyptologist</w:t>
      </w:r>
      <w:r>
        <w:t xml:space="preserve"> for two reasons; firstly ‘Islamic identity tended to crowd out feelings off kinships or curiosity about Egyptians’</w:t>
      </w:r>
      <w:r>
        <w:rPr>
          <w:rStyle w:val="FootnoteReference"/>
        </w:rPr>
        <w:footnoteReference w:id="200"/>
      </w:r>
      <w:r>
        <w:t xml:space="preserve"> and secondly because ‘Western imperial domination set back the growth of indigenous Egyptology, which might otherwise have taken root forty years before it did’</w:t>
      </w:r>
      <w:r>
        <w:rPr>
          <w:rStyle w:val="FootnoteReference"/>
        </w:rPr>
        <w:footnoteReference w:id="201"/>
      </w:r>
      <w:r>
        <w:t xml:space="preserve">. </w:t>
      </w:r>
    </w:p>
    <w:p w14:paraId="7BF17804" w14:textId="353D06E9" w:rsidR="002117A2" w:rsidRPr="002117A2" w:rsidRDefault="002923FA" w:rsidP="002117A2">
      <w:pPr>
        <w:spacing w:line="360" w:lineRule="auto"/>
        <w:rPr>
          <w:highlight w:val="yellow"/>
        </w:rPr>
      </w:pPr>
      <w:r>
        <w:t>W</w:t>
      </w:r>
      <w:r w:rsidR="00F46076">
        <w:t>WI</w:t>
      </w:r>
      <w:r w:rsidR="002117A2">
        <w:t xml:space="preserve"> affected everyone involved. Britain’s defeat against the Ottoman Empire resulting in the Middle East being in turmoil</w:t>
      </w:r>
      <w:r w:rsidR="002117A2">
        <w:rPr>
          <w:rStyle w:val="FootnoteReference"/>
        </w:rPr>
        <w:footnoteReference w:id="202"/>
      </w:r>
      <w:r>
        <w:t>.</w:t>
      </w:r>
      <w:r w:rsidR="002117A2">
        <w:t xml:space="preserve"> The Ottoman Empire</w:t>
      </w:r>
      <w:r w:rsidR="00BC7735">
        <w:t>, to which Egypt belong to at the time,</w:t>
      </w:r>
      <w:r w:rsidR="002117A2">
        <w:t xml:space="preserve"> became the world’s greatest independent Islamic power by November 1914</w:t>
      </w:r>
      <w:r w:rsidR="002117A2">
        <w:rPr>
          <w:rStyle w:val="FootnoteReference"/>
        </w:rPr>
        <w:footnoteReference w:id="203"/>
      </w:r>
      <w:r w:rsidR="002117A2">
        <w:t xml:space="preserve">. During </w:t>
      </w:r>
      <w:r>
        <w:t>WWI</w:t>
      </w:r>
      <w:r w:rsidR="002117A2">
        <w:t xml:space="preserve">, Sultan Mehmed </w:t>
      </w:r>
      <w:proofErr w:type="spellStart"/>
      <w:r w:rsidR="002117A2">
        <w:t>Re</w:t>
      </w:r>
      <w:r w:rsidR="002117A2" w:rsidRPr="7E5E4CCF">
        <w:t>ş</w:t>
      </w:r>
      <w:r w:rsidR="002117A2">
        <w:t>ad</w:t>
      </w:r>
      <w:proofErr w:type="spellEnd"/>
      <w:r w:rsidR="002117A2">
        <w:rPr>
          <w:rStyle w:val="FootnoteReference"/>
        </w:rPr>
        <w:footnoteReference w:id="204"/>
      </w:r>
      <w:r w:rsidR="002117A2">
        <w:t>, declared a military jihad (holy war) against Britain, France and Russia</w:t>
      </w:r>
      <w:r w:rsidR="002117A2">
        <w:rPr>
          <w:rStyle w:val="FootnoteReference"/>
        </w:rPr>
        <w:footnoteReference w:id="205"/>
      </w:r>
      <w:r w:rsidR="002117A2">
        <w:t>. The war ended with an armistice on the 31</w:t>
      </w:r>
      <w:r w:rsidR="002117A2" w:rsidRPr="002117A2">
        <w:rPr>
          <w:vertAlign w:val="superscript"/>
        </w:rPr>
        <w:t>st</w:t>
      </w:r>
      <w:r w:rsidR="002117A2">
        <w:t xml:space="preserve"> October 1918</w:t>
      </w:r>
      <w:r w:rsidR="002117A2">
        <w:rPr>
          <w:rStyle w:val="FootnoteReference"/>
        </w:rPr>
        <w:footnoteReference w:id="206"/>
      </w:r>
      <w:r w:rsidR="002117A2">
        <w:t>. T</w:t>
      </w:r>
      <w:r w:rsidR="002117A2" w:rsidRPr="00103A92">
        <w:rPr>
          <w:u w:val="single"/>
        </w:rPr>
        <w:t xml:space="preserve">he result was </w:t>
      </w:r>
      <w:r w:rsidR="007A1CEF" w:rsidRPr="00103A92">
        <w:rPr>
          <w:u w:val="single"/>
        </w:rPr>
        <w:t xml:space="preserve">start of </w:t>
      </w:r>
      <w:r w:rsidR="002117A2" w:rsidRPr="00103A92">
        <w:rPr>
          <w:u w:val="single"/>
        </w:rPr>
        <w:t>the British occup</w:t>
      </w:r>
      <w:r w:rsidR="007A1CEF" w:rsidRPr="00103A92">
        <w:rPr>
          <w:u w:val="single"/>
        </w:rPr>
        <w:t>ation of</w:t>
      </w:r>
      <w:r w:rsidR="002117A2" w:rsidRPr="00103A92">
        <w:rPr>
          <w:u w:val="single"/>
        </w:rPr>
        <w:t xml:space="preserve"> the territories of Iraq, Palestine, Trans-Jordan, Syria and Lebanon; meaning Britain was the dominant power in the Middle East</w:t>
      </w:r>
      <w:r w:rsidR="002117A2" w:rsidRPr="00103A92">
        <w:rPr>
          <w:rStyle w:val="FootnoteReference"/>
          <w:u w:val="single"/>
        </w:rPr>
        <w:footnoteReference w:id="207"/>
      </w:r>
      <w:r w:rsidR="002117A2" w:rsidRPr="00103A92">
        <w:rPr>
          <w:u w:val="single"/>
        </w:rPr>
        <w:t xml:space="preserve">.  </w:t>
      </w:r>
      <w:r w:rsidR="002117A2">
        <w:t xml:space="preserve">The Egyptians had hoped this war would </w:t>
      </w:r>
      <w:r w:rsidR="00770654">
        <w:t>result in</w:t>
      </w:r>
      <w:r w:rsidR="002117A2">
        <w:t xml:space="preserve"> their independence</w:t>
      </w:r>
      <w:r w:rsidR="00770654">
        <w:t xml:space="preserve"> not only from the Ottoman Empire but also every other colonial force. </w:t>
      </w:r>
      <w:r w:rsidR="002117A2">
        <w:t xml:space="preserve"> </w:t>
      </w:r>
      <w:r w:rsidR="00770654">
        <w:t>H</w:t>
      </w:r>
      <w:r w:rsidR="002117A2">
        <w:t>owever</w:t>
      </w:r>
      <w:r w:rsidR="00770654">
        <w:t xml:space="preserve">, </w:t>
      </w:r>
      <w:r w:rsidR="00770654" w:rsidRPr="008B605F">
        <w:rPr>
          <w:highlight w:val="cyan"/>
        </w:rPr>
        <w:t xml:space="preserve">as </w:t>
      </w:r>
      <w:r w:rsidR="002117A2" w:rsidRPr="008B605F">
        <w:rPr>
          <w:highlight w:val="cyan"/>
        </w:rPr>
        <w:t>the British government wanted to keep control o</w:t>
      </w:r>
      <w:r w:rsidR="00770654" w:rsidRPr="008B605F">
        <w:rPr>
          <w:highlight w:val="cyan"/>
        </w:rPr>
        <w:t xml:space="preserve">ver </w:t>
      </w:r>
      <w:r w:rsidR="002117A2" w:rsidRPr="008B605F">
        <w:rPr>
          <w:highlight w:val="cyan"/>
        </w:rPr>
        <w:t>the profitable and strategically important Suez Canal</w:t>
      </w:r>
      <w:r w:rsidR="002117A2" w:rsidRPr="008B605F">
        <w:rPr>
          <w:rStyle w:val="FootnoteReference"/>
          <w:highlight w:val="cyan"/>
        </w:rPr>
        <w:footnoteReference w:id="208"/>
      </w:r>
      <w:r w:rsidR="002117A2" w:rsidRPr="008B605F">
        <w:rPr>
          <w:highlight w:val="cyan"/>
        </w:rPr>
        <w:t xml:space="preserve">, Egypt got </w:t>
      </w:r>
      <w:r w:rsidR="00A2672E" w:rsidRPr="008B605F">
        <w:rPr>
          <w:highlight w:val="cyan"/>
        </w:rPr>
        <w:t xml:space="preserve">only </w:t>
      </w:r>
      <w:r w:rsidR="002117A2" w:rsidRPr="008B605F">
        <w:rPr>
          <w:highlight w:val="cyan"/>
        </w:rPr>
        <w:t>partial independence</w:t>
      </w:r>
      <w:r w:rsidR="00A2672E" w:rsidRPr="008B605F">
        <w:rPr>
          <w:highlight w:val="cyan"/>
        </w:rPr>
        <w:t xml:space="preserve"> in February 1922</w:t>
      </w:r>
      <w:r w:rsidR="000E6455" w:rsidRPr="008B605F">
        <w:rPr>
          <w:rStyle w:val="FootnoteReference"/>
          <w:highlight w:val="cyan"/>
        </w:rPr>
        <w:footnoteReference w:id="209"/>
      </w:r>
      <w:r w:rsidR="002117A2" w:rsidRPr="008B605F">
        <w:rPr>
          <w:highlight w:val="cyan"/>
        </w:rPr>
        <w:t xml:space="preserve"> </w:t>
      </w:r>
      <w:r w:rsidR="000E6455" w:rsidRPr="008B605F">
        <w:rPr>
          <w:highlight w:val="cyan"/>
        </w:rPr>
        <w:t>with</w:t>
      </w:r>
      <w:r w:rsidR="002117A2" w:rsidRPr="008B605F">
        <w:rPr>
          <w:highlight w:val="cyan"/>
        </w:rPr>
        <w:t xml:space="preserve"> the British in control of the Suez Canal, and British advisers in every ministry</w:t>
      </w:r>
      <w:r w:rsidR="002117A2" w:rsidRPr="008B605F">
        <w:rPr>
          <w:rStyle w:val="FootnoteReference"/>
          <w:highlight w:val="cyan"/>
        </w:rPr>
        <w:footnoteReference w:id="210"/>
      </w:r>
      <w:r w:rsidR="003E6AF2">
        <w:rPr>
          <w:highlight w:val="cyan"/>
        </w:rPr>
        <w:t>, the restrictions of this partial independence can be seen in appendix D</w:t>
      </w:r>
      <w:r w:rsidR="002117A2" w:rsidRPr="008B605F">
        <w:rPr>
          <w:highlight w:val="cyan"/>
        </w:rPr>
        <w:t>.</w:t>
      </w:r>
      <w:r w:rsidR="002117A2">
        <w:t xml:space="preserve"> Marlowe argues that the British wanted to keep the canal under their power </w:t>
      </w:r>
      <w:r w:rsidR="00240FC2">
        <w:t>due to its desire to</w:t>
      </w:r>
      <w:r w:rsidR="002117A2">
        <w:t xml:space="preserve"> develop</w:t>
      </w:r>
      <w:r w:rsidR="00240FC2">
        <w:t xml:space="preserve"> </w:t>
      </w:r>
      <w:r w:rsidR="002117A2">
        <w:t>the British trading routes</w:t>
      </w:r>
      <w:r w:rsidR="002117A2">
        <w:rPr>
          <w:rStyle w:val="FootnoteReference"/>
        </w:rPr>
        <w:footnoteReference w:id="211"/>
      </w:r>
      <w:r w:rsidR="002117A2">
        <w:t xml:space="preserve"> . </w:t>
      </w:r>
    </w:p>
    <w:p w14:paraId="2A585200" w14:textId="607629E2" w:rsidR="002117A2" w:rsidRDefault="002117A2" w:rsidP="002117A2">
      <w:pPr>
        <w:spacing w:line="360" w:lineRule="auto"/>
      </w:pPr>
      <w:r>
        <w:t>The British were occupants in Egypt from 1822 to 1952</w:t>
      </w:r>
      <w:r w:rsidR="00240FC2">
        <w:t>,</w:t>
      </w:r>
      <w:r>
        <w:t xml:space="preserve"> when Egypt </w:t>
      </w:r>
      <w:r w:rsidR="00240FC2">
        <w:t xml:space="preserve">finally </w:t>
      </w:r>
      <w:r>
        <w:t>achieved full independence</w:t>
      </w:r>
      <w:r>
        <w:rPr>
          <w:rStyle w:val="FootnoteReference"/>
        </w:rPr>
        <w:footnoteReference w:id="212"/>
      </w:r>
      <w:r>
        <w:t xml:space="preserve">. </w:t>
      </w:r>
      <w:r w:rsidR="00AA73AA">
        <w:t xml:space="preserve"> </w:t>
      </w:r>
      <w:r>
        <w:t xml:space="preserve">Egypt has never been </w:t>
      </w:r>
      <w:r w:rsidR="00A271BC">
        <w:t>officially a</w:t>
      </w:r>
      <w:r>
        <w:t xml:space="preserve"> British colony even though the country was occupied by British troops since 1882</w:t>
      </w:r>
      <w:r>
        <w:rPr>
          <w:rStyle w:val="FootnoteReference"/>
        </w:rPr>
        <w:footnoteReference w:id="213"/>
      </w:r>
      <w:r>
        <w:t>. The EAS was under French control for 94 years</w:t>
      </w:r>
      <w:r w:rsidR="00CE505F">
        <w:t xml:space="preserve"> until</w:t>
      </w:r>
      <w:r>
        <w:t xml:space="preserve">; </w:t>
      </w:r>
      <w:r>
        <w:lastRenderedPageBreak/>
        <w:t>Mustafa Amer</w:t>
      </w:r>
      <w:r w:rsidR="00CE505F">
        <w:t xml:space="preserve">, </w:t>
      </w:r>
      <w:r>
        <w:t xml:space="preserve">the president of Alexandria </w:t>
      </w:r>
      <w:r w:rsidR="00CE505F">
        <w:t xml:space="preserve">University, became </w:t>
      </w:r>
      <w:r>
        <w:t>the first Egyptian to be head of the EAS</w:t>
      </w:r>
      <w:r>
        <w:rPr>
          <w:rStyle w:val="FootnoteReference"/>
        </w:rPr>
        <w:footnoteReference w:id="214"/>
      </w:r>
      <w:r>
        <w:t xml:space="preserve"> </w:t>
      </w:r>
      <w:r w:rsidR="00CE505F">
        <w:t xml:space="preserve">between </w:t>
      </w:r>
      <w:r>
        <w:t>1953 to 1956</w:t>
      </w:r>
      <w:r>
        <w:rPr>
          <w:rStyle w:val="FootnoteReference"/>
        </w:rPr>
        <w:footnoteReference w:id="215"/>
      </w:r>
      <w:r>
        <w:t xml:space="preserve">. In 1983, </w:t>
      </w:r>
      <w:r w:rsidR="00CE505F">
        <w:t>a new</w:t>
      </w:r>
      <w:r>
        <w:t xml:space="preserve"> Egyptian law</w:t>
      </w:r>
      <w:r w:rsidR="00823E11">
        <w:t>-</w:t>
      </w:r>
      <w:r>
        <w:t>number</w:t>
      </w:r>
      <w:r w:rsidR="00823E11">
        <w:t>-</w:t>
      </w:r>
      <w:r>
        <w:t>117 stated that ‘all antiquities found in Egypt are the property of state and may not be removed without Egypt’s permission’</w:t>
      </w:r>
      <w:r>
        <w:rPr>
          <w:rStyle w:val="FootnoteReference"/>
        </w:rPr>
        <w:footnoteReference w:id="216"/>
      </w:r>
      <w:r>
        <w:t>. I</w:t>
      </w:r>
      <w:r w:rsidR="00823E11">
        <w:t>nterestingly</w:t>
      </w:r>
      <w:r>
        <w:t xml:space="preserve"> this law was not enforced until, </w:t>
      </w:r>
      <w:r w:rsidR="00FC661A">
        <w:t>61</w:t>
      </w:r>
      <w:r>
        <w:t xml:space="preserve"> years after the discovery of</w:t>
      </w:r>
      <w:r w:rsidR="007420FE">
        <w:t xml:space="preserve"> the tomb of</w:t>
      </w:r>
      <w:r>
        <w:t xml:space="preserve"> Tutankhamun. </w:t>
      </w:r>
      <w:r w:rsidR="00E459FB">
        <w:t xml:space="preserve">This showed that </w:t>
      </w:r>
      <w:r>
        <w:t xml:space="preserve">Egypt was well under the control of the French and the British. </w:t>
      </w:r>
    </w:p>
    <w:p w14:paraId="74B77167" w14:textId="62EF6204" w:rsidR="002117A2" w:rsidRDefault="002117A2" w:rsidP="002117A2">
      <w:pPr>
        <w:spacing w:line="360" w:lineRule="auto"/>
      </w:pPr>
      <w:r w:rsidRPr="008E0C6A">
        <w:rPr>
          <w:highlight w:val="green"/>
        </w:rPr>
        <w:t>Ahmad Kamal</w:t>
      </w:r>
      <w:r w:rsidR="007420FE" w:rsidRPr="008E0C6A">
        <w:rPr>
          <w:highlight w:val="green"/>
        </w:rPr>
        <w:t>,</w:t>
      </w:r>
      <w:r w:rsidRPr="008E0C6A">
        <w:rPr>
          <w:highlight w:val="green"/>
        </w:rPr>
        <w:t xml:space="preserve"> a retired member of the EAS, complained to the Sultan of Egypt, Fuad (</w:t>
      </w:r>
      <w:r w:rsidRPr="004D088E">
        <w:rPr>
          <w:highlight w:val="green"/>
          <w:u w:val="single"/>
        </w:rPr>
        <w:t>Sultan of Egypt from 1917 to 1922, and then king of Egypt and Sudan till 1936</w:t>
      </w:r>
      <w:r w:rsidRPr="008E0C6A">
        <w:rPr>
          <w:highlight w:val="green"/>
        </w:rPr>
        <w:t xml:space="preserve">) that </w:t>
      </w:r>
      <w:r w:rsidR="00B43FD2" w:rsidRPr="008E0C6A">
        <w:rPr>
          <w:highlight w:val="green"/>
        </w:rPr>
        <w:t>Egyptians were not able to</w:t>
      </w:r>
      <w:r w:rsidR="00560301" w:rsidRPr="008E0C6A">
        <w:rPr>
          <w:highlight w:val="green"/>
        </w:rPr>
        <w:t xml:space="preserve"> have any responsible positions in regard to the antiquity service</w:t>
      </w:r>
      <w:r w:rsidR="00EE1B24" w:rsidRPr="008E0C6A">
        <w:rPr>
          <w:highlight w:val="green"/>
        </w:rPr>
        <w:t xml:space="preserve">; this may have just gave </w:t>
      </w:r>
      <w:proofErr w:type="spellStart"/>
      <w:r w:rsidR="00EE1B24" w:rsidRPr="008E0C6A">
        <w:rPr>
          <w:highlight w:val="green"/>
        </w:rPr>
        <w:t>pharaonism</w:t>
      </w:r>
      <w:proofErr w:type="spellEnd"/>
      <w:r w:rsidR="00EE1B24" w:rsidRPr="008E0C6A">
        <w:rPr>
          <w:highlight w:val="green"/>
        </w:rPr>
        <w:t xml:space="preserve"> </w:t>
      </w:r>
      <w:r w:rsidR="00461E92" w:rsidRPr="008E0C6A">
        <w:rPr>
          <w:highlight w:val="green"/>
        </w:rPr>
        <w:t>the boost it needed</w:t>
      </w:r>
      <w:r w:rsidRPr="008E0C6A">
        <w:rPr>
          <w:rStyle w:val="FootnoteReference"/>
          <w:highlight w:val="green"/>
        </w:rPr>
        <w:footnoteReference w:id="217"/>
      </w:r>
      <w:r w:rsidRPr="008E0C6A">
        <w:rPr>
          <w:highlight w:val="green"/>
        </w:rPr>
        <w:t xml:space="preserve"> and that the Europeans prevented Egyptians from studying their heritage</w:t>
      </w:r>
      <w:r w:rsidRPr="008E0C6A">
        <w:rPr>
          <w:rStyle w:val="FootnoteReference"/>
          <w:highlight w:val="green"/>
        </w:rPr>
        <w:footnoteReference w:id="218"/>
      </w:r>
      <w:r w:rsidRPr="008E0C6A">
        <w:rPr>
          <w:highlight w:val="green"/>
        </w:rPr>
        <w:t>.</w:t>
      </w:r>
      <w:r>
        <w:t xml:space="preserve"> Kamal taught the </w:t>
      </w:r>
      <w:commentRangeStart w:id="48"/>
      <w:commentRangeStart w:id="49"/>
      <w:r>
        <w:t xml:space="preserve">history of ancient Egypt and the Near East at a newly </w:t>
      </w:r>
      <w:commentRangeEnd w:id="48"/>
      <w:r w:rsidR="00A75166">
        <w:rPr>
          <w:rStyle w:val="CommentReference"/>
        </w:rPr>
        <w:commentReference w:id="48"/>
      </w:r>
      <w:commentRangeEnd w:id="49"/>
      <w:r w:rsidR="00681026">
        <w:rPr>
          <w:rStyle w:val="CommentReference"/>
        </w:rPr>
        <w:commentReference w:id="49"/>
      </w:r>
      <w:r>
        <w:t>founded private university in Egypt from 1908 to 1909</w:t>
      </w:r>
      <w:r>
        <w:rPr>
          <w:rStyle w:val="FootnoteReference"/>
        </w:rPr>
        <w:footnoteReference w:id="219"/>
      </w:r>
      <w:r>
        <w:t xml:space="preserve">. </w:t>
      </w:r>
      <w:r w:rsidR="003417BA">
        <w:t>He believed that Egypt needed their own Egyptologists</w:t>
      </w:r>
      <w:r w:rsidR="00F77752">
        <w:rPr>
          <w:rStyle w:val="FootnoteReference"/>
        </w:rPr>
        <w:footnoteReference w:id="220"/>
      </w:r>
      <w:r w:rsidR="00F77752">
        <w:t xml:space="preserve">. </w:t>
      </w:r>
      <w:r>
        <w:t xml:space="preserve">His first class graduated in 1912, ‘but the foreign dominated antiquities department once again thwarted </w:t>
      </w:r>
      <w:proofErr w:type="spellStart"/>
      <w:r>
        <w:t>Kamals</w:t>
      </w:r>
      <w:proofErr w:type="spellEnd"/>
      <w:r>
        <w:t xml:space="preserve"> efforts to find them jobs there’</w:t>
      </w:r>
      <w:r>
        <w:rPr>
          <w:rStyle w:val="FootnoteReference"/>
        </w:rPr>
        <w:footnoteReference w:id="221"/>
      </w:r>
      <w:r>
        <w:t>. This programme was discontinued by the government in 1913</w:t>
      </w:r>
      <w:r>
        <w:rPr>
          <w:rStyle w:val="FootnoteReference"/>
        </w:rPr>
        <w:footnoteReference w:id="222"/>
      </w:r>
      <w:r>
        <w:t>. Kamal retired in 1914</w:t>
      </w:r>
      <w:r>
        <w:rPr>
          <w:rStyle w:val="FootnoteReference"/>
        </w:rPr>
        <w:footnoteReference w:id="223"/>
      </w:r>
      <w:r>
        <w:t>, however his efforts for Egyptians to be trained as Egyptologists continued right up to his death in 1923</w:t>
      </w:r>
      <w:r>
        <w:rPr>
          <w:rStyle w:val="FootnoteReference"/>
        </w:rPr>
        <w:footnoteReference w:id="224"/>
      </w:r>
      <w:r>
        <w:t>. All of Kamal’s efforts did not go to waste; on the day he died, ‘the government decreed the founding of an Egyptological school at the higher teacher’s college and named Kamal as director’</w:t>
      </w:r>
      <w:r>
        <w:rPr>
          <w:rStyle w:val="FootnoteReference"/>
        </w:rPr>
        <w:footnoteReference w:id="225"/>
      </w:r>
      <w:r>
        <w:t>. Within a few months after Kamal’s death the school opened</w:t>
      </w:r>
      <w:r>
        <w:rPr>
          <w:rStyle w:val="FootnoteReference"/>
        </w:rPr>
        <w:footnoteReference w:id="226"/>
      </w:r>
      <w:r>
        <w:t>, the first class graduating in 1928</w:t>
      </w:r>
      <w:r>
        <w:rPr>
          <w:rStyle w:val="FootnoteReference"/>
        </w:rPr>
        <w:footnoteReference w:id="227"/>
      </w:r>
      <w:r>
        <w:t xml:space="preserve">. </w:t>
      </w:r>
    </w:p>
    <w:p w14:paraId="12D9573F" w14:textId="197B5DE5" w:rsidR="002117A2" w:rsidRDefault="002117A2" w:rsidP="002117A2">
      <w:pPr>
        <w:jc w:val="center"/>
        <w:rPr>
          <w:b/>
          <w:bCs/>
          <w:sz w:val="28"/>
          <w:szCs w:val="28"/>
          <w:u w:val="single"/>
        </w:rPr>
      </w:pPr>
    </w:p>
    <w:p w14:paraId="2CCDCB45" w14:textId="6DFBEEEE" w:rsidR="002117A2" w:rsidRDefault="002117A2" w:rsidP="002117A2">
      <w:pPr>
        <w:jc w:val="center"/>
        <w:rPr>
          <w:b/>
          <w:bCs/>
          <w:sz w:val="28"/>
          <w:szCs w:val="28"/>
          <w:u w:val="single"/>
        </w:rPr>
      </w:pPr>
    </w:p>
    <w:p w14:paraId="750A0AA2" w14:textId="1D46D187" w:rsidR="002117A2" w:rsidRDefault="002117A2" w:rsidP="002117A2">
      <w:pPr>
        <w:jc w:val="center"/>
        <w:rPr>
          <w:b/>
          <w:bCs/>
          <w:sz w:val="28"/>
          <w:szCs w:val="28"/>
          <w:u w:val="single"/>
        </w:rPr>
      </w:pPr>
    </w:p>
    <w:p w14:paraId="6FD8C318" w14:textId="59D834AA" w:rsidR="002117A2" w:rsidRDefault="002117A2" w:rsidP="002117A2">
      <w:pPr>
        <w:jc w:val="center"/>
        <w:rPr>
          <w:b/>
          <w:bCs/>
          <w:sz w:val="28"/>
          <w:szCs w:val="28"/>
          <w:u w:val="single"/>
        </w:rPr>
      </w:pPr>
    </w:p>
    <w:p w14:paraId="36983ADE" w14:textId="77777777" w:rsidR="00384CB4" w:rsidRDefault="00384CB4" w:rsidP="00384CB4">
      <w:pPr>
        <w:rPr>
          <w:b/>
          <w:bCs/>
          <w:sz w:val="28"/>
          <w:szCs w:val="28"/>
          <w:u w:val="single"/>
        </w:rPr>
      </w:pPr>
    </w:p>
    <w:p w14:paraId="4813644E" w14:textId="6B084050" w:rsidR="002117A2" w:rsidRPr="002117A2" w:rsidRDefault="00105905" w:rsidP="00384CB4">
      <w:pPr>
        <w:jc w:val="center"/>
        <w:rPr>
          <w:b/>
          <w:bCs/>
          <w:sz w:val="28"/>
          <w:szCs w:val="28"/>
          <w:u w:val="single"/>
        </w:rPr>
      </w:pPr>
      <w:r w:rsidRPr="002117A2">
        <w:rPr>
          <w:b/>
          <w:bCs/>
          <w:sz w:val="28"/>
          <w:szCs w:val="28"/>
          <w:u w:val="single"/>
        </w:rPr>
        <w:lastRenderedPageBreak/>
        <w:t>Chapter 3 – Modern and global presence</w:t>
      </w:r>
    </w:p>
    <w:p w14:paraId="2AFBCE24" w14:textId="28F5EAF1" w:rsidR="002117A2" w:rsidRPr="003D4546" w:rsidRDefault="002117A2" w:rsidP="002117A2">
      <w:pPr>
        <w:spacing w:line="360" w:lineRule="auto"/>
        <w:rPr>
          <w:color w:val="000000" w:themeColor="text1"/>
        </w:rPr>
      </w:pPr>
      <w:commentRangeStart w:id="50"/>
      <w:r w:rsidRPr="003D4546">
        <w:rPr>
          <w:color w:val="000000" w:themeColor="text1"/>
        </w:rPr>
        <w:t xml:space="preserve">One debate around </w:t>
      </w:r>
      <w:commentRangeEnd w:id="50"/>
      <w:r w:rsidR="0006442B">
        <w:rPr>
          <w:rStyle w:val="CommentReference"/>
        </w:rPr>
        <w:commentReference w:id="50"/>
      </w:r>
      <w:r w:rsidRPr="003D4546">
        <w:rPr>
          <w:color w:val="000000" w:themeColor="text1"/>
        </w:rPr>
        <w:t>museums and their exhibitions is whether it is for the general public or for the educated, ‘many continue to argue that simply having artefacts proves the educational worth of an exhibition, so the greater the number of pieces, the more educational the exhibit’</w:t>
      </w:r>
      <w:r w:rsidRPr="003D4546">
        <w:rPr>
          <w:rStyle w:val="FootnoteReference"/>
          <w:color w:val="000000" w:themeColor="text1"/>
        </w:rPr>
        <w:footnoteReference w:id="228"/>
      </w:r>
      <w:r w:rsidRPr="003D4546">
        <w:rPr>
          <w:color w:val="000000" w:themeColor="text1"/>
        </w:rPr>
        <w:t>. For example, the ‘British Museum was not intended to educate the general public rather it was a place for scientists to consult specimens, antiquarians to study the documents and material remains of the past and for a</w:t>
      </w:r>
      <w:r>
        <w:rPr>
          <w:color w:val="000000" w:themeColor="text1"/>
        </w:rPr>
        <w:t>esthet</w:t>
      </w:r>
      <w:r w:rsidR="00C549EF">
        <w:rPr>
          <w:color w:val="000000" w:themeColor="text1"/>
        </w:rPr>
        <w:t>e</w:t>
      </w:r>
      <w:r>
        <w:rPr>
          <w:color w:val="000000" w:themeColor="text1"/>
        </w:rPr>
        <w:t>s</w:t>
      </w:r>
      <w:r w:rsidRPr="003D4546">
        <w:rPr>
          <w:color w:val="000000" w:themeColor="text1"/>
        </w:rPr>
        <w:t xml:space="preserve"> and artists to contemplate the merits of ancient arts’</w:t>
      </w:r>
      <w:r w:rsidRPr="003D4546">
        <w:rPr>
          <w:rStyle w:val="FootnoteReference"/>
          <w:color w:val="000000" w:themeColor="text1"/>
        </w:rPr>
        <w:footnoteReference w:id="229"/>
      </w:r>
      <w:r w:rsidRPr="003D4546">
        <w:rPr>
          <w:color w:val="000000" w:themeColor="text1"/>
        </w:rPr>
        <w:t>.</w:t>
      </w:r>
    </w:p>
    <w:p w14:paraId="192011B3" w14:textId="77777777" w:rsidR="002117A2" w:rsidRPr="00462FB9" w:rsidRDefault="002117A2" w:rsidP="002117A2">
      <w:pPr>
        <w:spacing w:line="360" w:lineRule="auto"/>
        <w:rPr>
          <w:color w:val="000000" w:themeColor="text1"/>
          <w:u w:val="single"/>
        </w:rPr>
      </w:pPr>
      <w:r w:rsidRPr="00462FB9">
        <w:rPr>
          <w:color w:val="000000" w:themeColor="text1"/>
          <w:u w:val="single"/>
        </w:rPr>
        <w:t>‘Museum displays should be recognised as a distinctive genre of communication because they do not simply transmit knowledge, but rather, create it</w:t>
      </w:r>
      <w:r w:rsidRPr="00462FB9">
        <w:rPr>
          <w:rStyle w:val="FootnoteReference"/>
          <w:color w:val="000000" w:themeColor="text1"/>
          <w:u w:val="single"/>
        </w:rPr>
        <w:footnoteReference w:id="230"/>
      </w:r>
      <w:r w:rsidRPr="00462FB9">
        <w:rPr>
          <w:color w:val="000000" w:themeColor="text1"/>
          <w:u w:val="single"/>
        </w:rPr>
        <w:t>’. The museums provide the information, the audience interpret it. Exhibit designers work out who their audience is in order to decide on how much information needs to be provided to the visitors</w:t>
      </w:r>
      <w:r w:rsidRPr="00462FB9">
        <w:rPr>
          <w:rStyle w:val="FootnoteReference"/>
          <w:color w:val="000000" w:themeColor="text1"/>
          <w:u w:val="single"/>
        </w:rPr>
        <w:footnoteReference w:id="231"/>
      </w:r>
      <w:r w:rsidRPr="00462FB9">
        <w:rPr>
          <w:color w:val="000000" w:themeColor="text1"/>
          <w:u w:val="single"/>
        </w:rPr>
        <w:t xml:space="preserve">. </w:t>
      </w:r>
    </w:p>
    <w:p w14:paraId="7E53B29A" w14:textId="4C8007C0" w:rsidR="002117A2" w:rsidRPr="003D4546" w:rsidRDefault="002117A2" w:rsidP="002117A2">
      <w:pPr>
        <w:spacing w:line="360" w:lineRule="auto"/>
        <w:rPr>
          <w:color w:val="000000" w:themeColor="text1"/>
        </w:rPr>
      </w:pPr>
      <w:r w:rsidRPr="00173560">
        <w:rPr>
          <w:color w:val="000000" w:themeColor="text1"/>
          <w:highlight w:val="green"/>
        </w:rPr>
        <w:t>In the early 1980’s, Egyptian officials sent out letters to thirty museums requesting their artefacts to be returned, ‘only two replied, apologising for being unable to comply with the request’</w:t>
      </w:r>
      <w:r w:rsidRPr="00173560">
        <w:rPr>
          <w:rStyle w:val="FootnoteReference"/>
          <w:color w:val="000000" w:themeColor="text1"/>
          <w:highlight w:val="green"/>
        </w:rPr>
        <w:footnoteReference w:id="232"/>
      </w:r>
      <w:r w:rsidRPr="00173560">
        <w:rPr>
          <w:color w:val="000000" w:themeColor="text1"/>
          <w:highlight w:val="green"/>
        </w:rPr>
        <w:t xml:space="preserve">. The Egyptian </w:t>
      </w:r>
      <w:r w:rsidR="00D6386F" w:rsidRPr="00173560">
        <w:rPr>
          <w:color w:val="000000" w:themeColor="text1"/>
          <w:highlight w:val="green"/>
        </w:rPr>
        <w:t>M</w:t>
      </w:r>
      <w:r w:rsidRPr="00173560">
        <w:rPr>
          <w:color w:val="000000" w:themeColor="text1"/>
          <w:highlight w:val="green"/>
        </w:rPr>
        <w:t xml:space="preserve">useum in Cairo was where many of the </w:t>
      </w:r>
      <w:r w:rsidR="00D6386F" w:rsidRPr="00173560">
        <w:rPr>
          <w:color w:val="000000" w:themeColor="text1"/>
          <w:highlight w:val="green"/>
        </w:rPr>
        <w:t xml:space="preserve">materials </w:t>
      </w:r>
      <w:r w:rsidRPr="00173560">
        <w:rPr>
          <w:color w:val="000000" w:themeColor="text1"/>
          <w:highlight w:val="green"/>
        </w:rPr>
        <w:t>discover</w:t>
      </w:r>
      <w:r w:rsidR="00D6386F" w:rsidRPr="00173560">
        <w:rPr>
          <w:color w:val="000000" w:themeColor="text1"/>
          <w:highlight w:val="green"/>
        </w:rPr>
        <w:t>ed</w:t>
      </w:r>
      <w:r w:rsidRPr="00173560">
        <w:rPr>
          <w:color w:val="000000" w:themeColor="text1"/>
          <w:highlight w:val="green"/>
        </w:rPr>
        <w:t xml:space="preserve"> in Egypt after 1858 </w:t>
      </w:r>
      <w:r w:rsidR="00D6386F" w:rsidRPr="00173560">
        <w:rPr>
          <w:color w:val="000000" w:themeColor="text1"/>
          <w:highlight w:val="green"/>
        </w:rPr>
        <w:t>were</w:t>
      </w:r>
      <w:r w:rsidRPr="00173560">
        <w:rPr>
          <w:color w:val="000000" w:themeColor="text1"/>
          <w:highlight w:val="green"/>
        </w:rPr>
        <w:t xml:space="preserve"> stored. The museum’s purpose was ‘to create a place where archaeologists were required to store their discoveries so that these pieces of history would not be taken out of the country’</w:t>
      </w:r>
      <w:r w:rsidRPr="00173560">
        <w:rPr>
          <w:rStyle w:val="FootnoteReference"/>
          <w:color w:val="000000" w:themeColor="text1"/>
          <w:highlight w:val="green"/>
        </w:rPr>
        <w:footnoteReference w:id="233"/>
      </w:r>
      <w:r w:rsidRPr="00173560">
        <w:rPr>
          <w:color w:val="000000" w:themeColor="text1"/>
          <w:highlight w:val="green"/>
        </w:rPr>
        <w:t xml:space="preserve">. It was not until the late 1920’s that Cairo </w:t>
      </w:r>
      <w:r w:rsidR="00D6386F" w:rsidRPr="00173560">
        <w:rPr>
          <w:color w:val="000000" w:themeColor="text1"/>
          <w:highlight w:val="green"/>
        </w:rPr>
        <w:t>M</w:t>
      </w:r>
      <w:r w:rsidRPr="00173560">
        <w:rPr>
          <w:color w:val="000000" w:themeColor="text1"/>
          <w:highlight w:val="green"/>
        </w:rPr>
        <w:t>useum lent artefacts to other museums for exhibition</w:t>
      </w:r>
      <w:r w:rsidRPr="00173560">
        <w:rPr>
          <w:rStyle w:val="FootnoteReference"/>
          <w:color w:val="000000" w:themeColor="text1"/>
          <w:highlight w:val="green"/>
        </w:rPr>
        <w:footnoteReference w:id="234"/>
      </w:r>
      <w:r w:rsidRPr="00173560">
        <w:rPr>
          <w:color w:val="000000" w:themeColor="text1"/>
          <w:highlight w:val="green"/>
        </w:rPr>
        <w:t>.</w:t>
      </w:r>
      <w:r w:rsidRPr="003D4546">
        <w:rPr>
          <w:color w:val="000000" w:themeColor="text1"/>
        </w:rPr>
        <w:t xml:space="preserve"> </w:t>
      </w:r>
      <w:r w:rsidR="00173560" w:rsidRPr="00173560">
        <w:rPr>
          <w:color w:val="000000" w:themeColor="text1"/>
          <w:highlight w:val="green"/>
        </w:rPr>
        <w:t>This shows that the Egyptians were gaining control over their heritage and antiquities.</w:t>
      </w:r>
    </w:p>
    <w:p w14:paraId="6BF7AF16" w14:textId="164225A2" w:rsidR="002117A2" w:rsidRDefault="002117A2" w:rsidP="002117A2">
      <w:pPr>
        <w:spacing w:line="360" w:lineRule="auto"/>
        <w:rPr>
          <w:color w:val="000000" w:themeColor="text1"/>
        </w:rPr>
      </w:pPr>
      <w:r w:rsidRPr="003D4546">
        <w:rPr>
          <w:color w:val="000000" w:themeColor="text1"/>
        </w:rPr>
        <w:t>In 1961 and 1965, more than thirty items from Tutankhamun’s tomb were on exhibit</w:t>
      </w:r>
      <w:r w:rsidR="00D6386F">
        <w:rPr>
          <w:color w:val="000000" w:themeColor="text1"/>
        </w:rPr>
        <w:t>ion</w:t>
      </w:r>
      <w:r w:rsidR="00FF517A">
        <w:rPr>
          <w:color w:val="000000" w:themeColor="text1"/>
        </w:rPr>
        <w:t xml:space="preserve"> tour through</w:t>
      </w:r>
      <w:r w:rsidRPr="003D4546">
        <w:rPr>
          <w:color w:val="000000" w:themeColor="text1"/>
        </w:rPr>
        <w:t xml:space="preserve"> the United States and Canada</w:t>
      </w:r>
      <w:r w:rsidRPr="003D4546">
        <w:rPr>
          <w:rStyle w:val="FootnoteReference"/>
          <w:color w:val="000000" w:themeColor="text1"/>
        </w:rPr>
        <w:footnoteReference w:id="235"/>
      </w:r>
      <w:r w:rsidRPr="003D4546">
        <w:rPr>
          <w:color w:val="000000" w:themeColor="text1"/>
        </w:rPr>
        <w:t>, described by Jaromir Malek as ‘the floodgates of blockbuster shows’</w:t>
      </w:r>
      <w:r w:rsidRPr="003D4546">
        <w:rPr>
          <w:rStyle w:val="FootnoteReference"/>
          <w:color w:val="000000" w:themeColor="text1"/>
        </w:rPr>
        <w:footnoteReference w:id="236"/>
      </w:r>
      <w:r w:rsidRPr="003D4546">
        <w:rPr>
          <w:color w:val="000000" w:themeColor="text1"/>
        </w:rPr>
        <w:t xml:space="preserve">. </w:t>
      </w:r>
      <w:r w:rsidRPr="00077916">
        <w:rPr>
          <w:color w:val="000000" w:themeColor="text1"/>
          <w:u w:val="single"/>
        </w:rPr>
        <w:t>The tour to Japan in 1965 to 1966 appears to have attracted the largest crowd with nearly three million visitors</w:t>
      </w:r>
      <w:r w:rsidRPr="00077916">
        <w:rPr>
          <w:rStyle w:val="FootnoteReference"/>
          <w:color w:val="000000" w:themeColor="text1"/>
          <w:u w:val="single"/>
        </w:rPr>
        <w:footnoteReference w:id="237"/>
      </w:r>
      <w:r w:rsidRPr="00077916">
        <w:rPr>
          <w:color w:val="000000" w:themeColor="text1"/>
          <w:u w:val="single"/>
        </w:rPr>
        <w:t>.</w:t>
      </w:r>
      <w:r w:rsidRPr="003D4546">
        <w:rPr>
          <w:color w:val="000000" w:themeColor="text1"/>
        </w:rPr>
        <w:t xml:space="preserve"> In this chapter the </w:t>
      </w:r>
      <w:r w:rsidRPr="003D4546">
        <w:rPr>
          <w:i/>
          <w:iCs/>
          <w:color w:val="000000" w:themeColor="text1"/>
        </w:rPr>
        <w:t>Treasures of Tutankhamun</w:t>
      </w:r>
      <w:r w:rsidRPr="003D4546">
        <w:rPr>
          <w:color w:val="000000" w:themeColor="text1"/>
        </w:rPr>
        <w:t xml:space="preserve"> tour, </w:t>
      </w:r>
      <w:r w:rsidRPr="003D4546">
        <w:rPr>
          <w:i/>
          <w:iCs/>
          <w:color w:val="000000" w:themeColor="text1"/>
        </w:rPr>
        <w:t>Tutankhamun and the Golden Pharaohs</w:t>
      </w:r>
      <w:r w:rsidRPr="003D4546">
        <w:rPr>
          <w:color w:val="000000" w:themeColor="text1"/>
        </w:rPr>
        <w:t xml:space="preserve"> tour and the most recent tour </w:t>
      </w:r>
      <w:r w:rsidRPr="003D4546">
        <w:rPr>
          <w:i/>
          <w:iCs/>
          <w:color w:val="000000" w:themeColor="text1"/>
        </w:rPr>
        <w:t xml:space="preserve">Tutankhamun: Treasures of the Golden Pharaoh </w:t>
      </w:r>
      <w:r w:rsidRPr="003D4546">
        <w:rPr>
          <w:color w:val="000000" w:themeColor="text1"/>
        </w:rPr>
        <w:t>are discussed, all discuss</w:t>
      </w:r>
      <w:r>
        <w:rPr>
          <w:color w:val="000000" w:themeColor="text1"/>
        </w:rPr>
        <w:t>ed</w:t>
      </w:r>
      <w:r w:rsidRPr="003D4546">
        <w:rPr>
          <w:color w:val="000000" w:themeColor="text1"/>
        </w:rPr>
        <w:t xml:space="preserve"> </w:t>
      </w:r>
      <w:r>
        <w:rPr>
          <w:color w:val="000000" w:themeColor="text1"/>
        </w:rPr>
        <w:t>as</w:t>
      </w:r>
      <w:r w:rsidRPr="003D4546">
        <w:rPr>
          <w:color w:val="000000" w:themeColor="text1"/>
        </w:rPr>
        <w:t xml:space="preserve"> they all have been </w:t>
      </w:r>
      <w:r>
        <w:rPr>
          <w:color w:val="000000" w:themeColor="text1"/>
        </w:rPr>
        <w:t xml:space="preserve">exhibited in </w:t>
      </w:r>
      <w:r w:rsidRPr="003D4546">
        <w:rPr>
          <w:color w:val="000000" w:themeColor="text1"/>
        </w:rPr>
        <w:t>London</w:t>
      </w:r>
      <w:r>
        <w:rPr>
          <w:color w:val="000000" w:themeColor="text1"/>
        </w:rPr>
        <w:t xml:space="preserve"> (</w:t>
      </w:r>
      <w:r w:rsidR="007D14CC">
        <w:rPr>
          <w:color w:val="000000" w:themeColor="text1"/>
        </w:rPr>
        <w:t>Diagram</w:t>
      </w:r>
      <w:r>
        <w:rPr>
          <w:color w:val="000000" w:themeColor="text1"/>
        </w:rPr>
        <w:t xml:space="preserve"> 2)</w:t>
      </w:r>
      <w:r w:rsidRPr="003D4546">
        <w:rPr>
          <w:color w:val="000000" w:themeColor="text1"/>
        </w:rPr>
        <w:t xml:space="preserve">. </w:t>
      </w:r>
    </w:p>
    <w:p w14:paraId="1804C3A0" w14:textId="77777777" w:rsidR="002117A2" w:rsidRDefault="002117A2" w:rsidP="002117A2">
      <w:pPr>
        <w:spacing w:line="360" w:lineRule="auto"/>
        <w:rPr>
          <w:color w:val="000000" w:themeColor="text1"/>
        </w:rPr>
      </w:pPr>
      <w:r>
        <w:rPr>
          <w:noProof/>
          <w:sz w:val="16"/>
          <w:szCs w:val="16"/>
        </w:rPr>
        <w:lastRenderedPageBreak/>
        <w:drawing>
          <wp:inline distT="0" distB="0" distL="0" distR="0" wp14:anchorId="616B4D1F" wp14:editId="6C7A795F">
            <wp:extent cx="6501752" cy="1509824"/>
            <wp:effectExtent l="0" t="0" r="0" b="0"/>
            <wp:docPr id="53" name="Picture 5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USA  Canada.jpg"/>
                    <pic:cNvPicPr/>
                  </pic:nvPicPr>
                  <pic:blipFill>
                    <a:blip r:embed="rId24">
                      <a:extLst>
                        <a:ext uri="{28A0092B-C50C-407E-A947-70E740481C1C}">
                          <a14:useLocalDpi xmlns:a14="http://schemas.microsoft.com/office/drawing/2010/main" val="0"/>
                        </a:ext>
                      </a:extLst>
                    </a:blip>
                    <a:stretch>
                      <a:fillRect/>
                    </a:stretch>
                  </pic:blipFill>
                  <pic:spPr>
                    <a:xfrm>
                      <a:off x="0" y="0"/>
                      <a:ext cx="6538008" cy="1518243"/>
                    </a:xfrm>
                    <a:prstGeom prst="rect">
                      <a:avLst/>
                    </a:prstGeom>
                  </pic:spPr>
                </pic:pic>
              </a:graphicData>
            </a:graphic>
          </wp:inline>
        </w:drawing>
      </w:r>
    </w:p>
    <w:p w14:paraId="09D18282" w14:textId="43191D81" w:rsidR="002117A2" w:rsidRPr="00410E48" w:rsidRDefault="007D14CC" w:rsidP="002117A2">
      <w:pPr>
        <w:spacing w:line="360" w:lineRule="auto"/>
        <w:rPr>
          <w:color w:val="000000" w:themeColor="text1"/>
          <w:sz w:val="18"/>
          <w:szCs w:val="18"/>
        </w:rPr>
      </w:pPr>
      <w:r>
        <w:rPr>
          <w:color w:val="000000" w:themeColor="text1"/>
          <w:sz w:val="18"/>
          <w:szCs w:val="18"/>
        </w:rPr>
        <w:t xml:space="preserve">Diagram </w:t>
      </w:r>
      <w:r w:rsidR="002117A2" w:rsidRPr="00410E48">
        <w:rPr>
          <w:color w:val="000000" w:themeColor="text1"/>
          <w:sz w:val="18"/>
          <w:szCs w:val="18"/>
        </w:rPr>
        <w:t>2: Timeline of Tutankhamun worldwide exhibitions</w:t>
      </w:r>
      <w:r w:rsidR="002117A2" w:rsidRPr="00410E48">
        <w:rPr>
          <w:rStyle w:val="FootnoteReference"/>
          <w:color w:val="000000" w:themeColor="text1"/>
          <w:sz w:val="18"/>
          <w:szCs w:val="18"/>
        </w:rPr>
        <w:footnoteReference w:id="238"/>
      </w:r>
      <w:r w:rsidR="002117A2" w:rsidRPr="00410E48">
        <w:rPr>
          <w:color w:val="000000" w:themeColor="text1"/>
          <w:sz w:val="18"/>
          <w:szCs w:val="18"/>
        </w:rPr>
        <w:t>.</w:t>
      </w:r>
    </w:p>
    <w:p w14:paraId="45885D3D" w14:textId="77777777" w:rsidR="002117A2" w:rsidRDefault="002117A2" w:rsidP="002117A2">
      <w:pPr>
        <w:spacing w:line="360" w:lineRule="auto"/>
        <w:rPr>
          <w:color w:val="000000" w:themeColor="text1"/>
        </w:rPr>
      </w:pPr>
    </w:p>
    <w:p w14:paraId="1B6DC6DA" w14:textId="4DECE749" w:rsidR="002117A2" w:rsidRPr="00410E48" w:rsidRDefault="002117A2" w:rsidP="002117A2">
      <w:pPr>
        <w:pStyle w:val="ListParagraph"/>
        <w:numPr>
          <w:ilvl w:val="0"/>
          <w:numId w:val="4"/>
        </w:numPr>
        <w:spacing w:line="360" w:lineRule="auto"/>
        <w:rPr>
          <w:b/>
          <w:bCs/>
          <w:color w:val="000000" w:themeColor="text1"/>
          <w:sz w:val="24"/>
          <w:szCs w:val="24"/>
        </w:rPr>
      </w:pPr>
      <w:r w:rsidRPr="00410E48">
        <w:rPr>
          <w:b/>
          <w:bCs/>
          <w:color w:val="000000" w:themeColor="text1"/>
          <w:sz w:val="24"/>
          <w:szCs w:val="24"/>
        </w:rPr>
        <w:t>Treasures of Tutankhamun Tour (1967 – 1981)</w:t>
      </w:r>
    </w:p>
    <w:p w14:paraId="5D725CEE" w14:textId="6E706834" w:rsidR="002117A2" w:rsidRPr="003D4546" w:rsidRDefault="002117A2" w:rsidP="002117A2">
      <w:pPr>
        <w:spacing w:line="360" w:lineRule="auto"/>
        <w:rPr>
          <w:color w:val="000000" w:themeColor="text1"/>
        </w:rPr>
      </w:pPr>
      <w:r w:rsidRPr="003D4546">
        <w:rPr>
          <w:color w:val="000000" w:themeColor="text1"/>
        </w:rPr>
        <w:t xml:space="preserve">This world tour began in 1967 in Paris and </w:t>
      </w:r>
      <w:r w:rsidR="00FF517A">
        <w:rPr>
          <w:color w:val="000000" w:themeColor="text1"/>
        </w:rPr>
        <w:t>arrived at</w:t>
      </w:r>
      <w:r w:rsidRPr="003D4546">
        <w:rPr>
          <w:color w:val="000000" w:themeColor="text1"/>
        </w:rPr>
        <w:t xml:space="preserve"> the British Museum in London in 1971</w:t>
      </w:r>
      <w:r w:rsidRPr="003D4546">
        <w:rPr>
          <w:rStyle w:val="FootnoteReference"/>
          <w:color w:val="000000" w:themeColor="text1"/>
        </w:rPr>
        <w:footnoteReference w:id="239"/>
      </w:r>
      <w:r w:rsidRPr="003D4546">
        <w:rPr>
          <w:color w:val="000000" w:themeColor="text1"/>
        </w:rPr>
        <w:t xml:space="preserve">. </w:t>
      </w:r>
      <w:r w:rsidRPr="00287B75">
        <w:rPr>
          <w:color w:val="000000" w:themeColor="text1"/>
          <w:highlight w:val="yellow"/>
        </w:rPr>
        <w:t>Approximately 1.7 million people attended the exhibition in London</w:t>
      </w:r>
      <w:r w:rsidRPr="00287B75">
        <w:rPr>
          <w:rStyle w:val="FootnoteReference"/>
          <w:color w:val="000000" w:themeColor="text1"/>
          <w:highlight w:val="yellow"/>
        </w:rPr>
        <w:footnoteReference w:id="240"/>
      </w:r>
      <w:r w:rsidRPr="00287B75">
        <w:rPr>
          <w:color w:val="000000" w:themeColor="text1"/>
          <w:highlight w:val="yellow"/>
        </w:rPr>
        <w:t>. The exhibition was laid out in the same format of the</w:t>
      </w:r>
      <w:r w:rsidR="00D10B95" w:rsidRPr="00287B75">
        <w:rPr>
          <w:color w:val="000000" w:themeColor="text1"/>
          <w:highlight w:val="yellow"/>
        </w:rPr>
        <w:t xml:space="preserve"> tomb and</w:t>
      </w:r>
      <w:r w:rsidRPr="00287B75">
        <w:rPr>
          <w:color w:val="000000" w:themeColor="text1"/>
          <w:highlight w:val="yellow"/>
        </w:rPr>
        <w:t xml:space="preserve"> discovery site</w:t>
      </w:r>
      <w:r w:rsidR="00D10B95" w:rsidRPr="00287B75">
        <w:rPr>
          <w:color w:val="000000" w:themeColor="text1"/>
          <w:highlight w:val="yellow"/>
        </w:rPr>
        <w:t xml:space="preserve"> with the</w:t>
      </w:r>
      <w:r w:rsidRPr="00287B75">
        <w:rPr>
          <w:color w:val="000000" w:themeColor="text1"/>
          <w:highlight w:val="yellow"/>
        </w:rPr>
        <w:t>; antechamber, burial chamber, treasury and annex</w:t>
      </w:r>
      <w:r w:rsidR="00D10B95" w:rsidRPr="00287B75">
        <w:rPr>
          <w:color w:val="000000" w:themeColor="text1"/>
          <w:highlight w:val="yellow"/>
        </w:rPr>
        <w:t xml:space="preserve"> to be seen</w:t>
      </w:r>
      <w:r w:rsidRPr="00287B75">
        <w:rPr>
          <w:rStyle w:val="FootnoteReference"/>
          <w:color w:val="000000" w:themeColor="text1"/>
          <w:highlight w:val="yellow"/>
        </w:rPr>
        <w:footnoteReference w:id="241"/>
      </w:r>
      <w:r w:rsidRPr="00287B75">
        <w:rPr>
          <w:color w:val="000000" w:themeColor="text1"/>
          <w:highlight w:val="yellow"/>
        </w:rPr>
        <w:t xml:space="preserve"> .</w:t>
      </w:r>
      <w:r w:rsidRPr="003D4546">
        <w:rPr>
          <w:color w:val="000000" w:themeColor="text1"/>
        </w:rPr>
        <w:t xml:space="preserve"> </w:t>
      </w:r>
      <w:r>
        <w:rPr>
          <w:color w:val="000000" w:themeColor="text1"/>
        </w:rPr>
        <w:t>Perhaps this was to attract more visitors because they could have the virtual experience of Carter’s discovery site</w:t>
      </w:r>
      <w:r w:rsidR="009F39E6">
        <w:rPr>
          <w:color w:val="000000" w:themeColor="text1"/>
        </w:rPr>
        <w:t>, using the layout to attract visitors shows just how</w:t>
      </w:r>
      <w:r w:rsidR="000E07ED">
        <w:rPr>
          <w:color w:val="000000" w:themeColor="text1"/>
        </w:rPr>
        <w:t xml:space="preserve"> successful the tour as anticipated to be</w:t>
      </w:r>
      <w:r>
        <w:rPr>
          <w:color w:val="000000" w:themeColor="text1"/>
        </w:rPr>
        <w:t xml:space="preserve">. </w:t>
      </w:r>
      <w:r w:rsidRPr="003D4546">
        <w:rPr>
          <w:color w:val="000000" w:themeColor="text1"/>
        </w:rPr>
        <w:t xml:space="preserve">The exhibition consisted of </w:t>
      </w:r>
      <w:r w:rsidR="00D10B95">
        <w:rPr>
          <w:color w:val="000000" w:themeColor="text1"/>
        </w:rPr>
        <w:t>55</w:t>
      </w:r>
      <w:r w:rsidRPr="003D4546">
        <w:rPr>
          <w:color w:val="000000" w:themeColor="text1"/>
        </w:rPr>
        <w:t xml:space="preserve"> objects</w:t>
      </w:r>
      <w:r w:rsidRPr="003D4546">
        <w:rPr>
          <w:rStyle w:val="FootnoteReference"/>
          <w:color w:val="000000" w:themeColor="text1"/>
        </w:rPr>
        <w:footnoteReference w:id="242"/>
      </w:r>
      <w:r w:rsidRPr="003D4546">
        <w:rPr>
          <w:color w:val="000000" w:themeColor="text1"/>
        </w:rPr>
        <w:t>, ‘</w:t>
      </w:r>
      <w:r w:rsidRPr="00287B75">
        <w:rPr>
          <w:color w:val="000000" w:themeColor="text1"/>
          <w:highlight w:val="magenta"/>
        </w:rPr>
        <w:t>with the most popular and extravagant, such as the golden mask, in the centre of the room’</w:t>
      </w:r>
      <w:r w:rsidRPr="00287B75">
        <w:rPr>
          <w:rStyle w:val="FootnoteReference"/>
          <w:color w:val="000000" w:themeColor="text1"/>
          <w:highlight w:val="magenta"/>
        </w:rPr>
        <w:footnoteReference w:id="243"/>
      </w:r>
      <w:r w:rsidRPr="00287B75">
        <w:rPr>
          <w:color w:val="000000" w:themeColor="text1"/>
          <w:highlight w:val="magenta"/>
        </w:rPr>
        <w:t xml:space="preserve"> . </w:t>
      </w:r>
      <w:r w:rsidR="00B20F97">
        <w:rPr>
          <w:color w:val="000000" w:themeColor="text1"/>
          <w:highlight w:val="magenta"/>
        </w:rPr>
        <w:t>The creators of this exhibit wanted to emphasise the universal and aesthetic beauty of Tutankhamun artefacts</w:t>
      </w:r>
      <w:r w:rsidR="006804DB">
        <w:rPr>
          <w:color w:val="000000" w:themeColor="text1"/>
          <w:highlight w:val="magenta"/>
        </w:rPr>
        <w:t xml:space="preserve"> rather than present the artefacts with an historical analysis to educate the visitor</w:t>
      </w:r>
      <w:r w:rsidRPr="00287B75">
        <w:rPr>
          <w:rStyle w:val="FootnoteReference"/>
          <w:color w:val="000000" w:themeColor="text1"/>
          <w:highlight w:val="magenta"/>
        </w:rPr>
        <w:footnoteReference w:id="244"/>
      </w:r>
      <w:r w:rsidRPr="00287B75">
        <w:rPr>
          <w:color w:val="000000" w:themeColor="text1"/>
          <w:highlight w:val="magenta"/>
        </w:rPr>
        <w:t>.</w:t>
      </w:r>
      <w:r>
        <w:rPr>
          <w:color w:val="000000" w:themeColor="text1"/>
        </w:rPr>
        <w:t xml:space="preserve"> </w:t>
      </w:r>
      <w:r w:rsidRPr="00612FB8">
        <w:rPr>
          <w:color w:val="000000" w:themeColor="text1"/>
          <w:u w:val="single"/>
        </w:rPr>
        <w:t xml:space="preserve">This suggests that the exhibition was not for educational purposes but rather for show. </w:t>
      </w:r>
      <w:r w:rsidR="00612FB8" w:rsidRPr="00701F7B">
        <w:rPr>
          <w:color w:val="000000" w:themeColor="text1"/>
          <w:highlight w:val="magenta"/>
        </w:rPr>
        <w:t xml:space="preserve">The exhibition consisted of </w:t>
      </w:r>
      <w:r w:rsidR="0082196C" w:rsidRPr="00701F7B">
        <w:rPr>
          <w:color w:val="000000" w:themeColor="text1"/>
          <w:highlight w:val="magenta"/>
        </w:rPr>
        <w:t xml:space="preserve">flashy display techniques, large campaigns </w:t>
      </w:r>
      <w:r w:rsidR="00701F7B" w:rsidRPr="00701F7B">
        <w:rPr>
          <w:color w:val="000000" w:themeColor="text1"/>
          <w:highlight w:val="magenta"/>
        </w:rPr>
        <w:t xml:space="preserve">and played on the general public’s interest to attract </w:t>
      </w:r>
      <w:proofErr w:type="gramStart"/>
      <w:r w:rsidR="00701F7B" w:rsidRPr="00701F7B">
        <w:rPr>
          <w:color w:val="000000" w:themeColor="text1"/>
          <w:highlight w:val="magenta"/>
        </w:rPr>
        <w:t>a large number of</w:t>
      </w:r>
      <w:proofErr w:type="gramEnd"/>
      <w:r w:rsidR="00701F7B" w:rsidRPr="00701F7B">
        <w:rPr>
          <w:color w:val="000000" w:themeColor="text1"/>
          <w:highlight w:val="magenta"/>
        </w:rPr>
        <w:t xml:space="preserve"> visitors to make the tour profitable</w:t>
      </w:r>
      <w:r w:rsidR="00701F7B">
        <w:rPr>
          <w:color w:val="000000" w:themeColor="text1"/>
          <w:highlight w:val="magenta"/>
        </w:rPr>
        <w:t>, resulting in the tour becoming to be known as the blockbuster exhibit</w:t>
      </w:r>
      <w:r w:rsidRPr="003D4546">
        <w:rPr>
          <w:rStyle w:val="FootnoteReference"/>
          <w:color w:val="000000" w:themeColor="text1"/>
        </w:rPr>
        <w:footnoteReference w:id="245"/>
      </w:r>
      <w:r w:rsidR="00D1242C">
        <w:rPr>
          <w:color w:val="000000" w:themeColor="text1"/>
        </w:rPr>
        <w:t xml:space="preserve">. </w:t>
      </w:r>
      <w:r w:rsidR="00F06BC5">
        <w:rPr>
          <w:color w:val="000000" w:themeColor="text1"/>
        </w:rPr>
        <w:t xml:space="preserve">On leaving the exhibition the visitors were meant to be in </w:t>
      </w:r>
      <w:r w:rsidR="000A5AAA">
        <w:rPr>
          <w:color w:val="000000" w:themeColor="text1"/>
        </w:rPr>
        <w:t xml:space="preserve">astonishment of Tutankhamun’s tomb objects but not because </w:t>
      </w:r>
      <w:r w:rsidR="00777045">
        <w:rPr>
          <w:color w:val="000000" w:themeColor="text1"/>
        </w:rPr>
        <w:t>of the king himself or the Egyptian religion, but for the Egyptian people and what they represented</w:t>
      </w:r>
      <w:r w:rsidRPr="003D4546">
        <w:rPr>
          <w:rStyle w:val="FootnoteReference"/>
          <w:color w:val="000000" w:themeColor="text1"/>
        </w:rPr>
        <w:footnoteReference w:id="246"/>
      </w:r>
      <w:r w:rsidRPr="003D4546">
        <w:rPr>
          <w:color w:val="000000" w:themeColor="text1"/>
        </w:rPr>
        <w:t xml:space="preserve">. </w:t>
      </w:r>
      <w:r w:rsidRPr="00777045">
        <w:rPr>
          <w:color w:val="000000" w:themeColor="text1"/>
          <w:u w:val="single"/>
        </w:rPr>
        <w:t>After London, the tour continued to the Union of Soviet Socialist Republics and was there from 1973 to 1975</w:t>
      </w:r>
      <w:r w:rsidRPr="00777045">
        <w:rPr>
          <w:rStyle w:val="FootnoteReference"/>
          <w:color w:val="000000" w:themeColor="text1"/>
          <w:u w:val="single"/>
        </w:rPr>
        <w:footnoteReference w:id="247"/>
      </w:r>
      <w:r w:rsidRPr="00777045">
        <w:rPr>
          <w:color w:val="000000" w:themeColor="text1"/>
          <w:u w:val="single"/>
        </w:rPr>
        <w:t>.</w:t>
      </w:r>
    </w:p>
    <w:p w14:paraId="0763F819" w14:textId="007200B6" w:rsidR="002117A2" w:rsidRPr="003D4546" w:rsidRDefault="002117A2" w:rsidP="002117A2">
      <w:pPr>
        <w:spacing w:line="360" w:lineRule="auto"/>
        <w:rPr>
          <w:color w:val="000000" w:themeColor="text1"/>
        </w:rPr>
      </w:pPr>
      <w:r w:rsidRPr="003D4546">
        <w:rPr>
          <w:color w:val="000000" w:themeColor="text1"/>
        </w:rPr>
        <w:lastRenderedPageBreak/>
        <w:t>The Americans also wanted the tour to visit them</w:t>
      </w:r>
      <w:r w:rsidRPr="003D4546">
        <w:rPr>
          <w:rStyle w:val="FootnoteReference"/>
          <w:color w:val="000000" w:themeColor="text1"/>
        </w:rPr>
        <w:footnoteReference w:id="248"/>
      </w:r>
      <w:r w:rsidRPr="003D4546">
        <w:rPr>
          <w:color w:val="000000" w:themeColor="text1"/>
        </w:rPr>
        <w:t xml:space="preserve"> and in 1976 the Metropolitan Museum organised for the touring exhibit </w:t>
      </w:r>
      <w:r w:rsidRPr="003D4546">
        <w:rPr>
          <w:i/>
          <w:iCs/>
          <w:color w:val="000000" w:themeColor="text1"/>
        </w:rPr>
        <w:t>Treasures of Tutankhamun</w:t>
      </w:r>
      <w:r w:rsidRPr="003D4546">
        <w:rPr>
          <w:color w:val="000000" w:themeColor="text1"/>
        </w:rPr>
        <w:t xml:space="preserve"> to come to the United States</w:t>
      </w:r>
      <w:r w:rsidRPr="003D4546">
        <w:rPr>
          <w:rStyle w:val="FootnoteReference"/>
          <w:color w:val="000000" w:themeColor="text1"/>
        </w:rPr>
        <w:footnoteReference w:id="249"/>
      </w:r>
      <w:r w:rsidRPr="003D4546">
        <w:rPr>
          <w:color w:val="000000" w:themeColor="text1"/>
        </w:rPr>
        <w:t xml:space="preserve">. </w:t>
      </w:r>
      <w:r>
        <w:rPr>
          <w:color w:val="000000" w:themeColor="text1"/>
        </w:rPr>
        <w:t xml:space="preserve">Here </w:t>
      </w:r>
      <w:r w:rsidRPr="00282DA5">
        <w:rPr>
          <w:color w:val="000000" w:themeColor="text1"/>
          <w:highlight w:val="lightGray"/>
        </w:rPr>
        <w:t>political prestige continued because the Americans wanted what the English had, they did not want to be left out, they felt they deserved the Tutankhamun exhibition just as much as the English</w:t>
      </w:r>
      <w:r w:rsidRPr="00282DA5">
        <w:rPr>
          <w:rStyle w:val="FootnoteReference"/>
          <w:color w:val="000000" w:themeColor="text1"/>
          <w:highlight w:val="lightGray"/>
        </w:rPr>
        <w:footnoteReference w:id="250"/>
      </w:r>
      <w:r w:rsidRPr="00282DA5">
        <w:rPr>
          <w:color w:val="000000" w:themeColor="text1"/>
          <w:highlight w:val="lightGray"/>
        </w:rPr>
        <w:t>.</w:t>
      </w:r>
      <w:r>
        <w:rPr>
          <w:color w:val="000000" w:themeColor="text1"/>
        </w:rPr>
        <w:t xml:space="preserve"> </w:t>
      </w:r>
      <w:r w:rsidRPr="003D4546">
        <w:rPr>
          <w:color w:val="000000" w:themeColor="text1"/>
        </w:rPr>
        <w:t xml:space="preserve">Christine </w:t>
      </w:r>
      <w:proofErr w:type="spellStart"/>
      <w:r w:rsidRPr="003D4546">
        <w:rPr>
          <w:color w:val="000000" w:themeColor="text1"/>
        </w:rPr>
        <w:t>Lilyquist</w:t>
      </w:r>
      <w:proofErr w:type="spellEnd"/>
      <w:r w:rsidRPr="003D4546">
        <w:rPr>
          <w:color w:val="000000" w:themeColor="text1"/>
        </w:rPr>
        <w:t xml:space="preserve"> was the Metropolitan Museum’s curator of Egyptian art</w:t>
      </w:r>
      <w:r w:rsidRPr="003D4546">
        <w:rPr>
          <w:rStyle w:val="FootnoteReference"/>
          <w:color w:val="000000" w:themeColor="text1"/>
        </w:rPr>
        <w:footnoteReference w:id="251"/>
      </w:r>
      <w:r w:rsidRPr="003D4546">
        <w:rPr>
          <w:color w:val="000000" w:themeColor="text1"/>
        </w:rPr>
        <w:t xml:space="preserve">. </w:t>
      </w:r>
      <w:proofErr w:type="spellStart"/>
      <w:r w:rsidRPr="003D4546">
        <w:rPr>
          <w:color w:val="000000" w:themeColor="text1"/>
        </w:rPr>
        <w:t>Lilyquist</w:t>
      </w:r>
      <w:proofErr w:type="spellEnd"/>
      <w:r w:rsidRPr="003D4546">
        <w:rPr>
          <w:color w:val="000000" w:themeColor="text1"/>
        </w:rPr>
        <w:t xml:space="preserve"> along with curators from the Cairo </w:t>
      </w:r>
      <w:r w:rsidR="003E34D5">
        <w:rPr>
          <w:color w:val="000000" w:themeColor="text1"/>
        </w:rPr>
        <w:t>M</w:t>
      </w:r>
      <w:r w:rsidRPr="003D4546">
        <w:rPr>
          <w:color w:val="000000" w:themeColor="text1"/>
        </w:rPr>
        <w:t xml:space="preserve">useum and Thomas </w:t>
      </w:r>
      <w:proofErr w:type="spellStart"/>
      <w:r w:rsidRPr="003D4546">
        <w:rPr>
          <w:color w:val="000000" w:themeColor="text1"/>
        </w:rPr>
        <w:t>Hoving</w:t>
      </w:r>
      <w:proofErr w:type="spellEnd"/>
      <w:r w:rsidRPr="003D4546">
        <w:rPr>
          <w:color w:val="000000" w:themeColor="text1"/>
        </w:rPr>
        <w:t>, the director of the Metropolitan Museum, was responsible for choosing the objects to go on tour</w:t>
      </w:r>
      <w:r w:rsidRPr="003D4546">
        <w:rPr>
          <w:rStyle w:val="FootnoteReference"/>
          <w:color w:val="000000" w:themeColor="text1"/>
        </w:rPr>
        <w:footnoteReference w:id="252"/>
      </w:r>
      <w:r w:rsidRPr="003D4546">
        <w:rPr>
          <w:color w:val="000000" w:themeColor="text1"/>
        </w:rPr>
        <w:t xml:space="preserve">. When looking at objects </w:t>
      </w:r>
      <w:proofErr w:type="spellStart"/>
      <w:r w:rsidRPr="003D4546">
        <w:rPr>
          <w:color w:val="000000" w:themeColor="text1"/>
        </w:rPr>
        <w:t>Hoving</w:t>
      </w:r>
      <w:proofErr w:type="spellEnd"/>
      <w:r w:rsidRPr="003D4546">
        <w:rPr>
          <w:color w:val="000000" w:themeColor="text1"/>
        </w:rPr>
        <w:t xml:space="preserve"> said </w:t>
      </w:r>
    </w:p>
    <w:p w14:paraId="21317E32" w14:textId="77777777" w:rsidR="002117A2" w:rsidRPr="003D4546" w:rsidRDefault="002117A2" w:rsidP="002117A2">
      <w:pPr>
        <w:spacing w:line="360" w:lineRule="auto"/>
        <w:ind w:left="720"/>
        <w:rPr>
          <w:i/>
          <w:iCs/>
          <w:color w:val="000000" w:themeColor="text1"/>
        </w:rPr>
      </w:pPr>
      <w:r w:rsidRPr="003D4546">
        <w:rPr>
          <w:i/>
          <w:iCs/>
          <w:color w:val="000000" w:themeColor="text1"/>
        </w:rPr>
        <w:t xml:space="preserve"> ‘When I walked up the stairs and into the Tutankhamun galleries, I experienced aesthetic</w:t>
      </w:r>
      <w:r>
        <w:rPr>
          <w:i/>
          <w:iCs/>
          <w:color w:val="000000" w:themeColor="text1"/>
        </w:rPr>
        <w:t xml:space="preserve"> </w:t>
      </w:r>
      <w:r w:rsidRPr="003D4546">
        <w:rPr>
          <w:i/>
          <w:iCs/>
          <w:color w:val="000000" w:themeColor="text1"/>
        </w:rPr>
        <w:t xml:space="preserve">overload. We remained there all day. I </w:t>
      </w:r>
      <w:proofErr w:type="gramStart"/>
      <w:r w:rsidRPr="003D4546">
        <w:rPr>
          <w:i/>
          <w:iCs/>
          <w:color w:val="000000" w:themeColor="text1"/>
        </w:rPr>
        <w:t>didn’t</w:t>
      </w:r>
      <w:proofErr w:type="gramEnd"/>
      <w:r w:rsidRPr="003D4546">
        <w:rPr>
          <w:i/>
          <w:iCs/>
          <w:color w:val="000000" w:themeColor="text1"/>
        </w:rPr>
        <w:t xml:space="preserve"> bring any expertise to the Tut galleries; I</w:t>
      </w:r>
      <w:r>
        <w:rPr>
          <w:i/>
          <w:iCs/>
          <w:color w:val="000000" w:themeColor="text1"/>
        </w:rPr>
        <w:t xml:space="preserve"> </w:t>
      </w:r>
      <w:r w:rsidRPr="003D4546">
        <w:rPr>
          <w:i/>
          <w:iCs/>
          <w:color w:val="000000" w:themeColor="text1"/>
        </w:rPr>
        <w:t xml:space="preserve">selected what looked great. Simple as that. Christine </w:t>
      </w:r>
      <w:proofErr w:type="spellStart"/>
      <w:r w:rsidRPr="003D4546">
        <w:rPr>
          <w:i/>
          <w:iCs/>
          <w:color w:val="000000" w:themeColor="text1"/>
        </w:rPr>
        <w:t>Lilyquist</w:t>
      </w:r>
      <w:proofErr w:type="spellEnd"/>
      <w:r w:rsidRPr="003D4546">
        <w:rPr>
          <w:i/>
          <w:iCs/>
          <w:color w:val="000000" w:themeColor="text1"/>
        </w:rPr>
        <w:t xml:space="preserve"> tried to point out what was</w:t>
      </w:r>
      <w:r>
        <w:rPr>
          <w:i/>
          <w:iCs/>
          <w:color w:val="000000" w:themeColor="text1"/>
        </w:rPr>
        <w:t xml:space="preserve"> </w:t>
      </w:r>
      <w:r w:rsidRPr="003D4546">
        <w:rPr>
          <w:i/>
          <w:iCs/>
          <w:color w:val="000000" w:themeColor="text1"/>
        </w:rPr>
        <w:t xml:space="preserve">important or not from the Egyptological point of view, but I </w:t>
      </w:r>
      <w:proofErr w:type="gramStart"/>
      <w:r w:rsidRPr="003D4546">
        <w:rPr>
          <w:i/>
          <w:iCs/>
          <w:color w:val="000000" w:themeColor="text1"/>
        </w:rPr>
        <w:t>didn’t</w:t>
      </w:r>
      <w:proofErr w:type="gramEnd"/>
      <w:r w:rsidRPr="003D4546">
        <w:rPr>
          <w:i/>
          <w:iCs/>
          <w:color w:val="000000" w:themeColor="text1"/>
        </w:rPr>
        <w:t xml:space="preserve"> listen. I know what I</w:t>
      </w:r>
      <w:r>
        <w:rPr>
          <w:i/>
          <w:iCs/>
          <w:color w:val="000000" w:themeColor="text1"/>
        </w:rPr>
        <w:t xml:space="preserve"> </w:t>
      </w:r>
      <w:r w:rsidRPr="003D4546">
        <w:rPr>
          <w:i/>
          <w:iCs/>
          <w:color w:val="000000" w:themeColor="text1"/>
        </w:rPr>
        <w:t xml:space="preserve">wanted. And the choice rather surprised </w:t>
      </w:r>
      <w:proofErr w:type="spellStart"/>
      <w:r w:rsidRPr="003D4546">
        <w:rPr>
          <w:i/>
          <w:iCs/>
          <w:color w:val="000000" w:themeColor="text1"/>
        </w:rPr>
        <w:t>Lilyquist</w:t>
      </w:r>
      <w:proofErr w:type="spellEnd"/>
      <w:r w:rsidRPr="003D4546">
        <w:rPr>
          <w:i/>
          <w:iCs/>
          <w:color w:val="000000" w:themeColor="text1"/>
        </w:rPr>
        <w:t xml:space="preserve"> and the Egyptian curator. They</w:t>
      </w:r>
      <w:r>
        <w:rPr>
          <w:i/>
          <w:iCs/>
          <w:color w:val="000000" w:themeColor="text1"/>
        </w:rPr>
        <w:t xml:space="preserve"> </w:t>
      </w:r>
      <w:r w:rsidRPr="003D4546">
        <w:rPr>
          <w:i/>
          <w:iCs/>
          <w:color w:val="000000" w:themeColor="text1"/>
        </w:rPr>
        <w:t xml:space="preserve">expected </w:t>
      </w:r>
      <w:proofErr w:type="gramStart"/>
      <w:r w:rsidRPr="003D4546">
        <w:rPr>
          <w:i/>
          <w:iCs/>
          <w:color w:val="000000" w:themeColor="text1"/>
        </w:rPr>
        <w:t>I’d</w:t>
      </w:r>
      <w:proofErr w:type="gramEnd"/>
      <w:r w:rsidRPr="003D4546">
        <w:rPr>
          <w:i/>
          <w:iCs/>
          <w:color w:val="000000" w:themeColor="text1"/>
        </w:rPr>
        <w:t xml:space="preserve"> pick the larger objects – the huge gilded bed or the royal chariot. But I</w:t>
      </w:r>
      <w:r>
        <w:rPr>
          <w:i/>
          <w:iCs/>
          <w:color w:val="000000" w:themeColor="text1"/>
        </w:rPr>
        <w:t xml:space="preserve"> </w:t>
      </w:r>
      <w:r w:rsidRPr="003D4546">
        <w:rPr>
          <w:i/>
          <w:iCs/>
          <w:color w:val="000000" w:themeColor="text1"/>
        </w:rPr>
        <w:t>recognized that the finest Tut things were the more intimate objects. Besides, I realized that with six cities, I needed pieces that would fit into a domestic aircraft. In addition, since the galleries in the American museums were bound to be crowded, with the visitors inching along, the works had better be small, needing concentration to be appreciated.</w:t>
      </w:r>
      <w:r w:rsidRPr="003D4546">
        <w:rPr>
          <w:rStyle w:val="FootnoteReference"/>
          <w:i/>
          <w:iCs/>
          <w:color w:val="000000" w:themeColor="text1"/>
        </w:rPr>
        <w:footnoteReference w:id="253"/>
      </w:r>
      <w:r w:rsidRPr="003D4546">
        <w:rPr>
          <w:i/>
          <w:iCs/>
          <w:color w:val="000000" w:themeColor="text1"/>
        </w:rPr>
        <w:t xml:space="preserve">’ </w:t>
      </w:r>
    </w:p>
    <w:p w14:paraId="02C316F7" w14:textId="77777777" w:rsidR="002117A2" w:rsidRPr="003D4546" w:rsidRDefault="002117A2" w:rsidP="002117A2">
      <w:pPr>
        <w:spacing w:line="360" w:lineRule="auto"/>
        <w:rPr>
          <w:color w:val="000000" w:themeColor="text1"/>
        </w:rPr>
      </w:pPr>
      <w:commentRangeStart w:id="51"/>
      <w:r w:rsidRPr="00257A17">
        <w:rPr>
          <w:color w:val="000000" w:themeColor="text1"/>
          <w:u w:val="single"/>
        </w:rPr>
        <w:t>Once the objects were chosen, William J. Williams, a member of the national gallery education department, teamed up with David Silverman, an Egyptologist, who together ‘wrote the wall text and selected images from the Metropolitan Museum’s archive of Burtons photos’</w:t>
      </w:r>
      <w:r w:rsidRPr="00257A17">
        <w:rPr>
          <w:rStyle w:val="FootnoteReference"/>
          <w:color w:val="000000" w:themeColor="text1"/>
          <w:u w:val="single"/>
        </w:rPr>
        <w:footnoteReference w:id="254"/>
      </w:r>
      <w:r w:rsidRPr="00257A17">
        <w:rPr>
          <w:color w:val="000000" w:themeColor="text1"/>
          <w:u w:val="single"/>
        </w:rPr>
        <w:t>. Harry Burton was the museum’s photographer; he was also hired by Howard Carter to be the photographer of the discovery of Tutankhamun</w:t>
      </w:r>
      <w:r w:rsidRPr="00257A17">
        <w:rPr>
          <w:rStyle w:val="FootnoteReference"/>
          <w:color w:val="000000" w:themeColor="text1"/>
          <w:u w:val="single"/>
        </w:rPr>
        <w:footnoteReference w:id="255"/>
      </w:r>
      <w:r w:rsidRPr="00257A17">
        <w:rPr>
          <w:color w:val="000000" w:themeColor="text1"/>
          <w:u w:val="single"/>
        </w:rPr>
        <w:t xml:space="preserve">. The layout of the exhibition was </w:t>
      </w:r>
      <w:proofErr w:type="gramStart"/>
      <w:r w:rsidRPr="00257A17">
        <w:rPr>
          <w:color w:val="000000" w:themeColor="text1"/>
          <w:u w:val="single"/>
        </w:rPr>
        <w:t>similar to</w:t>
      </w:r>
      <w:proofErr w:type="gramEnd"/>
      <w:r w:rsidRPr="00257A17">
        <w:rPr>
          <w:color w:val="000000" w:themeColor="text1"/>
          <w:u w:val="single"/>
        </w:rPr>
        <w:t xml:space="preserve"> the tour in 1972, mimicking Carter’s discovery of the tomb</w:t>
      </w:r>
      <w:r w:rsidRPr="00257A17">
        <w:rPr>
          <w:rStyle w:val="FootnoteReference"/>
          <w:color w:val="000000" w:themeColor="text1"/>
          <w:u w:val="single"/>
        </w:rPr>
        <w:footnoteReference w:id="256"/>
      </w:r>
      <w:r w:rsidRPr="00257A17">
        <w:rPr>
          <w:color w:val="000000" w:themeColor="text1"/>
          <w:u w:val="single"/>
        </w:rPr>
        <w:t xml:space="preserve">. The tour was just as popular in America, with 1.27 million </w:t>
      </w:r>
      <w:commentRangeEnd w:id="51"/>
      <w:r w:rsidR="001F2C28" w:rsidRPr="00257A17">
        <w:rPr>
          <w:rStyle w:val="CommentReference"/>
          <w:u w:val="single"/>
        </w:rPr>
        <w:commentReference w:id="51"/>
      </w:r>
      <w:r w:rsidRPr="00257A17">
        <w:rPr>
          <w:color w:val="000000" w:themeColor="text1"/>
          <w:u w:val="single"/>
        </w:rPr>
        <w:t>visitors</w:t>
      </w:r>
      <w:r w:rsidRPr="00257A17">
        <w:rPr>
          <w:rStyle w:val="FootnoteReference"/>
          <w:color w:val="000000" w:themeColor="text1"/>
          <w:u w:val="single"/>
        </w:rPr>
        <w:footnoteReference w:id="257"/>
      </w:r>
      <w:r w:rsidRPr="00257A17">
        <w:rPr>
          <w:color w:val="000000" w:themeColor="text1"/>
          <w:u w:val="single"/>
        </w:rPr>
        <w:t>.</w:t>
      </w:r>
      <w:r w:rsidRPr="003D4546">
        <w:rPr>
          <w:color w:val="000000" w:themeColor="text1"/>
        </w:rPr>
        <w:t xml:space="preserve"> After its tour in the United States, it continued to Germany from 1980 to 1981</w:t>
      </w:r>
      <w:r w:rsidRPr="003D4546">
        <w:rPr>
          <w:rStyle w:val="FootnoteReference"/>
          <w:color w:val="000000" w:themeColor="text1"/>
        </w:rPr>
        <w:footnoteReference w:id="258"/>
      </w:r>
      <w:r w:rsidRPr="003D4546">
        <w:rPr>
          <w:color w:val="000000" w:themeColor="text1"/>
        </w:rPr>
        <w:t xml:space="preserve">. After the 1970’s tours ‘the concept of the blockbuster exhibition is born and </w:t>
      </w:r>
      <w:proofErr w:type="spellStart"/>
      <w:r w:rsidRPr="003D4546">
        <w:rPr>
          <w:color w:val="000000" w:themeColor="text1"/>
        </w:rPr>
        <w:t>Tutmania</w:t>
      </w:r>
      <w:proofErr w:type="spellEnd"/>
      <w:r w:rsidRPr="003D4546">
        <w:rPr>
          <w:color w:val="000000" w:themeColor="text1"/>
        </w:rPr>
        <w:t xml:space="preserve"> is reignited’</w:t>
      </w:r>
      <w:r w:rsidRPr="003D4546">
        <w:rPr>
          <w:rStyle w:val="FootnoteReference"/>
          <w:color w:val="000000" w:themeColor="text1"/>
        </w:rPr>
        <w:footnoteReference w:id="259"/>
      </w:r>
      <w:r w:rsidRPr="003D4546">
        <w:rPr>
          <w:color w:val="000000" w:themeColor="text1"/>
        </w:rPr>
        <w:t xml:space="preserve">. </w:t>
      </w:r>
    </w:p>
    <w:p w14:paraId="1154AA32" w14:textId="787AD348" w:rsidR="002117A2" w:rsidRPr="00410E48" w:rsidRDefault="002117A2" w:rsidP="002117A2">
      <w:pPr>
        <w:pStyle w:val="ListParagraph"/>
        <w:numPr>
          <w:ilvl w:val="0"/>
          <w:numId w:val="4"/>
        </w:numPr>
        <w:spacing w:line="360" w:lineRule="auto"/>
        <w:rPr>
          <w:b/>
          <w:bCs/>
          <w:color w:val="000000" w:themeColor="text1"/>
          <w:sz w:val="24"/>
          <w:szCs w:val="24"/>
        </w:rPr>
      </w:pPr>
      <w:r w:rsidRPr="00410E48">
        <w:rPr>
          <w:b/>
          <w:bCs/>
          <w:color w:val="000000" w:themeColor="text1"/>
          <w:sz w:val="24"/>
          <w:szCs w:val="24"/>
        </w:rPr>
        <w:lastRenderedPageBreak/>
        <w:t>Tutankhamun and Golden pharaohs tour (2004 – 2007)</w:t>
      </w:r>
    </w:p>
    <w:p w14:paraId="7811F6F0" w14:textId="77777777" w:rsidR="002117A2" w:rsidRPr="006D7548" w:rsidRDefault="002117A2" w:rsidP="002117A2">
      <w:pPr>
        <w:spacing w:line="360" w:lineRule="auto"/>
        <w:rPr>
          <w:color w:val="000000" w:themeColor="text1"/>
          <w:u w:val="single"/>
        </w:rPr>
      </w:pPr>
      <w:commentRangeStart w:id="52"/>
      <w:r w:rsidRPr="006D7548">
        <w:rPr>
          <w:color w:val="000000" w:themeColor="text1"/>
          <w:u w:val="single"/>
        </w:rPr>
        <w:t xml:space="preserve">In 2004 Tutankhamun’s tomb artefacts went on a worldwide tour again, called </w:t>
      </w:r>
      <w:r w:rsidRPr="006D7548">
        <w:rPr>
          <w:i/>
          <w:iCs/>
          <w:color w:val="000000" w:themeColor="text1"/>
          <w:u w:val="single"/>
        </w:rPr>
        <w:t>Tutankhamun: The Golden Beyond</w:t>
      </w:r>
      <w:r w:rsidRPr="006D7548">
        <w:rPr>
          <w:rStyle w:val="FootnoteReference"/>
          <w:color w:val="000000" w:themeColor="text1"/>
          <w:u w:val="single"/>
        </w:rPr>
        <w:footnoteReference w:id="260"/>
      </w:r>
      <w:r w:rsidRPr="006D7548">
        <w:rPr>
          <w:color w:val="000000" w:themeColor="text1"/>
          <w:u w:val="single"/>
        </w:rPr>
        <w:t>. Its first destination was Switzerland, with some modifications to the tour such as the name</w:t>
      </w:r>
      <w:r w:rsidRPr="006D7548">
        <w:rPr>
          <w:rStyle w:val="FootnoteReference"/>
          <w:color w:val="000000" w:themeColor="text1"/>
          <w:u w:val="single"/>
        </w:rPr>
        <w:footnoteReference w:id="261"/>
      </w:r>
      <w:r w:rsidRPr="006D7548">
        <w:rPr>
          <w:color w:val="000000" w:themeColor="text1"/>
          <w:u w:val="single"/>
        </w:rPr>
        <w:t xml:space="preserve">, now called </w:t>
      </w:r>
      <w:r w:rsidRPr="006D7548">
        <w:rPr>
          <w:i/>
          <w:iCs/>
          <w:color w:val="000000" w:themeColor="text1"/>
          <w:u w:val="single"/>
        </w:rPr>
        <w:t xml:space="preserve">Tutankhamun and the Golden Pharaohs, </w:t>
      </w:r>
      <w:r w:rsidRPr="006D7548">
        <w:rPr>
          <w:color w:val="000000" w:themeColor="text1"/>
          <w:u w:val="single"/>
        </w:rPr>
        <w:t>went on tour to the United States in 2005 to 2007 and then later on in 2007 it made its way to the O2 Arena in London</w:t>
      </w:r>
      <w:r w:rsidRPr="006D7548">
        <w:rPr>
          <w:rStyle w:val="FootnoteReference"/>
          <w:color w:val="000000" w:themeColor="text1"/>
          <w:u w:val="single"/>
        </w:rPr>
        <w:footnoteReference w:id="262"/>
      </w:r>
      <w:r w:rsidRPr="006D7548">
        <w:rPr>
          <w:color w:val="000000" w:themeColor="text1"/>
          <w:u w:val="single"/>
        </w:rPr>
        <w:t>.</w:t>
      </w:r>
      <w:commentRangeEnd w:id="52"/>
      <w:r w:rsidR="006D7548">
        <w:rPr>
          <w:rStyle w:val="CommentReference"/>
        </w:rPr>
        <w:commentReference w:id="52"/>
      </w:r>
    </w:p>
    <w:p w14:paraId="643B3D90" w14:textId="6538BD61" w:rsidR="002117A2" w:rsidRPr="003D4546" w:rsidRDefault="002117A2" w:rsidP="002117A2">
      <w:pPr>
        <w:spacing w:line="360" w:lineRule="auto"/>
        <w:rPr>
          <w:color w:val="000000" w:themeColor="text1"/>
        </w:rPr>
      </w:pPr>
      <w:r w:rsidRPr="003D4546">
        <w:rPr>
          <w:bCs/>
          <w:color w:val="000000" w:themeColor="text1"/>
        </w:rPr>
        <w:t>This tour</w:t>
      </w:r>
      <w:r w:rsidR="009E1F21">
        <w:rPr>
          <w:bCs/>
          <w:color w:val="000000" w:themeColor="text1"/>
        </w:rPr>
        <w:t xml:space="preserve"> held by National Geographic</w:t>
      </w:r>
      <w:r w:rsidR="009E1F21">
        <w:rPr>
          <w:rStyle w:val="FootnoteReference"/>
          <w:bCs/>
          <w:color w:val="000000" w:themeColor="text1"/>
        </w:rPr>
        <w:footnoteReference w:id="263"/>
      </w:r>
      <w:r w:rsidR="009E1F21">
        <w:rPr>
          <w:bCs/>
          <w:color w:val="000000" w:themeColor="text1"/>
        </w:rPr>
        <w:t>,</w:t>
      </w:r>
      <w:r w:rsidRPr="003D4546">
        <w:rPr>
          <w:bCs/>
          <w:color w:val="000000" w:themeColor="text1"/>
        </w:rPr>
        <w:t xml:space="preserve"> had many more artefacts on display than the 1972 tour; it consisted </w:t>
      </w:r>
      <w:r>
        <w:rPr>
          <w:bCs/>
          <w:color w:val="000000" w:themeColor="text1"/>
        </w:rPr>
        <w:t xml:space="preserve">of </w:t>
      </w:r>
      <w:r w:rsidRPr="003D4546">
        <w:rPr>
          <w:bCs/>
          <w:color w:val="000000" w:themeColor="text1"/>
        </w:rPr>
        <w:t xml:space="preserve">over </w:t>
      </w:r>
      <w:proofErr w:type="gramStart"/>
      <w:r w:rsidRPr="003D4546">
        <w:rPr>
          <w:bCs/>
          <w:color w:val="000000" w:themeColor="text1"/>
        </w:rPr>
        <w:t>a 100 objects</w:t>
      </w:r>
      <w:proofErr w:type="gramEnd"/>
      <w:r w:rsidRPr="003D4546">
        <w:rPr>
          <w:rStyle w:val="FootnoteReference"/>
          <w:bCs/>
          <w:color w:val="000000" w:themeColor="text1"/>
        </w:rPr>
        <w:footnoteReference w:id="264"/>
      </w:r>
      <w:r w:rsidRPr="003D4546">
        <w:rPr>
          <w:bCs/>
          <w:color w:val="000000" w:themeColor="text1"/>
        </w:rPr>
        <w:t>. While this tour may have consisted of many more artefacts they were not only related to Tutankhamun, they also had items related to other pharaohs from the Valley of the Kings</w:t>
      </w:r>
      <w:r w:rsidRPr="003D4546">
        <w:rPr>
          <w:rStyle w:val="FootnoteReference"/>
          <w:bCs/>
          <w:color w:val="000000" w:themeColor="text1"/>
        </w:rPr>
        <w:footnoteReference w:id="265"/>
      </w:r>
      <w:r w:rsidRPr="003D4546">
        <w:rPr>
          <w:bCs/>
          <w:color w:val="000000" w:themeColor="text1"/>
        </w:rPr>
        <w:t xml:space="preserve">. </w:t>
      </w:r>
      <w:r w:rsidRPr="004E7B79">
        <w:rPr>
          <w:bCs/>
          <w:color w:val="000000" w:themeColor="text1"/>
          <w:highlight w:val="magenta"/>
        </w:rPr>
        <w:t xml:space="preserve">The addition of artefacts that were not possessions of Tutankhamun could suggest that the exhibitors feared visitors may have lost interest in Tutankhamun and to ensure there would be plenty of visitors they added his ancestors. </w:t>
      </w:r>
      <w:r w:rsidR="009E1F21" w:rsidRPr="003D4546">
        <w:rPr>
          <w:color w:val="000000" w:themeColor="text1"/>
        </w:rPr>
        <w:t xml:space="preserve"> </w:t>
      </w:r>
    </w:p>
    <w:p w14:paraId="4FB59833" w14:textId="51AFF815" w:rsidR="002117A2" w:rsidRDefault="002117A2" w:rsidP="002117A2">
      <w:pPr>
        <w:spacing w:line="360" w:lineRule="auto"/>
        <w:rPr>
          <w:color w:val="000000" w:themeColor="text1"/>
        </w:rPr>
      </w:pPr>
      <w:r w:rsidRPr="002869BF">
        <w:rPr>
          <w:color w:val="000000" w:themeColor="text1"/>
          <w:u w:val="single"/>
        </w:rPr>
        <w:t>The exhibition was divided into two sections, ‘physically and thematically’</w:t>
      </w:r>
      <w:r w:rsidRPr="002869BF">
        <w:rPr>
          <w:rStyle w:val="FootnoteReference"/>
          <w:color w:val="000000" w:themeColor="text1"/>
          <w:u w:val="single"/>
        </w:rPr>
        <w:footnoteReference w:id="266"/>
      </w:r>
      <w:r w:rsidRPr="002869BF">
        <w:rPr>
          <w:color w:val="000000" w:themeColor="text1"/>
          <w:u w:val="single"/>
        </w:rPr>
        <w:t>. The upper floor consisted of artefacts related to Tutankhamun’s ancestors, focusing on daily life, death, burial and the afterlife</w:t>
      </w:r>
      <w:r w:rsidRPr="002869BF">
        <w:rPr>
          <w:rStyle w:val="FootnoteReference"/>
          <w:color w:val="000000" w:themeColor="text1"/>
          <w:u w:val="single"/>
        </w:rPr>
        <w:footnoteReference w:id="267"/>
      </w:r>
      <w:r w:rsidRPr="002869BF">
        <w:rPr>
          <w:color w:val="000000" w:themeColor="text1"/>
          <w:u w:val="single"/>
        </w:rPr>
        <w:t>. The galleries were ‘instructive’ and presented with photographs as backgrounds and provided with good captioning</w:t>
      </w:r>
      <w:r w:rsidRPr="002869BF">
        <w:rPr>
          <w:rStyle w:val="FootnoteReference"/>
          <w:color w:val="000000" w:themeColor="text1"/>
          <w:u w:val="single"/>
        </w:rPr>
        <w:footnoteReference w:id="268"/>
      </w:r>
      <w:r w:rsidRPr="002869BF">
        <w:rPr>
          <w:color w:val="000000" w:themeColor="text1"/>
          <w:u w:val="single"/>
        </w:rPr>
        <w:t>. The lower floor was about the discovery of Tutankhamun and his burial goods</w:t>
      </w:r>
      <w:r w:rsidRPr="002869BF">
        <w:rPr>
          <w:rStyle w:val="FootnoteReference"/>
          <w:color w:val="000000" w:themeColor="text1"/>
          <w:u w:val="single"/>
        </w:rPr>
        <w:footnoteReference w:id="269"/>
      </w:r>
      <w:r w:rsidRPr="002869BF">
        <w:rPr>
          <w:color w:val="000000" w:themeColor="text1"/>
          <w:u w:val="single"/>
        </w:rPr>
        <w:t>.</w:t>
      </w:r>
      <w:r w:rsidRPr="003D4546">
        <w:rPr>
          <w:color w:val="000000" w:themeColor="text1"/>
        </w:rPr>
        <w:t xml:space="preserve"> Some visitors commented on disappointment because the adverts led them to believe that they would see the great golden death mask of Tutankhamun</w:t>
      </w:r>
      <w:r w:rsidRPr="003D4546">
        <w:rPr>
          <w:rStyle w:val="FootnoteReference"/>
          <w:color w:val="000000" w:themeColor="text1"/>
        </w:rPr>
        <w:footnoteReference w:id="270"/>
      </w:r>
      <w:r w:rsidRPr="003D4546">
        <w:rPr>
          <w:color w:val="000000" w:themeColor="text1"/>
        </w:rPr>
        <w:t>. Despite the disappointment of the lack of a particular artefact or poor advertisement, it is import to note that ‘even though King Tutankhamun</w:t>
      </w:r>
      <w:r>
        <w:rPr>
          <w:color w:val="000000" w:themeColor="text1"/>
        </w:rPr>
        <w:t>’s</w:t>
      </w:r>
      <w:r w:rsidRPr="003D4546">
        <w:rPr>
          <w:color w:val="000000" w:themeColor="text1"/>
        </w:rPr>
        <w:t xml:space="preserve"> belongings were found 85 years ago, the new crisp look produced by modern display techniques distinguished the collection as something significant for the present day’</w:t>
      </w:r>
      <w:r w:rsidRPr="003D4546">
        <w:rPr>
          <w:rStyle w:val="FootnoteReference"/>
          <w:color w:val="000000" w:themeColor="text1"/>
        </w:rPr>
        <w:footnoteReference w:id="271"/>
      </w:r>
      <w:r w:rsidRPr="003D4546">
        <w:rPr>
          <w:color w:val="000000" w:themeColor="text1"/>
        </w:rPr>
        <w:t xml:space="preserve">. </w:t>
      </w:r>
      <w:r w:rsidRPr="004E7B79">
        <w:rPr>
          <w:color w:val="000000" w:themeColor="text1"/>
          <w:highlight w:val="magenta"/>
        </w:rPr>
        <w:t>The concept of displaying ancient artefacts in a modern form is an attempt to appeal to the modern visitor and to keep relevance to the present time. Artefacts are important but also the presentation of the artefacts can be just as important; the enhancement of aesthetics is typically appealing to the eye.</w:t>
      </w:r>
      <w:r>
        <w:rPr>
          <w:color w:val="000000" w:themeColor="text1"/>
        </w:rPr>
        <w:t xml:space="preserve">  </w:t>
      </w:r>
    </w:p>
    <w:p w14:paraId="66CD1E49" w14:textId="77777777" w:rsidR="002117A2" w:rsidRPr="003D4546" w:rsidRDefault="002117A2" w:rsidP="002117A2">
      <w:pPr>
        <w:spacing w:line="360" w:lineRule="auto"/>
        <w:rPr>
          <w:color w:val="000000" w:themeColor="text1"/>
        </w:rPr>
      </w:pPr>
    </w:p>
    <w:p w14:paraId="049CC308" w14:textId="000BAF91" w:rsidR="002117A2" w:rsidRPr="00410E48" w:rsidRDefault="002117A2" w:rsidP="002117A2">
      <w:pPr>
        <w:pStyle w:val="ListParagraph"/>
        <w:numPr>
          <w:ilvl w:val="0"/>
          <w:numId w:val="4"/>
        </w:numPr>
        <w:spacing w:line="360" w:lineRule="auto"/>
        <w:rPr>
          <w:b/>
          <w:color w:val="000000" w:themeColor="text1"/>
          <w:sz w:val="24"/>
          <w:szCs w:val="24"/>
        </w:rPr>
      </w:pPr>
      <w:r w:rsidRPr="00410E48">
        <w:rPr>
          <w:b/>
          <w:color w:val="000000" w:themeColor="text1"/>
          <w:sz w:val="24"/>
          <w:szCs w:val="24"/>
        </w:rPr>
        <w:t xml:space="preserve">Tutankhamun: Treasures of the Golden Pharaoh (2019 – present) </w:t>
      </w:r>
    </w:p>
    <w:p w14:paraId="0CF2CFF8" w14:textId="0F74FD01" w:rsidR="002117A2" w:rsidRDefault="002117A2" w:rsidP="002117A2">
      <w:pPr>
        <w:spacing w:line="360" w:lineRule="auto"/>
        <w:rPr>
          <w:color w:val="000000" w:themeColor="text1"/>
        </w:rPr>
      </w:pPr>
      <w:r w:rsidRPr="003D4546">
        <w:rPr>
          <w:color w:val="000000" w:themeColor="text1"/>
        </w:rPr>
        <w:t xml:space="preserve">In 2019 </w:t>
      </w:r>
      <w:r w:rsidRPr="00706CE3">
        <w:rPr>
          <w:color w:val="000000" w:themeColor="text1"/>
          <w:highlight w:val="magenta"/>
        </w:rPr>
        <w:t>Tutankhamun began his last worldwide tour</w:t>
      </w:r>
      <w:r w:rsidRPr="003D4546">
        <w:rPr>
          <w:rStyle w:val="FootnoteReference"/>
          <w:color w:val="000000" w:themeColor="text1"/>
        </w:rPr>
        <w:footnoteReference w:id="272"/>
      </w:r>
      <w:r>
        <w:rPr>
          <w:color w:val="000000" w:themeColor="text1"/>
        </w:rPr>
        <w:t xml:space="preserve">, </w:t>
      </w:r>
      <w:r w:rsidRPr="00731AC9">
        <w:rPr>
          <w:color w:val="000000" w:themeColor="text1"/>
          <w:u w:val="single"/>
        </w:rPr>
        <w:t>going places such as Los Angeles, Paris, London, Sydney, Japan, Canada and South Korea</w:t>
      </w:r>
      <w:r w:rsidRPr="00731AC9">
        <w:rPr>
          <w:rStyle w:val="FootnoteReference"/>
          <w:color w:val="000000" w:themeColor="text1"/>
          <w:u w:val="single"/>
        </w:rPr>
        <w:footnoteReference w:id="273"/>
      </w:r>
      <w:r w:rsidRPr="00731AC9">
        <w:rPr>
          <w:color w:val="000000" w:themeColor="text1"/>
          <w:u w:val="single"/>
        </w:rPr>
        <w:t xml:space="preserve">. </w:t>
      </w:r>
      <w:r w:rsidRPr="003D4546">
        <w:rPr>
          <w:color w:val="000000" w:themeColor="text1"/>
        </w:rPr>
        <w:t>In the United Kingdom the tour was being exhibited at the Saatchi Gallery in London, which was the third city in the ten-city tour</w:t>
      </w:r>
      <w:r>
        <w:rPr>
          <w:color w:val="000000" w:themeColor="text1"/>
        </w:rPr>
        <w:t xml:space="preserve"> worldwide</w:t>
      </w:r>
      <w:r w:rsidRPr="003D4546">
        <w:rPr>
          <w:rStyle w:val="FootnoteReference"/>
          <w:color w:val="000000" w:themeColor="text1"/>
        </w:rPr>
        <w:footnoteReference w:id="274"/>
      </w:r>
      <w:r w:rsidRPr="003D4546">
        <w:rPr>
          <w:color w:val="000000" w:themeColor="text1"/>
        </w:rPr>
        <w:t xml:space="preserve">. It was advertised as the largest Tutankhamun tour with </w:t>
      </w:r>
      <w:r w:rsidRPr="00706CE3">
        <w:rPr>
          <w:color w:val="000000" w:themeColor="text1"/>
          <w:highlight w:val="magenta"/>
        </w:rPr>
        <w:t xml:space="preserve">masterpieces that will be leaving Egypt for the first </w:t>
      </w:r>
      <w:r w:rsidR="00731AC9">
        <w:rPr>
          <w:color w:val="000000" w:themeColor="text1"/>
          <w:highlight w:val="magenta"/>
        </w:rPr>
        <w:t xml:space="preserve">and last </w:t>
      </w:r>
      <w:r w:rsidRPr="00706CE3">
        <w:rPr>
          <w:color w:val="000000" w:themeColor="text1"/>
          <w:highlight w:val="magenta"/>
        </w:rPr>
        <w:t>time</w:t>
      </w:r>
      <w:r w:rsidRPr="00706CE3">
        <w:rPr>
          <w:rStyle w:val="FootnoteReference"/>
          <w:color w:val="000000" w:themeColor="text1"/>
          <w:highlight w:val="magenta"/>
        </w:rPr>
        <w:footnoteReference w:id="275"/>
      </w:r>
      <w:r w:rsidRPr="00706CE3">
        <w:rPr>
          <w:color w:val="000000" w:themeColor="text1"/>
          <w:highlight w:val="magenta"/>
        </w:rPr>
        <w:t>.</w:t>
      </w:r>
      <w:r w:rsidRPr="003D4546">
        <w:rPr>
          <w:color w:val="000000" w:themeColor="text1"/>
        </w:rPr>
        <w:t xml:space="preserve"> </w:t>
      </w:r>
      <w:r>
        <w:rPr>
          <w:color w:val="000000" w:themeColor="text1"/>
        </w:rPr>
        <w:t xml:space="preserve">This tour of Tutankhamun is presented as the final tour because the artefacts will </w:t>
      </w:r>
      <w:r w:rsidRPr="00706CE3">
        <w:rPr>
          <w:color w:val="000000" w:themeColor="text1"/>
          <w:highlight w:val="magenta"/>
        </w:rPr>
        <w:t>permanently belong in the upcoming Grand Egyptian Museum in Egypt</w:t>
      </w:r>
      <w:r>
        <w:rPr>
          <w:color w:val="000000" w:themeColor="text1"/>
        </w:rPr>
        <w:t>, which is due to open in 2021</w:t>
      </w:r>
      <w:r>
        <w:rPr>
          <w:rStyle w:val="FootnoteReference"/>
          <w:color w:val="000000" w:themeColor="text1"/>
        </w:rPr>
        <w:footnoteReference w:id="276"/>
      </w:r>
      <w:r>
        <w:rPr>
          <w:color w:val="000000" w:themeColor="text1"/>
        </w:rPr>
        <w:t xml:space="preserve">. </w:t>
      </w:r>
      <w:r w:rsidR="0008589A">
        <w:rPr>
          <w:color w:val="000000" w:themeColor="text1"/>
        </w:rPr>
        <w:t>60</w:t>
      </w:r>
      <w:r>
        <w:rPr>
          <w:color w:val="000000" w:themeColor="text1"/>
        </w:rPr>
        <w:t xml:space="preserve"> of the items on exhibition were leaving Egypt for the first time, whereas the ‘previous major travelling exhibitions contained only </w:t>
      </w:r>
      <w:r w:rsidR="0008589A">
        <w:rPr>
          <w:color w:val="000000" w:themeColor="text1"/>
        </w:rPr>
        <w:t>55</w:t>
      </w:r>
      <w:r>
        <w:rPr>
          <w:color w:val="000000" w:themeColor="text1"/>
        </w:rPr>
        <w:t xml:space="preserve"> of King </w:t>
      </w:r>
      <w:proofErr w:type="spellStart"/>
      <w:r>
        <w:rPr>
          <w:color w:val="000000" w:themeColor="text1"/>
        </w:rPr>
        <w:t>Tut’s</w:t>
      </w:r>
      <w:proofErr w:type="spellEnd"/>
      <w:r>
        <w:rPr>
          <w:color w:val="000000" w:themeColor="text1"/>
        </w:rPr>
        <w:t xml:space="preserve"> funerary artefacts’</w:t>
      </w:r>
      <w:r>
        <w:rPr>
          <w:rStyle w:val="FootnoteReference"/>
          <w:color w:val="000000" w:themeColor="text1"/>
        </w:rPr>
        <w:footnoteReference w:id="277"/>
      </w:r>
      <w:r>
        <w:rPr>
          <w:color w:val="000000" w:themeColor="text1"/>
        </w:rPr>
        <w:t xml:space="preserve"> emphasising how big this supposed final tour was. </w:t>
      </w:r>
    </w:p>
    <w:p w14:paraId="5A210A33" w14:textId="58FA40A3" w:rsidR="002117A2" w:rsidRPr="003D4546" w:rsidRDefault="002117A2" w:rsidP="002117A2">
      <w:pPr>
        <w:spacing w:line="360" w:lineRule="auto"/>
        <w:rPr>
          <w:color w:val="000000" w:themeColor="text1"/>
        </w:rPr>
      </w:pPr>
      <w:r w:rsidRPr="003D4546">
        <w:rPr>
          <w:color w:val="000000" w:themeColor="text1"/>
        </w:rPr>
        <w:t>The artefacts on this tour ‘exclusively focused on interpretat</w:t>
      </w:r>
      <w:r>
        <w:rPr>
          <w:color w:val="000000" w:themeColor="text1"/>
        </w:rPr>
        <w:t>ion</w:t>
      </w:r>
      <w:r w:rsidRPr="003D4546">
        <w:rPr>
          <w:color w:val="000000" w:themeColor="text1"/>
        </w:rPr>
        <w:t xml:space="preserve"> </w:t>
      </w:r>
      <w:r>
        <w:rPr>
          <w:color w:val="000000" w:themeColor="text1"/>
        </w:rPr>
        <w:t xml:space="preserve">of </w:t>
      </w:r>
      <w:r w:rsidRPr="003D4546">
        <w:rPr>
          <w:color w:val="000000" w:themeColor="text1"/>
        </w:rPr>
        <w:t>the significance and meaning of the Kings burial items’</w:t>
      </w:r>
      <w:r w:rsidRPr="003D4546">
        <w:rPr>
          <w:rStyle w:val="FootnoteReference"/>
          <w:color w:val="000000" w:themeColor="text1"/>
        </w:rPr>
        <w:footnoteReference w:id="278"/>
      </w:r>
      <w:r w:rsidRPr="003D4546">
        <w:rPr>
          <w:color w:val="000000" w:themeColor="text1"/>
        </w:rPr>
        <w:t xml:space="preserve">.  </w:t>
      </w:r>
      <w:commentRangeStart w:id="53"/>
      <w:r w:rsidRPr="00706CE3">
        <w:rPr>
          <w:color w:val="000000" w:themeColor="text1"/>
          <w:highlight w:val="magenta"/>
        </w:rPr>
        <w:t>The purpose of the tour is ‘financial and cultural’</w:t>
      </w:r>
      <w:r w:rsidRPr="00706CE3">
        <w:rPr>
          <w:rStyle w:val="FootnoteReference"/>
          <w:color w:val="000000" w:themeColor="text1"/>
          <w:highlight w:val="magenta"/>
        </w:rPr>
        <w:footnoteReference w:id="279"/>
      </w:r>
      <w:r w:rsidRPr="00706CE3">
        <w:rPr>
          <w:color w:val="000000" w:themeColor="text1"/>
          <w:highlight w:val="magenta"/>
        </w:rPr>
        <w:t>, ‘it is a promotion of Egypt’</w:t>
      </w:r>
      <w:commentRangeEnd w:id="53"/>
      <w:r w:rsidR="00EE7D82" w:rsidRPr="00706CE3">
        <w:rPr>
          <w:rStyle w:val="CommentReference"/>
          <w:highlight w:val="magenta"/>
        </w:rPr>
        <w:commentReference w:id="53"/>
      </w:r>
      <w:r w:rsidRPr="00706CE3">
        <w:rPr>
          <w:rStyle w:val="FootnoteReference"/>
          <w:color w:val="000000" w:themeColor="text1"/>
          <w:highlight w:val="magenta"/>
        </w:rPr>
        <w:footnoteReference w:id="280"/>
      </w:r>
      <w:r w:rsidRPr="00706CE3">
        <w:rPr>
          <w:color w:val="000000" w:themeColor="text1"/>
          <w:highlight w:val="magenta"/>
        </w:rPr>
        <w:t>.</w:t>
      </w:r>
      <w:r w:rsidRPr="003D4546">
        <w:rPr>
          <w:color w:val="000000" w:themeColor="text1"/>
        </w:rPr>
        <w:t xml:space="preserve"> It was also a tool to </w:t>
      </w:r>
      <w:r w:rsidRPr="0068696F">
        <w:rPr>
          <w:color w:val="000000" w:themeColor="text1"/>
          <w:highlight w:val="magenta"/>
        </w:rPr>
        <w:t>motivate tourists to visit Egypt</w:t>
      </w:r>
      <w:r w:rsidRPr="003D4546">
        <w:rPr>
          <w:color w:val="000000" w:themeColor="text1"/>
        </w:rPr>
        <w:t xml:space="preserve"> due to a plummet in visitor numbers in recent decades because of political rivalries ‘including the 2011 revolution and unrest that followed, and a number of devastating terror attacks’</w:t>
      </w:r>
      <w:r w:rsidRPr="003D4546">
        <w:rPr>
          <w:rStyle w:val="FootnoteReference"/>
          <w:color w:val="000000" w:themeColor="text1"/>
        </w:rPr>
        <w:footnoteReference w:id="281"/>
      </w:r>
      <w:r w:rsidRPr="003D4546">
        <w:rPr>
          <w:color w:val="000000" w:themeColor="text1"/>
        </w:rPr>
        <w:t xml:space="preserve">. </w:t>
      </w:r>
      <w:r w:rsidRPr="0068696F">
        <w:rPr>
          <w:color w:val="000000" w:themeColor="text1"/>
          <w:highlight w:val="magenta"/>
        </w:rPr>
        <w:t>He was not purely used as a modern educational tool but continues as a commodity for functional and political gain.</w:t>
      </w:r>
      <w:r>
        <w:rPr>
          <w:color w:val="000000" w:themeColor="text1"/>
        </w:rPr>
        <w:t xml:space="preserve"> </w:t>
      </w:r>
    </w:p>
    <w:p w14:paraId="40912DB4" w14:textId="77777777" w:rsidR="002117A2" w:rsidRPr="00FC5306" w:rsidRDefault="002117A2" w:rsidP="002117A2">
      <w:pPr>
        <w:spacing w:line="360" w:lineRule="auto"/>
        <w:rPr>
          <w:color w:val="000000" w:themeColor="text1"/>
          <w:u w:val="single"/>
        </w:rPr>
      </w:pPr>
      <w:r w:rsidRPr="00FC5306">
        <w:rPr>
          <w:color w:val="000000" w:themeColor="text1"/>
          <w:u w:val="single"/>
        </w:rPr>
        <w:t xml:space="preserve">On entry to the latest London exhibition there was a short video about the discovery of Tutankhamun and who Tutankhamun was. Staff offered audio devices that were in five different languages and you were left to freely explore the exhibition. The exhibition was unsurprisingly busy, people were put into groups of thirty and then were allowed in at ten-minute intervals. </w:t>
      </w:r>
    </w:p>
    <w:p w14:paraId="1C9330CE" w14:textId="77777777" w:rsidR="002117A2" w:rsidRDefault="002117A2" w:rsidP="002117A2">
      <w:pPr>
        <w:spacing w:line="360" w:lineRule="auto"/>
        <w:rPr>
          <w:color w:val="000000" w:themeColor="text1"/>
        </w:rPr>
      </w:pPr>
      <w:r w:rsidRPr="00FC5306">
        <w:rPr>
          <w:color w:val="000000" w:themeColor="text1"/>
          <w:u w:val="single"/>
        </w:rPr>
        <w:t xml:space="preserve">The layout of the museum was easy to follow, ground floor was where galleries one and two were and the first floor was where galleries three to five were. Each gallery was very similar consisting of black walls and ceilings, with blue spotlights, objects were in glass cabinets with a yellow light, some walls had information on or projected images. Esther </w:t>
      </w:r>
      <w:proofErr w:type="spellStart"/>
      <w:r w:rsidRPr="00FC5306">
        <w:rPr>
          <w:color w:val="000000" w:themeColor="text1"/>
          <w:u w:val="single"/>
        </w:rPr>
        <w:t>Addley</w:t>
      </w:r>
      <w:proofErr w:type="spellEnd"/>
      <w:r w:rsidRPr="00FC5306">
        <w:rPr>
          <w:color w:val="000000" w:themeColor="text1"/>
          <w:u w:val="single"/>
        </w:rPr>
        <w:t xml:space="preserve">, a journalist for The Guardian described </w:t>
      </w:r>
      <w:r w:rsidRPr="00FC5306">
        <w:rPr>
          <w:color w:val="000000" w:themeColor="text1"/>
          <w:u w:val="single"/>
        </w:rPr>
        <w:lastRenderedPageBreak/>
        <w:t>the exhibition as moody</w:t>
      </w:r>
      <w:r w:rsidRPr="00FC5306">
        <w:rPr>
          <w:rStyle w:val="FootnoteReference"/>
          <w:color w:val="000000" w:themeColor="text1"/>
          <w:u w:val="single"/>
        </w:rPr>
        <w:footnoteReference w:id="282"/>
      </w:r>
      <w:r w:rsidRPr="00FC5306">
        <w:rPr>
          <w:color w:val="000000" w:themeColor="text1"/>
          <w:u w:val="single"/>
        </w:rPr>
        <w:t>.</w:t>
      </w:r>
      <w:r w:rsidRPr="003D4546">
        <w:rPr>
          <w:color w:val="000000" w:themeColor="text1"/>
        </w:rPr>
        <w:t xml:space="preserve"> </w:t>
      </w:r>
      <w:r>
        <w:rPr>
          <w:color w:val="000000" w:themeColor="text1"/>
        </w:rPr>
        <w:t>Archaeologist Thomas Dowson described the setting of the exhibition as ‘the lighting and presentation is fantastic, each gallery is dark, with the individual objects illuminated so they glow, the gold and jewels shining at you’</w:t>
      </w:r>
      <w:r>
        <w:rPr>
          <w:rStyle w:val="FootnoteReference"/>
          <w:color w:val="000000" w:themeColor="text1"/>
        </w:rPr>
        <w:footnoteReference w:id="283"/>
      </w:r>
      <w:r>
        <w:rPr>
          <w:color w:val="000000" w:themeColor="text1"/>
        </w:rPr>
        <w:t>. ‘</w:t>
      </w:r>
      <w:r w:rsidRPr="003F211A">
        <w:rPr>
          <w:color w:val="000000" w:themeColor="text1"/>
          <w:u w:val="single"/>
        </w:rPr>
        <w:t>Replicas of the wall paintings in the team combined with spooky shadows to create the perfect atmosphere.</w:t>
      </w:r>
      <w:r>
        <w:rPr>
          <w:color w:val="000000" w:themeColor="text1"/>
        </w:rPr>
        <w:t xml:space="preserve"> It’s Hollywood, but </w:t>
      </w:r>
      <w:proofErr w:type="gramStart"/>
      <w:r>
        <w:rPr>
          <w:color w:val="000000" w:themeColor="text1"/>
        </w:rPr>
        <w:t>it</w:t>
      </w:r>
      <w:proofErr w:type="gramEnd"/>
      <w:r>
        <w:rPr>
          <w:color w:val="000000" w:themeColor="text1"/>
        </w:rPr>
        <w:t xml:space="preserve"> works’</w:t>
      </w:r>
      <w:r w:rsidRPr="00516CCF">
        <w:rPr>
          <w:rStyle w:val="FootnoteReference"/>
        </w:rPr>
        <w:footnoteReference w:id="284"/>
      </w:r>
      <w:r w:rsidRPr="00516CCF">
        <w:t>.</w:t>
      </w:r>
    </w:p>
    <w:p w14:paraId="55C3FD37" w14:textId="38141128" w:rsidR="002117A2" w:rsidRPr="003F211A" w:rsidRDefault="002117A2" w:rsidP="002117A2">
      <w:pPr>
        <w:spacing w:line="360" w:lineRule="auto"/>
        <w:rPr>
          <w:color w:val="000000" w:themeColor="text1"/>
          <w:u w:val="single"/>
        </w:rPr>
      </w:pPr>
      <w:r w:rsidRPr="003F211A">
        <w:rPr>
          <w:color w:val="000000" w:themeColor="text1"/>
          <w:u w:val="single"/>
        </w:rPr>
        <w:t>Each gallery consisted of between one to ten objects. All objects were provided with labels of information such as description, what the object is, provenance, material and date. Galleries one to three did not have any type of theme on what objects were being presented, but each gallery had varied objects from jewellery, sculptures and ritual objects</w:t>
      </w:r>
      <w:r w:rsidRPr="003F211A">
        <w:rPr>
          <w:rStyle w:val="FootnoteReference"/>
          <w:color w:val="000000" w:themeColor="text1"/>
          <w:u w:val="single"/>
        </w:rPr>
        <w:footnoteReference w:id="285"/>
      </w:r>
      <w:r w:rsidRPr="003F211A">
        <w:rPr>
          <w:color w:val="000000" w:themeColor="text1"/>
          <w:u w:val="single"/>
        </w:rPr>
        <w:t>. Gallery four focused on bibliographical information about Howard Carter and his discovery of the tomb, leading onto the portrayal of Tutankhamun since the discovery</w:t>
      </w:r>
      <w:r w:rsidRPr="003F211A">
        <w:rPr>
          <w:rStyle w:val="FootnoteReference"/>
          <w:color w:val="000000" w:themeColor="text1"/>
          <w:u w:val="single"/>
        </w:rPr>
        <w:footnoteReference w:id="286"/>
      </w:r>
      <w:r w:rsidRPr="003F211A">
        <w:rPr>
          <w:color w:val="000000" w:themeColor="text1"/>
          <w:u w:val="single"/>
        </w:rPr>
        <w:t xml:space="preserve">. In the final gallery is a large </w:t>
      </w:r>
      <w:r w:rsidR="0076380A" w:rsidRPr="003F211A">
        <w:rPr>
          <w:color w:val="000000" w:themeColor="text1"/>
          <w:u w:val="single"/>
        </w:rPr>
        <w:t xml:space="preserve">colossal </w:t>
      </w:r>
      <w:r w:rsidRPr="003F211A">
        <w:rPr>
          <w:color w:val="000000" w:themeColor="text1"/>
          <w:u w:val="single"/>
        </w:rPr>
        <w:t>single statue</w:t>
      </w:r>
      <w:r w:rsidR="0076380A" w:rsidRPr="003F211A">
        <w:rPr>
          <w:color w:val="000000" w:themeColor="text1"/>
          <w:u w:val="single"/>
        </w:rPr>
        <w:t xml:space="preserve"> of Tutankhamun</w:t>
      </w:r>
      <w:r w:rsidRPr="003F211A">
        <w:rPr>
          <w:color w:val="000000" w:themeColor="text1"/>
          <w:u w:val="single"/>
        </w:rPr>
        <w:t xml:space="preserve">. </w:t>
      </w:r>
    </w:p>
    <w:p w14:paraId="5AD61187" w14:textId="7B8DB34E" w:rsidR="002117A2" w:rsidRPr="00516CCF" w:rsidRDefault="002117A2" w:rsidP="002117A2">
      <w:pPr>
        <w:spacing w:line="360" w:lineRule="auto"/>
        <w:rPr>
          <w:color w:val="000000" w:themeColor="text1"/>
        </w:rPr>
      </w:pPr>
      <w:r w:rsidRPr="003D4546">
        <w:rPr>
          <w:color w:val="000000" w:themeColor="text1"/>
        </w:rPr>
        <w:t xml:space="preserve">While there </w:t>
      </w:r>
      <w:commentRangeStart w:id="54"/>
      <w:commentRangeStart w:id="55"/>
      <w:r w:rsidRPr="003D4546">
        <w:rPr>
          <w:color w:val="000000" w:themeColor="text1"/>
        </w:rPr>
        <w:t xml:space="preserve">may have been some disappointment of typical objects </w:t>
      </w:r>
      <w:commentRangeEnd w:id="54"/>
      <w:r w:rsidR="004734D4">
        <w:rPr>
          <w:rStyle w:val="CommentReference"/>
        </w:rPr>
        <w:commentReference w:id="54"/>
      </w:r>
      <w:commentRangeEnd w:id="55"/>
      <w:r w:rsidR="00AC50D2">
        <w:rPr>
          <w:rStyle w:val="CommentReference"/>
        </w:rPr>
        <w:commentReference w:id="55"/>
      </w:r>
      <w:r w:rsidRPr="003D4546">
        <w:rPr>
          <w:color w:val="000000" w:themeColor="text1"/>
        </w:rPr>
        <w:t>such as the golden death mask or the chariot not being present on the tour, it is important to not</w:t>
      </w:r>
      <w:r>
        <w:rPr>
          <w:color w:val="000000" w:themeColor="text1"/>
        </w:rPr>
        <w:t>e</w:t>
      </w:r>
      <w:r w:rsidRPr="003D4546">
        <w:rPr>
          <w:color w:val="000000" w:themeColor="text1"/>
        </w:rPr>
        <w:t xml:space="preserve"> that the objects that were on tour bring you an enchantment of understanding the human behind the king Tutankhamun </w:t>
      </w:r>
      <w:r w:rsidR="00AC50D2">
        <w:rPr>
          <w:color w:val="000000" w:themeColor="text1"/>
        </w:rPr>
        <w:t xml:space="preserve">westernised </w:t>
      </w:r>
      <w:r w:rsidRPr="003D4546">
        <w:rPr>
          <w:color w:val="000000" w:themeColor="text1"/>
        </w:rPr>
        <w:t xml:space="preserve">commodity. For example, ‘including a tiny wooden chair that the exhibitions curator, Tarek el </w:t>
      </w:r>
      <w:proofErr w:type="spellStart"/>
      <w:r w:rsidRPr="00516CCF">
        <w:rPr>
          <w:color w:val="000000" w:themeColor="text1"/>
        </w:rPr>
        <w:t>Awady</w:t>
      </w:r>
      <w:proofErr w:type="spellEnd"/>
      <w:r w:rsidRPr="00516CCF">
        <w:rPr>
          <w:color w:val="000000" w:themeColor="text1"/>
        </w:rPr>
        <w:t>, said was likely to be the very throne on which the nine-year-old Tutankhamun was crowned’</w:t>
      </w:r>
      <w:r w:rsidRPr="00516CCF">
        <w:rPr>
          <w:rStyle w:val="FootnoteReference"/>
          <w:color w:val="000000" w:themeColor="text1"/>
        </w:rPr>
        <w:footnoteReference w:id="287"/>
      </w:r>
      <w:r w:rsidRPr="00516CCF">
        <w:rPr>
          <w:color w:val="000000" w:themeColor="text1"/>
        </w:rPr>
        <w:t xml:space="preserve">. </w:t>
      </w:r>
    </w:p>
    <w:p w14:paraId="410E1ECA" w14:textId="660FBC7F" w:rsidR="00105905" w:rsidRDefault="00105905"/>
    <w:p w14:paraId="04BF3626" w14:textId="368CF366" w:rsidR="002117A2" w:rsidRDefault="002117A2"/>
    <w:p w14:paraId="58624E3E" w14:textId="4E609795" w:rsidR="002117A2" w:rsidRDefault="002117A2"/>
    <w:p w14:paraId="6AA42105" w14:textId="35939A41" w:rsidR="002117A2" w:rsidRDefault="002117A2"/>
    <w:p w14:paraId="7A91767E" w14:textId="397BB988" w:rsidR="002117A2" w:rsidRDefault="002117A2"/>
    <w:p w14:paraId="5A8976B0" w14:textId="669B276F" w:rsidR="002117A2" w:rsidRDefault="002117A2"/>
    <w:p w14:paraId="6944C3EF" w14:textId="0E1D9646" w:rsidR="002117A2" w:rsidRDefault="002117A2"/>
    <w:p w14:paraId="201AA4DE" w14:textId="39339D49" w:rsidR="002117A2" w:rsidRDefault="002117A2"/>
    <w:p w14:paraId="0C25BBAF" w14:textId="1E9DEAF7" w:rsidR="002117A2" w:rsidRDefault="002117A2"/>
    <w:p w14:paraId="50114459" w14:textId="77777777" w:rsidR="00C272CC" w:rsidRDefault="00C272CC" w:rsidP="00C272CC">
      <w:pPr>
        <w:spacing w:line="360" w:lineRule="auto"/>
      </w:pPr>
    </w:p>
    <w:p w14:paraId="0BA91581" w14:textId="18780980" w:rsidR="002117A2" w:rsidRDefault="002117A2" w:rsidP="00C272CC">
      <w:pPr>
        <w:spacing w:line="360" w:lineRule="auto"/>
        <w:jc w:val="center"/>
        <w:rPr>
          <w:b/>
          <w:bCs/>
          <w:color w:val="000000" w:themeColor="text1"/>
          <w:sz w:val="28"/>
          <w:szCs w:val="28"/>
          <w:u w:val="single"/>
        </w:rPr>
      </w:pPr>
      <w:r w:rsidRPr="00843BCC">
        <w:rPr>
          <w:b/>
          <w:bCs/>
          <w:color w:val="000000" w:themeColor="text1"/>
          <w:sz w:val="28"/>
          <w:szCs w:val="28"/>
          <w:u w:val="single"/>
        </w:rPr>
        <w:lastRenderedPageBreak/>
        <w:t>Conclusion</w:t>
      </w:r>
    </w:p>
    <w:p w14:paraId="3DC6C455" w14:textId="11B64E2D" w:rsidR="00F24B84" w:rsidRDefault="00D32D89" w:rsidP="00F24B84">
      <w:pPr>
        <w:spacing w:line="360" w:lineRule="auto"/>
        <w:rPr>
          <w:color w:val="000000" w:themeColor="text1"/>
        </w:rPr>
      </w:pPr>
      <w:r>
        <w:rPr>
          <w:color w:val="000000" w:themeColor="text1"/>
        </w:rPr>
        <w:t xml:space="preserve">In conclusion, </w:t>
      </w:r>
      <w:r w:rsidR="003039FA" w:rsidRPr="00A47A52">
        <w:rPr>
          <w:color w:val="000000" w:themeColor="text1"/>
          <w:highlight w:val="cyan"/>
        </w:rPr>
        <w:t xml:space="preserve">the obsession with Egypt </w:t>
      </w:r>
      <w:r w:rsidR="002E555E" w:rsidRPr="00A47A52">
        <w:rPr>
          <w:color w:val="000000" w:themeColor="text1"/>
          <w:highlight w:val="cyan"/>
        </w:rPr>
        <w:t>can be traced right back to the fifth century BC</w:t>
      </w:r>
      <w:r w:rsidR="00110A5E">
        <w:rPr>
          <w:color w:val="000000" w:themeColor="text1"/>
        </w:rPr>
        <w:t>,</w:t>
      </w:r>
      <w:r w:rsidR="0077643D">
        <w:rPr>
          <w:color w:val="000000" w:themeColor="text1"/>
        </w:rPr>
        <w:t xml:space="preserve"> </w:t>
      </w:r>
      <w:r w:rsidR="0077643D" w:rsidRPr="00A47A52">
        <w:rPr>
          <w:color w:val="000000" w:themeColor="text1"/>
          <w:highlight w:val="lightGray"/>
        </w:rPr>
        <w:t xml:space="preserve">however it was Napoleons expedition </w:t>
      </w:r>
      <w:r w:rsidR="007E0356" w:rsidRPr="00A47A52">
        <w:rPr>
          <w:color w:val="000000" w:themeColor="text1"/>
          <w:highlight w:val="lightGray"/>
        </w:rPr>
        <w:t>to Egypt in</w:t>
      </w:r>
      <w:r w:rsidR="0053525B" w:rsidRPr="00A47A52">
        <w:rPr>
          <w:color w:val="000000" w:themeColor="text1"/>
          <w:highlight w:val="lightGray"/>
        </w:rPr>
        <w:t xml:space="preserve"> 1798</w:t>
      </w:r>
      <w:r w:rsidR="00E714AD">
        <w:rPr>
          <w:color w:val="000000" w:themeColor="text1"/>
          <w:highlight w:val="lightGray"/>
        </w:rPr>
        <w:t xml:space="preserve">, </w:t>
      </w:r>
      <w:r w:rsidR="00330A92">
        <w:rPr>
          <w:color w:val="000000" w:themeColor="text1"/>
          <w:highlight w:val="lightGray"/>
        </w:rPr>
        <w:t>that began the European political conflict to see who was the most</w:t>
      </w:r>
      <w:r w:rsidR="007E0356" w:rsidRPr="00A47A52">
        <w:rPr>
          <w:color w:val="000000" w:themeColor="text1"/>
          <w:highlight w:val="lightGray"/>
        </w:rPr>
        <w:t xml:space="preserve"> prestige</w:t>
      </w:r>
      <w:r w:rsidR="00330A92">
        <w:rPr>
          <w:color w:val="000000" w:themeColor="text1"/>
          <w:highlight w:val="lightGray"/>
        </w:rPr>
        <w:t xml:space="preserve"> in ownership of Egyptian artefacts</w:t>
      </w:r>
      <w:r w:rsidR="00330A92">
        <w:rPr>
          <w:color w:val="000000" w:themeColor="text1"/>
        </w:rPr>
        <w:t>.</w:t>
      </w:r>
      <w:r w:rsidR="00D8336E">
        <w:rPr>
          <w:color w:val="000000" w:themeColor="text1"/>
        </w:rPr>
        <w:t xml:space="preserve"> </w:t>
      </w:r>
      <w:r w:rsidR="00642979" w:rsidRPr="00A47A52">
        <w:rPr>
          <w:color w:val="000000" w:themeColor="text1"/>
          <w:highlight w:val="lightGray"/>
        </w:rPr>
        <w:t>The 1920’s w</w:t>
      </w:r>
      <w:r w:rsidR="00110A5E" w:rsidRPr="00A47A52">
        <w:rPr>
          <w:color w:val="000000" w:themeColor="text1"/>
          <w:highlight w:val="lightGray"/>
        </w:rPr>
        <w:t>ere</w:t>
      </w:r>
      <w:r w:rsidR="00642979" w:rsidRPr="00A47A52">
        <w:rPr>
          <w:color w:val="000000" w:themeColor="text1"/>
          <w:highlight w:val="lightGray"/>
        </w:rPr>
        <w:t xml:space="preserve"> </w:t>
      </w:r>
      <w:r w:rsidR="00C1144C" w:rsidRPr="00A47A52">
        <w:rPr>
          <w:color w:val="000000" w:themeColor="text1"/>
          <w:highlight w:val="lightGray"/>
        </w:rPr>
        <w:t xml:space="preserve">a </w:t>
      </w:r>
      <w:r w:rsidR="00F114B1" w:rsidRPr="00A47A52">
        <w:rPr>
          <w:color w:val="000000" w:themeColor="text1"/>
          <w:highlight w:val="lightGray"/>
        </w:rPr>
        <w:t>changing</w:t>
      </w:r>
      <w:r w:rsidR="008818F4" w:rsidRPr="00A47A52">
        <w:rPr>
          <w:color w:val="000000" w:themeColor="text1"/>
          <w:highlight w:val="lightGray"/>
        </w:rPr>
        <w:t xml:space="preserve"> time</w:t>
      </w:r>
      <w:r w:rsidR="00F114B1" w:rsidRPr="00A47A52">
        <w:rPr>
          <w:color w:val="000000" w:themeColor="text1"/>
          <w:highlight w:val="lightGray"/>
        </w:rPr>
        <w:t xml:space="preserve"> for Egypt and </w:t>
      </w:r>
      <w:r w:rsidR="009F2B73" w:rsidRPr="00A47A52">
        <w:rPr>
          <w:color w:val="000000" w:themeColor="text1"/>
          <w:highlight w:val="lightGray"/>
        </w:rPr>
        <w:t>Britain</w:t>
      </w:r>
      <w:r w:rsidR="001B1628" w:rsidRPr="00A47A52">
        <w:rPr>
          <w:color w:val="000000" w:themeColor="text1"/>
          <w:highlight w:val="lightGray"/>
        </w:rPr>
        <w:t>.</w:t>
      </w:r>
      <w:r w:rsidR="001B1628">
        <w:rPr>
          <w:color w:val="000000" w:themeColor="text1"/>
        </w:rPr>
        <w:t xml:space="preserve"> </w:t>
      </w:r>
      <w:r w:rsidR="001B1628" w:rsidRPr="00A47A52">
        <w:rPr>
          <w:color w:val="000000" w:themeColor="text1"/>
          <w:highlight w:val="green"/>
        </w:rPr>
        <w:t>The</w:t>
      </w:r>
      <w:r w:rsidR="009F2B73" w:rsidRPr="00A47A52">
        <w:rPr>
          <w:color w:val="000000" w:themeColor="text1"/>
          <w:highlight w:val="green"/>
        </w:rPr>
        <w:t xml:space="preserve"> battle for Egyptian nationalism was at its peak, </w:t>
      </w:r>
      <w:r w:rsidR="009E5917" w:rsidRPr="00A47A52">
        <w:rPr>
          <w:color w:val="000000" w:themeColor="text1"/>
          <w:highlight w:val="green"/>
        </w:rPr>
        <w:t>Egypt had gain</w:t>
      </w:r>
      <w:r w:rsidR="00220FBD" w:rsidRPr="00A47A52">
        <w:rPr>
          <w:color w:val="000000" w:themeColor="text1"/>
          <w:highlight w:val="green"/>
        </w:rPr>
        <w:t>ed</w:t>
      </w:r>
      <w:r w:rsidR="009E5917" w:rsidRPr="00A47A52">
        <w:rPr>
          <w:color w:val="000000" w:themeColor="text1"/>
          <w:highlight w:val="green"/>
        </w:rPr>
        <w:t xml:space="preserve"> partial independence from the British and</w:t>
      </w:r>
      <w:r w:rsidR="001B1628" w:rsidRPr="00A47A52">
        <w:rPr>
          <w:color w:val="000000" w:themeColor="text1"/>
          <w:highlight w:val="green"/>
        </w:rPr>
        <w:t xml:space="preserve"> this influenced the experience and interpretation of</w:t>
      </w:r>
      <w:r w:rsidR="009E5917" w:rsidRPr="00A47A52">
        <w:rPr>
          <w:color w:val="000000" w:themeColor="text1"/>
          <w:highlight w:val="green"/>
        </w:rPr>
        <w:t xml:space="preserve"> </w:t>
      </w:r>
      <w:r w:rsidR="001F4011" w:rsidRPr="00A47A52">
        <w:rPr>
          <w:color w:val="000000" w:themeColor="text1"/>
          <w:highlight w:val="green"/>
        </w:rPr>
        <w:t xml:space="preserve">the discovery of Tutankhamun’s tomb. </w:t>
      </w:r>
      <w:r w:rsidR="001B1628" w:rsidRPr="00A47A52">
        <w:rPr>
          <w:color w:val="000000" w:themeColor="text1"/>
          <w:highlight w:val="green"/>
        </w:rPr>
        <w:t>Being t</w:t>
      </w:r>
      <w:r w:rsidR="00A435FE" w:rsidRPr="00A47A52">
        <w:rPr>
          <w:color w:val="000000" w:themeColor="text1"/>
          <w:highlight w:val="green"/>
        </w:rPr>
        <w:t>he partial</w:t>
      </w:r>
      <w:r w:rsidR="001B1628" w:rsidRPr="00A47A52">
        <w:rPr>
          <w:color w:val="000000" w:themeColor="text1"/>
          <w:highlight w:val="green"/>
        </w:rPr>
        <w:t>ly</w:t>
      </w:r>
      <w:r w:rsidR="00A435FE" w:rsidRPr="00A47A52">
        <w:rPr>
          <w:color w:val="000000" w:themeColor="text1"/>
          <w:highlight w:val="green"/>
        </w:rPr>
        <w:t xml:space="preserve"> independen</w:t>
      </w:r>
      <w:r w:rsidR="0044558E" w:rsidRPr="00A47A52">
        <w:rPr>
          <w:color w:val="000000" w:themeColor="text1"/>
          <w:highlight w:val="green"/>
        </w:rPr>
        <w:t>t</w:t>
      </w:r>
      <w:r w:rsidR="00A435FE" w:rsidRPr="00A47A52">
        <w:rPr>
          <w:color w:val="000000" w:themeColor="text1"/>
          <w:highlight w:val="green"/>
        </w:rPr>
        <w:t xml:space="preserve"> </w:t>
      </w:r>
      <w:r w:rsidR="00650AA5" w:rsidRPr="00A47A52">
        <w:rPr>
          <w:color w:val="000000" w:themeColor="text1"/>
          <w:highlight w:val="green"/>
        </w:rPr>
        <w:t>changed the ownership of Egyptian antiquities,</w:t>
      </w:r>
      <w:r w:rsidR="002D104D" w:rsidRPr="00A47A52">
        <w:rPr>
          <w:color w:val="000000" w:themeColor="text1"/>
          <w:highlight w:val="green"/>
        </w:rPr>
        <w:t xml:space="preserve"> </w:t>
      </w:r>
      <w:r w:rsidR="0044558E" w:rsidRPr="00A47A52">
        <w:rPr>
          <w:color w:val="000000" w:themeColor="text1"/>
          <w:highlight w:val="green"/>
        </w:rPr>
        <w:t xml:space="preserve">as from then </w:t>
      </w:r>
      <w:proofErr w:type="gramStart"/>
      <w:r w:rsidR="0044558E" w:rsidRPr="00A47A52">
        <w:rPr>
          <w:color w:val="000000" w:themeColor="text1"/>
          <w:highlight w:val="green"/>
        </w:rPr>
        <w:t>on</w:t>
      </w:r>
      <w:proofErr w:type="gramEnd"/>
      <w:r w:rsidR="002D104D" w:rsidRPr="00A47A52">
        <w:rPr>
          <w:color w:val="000000" w:themeColor="text1"/>
          <w:highlight w:val="green"/>
        </w:rPr>
        <w:t xml:space="preserve"> no discoveries </w:t>
      </w:r>
      <w:r w:rsidR="00AB37CA" w:rsidRPr="00A47A52">
        <w:rPr>
          <w:color w:val="000000" w:themeColor="text1"/>
          <w:highlight w:val="green"/>
        </w:rPr>
        <w:t>could leave</w:t>
      </w:r>
      <w:r w:rsidR="002D104D" w:rsidRPr="00A47A52">
        <w:rPr>
          <w:color w:val="000000" w:themeColor="text1"/>
          <w:highlight w:val="green"/>
        </w:rPr>
        <w:t xml:space="preserve"> Egypt without government approval.</w:t>
      </w:r>
      <w:r w:rsidR="002D104D">
        <w:rPr>
          <w:color w:val="000000" w:themeColor="text1"/>
        </w:rPr>
        <w:t xml:space="preserve"> </w:t>
      </w:r>
      <w:r w:rsidR="00AB37CA" w:rsidRPr="00A47A52">
        <w:rPr>
          <w:color w:val="000000" w:themeColor="text1"/>
          <w:highlight w:val="lightGray"/>
        </w:rPr>
        <w:t>This resulted</w:t>
      </w:r>
      <w:r w:rsidR="00A31F09" w:rsidRPr="00A47A52">
        <w:rPr>
          <w:color w:val="000000" w:themeColor="text1"/>
          <w:highlight w:val="lightGray"/>
        </w:rPr>
        <w:t xml:space="preserve"> in a major conflict between the government and Howard Carter regarding Tutankhamun’s tomb</w:t>
      </w:r>
      <w:r w:rsidR="00CE6797">
        <w:rPr>
          <w:rStyle w:val="FootnoteReference"/>
          <w:color w:val="000000" w:themeColor="text1"/>
          <w:highlight w:val="lightGray"/>
        </w:rPr>
        <w:footnoteReference w:id="288"/>
      </w:r>
      <w:r w:rsidR="00581A40">
        <w:rPr>
          <w:color w:val="000000" w:themeColor="text1"/>
        </w:rPr>
        <w:t xml:space="preserve">. </w:t>
      </w:r>
      <w:r w:rsidR="00672F22">
        <w:rPr>
          <w:color w:val="000000" w:themeColor="text1"/>
        </w:rPr>
        <w:t xml:space="preserve">Carter made the decision to go on strike and abandoned the tomb </w:t>
      </w:r>
      <w:r w:rsidR="00F21751">
        <w:rPr>
          <w:color w:val="000000" w:themeColor="text1"/>
        </w:rPr>
        <w:t>temporarily</w:t>
      </w:r>
      <w:r w:rsidR="00672F22">
        <w:rPr>
          <w:color w:val="000000" w:themeColor="text1"/>
        </w:rPr>
        <w:t xml:space="preserve">, </w:t>
      </w:r>
      <w:r w:rsidR="00F21751">
        <w:rPr>
          <w:color w:val="000000" w:themeColor="text1"/>
        </w:rPr>
        <w:t xml:space="preserve">Pierre </w:t>
      </w:r>
      <w:proofErr w:type="spellStart"/>
      <w:r w:rsidR="00F21751">
        <w:rPr>
          <w:color w:val="000000" w:themeColor="text1"/>
        </w:rPr>
        <w:t>Lac</w:t>
      </w:r>
      <w:r w:rsidR="00AB37CA">
        <w:rPr>
          <w:color w:val="000000" w:themeColor="text1"/>
        </w:rPr>
        <w:t>au</w:t>
      </w:r>
      <w:r w:rsidR="00F21751">
        <w:rPr>
          <w:color w:val="000000" w:themeColor="text1"/>
        </w:rPr>
        <w:t>’s</w:t>
      </w:r>
      <w:proofErr w:type="spellEnd"/>
      <w:r w:rsidR="00FF529B">
        <w:rPr>
          <w:color w:val="000000" w:themeColor="text1"/>
        </w:rPr>
        <w:t>,</w:t>
      </w:r>
      <w:r w:rsidR="00F21751">
        <w:rPr>
          <w:color w:val="000000" w:themeColor="text1"/>
        </w:rPr>
        <w:t xml:space="preserve"> </w:t>
      </w:r>
      <w:r w:rsidR="00FF529B">
        <w:rPr>
          <w:color w:val="000000" w:themeColor="text1"/>
        </w:rPr>
        <w:t xml:space="preserve">the head of the Egyptian Antiquity Service, </w:t>
      </w:r>
      <w:r w:rsidR="0083709A">
        <w:rPr>
          <w:color w:val="000000" w:themeColor="text1"/>
        </w:rPr>
        <w:t xml:space="preserve">seized the tomb and said all findings from the discovery of Tutankhamun belonged to Cairo </w:t>
      </w:r>
      <w:r w:rsidR="002E22FB">
        <w:rPr>
          <w:color w:val="000000" w:themeColor="text1"/>
        </w:rPr>
        <w:t>M</w:t>
      </w:r>
      <w:r w:rsidR="0083709A">
        <w:rPr>
          <w:color w:val="000000" w:themeColor="text1"/>
        </w:rPr>
        <w:t>useum</w:t>
      </w:r>
      <w:commentRangeStart w:id="56"/>
      <w:commentRangeStart w:id="57"/>
      <w:r w:rsidR="0083709A">
        <w:rPr>
          <w:color w:val="000000" w:themeColor="text1"/>
        </w:rPr>
        <w:t xml:space="preserve">. </w:t>
      </w:r>
      <w:r w:rsidR="00751298">
        <w:rPr>
          <w:color w:val="000000" w:themeColor="text1"/>
        </w:rPr>
        <w:t xml:space="preserve">Despite the political conflict, </w:t>
      </w:r>
      <w:r w:rsidR="00253AEA">
        <w:rPr>
          <w:color w:val="000000" w:themeColor="text1"/>
        </w:rPr>
        <w:t>the discovery could not have come at a better time for the Egyptians or the British.</w:t>
      </w:r>
      <w:r w:rsidR="004217A5">
        <w:rPr>
          <w:color w:val="000000" w:themeColor="text1"/>
        </w:rPr>
        <w:t xml:space="preserve"> </w:t>
      </w:r>
      <w:r w:rsidR="004217A5" w:rsidRPr="00A47A52">
        <w:rPr>
          <w:color w:val="000000" w:themeColor="text1"/>
          <w:highlight w:val="green"/>
        </w:rPr>
        <w:t>This was the beginning for the Egyptian</w:t>
      </w:r>
      <w:r w:rsidR="008B61BF" w:rsidRPr="00A47A52">
        <w:rPr>
          <w:color w:val="000000" w:themeColor="text1"/>
          <w:highlight w:val="green"/>
        </w:rPr>
        <w:t>s</w:t>
      </w:r>
      <w:r w:rsidR="004217A5" w:rsidRPr="00A47A52">
        <w:rPr>
          <w:color w:val="000000" w:themeColor="text1"/>
          <w:highlight w:val="green"/>
        </w:rPr>
        <w:t xml:space="preserve"> to take ownership over </w:t>
      </w:r>
      <w:r w:rsidR="00991538" w:rsidRPr="00A47A52">
        <w:rPr>
          <w:color w:val="000000" w:themeColor="text1"/>
          <w:highlight w:val="green"/>
        </w:rPr>
        <w:t>their own heritage and antiquity</w:t>
      </w:r>
      <w:r w:rsidR="00B5760C">
        <w:rPr>
          <w:color w:val="000000" w:themeColor="text1"/>
        </w:rPr>
        <w:t xml:space="preserve">, </w:t>
      </w:r>
      <w:r w:rsidR="00847E41">
        <w:rPr>
          <w:color w:val="000000" w:themeColor="text1"/>
        </w:rPr>
        <w:t xml:space="preserve">which can be observed by </w:t>
      </w:r>
      <w:r w:rsidR="00AA3A60">
        <w:rPr>
          <w:color w:val="000000" w:themeColor="text1"/>
        </w:rPr>
        <w:t>the Egyptians not allowing the British to take Tutankhamun out of Egypt. W</w:t>
      </w:r>
      <w:r w:rsidR="00B5760C">
        <w:rPr>
          <w:color w:val="000000" w:themeColor="text1"/>
        </w:rPr>
        <w:t xml:space="preserve">hile for the British they were experiencing much deflation </w:t>
      </w:r>
      <w:r w:rsidR="00EF3E82">
        <w:rPr>
          <w:color w:val="000000" w:themeColor="text1"/>
        </w:rPr>
        <w:t>and the discovery lead to a mania</w:t>
      </w:r>
      <w:r w:rsidR="006063DE">
        <w:rPr>
          <w:color w:val="000000" w:themeColor="text1"/>
        </w:rPr>
        <w:t xml:space="preserve">, causing a </w:t>
      </w:r>
      <w:r w:rsidR="009945CB">
        <w:rPr>
          <w:color w:val="000000" w:themeColor="text1"/>
        </w:rPr>
        <w:t>much-needed</w:t>
      </w:r>
      <w:r w:rsidR="006063DE">
        <w:rPr>
          <w:color w:val="000000" w:themeColor="text1"/>
        </w:rPr>
        <w:t xml:space="preserve"> boost in morale. </w:t>
      </w:r>
      <w:commentRangeEnd w:id="56"/>
      <w:r w:rsidR="000D090D">
        <w:rPr>
          <w:rStyle w:val="CommentReference"/>
        </w:rPr>
        <w:commentReference w:id="56"/>
      </w:r>
      <w:commentRangeEnd w:id="57"/>
      <w:r w:rsidR="00AA3A60">
        <w:rPr>
          <w:rStyle w:val="CommentReference"/>
        </w:rPr>
        <w:commentReference w:id="57"/>
      </w:r>
    </w:p>
    <w:p w14:paraId="0E076782" w14:textId="1AF90970" w:rsidR="00446627" w:rsidRDefault="002E22FB" w:rsidP="002117A2">
      <w:pPr>
        <w:spacing w:line="360" w:lineRule="auto"/>
        <w:rPr>
          <w:color w:val="000000" w:themeColor="text1"/>
        </w:rPr>
      </w:pPr>
      <w:r w:rsidRPr="007C1A85">
        <w:rPr>
          <w:color w:val="000000" w:themeColor="text1"/>
          <w:highlight w:val="yellow"/>
        </w:rPr>
        <w:t xml:space="preserve">As </w:t>
      </w:r>
      <w:r w:rsidR="00E62D25" w:rsidRPr="007C1A85">
        <w:rPr>
          <w:color w:val="000000" w:themeColor="text1"/>
          <w:highlight w:val="yellow"/>
        </w:rPr>
        <w:t xml:space="preserve">Tutankhamun </w:t>
      </w:r>
      <w:r w:rsidR="00BF7818" w:rsidRPr="007C1A85">
        <w:rPr>
          <w:color w:val="000000" w:themeColor="text1"/>
          <w:highlight w:val="yellow"/>
        </w:rPr>
        <w:t xml:space="preserve">reigned </w:t>
      </w:r>
      <w:r w:rsidRPr="007C1A85">
        <w:rPr>
          <w:color w:val="000000" w:themeColor="text1"/>
          <w:highlight w:val="yellow"/>
        </w:rPr>
        <w:t xml:space="preserve">only </w:t>
      </w:r>
      <w:r w:rsidR="00BF7818" w:rsidRPr="007C1A85">
        <w:rPr>
          <w:color w:val="000000" w:themeColor="text1"/>
          <w:highlight w:val="yellow"/>
        </w:rPr>
        <w:t>for a short period</w:t>
      </w:r>
      <w:r w:rsidRPr="007C1A85">
        <w:rPr>
          <w:color w:val="000000" w:themeColor="text1"/>
          <w:highlight w:val="yellow"/>
        </w:rPr>
        <w:t>,</w:t>
      </w:r>
      <w:r w:rsidR="00BF7818" w:rsidRPr="007C1A85">
        <w:rPr>
          <w:color w:val="000000" w:themeColor="text1"/>
          <w:highlight w:val="yellow"/>
        </w:rPr>
        <w:t xml:space="preserve"> </w:t>
      </w:r>
      <w:r w:rsidR="00F161D4" w:rsidRPr="007C1A85">
        <w:rPr>
          <w:color w:val="000000" w:themeColor="text1"/>
          <w:highlight w:val="yellow"/>
        </w:rPr>
        <w:t xml:space="preserve">he </w:t>
      </w:r>
      <w:r w:rsidR="0040290B" w:rsidRPr="007C1A85">
        <w:rPr>
          <w:color w:val="000000" w:themeColor="text1"/>
          <w:highlight w:val="yellow"/>
        </w:rPr>
        <w:t>did not leave a mark on history</w:t>
      </w:r>
      <w:r w:rsidR="00F161D4" w:rsidRPr="007C1A85">
        <w:rPr>
          <w:color w:val="000000" w:themeColor="text1"/>
          <w:highlight w:val="yellow"/>
        </w:rPr>
        <w:t xml:space="preserve"> like his father of grandfather, </w:t>
      </w:r>
      <w:r w:rsidR="0040290B" w:rsidRPr="007C1A85">
        <w:rPr>
          <w:color w:val="000000" w:themeColor="text1"/>
          <w:highlight w:val="yellow"/>
        </w:rPr>
        <w:t xml:space="preserve">but </w:t>
      </w:r>
      <w:r w:rsidR="00F161D4" w:rsidRPr="007C1A85">
        <w:rPr>
          <w:color w:val="000000" w:themeColor="text1"/>
          <w:highlight w:val="yellow"/>
        </w:rPr>
        <w:t>the</w:t>
      </w:r>
      <w:r w:rsidR="0040290B" w:rsidRPr="007C1A85">
        <w:rPr>
          <w:color w:val="000000" w:themeColor="text1"/>
          <w:highlight w:val="yellow"/>
        </w:rPr>
        <w:t xml:space="preserve"> discovery </w:t>
      </w:r>
      <w:r w:rsidR="00F161D4" w:rsidRPr="007C1A85">
        <w:rPr>
          <w:color w:val="000000" w:themeColor="text1"/>
          <w:highlight w:val="yellow"/>
        </w:rPr>
        <w:t xml:space="preserve">of his relatively undisturbed tomb </w:t>
      </w:r>
      <w:r w:rsidR="0040290B" w:rsidRPr="007C1A85">
        <w:rPr>
          <w:color w:val="000000" w:themeColor="text1"/>
          <w:highlight w:val="yellow"/>
        </w:rPr>
        <w:t xml:space="preserve">did and lead to </w:t>
      </w:r>
      <w:r w:rsidR="00672E59" w:rsidRPr="007C1A85">
        <w:rPr>
          <w:color w:val="000000" w:themeColor="text1"/>
          <w:highlight w:val="yellow"/>
        </w:rPr>
        <w:t>a modern obsession.</w:t>
      </w:r>
      <w:r w:rsidR="00672E59">
        <w:rPr>
          <w:color w:val="000000" w:themeColor="text1"/>
        </w:rPr>
        <w:t xml:space="preserve"> </w:t>
      </w:r>
      <w:r w:rsidR="003E7BC6">
        <w:rPr>
          <w:color w:val="000000" w:themeColor="text1"/>
        </w:rPr>
        <w:t xml:space="preserve">There does not seem to be only one reason for this modern obsession but a combination of </w:t>
      </w:r>
      <w:r w:rsidR="00CC7699">
        <w:rPr>
          <w:color w:val="000000" w:themeColor="text1"/>
        </w:rPr>
        <w:t xml:space="preserve">the tomb being almost completely intact, </w:t>
      </w:r>
      <w:r w:rsidR="003C6CE6">
        <w:rPr>
          <w:color w:val="000000" w:themeColor="text1"/>
        </w:rPr>
        <w:t xml:space="preserve">it being </w:t>
      </w:r>
      <w:r w:rsidR="001C3544">
        <w:rPr>
          <w:color w:val="000000" w:themeColor="text1"/>
        </w:rPr>
        <w:t xml:space="preserve">one of the best </w:t>
      </w:r>
      <w:r w:rsidR="00B90E45">
        <w:rPr>
          <w:color w:val="000000" w:themeColor="text1"/>
        </w:rPr>
        <w:t>ancient discoveries,</w:t>
      </w:r>
      <w:r w:rsidR="00705C5B">
        <w:rPr>
          <w:color w:val="000000" w:themeColor="text1"/>
        </w:rPr>
        <w:t xml:space="preserve"> </w:t>
      </w:r>
      <w:r w:rsidR="003C6CE6">
        <w:rPr>
          <w:color w:val="000000" w:themeColor="text1"/>
        </w:rPr>
        <w:t xml:space="preserve">the fact that it was </w:t>
      </w:r>
      <w:r w:rsidR="00705C5B">
        <w:rPr>
          <w:color w:val="000000" w:themeColor="text1"/>
        </w:rPr>
        <w:t xml:space="preserve">a peculiar burial for </w:t>
      </w:r>
      <w:r w:rsidR="0078565E">
        <w:rPr>
          <w:color w:val="000000" w:themeColor="text1"/>
        </w:rPr>
        <w:t xml:space="preserve">the New Kingdom or because at the time of discovery there was a major conflict of ownership. </w:t>
      </w:r>
      <w:r w:rsidR="00864862">
        <w:rPr>
          <w:color w:val="000000" w:themeColor="text1"/>
        </w:rPr>
        <w:t xml:space="preserve">All aspects could be argued to be the reason, but together they create a big impact. </w:t>
      </w:r>
    </w:p>
    <w:p w14:paraId="3317C076" w14:textId="5758775E" w:rsidR="008E7F55" w:rsidRDefault="008E7F55" w:rsidP="002117A2">
      <w:pPr>
        <w:spacing w:line="360" w:lineRule="auto"/>
        <w:rPr>
          <w:color w:val="000000" w:themeColor="text1"/>
        </w:rPr>
      </w:pPr>
      <w:r w:rsidRPr="003B3E89">
        <w:rPr>
          <w:color w:val="000000" w:themeColor="text1"/>
          <w:highlight w:val="magenta"/>
        </w:rPr>
        <w:t>Tutankhamun</w:t>
      </w:r>
      <w:r w:rsidR="00BB03FB" w:rsidRPr="003B3E89">
        <w:rPr>
          <w:color w:val="000000" w:themeColor="text1"/>
          <w:highlight w:val="magenta"/>
        </w:rPr>
        <w:t xml:space="preserve"> and </w:t>
      </w:r>
      <w:r w:rsidR="00446627" w:rsidRPr="003B3E89">
        <w:rPr>
          <w:color w:val="000000" w:themeColor="text1"/>
          <w:highlight w:val="magenta"/>
        </w:rPr>
        <w:t xml:space="preserve">the </w:t>
      </w:r>
      <w:r w:rsidR="00BB03FB" w:rsidRPr="003B3E89">
        <w:rPr>
          <w:color w:val="000000" w:themeColor="text1"/>
          <w:highlight w:val="magenta"/>
        </w:rPr>
        <w:t>tomb findings went on</w:t>
      </w:r>
      <w:r w:rsidR="00446627" w:rsidRPr="003B3E89">
        <w:rPr>
          <w:color w:val="000000" w:themeColor="text1"/>
          <w:highlight w:val="magenta"/>
        </w:rPr>
        <w:t xml:space="preserve"> worldwide</w:t>
      </w:r>
      <w:r w:rsidR="00BB03FB" w:rsidRPr="003B3E89">
        <w:rPr>
          <w:color w:val="000000" w:themeColor="text1"/>
          <w:highlight w:val="magenta"/>
        </w:rPr>
        <w:t xml:space="preserve"> tour</w:t>
      </w:r>
      <w:r w:rsidR="00446627" w:rsidRPr="003B3E89">
        <w:rPr>
          <w:color w:val="000000" w:themeColor="text1"/>
          <w:highlight w:val="magenta"/>
        </w:rPr>
        <w:t>s and the displa</w:t>
      </w:r>
      <w:r w:rsidR="00063E1D" w:rsidRPr="003B3E89">
        <w:rPr>
          <w:color w:val="000000" w:themeColor="text1"/>
          <w:highlight w:val="magenta"/>
        </w:rPr>
        <w:t>ys</w:t>
      </w:r>
      <w:r w:rsidR="00232E0E" w:rsidRPr="003B3E89">
        <w:rPr>
          <w:color w:val="000000" w:themeColor="text1"/>
          <w:highlight w:val="magenta"/>
        </w:rPr>
        <w:t xml:space="preserve"> appear to have got larger </w:t>
      </w:r>
      <w:r w:rsidR="00063E1D" w:rsidRPr="003B3E89">
        <w:rPr>
          <w:color w:val="000000" w:themeColor="text1"/>
          <w:highlight w:val="magenta"/>
        </w:rPr>
        <w:t>over the years</w:t>
      </w:r>
      <w:r w:rsidR="00124A92" w:rsidRPr="003B3E89">
        <w:rPr>
          <w:color w:val="000000" w:themeColor="text1"/>
          <w:highlight w:val="magenta"/>
        </w:rPr>
        <w:t>.</w:t>
      </w:r>
      <w:r w:rsidR="00951000" w:rsidRPr="003B3E89">
        <w:rPr>
          <w:color w:val="000000" w:themeColor="text1"/>
          <w:highlight w:val="magenta"/>
        </w:rPr>
        <w:t xml:space="preserve"> The </w:t>
      </w:r>
      <w:r w:rsidR="00951000" w:rsidRPr="003B3E89">
        <w:rPr>
          <w:i/>
          <w:iCs/>
          <w:color w:val="000000" w:themeColor="text1"/>
          <w:highlight w:val="magenta"/>
        </w:rPr>
        <w:t>Treasures of Tutankhamun</w:t>
      </w:r>
      <w:r w:rsidR="00951000" w:rsidRPr="003B3E89">
        <w:rPr>
          <w:color w:val="000000" w:themeColor="text1"/>
          <w:highlight w:val="magenta"/>
        </w:rPr>
        <w:t xml:space="preserve"> tour in 1967 to 19</w:t>
      </w:r>
      <w:r w:rsidR="0014198F" w:rsidRPr="003B3E89">
        <w:rPr>
          <w:color w:val="000000" w:themeColor="text1"/>
          <w:highlight w:val="magenta"/>
        </w:rPr>
        <w:t xml:space="preserve">75 </w:t>
      </w:r>
      <w:r w:rsidR="008F4530" w:rsidRPr="003B3E89">
        <w:rPr>
          <w:color w:val="000000" w:themeColor="text1"/>
          <w:highlight w:val="magenta"/>
        </w:rPr>
        <w:t xml:space="preserve">toured </w:t>
      </w:r>
      <w:r w:rsidR="00BD0FC7" w:rsidRPr="003B3E89">
        <w:rPr>
          <w:color w:val="000000" w:themeColor="text1"/>
          <w:highlight w:val="magenta"/>
        </w:rPr>
        <w:t xml:space="preserve">with </w:t>
      </w:r>
      <w:r w:rsidR="00C32509" w:rsidRPr="003B3E89">
        <w:rPr>
          <w:color w:val="000000" w:themeColor="text1"/>
          <w:highlight w:val="magenta"/>
        </w:rPr>
        <w:t>fifty-five</w:t>
      </w:r>
      <w:r w:rsidR="00BD0FC7" w:rsidRPr="003B3E89">
        <w:rPr>
          <w:color w:val="000000" w:themeColor="text1"/>
          <w:highlight w:val="magenta"/>
        </w:rPr>
        <w:t xml:space="preserve"> object to </w:t>
      </w:r>
      <w:r w:rsidR="008F4530" w:rsidRPr="003B3E89">
        <w:rPr>
          <w:color w:val="000000" w:themeColor="text1"/>
          <w:highlight w:val="magenta"/>
        </w:rPr>
        <w:t xml:space="preserve">Paris, London and the </w:t>
      </w:r>
      <w:r w:rsidR="00755C68" w:rsidRPr="003B3E89">
        <w:rPr>
          <w:color w:val="000000" w:themeColor="text1"/>
          <w:highlight w:val="magenta"/>
        </w:rPr>
        <w:t xml:space="preserve">Union of Soviet Socialist </w:t>
      </w:r>
      <w:r w:rsidR="006F0145" w:rsidRPr="003B3E89">
        <w:rPr>
          <w:color w:val="000000" w:themeColor="text1"/>
          <w:highlight w:val="magenta"/>
        </w:rPr>
        <w:t>Republics</w:t>
      </w:r>
      <w:r w:rsidR="00630A0D" w:rsidRPr="003B3E89">
        <w:rPr>
          <w:color w:val="000000" w:themeColor="text1"/>
          <w:highlight w:val="magenta"/>
        </w:rPr>
        <w:t>.</w:t>
      </w:r>
      <w:r w:rsidR="006F0145" w:rsidRPr="003B3E89">
        <w:rPr>
          <w:color w:val="000000" w:themeColor="text1"/>
          <w:highlight w:val="magenta"/>
        </w:rPr>
        <w:t xml:space="preserve"> </w:t>
      </w:r>
      <w:r w:rsidR="0063345F" w:rsidRPr="003B3E89">
        <w:rPr>
          <w:color w:val="000000" w:themeColor="text1"/>
          <w:highlight w:val="magenta"/>
        </w:rPr>
        <w:t xml:space="preserve">The presentation appears to </w:t>
      </w:r>
      <w:r w:rsidR="003E1D26" w:rsidRPr="003B3E89">
        <w:rPr>
          <w:color w:val="000000" w:themeColor="text1"/>
          <w:highlight w:val="magenta"/>
        </w:rPr>
        <w:t>have been</w:t>
      </w:r>
      <w:r w:rsidR="0063345F" w:rsidRPr="003B3E89">
        <w:rPr>
          <w:color w:val="000000" w:themeColor="text1"/>
          <w:highlight w:val="magenta"/>
        </w:rPr>
        <w:t xml:space="preserve"> just as important as the objects on show; the lay out </w:t>
      </w:r>
      <w:r w:rsidR="002A24A7" w:rsidRPr="003B3E89">
        <w:rPr>
          <w:color w:val="000000" w:themeColor="text1"/>
          <w:highlight w:val="magenta"/>
        </w:rPr>
        <w:t>was the same as the discovery site</w:t>
      </w:r>
      <w:r w:rsidR="00264DE7" w:rsidRPr="003B3E89">
        <w:rPr>
          <w:color w:val="000000" w:themeColor="text1"/>
          <w:highlight w:val="magenta"/>
        </w:rPr>
        <w:t>, perhaps giving people a virtual experience</w:t>
      </w:r>
      <w:r w:rsidR="007A6E24" w:rsidRPr="003B3E89">
        <w:rPr>
          <w:color w:val="000000" w:themeColor="text1"/>
          <w:highlight w:val="magenta"/>
        </w:rPr>
        <w:t xml:space="preserve">, the most extravagant </w:t>
      </w:r>
      <w:r w:rsidR="00C72D63" w:rsidRPr="003B3E89">
        <w:rPr>
          <w:color w:val="000000" w:themeColor="text1"/>
          <w:highlight w:val="magenta"/>
        </w:rPr>
        <w:t>objects were displayed central in rooms</w:t>
      </w:r>
      <w:r w:rsidR="00B4453A" w:rsidRPr="003B3E89">
        <w:rPr>
          <w:color w:val="000000" w:themeColor="text1"/>
          <w:highlight w:val="magenta"/>
        </w:rPr>
        <w:t xml:space="preserve"> and the use of flashy photography</w:t>
      </w:r>
      <w:r w:rsidR="00C32509" w:rsidRPr="003B3E89">
        <w:rPr>
          <w:color w:val="000000" w:themeColor="text1"/>
          <w:highlight w:val="magenta"/>
        </w:rPr>
        <w:t>.</w:t>
      </w:r>
      <w:r w:rsidR="00C32509">
        <w:rPr>
          <w:color w:val="000000" w:themeColor="text1"/>
        </w:rPr>
        <w:t xml:space="preserve"> </w:t>
      </w:r>
    </w:p>
    <w:p w14:paraId="435666D2" w14:textId="047A95CA" w:rsidR="00BA67BC" w:rsidRDefault="00B667F0" w:rsidP="002117A2">
      <w:pPr>
        <w:spacing w:line="360" w:lineRule="auto"/>
        <w:rPr>
          <w:color w:val="000000" w:themeColor="text1"/>
        </w:rPr>
      </w:pPr>
      <w:r w:rsidRPr="0001730D">
        <w:rPr>
          <w:i/>
          <w:iCs/>
          <w:color w:val="000000" w:themeColor="text1"/>
        </w:rPr>
        <w:lastRenderedPageBreak/>
        <w:t>Tutankhamun and Golden Pharaohs</w:t>
      </w:r>
      <w:r>
        <w:rPr>
          <w:color w:val="000000" w:themeColor="text1"/>
        </w:rPr>
        <w:t xml:space="preserve"> t</w:t>
      </w:r>
      <w:r w:rsidR="00652F52">
        <w:rPr>
          <w:color w:val="000000" w:themeColor="text1"/>
        </w:rPr>
        <w:t xml:space="preserve">our in 2004 to 2007 </w:t>
      </w:r>
      <w:r w:rsidR="00D5413E">
        <w:rPr>
          <w:color w:val="000000" w:themeColor="text1"/>
        </w:rPr>
        <w:t xml:space="preserve">toured with </w:t>
      </w:r>
      <w:proofErr w:type="gramStart"/>
      <w:r w:rsidR="00D5413E">
        <w:rPr>
          <w:color w:val="000000" w:themeColor="text1"/>
        </w:rPr>
        <w:t>over a 100 objects</w:t>
      </w:r>
      <w:proofErr w:type="gramEnd"/>
      <w:r w:rsidR="00D5413E">
        <w:rPr>
          <w:color w:val="000000" w:themeColor="text1"/>
        </w:rPr>
        <w:t xml:space="preserve"> to Switzerland, London and America. </w:t>
      </w:r>
      <w:r w:rsidR="006E4F79">
        <w:rPr>
          <w:color w:val="000000" w:themeColor="text1"/>
        </w:rPr>
        <w:t xml:space="preserve">There were many objects on this tour because it consisted of Tutankhamun tomb items and </w:t>
      </w:r>
      <w:r w:rsidR="00303BBD">
        <w:rPr>
          <w:color w:val="000000" w:themeColor="text1"/>
        </w:rPr>
        <w:t xml:space="preserve">items from other </w:t>
      </w:r>
      <w:r w:rsidR="006E4F79">
        <w:rPr>
          <w:color w:val="000000" w:themeColor="text1"/>
        </w:rPr>
        <w:t xml:space="preserve">pharaohs </w:t>
      </w:r>
      <w:r w:rsidR="00303BBD">
        <w:rPr>
          <w:color w:val="000000" w:themeColor="text1"/>
        </w:rPr>
        <w:t xml:space="preserve">tomb </w:t>
      </w:r>
      <w:r w:rsidR="006E4F79">
        <w:rPr>
          <w:color w:val="000000" w:themeColor="text1"/>
        </w:rPr>
        <w:t>who were related to Tutankhamun</w:t>
      </w:r>
      <w:r w:rsidR="00303BBD">
        <w:rPr>
          <w:color w:val="000000" w:themeColor="text1"/>
        </w:rPr>
        <w:t xml:space="preserve">. </w:t>
      </w:r>
      <w:r w:rsidR="002C671A">
        <w:rPr>
          <w:color w:val="000000" w:themeColor="text1"/>
        </w:rPr>
        <w:t xml:space="preserve">Despite the large number of </w:t>
      </w:r>
      <w:r w:rsidR="00A74B23">
        <w:rPr>
          <w:color w:val="000000" w:themeColor="text1"/>
        </w:rPr>
        <w:t xml:space="preserve">objects, people had commented on disappointment </w:t>
      </w:r>
      <w:r w:rsidR="00000FD7">
        <w:rPr>
          <w:color w:val="000000" w:themeColor="text1"/>
        </w:rPr>
        <w:t xml:space="preserve">of the death mask not making an appearance. </w:t>
      </w:r>
    </w:p>
    <w:p w14:paraId="6DD1107D" w14:textId="2F8FE467" w:rsidR="00D70916" w:rsidRDefault="00153C47" w:rsidP="002117A2">
      <w:pPr>
        <w:spacing w:line="360" w:lineRule="auto"/>
        <w:rPr>
          <w:color w:val="000000" w:themeColor="text1"/>
        </w:rPr>
      </w:pPr>
      <w:r>
        <w:rPr>
          <w:color w:val="000000" w:themeColor="text1"/>
        </w:rPr>
        <w:t xml:space="preserve">The most recent tour is </w:t>
      </w:r>
      <w:r w:rsidRPr="0001730D">
        <w:rPr>
          <w:i/>
          <w:iCs/>
          <w:color w:val="000000" w:themeColor="text1"/>
        </w:rPr>
        <w:t xml:space="preserve">Tutankhamun: Treasures </w:t>
      </w:r>
      <w:r w:rsidR="00F55E3B" w:rsidRPr="0001730D">
        <w:rPr>
          <w:i/>
          <w:iCs/>
          <w:color w:val="000000" w:themeColor="text1"/>
        </w:rPr>
        <w:t>of the Golden Pharaoh</w:t>
      </w:r>
      <w:r w:rsidR="00F55E3B">
        <w:rPr>
          <w:color w:val="000000" w:themeColor="text1"/>
        </w:rPr>
        <w:t xml:space="preserve"> started its tour in 2019</w:t>
      </w:r>
      <w:r w:rsidR="00125824">
        <w:rPr>
          <w:color w:val="000000" w:themeColor="text1"/>
        </w:rPr>
        <w:t xml:space="preserve"> to </w:t>
      </w:r>
      <w:r w:rsidR="00F5102F">
        <w:rPr>
          <w:color w:val="000000" w:themeColor="text1"/>
        </w:rPr>
        <w:t>America, Paris and London so far</w:t>
      </w:r>
      <w:r w:rsidR="00A55473">
        <w:rPr>
          <w:color w:val="000000" w:themeColor="text1"/>
        </w:rPr>
        <w:t xml:space="preserve">, tour is due to continue until 2021. </w:t>
      </w:r>
      <w:r w:rsidR="00D800AF" w:rsidRPr="003B3E89">
        <w:rPr>
          <w:color w:val="000000" w:themeColor="text1"/>
          <w:highlight w:val="magenta"/>
        </w:rPr>
        <w:t>The tour is for cultural and financial purposes</w:t>
      </w:r>
      <w:r w:rsidR="002D0C2A" w:rsidRPr="003B3E89">
        <w:rPr>
          <w:color w:val="000000" w:themeColor="text1"/>
          <w:highlight w:val="magenta"/>
        </w:rPr>
        <w:t xml:space="preserve">; in hope that it will attract more people to </w:t>
      </w:r>
      <w:r w:rsidR="00B43B93" w:rsidRPr="003B3E89">
        <w:rPr>
          <w:color w:val="000000" w:themeColor="text1"/>
          <w:highlight w:val="magenta"/>
        </w:rPr>
        <w:t xml:space="preserve">visit </w:t>
      </w:r>
      <w:r w:rsidR="002D0C2A" w:rsidRPr="003B3E89">
        <w:rPr>
          <w:color w:val="000000" w:themeColor="text1"/>
          <w:highlight w:val="magenta"/>
        </w:rPr>
        <w:t>Egypt</w:t>
      </w:r>
      <w:r w:rsidR="00250CFF" w:rsidRPr="003B3E89">
        <w:rPr>
          <w:color w:val="000000" w:themeColor="text1"/>
          <w:highlight w:val="magenta"/>
        </w:rPr>
        <w:t>.</w:t>
      </w:r>
      <w:r w:rsidR="00250CFF">
        <w:rPr>
          <w:color w:val="000000" w:themeColor="text1"/>
        </w:rPr>
        <w:t xml:space="preserve"> </w:t>
      </w:r>
      <w:r w:rsidR="002226DC">
        <w:rPr>
          <w:color w:val="000000" w:themeColor="text1"/>
        </w:rPr>
        <w:t xml:space="preserve">The tour </w:t>
      </w:r>
      <w:r w:rsidR="0059382F">
        <w:rPr>
          <w:color w:val="000000" w:themeColor="text1"/>
        </w:rPr>
        <w:t xml:space="preserve">consisted of sixty objects that had never left Egypt before, which emphasizes the </w:t>
      </w:r>
      <w:r w:rsidR="00EE1B7A">
        <w:rPr>
          <w:color w:val="000000" w:themeColor="text1"/>
        </w:rPr>
        <w:t xml:space="preserve">size of the tour. </w:t>
      </w:r>
      <w:r w:rsidR="00522776">
        <w:rPr>
          <w:color w:val="000000" w:themeColor="text1"/>
        </w:rPr>
        <w:t>Object</w:t>
      </w:r>
      <w:r w:rsidR="00E46CFB">
        <w:rPr>
          <w:color w:val="000000" w:themeColor="text1"/>
        </w:rPr>
        <w:t>s</w:t>
      </w:r>
      <w:r w:rsidR="00522776">
        <w:rPr>
          <w:color w:val="000000" w:themeColor="text1"/>
        </w:rPr>
        <w:t xml:space="preserve"> were divided over five floors, each room relatively dark with spotlights to </w:t>
      </w:r>
      <w:r w:rsidR="003C316A">
        <w:rPr>
          <w:color w:val="000000" w:themeColor="text1"/>
        </w:rPr>
        <w:t xml:space="preserve">illuminate objects. </w:t>
      </w:r>
    </w:p>
    <w:p w14:paraId="240042A0" w14:textId="5A1A6FD6" w:rsidR="00830C19" w:rsidRDefault="00830C19" w:rsidP="002117A2">
      <w:pPr>
        <w:spacing w:line="360" w:lineRule="auto"/>
        <w:rPr>
          <w:color w:val="000000" w:themeColor="text1"/>
        </w:rPr>
      </w:pPr>
      <w:r>
        <w:rPr>
          <w:color w:val="000000" w:themeColor="text1"/>
        </w:rPr>
        <w:t>Over time it appears that the tours ha</w:t>
      </w:r>
      <w:r w:rsidR="00C93BF5">
        <w:rPr>
          <w:color w:val="000000" w:themeColor="text1"/>
        </w:rPr>
        <w:t>ve</w:t>
      </w:r>
      <w:r>
        <w:rPr>
          <w:color w:val="000000" w:themeColor="text1"/>
        </w:rPr>
        <w:t xml:space="preserve"> </w:t>
      </w:r>
      <w:proofErr w:type="gramStart"/>
      <w:r>
        <w:rPr>
          <w:color w:val="000000" w:themeColor="text1"/>
        </w:rPr>
        <w:t>still kept</w:t>
      </w:r>
      <w:proofErr w:type="gramEnd"/>
      <w:r>
        <w:rPr>
          <w:color w:val="000000" w:themeColor="text1"/>
        </w:rPr>
        <w:t xml:space="preserve"> to a glamorous presentation</w:t>
      </w:r>
      <w:r w:rsidR="003B3E89">
        <w:rPr>
          <w:color w:val="000000" w:themeColor="text1"/>
        </w:rPr>
        <w:t xml:space="preserve"> </w:t>
      </w:r>
      <w:r>
        <w:rPr>
          <w:color w:val="000000" w:themeColor="text1"/>
        </w:rPr>
        <w:t xml:space="preserve">but </w:t>
      </w:r>
      <w:r w:rsidR="00061D9A">
        <w:rPr>
          <w:color w:val="000000" w:themeColor="text1"/>
        </w:rPr>
        <w:t xml:space="preserve">presents objects that are not necessarily </w:t>
      </w:r>
      <w:r w:rsidR="008B2AF5">
        <w:rPr>
          <w:color w:val="000000" w:themeColor="text1"/>
        </w:rPr>
        <w:t>just the wealthy objects</w:t>
      </w:r>
      <w:r w:rsidR="00E3181E">
        <w:rPr>
          <w:color w:val="000000" w:themeColor="text1"/>
        </w:rPr>
        <w:t xml:space="preserve"> but objects that </w:t>
      </w:r>
      <w:r w:rsidR="00B43C64">
        <w:rPr>
          <w:color w:val="000000" w:themeColor="text1"/>
        </w:rPr>
        <w:t xml:space="preserve">represent </w:t>
      </w:r>
      <w:r w:rsidR="007617AB">
        <w:rPr>
          <w:color w:val="000000" w:themeColor="text1"/>
        </w:rPr>
        <w:t xml:space="preserve">the king himself. </w:t>
      </w:r>
    </w:p>
    <w:p w14:paraId="0626425F" w14:textId="10F8281C" w:rsidR="00A533FD" w:rsidRDefault="00A533FD" w:rsidP="002117A2">
      <w:pPr>
        <w:spacing w:line="360" w:lineRule="auto"/>
        <w:rPr>
          <w:b/>
          <w:bCs/>
          <w:color w:val="000000" w:themeColor="text1"/>
          <w:sz w:val="28"/>
          <w:szCs w:val="28"/>
          <w:u w:val="single"/>
        </w:rPr>
      </w:pPr>
    </w:p>
    <w:p w14:paraId="1B2772BF" w14:textId="5369C22E" w:rsidR="00A533FD" w:rsidRDefault="00A533FD" w:rsidP="002117A2">
      <w:pPr>
        <w:spacing w:line="360" w:lineRule="auto"/>
        <w:rPr>
          <w:b/>
          <w:bCs/>
          <w:color w:val="000000" w:themeColor="text1"/>
          <w:sz w:val="28"/>
          <w:szCs w:val="28"/>
          <w:u w:val="single"/>
        </w:rPr>
      </w:pPr>
    </w:p>
    <w:p w14:paraId="1B4B52C7" w14:textId="33B35DA2" w:rsidR="00A533FD" w:rsidRDefault="00A533FD" w:rsidP="002117A2">
      <w:pPr>
        <w:spacing w:line="360" w:lineRule="auto"/>
        <w:rPr>
          <w:b/>
          <w:bCs/>
          <w:color w:val="000000" w:themeColor="text1"/>
          <w:sz w:val="28"/>
          <w:szCs w:val="28"/>
          <w:u w:val="single"/>
        </w:rPr>
      </w:pPr>
    </w:p>
    <w:p w14:paraId="031BD251" w14:textId="5D602552" w:rsidR="00A533FD" w:rsidRDefault="00A533FD" w:rsidP="002117A2">
      <w:pPr>
        <w:spacing w:line="360" w:lineRule="auto"/>
        <w:rPr>
          <w:b/>
          <w:bCs/>
          <w:color w:val="000000" w:themeColor="text1"/>
          <w:sz w:val="28"/>
          <w:szCs w:val="28"/>
          <w:u w:val="single"/>
        </w:rPr>
      </w:pPr>
    </w:p>
    <w:p w14:paraId="4C84A7F6" w14:textId="182C6BCD" w:rsidR="00A533FD" w:rsidRDefault="00A533FD" w:rsidP="002117A2">
      <w:pPr>
        <w:spacing w:line="360" w:lineRule="auto"/>
        <w:rPr>
          <w:b/>
          <w:bCs/>
          <w:color w:val="000000" w:themeColor="text1"/>
          <w:sz w:val="28"/>
          <w:szCs w:val="28"/>
          <w:u w:val="single"/>
        </w:rPr>
      </w:pPr>
    </w:p>
    <w:p w14:paraId="7B304C5E" w14:textId="06EEBB7F" w:rsidR="00A533FD" w:rsidRDefault="00A533FD" w:rsidP="002117A2">
      <w:pPr>
        <w:spacing w:line="360" w:lineRule="auto"/>
        <w:rPr>
          <w:b/>
          <w:bCs/>
          <w:color w:val="000000" w:themeColor="text1"/>
          <w:sz w:val="28"/>
          <w:szCs w:val="28"/>
          <w:u w:val="single"/>
        </w:rPr>
      </w:pPr>
    </w:p>
    <w:p w14:paraId="0F9BA8AB" w14:textId="61A25E11" w:rsidR="00A533FD" w:rsidRDefault="00A533FD" w:rsidP="002117A2">
      <w:pPr>
        <w:spacing w:line="360" w:lineRule="auto"/>
        <w:rPr>
          <w:b/>
          <w:bCs/>
          <w:color w:val="000000" w:themeColor="text1"/>
          <w:sz w:val="28"/>
          <w:szCs w:val="28"/>
          <w:u w:val="single"/>
        </w:rPr>
      </w:pPr>
    </w:p>
    <w:p w14:paraId="2CFFA9FD" w14:textId="67291364" w:rsidR="00A533FD" w:rsidRDefault="00A533FD" w:rsidP="002117A2">
      <w:pPr>
        <w:spacing w:line="360" w:lineRule="auto"/>
        <w:rPr>
          <w:b/>
          <w:bCs/>
          <w:color w:val="000000" w:themeColor="text1"/>
          <w:sz w:val="28"/>
          <w:szCs w:val="28"/>
          <w:u w:val="single"/>
        </w:rPr>
      </w:pPr>
    </w:p>
    <w:p w14:paraId="2DD9E448" w14:textId="1B1768CA" w:rsidR="00A533FD" w:rsidRDefault="00A533FD" w:rsidP="002117A2">
      <w:pPr>
        <w:spacing w:line="360" w:lineRule="auto"/>
        <w:rPr>
          <w:b/>
          <w:bCs/>
          <w:color w:val="000000" w:themeColor="text1"/>
          <w:sz w:val="28"/>
          <w:szCs w:val="28"/>
          <w:u w:val="single"/>
        </w:rPr>
      </w:pPr>
    </w:p>
    <w:p w14:paraId="6C1BBD8F" w14:textId="7F440F48" w:rsidR="00A533FD" w:rsidRDefault="00A533FD" w:rsidP="002117A2">
      <w:pPr>
        <w:spacing w:line="360" w:lineRule="auto"/>
        <w:rPr>
          <w:b/>
          <w:bCs/>
          <w:color w:val="000000" w:themeColor="text1"/>
          <w:sz w:val="28"/>
          <w:szCs w:val="28"/>
          <w:u w:val="single"/>
        </w:rPr>
      </w:pPr>
    </w:p>
    <w:p w14:paraId="710B3291" w14:textId="559FD6CA" w:rsidR="00A533FD" w:rsidRDefault="00A533FD" w:rsidP="002117A2">
      <w:pPr>
        <w:spacing w:line="360" w:lineRule="auto"/>
        <w:rPr>
          <w:b/>
          <w:bCs/>
          <w:color w:val="000000" w:themeColor="text1"/>
          <w:sz w:val="28"/>
          <w:szCs w:val="28"/>
          <w:u w:val="single"/>
        </w:rPr>
      </w:pPr>
    </w:p>
    <w:p w14:paraId="6FFFF5CC" w14:textId="49857AF6" w:rsidR="00A533FD" w:rsidRDefault="00A533FD" w:rsidP="002117A2">
      <w:pPr>
        <w:spacing w:line="360" w:lineRule="auto"/>
        <w:rPr>
          <w:b/>
          <w:bCs/>
          <w:color w:val="000000" w:themeColor="text1"/>
          <w:sz w:val="28"/>
          <w:szCs w:val="28"/>
          <w:u w:val="single"/>
        </w:rPr>
      </w:pPr>
    </w:p>
    <w:p w14:paraId="2F6ADE4E" w14:textId="77777777" w:rsidR="00C272CC" w:rsidRDefault="00C272CC" w:rsidP="00C272CC">
      <w:pPr>
        <w:spacing w:line="360" w:lineRule="auto"/>
        <w:rPr>
          <w:b/>
          <w:bCs/>
          <w:color w:val="000000" w:themeColor="text1"/>
          <w:sz w:val="28"/>
          <w:szCs w:val="28"/>
          <w:u w:val="single"/>
        </w:rPr>
      </w:pPr>
    </w:p>
    <w:p w14:paraId="2DDB925A" w14:textId="4177E3CC" w:rsidR="00D70916" w:rsidRPr="00A533FD" w:rsidRDefault="00A533FD" w:rsidP="00C272CC">
      <w:pPr>
        <w:spacing w:line="360" w:lineRule="auto"/>
        <w:jc w:val="center"/>
        <w:rPr>
          <w:b/>
          <w:bCs/>
          <w:color w:val="000000" w:themeColor="text1"/>
          <w:sz w:val="28"/>
          <w:szCs w:val="28"/>
          <w:u w:val="single"/>
        </w:rPr>
      </w:pPr>
      <w:r w:rsidRPr="00A533FD">
        <w:rPr>
          <w:b/>
          <w:bCs/>
          <w:color w:val="000000" w:themeColor="text1"/>
          <w:sz w:val="28"/>
          <w:szCs w:val="28"/>
          <w:u w:val="single"/>
        </w:rPr>
        <w:lastRenderedPageBreak/>
        <w:t>Appendices</w:t>
      </w:r>
    </w:p>
    <w:p w14:paraId="59926688" w14:textId="77777777" w:rsidR="00A533FD" w:rsidRDefault="00A533FD" w:rsidP="00A533FD">
      <w:r>
        <w:t>Appendix A: Table of Inclusion and Exclusion Criteria for source searching</w:t>
      </w:r>
      <w:r>
        <w:rPr>
          <w:rStyle w:val="FootnoteReference"/>
        </w:rPr>
        <w:footnoteReference w:id="289"/>
      </w:r>
      <w:r>
        <w:t xml:space="preserve">. </w:t>
      </w:r>
    </w:p>
    <w:tbl>
      <w:tblPr>
        <w:tblStyle w:val="TableGrid"/>
        <w:tblW w:w="0" w:type="auto"/>
        <w:tblLook w:val="04A0" w:firstRow="1" w:lastRow="0" w:firstColumn="1" w:lastColumn="0" w:noHBand="0" w:noVBand="1"/>
      </w:tblPr>
      <w:tblGrid>
        <w:gridCol w:w="4508"/>
        <w:gridCol w:w="4508"/>
      </w:tblGrid>
      <w:tr w:rsidR="00A533FD" w:rsidRPr="00113A28" w14:paraId="71AFBFBA" w14:textId="77777777" w:rsidTr="00C272CC">
        <w:tc>
          <w:tcPr>
            <w:tcW w:w="4508" w:type="dxa"/>
          </w:tcPr>
          <w:p w14:paraId="607446EC" w14:textId="77777777" w:rsidR="00A533FD" w:rsidRPr="00113A28" w:rsidRDefault="00A533FD" w:rsidP="00C272CC">
            <w:pPr>
              <w:spacing w:line="360" w:lineRule="auto"/>
              <w:rPr>
                <w:b/>
                <w:bCs/>
              </w:rPr>
            </w:pPr>
            <w:r w:rsidRPr="00113A28">
              <w:rPr>
                <w:b/>
                <w:bCs/>
              </w:rPr>
              <w:t>Inclusion Criteria, phrase, term</w:t>
            </w:r>
          </w:p>
        </w:tc>
        <w:tc>
          <w:tcPr>
            <w:tcW w:w="4508" w:type="dxa"/>
          </w:tcPr>
          <w:p w14:paraId="67D1AB91" w14:textId="77777777" w:rsidR="00A533FD" w:rsidRPr="00113A28" w:rsidRDefault="00A533FD" w:rsidP="00C272CC">
            <w:pPr>
              <w:spacing w:line="360" w:lineRule="auto"/>
              <w:rPr>
                <w:b/>
                <w:bCs/>
              </w:rPr>
            </w:pPr>
            <w:r w:rsidRPr="00113A28">
              <w:rPr>
                <w:b/>
                <w:bCs/>
              </w:rPr>
              <w:t>Exclusion Criteria, phrase, term</w:t>
            </w:r>
          </w:p>
        </w:tc>
      </w:tr>
      <w:tr w:rsidR="00A533FD" w14:paraId="1240CE2E" w14:textId="77777777" w:rsidTr="00C272CC">
        <w:tc>
          <w:tcPr>
            <w:tcW w:w="4508" w:type="dxa"/>
          </w:tcPr>
          <w:p w14:paraId="7E5B2B8B" w14:textId="77777777" w:rsidR="00A533FD" w:rsidRDefault="00A533FD" w:rsidP="00C272CC">
            <w:pPr>
              <w:spacing w:line="360" w:lineRule="auto"/>
            </w:pPr>
            <w:r>
              <w:t xml:space="preserve">Egyptomania </w:t>
            </w:r>
          </w:p>
        </w:tc>
        <w:tc>
          <w:tcPr>
            <w:tcW w:w="4508" w:type="dxa"/>
          </w:tcPr>
          <w:p w14:paraId="0AA25FC5" w14:textId="77777777" w:rsidR="00A533FD" w:rsidRDefault="00A533FD" w:rsidP="00C272CC">
            <w:pPr>
              <w:spacing w:line="360" w:lineRule="auto"/>
            </w:pPr>
            <w:r>
              <w:t>Not about Egypt</w:t>
            </w:r>
          </w:p>
        </w:tc>
      </w:tr>
      <w:tr w:rsidR="00A533FD" w14:paraId="638E50E2" w14:textId="77777777" w:rsidTr="00C272CC">
        <w:tc>
          <w:tcPr>
            <w:tcW w:w="4508" w:type="dxa"/>
          </w:tcPr>
          <w:p w14:paraId="5B32645F" w14:textId="77777777" w:rsidR="00A533FD" w:rsidRDefault="00A533FD" w:rsidP="00C272CC">
            <w:pPr>
              <w:spacing w:line="360" w:lineRule="auto"/>
            </w:pPr>
            <w:r>
              <w:t>Antiquities in Egypt</w:t>
            </w:r>
          </w:p>
        </w:tc>
        <w:tc>
          <w:tcPr>
            <w:tcW w:w="4508" w:type="dxa"/>
          </w:tcPr>
          <w:p w14:paraId="37416A0D" w14:textId="77777777" w:rsidR="00A533FD" w:rsidRDefault="00A533FD" w:rsidP="00C272CC">
            <w:pPr>
              <w:spacing w:line="360" w:lineRule="auto"/>
            </w:pPr>
            <w:r>
              <w:t xml:space="preserve">Not about Egyptian antiquities </w:t>
            </w:r>
          </w:p>
        </w:tc>
      </w:tr>
      <w:tr w:rsidR="00A533FD" w14:paraId="5C42FAB2" w14:textId="77777777" w:rsidTr="00C272CC">
        <w:tc>
          <w:tcPr>
            <w:tcW w:w="4508" w:type="dxa"/>
          </w:tcPr>
          <w:p w14:paraId="65C1D7F9" w14:textId="77777777" w:rsidR="00A533FD" w:rsidRDefault="00A533FD" w:rsidP="00C272CC">
            <w:pPr>
              <w:spacing w:line="360" w:lineRule="auto"/>
            </w:pPr>
            <w:proofErr w:type="spellStart"/>
            <w:r>
              <w:t>Tutmania</w:t>
            </w:r>
            <w:proofErr w:type="spellEnd"/>
          </w:p>
        </w:tc>
        <w:tc>
          <w:tcPr>
            <w:tcW w:w="4508" w:type="dxa"/>
          </w:tcPr>
          <w:p w14:paraId="58875E8C" w14:textId="77777777" w:rsidR="00A533FD" w:rsidRDefault="00A533FD" w:rsidP="00C272CC">
            <w:pPr>
              <w:spacing w:line="360" w:lineRule="auto"/>
            </w:pPr>
            <w:r>
              <w:t xml:space="preserve">Not about Tutankhamun </w:t>
            </w:r>
          </w:p>
        </w:tc>
      </w:tr>
      <w:tr w:rsidR="00A533FD" w14:paraId="7CE0F918" w14:textId="77777777" w:rsidTr="00C272CC">
        <w:tc>
          <w:tcPr>
            <w:tcW w:w="4508" w:type="dxa"/>
          </w:tcPr>
          <w:p w14:paraId="109876B4" w14:textId="77777777" w:rsidR="00A533FD" w:rsidRPr="00707922" w:rsidRDefault="00A533FD" w:rsidP="00C272CC">
            <w:pPr>
              <w:spacing w:line="360" w:lineRule="auto"/>
            </w:pPr>
            <w:r w:rsidRPr="00707922">
              <w:t xml:space="preserve">Needs to be published in English </w:t>
            </w:r>
          </w:p>
        </w:tc>
        <w:tc>
          <w:tcPr>
            <w:tcW w:w="4508" w:type="dxa"/>
          </w:tcPr>
          <w:p w14:paraId="440E8A6B" w14:textId="77777777" w:rsidR="00A533FD" w:rsidRDefault="00A533FD" w:rsidP="00C272CC">
            <w:pPr>
              <w:spacing w:line="360" w:lineRule="auto"/>
            </w:pPr>
            <w:r>
              <w:t>Not in English</w:t>
            </w:r>
          </w:p>
        </w:tc>
      </w:tr>
      <w:tr w:rsidR="00A533FD" w14:paraId="7D10D398" w14:textId="77777777" w:rsidTr="00C272CC">
        <w:tc>
          <w:tcPr>
            <w:tcW w:w="4508" w:type="dxa"/>
          </w:tcPr>
          <w:p w14:paraId="5DC0FFD5" w14:textId="77777777" w:rsidR="00A533FD" w:rsidRDefault="00A533FD" w:rsidP="00C272CC">
            <w:pPr>
              <w:spacing w:line="360" w:lineRule="auto"/>
            </w:pPr>
            <w:r>
              <w:t xml:space="preserve">Peer reviewed </w:t>
            </w:r>
          </w:p>
        </w:tc>
        <w:tc>
          <w:tcPr>
            <w:tcW w:w="4508" w:type="dxa"/>
          </w:tcPr>
          <w:p w14:paraId="502380CB" w14:textId="77777777" w:rsidR="00A533FD" w:rsidRDefault="00A533FD" w:rsidP="00C272CC">
            <w:pPr>
              <w:spacing w:line="360" w:lineRule="auto"/>
            </w:pPr>
            <w:r>
              <w:t xml:space="preserve">Not peer reviewed </w:t>
            </w:r>
          </w:p>
        </w:tc>
      </w:tr>
      <w:tr w:rsidR="00A533FD" w14:paraId="2D41BD52" w14:textId="77777777" w:rsidTr="00C272CC">
        <w:tc>
          <w:tcPr>
            <w:tcW w:w="4508" w:type="dxa"/>
          </w:tcPr>
          <w:p w14:paraId="099264FC" w14:textId="77777777" w:rsidR="00A533FD" w:rsidRDefault="00A533FD" w:rsidP="00C272CC">
            <w:pPr>
              <w:spacing w:line="360" w:lineRule="auto"/>
            </w:pPr>
            <w:r>
              <w:t>Published by relevant academic’s</w:t>
            </w:r>
          </w:p>
        </w:tc>
        <w:tc>
          <w:tcPr>
            <w:tcW w:w="4508" w:type="dxa"/>
          </w:tcPr>
          <w:p w14:paraId="5038C747" w14:textId="77777777" w:rsidR="00A533FD" w:rsidRDefault="00A533FD" w:rsidP="00C272CC">
            <w:pPr>
              <w:spacing w:line="360" w:lineRule="auto"/>
            </w:pPr>
            <w:r>
              <w:t xml:space="preserve">Not to be published by non-academics unless an exceptional piece such as Carter’s diaries </w:t>
            </w:r>
          </w:p>
        </w:tc>
      </w:tr>
      <w:tr w:rsidR="00A533FD" w14:paraId="20B76826" w14:textId="77777777" w:rsidTr="00C272CC">
        <w:tc>
          <w:tcPr>
            <w:tcW w:w="4508" w:type="dxa"/>
          </w:tcPr>
          <w:p w14:paraId="4E08B40D" w14:textId="77777777" w:rsidR="00A533FD" w:rsidRDefault="00A533FD" w:rsidP="00C272CC">
            <w:pPr>
              <w:spacing w:line="360" w:lineRule="auto"/>
            </w:pPr>
            <w:r>
              <w:t>Date from 1922 – present day</w:t>
            </w:r>
          </w:p>
        </w:tc>
        <w:tc>
          <w:tcPr>
            <w:tcW w:w="4508" w:type="dxa"/>
          </w:tcPr>
          <w:p w14:paraId="3EF03894" w14:textId="77777777" w:rsidR="00A533FD" w:rsidRDefault="00A533FD" w:rsidP="00C272CC">
            <w:pPr>
              <w:spacing w:line="360" w:lineRule="auto"/>
            </w:pPr>
            <w:r>
              <w:t>Older than 1922</w:t>
            </w:r>
          </w:p>
        </w:tc>
      </w:tr>
    </w:tbl>
    <w:p w14:paraId="3723403D" w14:textId="77777777" w:rsidR="00A533FD" w:rsidRDefault="00A533FD" w:rsidP="00A533FD"/>
    <w:p w14:paraId="6B97044B" w14:textId="77777777" w:rsidR="00A533FD" w:rsidRDefault="00A533FD" w:rsidP="00A533FD"/>
    <w:p w14:paraId="7AD1B086" w14:textId="77777777" w:rsidR="00A533FD" w:rsidRDefault="00A533FD" w:rsidP="00A533FD"/>
    <w:p w14:paraId="6D95BA39" w14:textId="77777777" w:rsidR="00A533FD" w:rsidRDefault="00A533FD" w:rsidP="00A533FD"/>
    <w:p w14:paraId="7B523726" w14:textId="77777777" w:rsidR="00A533FD" w:rsidRDefault="00A533FD" w:rsidP="00A533FD"/>
    <w:p w14:paraId="472C8EE2" w14:textId="77777777" w:rsidR="00A533FD" w:rsidRDefault="00A533FD" w:rsidP="00A533FD"/>
    <w:p w14:paraId="2407FE02" w14:textId="77777777" w:rsidR="00A533FD" w:rsidRDefault="00A533FD" w:rsidP="00A533FD"/>
    <w:p w14:paraId="127CC954" w14:textId="77777777" w:rsidR="00A533FD" w:rsidRDefault="00A533FD" w:rsidP="00A533FD"/>
    <w:p w14:paraId="51C7BEBA" w14:textId="77777777" w:rsidR="00A533FD" w:rsidRDefault="00A533FD" w:rsidP="00A533FD"/>
    <w:p w14:paraId="73B44E19" w14:textId="77777777" w:rsidR="00A533FD" w:rsidRDefault="00A533FD" w:rsidP="00A533FD"/>
    <w:p w14:paraId="132774DC" w14:textId="77777777" w:rsidR="00A533FD" w:rsidRDefault="00A533FD" w:rsidP="00A533FD"/>
    <w:p w14:paraId="776E7C56" w14:textId="77777777" w:rsidR="00A533FD" w:rsidRDefault="00A533FD" w:rsidP="00A533FD"/>
    <w:p w14:paraId="274071A1" w14:textId="77777777" w:rsidR="00A533FD" w:rsidRDefault="00A533FD" w:rsidP="00A533FD"/>
    <w:p w14:paraId="2360101A" w14:textId="77777777" w:rsidR="00A533FD" w:rsidRDefault="00A533FD" w:rsidP="00A533FD"/>
    <w:p w14:paraId="0C62509D" w14:textId="77777777" w:rsidR="00A533FD" w:rsidRDefault="00A533FD" w:rsidP="00A533FD"/>
    <w:p w14:paraId="54C7A50A" w14:textId="77777777" w:rsidR="00A533FD" w:rsidRDefault="00A533FD" w:rsidP="00A533FD"/>
    <w:p w14:paraId="21A6CF6C" w14:textId="77777777" w:rsidR="00A533FD" w:rsidRDefault="00A533FD" w:rsidP="00A533FD"/>
    <w:p w14:paraId="46C641B2" w14:textId="77777777" w:rsidR="00A533FD" w:rsidRDefault="00A533FD" w:rsidP="00A533FD"/>
    <w:p w14:paraId="037429B1" w14:textId="77777777" w:rsidR="008F51E2" w:rsidRDefault="008F51E2" w:rsidP="00A533FD"/>
    <w:p w14:paraId="5928D7AC" w14:textId="77777777" w:rsidR="008F51E2" w:rsidRDefault="008F51E2" w:rsidP="00A533FD"/>
    <w:p w14:paraId="5E64341B" w14:textId="1A7016D6" w:rsidR="00A533FD" w:rsidRDefault="00A533FD" w:rsidP="00A533FD">
      <w:r>
        <w:t>Appendix B: Theodore Davis’s Excavation list of the Valley of the Kings</w:t>
      </w:r>
      <w:r>
        <w:rPr>
          <w:rStyle w:val="FootnoteReference"/>
        </w:rPr>
        <w:footnoteReference w:id="290"/>
      </w:r>
    </w:p>
    <w:p w14:paraId="452FE8BE" w14:textId="77777777" w:rsidR="00A533FD" w:rsidRDefault="00A533FD" w:rsidP="00A533FD">
      <w:r>
        <w:rPr>
          <w:noProof/>
        </w:rPr>
        <w:drawing>
          <wp:inline distT="0" distB="0" distL="0" distR="0" wp14:anchorId="01BE2F0E" wp14:editId="1ACCA276">
            <wp:extent cx="4162425" cy="5277772"/>
            <wp:effectExtent l="0" t="0" r="0" b="0"/>
            <wp:docPr id="24" name="Picture 2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k.jpeg"/>
                    <pic:cNvPicPr/>
                  </pic:nvPicPr>
                  <pic:blipFill>
                    <a:blip r:embed="rId25">
                      <a:extLst>
                        <a:ext uri="{28A0092B-C50C-407E-A947-70E740481C1C}">
                          <a14:useLocalDpi xmlns:a14="http://schemas.microsoft.com/office/drawing/2010/main" val="0"/>
                        </a:ext>
                      </a:extLst>
                    </a:blip>
                    <a:stretch>
                      <a:fillRect/>
                    </a:stretch>
                  </pic:blipFill>
                  <pic:spPr>
                    <a:xfrm>
                      <a:off x="0" y="0"/>
                      <a:ext cx="4215735" cy="5345367"/>
                    </a:xfrm>
                    <a:prstGeom prst="rect">
                      <a:avLst/>
                    </a:prstGeom>
                  </pic:spPr>
                </pic:pic>
              </a:graphicData>
            </a:graphic>
          </wp:inline>
        </w:drawing>
      </w:r>
    </w:p>
    <w:p w14:paraId="46D517FE" w14:textId="77777777" w:rsidR="008F51E2" w:rsidRDefault="008F51E2" w:rsidP="00A533FD"/>
    <w:p w14:paraId="25ACE328" w14:textId="77777777" w:rsidR="008F51E2" w:rsidRDefault="008F51E2" w:rsidP="00A533FD"/>
    <w:p w14:paraId="4CA482E1" w14:textId="77777777" w:rsidR="008F51E2" w:rsidRDefault="008F51E2" w:rsidP="00A533FD"/>
    <w:p w14:paraId="06F39932" w14:textId="77777777" w:rsidR="008F51E2" w:rsidRDefault="008F51E2" w:rsidP="00A533FD"/>
    <w:p w14:paraId="65440FE3" w14:textId="77777777" w:rsidR="008F51E2" w:rsidRDefault="008F51E2" w:rsidP="00A533FD"/>
    <w:p w14:paraId="63B56213" w14:textId="77777777" w:rsidR="008F51E2" w:rsidRDefault="008F51E2" w:rsidP="00A533FD"/>
    <w:p w14:paraId="167CD625" w14:textId="77777777" w:rsidR="008F51E2" w:rsidRDefault="008F51E2" w:rsidP="00A533FD"/>
    <w:p w14:paraId="23654544" w14:textId="77777777" w:rsidR="008F51E2" w:rsidRDefault="008F51E2" w:rsidP="00A533FD"/>
    <w:p w14:paraId="66C3FCED" w14:textId="77777777" w:rsidR="008F51E2" w:rsidRDefault="008F51E2" w:rsidP="00A533FD"/>
    <w:p w14:paraId="5A00A14E" w14:textId="7F1F170B" w:rsidR="00A533FD" w:rsidRDefault="00A533FD" w:rsidP="00A533FD">
      <w:r>
        <w:lastRenderedPageBreak/>
        <w:t>Appendix C: Table of Archaeologist who have excavated in Egypt</w:t>
      </w:r>
      <w:r>
        <w:rPr>
          <w:rStyle w:val="FootnoteReference"/>
        </w:rPr>
        <w:footnoteReference w:id="291"/>
      </w:r>
    </w:p>
    <w:tbl>
      <w:tblPr>
        <w:tblStyle w:val="TableGrid"/>
        <w:tblW w:w="0" w:type="auto"/>
        <w:tblLook w:val="04A0" w:firstRow="1" w:lastRow="0" w:firstColumn="1" w:lastColumn="0" w:noHBand="0" w:noVBand="1"/>
      </w:tblPr>
      <w:tblGrid>
        <w:gridCol w:w="2254"/>
        <w:gridCol w:w="2254"/>
        <w:gridCol w:w="2254"/>
        <w:gridCol w:w="2254"/>
      </w:tblGrid>
      <w:tr w:rsidR="00A533FD" w:rsidRPr="00A922BC" w14:paraId="5336198E" w14:textId="77777777" w:rsidTr="00C272CC">
        <w:tc>
          <w:tcPr>
            <w:tcW w:w="2254" w:type="dxa"/>
          </w:tcPr>
          <w:p w14:paraId="653916D5" w14:textId="77777777" w:rsidR="00A533FD" w:rsidRPr="00A922BC" w:rsidRDefault="00A533FD" w:rsidP="00C272CC">
            <w:pPr>
              <w:spacing w:line="360" w:lineRule="auto"/>
              <w:rPr>
                <w:b/>
                <w:bCs/>
                <w:u w:val="single"/>
              </w:rPr>
            </w:pPr>
            <w:r w:rsidRPr="00A922BC">
              <w:rPr>
                <w:b/>
                <w:bCs/>
                <w:u w:val="single"/>
              </w:rPr>
              <w:t xml:space="preserve">Egyptologists </w:t>
            </w:r>
          </w:p>
        </w:tc>
        <w:tc>
          <w:tcPr>
            <w:tcW w:w="2254" w:type="dxa"/>
          </w:tcPr>
          <w:p w14:paraId="5A2DDFFD" w14:textId="77777777" w:rsidR="00A533FD" w:rsidRPr="00A922BC" w:rsidRDefault="00A533FD" w:rsidP="00C272CC">
            <w:pPr>
              <w:spacing w:line="360" w:lineRule="auto"/>
              <w:rPr>
                <w:b/>
                <w:bCs/>
                <w:u w:val="single"/>
              </w:rPr>
            </w:pPr>
            <w:r w:rsidRPr="00A922BC">
              <w:rPr>
                <w:b/>
                <w:bCs/>
                <w:u w:val="single"/>
              </w:rPr>
              <w:t>Islamic Archaeologists</w:t>
            </w:r>
          </w:p>
        </w:tc>
        <w:tc>
          <w:tcPr>
            <w:tcW w:w="2254" w:type="dxa"/>
          </w:tcPr>
          <w:p w14:paraId="2CF6DB5B" w14:textId="77777777" w:rsidR="00A533FD" w:rsidRPr="00A922BC" w:rsidRDefault="00A533FD" w:rsidP="00C272CC">
            <w:pPr>
              <w:spacing w:line="360" w:lineRule="auto"/>
              <w:rPr>
                <w:b/>
                <w:bCs/>
                <w:u w:val="single"/>
              </w:rPr>
            </w:pPr>
            <w:proofErr w:type="spellStart"/>
            <w:r w:rsidRPr="00A922BC">
              <w:rPr>
                <w:b/>
                <w:bCs/>
                <w:u w:val="single"/>
              </w:rPr>
              <w:t>Coptologists</w:t>
            </w:r>
            <w:proofErr w:type="spellEnd"/>
          </w:p>
        </w:tc>
        <w:tc>
          <w:tcPr>
            <w:tcW w:w="2254" w:type="dxa"/>
          </w:tcPr>
          <w:p w14:paraId="154A01DC" w14:textId="77777777" w:rsidR="00A533FD" w:rsidRPr="00A922BC" w:rsidRDefault="00A533FD" w:rsidP="00C272CC">
            <w:pPr>
              <w:spacing w:line="360" w:lineRule="auto"/>
              <w:rPr>
                <w:b/>
                <w:bCs/>
                <w:u w:val="single"/>
              </w:rPr>
            </w:pPr>
            <w:r w:rsidRPr="00A922BC">
              <w:rPr>
                <w:b/>
                <w:bCs/>
                <w:u w:val="single"/>
              </w:rPr>
              <w:t>Contemporary Western Archaeologists</w:t>
            </w:r>
          </w:p>
        </w:tc>
      </w:tr>
      <w:tr w:rsidR="00A533FD" w14:paraId="3DA53D83" w14:textId="77777777" w:rsidTr="00C272CC">
        <w:tc>
          <w:tcPr>
            <w:tcW w:w="2254" w:type="dxa"/>
          </w:tcPr>
          <w:p w14:paraId="5D7F451C" w14:textId="77777777" w:rsidR="00A533FD" w:rsidRPr="00F77588" w:rsidRDefault="00A533FD" w:rsidP="00C272CC">
            <w:pPr>
              <w:spacing w:line="360" w:lineRule="auto"/>
              <w:rPr>
                <w:b/>
                <w:bCs/>
              </w:rPr>
            </w:pPr>
            <w:r w:rsidRPr="00F77588">
              <w:rPr>
                <w:b/>
                <w:bCs/>
              </w:rPr>
              <w:t>1</w:t>
            </w:r>
            <w:r w:rsidRPr="00F77588">
              <w:rPr>
                <w:b/>
                <w:bCs/>
                <w:vertAlign w:val="superscript"/>
              </w:rPr>
              <w:t>st</w:t>
            </w:r>
            <w:r w:rsidRPr="00F77588">
              <w:rPr>
                <w:b/>
                <w:bCs/>
              </w:rPr>
              <w:t xml:space="preserve"> generation </w:t>
            </w:r>
          </w:p>
          <w:p w14:paraId="768B2BEB" w14:textId="77777777" w:rsidR="00A533FD" w:rsidRDefault="00A533FD" w:rsidP="00C272CC">
            <w:pPr>
              <w:spacing w:line="360" w:lineRule="auto"/>
            </w:pPr>
            <w:r>
              <w:t>Ahmad Naguib (1847-1910)</w:t>
            </w:r>
          </w:p>
          <w:p w14:paraId="5420D406" w14:textId="77777777" w:rsidR="00A533FD" w:rsidRDefault="00A533FD" w:rsidP="00C272CC">
            <w:pPr>
              <w:spacing w:line="360" w:lineRule="auto"/>
            </w:pPr>
            <w:r>
              <w:t>Ahmad Kamal (1851-1923)</w:t>
            </w:r>
          </w:p>
        </w:tc>
        <w:tc>
          <w:tcPr>
            <w:tcW w:w="2254" w:type="dxa"/>
          </w:tcPr>
          <w:p w14:paraId="0A72DB8D" w14:textId="77777777" w:rsidR="00A533FD" w:rsidRDefault="00A533FD" w:rsidP="00C272CC">
            <w:pPr>
              <w:spacing w:line="360" w:lineRule="auto"/>
            </w:pPr>
            <w:r>
              <w:t xml:space="preserve">Ali </w:t>
            </w:r>
            <w:proofErr w:type="spellStart"/>
            <w:r>
              <w:t>Bahgat</w:t>
            </w:r>
            <w:proofErr w:type="spellEnd"/>
            <w:r>
              <w:t xml:space="preserve"> (1858-1924)</w:t>
            </w:r>
          </w:p>
        </w:tc>
        <w:tc>
          <w:tcPr>
            <w:tcW w:w="2254" w:type="dxa"/>
          </w:tcPr>
          <w:p w14:paraId="735D5CE1" w14:textId="77777777" w:rsidR="00A533FD" w:rsidRDefault="00A533FD" w:rsidP="00C272CC">
            <w:pPr>
              <w:spacing w:line="360" w:lineRule="auto"/>
            </w:pPr>
            <w:proofErr w:type="spellStart"/>
            <w:r>
              <w:t>Murqus</w:t>
            </w:r>
            <w:proofErr w:type="spellEnd"/>
            <w:r>
              <w:t xml:space="preserve"> </w:t>
            </w:r>
            <w:proofErr w:type="spellStart"/>
            <w:r>
              <w:t>Simaika</w:t>
            </w:r>
            <w:proofErr w:type="spellEnd"/>
            <w:r>
              <w:t xml:space="preserve"> (1864-1944)</w:t>
            </w:r>
          </w:p>
        </w:tc>
        <w:tc>
          <w:tcPr>
            <w:tcW w:w="2254" w:type="dxa"/>
          </w:tcPr>
          <w:p w14:paraId="5FC10777" w14:textId="77777777" w:rsidR="00A533FD" w:rsidRDefault="00A533FD" w:rsidP="00C272CC">
            <w:pPr>
              <w:spacing w:line="360" w:lineRule="auto"/>
            </w:pPr>
            <w:r>
              <w:t xml:space="preserve">Gaston </w:t>
            </w:r>
            <w:proofErr w:type="spellStart"/>
            <w:r>
              <w:t>Maspero</w:t>
            </w:r>
            <w:proofErr w:type="spellEnd"/>
            <w:r>
              <w:t xml:space="preserve"> (1846-1916)</w:t>
            </w:r>
          </w:p>
          <w:p w14:paraId="0B485772" w14:textId="77777777" w:rsidR="00A533FD" w:rsidRDefault="00A533FD" w:rsidP="00C272CC">
            <w:pPr>
              <w:spacing w:line="360" w:lineRule="auto"/>
            </w:pPr>
            <w:r>
              <w:t>Petrie (1853-1942)</w:t>
            </w:r>
          </w:p>
          <w:p w14:paraId="714F6383" w14:textId="77777777" w:rsidR="00A533FD" w:rsidRDefault="00A533FD" w:rsidP="00C272CC">
            <w:pPr>
              <w:spacing w:line="360" w:lineRule="auto"/>
            </w:pPr>
            <w:proofErr w:type="spellStart"/>
            <w:r>
              <w:t>Guiseppe</w:t>
            </w:r>
            <w:proofErr w:type="spellEnd"/>
            <w:r>
              <w:t xml:space="preserve"> Botti (1853-1903)</w:t>
            </w:r>
          </w:p>
          <w:p w14:paraId="0DA99426" w14:textId="77777777" w:rsidR="00A533FD" w:rsidRDefault="00A533FD" w:rsidP="00C272CC">
            <w:pPr>
              <w:spacing w:line="360" w:lineRule="auto"/>
            </w:pPr>
            <w:proofErr w:type="gramStart"/>
            <w:r>
              <w:t xml:space="preserve">Max  </w:t>
            </w:r>
            <w:proofErr w:type="spellStart"/>
            <w:r>
              <w:t>Herz</w:t>
            </w:r>
            <w:proofErr w:type="spellEnd"/>
            <w:proofErr w:type="gramEnd"/>
            <w:r>
              <w:t xml:space="preserve"> (1856-1919)</w:t>
            </w:r>
          </w:p>
        </w:tc>
      </w:tr>
      <w:tr w:rsidR="00A533FD" w14:paraId="52E32EA1" w14:textId="77777777" w:rsidTr="00C272CC">
        <w:tc>
          <w:tcPr>
            <w:tcW w:w="2254" w:type="dxa"/>
          </w:tcPr>
          <w:p w14:paraId="07359DEA" w14:textId="77777777" w:rsidR="00A533FD" w:rsidRPr="00F77588" w:rsidRDefault="00A533FD" w:rsidP="00C272CC">
            <w:pPr>
              <w:spacing w:line="360" w:lineRule="auto"/>
              <w:rPr>
                <w:b/>
                <w:bCs/>
              </w:rPr>
            </w:pPr>
            <w:r w:rsidRPr="00F77588">
              <w:rPr>
                <w:b/>
                <w:bCs/>
              </w:rPr>
              <w:t>Lost generation of Egyptian archaeologists</w:t>
            </w:r>
          </w:p>
        </w:tc>
        <w:tc>
          <w:tcPr>
            <w:tcW w:w="2254" w:type="dxa"/>
          </w:tcPr>
          <w:p w14:paraId="2EF7CCE3" w14:textId="77777777" w:rsidR="00A533FD" w:rsidRDefault="00A533FD" w:rsidP="00C272CC">
            <w:pPr>
              <w:spacing w:line="360" w:lineRule="auto"/>
            </w:pPr>
          </w:p>
        </w:tc>
        <w:tc>
          <w:tcPr>
            <w:tcW w:w="2254" w:type="dxa"/>
          </w:tcPr>
          <w:p w14:paraId="737BE0C0" w14:textId="77777777" w:rsidR="00A533FD" w:rsidRDefault="00A533FD" w:rsidP="00C272CC">
            <w:pPr>
              <w:spacing w:line="360" w:lineRule="auto"/>
            </w:pPr>
            <w:r>
              <w:t>Claudius Labib (1868-1918)</w:t>
            </w:r>
          </w:p>
        </w:tc>
        <w:tc>
          <w:tcPr>
            <w:tcW w:w="2254" w:type="dxa"/>
          </w:tcPr>
          <w:p w14:paraId="726A201B" w14:textId="77777777" w:rsidR="00A533FD" w:rsidRDefault="00A533FD" w:rsidP="00C272CC">
            <w:pPr>
              <w:spacing w:line="360" w:lineRule="auto"/>
            </w:pPr>
            <w:r>
              <w:t>Ludwig Borchardt (1863-1938)</w:t>
            </w:r>
          </w:p>
          <w:p w14:paraId="6C5E9D79" w14:textId="77777777" w:rsidR="00A533FD" w:rsidRDefault="00A533FD" w:rsidP="00C272CC">
            <w:pPr>
              <w:spacing w:line="360" w:lineRule="auto"/>
            </w:pPr>
            <w:r>
              <w:t>James Henry Breasted (1865-1935)</w:t>
            </w:r>
          </w:p>
          <w:p w14:paraId="04CC19EE" w14:textId="77777777" w:rsidR="00A533FD" w:rsidRDefault="00A533FD" w:rsidP="00C272CC">
            <w:pPr>
              <w:spacing w:line="360" w:lineRule="auto"/>
            </w:pPr>
            <w:r>
              <w:t>George Reisner (1867-1942)</w:t>
            </w:r>
          </w:p>
          <w:p w14:paraId="250B7363" w14:textId="77777777" w:rsidR="00A533FD" w:rsidRDefault="00A533FD" w:rsidP="00C272CC">
            <w:pPr>
              <w:spacing w:line="360" w:lineRule="auto"/>
            </w:pPr>
            <w:r>
              <w:t xml:space="preserve">Pierre </w:t>
            </w:r>
            <w:proofErr w:type="spellStart"/>
            <w:r>
              <w:t>Lacau</w:t>
            </w:r>
            <w:proofErr w:type="spellEnd"/>
            <w:r>
              <w:t xml:space="preserve"> (1873-1967)</w:t>
            </w:r>
          </w:p>
          <w:p w14:paraId="43567215" w14:textId="77777777" w:rsidR="00A533FD" w:rsidRDefault="00A533FD" w:rsidP="00C272CC">
            <w:pPr>
              <w:spacing w:line="360" w:lineRule="auto"/>
            </w:pPr>
            <w:r>
              <w:t xml:space="preserve">Howard Carter (1874-1939) </w:t>
            </w:r>
          </w:p>
          <w:p w14:paraId="666376A7" w14:textId="77777777" w:rsidR="00A533FD" w:rsidRDefault="00A533FD" w:rsidP="00C272CC">
            <w:pPr>
              <w:spacing w:line="360" w:lineRule="auto"/>
            </w:pPr>
            <w:proofErr w:type="spellStart"/>
            <w:r>
              <w:t>Evaristo</w:t>
            </w:r>
            <w:proofErr w:type="spellEnd"/>
            <w:r>
              <w:t xml:space="preserve"> Breccia (1876-1941)</w:t>
            </w:r>
          </w:p>
          <w:p w14:paraId="10CBDB82" w14:textId="77777777" w:rsidR="00A533FD" w:rsidRDefault="00A533FD" w:rsidP="00C272CC">
            <w:pPr>
              <w:spacing w:line="360" w:lineRule="auto"/>
            </w:pPr>
            <w:r>
              <w:t>Junker (1877-1962)</w:t>
            </w:r>
          </w:p>
          <w:p w14:paraId="77B0C0D9" w14:textId="77777777" w:rsidR="00A533FD" w:rsidRDefault="00A533FD" w:rsidP="00C272CC">
            <w:pPr>
              <w:spacing w:line="360" w:lineRule="auto"/>
            </w:pPr>
            <w:r>
              <w:t>K.A.C. Creswell (1879-1974)</w:t>
            </w:r>
          </w:p>
        </w:tc>
      </w:tr>
      <w:tr w:rsidR="00A533FD" w14:paraId="13D30FE7" w14:textId="77777777" w:rsidTr="00C272CC">
        <w:tc>
          <w:tcPr>
            <w:tcW w:w="2254" w:type="dxa"/>
          </w:tcPr>
          <w:p w14:paraId="7080C29B" w14:textId="77777777" w:rsidR="00A533FD" w:rsidRPr="00F77588" w:rsidRDefault="00A533FD" w:rsidP="00C272CC">
            <w:pPr>
              <w:spacing w:line="360" w:lineRule="auto"/>
              <w:rPr>
                <w:b/>
                <w:bCs/>
              </w:rPr>
            </w:pPr>
            <w:r w:rsidRPr="00F77588">
              <w:rPr>
                <w:b/>
                <w:bCs/>
              </w:rPr>
              <w:t>2</w:t>
            </w:r>
            <w:r w:rsidRPr="00F77588">
              <w:rPr>
                <w:b/>
                <w:bCs/>
                <w:vertAlign w:val="superscript"/>
              </w:rPr>
              <w:t>nd</w:t>
            </w:r>
            <w:r w:rsidRPr="00F77588">
              <w:rPr>
                <w:b/>
                <w:bCs/>
              </w:rPr>
              <w:t xml:space="preserve"> generation </w:t>
            </w:r>
          </w:p>
          <w:p w14:paraId="16B6B8A3" w14:textId="77777777" w:rsidR="00A533FD" w:rsidRDefault="00A533FD" w:rsidP="00C272CC">
            <w:pPr>
              <w:spacing w:line="360" w:lineRule="auto"/>
            </w:pPr>
            <w:r>
              <w:t>Selim Hassan (1886-1961)</w:t>
            </w:r>
          </w:p>
          <w:p w14:paraId="7AD5F04C" w14:textId="77777777" w:rsidR="00A533FD" w:rsidRDefault="00A533FD" w:rsidP="00C272CC">
            <w:pPr>
              <w:spacing w:line="360" w:lineRule="auto"/>
            </w:pPr>
            <w:r>
              <w:t>Mahmud Hamza (1890-1976)</w:t>
            </w:r>
          </w:p>
          <w:p w14:paraId="7C707E74" w14:textId="77777777" w:rsidR="00A533FD" w:rsidRDefault="00A533FD" w:rsidP="00C272CC">
            <w:pPr>
              <w:spacing w:line="360" w:lineRule="auto"/>
            </w:pPr>
            <w:r>
              <w:t xml:space="preserve">Sami </w:t>
            </w:r>
            <w:proofErr w:type="spellStart"/>
            <w:r>
              <w:t>Gabra</w:t>
            </w:r>
            <w:proofErr w:type="spellEnd"/>
            <w:r>
              <w:t xml:space="preserve"> (1892-1979)</w:t>
            </w:r>
          </w:p>
          <w:p w14:paraId="02B0293F" w14:textId="77777777" w:rsidR="00A533FD" w:rsidRDefault="00A533FD" w:rsidP="00C272CC">
            <w:pPr>
              <w:spacing w:line="360" w:lineRule="auto"/>
            </w:pPr>
            <w:r>
              <w:lastRenderedPageBreak/>
              <w:t>Mustafa Amer (1896-1973)</w:t>
            </w:r>
          </w:p>
        </w:tc>
        <w:tc>
          <w:tcPr>
            <w:tcW w:w="2254" w:type="dxa"/>
          </w:tcPr>
          <w:p w14:paraId="3B2B082A" w14:textId="77777777" w:rsidR="00A533FD" w:rsidRDefault="00A533FD" w:rsidP="00C272CC">
            <w:pPr>
              <w:spacing w:line="360" w:lineRule="auto"/>
            </w:pPr>
          </w:p>
        </w:tc>
        <w:tc>
          <w:tcPr>
            <w:tcW w:w="2254" w:type="dxa"/>
          </w:tcPr>
          <w:p w14:paraId="7CE50886" w14:textId="77777777" w:rsidR="00A533FD" w:rsidRDefault="00A533FD" w:rsidP="00C272CC">
            <w:pPr>
              <w:spacing w:line="360" w:lineRule="auto"/>
            </w:pPr>
            <w:r>
              <w:t xml:space="preserve">Georgy </w:t>
            </w:r>
            <w:proofErr w:type="spellStart"/>
            <w:r>
              <w:t>Sohhy</w:t>
            </w:r>
            <w:proofErr w:type="spellEnd"/>
            <w:r>
              <w:t xml:space="preserve"> (1884-1964)</w:t>
            </w:r>
          </w:p>
          <w:p w14:paraId="798508A4" w14:textId="77777777" w:rsidR="00A533FD" w:rsidRDefault="00A533FD" w:rsidP="00C272CC">
            <w:pPr>
              <w:spacing w:line="360" w:lineRule="auto"/>
            </w:pPr>
            <w:r>
              <w:t>Aziz Atiya (1898-1988)</w:t>
            </w:r>
          </w:p>
        </w:tc>
        <w:tc>
          <w:tcPr>
            <w:tcW w:w="2254" w:type="dxa"/>
          </w:tcPr>
          <w:p w14:paraId="7FA98777" w14:textId="77777777" w:rsidR="00A533FD" w:rsidRDefault="00A533FD" w:rsidP="00C272CC">
            <w:pPr>
              <w:spacing w:line="360" w:lineRule="auto"/>
            </w:pPr>
            <w:r>
              <w:t>Herbert Winlock (1884-1950)</w:t>
            </w:r>
          </w:p>
          <w:p w14:paraId="25BEE53B" w14:textId="77777777" w:rsidR="00A533FD" w:rsidRDefault="00A533FD" w:rsidP="00C272CC">
            <w:pPr>
              <w:spacing w:line="360" w:lineRule="auto"/>
            </w:pPr>
            <w:r>
              <w:t xml:space="preserve">Gaston </w:t>
            </w:r>
            <w:proofErr w:type="spellStart"/>
            <w:r>
              <w:t>Weit</w:t>
            </w:r>
            <w:proofErr w:type="spellEnd"/>
            <w:r>
              <w:t xml:space="preserve"> (1887-1971) </w:t>
            </w:r>
          </w:p>
          <w:p w14:paraId="276CCBCC" w14:textId="77777777" w:rsidR="00A533FD" w:rsidRDefault="00A533FD" w:rsidP="00C272CC">
            <w:pPr>
              <w:spacing w:line="360" w:lineRule="auto"/>
            </w:pPr>
            <w:r>
              <w:t xml:space="preserve">Etienne </w:t>
            </w:r>
            <w:proofErr w:type="spellStart"/>
            <w:r>
              <w:t>Drioton</w:t>
            </w:r>
            <w:proofErr w:type="spellEnd"/>
            <w:r>
              <w:t xml:space="preserve"> (1889-1961</w:t>
            </w:r>
          </w:p>
        </w:tc>
      </w:tr>
      <w:tr w:rsidR="00A533FD" w14:paraId="22BEBD96" w14:textId="77777777" w:rsidTr="00C272CC">
        <w:tc>
          <w:tcPr>
            <w:tcW w:w="2254" w:type="dxa"/>
          </w:tcPr>
          <w:p w14:paraId="2315CCA3" w14:textId="77777777" w:rsidR="00A533FD" w:rsidRPr="00F77588" w:rsidRDefault="00A533FD" w:rsidP="00C272CC">
            <w:pPr>
              <w:spacing w:line="360" w:lineRule="auto"/>
              <w:rPr>
                <w:b/>
                <w:bCs/>
              </w:rPr>
            </w:pPr>
            <w:r w:rsidRPr="00F77588">
              <w:rPr>
                <w:b/>
                <w:bCs/>
              </w:rPr>
              <w:t>3</w:t>
            </w:r>
            <w:r w:rsidRPr="00F77588">
              <w:rPr>
                <w:b/>
                <w:bCs/>
                <w:vertAlign w:val="superscript"/>
              </w:rPr>
              <w:t>rd</w:t>
            </w:r>
            <w:r w:rsidRPr="00F77588">
              <w:rPr>
                <w:b/>
                <w:bCs/>
              </w:rPr>
              <w:t xml:space="preserve"> Generation</w:t>
            </w:r>
          </w:p>
          <w:p w14:paraId="16585A24" w14:textId="77777777" w:rsidR="00A533FD" w:rsidRDefault="00A533FD" w:rsidP="00C272CC">
            <w:pPr>
              <w:spacing w:line="360" w:lineRule="auto"/>
            </w:pPr>
            <w:proofErr w:type="spellStart"/>
            <w:r>
              <w:t>Zaki</w:t>
            </w:r>
            <w:proofErr w:type="spellEnd"/>
            <w:r>
              <w:t xml:space="preserve"> Saad (1901-1982)</w:t>
            </w:r>
          </w:p>
          <w:p w14:paraId="5686D126" w14:textId="77777777" w:rsidR="00A533FD" w:rsidRDefault="00A533FD" w:rsidP="00C272CC">
            <w:pPr>
              <w:spacing w:line="360" w:lineRule="auto"/>
            </w:pPr>
            <w:r>
              <w:t xml:space="preserve">Ahmad </w:t>
            </w:r>
            <w:proofErr w:type="spellStart"/>
            <w:r>
              <w:t>Fakhry</w:t>
            </w:r>
            <w:proofErr w:type="spellEnd"/>
            <w:r>
              <w:t xml:space="preserve"> (1905-1973)</w:t>
            </w:r>
          </w:p>
          <w:p w14:paraId="0D126FE1" w14:textId="77777777" w:rsidR="00A533FD" w:rsidRDefault="00A533FD" w:rsidP="00C272CC">
            <w:pPr>
              <w:spacing w:line="360" w:lineRule="auto"/>
            </w:pPr>
            <w:proofErr w:type="spellStart"/>
            <w:r>
              <w:t>Pahor</w:t>
            </w:r>
            <w:proofErr w:type="spellEnd"/>
            <w:r>
              <w:t xml:space="preserve"> Labib (1905-1995)</w:t>
            </w:r>
          </w:p>
          <w:p w14:paraId="175AD2BF" w14:textId="77777777" w:rsidR="00A533FD" w:rsidRDefault="00A533FD" w:rsidP="00C272CC">
            <w:pPr>
              <w:spacing w:line="360" w:lineRule="auto"/>
            </w:pPr>
            <w:r>
              <w:t>Girgis Mattha (1905-1967)</w:t>
            </w:r>
          </w:p>
          <w:p w14:paraId="1253B238" w14:textId="77777777" w:rsidR="00A533FD" w:rsidRDefault="00A533FD" w:rsidP="00C272CC">
            <w:pPr>
              <w:spacing w:line="360" w:lineRule="auto"/>
            </w:pPr>
            <w:r>
              <w:t xml:space="preserve">Labib </w:t>
            </w:r>
            <w:proofErr w:type="spellStart"/>
            <w:r>
              <w:t>Habachi</w:t>
            </w:r>
            <w:proofErr w:type="spellEnd"/>
            <w:r>
              <w:t xml:space="preserve"> (1906-1984)</w:t>
            </w:r>
          </w:p>
          <w:p w14:paraId="2FE8D71A" w14:textId="77777777" w:rsidR="00A533FD" w:rsidRDefault="00A533FD" w:rsidP="00C272CC">
            <w:pPr>
              <w:spacing w:line="360" w:lineRule="auto"/>
            </w:pPr>
            <w:proofErr w:type="spellStart"/>
            <w:r>
              <w:t>Adbel</w:t>
            </w:r>
            <w:proofErr w:type="spellEnd"/>
            <w:r>
              <w:t xml:space="preserve"> </w:t>
            </w:r>
            <w:proofErr w:type="spellStart"/>
            <w:r>
              <w:t>Moneim</w:t>
            </w:r>
            <w:proofErr w:type="spellEnd"/>
            <w:r>
              <w:t xml:space="preserve"> (?)</w:t>
            </w:r>
          </w:p>
          <w:p w14:paraId="1290C23C" w14:textId="77777777" w:rsidR="00A533FD" w:rsidRDefault="00A533FD" w:rsidP="00C272CC">
            <w:pPr>
              <w:spacing w:line="360" w:lineRule="auto"/>
            </w:pPr>
            <w:r>
              <w:t>Abu Bakr (1907-1976)</w:t>
            </w:r>
          </w:p>
        </w:tc>
        <w:tc>
          <w:tcPr>
            <w:tcW w:w="2254" w:type="dxa"/>
          </w:tcPr>
          <w:p w14:paraId="56783DB4" w14:textId="77777777" w:rsidR="00A533FD" w:rsidRDefault="00A533FD" w:rsidP="00C272CC">
            <w:pPr>
              <w:spacing w:line="360" w:lineRule="auto"/>
            </w:pPr>
            <w:r>
              <w:t>Muhammad Mustafa (1903-1987)</w:t>
            </w:r>
          </w:p>
          <w:p w14:paraId="5DE40E49" w14:textId="77777777" w:rsidR="00A533FD" w:rsidRDefault="00A533FD" w:rsidP="00C272CC">
            <w:pPr>
              <w:spacing w:line="360" w:lineRule="auto"/>
            </w:pPr>
            <w:r>
              <w:t xml:space="preserve">Muhammad </w:t>
            </w:r>
            <w:proofErr w:type="spellStart"/>
            <w:r>
              <w:t>Zaki</w:t>
            </w:r>
            <w:proofErr w:type="spellEnd"/>
            <w:r>
              <w:t xml:space="preserve"> Hassan (1908-1957)</w:t>
            </w:r>
          </w:p>
        </w:tc>
        <w:tc>
          <w:tcPr>
            <w:tcW w:w="2254" w:type="dxa"/>
          </w:tcPr>
          <w:p w14:paraId="1104F5F1" w14:textId="77777777" w:rsidR="00A533FD" w:rsidRDefault="00A533FD" w:rsidP="00C272CC">
            <w:pPr>
              <w:spacing w:line="360" w:lineRule="auto"/>
            </w:pPr>
            <w:proofErr w:type="spellStart"/>
            <w:r>
              <w:t>Pahor</w:t>
            </w:r>
            <w:proofErr w:type="spellEnd"/>
            <w:r>
              <w:t xml:space="preserve"> Labib (1905-1994)</w:t>
            </w:r>
          </w:p>
          <w:p w14:paraId="065BD5DA" w14:textId="77777777" w:rsidR="00A533FD" w:rsidRDefault="00A533FD" w:rsidP="00C272CC">
            <w:pPr>
              <w:spacing w:line="360" w:lineRule="auto"/>
            </w:pPr>
            <w:r>
              <w:t>Togo Mina (1906-1949)</w:t>
            </w:r>
          </w:p>
          <w:p w14:paraId="0C27C19F" w14:textId="77777777" w:rsidR="00A533FD" w:rsidRDefault="00A533FD" w:rsidP="00C272CC">
            <w:pPr>
              <w:spacing w:line="360" w:lineRule="auto"/>
            </w:pPr>
            <w:proofErr w:type="spellStart"/>
            <w:r>
              <w:t>Mirrit</w:t>
            </w:r>
            <w:proofErr w:type="spellEnd"/>
            <w:r>
              <w:t xml:space="preserve"> Boutros </w:t>
            </w:r>
            <w:proofErr w:type="spellStart"/>
            <w:r>
              <w:t>Ghali</w:t>
            </w:r>
            <w:proofErr w:type="spellEnd"/>
            <w:r>
              <w:t xml:space="preserve"> (1908-1992)</w:t>
            </w:r>
          </w:p>
        </w:tc>
        <w:tc>
          <w:tcPr>
            <w:tcW w:w="2254" w:type="dxa"/>
          </w:tcPr>
          <w:p w14:paraId="6C3BB7CB" w14:textId="77777777" w:rsidR="00A533FD" w:rsidRDefault="00A533FD" w:rsidP="00C272CC">
            <w:pPr>
              <w:spacing w:line="360" w:lineRule="auto"/>
            </w:pPr>
            <w:r>
              <w:t>John Wilson (1899-1976)</w:t>
            </w:r>
          </w:p>
          <w:p w14:paraId="4A06C814" w14:textId="77777777" w:rsidR="00A533FD" w:rsidRDefault="00A533FD" w:rsidP="00C272CC">
            <w:pPr>
              <w:spacing w:line="360" w:lineRule="auto"/>
            </w:pPr>
            <w:r>
              <w:t>Jean-Philippe Lauer (1902-2001)</w:t>
            </w:r>
          </w:p>
          <w:p w14:paraId="01367F4F" w14:textId="77777777" w:rsidR="00A533FD" w:rsidRDefault="00A533FD" w:rsidP="00C272CC">
            <w:pPr>
              <w:spacing w:line="360" w:lineRule="auto"/>
            </w:pPr>
            <w:proofErr w:type="spellStart"/>
            <w:r>
              <w:t>Archille</w:t>
            </w:r>
            <w:proofErr w:type="spellEnd"/>
            <w:r>
              <w:t xml:space="preserve"> </w:t>
            </w:r>
            <w:proofErr w:type="spellStart"/>
            <w:r>
              <w:t>Adriani</w:t>
            </w:r>
            <w:proofErr w:type="spellEnd"/>
            <w:r>
              <w:t xml:space="preserve"> (1905-1982</w:t>
            </w:r>
          </w:p>
        </w:tc>
      </w:tr>
    </w:tbl>
    <w:p w14:paraId="0A7BECB4" w14:textId="77777777" w:rsidR="00A533FD" w:rsidRDefault="00A533FD" w:rsidP="00A533FD"/>
    <w:p w14:paraId="110150E5" w14:textId="77777777" w:rsidR="008F51E2" w:rsidRDefault="008F51E2" w:rsidP="00A533FD"/>
    <w:p w14:paraId="777D7AB4" w14:textId="77777777" w:rsidR="008F51E2" w:rsidRDefault="008F51E2" w:rsidP="00A533FD"/>
    <w:p w14:paraId="629D534F" w14:textId="77777777" w:rsidR="008F51E2" w:rsidRDefault="008F51E2" w:rsidP="00A533FD"/>
    <w:p w14:paraId="1FC426C3" w14:textId="77777777" w:rsidR="008F51E2" w:rsidRDefault="008F51E2" w:rsidP="00A533FD"/>
    <w:p w14:paraId="4F5CD0B9" w14:textId="77777777" w:rsidR="008F51E2" w:rsidRDefault="008F51E2" w:rsidP="00A533FD"/>
    <w:p w14:paraId="06605A44" w14:textId="77777777" w:rsidR="008F51E2" w:rsidRDefault="008F51E2" w:rsidP="00A533FD"/>
    <w:p w14:paraId="20E824CF" w14:textId="77777777" w:rsidR="008F51E2" w:rsidRDefault="008F51E2" w:rsidP="00A533FD"/>
    <w:p w14:paraId="0FD150C0" w14:textId="77777777" w:rsidR="008F51E2" w:rsidRDefault="008F51E2" w:rsidP="00A533FD"/>
    <w:p w14:paraId="46309479" w14:textId="77777777" w:rsidR="008F51E2" w:rsidRDefault="008F51E2" w:rsidP="00A533FD"/>
    <w:p w14:paraId="73FFC7D0" w14:textId="77777777" w:rsidR="008F51E2" w:rsidRDefault="008F51E2" w:rsidP="00A533FD"/>
    <w:p w14:paraId="6A75D909" w14:textId="77777777" w:rsidR="008F51E2" w:rsidRDefault="008F51E2" w:rsidP="00A533FD"/>
    <w:p w14:paraId="0CAFA782" w14:textId="77777777" w:rsidR="008F51E2" w:rsidRDefault="008F51E2" w:rsidP="00A533FD"/>
    <w:p w14:paraId="78BF4D1F" w14:textId="77777777" w:rsidR="008F51E2" w:rsidRDefault="008F51E2" w:rsidP="00A533FD"/>
    <w:p w14:paraId="0B2377A4" w14:textId="77777777" w:rsidR="008F51E2" w:rsidRDefault="008F51E2" w:rsidP="00A533FD"/>
    <w:p w14:paraId="364A4B18" w14:textId="77777777" w:rsidR="008F51E2" w:rsidRDefault="008F51E2" w:rsidP="00A533FD"/>
    <w:p w14:paraId="512E5BF0" w14:textId="77777777" w:rsidR="008F51E2" w:rsidRDefault="008F51E2" w:rsidP="00A533FD"/>
    <w:p w14:paraId="4F345FC3" w14:textId="5B2FBB39" w:rsidR="00A533FD" w:rsidRDefault="00A533FD" w:rsidP="00A533FD">
      <w:r>
        <w:lastRenderedPageBreak/>
        <w:t>Appendix D: List of restrictions of Egypt’s independence from Britain</w:t>
      </w:r>
      <w:r>
        <w:rPr>
          <w:rStyle w:val="FootnoteReference"/>
        </w:rPr>
        <w:footnoteReference w:id="292"/>
      </w:r>
      <w:r>
        <w:t xml:space="preserve">. </w:t>
      </w:r>
    </w:p>
    <w:p w14:paraId="274A9E09" w14:textId="77777777" w:rsidR="00A533FD" w:rsidRPr="00752B1A" w:rsidRDefault="00A533FD" w:rsidP="00A533FD">
      <w:pPr>
        <w:pStyle w:val="NoSpacing"/>
        <w:numPr>
          <w:ilvl w:val="0"/>
          <w:numId w:val="8"/>
        </w:numPr>
        <w:spacing w:line="360" w:lineRule="auto"/>
        <w:rPr>
          <w:i/>
          <w:iCs/>
        </w:rPr>
      </w:pPr>
      <w:r w:rsidRPr="00752B1A">
        <w:rPr>
          <w:i/>
          <w:iCs/>
        </w:rPr>
        <w:t xml:space="preserve">The British protectorate over Egypt is terminated and Egypt is declared to be an independent sovereign state. </w:t>
      </w:r>
    </w:p>
    <w:p w14:paraId="749D877F" w14:textId="77777777" w:rsidR="00A533FD" w:rsidRPr="00752B1A" w:rsidRDefault="00A533FD" w:rsidP="00A533FD">
      <w:pPr>
        <w:pStyle w:val="NoSpacing"/>
        <w:numPr>
          <w:ilvl w:val="0"/>
          <w:numId w:val="8"/>
        </w:numPr>
        <w:spacing w:line="360" w:lineRule="auto"/>
        <w:rPr>
          <w:i/>
          <w:iCs/>
        </w:rPr>
      </w:pPr>
      <w:r w:rsidRPr="00752B1A">
        <w:rPr>
          <w:i/>
          <w:iCs/>
        </w:rPr>
        <w:t>So soon as the government of his highness shall pass an act of indemnity with application to all inhabitants of Egypt, material law as proclaimed on the 2</w:t>
      </w:r>
      <w:r w:rsidRPr="00752B1A">
        <w:rPr>
          <w:i/>
          <w:iCs/>
          <w:vertAlign w:val="superscript"/>
        </w:rPr>
        <w:t>nd</w:t>
      </w:r>
      <w:r w:rsidRPr="00752B1A">
        <w:rPr>
          <w:i/>
          <w:iCs/>
        </w:rPr>
        <w:t xml:space="preserve"> November 1914 shall be withdrawn</w:t>
      </w:r>
    </w:p>
    <w:p w14:paraId="5A64173C" w14:textId="77777777" w:rsidR="00A533FD" w:rsidRPr="00752B1A" w:rsidRDefault="00A533FD" w:rsidP="00A533FD">
      <w:pPr>
        <w:pStyle w:val="NoSpacing"/>
        <w:numPr>
          <w:ilvl w:val="0"/>
          <w:numId w:val="8"/>
        </w:numPr>
        <w:spacing w:line="360" w:lineRule="auto"/>
        <w:rPr>
          <w:i/>
          <w:iCs/>
        </w:rPr>
      </w:pPr>
      <w:r w:rsidRPr="00752B1A">
        <w:rPr>
          <w:i/>
          <w:iCs/>
        </w:rPr>
        <w:t xml:space="preserve">The following matters are absolutely reserved to the discretion of his majesty’s government until such time as it may be possible by free discussion and friendly accommodation on both sides conclude agreements in regard thereto between his majesty’s government and the government of Egypt: </w:t>
      </w:r>
    </w:p>
    <w:p w14:paraId="4CDC3BA0" w14:textId="77777777" w:rsidR="00A533FD" w:rsidRPr="00752B1A" w:rsidRDefault="00A533FD" w:rsidP="00A533FD">
      <w:pPr>
        <w:pStyle w:val="NoSpacing"/>
        <w:numPr>
          <w:ilvl w:val="0"/>
          <w:numId w:val="9"/>
        </w:numPr>
        <w:spacing w:line="360" w:lineRule="auto"/>
        <w:rPr>
          <w:i/>
          <w:iCs/>
        </w:rPr>
      </w:pPr>
      <w:r w:rsidRPr="00752B1A">
        <w:rPr>
          <w:i/>
          <w:iCs/>
        </w:rPr>
        <w:t xml:space="preserve">The security of the communications of the British empire in Egypt. </w:t>
      </w:r>
    </w:p>
    <w:p w14:paraId="37E8595E" w14:textId="77777777" w:rsidR="00A533FD" w:rsidRPr="00752B1A" w:rsidRDefault="00A533FD" w:rsidP="00A533FD">
      <w:pPr>
        <w:pStyle w:val="NoSpacing"/>
        <w:numPr>
          <w:ilvl w:val="0"/>
          <w:numId w:val="9"/>
        </w:numPr>
        <w:spacing w:line="360" w:lineRule="auto"/>
        <w:rPr>
          <w:i/>
          <w:iCs/>
        </w:rPr>
      </w:pPr>
      <w:r w:rsidRPr="00752B1A">
        <w:rPr>
          <w:i/>
          <w:iCs/>
        </w:rPr>
        <w:t>The defence of Egypt against all foreign aggression or interference direct or indirect.</w:t>
      </w:r>
    </w:p>
    <w:p w14:paraId="67B948BB" w14:textId="77777777" w:rsidR="00A533FD" w:rsidRPr="00752B1A" w:rsidRDefault="00A533FD" w:rsidP="00A533FD">
      <w:pPr>
        <w:pStyle w:val="NoSpacing"/>
        <w:numPr>
          <w:ilvl w:val="0"/>
          <w:numId w:val="9"/>
        </w:numPr>
        <w:spacing w:line="360" w:lineRule="auto"/>
        <w:rPr>
          <w:i/>
          <w:iCs/>
        </w:rPr>
      </w:pPr>
      <w:r w:rsidRPr="00752B1A">
        <w:rPr>
          <w:i/>
          <w:iCs/>
        </w:rPr>
        <w:t xml:space="preserve">The protection of foreign interest in Egypt and the protection of minorities </w:t>
      </w:r>
    </w:p>
    <w:p w14:paraId="4A28291E" w14:textId="77777777" w:rsidR="00A533FD" w:rsidRPr="00450CD5" w:rsidRDefault="00A533FD" w:rsidP="00A533FD">
      <w:pPr>
        <w:pStyle w:val="NoSpacing"/>
        <w:numPr>
          <w:ilvl w:val="0"/>
          <w:numId w:val="9"/>
        </w:numPr>
        <w:spacing w:line="360" w:lineRule="auto"/>
        <w:rPr>
          <w:i/>
          <w:iCs/>
        </w:rPr>
      </w:pPr>
      <w:r w:rsidRPr="00752B1A">
        <w:rPr>
          <w:i/>
          <w:iCs/>
        </w:rPr>
        <w:t xml:space="preserve">The Sudan </w:t>
      </w:r>
    </w:p>
    <w:p w14:paraId="64AF3012" w14:textId="624738F3" w:rsidR="00D70916" w:rsidRDefault="00D70916" w:rsidP="002117A2">
      <w:pPr>
        <w:spacing w:line="360" w:lineRule="auto"/>
        <w:rPr>
          <w:color w:val="000000" w:themeColor="text1"/>
        </w:rPr>
      </w:pPr>
    </w:p>
    <w:p w14:paraId="6160B823" w14:textId="56850C34" w:rsidR="008C1770" w:rsidRDefault="008C1770" w:rsidP="002117A2">
      <w:pPr>
        <w:spacing w:line="360" w:lineRule="auto"/>
        <w:rPr>
          <w:color w:val="000000" w:themeColor="text1"/>
        </w:rPr>
      </w:pPr>
    </w:p>
    <w:p w14:paraId="4931F989" w14:textId="763C43C9" w:rsidR="008C1770" w:rsidRDefault="008C1770" w:rsidP="002117A2">
      <w:pPr>
        <w:spacing w:line="360" w:lineRule="auto"/>
        <w:rPr>
          <w:color w:val="000000" w:themeColor="text1"/>
        </w:rPr>
      </w:pPr>
    </w:p>
    <w:p w14:paraId="010160F2" w14:textId="62298E85" w:rsidR="008C1770" w:rsidRDefault="008C1770" w:rsidP="002117A2">
      <w:pPr>
        <w:spacing w:line="360" w:lineRule="auto"/>
        <w:rPr>
          <w:color w:val="000000" w:themeColor="text1"/>
        </w:rPr>
      </w:pPr>
    </w:p>
    <w:p w14:paraId="6F4D61C9" w14:textId="18094F46" w:rsidR="008C1770" w:rsidRDefault="008C1770" w:rsidP="002117A2">
      <w:pPr>
        <w:spacing w:line="360" w:lineRule="auto"/>
        <w:rPr>
          <w:color w:val="000000" w:themeColor="text1"/>
        </w:rPr>
      </w:pPr>
    </w:p>
    <w:p w14:paraId="3832EAA6" w14:textId="12452162" w:rsidR="008C1770" w:rsidRDefault="008C1770" w:rsidP="002117A2">
      <w:pPr>
        <w:spacing w:line="360" w:lineRule="auto"/>
        <w:rPr>
          <w:color w:val="000000" w:themeColor="text1"/>
        </w:rPr>
      </w:pPr>
    </w:p>
    <w:p w14:paraId="011E6E51" w14:textId="29F44E05" w:rsidR="008C1770" w:rsidRDefault="008C1770" w:rsidP="002117A2">
      <w:pPr>
        <w:spacing w:line="360" w:lineRule="auto"/>
        <w:rPr>
          <w:color w:val="000000" w:themeColor="text1"/>
        </w:rPr>
      </w:pPr>
    </w:p>
    <w:p w14:paraId="1C61DF49" w14:textId="3E27B5B1" w:rsidR="008C1770" w:rsidRDefault="008C1770" w:rsidP="002117A2">
      <w:pPr>
        <w:spacing w:line="360" w:lineRule="auto"/>
        <w:rPr>
          <w:color w:val="000000" w:themeColor="text1"/>
        </w:rPr>
      </w:pPr>
    </w:p>
    <w:p w14:paraId="34953E5B" w14:textId="2A1EBCD4" w:rsidR="008C1770" w:rsidRDefault="008C1770" w:rsidP="002117A2">
      <w:pPr>
        <w:spacing w:line="360" w:lineRule="auto"/>
        <w:rPr>
          <w:color w:val="000000" w:themeColor="text1"/>
        </w:rPr>
      </w:pPr>
    </w:p>
    <w:p w14:paraId="2473BDD1" w14:textId="7A89E50B" w:rsidR="008C1770" w:rsidRDefault="008C1770" w:rsidP="008C1770">
      <w:pPr>
        <w:jc w:val="center"/>
        <w:rPr>
          <w:b/>
          <w:bCs/>
          <w:sz w:val="28"/>
          <w:szCs w:val="28"/>
          <w:u w:val="single"/>
        </w:rPr>
      </w:pPr>
      <w:bookmarkStart w:id="58" w:name="_Hlk21083399"/>
    </w:p>
    <w:p w14:paraId="1724D58E" w14:textId="7B21541E" w:rsidR="008F51E2" w:rsidRDefault="008F51E2" w:rsidP="008C1770">
      <w:pPr>
        <w:jc w:val="center"/>
        <w:rPr>
          <w:b/>
          <w:bCs/>
          <w:sz w:val="28"/>
          <w:szCs w:val="28"/>
          <w:u w:val="single"/>
        </w:rPr>
      </w:pPr>
    </w:p>
    <w:p w14:paraId="48A4F131" w14:textId="7AC5CD06" w:rsidR="008F51E2" w:rsidRDefault="008F51E2" w:rsidP="008C1770">
      <w:pPr>
        <w:jc w:val="center"/>
        <w:rPr>
          <w:b/>
          <w:bCs/>
          <w:sz w:val="28"/>
          <w:szCs w:val="28"/>
          <w:u w:val="single"/>
        </w:rPr>
      </w:pPr>
    </w:p>
    <w:p w14:paraId="1157526C" w14:textId="5E01BACC" w:rsidR="008F51E2" w:rsidRDefault="008F51E2" w:rsidP="008C1770">
      <w:pPr>
        <w:jc w:val="center"/>
        <w:rPr>
          <w:b/>
          <w:bCs/>
          <w:sz w:val="28"/>
          <w:szCs w:val="28"/>
          <w:u w:val="single"/>
        </w:rPr>
      </w:pPr>
    </w:p>
    <w:p w14:paraId="0379ED5C" w14:textId="77777777" w:rsidR="00C4227F" w:rsidRDefault="00C4227F" w:rsidP="008C1770">
      <w:pPr>
        <w:jc w:val="center"/>
        <w:rPr>
          <w:b/>
          <w:bCs/>
          <w:sz w:val="28"/>
          <w:szCs w:val="28"/>
          <w:u w:val="single"/>
        </w:rPr>
      </w:pPr>
    </w:p>
    <w:p w14:paraId="3F3E2982" w14:textId="3731904F" w:rsidR="008C1770" w:rsidRPr="00F72340" w:rsidRDefault="008C1770" w:rsidP="008C1770">
      <w:pPr>
        <w:jc w:val="center"/>
        <w:rPr>
          <w:b/>
          <w:bCs/>
          <w:sz w:val="28"/>
          <w:szCs w:val="28"/>
          <w:u w:val="single"/>
        </w:rPr>
      </w:pPr>
      <w:r w:rsidRPr="00F72340">
        <w:rPr>
          <w:b/>
          <w:bCs/>
          <w:sz w:val="28"/>
          <w:szCs w:val="28"/>
          <w:u w:val="single"/>
        </w:rPr>
        <w:lastRenderedPageBreak/>
        <w:t>References</w:t>
      </w:r>
    </w:p>
    <w:p w14:paraId="4ECB29BB" w14:textId="458A0174" w:rsidR="008C1770" w:rsidRPr="00CF15EC" w:rsidRDefault="008C1770" w:rsidP="00A05224">
      <w:pPr>
        <w:ind w:hanging="720"/>
      </w:pPr>
      <w:proofErr w:type="spellStart"/>
      <w:r w:rsidRPr="00CF15EC">
        <w:t>Addley</w:t>
      </w:r>
      <w:proofErr w:type="spellEnd"/>
      <w:r w:rsidRPr="00CF15EC">
        <w:t xml:space="preserve">, E. (2019) ‘Tutankhamun’s glitzy farewell tour a timely promotion for Egypt’, </w:t>
      </w:r>
      <w:r w:rsidRPr="00CF15EC">
        <w:rPr>
          <w:i/>
          <w:iCs/>
        </w:rPr>
        <w:t>The Guardian</w:t>
      </w:r>
      <w:r w:rsidRPr="00CF15EC">
        <w:t>, 1</w:t>
      </w:r>
      <w:r w:rsidRPr="00CF15EC">
        <w:rPr>
          <w:vertAlign w:val="superscript"/>
        </w:rPr>
        <w:t>st</w:t>
      </w:r>
      <w:r w:rsidRPr="00CF15EC">
        <w:t xml:space="preserve"> November, P.13</w:t>
      </w:r>
      <w:r w:rsidR="0017770B">
        <w:t>.</w:t>
      </w:r>
    </w:p>
    <w:p w14:paraId="630CCC0A" w14:textId="5A66AA49" w:rsidR="008C1770" w:rsidRPr="00CF15EC" w:rsidRDefault="008C1770" w:rsidP="00A05224">
      <w:pPr>
        <w:ind w:hanging="720"/>
      </w:pPr>
      <w:r w:rsidRPr="00CF15EC">
        <w:t xml:space="preserve">Ancient Egypt Online. (N.D) </w:t>
      </w:r>
      <w:r w:rsidRPr="00154D7E">
        <w:rPr>
          <w:i/>
          <w:iCs/>
        </w:rPr>
        <w:t>Ancient Egypt Maps</w:t>
      </w:r>
      <w:r w:rsidRPr="00CF15EC">
        <w:t xml:space="preserve">. Available at: </w:t>
      </w:r>
      <w:r w:rsidRPr="005B3342">
        <w:t>https://www.ancient-egypt-online.com/ancient-egypt-maps.html</w:t>
      </w:r>
      <w:r w:rsidRPr="00CF15EC">
        <w:t xml:space="preserve"> [Accessed 28/01/20</w:t>
      </w:r>
      <w:r w:rsidR="0029519E">
        <w:t>20</w:t>
      </w:r>
      <w:r w:rsidRPr="00CF15EC">
        <w:t>]</w:t>
      </w:r>
      <w:r w:rsidR="0017770B">
        <w:t>.</w:t>
      </w:r>
    </w:p>
    <w:p w14:paraId="7CFC850E" w14:textId="069D3C2B" w:rsidR="008C1770" w:rsidRPr="00CF15EC" w:rsidRDefault="008C1770" w:rsidP="00A05224">
      <w:pPr>
        <w:ind w:hanging="720"/>
      </w:pPr>
      <w:r w:rsidRPr="00CF15EC">
        <w:t xml:space="preserve">Anon. (2019) </w:t>
      </w:r>
      <w:r w:rsidRPr="00CF15EC">
        <w:rPr>
          <w:i/>
          <w:iCs/>
        </w:rPr>
        <w:t xml:space="preserve">Behind the scenes as largest ever Tutankhamun exhibition moves to London. </w:t>
      </w:r>
      <w:r w:rsidRPr="00CF15EC">
        <w:t xml:space="preserve">Available </w:t>
      </w:r>
      <w:r w:rsidRPr="005B3342">
        <w:t xml:space="preserve">at: </w:t>
      </w:r>
      <w:r w:rsidR="005B3342" w:rsidRPr="005B3342">
        <w:t>http://home.bt.com/news/behind-the-scenes-as-largest-ever-tutankhamun-exhibition-moves-to-london-91364399327709?playlistVideoId=6091137187001&amp;utm_campaign=139799_Extended%20Hours%20Announced%21&amp;utm_medium=email&amp;utm_source=Tutankhamun%20London&amp;dm_i=55SU,2ZVB,M0FAH,AUSB,1</w:t>
      </w:r>
      <w:r w:rsidRPr="00CF15EC">
        <w:t xml:space="preserve"> [Accessed: 04/10/2019].</w:t>
      </w:r>
    </w:p>
    <w:p w14:paraId="7E8959BA" w14:textId="2FBBE7D2" w:rsidR="008C1770" w:rsidRPr="00CF15EC" w:rsidRDefault="008C1770" w:rsidP="00A05224">
      <w:pPr>
        <w:ind w:hanging="720"/>
      </w:pPr>
      <w:proofErr w:type="spellStart"/>
      <w:r w:rsidRPr="00CF15EC">
        <w:t>Augustyn</w:t>
      </w:r>
      <w:proofErr w:type="spellEnd"/>
      <w:r w:rsidRPr="00CF15EC">
        <w:t xml:space="preserve">, A. (2019) </w:t>
      </w:r>
      <w:r w:rsidRPr="00154D7E">
        <w:rPr>
          <w:i/>
          <w:iCs/>
        </w:rPr>
        <w:t>Herodotus</w:t>
      </w:r>
      <w:r w:rsidRPr="00CF15EC">
        <w:t xml:space="preserve">. Available at: </w:t>
      </w:r>
      <w:r w:rsidRPr="00A9121A">
        <w:t>https://www.britannica.com/biography/Herodotus-Greek-historian</w:t>
      </w:r>
      <w:r w:rsidRPr="00CF15EC">
        <w:t xml:space="preserve"> [Accessed: 01/12/</w:t>
      </w:r>
      <w:r w:rsidR="0029519E">
        <w:t>20</w:t>
      </w:r>
      <w:r w:rsidRPr="00CF15EC">
        <w:t>19]</w:t>
      </w:r>
      <w:r w:rsidR="00C30B43">
        <w:t>.</w:t>
      </w:r>
    </w:p>
    <w:p w14:paraId="76442748" w14:textId="77777777" w:rsidR="008C1770" w:rsidRPr="00CF15EC" w:rsidRDefault="008C1770" w:rsidP="00A05224">
      <w:pPr>
        <w:ind w:hanging="720"/>
      </w:pPr>
      <w:r w:rsidRPr="00CF15EC">
        <w:t xml:space="preserve">Bell, T. (2010) </w:t>
      </w:r>
      <w:r w:rsidRPr="00CF15EC">
        <w:rPr>
          <w:i/>
          <w:iCs/>
        </w:rPr>
        <w:t>The Western Perception of Ancient Egypt: The Discovery, Spectacle and Exposition of King Tutankhamun</w:t>
      </w:r>
      <w:r w:rsidRPr="00CF15EC">
        <w:t>. Unpublished PhD thesis, Newman University.</w:t>
      </w:r>
    </w:p>
    <w:p w14:paraId="2FA3F8F5" w14:textId="0B6C1E88" w:rsidR="008C1770" w:rsidRPr="00CF15EC" w:rsidRDefault="008C1770" w:rsidP="00A05224">
      <w:pPr>
        <w:ind w:hanging="720"/>
      </w:pPr>
      <w:r w:rsidRPr="00CF15EC">
        <w:t xml:space="preserve">Brewer, D. J. </w:t>
      </w:r>
      <w:r w:rsidR="00D64CCE">
        <w:t>and</w:t>
      </w:r>
      <w:r w:rsidRPr="00CF15EC">
        <w:t xml:space="preserve"> Teeter, E. (2007) </w:t>
      </w:r>
      <w:r w:rsidRPr="00CF15EC">
        <w:rPr>
          <w:i/>
          <w:iCs/>
        </w:rPr>
        <w:t>Egypt and the Egyptians.</w:t>
      </w:r>
      <w:r w:rsidRPr="00CF15EC">
        <w:t xml:space="preserve"> 2</w:t>
      </w:r>
      <w:r w:rsidRPr="00CF15EC">
        <w:rPr>
          <w:vertAlign w:val="superscript"/>
        </w:rPr>
        <w:t>nd</w:t>
      </w:r>
      <w:r w:rsidRPr="00CF15EC">
        <w:t xml:space="preserve"> </w:t>
      </w:r>
      <w:proofErr w:type="spellStart"/>
      <w:r w:rsidRPr="00CF15EC">
        <w:t>ed</w:t>
      </w:r>
      <w:r w:rsidR="00571394">
        <w:t>n</w:t>
      </w:r>
      <w:proofErr w:type="spellEnd"/>
      <w:r w:rsidRPr="00CF15EC">
        <w:t xml:space="preserve">. Cambridge: Cambridge University Press. </w:t>
      </w:r>
    </w:p>
    <w:p w14:paraId="409295F6" w14:textId="77777777" w:rsidR="008C1770" w:rsidRPr="00CF15EC" w:rsidRDefault="008C1770" w:rsidP="00A05224">
      <w:pPr>
        <w:ind w:hanging="720"/>
      </w:pPr>
      <w:r w:rsidRPr="00CF15EC">
        <w:t xml:space="preserve">Carter, H. and Mace. A. C. (1923) </w:t>
      </w:r>
      <w:r w:rsidRPr="00CF15EC">
        <w:rPr>
          <w:i/>
          <w:iCs/>
        </w:rPr>
        <w:t xml:space="preserve">The Tomb of </w:t>
      </w:r>
      <w:proofErr w:type="spellStart"/>
      <w:proofErr w:type="gramStart"/>
      <w:r w:rsidRPr="00CF15EC">
        <w:rPr>
          <w:i/>
          <w:iCs/>
        </w:rPr>
        <w:t>Tut.Ankh.Amen</w:t>
      </w:r>
      <w:proofErr w:type="spellEnd"/>
      <w:proofErr w:type="gramEnd"/>
      <w:r w:rsidRPr="00CF15EC">
        <w:rPr>
          <w:i/>
          <w:iCs/>
        </w:rPr>
        <w:t xml:space="preserve">. </w:t>
      </w:r>
      <w:r w:rsidRPr="00CF15EC">
        <w:t xml:space="preserve">Volume one. Norwich: </w:t>
      </w:r>
      <w:proofErr w:type="spellStart"/>
      <w:r w:rsidRPr="00CF15EC">
        <w:t>Jarrold</w:t>
      </w:r>
      <w:proofErr w:type="spellEnd"/>
      <w:r w:rsidRPr="00CF15EC">
        <w:t xml:space="preserve"> and Sons Ltd.</w:t>
      </w:r>
    </w:p>
    <w:p w14:paraId="528FD8BB" w14:textId="77777777" w:rsidR="008C1770" w:rsidRPr="00CF15EC" w:rsidRDefault="008C1770" w:rsidP="00A05224">
      <w:pPr>
        <w:ind w:hanging="720"/>
      </w:pPr>
      <w:r w:rsidRPr="00CF15EC">
        <w:t xml:space="preserve">Clayton, P. A. (1994) </w:t>
      </w:r>
      <w:r w:rsidRPr="00CF15EC">
        <w:rPr>
          <w:i/>
          <w:iCs/>
        </w:rPr>
        <w:t xml:space="preserve">Chronicle of the Pharaohs: the reign-by-reign record of the rulers and dynasties of ancient Egypt. </w:t>
      </w:r>
      <w:r w:rsidRPr="00CF15EC">
        <w:t xml:space="preserve">London: BCA. </w:t>
      </w:r>
    </w:p>
    <w:p w14:paraId="737A5A05" w14:textId="03B9D561" w:rsidR="008C1770" w:rsidRPr="00CF15EC" w:rsidRDefault="008C1770" w:rsidP="00A05224">
      <w:pPr>
        <w:ind w:hanging="720"/>
      </w:pPr>
      <w:r w:rsidRPr="00CF15EC">
        <w:t xml:space="preserve">Collins, P. </w:t>
      </w:r>
      <w:r w:rsidR="00D64CCE">
        <w:t>and</w:t>
      </w:r>
      <w:r w:rsidRPr="00CF15EC">
        <w:t xml:space="preserve"> McNamara, L. (2014) </w:t>
      </w:r>
      <w:r w:rsidRPr="00CF15EC">
        <w:rPr>
          <w:i/>
          <w:iCs/>
        </w:rPr>
        <w:t>Discovering Tutankhamun</w:t>
      </w:r>
      <w:r w:rsidRPr="00CF15EC">
        <w:t xml:space="preserve">. Oxford: Ashmolean Museum, University of Oxford. </w:t>
      </w:r>
    </w:p>
    <w:p w14:paraId="37DC54B9" w14:textId="1B4B4E16" w:rsidR="008C1770" w:rsidRPr="00CF15EC" w:rsidRDefault="008C1770" w:rsidP="00A05224">
      <w:pPr>
        <w:ind w:hanging="720"/>
      </w:pPr>
      <w:r w:rsidRPr="00CF15EC">
        <w:t xml:space="preserve">Connolly, K. (2009) </w:t>
      </w:r>
      <w:r w:rsidRPr="00154D7E">
        <w:rPr>
          <w:i/>
          <w:iCs/>
        </w:rPr>
        <w:t>Is this Nefertiti- or a 100-year-old fake?</w:t>
      </w:r>
      <w:r w:rsidRPr="00CF15EC">
        <w:t xml:space="preserve"> Available at: </w:t>
      </w:r>
      <w:r w:rsidRPr="00A9121A">
        <w:t>https://www.theguardian.com/artanddesign/2009/may/07/nefertiti-bust-berlin-egypt-authenticity</w:t>
      </w:r>
      <w:r w:rsidRPr="00CF15EC">
        <w:t xml:space="preserve"> [Accessed: 01/12/</w:t>
      </w:r>
      <w:r w:rsidR="0029519E">
        <w:t>20</w:t>
      </w:r>
      <w:r w:rsidRPr="00CF15EC">
        <w:t>19]</w:t>
      </w:r>
      <w:r w:rsidR="00C30B43">
        <w:t xml:space="preserve">. </w:t>
      </w:r>
    </w:p>
    <w:p w14:paraId="1AAB0E0F" w14:textId="3614FCF3" w:rsidR="008C1770" w:rsidRDefault="008C1770" w:rsidP="00A05224">
      <w:pPr>
        <w:ind w:hanging="720"/>
      </w:pPr>
      <w:r w:rsidRPr="00CF15EC">
        <w:t>Daly</w:t>
      </w:r>
      <w:r w:rsidR="00025ABF">
        <w:t xml:space="preserve">, </w:t>
      </w:r>
      <w:r w:rsidRPr="00CF15EC">
        <w:t xml:space="preserve">M. W. and </w:t>
      </w:r>
      <w:r w:rsidR="005C36DB">
        <w:t>Petry, C. F.</w:t>
      </w:r>
      <w:r w:rsidRPr="00CF15EC">
        <w:t xml:space="preserve"> (1998</w:t>
      </w:r>
      <w:r w:rsidRPr="00CF15EC">
        <w:rPr>
          <w:i/>
          <w:iCs/>
        </w:rPr>
        <w:t>) The Cambridge History of Egypt</w:t>
      </w:r>
      <w:r w:rsidRPr="00CF15EC">
        <w:t xml:space="preserve">. Cambridge: Cambridge University Press. </w:t>
      </w:r>
    </w:p>
    <w:p w14:paraId="28E3B24E" w14:textId="455857C7" w:rsidR="00BB0B65" w:rsidRPr="000523D5" w:rsidRDefault="00BB0B65" w:rsidP="00A05224">
      <w:pPr>
        <w:ind w:hanging="720"/>
      </w:pPr>
      <w:r>
        <w:t>Dodson</w:t>
      </w:r>
      <w:r w:rsidR="00025ABF">
        <w:t>, A. (</w:t>
      </w:r>
      <w:r w:rsidR="0094185B">
        <w:t>2009</w:t>
      </w:r>
      <w:r w:rsidR="00025ABF">
        <w:t xml:space="preserve">) </w:t>
      </w:r>
      <w:r w:rsidR="00025ABF" w:rsidRPr="0094185B">
        <w:rPr>
          <w:i/>
          <w:iCs/>
        </w:rPr>
        <w:t xml:space="preserve">Amarna Sunset. Nefertiti, Tutankhamun, Ay, </w:t>
      </w:r>
      <w:proofErr w:type="spellStart"/>
      <w:r w:rsidR="00025ABF" w:rsidRPr="0094185B">
        <w:rPr>
          <w:i/>
          <w:iCs/>
        </w:rPr>
        <w:t>Horem</w:t>
      </w:r>
      <w:r w:rsidR="00B52BC3" w:rsidRPr="0094185B">
        <w:rPr>
          <w:i/>
          <w:iCs/>
        </w:rPr>
        <w:t>heb</w:t>
      </w:r>
      <w:proofErr w:type="spellEnd"/>
      <w:r w:rsidR="00B52BC3" w:rsidRPr="0094185B">
        <w:rPr>
          <w:i/>
          <w:iCs/>
        </w:rPr>
        <w:t>, and the Egyptian Counter-Reformation.</w:t>
      </w:r>
      <w:r w:rsidR="000523D5">
        <w:rPr>
          <w:i/>
          <w:iCs/>
        </w:rPr>
        <w:t xml:space="preserve"> </w:t>
      </w:r>
      <w:r w:rsidR="0062184D" w:rsidRPr="0062184D">
        <w:t>Cairo and New York</w:t>
      </w:r>
      <w:r w:rsidR="0062184D">
        <w:rPr>
          <w:i/>
          <w:iCs/>
        </w:rPr>
        <w:t xml:space="preserve">: </w:t>
      </w:r>
      <w:r w:rsidR="0062184D">
        <w:t>The American University in Cairo Press</w:t>
      </w:r>
      <w:r w:rsidR="005C36DB">
        <w:t>.</w:t>
      </w:r>
    </w:p>
    <w:p w14:paraId="2F47088D" w14:textId="60E009F9" w:rsidR="008C1770" w:rsidRPr="00CF15EC" w:rsidRDefault="008C1770" w:rsidP="00A05224">
      <w:pPr>
        <w:ind w:hanging="720"/>
      </w:pPr>
      <w:r w:rsidRPr="00CF15EC">
        <w:t xml:space="preserve">Dowson, T. (2019) </w:t>
      </w:r>
      <w:r w:rsidRPr="0029519E">
        <w:rPr>
          <w:i/>
          <w:iCs/>
        </w:rPr>
        <w:t>Tutankhamun: Treasures of the Golden Pharaoh 2019 – 2021</w:t>
      </w:r>
      <w:r w:rsidRPr="00CF15EC">
        <w:t xml:space="preserve">. Available at </w:t>
      </w:r>
      <w:r w:rsidRPr="00A9121A">
        <w:t>https://archaeology-travel.com/exhibitions/tutankhamun-treasures-of-the-golden-pharaoh/</w:t>
      </w:r>
      <w:r w:rsidRPr="00CF15EC">
        <w:t xml:space="preserve"> [Accessed 16/12/2019]</w:t>
      </w:r>
      <w:r w:rsidR="005C36DB">
        <w:t>.</w:t>
      </w:r>
    </w:p>
    <w:p w14:paraId="531FDE6A" w14:textId="0DEB7E49" w:rsidR="008C1770" w:rsidRPr="00CF15EC" w:rsidRDefault="008C1770" w:rsidP="00A05224">
      <w:pPr>
        <w:ind w:hanging="720"/>
      </w:pPr>
      <w:r w:rsidRPr="00CF15EC">
        <w:t xml:space="preserve">Eaton-Krauss, M. (2016) </w:t>
      </w:r>
      <w:r w:rsidRPr="0029519E">
        <w:rPr>
          <w:i/>
          <w:iCs/>
        </w:rPr>
        <w:t>The Unknown Tutankhamun</w:t>
      </w:r>
      <w:r w:rsidRPr="00CF15EC">
        <w:t>. London; New York: Bloomsbury Academic</w:t>
      </w:r>
      <w:r w:rsidR="005C36DB">
        <w:t>.</w:t>
      </w:r>
    </w:p>
    <w:p w14:paraId="79E96FEB" w14:textId="1E586E6B" w:rsidR="00C52218" w:rsidRPr="00CF15EC" w:rsidRDefault="008C1770" w:rsidP="00A05224">
      <w:pPr>
        <w:ind w:hanging="720"/>
      </w:pPr>
      <w:r w:rsidRPr="00CF15EC">
        <w:t>El-Akkad, T. (</w:t>
      </w:r>
      <w:r w:rsidR="001C1949">
        <w:t>2017</w:t>
      </w:r>
      <w:r w:rsidRPr="00CF15EC">
        <w:t xml:space="preserve">) </w:t>
      </w:r>
      <w:r w:rsidRPr="00C52218">
        <w:t>‘The Decline of Cairo Under the Ottomans’</w:t>
      </w:r>
      <w:r w:rsidRPr="00C52218">
        <w:rPr>
          <w:i/>
          <w:iCs/>
        </w:rPr>
        <w:t>,</w:t>
      </w:r>
      <w:r w:rsidRPr="00CF15EC">
        <w:t xml:space="preserve"> </w:t>
      </w:r>
      <w:r w:rsidR="001C1949" w:rsidRPr="00C52218">
        <w:rPr>
          <w:i/>
          <w:iCs/>
        </w:rPr>
        <w:t>Art of the Orient</w:t>
      </w:r>
      <w:r w:rsidRPr="00CF15EC">
        <w:t>,</w:t>
      </w:r>
      <w:r w:rsidR="001C1949">
        <w:t xml:space="preserve"> 6</w:t>
      </w:r>
      <w:r w:rsidR="00645357">
        <w:t>.</w:t>
      </w:r>
      <w:r w:rsidRPr="00CF15EC">
        <w:t xml:space="preserve"> pp.76-86</w:t>
      </w:r>
      <w:r w:rsidR="00B51576">
        <w:t xml:space="preserve">. Available at: </w:t>
      </w:r>
      <w:r w:rsidR="00645357" w:rsidRPr="00645357">
        <w:t>https://crossasia-journals.ub.uni-heidelberg.de/index.php/ao/article/view/9063/8914</w:t>
      </w:r>
      <w:r w:rsidR="00645357">
        <w:t xml:space="preserve"> </w:t>
      </w:r>
      <w:r w:rsidR="0097685D">
        <w:t>[Accessed: 01/12/2019]</w:t>
      </w:r>
      <w:r w:rsidR="005C36DB">
        <w:t>.</w:t>
      </w:r>
    </w:p>
    <w:p w14:paraId="2862FF38" w14:textId="56ADEC99" w:rsidR="008C1770" w:rsidRPr="00CF15EC" w:rsidRDefault="008C1770" w:rsidP="00A05224">
      <w:pPr>
        <w:ind w:hanging="720"/>
      </w:pPr>
      <w:r w:rsidRPr="00CF15EC">
        <w:t xml:space="preserve">Encyclopaedia Britannica. (2018) </w:t>
      </w:r>
      <w:proofErr w:type="spellStart"/>
      <w:r w:rsidRPr="0029519E">
        <w:rPr>
          <w:i/>
          <w:iCs/>
        </w:rPr>
        <w:t>Diodorus</w:t>
      </w:r>
      <w:proofErr w:type="spellEnd"/>
      <w:r w:rsidRPr="0029519E">
        <w:rPr>
          <w:i/>
          <w:iCs/>
        </w:rPr>
        <w:t xml:space="preserve"> Siculus</w:t>
      </w:r>
      <w:r w:rsidRPr="00CF15EC">
        <w:t xml:space="preserve">. Available at: </w:t>
      </w:r>
      <w:r w:rsidRPr="00A9121A">
        <w:t>https://www.britannica.com/biography/Diodorus-Siculus</w:t>
      </w:r>
      <w:r w:rsidRPr="00CF15EC">
        <w:t xml:space="preserve"> [Accessed: 01/12/</w:t>
      </w:r>
      <w:r w:rsidR="0029519E">
        <w:t>20</w:t>
      </w:r>
      <w:r w:rsidRPr="00CF15EC">
        <w:t>19]</w:t>
      </w:r>
      <w:r w:rsidR="00C51431">
        <w:t>.</w:t>
      </w:r>
    </w:p>
    <w:p w14:paraId="78E5BE57" w14:textId="532558BD" w:rsidR="008C1770" w:rsidRPr="00CF15EC" w:rsidRDefault="008C1770" w:rsidP="00A05224">
      <w:pPr>
        <w:ind w:hanging="720"/>
      </w:pPr>
      <w:r w:rsidRPr="00CF15EC">
        <w:t xml:space="preserve">Encyclopaedia Britannica. (2019) </w:t>
      </w:r>
      <w:r w:rsidRPr="0029519E">
        <w:rPr>
          <w:i/>
          <w:iCs/>
        </w:rPr>
        <w:t>Giovanni Battista Belzoni</w:t>
      </w:r>
      <w:r w:rsidRPr="00CF15EC">
        <w:t xml:space="preserve">. Available at: </w:t>
      </w:r>
      <w:r w:rsidRPr="00A9121A">
        <w:t>https://www.britannica.com/biography/Giovanni-Battista-Belzoni</w:t>
      </w:r>
      <w:r w:rsidRPr="00CF15EC">
        <w:t xml:space="preserve"> [Accessed: 01/12/</w:t>
      </w:r>
      <w:r w:rsidR="0029519E">
        <w:t>20</w:t>
      </w:r>
      <w:r w:rsidRPr="00CF15EC">
        <w:t>19]</w:t>
      </w:r>
      <w:r w:rsidR="00C51431">
        <w:t xml:space="preserve">. </w:t>
      </w:r>
    </w:p>
    <w:p w14:paraId="20C3F5E3" w14:textId="0E0C1CFF" w:rsidR="008C1770" w:rsidRDefault="008C1770" w:rsidP="00A05224">
      <w:pPr>
        <w:ind w:hanging="720"/>
      </w:pPr>
      <w:r w:rsidRPr="00CF15EC">
        <w:lastRenderedPageBreak/>
        <w:t>Encyclop</w:t>
      </w:r>
      <w:r w:rsidR="00A50357">
        <w:t>a</w:t>
      </w:r>
      <w:r w:rsidRPr="00CF15EC">
        <w:t>edia Britannica. (2019</w:t>
      </w:r>
      <w:r w:rsidRPr="00C52218">
        <w:rPr>
          <w:i/>
          <w:iCs/>
        </w:rPr>
        <w:t>) Mehmed V</w:t>
      </w:r>
      <w:r w:rsidRPr="00CF15EC">
        <w:t xml:space="preserve">. Available at: </w:t>
      </w:r>
      <w:r w:rsidRPr="00A9121A">
        <w:t>https://www.britannica.com/biography/Mehmed-V</w:t>
      </w:r>
      <w:r w:rsidRPr="00CF15EC">
        <w:t xml:space="preserve"> [Accessed 22/03/</w:t>
      </w:r>
      <w:r w:rsidR="00C52218">
        <w:t>20</w:t>
      </w:r>
      <w:r w:rsidRPr="00CF15EC">
        <w:t>20]</w:t>
      </w:r>
      <w:r w:rsidR="00C51431">
        <w:t>.</w:t>
      </w:r>
    </w:p>
    <w:p w14:paraId="01C1222E" w14:textId="399285AA" w:rsidR="000C2BC6" w:rsidRPr="00CF15EC" w:rsidRDefault="000C2BC6" w:rsidP="00A05224">
      <w:pPr>
        <w:ind w:hanging="720"/>
      </w:pPr>
      <w:r>
        <w:t>Encyclopaedia Britannica. (2019) Mustafa al-</w:t>
      </w:r>
      <w:proofErr w:type="spellStart"/>
      <w:r>
        <w:t>Nahhas</w:t>
      </w:r>
      <w:proofErr w:type="spellEnd"/>
      <w:r>
        <w:t xml:space="preserve"> Pasha. Available at: </w:t>
      </w:r>
      <w:r w:rsidR="00087117" w:rsidRPr="00087117">
        <w:t>https://www.britannica.com/biography/Mustafa-al-Nahhas-Pasha</w:t>
      </w:r>
      <w:r w:rsidR="00087117">
        <w:t xml:space="preserve"> [Accessed 01/05/2020]. </w:t>
      </w:r>
    </w:p>
    <w:p w14:paraId="18BCB6B2" w14:textId="0F04CDCD" w:rsidR="008C1770" w:rsidRDefault="008C1770" w:rsidP="00A05224">
      <w:pPr>
        <w:ind w:hanging="720"/>
      </w:pPr>
      <w:r w:rsidRPr="00CF15EC">
        <w:t>Encyclop</w:t>
      </w:r>
      <w:r w:rsidR="00A50357">
        <w:t>a</w:t>
      </w:r>
      <w:r w:rsidRPr="00CF15EC">
        <w:t xml:space="preserve">edia Britannica. (2020) </w:t>
      </w:r>
      <w:r w:rsidRPr="00C52218">
        <w:rPr>
          <w:i/>
          <w:iCs/>
        </w:rPr>
        <w:t>Imperialism</w:t>
      </w:r>
      <w:r w:rsidRPr="00CF15EC">
        <w:t xml:space="preserve">. </w:t>
      </w:r>
      <w:r w:rsidR="009842AC" w:rsidRPr="00CF15EC">
        <w:t>Available</w:t>
      </w:r>
      <w:r w:rsidRPr="00CF15EC">
        <w:t xml:space="preserve"> at: </w:t>
      </w:r>
      <w:r w:rsidRPr="00A9121A">
        <w:t>https://www.britannica.com/topic/imperialism</w:t>
      </w:r>
      <w:r w:rsidRPr="00CF15EC">
        <w:t xml:space="preserve"> [Accessed 22/03/</w:t>
      </w:r>
      <w:r w:rsidR="00C52218">
        <w:t>20</w:t>
      </w:r>
      <w:r w:rsidRPr="00CF15EC">
        <w:t>20]</w:t>
      </w:r>
      <w:r w:rsidR="00C51431">
        <w:t>.</w:t>
      </w:r>
    </w:p>
    <w:p w14:paraId="6203C810" w14:textId="3AE6701A" w:rsidR="00A7665D" w:rsidRPr="00CF15EC" w:rsidRDefault="00A7665D" w:rsidP="00A05224">
      <w:pPr>
        <w:ind w:hanging="720"/>
      </w:pPr>
      <w:r>
        <w:t>Encyclop</w:t>
      </w:r>
      <w:r w:rsidR="00A50357">
        <w:t>a</w:t>
      </w:r>
      <w:r>
        <w:t>edia</w:t>
      </w:r>
      <w:r w:rsidR="00A50357">
        <w:t xml:space="preserve"> Britannica. (</w:t>
      </w:r>
      <w:r w:rsidR="009842AC">
        <w:t xml:space="preserve">2020) </w:t>
      </w:r>
      <w:proofErr w:type="spellStart"/>
      <w:r w:rsidR="009842AC" w:rsidRPr="00C52218">
        <w:rPr>
          <w:i/>
          <w:iCs/>
        </w:rPr>
        <w:t>Sa’id</w:t>
      </w:r>
      <w:proofErr w:type="spellEnd"/>
      <w:r w:rsidR="009842AC" w:rsidRPr="00C52218">
        <w:rPr>
          <w:i/>
          <w:iCs/>
        </w:rPr>
        <w:t xml:space="preserve"> Pasha</w:t>
      </w:r>
      <w:r w:rsidR="009842AC">
        <w:t xml:space="preserve">. Available at: </w:t>
      </w:r>
      <w:r w:rsidR="00E077FD" w:rsidRPr="00E077FD">
        <w:t>https://www.britannica.com/biography/Said-Pasha</w:t>
      </w:r>
      <w:r w:rsidR="00E077FD">
        <w:t xml:space="preserve"> [Accessed 29/04/2020]</w:t>
      </w:r>
      <w:r w:rsidR="005A02CE">
        <w:t>.</w:t>
      </w:r>
    </w:p>
    <w:p w14:paraId="1AB98B1B" w14:textId="77777777" w:rsidR="008C1770" w:rsidRPr="00CF15EC" w:rsidRDefault="008C1770" w:rsidP="00A05224">
      <w:pPr>
        <w:ind w:hanging="720"/>
      </w:pPr>
      <w:proofErr w:type="spellStart"/>
      <w:r w:rsidRPr="00CF15EC">
        <w:t>Fritze</w:t>
      </w:r>
      <w:proofErr w:type="spellEnd"/>
      <w:r w:rsidRPr="00CF15EC">
        <w:t xml:space="preserve">, R. H. (2016) </w:t>
      </w:r>
      <w:r w:rsidRPr="00CF15EC">
        <w:rPr>
          <w:i/>
          <w:iCs/>
        </w:rPr>
        <w:t>Egyptomania: a history of fascination, obsession and fantasy</w:t>
      </w:r>
      <w:r w:rsidRPr="00CF15EC">
        <w:t xml:space="preserve">. London: </w:t>
      </w:r>
      <w:proofErr w:type="spellStart"/>
      <w:r w:rsidRPr="00CF15EC">
        <w:t>Reaktion</w:t>
      </w:r>
      <w:proofErr w:type="spellEnd"/>
      <w:r w:rsidRPr="00CF15EC">
        <w:t xml:space="preserve"> Books. </w:t>
      </w:r>
    </w:p>
    <w:p w14:paraId="5B1A4660" w14:textId="14CA1AA8" w:rsidR="008C1770" w:rsidRPr="00CF15EC" w:rsidRDefault="008C1770" w:rsidP="00A05224">
      <w:pPr>
        <w:ind w:hanging="720"/>
        <w:rPr>
          <w:rFonts w:cstheme="minorHAnsi"/>
        </w:rPr>
      </w:pPr>
      <w:r w:rsidRPr="00CF15EC">
        <w:t xml:space="preserve">Fryxell, A. (2017) ‘Tutankhamen, Egyptomania, and Temporal Enchantment in Interwar Britain’, </w:t>
      </w:r>
      <w:r w:rsidRPr="00CF15EC">
        <w:rPr>
          <w:i/>
          <w:iCs/>
        </w:rPr>
        <w:t xml:space="preserve">Twentieth Century British History, </w:t>
      </w:r>
      <w:r w:rsidRPr="00CF15EC">
        <w:t xml:space="preserve">28(4), pp. 516-542, </w:t>
      </w:r>
      <w:r w:rsidRPr="00CF15EC">
        <w:rPr>
          <w:rFonts w:cstheme="minorHAnsi"/>
        </w:rPr>
        <w:t>doi:10.1093/</w:t>
      </w:r>
      <w:proofErr w:type="spellStart"/>
      <w:r w:rsidRPr="00CF15EC">
        <w:rPr>
          <w:rFonts w:cstheme="minorHAnsi"/>
        </w:rPr>
        <w:t>tcbh</w:t>
      </w:r>
      <w:proofErr w:type="spellEnd"/>
      <w:r w:rsidRPr="00CF15EC">
        <w:rPr>
          <w:rFonts w:cstheme="minorHAnsi"/>
        </w:rPr>
        <w:t>/hwx056 [Accessed 27/07/2019]</w:t>
      </w:r>
      <w:r w:rsidR="005A02CE">
        <w:rPr>
          <w:rFonts w:cstheme="minorHAnsi"/>
        </w:rPr>
        <w:t>.</w:t>
      </w:r>
    </w:p>
    <w:p w14:paraId="1A0ABA3A" w14:textId="55F988E0" w:rsidR="008C1770" w:rsidRDefault="008C1770" w:rsidP="00A05224">
      <w:pPr>
        <w:ind w:hanging="720"/>
      </w:pPr>
      <w:proofErr w:type="spellStart"/>
      <w:r w:rsidRPr="00CF15EC">
        <w:t>Gange</w:t>
      </w:r>
      <w:proofErr w:type="spellEnd"/>
      <w:r w:rsidRPr="00CF15EC">
        <w:t xml:space="preserve">, D. (2013) </w:t>
      </w:r>
      <w:r w:rsidRPr="00C52218">
        <w:rPr>
          <w:i/>
          <w:iCs/>
        </w:rPr>
        <w:t xml:space="preserve">Dialogues with the Dead: Egyptology in British Culture and Religion, 1822 – 1922. </w:t>
      </w:r>
      <w:r w:rsidRPr="00CF15EC">
        <w:t xml:space="preserve">Oxford: Oxford University Press. </w:t>
      </w:r>
    </w:p>
    <w:p w14:paraId="6104E01A" w14:textId="286D6DDC" w:rsidR="005736C8" w:rsidRPr="00CF15EC" w:rsidRDefault="005736C8" w:rsidP="00A05224">
      <w:pPr>
        <w:ind w:hanging="720"/>
      </w:pPr>
      <w:r>
        <w:t xml:space="preserve">Geographic. (2010) </w:t>
      </w:r>
      <w:r w:rsidRPr="00BE70E3">
        <w:rPr>
          <w:i/>
          <w:iCs/>
        </w:rPr>
        <w:t xml:space="preserve">Europe </w:t>
      </w:r>
      <w:r w:rsidR="00BE70E3" w:rsidRPr="00BE70E3">
        <w:rPr>
          <w:i/>
          <w:iCs/>
        </w:rPr>
        <w:t>Middle East Africa Large Printable Map.</w:t>
      </w:r>
      <w:r w:rsidR="00BE70E3">
        <w:t xml:space="preserve"> Available at: </w:t>
      </w:r>
      <w:r w:rsidR="00BE70E3" w:rsidRPr="00BE70E3">
        <w:t>https://geographic.org/maps/new2/emea_large_map.html</w:t>
      </w:r>
      <w:r w:rsidR="00BE70E3">
        <w:t xml:space="preserve"> [Accessed 30/04/2020]</w:t>
      </w:r>
      <w:r w:rsidR="005A02CE">
        <w:t>.</w:t>
      </w:r>
    </w:p>
    <w:bookmarkEnd w:id="58"/>
    <w:p w14:paraId="44B650ED" w14:textId="1CF7490A" w:rsidR="008C1770" w:rsidRPr="00CF15EC" w:rsidRDefault="008C1770" w:rsidP="00A05224">
      <w:pPr>
        <w:ind w:hanging="720"/>
      </w:pPr>
      <w:r w:rsidRPr="00CF15EC">
        <w:t xml:space="preserve">Giza Project at Harvard University. (2017) </w:t>
      </w:r>
      <w:r w:rsidRPr="00C52218">
        <w:rPr>
          <w:i/>
          <w:iCs/>
        </w:rPr>
        <w:t xml:space="preserve">Pierre Lucien </w:t>
      </w:r>
      <w:proofErr w:type="spellStart"/>
      <w:r w:rsidRPr="00C52218">
        <w:rPr>
          <w:i/>
          <w:iCs/>
        </w:rPr>
        <w:t>Lacau</w:t>
      </w:r>
      <w:proofErr w:type="spellEnd"/>
      <w:r w:rsidRPr="00CF15EC">
        <w:t xml:space="preserve">. Available at: </w:t>
      </w:r>
      <w:r w:rsidRPr="00A9121A">
        <w:t>http://giza.fas.harvard.edu/modernpeople/1638/full/</w:t>
      </w:r>
      <w:r w:rsidRPr="00CF15EC">
        <w:t xml:space="preserve"> [Accessed 21/03/</w:t>
      </w:r>
      <w:r w:rsidR="00C52218">
        <w:t>20</w:t>
      </w:r>
      <w:r w:rsidRPr="00CF15EC">
        <w:t>20]</w:t>
      </w:r>
      <w:r w:rsidR="005A02CE">
        <w:t>.</w:t>
      </w:r>
    </w:p>
    <w:p w14:paraId="214B6326" w14:textId="55B9C226" w:rsidR="008C1770" w:rsidRPr="00CF15EC" w:rsidRDefault="008C1770" w:rsidP="00A05224">
      <w:pPr>
        <w:ind w:hanging="720"/>
      </w:pPr>
      <w:proofErr w:type="spellStart"/>
      <w:r w:rsidRPr="00CF15EC">
        <w:t>Godechot</w:t>
      </w:r>
      <w:proofErr w:type="spellEnd"/>
      <w:r w:rsidRPr="00CF15EC">
        <w:t xml:space="preserve">, J. (2019) </w:t>
      </w:r>
      <w:r w:rsidRPr="00C52218">
        <w:rPr>
          <w:i/>
          <w:iCs/>
        </w:rPr>
        <w:t>Napoleon I</w:t>
      </w:r>
      <w:r w:rsidRPr="00CF15EC">
        <w:t xml:space="preserve">. Available at: </w:t>
      </w:r>
      <w:r w:rsidRPr="00A9121A">
        <w:t>https://www.britannica.com/biography/Napoleon-I/Downfall-and-abdication</w:t>
      </w:r>
      <w:r w:rsidRPr="00CF15EC">
        <w:t xml:space="preserve"> [Accessed: 01/12/</w:t>
      </w:r>
      <w:r w:rsidR="00C52218">
        <w:t>20</w:t>
      </w:r>
      <w:r w:rsidRPr="00CF15EC">
        <w:t>19]</w:t>
      </w:r>
      <w:r w:rsidR="005A02CE">
        <w:t>.</w:t>
      </w:r>
    </w:p>
    <w:p w14:paraId="05666A96" w14:textId="77777777" w:rsidR="000B2984" w:rsidRDefault="000B2984" w:rsidP="000B2984">
      <w:pPr>
        <w:ind w:hanging="720"/>
      </w:pPr>
      <w:r>
        <w:t xml:space="preserve">Gorman, A. (2005) </w:t>
      </w:r>
      <w:r w:rsidRPr="00F5093F">
        <w:rPr>
          <w:i/>
          <w:iCs/>
        </w:rPr>
        <w:t>Historians, State and Politics in 20</w:t>
      </w:r>
      <w:r w:rsidRPr="00F5093F">
        <w:rPr>
          <w:i/>
          <w:iCs/>
          <w:vertAlign w:val="superscript"/>
        </w:rPr>
        <w:t>th</w:t>
      </w:r>
      <w:r w:rsidRPr="00F5093F">
        <w:rPr>
          <w:i/>
          <w:iCs/>
        </w:rPr>
        <w:t xml:space="preserve"> Century Egypt: Contesting the Nation. </w:t>
      </w:r>
      <w:r>
        <w:t xml:space="preserve">London: Routledge. </w:t>
      </w:r>
    </w:p>
    <w:p w14:paraId="58AC7E0E" w14:textId="73987B16" w:rsidR="008C1770" w:rsidRDefault="008C1770" w:rsidP="00A05224">
      <w:pPr>
        <w:ind w:hanging="720"/>
      </w:pPr>
      <w:proofErr w:type="spellStart"/>
      <w:r w:rsidRPr="00CF15EC">
        <w:t>Hawass</w:t>
      </w:r>
      <w:proofErr w:type="spellEnd"/>
      <w:r w:rsidRPr="00CF15EC">
        <w:t xml:space="preserve">, Z. (2018) </w:t>
      </w:r>
      <w:r w:rsidRPr="00CF15EC">
        <w:rPr>
          <w:i/>
          <w:iCs/>
        </w:rPr>
        <w:t>Tutankhamun: A Gift from the Boy King</w:t>
      </w:r>
      <w:r w:rsidRPr="00CF15EC">
        <w:t xml:space="preserve">. New York: Melcher Media. </w:t>
      </w:r>
    </w:p>
    <w:p w14:paraId="3BB6E817" w14:textId="383D3953" w:rsidR="00BE3329" w:rsidRPr="00FF366F" w:rsidRDefault="005E705A" w:rsidP="00A05224">
      <w:pPr>
        <w:ind w:hanging="720"/>
      </w:pPr>
      <w:proofErr w:type="spellStart"/>
      <w:r w:rsidRPr="00FF366F">
        <w:t>Hawass</w:t>
      </w:r>
      <w:proofErr w:type="spellEnd"/>
      <w:r w:rsidR="005859FA" w:rsidRPr="00FF366F">
        <w:t>, Z., Gad, Y. Z.</w:t>
      </w:r>
      <w:r w:rsidR="00A861D8" w:rsidRPr="00FF366F">
        <w:t xml:space="preserve">, Ismail, S., </w:t>
      </w:r>
      <w:proofErr w:type="spellStart"/>
      <w:r w:rsidR="00A861D8" w:rsidRPr="00FF366F">
        <w:t>Khairat</w:t>
      </w:r>
      <w:proofErr w:type="spellEnd"/>
      <w:r w:rsidR="00A861D8" w:rsidRPr="00FF366F">
        <w:t xml:space="preserve">, R., </w:t>
      </w:r>
      <w:proofErr w:type="spellStart"/>
      <w:r w:rsidR="00A861D8" w:rsidRPr="00FF366F">
        <w:t>Fathalla</w:t>
      </w:r>
      <w:proofErr w:type="spellEnd"/>
      <w:r w:rsidR="00A861D8" w:rsidRPr="00FF366F">
        <w:t xml:space="preserve">, D., Hasan, N., Ahmed, A., </w:t>
      </w:r>
      <w:proofErr w:type="spellStart"/>
      <w:r w:rsidR="00A861D8" w:rsidRPr="00FF366F">
        <w:t>Elleithy</w:t>
      </w:r>
      <w:proofErr w:type="spellEnd"/>
      <w:r w:rsidR="00A861D8" w:rsidRPr="00FF366F">
        <w:t>, H.</w:t>
      </w:r>
      <w:r w:rsidR="008E7A95" w:rsidRPr="00FF366F">
        <w:t xml:space="preserve">, Ball, M., </w:t>
      </w:r>
      <w:proofErr w:type="spellStart"/>
      <w:r w:rsidR="008E7A95" w:rsidRPr="00FF366F">
        <w:t>Gaballah</w:t>
      </w:r>
      <w:proofErr w:type="spellEnd"/>
      <w:r w:rsidR="008E7A95" w:rsidRPr="00FF366F">
        <w:t xml:space="preserve">, F., </w:t>
      </w:r>
      <w:proofErr w:type="spellStart"/>
      <w:r w:rsidR="008E7A95" w:rsidRPr="00FF366F">
        <w:t>Wasef</w:t>
      </w:r>
      <w:proofErr w:type="spellEnd"/>
      <w:r w:rsidR="008E7A95" w:rsidRPr="00FF366F">
        <w:t xml:space="preserve">, S., </w:t>
      </w:r>
      <w:proofErr w:type="spellStart"/>
      <w:r w:rsidR="008E7A95" w:rsidRPr="00FF366F">
        <w:t>Fateen</w:t>
      </w:r>
      <w:proofErr w:type="spellEnd"/>
      <w:r w:rsidR="008E7A95" w:rsidRPr="00FF366F">
        <w:t xml:space="preserve">, M., Amer, H., </w:t>
      </w:r>
      <w:proofErr w:type="spellStart"/>
      <w:r w:rsidR="002F3D4D" w:rsidRPr="00FF366F">
        <w:t>Gostner</w:t>
      </w:r>
      <w:proofErr w:type="spellEnd"/>
      <w:r w:rsidR="002F3D4D" w:rsidRPr="00FF366F">
        <w:t xml:space="preserve">, P., Selim, A., Zink, A., and </w:t>
      </w:r>
      <w:proofErr w:type="spellStart"/>
      <w:r w:rsidR="002F3D4D" w:rsidRPr="00FF366F">
        <w:t>Pusch</w:t>
      </w:r>
      <w:proofErr w:type="spellEnd"/>
      <w:r w:rsidR="000E79FF" w:rsidRPr="00FF366F">
        <w:t xml:space="preserve">, C. (2010) </w:t>
      </w:r>
      <w:r w:rsidR="00782D37" w:rsidRPr="00FF366F">
        <w:t xml:space="preserve">‘Ancestry and Pathology in King Tutankhamun Family’, </w:t>
      </w:r>
      <w:r w:rsidR="00FD40E6" w:rsidRPr="00FF366F">
        <w:rPr>
          <w:i/>
          <w:iCs/>
        </w:rPr>
        <w:t>J</w:t>
      </w:r>
      <w:r w:rsidR="00303AD2" w:rsidRPr="00FF366F">
        <w:rPr>
          <w:i/>
          <w:iCs/>
        </w:rPr>
        <w:t>AMA</w:t>
      </w:r>
      <w:r w:rsidR="00950084" w:rsidRPr="00FF366F">
        <w:t>, 303(7), pp. 638-647</w:t>
      </w:r>
      <w:r w:rsidR="00E9323D" w:rsidRPr="00FF366F">
        <w:rPr>
          <w:rFonts w:cstheme="minorHAnsi"/>
          <w:color w:val="000000" w:themeColor="text1"/>
        </w:rPr>
        <w:t>.</w:t>
      </w:r>
      <w:r w:rsidR="00782D37" w:rsidRPr="00FF366F">
        <w:rPr>
          <w:rFonts w:cstheme="minorHAnsi"/>
          <w:color w:val="000000" w:themeColor="text1"/>
        </w:rPr>
        <w:t xml:space="preserve"> </w:t>
      </w:r>
      <w:proofErr w:type="spellStart"/>
      <w:r w:rsidR="00AD1BC3">
        <w:rPr>
          <w:rFonts w:cstheme="minorHAnsi"/>
          <w:color w:val="000000" w:themeColor="text1"/>
        </w:rPr>
        <w:t>doi</w:t>
      </w:r>
      <w:proofErr w:type="spellEnd"/>
      <w:r w:rsidR="00DE016D" w:rsidRPr="00FF366F">
        <w:rPr>
          <w:rFonts w:cstheme="minorHAnsi"/>
          <w:color w:val="000000" w:themeColor="text1"/>
        </w:rPr>
        <w:t xml:space="preserve">: </w:t>
      </w:r>
      <w:r w:rsidR="00E9323D" w:rsidRPr="00FF366F">
        <w:rPr>
          <w:rFonts w:cstheme="minorHAnsi"/>
          <w:color w:val="000000" w:themeColor="text1"/>
          <w:shd w:val="clear" w:color="auto" w:fill="FFFFFF"/>
        </w:rPr>
        <w:t>10.1001/jama.2010.121</w:t>
      </w:r>
      <w:r w:rsidR="00782D37" w:rsidRPr="00FF366F">
        <w:rPr>
          <w:color w:val="000000" w:themeColor="text1"/>
        </w:rPr>
        <w:t xml:space="preserve"> </w:t>
      </w:r>
      <w:r w:rsidR="00FF366F" w:rsidRPr="00FF366F">
        <w:rPr>
          <w:color w:val="000000" w:themeColor="text1"/>
        </w:rPr>
        <w:t>[Accessed 30/04/2020]</w:t>
      </w:r>
      <w:r w:rsidR="00AD1BC3">
        <w:rPr>
          <w:color w:val="000000" w:themeColor="text1"/>
        </w:rPr>
        <w:t>.</w:t>
      </w:r>
    </w:p>
    <w:p w14:paraId="6C6CC416" w14:textId="1FCD0344" w:rsidR="008C1770" w:rsidRPr="00CF15EC" w:rsidRDefault="008C1770" w:rsidP="00A05224">
      <w:pPr>
        <w:ind w:hanging="720"/>
      </w:pPr>
      <w:r w:rsidRPr="00CF15EC">
        <w:t xml:space="preserve">Higgins, C. (2007) </w:t>
      </w:r>
      <w:r w:rsidRPr="00C52218">
        <w:rPr>
          <w:i/>
          <w:iCs/>
        </w:rPr>
        <w:t xml:space="preserve">After a </w:t>
      </w:r>
      <w:proofErr w:type="gramStart"/>
      <w:r w:rsidRPr="00C52218">
        <w:rPr>
          <w:i/>
          <w:iCs/>
        </w:rPr>
        <w:t>35 year</w:t>
      </w:r>
      <w:proofErr w:type="gramEnd"/>
      <w:r w:rsidRPr="00C52218">
        <w:rPr>
          <w:i/>
          <w:iCs/>
        </w:rPr>
        <w:t xml:space="preserve"> wait, Tutankhamun makes a golden, glittering return</w:t>
      </w:r>
      <w:r w:rsidRPr="00CF15EC">
        <w:t xml:space="preserve">. Available at: </w:t>
      </w:r>
      <w:proofErr w:type="gramStart"/>
      <w:r w:rsidRPr="00A9121A">
        <w:t>https://www.theguardian.com/uk/2007/mar/13/topstories3.artnews</w:t>
      </w:r>
      <w:r w:rsidRPr="00CF15EC">
        <w:t xml:space="preserve">  [</w:t>
      </w:r>
      <w:proofErr w:type="gramEnd"/>
      <w:r w:rsidRPr="00CF15EC">
        <w:t>Accessed 02/12/</w:t>
      </w:r>
      <w:r w:rsidR="00C52218">
        <w:t>20</w:t>
      </w:r>
      <w:r w:rsidRPr="00CF15EC">
        <w:t>19]</w:t>
      </w:r>
      <w:r w:rsidR="00AD1BC3">
        <w:t>.</w:t>
      </w:r>
    </w:p>
    <w:p w14:paraId="23AB7A81" w14:textId="17030094" w:rsidR="008C1770" w:rsidRPr="00CF15EC" w:rsidRDefault="008C1770" w:rsidP="00A05224">
      <w:pPr>
        <w:ind w:hanging="720"/>
      </w:pPr>
      <w:r w:rsidRPr="00CF15EC">
        <w:t xml:space="preserve">Hindley, M. (2015) </w:t>
      </w:r>
      <w:r w:rsidRPr="00C52218">
        <w:rPr>
          <w:i/>
          <w:iCs/>
        </w:rPr>
        <w:t>King Tut: A Classic Blockbuster Museum Exhibition that began as a diplomatic gesture</w:t>
      </w:r>
      <w:r w:rsidRPr="00CF15EC">
        <w:t xml:space="preserve">. Available at: </w:t>
      </w:r>
      <w:r w:rsidRPr="00A9121A">
        <w:t>https://www.neh.gov/humanities/2015/septemberoctober/feature/king-tut-classic-blockbuster-museum-exhibition-began-diplom</w:t>
      </w:r>
      <w:r w:rsidRPr="00CF15EC">
        <w:t xml:space="preserve"> [Accessed 02/12/</w:t>
      </w:r>
      <w:r w:rsidR="00C52218">
        <w:t>20</w:t>
      </w:r>
      <w:r w:rsidRPr="00CF15EC">
        <w:t>19]</w:t>
      </w:r>
      <w:r w:rsidR="00AD1BC3">
        <w:t>.</w:t>
      </w:r>
    </w:p>
    <w:p w14:paraId="048759BE" w14:textId="2E9B30DA" w:rsidR="008C1770" w:rsidRDefault="008C1770" w:rsidP="00A05224">
      <w:pPr>
        <w:ind w:hanging="720"/>
      </w:pPr>
      <w:r w:rsidRPr="00CF15EC">
        <w:t xml:space="preserve">Ikram, S. (2010) </w:t>
      </w:r>
      <w:r w:rsidRPr="00CF15EC">
        <w:rPr>
          <w:i/>
          <w:iCs/>
        </w:rPr>
        <w:t>Ancient Egypt: an introduction</w:t>
      </w:r>
      <w:r w:rsidRPr="00CF15EC">
        <w:t xml:space="preserve">. New York: Cambridge University Press. </w:t>
      </w:r>
    </w:p>
    <w:p w14:paraId="12ADD92A" w14:textId="77CD23E9" w:rsidR="009E1F21" w:rsidRDefault="009E1F21" w:rsidP="00A05224">
      <w:pPr>
        <w:ind w:hanging="720"/>
      </w:pPr>
      <w:r>
        <w:t xml:space="preserve">Ivanovic, M. (2008) </w:t>
      </w:r>
      <w:r w:rsidRPr="009E1F21">
        <w:rPr>
          <w:i/>
          <w:iCs/>
        </w:rPr>
        <w:t>Cultural Tourism</w:t>
      </w:r>
      <w:r>
        <w:t xml:space="preserve">. Cape Town: Juta and Company Ltd. Available at: </w:t>
      </w:r>
      <w:r w:rsidRPr="009E1F21">
        <w:t>https://books.google.co.uk/books?id=fZ6Wb8AptvYC&amp;pg=PP186&amp;lpg=PP186&amp;dq=tutankhamun+tour+2004&amp;source=bl&amp;ots=ytGAAJ4atm&amp;sig=ACfU3U0TTwbxs7QwQpV8z_8xe8uZnKjUuw&amp;hl=en&amp;sa=X&amp;ved=2ahUKEwj3ktD5u5LpAhVzqHEKHbMXAYM4ChDoATABegQIChAB#v=onepage&amp;q=tutankhamun%20tour%202004&amp;f=false</w:t>
      </w:r>
      <w:r>
        <w:t xml:space="preserve"> [Accessed 01/05/2020].</w:t>
      </w:r>
    </w:p>
    <w:p w14:paraId="578A8E50" w14:textId="6E687C38" w:rsidR="008C1770" w:rsidRPr="00CF15EC" w:rsidRDefault="008C1770" w:rsidP="00A05224">
      <w:pPr>
        <w:ind w:hanging="720"/>
      </w:pPr>
      <w:r>
        <w:lastRenderedPageBreak/>
        <w:t xml:space="preserve">James, T.G.H. (2001) </w:t>
      </w:r>
      <w:r w:rsidR="00C52218">
        <w:t>‘</w:t>
      </w:r>
      <w:r>
        <w:t>The Tomb of Tutankhamun</w:t>
      </w:r>
      <w:r w:rsidR="00C52218">
        <w:t>’</w:t>
      </w:r>
      <w:r w:rsidR="00D35B8D">
        <w:t xml:space="preserve">, in </w:t>
      </w:r>
      <w:r>
        <w:t>Weeks, K. R and De Luca, A.</w:t>
      </w:r>
      <w:r w:rsidR="007D78FE">
        <w:t xml:space="preserve"> (</w:t>
      </w:r>
      <w:r>
        <w:t>eds.</w:t>
      </w:r>
      <w:r w:rsidR="007D78FE">
        <w:t>)</w:t>
      </w:r>
      <w:r>
        <w:t xml:space="preserve"> </w:t>
      </w:r>
      <w:r w:rsidRPr="00C52218">
        <w:rPr>
          <w:i/>
          <w:iCs/>
        </w:rPr>
        <w:t>The Treasures of the Valley of the Kings: tombs and temples of the Theban West Bank in Luxor</w:t>
      </w:r>
      <w:r>
        <w:t>. Cairo: The American University in Cairo Press</w:t>
      </w:r>
      <w:r w:rsidR="00D35B8D">
        <w:t>.</w:t>
      </w:r>
    </w:p>
    <w:p w14:paraId="7982670E" w14:textId="77777777" w:rsidR="008C1770" w:rsidRPr="00CF15EC" w:rsidRDefault="008C1770" w:rsidP="00A05224">
      <w:pPr>
        <w:ind w:hanging="720"/>
      </w:pPr>
      <w:r w:rsidRPr="00CF15EC">
        <w:t xml:space="preserve">Jankowski, J. P. (2000) </w:t>
      </w:r>
      <w:r w:rsidRPr="00CF15EC">
        <w:rPr>
          <w:i/>
          <w:iCs/>
        </w:rPr>
        <w:t>Egypt: a short history</w:t>
      </w:r>
      <w:r w:rsidRPr="00CF15EC">
        <w:t xml:space="preserve">. Oxford: </w:t>
      </w:r>
      <w:proofErr w:type="spellStart"/>
      <w:r w:rsidRPr="00CF15EC">
        <w:t>Oneworld</w:t>
      </w:r>
      <w:proofErr w:type="spellEnd"/>
      <w:r w:rsidRPr="00CF15EC">
        <w:t xml:space="preserve">. </w:t>
      </w:r>
    </w:p>
    <w:p w14:paraId="1AB875AE" w14:textId="2D7C9AB2" w:rsidR="008C1770" w:rsidRPr="00CF15EC" w:rsidRDefault="008C1770" w:rsidP="00A05224">
      <w:pPr>
        <w:ind w:hanging="720"/>
        <w:rPr>
          <w:rFonts w:cstheme="minorHAnsi"/>
        </w:rPr>
      </w:pPr>
      <w:proofErr w:type="spellStart"/>
      <w:r w:rsidRPr="00CF15EC">
        <w:rPr>
          <w:rFonts w:cstheme="minorHAnsi"/>
        </w:rPr>
        <w:t>Janot</w:t>
      </w:r>
      <w:proofErr w:type="spellEnd"/>
      <w:r w:rsidRPr="00CF15EC">
        <w:rPr>
          <w:rFonts w:cstheme="minorHAnsi"/>
        </w:rPr>
        <w:t xml:space="preserve">, F. (2010) </w:t>
      </w:r>
      <w:r w:rsidRPr="00CF15EC">
        <w:rPr>
          <w:rFonts w:cstheme="minorHAnsi"/>
          <w:i/>
          <w:iCs/>
        </w:rPr>
        <w:t>The Royal Mummies Immortality in ancient Egypt.</w:t>
      </w:r>
      <w:r w:rsidRPr="00CF15EC">
        <w:rPr>
          <w:rFonts w:cstheme="minorHAnsi"/>
        </w:rPr>
        <w:t xml:space="preserve"> </w:t>
      </w:r>
      <w:r w:rsidR="003F2F1D">
        <w:rPr>
          <w:rFonts w:cstheme="minorHAnsi"/>
        </w:rPr>
        <w:t xml:space="preserve">Cairo: </w:t>
      </w:r>
      <w:r w:rsidRPr="00CF15EC">
        <w:rPr>
          <w:rFonts w:cstheme="minorHAnsi"/>
        </w:rPr>
        <w:t xml:space="preserve">The American University in Cairo Press. </w:t>
      </w:r>
    </w:p>
    <w:p w14:paraId="318755C6" w14:textId="54161334" w:rsidR="008C1770" w:rsidRPr="00CF15EC" w:rsidRDefault="008C1770" w:rsidP="00A05224">
      <w:pPr>
        <w:ind w:hanging="720"/>
      </w:pPr>
      <w:r w:rsidRPr="00CF15EC">
        <w:t xml:space="preserve">Johnson, B. (N.D) </w:t>
      </w:r>
      <w:r w:rsidRPr="00C52218">
        <w:rPr>
          <w:i/>
          <w:iCs/>
        </w:rPr>
        <w:t>The 1920’s in Britain</w:t>
      </w:r>
      <w:r w:rsidRPr="00CF15EC">
        <w:t xml:space="preserve">. Available at: </w:t>
      </w:r>
      <w:r w:rsidRPr="00A9121A">
        <w:t>https://www.historic-uk.com/HistoryUK/HistoryofBritain/The-1920s-in-Britain/</w:t>
      </w:r>
      <w:r w:rsidRPr="00CF15EC">
        <w:t xml:space="preserve"> [Accessed 22/03/</w:t>
      </w:r>
      <w:r w:rsidR="00C52218">
        <w:t>20</w:t>
      </w:r>
      <w:r w:rsidRPr="00CF15EC">
        <w:t>20]</w:t>
      </w:r>
      <w:r w:rsidR="00382637">
        <w:t>.</w:t>
      </w:r>
    </w:p>
    <w:p w14:paraId="2FF2644C" w14:textId="6DEB9A7D" w:rsidR="008C1770" w:rsidRPr="00CF15EC" w:rsidRDefault="008C1770" w:rsidP="00A05224">
      <w:pPr>
        <w:ind w:hanging="720"/>
      </w:pPr>
      <w:r w:rsidRPr="00CF15EC">
        <w:t xml:space="preserve">Jones, J. (2019) ‘Tutankhamun review – thrills and fun as King Tut gets the Hollywood treatment’, </w:t>
      </w:r>
      <w:r w:rsidRPr="00CF15EC">
        <w:rPr>
          <w:i/>
          <w:iCs/>
        </w:rPr>
        <w:t>The Guardian</w:t>
      </w:r>
      <w:r w:rsidRPr="00CF15EC">
        <w:t>, 1</w:t>
      </w:r>
      <w:r w:rsidRPr="00CF15EC">
        <w:rPr>
          <w:vertAlign w:val="superscript"/>
        </w:rPr>
        <w:t>st</w:t>
      </w:r>
      <w:r w:rsidRPr="00CF15EC">
        <w:t xml:space="preserve"> November, P.13</w:t>
      </w:r>
      <w:r w:rsidR="00382637">
        <w:t>.</w:t>
      </w:r>
    </w:p>
    <w:p w14:paraId="00FE8983" w14:textId="02929D22" w:rsidR="008C1770" w:rsidRPr="00CF15EC" w:rsidRDefault="008C1770" w:rsidP="00A05224">
      <w:pPr>
        <w:ind w:hanging="720"/>
      </w:pPr>
      <w:proofErr w:type="spellStart"/>
      <w:r w:rsidRPr="00CF15EC">
        <w:t>Lexico</w:t>
      </w:r>
      <w:proofErr w:type="spellEnd"/>
      <w:r w:rsidRPr="00CF15EC">
        <w:t xml:space="preserve">. (N.D) </w:t>
      </w:r>
      <w:r w:rsidRPr="00C52218">
        <w:rPr>
          <w:i/>
          <w:iCs/>
        </w:rPr>
        <w:t>Westerner</w:t>
      </w:r>
      <w:r w:rsidRPr="00CF15EC">
        <w:t xml:space="preserve">. Available at: </w:t>
      </w:r>
      <w:r w:rsidRPr="00A9121A">
        <w:t>https://www.lexico.com/en/definition/westerner</w:t>
      </w:r>
      <w:r w:rsidRPr="00CF15EC">
        <w:t xml:space="preserve"> [Accessed 03/12/</w:t>
      </w:r>
      <w:r w:rsidR="00C52218">
        <w:t>20</w:t>
      </w:r>
      <w:r w:rsidRPr="00CF15EC">
        <w:t>19]</w:t>
      </w:r>
      <w:r w:rsidR="00382637">
        <w:t>.</w:t>
      </w:r>
    </w:p>
    <w:p w14:paraId="3FEE0828" w14:textId="4DA2CE3C" w:rsidR="008C1770" w:rsidRPr="00CF15EC" w:rsidRDefault="008C1770" w:rsidP="00A05224">
      <w:pPr>
        <w:ind w:hanging="720"/>
      </w:pPr>
      <w:r w:rsidRPr="00CF15EC">
        <w:t xml:space="preserve">Majestic Tours. (2019) </w:t>
      </w:r>
      <w:r w:rsidRPr="00C52218">
        <w:rPr>
          <w:i/>
          <w:iCs/>
        </w:rPr>
        <w:t>Tutankhamun Exhibition with Majestic Tours Nov 2019 – May 2020</w:t>
      </w:r>
      <w:r w:rsidRPr="00CF15EC">
        <w:t xml:space="preserve">. Available at </w:t>
      </w:r>
      <w:r w:rsidRPr="00A9121A">
        <w:t>https://www.bing.com/videos/search?q=tutankhamun+exhibition+2019&amp;&amp;view=detail&amp;mid=70B18F092A2D0BFAD24B70B18F092A2D0BFAD24B&amp;&amp;FORM=VRDGAR</w:t>
      </w:r>
      <w:r w:rsidRPr="00CF15EC">
        <w:t xml:space="preserve"> [Accessed 08/12/</w:t>
      </w:r>
      <w:r w:rsidR="00C52218">
        <w:t>20</w:t>
      </w:r>
      <w:r w:rsidRPr="00CF15EC">
        <w:t>19]</w:t>
      </w:r>
      <w:r w:rsidR="00382637">
        <w:t>.</w:t>
      </w:r>
    </w:p>
    <w:p w14:paraId="29BBCEC2" w14:textId="575E389D" w:rsidR="008C1770" w:rsidRPr="00CF15EC" w:rsidRDefault="008C1770" w:rsidP="00A05224">
      <w:pPr>
        <w:ind w:hanging="720"/>
      </w:pPr>
      <w:r w:rsidRPr="00CF15EC">
        <w:t xml:space="preserve">Malek, J. (2009) </w:t>
      </w:r>
      <w:r w:rsidRPr="00C52218">
        <w:rPr>
          <w:i/>
          <w:iCs/>
        </w:rPr>
        <w:t>Some thoughts inspired by a current exhibition: ‘Tutankhamun: His Tomb and Treasures’.</w:t>
      </w:r>
      <w:r w:rsidRPr="00CF15EC">
        <w:t xml:space="preserve"> Available at: </w:t>
      </w:r>
      <w:r w:rsidRPr="00A9121A">
        <w:t>http://www.griffith.ox.ac.uk/gri/4semmel.html</w:t>
      </w:r>
      <w:r w:rsidRPr="00CF15EC">
        <w:t xml:space="preserve"> [Accessed 08/12/</w:t>
      </w:r>
      <w:r w:rsidR="00C52218">
        <w:t>20</w:t>
      </w:r>
      <w:r w:rsidRPr="00CF15EC">
        <w:t>19]</w:t>
      </w:r>
      <w:r w:rsidR="008624B8">
        <w:t>.</w:t>
      </w:r>
    </w:p>
    <w:p w14:paraId="24F7C0D2" w14:textId="77777777" w:rsidR="008C1770" w:rsidRPr="00CF15EC" w:rsidRDefault="008C1770" w:rsidP="00A05224">
      <w:pPr>
        <w:ind w:hanging="720"/>
      </w:pPr>
      <w:r w:rsidRPr="00CF15EC">
        <w:t xml:space="preserve">Marlowe, J. (1974) </w:t>
      </w:r>
      <w:r w:rsidRPr="00C52218">
        <w:rPr>
          <w:i/>
          <w:iCs/>
        </w:rPr>
        <w:t>Spoiling the Egyptians</w:t>
      </w:r>
      <w:r w:rsidRPr="00CF15EC">
        <w:t xml:space="preserve">. London: Deutsch. </w:t>
      </w:r>
    </w:p>
    <w:p w14:paraId="4FACF1AF" w14:textId="51559440" w:rsidR="008C1770" w:rsidRPr="00CF15EC" w:rsidRDefault="008C1770" w:rsidP="00A05224">
      <w:pPr>
        <w:ind w:hanging="720"/>
      </w:pPr>
      <w:proofErr w:type="spellStart"/>
      <w:r w:rsidRPr="00CF15EC">
        <w:t>Miscevic</w:t>
      </w:r>
      <w:proofErr w:type="spellEnd"/>
      <w:r w:rsidRPr="00CF15EC">
        <w:t xml:space="preserve">, N. (2014) </w:t>
      </w:r>
      <w:r w:rsidRPr="00C52218">
        <w:rPr>
          <w:i/>
          <w:iCs/>
        </w:rPr>
        <w:t>Nationalism</w:t>
      </w:r>
      <w:r w:rsidRPr="00CF15EC">
        <w:t xml:space="preserve">. Available at: </w:t>
      </w:r>
      <w:r w:rsidRPr="00A9121A">
        <w:t>https://plato.stanford.edu/entries/nationalism/</w:t>
      </w:r>
      <w:r w:rsidRPr="00CF15EC">
        <w:t xml:space="preserve"> [Accessed 23/03/</w:t>
      </w:r>
      <w:r w:rsidR="00C52218">
        <w:t>20</w:t>
      </w:r>
      <w:r w:rsidRPr="00CF15EC">
        <w:t>20]</w:t>
      </w:r>
      <w:r w:rsidR="008624B8">
        <w:t>.</w:t>
      </w:r>
    </w:p>
    <w:p w14:paraId="38C0A5A9" w14:textId="77777777" w:rsidR="008C1770" w:rsidRPr="00CF15EC" w:rsidRDefault="008C1770" w:rsidP="00A05224">
      <w:pPr>
        <w:ind w:hanging="720"/>
      </w:pPr>
      <w:r w:rsidRPr="00CF15EC">
        <w:t xml:space="preserve">Moser, S. (2012) </w:t>
      </w:r>
      <w:r w:rsidRPr="00CF15EC">
        <w:rPr>
          <w:i/>
          <w:iCs/>
        </w:rPr>
        <w:t>Wondrous curiosities: ancient Egypt at the British Museum</w:t>
      </w:r>
      <w:r w:rsidRPr="00CF15EC">
        <w:t>. Chicago: University of Chicago Press.</w:t>
      </w:r>
    </w:p>
    <w:p w14:paraId="51A00B20" w14:textId="3C13D4CE" w:rsidR="008C1770" w:rsidRPr="00CF15EC" w:rsidRDefault="008C1770" w:rsidP="00A05224">
      <w:pPr>
        <w:ind w:hanging="720"/>
      </w:pPr>
      <w:r w:rsidRPr="00CF15EC">
        <w:t xml:space="preserve">Napoleon.org (2019) </w:t>
      </w:r>
      <w:r w:rsidRPr="00C52218">
        <w:rPr>
          <w:i/>
          <w:iCs/>
        </w:rPr>
        <w:t>The ‘</w:t>
      </w:r>
      <w:proofErr w:type="spellStart"/>
      <w:r w:rsidRPr="00C52218">
        <w:rPr>
          <w:i/>
          <w:iCs/>
        </w:rPr>
        <w:t>Institue</w:t>
      </w:r>
      <w:proofErr w:type="spellEnd"/>
      <w:r w:rsidRPr="00C52218">
        <w:rPr>
          <w:i/>
          <w:iCs/>
        </w:rPr>
        <w:t xml:space="preserve"> </w:t>
      </w:r>
      <w:proofErr w:type="spellStart"/>
      <w:r w:rsidRPr="00C52218">
        <w:rPr>
          <w:i/>
          <w:iCs/>
        </w:rPr>
        <w:t>D’Egypte</w:t>
      </w:r>
      <w:proofErr w:type="spellEnd"/>
      <w:r w:rsidRPr="00C52218">
        <w:rPr>
          <w:i/>
          <w:iCs/>
        </w:rPr>
        <w:t xml:space="preserve">’ and the Description De </w:t>
      </w:r>
      <w:proofErr w:type="spellStart"/>
      <w:r w:rsidRPr="00C52218">
        <w:rPr>
          <w:i/>
          <w:iCs/>
        </w:rPr>
        <w:t>L’Egypte</w:t>
      </w:r>
      <w:proofErr w:type="spellEnd"/>
      <w:r w:rsidRPr="00CF15EC">
        <w:t xml:space="preserve">. Available at: </w:t>
      </w:r>
      <w:r w:rsidRPr="00A9121A">
        <w:t>https://www.napoleon.org/en/history-of-the-two-empires/articles/the-institut-degypte-and-the-description-de-legypte/</w:t>
      </w:r>
      <w:r w:rsidRPr="00CF15EC">
        <w:t xml:space="preserve"> [Accessed 03/12/</w:t>
      </w:r>
      <w:r w:rsidR="00C52218">
        <w:t>20</w:t>
      </w:r>
      <w:r w:rsidRPr="00CF15EC">
        <w:t>19]</w:t>
      </w:r>
      <w:r w:rsidR="008624B8">
        <w:t>.</w:t>
      </w:r>
    </w:p>
    <w:p w14:paraId="03D7B673" w14:textId="5FD7C045" w:rsidR="008C1770" w:rsidRPr="00CF15EC" w:rsidRDefault="008C1770" w:rsidP="00A05224">
      <w:pPr>
        <w:ind w:hanging="720"/>
      </w:pPr>
      <w:r w:rsidRPr="00CF15EC">
        <w:t xml:space="preserve">National Library of Australia. (N.D) </w:t>
      </w:r>
      <w:r w:rsidRPr="00C52218">
        <w:rPr>
          <w:i/>
          <w:iCs/>
        </w:rPr>
        <w:t>The Murder of Sir Lee Stack</w:t>
      </w:r>
      <w:r w:rsidRPr="00CF15EC">
        <w:t xml:space="preserve">. Available at: </w:t>
      </w:r>
      <w:r w:rsidRPr="00A9121A">
        <w:t>https://trove.nla.gov.au/newspaper/article/43252445</w:t>
      </w:r>
      <w:r w:rsidRPr="00CF15EC">
        <w:t xml:space="preserve"> [Accessed 29/01/</w:t>
      </w:r>
      <w:r w:rsidR="00C52218">
        <w:t>20</w:t>
      </w:r>
      <w:r w:rsidRPr="00CF15EC">
        <w:t>20]</w:t>
      </w:r>
      <w:r w:rsidR="008624B8">
        <w:t>.</w:t>
      </w:r>
    </w:p>
    <w:p w14:paraId="057F1BDE" w14:textId="7DB11CC9" w:rsidR="008C1770" w:rsidRPr="00CF15EC" w:rsidRDefault="008C1770" w:rsidP="00A05224">
      <w:pPr>
        <w:ind w:hanging="720"/>
        <w:rPr>
          <w:rFonts w:cstheme="minorHAnsi"/>
        </w:rPr>
      </w:pPr>
      <w:r w:rsidRPr="00CF15EC">
        <w:rPr>
          <w:rFonts w:cstheme="minorHAnsi"/>
        </w:rPr>
        <w:t xml:space="preserve">Parkinson, B. R. (2008) ‘Tutankhamen on Trial: Egyptian Nationalism and the Court Case for the Pharaoh’s Artifacts’, </w:t>
      </w:r>
      <w:r w:rsidRPr="00C52218">
        <w:rPr>
          <w:rFonts w:cstheme="minorHAnsi"/>
          <w:i/>
          <w:iCs/>
        </w:rPr>
        <w:t xml:space="preserve">Journal of the American Research </w:t>
      </w:r>
      <w:r w:rsidR="008624B8" w:rsidRPr="00C52218">
        <w:rPr>
          <w:rFonts w:cstheme="minorHAnsi"/>
          <w:i/>
          <w:iCs/>
        </w:rPr>
        <w:t>Centre</w:t>
      </w:r>
      <w:r w:rsidRPr="00C52218">
        <w:rPr>
          <w:rFonts w:cstheme="minorHAnsi"/>
          <w:i/>
          <w:iCs/>
        </w:rPr>
        <w:t xml:space="preserve"> in Egypt</w:t>
      </w:r>
      <w:r w:rsidRPr="00CF15EC">
        <w:rPr>
          <w:rFonts w:cstheme="minorHAnsi"/>
        </w:rPr>
        <w:t xml:space="preserve">, 44, pp. 1-8, </w:t>
      </w:r>
      <w:r w:rsidRPr="00A9121A">
        <w:rPr>
          <w:rFonts w:cstheme="minorHAnsi"/>
        </w:rPr>
        <w:t>https://www.jstor.org/stable/27801619?seq=1#metadata_info_tab_contents</w:t>
      </w:r>
      <w:r w:rsidRPr="00CF15EC">
        <w:rPr>
          <w:rFonts w:cstheme="minorHAnsi"/>
        </w:rPr>
        <w:t xml:space="preserve"> [Accessed 28/01/</w:t>
      </w:r>
      <w:r w:rsidR="00C52218">
        <w:rPr>
          <w:rFonts w:cstheme="minorHAnsi"/>
        </w:rPr>
        <w:t>20</w:t>
      </w:r>
      <w:r w:rsidRPr="00CF15EC">
        <w:rPr>
          <w:rFonts w:cstheme="minorHAnsi"/>
        </w:rPr>
        <w:t>20]</w:t>
      </w:r>
      <w:r w:rsidR="008624B8">
        <w:rPr>
          <w:rFonts w:cstheme="minorHAnsi"/>
        </w:rPr>
        <w:t>.</w:t>
      </w:r>
    </w:p>
    <w:p w14:paraId="785CCF10" w14:textId="77777777" w:rsidR="008C1770" w:rsidRPr="00CF15EC" w:rsidRDefault="008C1770" w:rsidP="00A05224">
      <w:pPr>
        <w:ind w:hanging="720"/>
      </w:pPr>
      <w:r w:rsidRPr="00CF15EC">
        <w:t xml:space="preserve">Reeves, N. and Wilkinson, R. H. (1996) </w:t>
      </w:r>
      <w:r w:rsidRPr="00C52218">
        <w:rPr>
          <w:i/>
          <w:iCs/>
        </w:rPr>
        <w:t>The complete Valley of the Kings: tombs and treasures of Egypt’s greatest Pharaohs</w:t>
      </w:r>
      <w:r w:rsidRPr="00CF15EC">
        <w:t xml:space="preserve">. London: Thames and Hudson. </w:t>
      </w:r>
    </w:p>
    <w:p w14:paraId="1B809A97" w14:textId="7C27B26A" w:rsidR="008C1770" w:rsidRPr="00CF15EC" w:rsidRDefault="008C1770" w:rsidP="00A05224">
      <w:pPr>
        <w:ind w:hanging="720"/>
      </w:pPr>
      <w:r w:rsidRPr="00CF15EC">
        <w:t xml:space="preserve">Reid, D. M. (1985) ‘Indigenous Egyptology: The Decolonization of a Profession?’, </w:t>
      </w:r>
      <w:r w:rsidRPr="00CF15EC">
        <w:rPr>
          <w:i/>
          <w:iCs/>
        </w:rPr>
        <w:t xml:space="preserve">Journal of the American </w:t>
      </w:r>
      <w:proofErr w:type="spellStart"/>
      <w:r w:rsidRPr="00CF15EC">
        <w:rPr>
          <w:i/>
          <w:iCs/>
        </w:rPr>
        <w:t>Oriential</w:t>
      </w:r>
      <w:proofErr w:type="spellEnd"/>
      <w:r w:rsidRPr="00CF15EC">
        <w:rPr>
          <w:i/>
          <w:iCs/>
        </w:rPr>
        <w:t xml:space="preserve"> Society, </w:t>
      </w:r>
      <w:r w:rsidRPr="00CF15EC">
        <w:t xml:space="preserve">105(2), pp.233-246. </w:t>
      </w:r>
      <w:r w:rsidR="008624B8">
        <w:t xml:space="preserve">Available at: </w:t>
      </w:r>
      <w:r w:rsidRPr="00A9121A">
        <w:t>https://www.jstor.org/stable/601703?seq=1#metadata_info_tab_contents</w:t>
      </w:r>
      <w:r w:rsidRPr="00CF15EC">
        <w:t>, [Accessed 18/06/2019].</w:t>
      </w:r>
    </w:p>
    <w:p w14:paraId="2FB75D69" w14:textId="77777777" w:rsidR="008C1770" w:rsidRPr="00CF15EC" w:rsidRDefault="008C1770" w:rsidP="00A05224">
      <w:pPr>
        <w:ind w:hanging="720"/>
      </w:pPr>
      <w:r w:rsidRPr="00CF15EC">
        <w:t xml:space="preserve">Reid, D. M. (2003) </w:t>
      </w:r>
      <w:r w:rsidRPr="00CF15EC">
        <w:rPr>
          <w:i/>
          <w:iCs/>
        </w:rPr>
        <w:t>Whose pharaohs? Archaeology, museums, and Egyptian national identity from Napoleon to world war 1.</w:t>
      </w:r>
      <w:r w:rsidRPr="00CF15EC">
        <w:t xml:space="preserve"> Berkeley: University of California Press. </w:t>
      </w:r>
    </w:p>
    <w:p w14:paraId="288754B8" w14:textId="77777777" w:rsidR="008C1770" w:rsidRPr="00CF15EC" w:rsidRDefault="008C1770" w:rsidP="00A05224">
      <w:pPr>
        <w:ind w:hanging="720"/>
      </w:pPr>
      <w:r w:rsidRPr="00CF15EC">
        <w:lastRenderedPageBreak/>
        <w:t xml:space="preserve">Reid, D. M. (2015) </w:t>
      </w:r>
      <w:r w:rsidRPr="00CF15EC">
        <w:rPr>
          <w:i/>
          <w:iCs/>
        </w:rPr>
        <w:t>Contesting antiquity in Egypt: archaeologies, museums &amp; the struggle for identities from world war 1 to Nasser</w:t>
      </w:r>
      <w:r w:rsidRPr="00CF15EC">
        <w:t>. Cairo &amp; New York: The American University in Cairo Press.</w:t>
      </w:r>
    </w:p>
    <w:p w14:paraId="6AC9ECEF" w14:textId="77777777" w:rsidR="008C1770" w:rsidRPr="00CF15EC" w:rsidRDefault="008C1770" w:rsidP="00A05224">
      <w:pPr>
        <w:ind w:hanging="720"/>
        <w:rPr>
          <w:rFonts w:cstheme="minorHAnsi"/>
        </w:rPr>
      </w:pPr>
      <w:r w:rsidRPr="00CF15EC">
        <w:rPr>
          <w:rFonts w:cstheme="minorHAnsi"/>
        </w:rPr>
        <w:t xml:space="preserve">Richmond, J. C. B. (1977) </w:t>
      </w:r>
      <w:r w:rsidRPr="00CF15EC">
        <w:rPr>
          <w:rFonts w:cstheme="minorHAnsi"/>
          <w:i/>
          <w:iCs/>
        </w:rPr>
        <w:t>Egypt 1798-1952</w:t>
      </w:r>
      <w:r w:rsidRPr="00CF15EC">
        <w:rPr>
          <w:rFonts w:cstheme="minorHAnsi"/>
        </w:rPr>
        <w:t xml:space="preserve">. London: Methuen &amp; Co Ltd. </w:t>
      </w:r>
    </w:p>
    <w:p w14:paraId="5F9381B6" w14:textId="733D6D82" w:rsidR="008C1770" w:rsidRPr="00CF15EC" w:rsidRDefault="008C1770" w:rsidP="00A05224">
      <w:pPr>
        <w:ind w:hanging="720"/>
      </w:pPr>
      <w:r w:rsidRPr="00CF15EC">
        <w:t xml:space="preserve">Riggs, C. (2019) </w:t>
      </w:r>
      <w:r w:rsidRPr="00401CD6">
        <w:rPr>
          <w:i/>
          <w:iCs/>
        </w:rPr>
        <w:t>How 20</w:t>
      </w:r>
      <w:r w:rsidRPr="00401CD6">
        <w:rPr>
          <w:i/>
          <w:iCs/>
          <w:vertAlign w:val="superscript"/>
        </w:rPr>
        <w:t>th</w:t>
      </w:r>
      <w:r w:rsidRPr="00401CD6">
        <w:rPr>
          <w:i/>
          <w:iCs/>
        </w:rPr>
        <w:t>-century colonial politics shaped the story of Tutankhamun’s tomb.</w:t>
      </w:r>
      <w:r w:rsidRPr="00CF15EC">
        <w:t xml:space="preserve"> Available at: </w:t>
      </w:r>
      <w:r w:rsidRPr="00A9121A">
        <w:t>https://www.thebritishacademy.ac.uk/blog/how-20th-century-colonial-politics-shaped-story-tutankhamuns-tomb</w:t>
      </w:r>
      <w:r w:rsidRPr="00CF15EC">
        <w:t xml:space="preserve"> [Accessed 22/03/</w:t>
      </w:r>
      <w:r w:rsidR="00401CD6">
        <w:t>20</w:t>
      </w:r>
      <w:r w:rsidRPr="00CF15EC">
        <w:t>20]</w:t>
      </w:r>
      <w:r w:rsidR="00443F88">
        <w:t>.</w:t>
      </w:r>
    </w:p>
    <w:p w14:paraId="38E40ABE" w14:textId="169F0F30" w:rsidR="008C1770" w:rsidRPr="00CF15EC" w:rsidRDefault="008C1770" w:rsidP="00A05224">
      <w:pPr>
        <w:ind w:hanging="720"/>
      </w:pPr>
      <w:r w:rsidRPr="00CF15EC">
        <w:t xml:space="preserve">Rivlin, H. A. B. (2020) </w:t>
      </w:r>
      <w:r w:rsidRPr="00401CD6">
        <w:rPr>
          <w:i/>
          <w:iCs/>
        </w:rPr>
        <w:t>Muhammad Ali</w:t>
      </w:r>
      <w:r w:rsidRPr="00CF15EC">
        <w:t xml:space="preserve">. Available at: </w:t>
      </w:r>
      <w:r w:rsidRPr="00A9121A">
        <w:t>https://www.britannica.com/biography/Muhammad-Ali-pasha-and-viceroy-of-Egypt</w:t>
      </w:r>
      <w:r w:rsidRPr="00CF15EC">
        <w:t xml:space="preserve"> [Accessed 28/01/</w:t>
      </w:r>
      <w:r w:rsidR="00401CD6">
        <w:t>20</w:t>
      </w:r>
      <w:r w:rsidRPr="00CF15EC">
        <w:t>20]</w:t>
      </w:r>
      <w:r w:rsidR="00443F88">
        <w:t>.</w:t>
      </w:r>
    </w:p>
    <w:p w14:paraId="1F7CFCE2" w14:textId="1EA8C363" w:rsidR="008C1770" w:rsidRPr="00CF15EC" w:rsidRDefault="008C1770" w:rsidP="00A05224">
      <w:pPr>
        <w:ind w:hanging="720"/>
        <w:rPr>
          <w:rFonts w:cstheme="minorHAnsi"/>
        </w:rPr>
      </w:pPr>
      <w:r w:rsidRPr="00CF15EC">
        <w:t xml:space="preserve">Saatchi Gallery (2019) </w:t>
      </w:r>
      <w:r w:rsidRPr="00CF15EC">
        <w:rPr>
          <w:i/>
          <w:iCs/>
        </w:rPr>
        <w:t>Tutankhamun Treasures of the Golden Pharaoh</w:t>
      </w:r>
      <w:r w:rsidRPr="00CF15EC">
        <w:t xml:space="preserve">. Available at: </w:t>
      </w:r>
      <w:proofErr w:type="gramStart"/>
      <w:r w:rsidRPr="00A9121A">
        <w:t>https://www.saatchigallery.com/art/tutankhamun.php</w:t>
      </w:r>
      <w:r w:rsidRPr="00CF15EC">
        <w:t xml:space="preserve">  [</w:t>
      </w:r>
      <w:proofErr w:type="gramEnd"/>
      <w:r w:rsidRPr="00CF15EC">
        <w:t>Accessed 03/10/</w:t>
      </w:r>
      <w:r w:rsidR="00401CD6">
        <w:t>20</w:t>
      </w:r>
      <w:r w:rsidRPr="00CF15EC">
        <w:t>19].</w:t>
      </w:r>
    </w:p>
    <w:p w14:paraId="18FE261F" w14:textId="77777777" w:rsidR="008C1770" w:rsidRPr="00CF15EC" w:rsidRDefault="008C1770" w:rsidP="00A05224">
      <w:pPr>
        <w:ind w:hanging="720"/>
      </w:pPr>
      <w:r w:rsidRPr="00CF15EC">
        <w:t xml:space="preserve">Simon, R. (2008) </w:t>
      </w:r>
      <w:r w:rsidRPr="00CF15EC">
        <w:rPr>
          <w:i/>
          <w:iCs/>
        </w:rPr>
        <w:t xml:space="preserve">Seeing More in Cabinets and Blockbusters: A Rhetorical Study of Museum Exhibits. </w:t>
      </w:r>
      <w:r w:rsidRPr="00CF15EC">
        <w:t xml:space="preserve">Unpublished PhD thesis. Pennsylvania State University. </w:t>
      </w:r>
    </w:p>
    <w:p w14:paraId="690939B1" w14:textId="731139E5" w:rsidR="008C1770" w:rsidRPr="00CF15EC" w:rsidRDefault="008C1770" w:rsidP="00A05224">
      <w:pPr>
        <w:ind w:hanging="720"/>
        <w:rPr>
          <w:rFonts w:cstheme="minorHAnsi"/>
        </w:rPr>
      </w:pPr>
      <w:r w:rsidRPr="00CF15EC">
        <w:rPr>
          <w:rFonts w:cstheme="minorHAnsi"/>
        </w:rPr>
        <w:t xml:space="preserve">Smith. G. E (1923) </w:t>
      </w:r>
      <w:r w:rsidRPr="00CF15EC">
        <w:rPr>
          <w:rFonts w:cstheme="minorHAnsi"/>
          <w:i/>
          <w:iCs/>
        </w:rPr>
        <w:t xml:space="preserve">Tutankhamen and the Discovery of his Tomb by the Late Earl of Carnarvon and Mr Howard Carter. </w:t>
      </w:r>
      <w:r w:rsidRPr="00CF15EC">
        <w:rPr>
          <w:rFonts w:cstheme="minorHAnsi"/>
        </w:rPr>
        <w:t>London: George Routledge &amp; Sons Ltd</w:t>
      </w:r>
      <w:r w:rsidR="00754C07">
        <w:rPr>
          <w:rFonts w:cstheme="minorHAnsi"/>
        </w:rPr>
        <w:t>.</w:t>
      </w:r>
    </w:p>
    <w:p w14:paraId="21F7319D" w14:textId="77777777" w:rsidR="008C1770" w:rsidRPr="00CF15EC" w:rsidRDefault="008C1770" w:rsidP="00A05224">
      <w:pPr>
        <w:ind w:hanging="720"/>
        <w:rPr>
          <w:rFonts w:cstheme="minorHAnsi"/>
        </w:rPr>
      </w:pPr>
      <w:r w:rsidRPr="00CF15EC">
        <w:rPr>
          <w:rFonts w:cstheme="minorHAnsi"/>
        </w:rPr>
        <w:t xml:space="preserve">Stevenson, A. (2019) </w:t>
      </w:r>
      <w:r w:rsidRPr="00CF15EC">
        <w:rPr>
          <w:rFonts w:cstheme="minorHAnsi"/>
          <w:i/>
          <w:iCs/>
        </w:rPr>
        <w:t xml:space="preserve">Scattered Find, Archaeology, Egyptology and Museums. </w:t>
      </w:r>
      <w:r w:rsidRPr="00CF15EC">
        <w:rPr>
          <w:rFonts w:cstheme="minorHAnsi"/>
        </w:rPr>
        <w:t>London: UCL Press.</w:t>
      </w:r>
    </w:p>
    <w:p w14:paraId="2337269C" w14:textId="151BA2D4" w:rsidR="008C1770" w:rsidRPr="00CF15EC" w:rsidRDefault="008C1770" w:rsidP="00A05224">
      <w:pPr>
        <w:ind w:hanging="720"/>
      </w:pPr>
      <w:r w:rsidRPr="00CF15EC">
        <w:t>Supreme Council of Antiquities. (N</w:t>
      </w:r>
      <w:r w:rsidRPr="00401CD6">
        <w:t>.D.)</w:t>
      </w:r>
      <w:r w:rsidRPr="00401CD6">
        <w:rPr>
          <w:i/>
          <w:iCs/>
        </w:rPr>
        <w:t xml:space="preserve"> A Brief History of the Supreme Council of Antiquities: 1858 to present</w:t>
      </w:r>
      <w:r w:rsidRPr="00CF15EC">
        <w:t xml:space="preserve">. Available at: </w:t>
      </w:r>
      <w:r w:rsidRPr="00A9121A">
        <w:t>https://www.sca-egypt.org/eng/sca_history.html</w:t>
      </w:r>
      <w:r w:rsidRPr="00CF15EC">
        <w:t xml:space="preserve"> [Accessed 21/03/</w:t>
      </w:r>
      <w:r w:rsidR="00401CD6">
        <w:t>20</w:t>
      </w:r>
      <w:r w:rsidRPr="00CF15EC">
        <w:t>20]</w:t>
      </w:r>
      <w:r w:rsidR="00754C07">
        <w:t>.</w:t>
      </w:r>
    </w:p>
    <w:p w14:paraId="15D0E898" w14:textId="1FC07BE1" w:rsidR="008C1770" w:rsidRPr="00CF15EC" w:rsidRDefault="008C1770" w:rsidP="00A05224">
      <w:pPr>
        <w:ind w:hanging="720"/>
        <w:rPr>
          <w:rFonts w:cstheme="minorHAnsi"/>
        </w:rPr>
      </w:pPr>
      <w:proofErr w:type="spellStart"/>
      <w:r w:rsidRPr="00CF15EC">
        <w:rPr>
          <w:rFonts w:cstheme="minorHAnsi"/>
        </w:rPr>
        <w:t>Tatomir</w:t>
      </w:r>
      <w:proofErr w:type="spellEnd"/>
      <w:r w:rsidRPr="00CF15EC">
        <w:rPr>
          <w:rFonts w:cstheme="minorHAnsi"/>
        </w:rPr>
        <w:t xml:space="preserve">, R. (2015) ‘Egyptomania in Antiquity and in Modern World Literature. Imaginary, Intercultural context and mentality’, </w:t>
      </w:r>
      <w:r w:rsidRPr="00CF15EC">
        <w:rPr>
          <w:rFonts w:cstheme="minorHAnsi"/>
          <w:i/>
          <w:iCs/>
        </w:rPr>
        <w:t xml:space="preserve">Discourse as a Form of Multiculturalism in Literature and Communication, </w:t>
      </w:r>
      <w:r w:rsidRPr="00CF15EC">
        <w:rPr>
          <w:rFonts w:cstheme="minorHAnsi"/>
        </w:rPr>
        <w:t xml:space="preserve">pp, 566-581. </w:t>
      </w:r>
      <w:r w:rsidR="00754C07">
        <w:rPr>
          <w:rFonts w:cstheme="minorHAnsi"/>
        </w:rPr>
        <w:t xml:space="preserve">Available at: </w:t>
      </w:r>
      <w:r w:rsidRPr="00A9121A">
        <w:rPr>
          <w:rFonts w:cstheme="minorHAnsi"/>
        </w:rPr>
        <w:t>https://www.academia.edu/19750156/Egyptomania_in_Antiquity_and_in_Modern_World_Literature._Imaginary_Intercultural_Context_and_Mentality</w:t>
      </w:r>
      <w:r w:rsidRPr="00CF15EC">
        <w:rPr>
          <w:rFonts w:cstheme="minorHAnsi"/>
        </w:rPr>
        <w:t xml:space="preserve"> [Accessed 09/10/</w:t>
      </w:r>
      <w:r w:rsidR="00401CD6">
        <w:rPr>
          <w:rFonts w:cstheme="minorHAnsi"/>
        </w:rPr>
        <w:t>20</w:t>
      </w:r>
      <w:r w:rsidRPr="00CF15EC">
        <w:rPr>
          <w:rFonts w:cstheme="minorHAnsi"/>
        </w:rPr>
        <w:t>19]</w:t>
      </w:r>
      <w:r w:rsidR="00754C07">
        <w:rPr>
          <w:rFonts w:cstheme="minorHAnsi"/>
        </w:rPr>
        <w:t xml:space="preserve">. </w:t>
      </w:r>
    </w:p>
    <w:p w14:paraId="0A77D25C" w14:textId="3BB98AE6" w:rsidR="008C1770" w:rsidRPr="00CF15EC" w:rsidRDefault="008C1770" w:rsidP="00A05224">
      <w:pPr>
        <w:ind w:hanging="720"/>
      </w:pPr>
      <w:r w:rsidRPr="00CF15EC">
        <w:t xml:space="preserve">The American University in Cairo. (N.D) </w:t>
      </w:r>
      <w:proofErr w:type="spellStart"/>
      <w:r w:rsidRPr="00D22636">
        <w:rPr>
          <w:i/>
          <w:iCs/>
        </w:rPr>
        <w:t>Salima</w:t>
      </w:r>
      <w:proofErr w:type="spellEnd"/>
      <w:r w:rsidRPr="00D22636">
        <w:rPr>
          <w:i/>
          <w:iCs/>
        </w:rPr>
        <w:t xml:space="preserve"> Ikram</w:t>
      </w:r>
      <w:r w:rsidRPr="00CF15EC">
        <w:t xml:space="preserve">. Available at: </w:t>
      </w:r>
      <w:r w:rsidRPr="00A9121A">
        <w:t>https://www.aucegypt.edu/fac/salimaikram</w:t>
      </w:r>
      <w:r w:rsidRPr="00CF15EC">
        <w:t xml:space="preserve"> [Accessed 23/03/</w:t>
      </w:r>
      <w:r w:rsidR="00D22636">
        <w:t>20</w:t>
      </w:r>
      <w:r w:rsidRPr="00CF15EC">
        <w:t>20]</w:t>
      </w:r>
      <w:r w:rsidR="00F641B0">
        <w:t>.</w:t>
      </w:r>
    </w:p>
    <w:p w14:paraId="31CDBD4F" w14:textId="58126575" w:rsidR="008C1770" w:rsidRPr="00CF15EC" w:rsidRDefault="008C1770" w:rsidP="00A05224">
      <w:pPr>
        <w:ind w:hanging="720"/>
      </w:pPr>
      <w:r w:rsidRPr="00CF15EC">
        <w:t xml:space="preserve">The British Museum. (2017) </w:t>
      </w:r>
      <w:r w:rsidRPr="00CF15EC">
        <w:rPr>
          <w:i/>
          <w:iCs/>
        </w:rPr>
        <w:t>Everything you ever wanted to know about the Rosetta Stone</w:t>
      </w:r>
      <w:r w:rsidRPr="00CF15EC">
        <w:t xml:space="preserve">. Available at: </w:t>
      </w:r>
      <w:r w:rsidRPr="00A9121A">
        <w:t>https://blog.britishmuseum.org/everything-you-ever-wanted-to-know-about-the-rosetta-stone/</w:t>
      </w:r>
      <w:r w:rsidRPr="00CF15EC">
        <w:t xml:space="preserve"> [Accessed: 01/12/</w:t>
      </w:r>
      <w:r w:rsidR="00D22636">
        <w:t>20</w:t>
      </w:r>
      <w:r w:rsidRPr="00CF15EC">
        <w:t>19]</w:t>
      </w:r>
      <w:r w:rsidR="00F641B0">
        <w:t>.</w:t>
      </w:r>
    </w:p>
    <w:p w14:paraId="3CE447C8" w14:textId="54CB136B" w:rsidR="008C1770" w:rsidRPr="00CF15EC" w:rsidRDefault="008C1770" w:rsidP="00A05224">
      <w:pPr>
        <w:ind w:hanging="720"/>
      </w:pPr>
      <w:r w:rsidRPr="00CF15EC">
        <w:t>The Fitzwilliam Museum. (2020</w:t>
      </w:r>
      <w:r w:rsidRPr="000141EC">
        <w:rPr>
          <w:i/>
          <w:iCs/>
        </w:rPr>
        <w:t>) Explorer: Belzoni, Giovanni Battista (1778-1823)</w:t>
      </w:r>
      <w:r w:rsidRPr="00CF15EC">
        <w:t xml:space="preserve">. Available at: </w:t>
      </w:r>
      <w:r w:rsidRPr="00A9121A">
        <w:t>https://www.fitzmuseum.cam.ac.uk/collections/egypt/collectionhistory/belzoni</w:t>
      </w:r>
      <w:r w:rsidRPr="00CF15EC">
        <w:t xml:space="preserve"> [Accessed 22/03/</w:t>
      </w:r>
      <w:r w:rsidR="000141EC">
        <w:t>20</w:t>
      </w:r>
      <w:r w:rsidRPr="00CF15EC">
        <w:t>20]</w:t>
      </w:r>
      <w:r w:rsidR="00F641B0">
        <w:t>.</w:t>
      </w:r>
    </w:p>
    <w:p w14:paraId="1CA29375" w14:textId="0DB4C884" w:rsidR="008C1770" w:rsidRPr="00CF15EC" w:rsidRDefault="008C1770" w:rsidP="00A05224">
      <w:pPr>
        <w:ind w:hanging="720"/>
      </w:pPr>
      <w:r w:rsidRPr="00CF15EC">
        <w:t xml:space="preserve">The Metropolitan Museum of Art. (2011) </w:t>
      </w:r>
      <w:r w:rsidRPr="000141EC">
        <w:rPr>
          <w:i/>
          <w:iCs/>
        </w:rPr>
        <w:t>Recent Research in Egyptian Art: Behind the Mask of Tutankhamun.</w:t>
      </w:r>
      <w:r w:rsidRPr="00CF15EC">
        <w:t xml:space="preserve"> Available at: </w:t>
      </w:r>
      <w:r w:rsidRPr="00A9121A">
        <w:t>https://www.youtube.com/watch?v=bxN1hm1TmJ0</w:t>
      </w:r>
      <w:r w:rsidRPr="00CF15EC">
        <w:t xml:space="preserve"> [Accessed 23/03/</w:t>
      </w:r>
      <w:r w:rsidR="000141EC">
        <w:t>20</w:t>
      </w:r>
      <w:r w:rsidRPr="00CF15EC">
        <w:t>20]</w:t>
      </w:r>
      <w:r w:rsidR="00F641B0">
        <w:t>.</w:t>
      </w:r>
    </w:p>
    <w:p w14:paraId="23FFB424" w14:textId="6B7D1EDB" w:rsidR="008C1770" w:rsidRPr="00CF15EC" w:rsidRDefault="008C1770" w:rsidP="00A05224">
      <w:pPr>
        <w:ind w:hanging="720"/>
      </w:pPr>
      <w:r w:rsidRPr="00CF15EC">
        <w:t xml:space="preserve">The Telegraph (2010) </w:t>
      </w:r>
      <w:r w:rsidRPr="000141EC">
        <w:rPr>
          <w:i/>
          <w:iCs/>
        </w:rPr>
        <w:t>TGH James</w:t>
      </w:r>
      <w:r w:rsidRPr="00CF15EC">
        <w:t xml:space="preserve">. Available at: </w:t>
      </w:r>
      <w:r w:rsidRPr="00A9121A">
        <w:t>https://www.telegraph.co.uk/news/obituaries/7309463/TGH-James.html</w:t>
      </w:r>
      <w:r w:rsidRPr="00CF15EC">
        <w:t xml:space="preserve"> [Accessed 23/03/</w:t>
      </w:r>
      <w:r w:rsidR="000141EC">
        <w:t>20</w:t>
      </w:r>
      <w:r w:rsidRPr="00CF15EC">
        <w:t>20]</w:t>
      </w:r>
      <w:r w:rsidR="00F641B0">
        <w:t>.</w:t>
      </w:r>
    </w:p>
    <w:p w14:paraId="23AE8B3E" w14:textId="3A15AC86" w:rsidR="008C1770" w:rsidRPr="00CF15EC" w:rsidRDefault="008C1770" w:rsidP="00A05224">
      <w:pPr>
        <w:ind w:hanging="720"/>
        <w:rPr>
          <w:rFonts w:cstheme="minorHAnsi"/>
        </w:rPr>
      </w:pPr>
      <w:r w:rsidRPr="00CF15EC">
        <w:rPr>
          <w:rFonts w:cstheme="minorHAnsi"/>
        </w:rPr>
        <w:t xml:space="preserve">The University of Cambridge. (2020) </w:t>
      </w:r>
      <w:r w:rsidRPr="000141EC">
        <w:rPr>
          <w:rFonts w:cstheme="minorHAnsi"/>
          <w:i/>
          <w:iCs/>
        </w:rPr>
        <w:t>Dr Allegra R P Fryxell.</w:t>
      </w:r>
      <w:r w:rsidRPr="00CF15EC">
        <w:rPr>
          <w:rFonts w:cstheme="minorHAnsi"/>
        </w:rPr>
        <w:t xml:space="preserve"> Available at: </w:t>
      </w:r>
      <w:r w:rsidRPr="00A9121A">
        <w:rPr>
          <w:rFonts w:cstheme="minorHAnsi"/>
        </w:rPr>
        <w:t>https://www.hist.cam.ac.uk/directory/allegra-fryxell</w:t>
      </w:r>
      <w:r w:rsidRPr="00CF15EC">
        <w:rPr>
          <w:rFonts w:cstheme="minorHAnsi"/>
        </w:rPr>
        <w:t xml:space="preserve"> [Accessed 27/01/</w:t>
      </w:r>
      <w:r w:rsidR="000141EC">
        <w:rPr>
          <w:rFonts w:cstheme="minorHAnsi"/>
        </w:rPr>
        <w:t>20</w:t>
      </w:r>
      <w:r w:rsidRPr="00CF15EC">
        <w:rPr>
          <w:rFonts w:cstheme="minorHAnsi"/>
        </w:rPr>
        <w:t>20]</w:t>
      </w:r>
      <w:r w:rsidR="00F641B0">
        <w:rPr>
          <w:rFonts w:cstheme="minorHAnsi"/>
        </w:rPr>
        <w:t>.</w:t>
      </w:r>
    </w:p>
    <w:p w14:paraId="7A208BE8" w14:textId="6C8858FC" w:rsidR="008C1770" w:rsidRPr="00CF15EC" w:rsidRDefault="008C1770" w:rsidP="00A05224">
      <w:pPr>
        <w:ind w:hanging="720"/>
        <w:rPr>
          <w:rFonts w:cstheme="minorHAnsi"/>
        </w:rPr>
      </w:pPr>
      <w:r w:rsidRPr="00CF15EC">
        <w:rPr>
          <w:rFonts w:cstheme="minorHAnsi"/>
        </w:rPr>
        <w:t xml:space="preserve">The University of Manchester. (2013) </w:t>
      </w:r>
      <w:r w:rsidRPr="000141EC">
        <w:rPr>
          <w:rFonts w:cstheme="minorHAnsi"/>
          <w:i/>
          <w:iCs/>
        </w:rPr>
        <w:t>Peoples historian becomes Manchester professor</w:t>
      </w:r>
      <w:r w:rsidRPr="00CF15EC">
        <w:rPr>
          <w:rFonts w:cstheme="minorHAnsi"/>
        </w:rPr>
        <w:t xml:space="preserve">. Available at: </w:t>
      </w:r>
      <w:r w:rsidRPr="00A9121A">
        <w:rPr>
          <w:rFonts w:cstheme="minorHAnsi"/>
        </w:rPr>
        <w:t>https://www.manchester.ac.uk/discover/news/peoples-historian-becomes-manchester-professor/</w:t>
      </w:r>
      <w:r w:rsidRPr="00CF15EC">
        <w:rPr>
          <w:rFonts w:cstheme="minorHAnsi"/>
        </w:rPr>
        <w:t xml:space="preserve"> [Accessed 27/01/</w:t>
      </w:r>
      <w:r w:rsidR="000141EC">
        <w:rPr>
          <w:rFonts w:cstheme="minorHAnsi"/>
        </w:rPr>
        <w:t>20</w:t>
      </w:r>
      <w:r w:rsidRPr="00CF15EC">
        <w:rPr>
          <w:rFonts w:cstheme="minorHAnsi"/>
        </w:rPr>
        <w:t>20]</w:t>
      </w:r>
      <w:r w:rsidR="00F641B0">
        <w:rPr>
          <w:rFonts w:cstheme="minorHAnsi"/>
        </w:rPr>
        <w:t>.</w:t>
      </w:r>
    </w:p>
    <w:p w14:paraId="4DA440EF" w14:textId="59ED8B89" w:rsidR="008C1770" w:rsidRPr="00CF15EC" w:rsidRDefault="008C1770" w:rsidP="00A05224">
      <w:pPr>
        <w:ind w:hanging="720"/>
        <w:rPr>
          <w:rFonts w:cstheme="minorHAnsi"/>
        </w:rPr>
      </w:pPr>
      <w:r w:rsidRPr="00CF15EC">
        <w:rPr>
          <w:rFonts w:cstheme="minorHAnsi"/>
        </w:rPr>
        <w:lastRenderedPageBreak/>
        <w:t xml:space="preserve">Thompson, J. (2016) </w:t>
      </w:r>
      <w:r w:rsidRPr="00CF15EC">
        <w:rPr>
          <w:rFonts w:cstheme="minorHAnsi"/>
          <w:i/>
          <w:iCs/>
        </w:rPr>
        <w:t>Wonderful Things: A History of Egyptology. Vol 2 The Golden Age: 1881-1914</w:t>
      </w:r>
      <w:r w:rsidRPr="00CF15EC">
        <w:rPr>
          <w:rFonts w:cstheme="minorHAnsi"/>
        </w:rPr>
        <w:t xml:space="preserve">. </w:t>
      </w:r>
      <w:r w:rsidR="00FC6DCE">
        <w:rPr>
          <w:rFonts w:cstheme="minorHAnsi"/>
        </w:rPr>
        <w:t xml:space="preserve">Cairo: </w:t>
      </w:r>
      <w:r w:rsidRPr="00CF15EC">
        <w:rPr>
          <w:rFonts w:cstheme="minorHAnsi"/>
        </w:rPr>
        <w:t>The American University in Cairo Press.</w:t>
      </w:r>
    </w:p>
    <w:p w14:paraId="315C0231" w14:textId="090EF07F" w:rsidR="008C1770" w:rsidRPr="00CF15EC" w:rsidRDefault="008C1770" w:rsidP="00A05224">
      <w:pPr>
        <w:ind w:hanging="720"/>
      </w:pPr>
      <w:r w:rsidRPr="00CF15EC">
        <w:t xml:space="preserve">Wasson, D. L. (2016) </w:t>
      </w:r>
      <w:r w:rsidRPr="000141EC">
        <w:rPr>
          <w:i/>
          <w:iCs/>
        </w:rPr>
        <w:t>Ancient Roman Family Life</w:t>
      </w:r>
      <w:r w:rsidRPr="00CF15EC">
        <w:t xml:space="preserve">. Available at: </w:t>
      </w:r>
      <w:r w:rsidRPr="00A9121A">
        <w:t>https://www.ancient.eu/article/870/ancient-roman-family-life/</w:t>
      </w:r>
      <w:r w:rsidRPr="00CF15EC">
        <w:t xml:space="preserve"> [Accessed 01/12/</w:t>
      </w:r>
      <w:r w:rsidR="000141EC">
        <w:t>20</w:t>
      </w:r>
      <w:r w:rsidRPr="00CF15EC">
        <w:t>19]</w:t>
      </w:r>
      <w:r w:rsidR="00FC6DCE">
        <w:t>.</w:t>
      </w:r>
    </w:p>
    <w:p w14:paraId="31CCE4D3" w14:textId="7105AC96" w:rsidR="008C1770" w:rsidRPr="00CF15EC" w:rsidRDefault="008C1770" w:rsidP="00A05224">
      <w:pPr>
        <w:ind w:hanging="720"/>
        <w:rPr>
          <w:rFonts w:cstheme="minorHAnsi"/>
        </w:rPr>
      </w:pPr>
      <w:r w:rsidRPr="00CF15EC">
        <w:rPr>
          <w:rFonts w:cstheme="minorHAnsi"/>
        </w:rPr>
        <w:t xml:space="preserve">Wendell, C. (2012) </w:t>
      </w:r>
      <w:r w:rsidRPr="000141EC">
        <w:rPr>
          <w:rFonts w:cstheme="minorHAnsi"/>
          <w:i/>
          <w:iCs/>
        </w:rPr>
        <w:t xml:space="preserve">‘Lutfi al-Sayyid’, </w:t>
      </w:r>
      <w:r w:rsidR="00205295">
        <w:rPr>
          <w:rFonts w:cstheme="minorHAnsi"/>
          <w:i/>
          <w:iCs/>
        </w:rPr>
        <w:t xml:space="preserve">in </w:t>
      </w:r>
      <w:r w:rsidRPr="00CF15EC">
        <w:rPr>
          <w:rFonts w:cstheme="minorHAnsi"/>
        </w:rPr>
        <w:t>Bearman P</w:t>
      </w:r>
      <w:r w:rsidR="00FA128E">
        <w:rPr>
          <w:rFonts w:cstheme="minorHAnsi"/>
        </w:rPr>
        <w:t>.</w:t>
      </w:r>
      <w:r w:rsidRPr="00CF15EC">
        <w:rPr>
          <w:rFonts w:cstheme="minorHAnsi"/>
        </w:rPr>
        <w:t xml:space="preserve">, </w:t>
      </w:r>
      <w:proofErr w:type="spellStart"/>
      <w:r w:rsidRPr="00CF15EC">
        <w:rPr>
          <w:rFonts w:cstheme="minorHAnsi"/>
        </w:rPr>
        <w:t>Bianquis</w:t>
      </w:r>
      <w:proofErr w:type="spellEnd"/>
      <w:r w:rsidR="00FA128E">
        <w:rPr>
          <w:rFonts w:cstheme="minorHAnsi"/>
        </w:rPr>
        <w:t>,</w:t>
      </w:r>
      <w:r w:rsidRPr="00CF15EC">
        <w:rPr>
          <w:rFonts w:cstheme="minorHAnsi"/>
        </w:rPr>
        <w:t xml:space="preserve"> T</w:t>
      </w:r>
      <w:r w:rsidR="00FA128E">
        <w:rPr>
          <w:rFonts w:cstheme="minorHAnsi"/>
        </w:rPr>
        <w:t>.</w:t>
      </w:r>
      <w:r w:rsidRPr="00CF15EC">
        <w:rPr>
          <w:rFonts w:cstheme="minorHAnsi"/>
        </w:rPr>
        <w:t>, Bosworth</w:t>
      </w:r>
      <w:r w:rsidR="00FA128E">
        <w:rPr>
          <w:rFonts w:cstheme="minorHAnsi"/>
        </w:rPr>
        <w:t>,</w:t>
      </w:r>
      <w:r w:rsidRPr="00CF15EC">
        <w:rPr>
          <w:rFonts w:cstheme="minorHAnsi"/>
        </w:rPr>
        <w:t xml:space="preserve"> C.E</w:t>
      </w:r>
      <w:r w:rsidR="00FA128E">
        <w:rPr>
          <w:rFonts w:cstheme="minorHAnsi"/>
        </w:rPr>
        <w:t>.</w:t>
      </w:r>
      <w:r w:rsidRPr="00CF15EC">
        <w:rPr>
          <w:rFonts w:cstheme="minorHAnsi"/>
        </w:rPr>
        <w:t xml:space="preserve">, Van </w:t>
      </w:r>
      <w:proofErr w:type="spellStart"/>
      <w:r w:rsidRPr="00CF15EC">
        <w:rPr>
          <w:rFonts w:cstheme="minorHAnsi"/>
        </w:rPr>
        <w:t>Donzel</w:t>
      </w:r>
      <w:proofErr w:type="spellEnd"/>
      <w:r w:rsidR="00FA128E">
        <w:rPr>
          <w:rFonts w:cstheme="minorHAnsi"/>
        </w:rPr>
        <w:t>,</w:t>
      </w:r>
      <w:r w:rsidRPr="00CF15EC">
        <w:rPr>
          <w:rFonts w:cstheme="minorHAnsi"/>
        </w:rPr>
        <w:t xml:space="preserve"> E</w:t>
      </w:r>
      <w:r w:rsidR="00FA128E">
        <w:rPr>
          <w:rFonts w:cstheme="minorHAnsi"/>
        </w:rPr>
        <w:t>.</w:t>
      </w:r>
      <w:r w:rsidRPr="00CF15EC">
        <w:rPr>
          <w:rFonts w:cstheme="minorHAnsi"/>
        </w:rPr>
        <w:t xml:space="preserve">, </w:t>
      </w:r>
      <w:r w:rsidR="00FA128E">
        <w:rPr>
          <w:rFonts w:cstheme="minorHAnsi"/>
        </w:rPr>
        <w:t xml:space="preserve">and </w:t>
      </w:r>
      <w:r w:rsidRPr="00CF15EC">
        <w:rPr>
          <w:rFonts w:cstheme="minorHAnsi"/>
        </w:rPr>
        <w:t>Heinrichs</w:t>
      </w:r>
      <w:r w:rsidR="00FA128E">
        <w:rPr>
          <w:rFonts w:cstheme="minorHAnsi"/>
        </w:rPr>
        <w:t>,</w:t>
      </w:r>
      <w:r w:rsidRPr="00CF15EC">
        <w:rPr>
          <w:rFonts w:cstheme="minorHAnsi"/>
        </w:rPr>
        <w:t xml:space="preserve"> W.P. (eds</w:t>
      </w:r>
      <w:r w:rsidR="00205295">
        <w:rPr>
          <w:rFonts w:cstheme="minorHAnsi"/>
        </w:rPr>
        <w:t>.</w:t>
      </w:r>
      <w:r w:rsidRPr="00CF15EC">
        <w:rPr>
          <w:rFonts w:cstheme="minorHAnsi"/>
        </w:rPr>
        <w:t>)</w:t>
      </w:r>
      <w:r w:rsidR="00D35B8D">
        <w:rPr>
          <w:rFonts w:cstheme="minorHAnsi"/>
        </w:rPr>
        <w:t xml:space="preserve"> </w:t>
      </w:r>
      <w:r w:rsidR="00D35B8D" w:rsidRPr="000141EC">
        <w:rPr>
          <w:rFonts w:cstheme="minorHAnsi"/>
          <w:i/>
          <w:iCs/>
        </w:rPr>
        <w:t>Encyclopaedia of Islam,</w:t>
      </w:r>
      <w:r w:rsidR="00D35B8D" w:rsidRPr="00CF15EC">
        <w:rPr>
          <w:rFonts w:cstheme="minorHAnsi"/>
        </w:rPr>
        <w:t xml:space="preserve"> 2</w:t>
      </w:r>
      <w:r w:rsidR="00D35B8D" w:rsidRPr="00CF15EC">
        <w:rPr>
          <w:rFonts w:cstheme="minorHAnsi"/>
          <w:vertAlign w:val="superscript"/>
        </w:rPr>
        <w:t>nd</w:t>
      </w:r>
      <w:r w:rsidR="00D35B8D" w:rsidRPr="00CF15EC">
        <w:rPr>
          <w:rFonts w:cstheme="minorHAnsi"/>
        </w:rPr>
        <w:t xml:space="preserve"> </w:t>
      </w:r>
      <w:proofErr w:type="spellStart"/>
      <w:r w:rsidR="00D35B8D" w:rsidRPr="00CF15EC">
        <w:rPr>
          <w:rFonts w:cstheme="minorHAnsi"/>
        </w:rPr>
        <w:t>ed</w:t>
      </w:r>
      <w:r w:rsidR="00D35B8D">
        <w:rPr>
          <w:rFonts w:cstheme="minorHAnsi"/>
        </w:rPr>
        <w:t>n</w:t>
      </w:r>
      <w:proofErr w:type="spellEnd"/>
      <w:r w:rsidR="00D35B8D" w:rsidRPr="00CF15EC">
        <w:rPr>
          <w:rFonts w:cstheme="minorHAnsi"/>
        </w:rPr>
        <w:t>.</w:t>
      </w:r>
      <w:r w:rsidR="00D35B8D">
        <w:rPr>
          <w:rFonts w:cstheme="minorHAnsi"/>
        </w:rPr>
        <w:t xml:space="preserve"> Available at:</w:t>
      </w:r>
      <w:r w:rsidRPr="00CF15EC">
        <w:rPr>
          <w:rFonts w:cstheme="minorHAnsi"/>
        </w:rPr>
        <w:t xml:space="preserve"> </w:t>
      </w:r>
      <w:r w:rsidR="00F56B5E" w:rsidRPr="00F56B5E">
        <w:rPr>
          <w:rFonts w:cstheme="minorHAnsi"/>
        </w:rPr>
        <w:t>http://dx.doi.org/10.1163/1573-3912_islam_SIM_4705</w:t>
      </w:r>
      <w:r w:rsidR="00F56B5E">
        <w:rPr>
          <w:rFonts w:cstheme="minorHAnsi"/>
        </w:rPr>
        <w:t xml:space="preserve"> [Accessed 01/12/2019]</w:t>
      </w:r>
      <w:r w:rsidR="00FE1B17">
        <w:rPr>
          <w:rFonts w:cstheme="minorHAnsi"/>
        </w:rPr>
        <w:t xml:space="preserve">. </w:t>
      </w:r>
    </w:p>
    <w:p w14:paraId="1C733005" w14:textId="77777777" w:rsidR="008C1770" w:rsidRPr="00CF15EC" w:rsidRDefault="008C1770" w:rsidP="00A05224">
      <w:pPr>
        <w:ind w:hanging="720"/>
        <w:rPr>
          <w:rFonts w:cstheme="minorHAnsi"/>
        </w:rPr>
      </w:pPr>
      <w:r w:rsidRPr="00CF15EC">
        <w:rPr>
          <w:rFonts w:cstheme="minorHAnsi"/>
        </w:rPr>
        <w:t xml:space="preserve">Wilkinson, R. H. (2008) </w:t>
      </w:r>
      <w:r w:rsidRPr="00CF15EC">
        <w:rPr>
          <w:rFonts w:cstheme="minorHAnsi"/>
          <w:i/>
          <w:iCs/>
        </w:rPr>
        <w:t>Egyptology Today</w:t>
      </w:r>
      <w:r w:rsidRPr="00CF15EC">
        <w:rPr>
          <w:rFonts w:cstheme="minorHAnsi"/>
        </w:rPr>
        <w:t xml:space="preserve">. Cambridge: Cambridge University Press. </w:t>
      </w:r>
    </w:p>
    <w:p w14:paraId="0A060098" w14:textId="0D3AD463" w:rsidR="008C1770" w:rsidRPr="00CF15EC" w:rsidRDefault="008C1770" w:rsidP="00A05224">
      <w:pPr>
        <w:ind w:hanging="720"/>
        <w:rPr>
          <w:rFonts w:cstheme="minorHAnsi"/>
        </w:rPr>
      </w:pPr>
      <w:r w:rsidRPr="00CF15EC">
        <w:rPr>
          <w:rFonts w:cstheme="minorHAnsi"/>
        </w:rPr>
        <w:t xml:space="preserve">Wilson, J. T. (1938) ‘Sir Grafton Elliot Smith. 1871-1937’, </w:t>
      </w:r>
      <w:r w:rsidRPr="00F56B5E">
        <w:rPr>
          <w:rFonts w:cstheme="minorHAnsi"/>
          <w:i/>
          <w:iCs/>
        </w:rPr>
        <w:t>Obituary Notices of Fellows of the Royal Society</w:t>
      </w:r>
      <w:r w:rsidRPr="00CF15EC">
        <w:rPr>
          <w:rFonts w:cstheme="minorHAnsi"/>
        </w:rPr>
        <w:t>, 2(6), pp.322-333</w:t>
      </w:r>
      <w:r w:rsidR="004038D3">
        <w:rPr>
          <w:rFonts w:cstheme="minorHAnsi"/>
        </w:rPr>
        <w:t xml:space="preserve">. Available at: </w:t>
      </w:r>
      <w:r w:rsidRPr="00A9121A">
        <w:rPr>
          <w:rFonts w:cstheme="minorHAnsi"/>
        </w:rPr>
        <w:t>https://www.jstor.org/stable/769069?seq=1#metadata_info_tab_contents</w:t>
      </w:r>
      <w:r w:rsidRPr="00CF15EC">
        <w:rPr>
          <w:rFonts w:cstheme="minorHAnsi"/>
        </w:rPr>
        <w:t xml:space="preserve"> [Accessed 22/01/</w:t>
      </w:r>
      <w:r w:rsidR="00F56B5E">
        <w:rPr>
          <w:rFonts w:cstheme="minorHAnsi"/>
        </w:rPr>
        <w:t>20</w:t>
      </w:r>
      <w:r w:rsidRPr="00CF15EC">
        <w:rPr>
          <w:rFonts w:cstheme="minorHAnsi"/>
        </w:rPr>
        <w:t>20]</w:t>
      </w:r>
      <w:r w:rsidR="004038D3">
        <w:rPr>
          <w:rFonts w:cstheme="minorHAnsi"/>
        </w:rPr>
        <w:t>.</w:t>
      </w:r>
    </w:p>
    <w:p w14:paraId="2351735B" w14:textId="0808C386" w:rsidR="008C1770" w:rsidRPr="00CF15EC" w:rsidRDefault="008C1770" w:rsidP="00A05224">
      <w:pPr>
        <w:ind w:hanging="720"/>
      </w:pPr>
      <w:r w:rsidRPr="00CF15EC">
        <w:t xml:space="preserve">Wood, M. (1998) ‘The Use of the Pharaonic Past in Modern Egyptian Nationalism’, </w:t>
      </w:r>
      <w:r w:rsidRPr="00CF15EC">
        <w:rPr>
          <w:i/>
          <w:iCs/>
        </w:rPr>
        <w:t xml:space="preserve">Journal of the American Research </w:t>
      </w:r>
      <w:r w:rsidR="004038D3" w:rsidRPr="00CF15EC">
        <w:rPr>
          <w:i/>
          <w:iCs/>
        </w:rPr>
        <w:t>Centre</w:t>
      </w:r>
      <w:r w:rsidRPr="00CF15EC">
        <w:rPr>
          <w:i/>
          <w:iCs/>
        </w:rPr>
        <w:t xml:space="preserve"> in Egypt, </w:t>
      </w:r>
      <w:r w:rsidRPr="00CF15EC">
        <w:t>35, pp. 179-196</w:t>
      </w:r>
      <w:r w:rsidR="004038D3">
        <w:t xml:space="preserve">. Available at: </w:t>
      </w:r>
      <w:r w:rsidRPr="00A9121A">
        <w:t>https://www.jstor.org/stable/40000469#metadata_info_tab_contents</w:t>
      </w:r>
      <w:r w:rsidRPr="00CF15EC">
        <w:t>, [Accessed 27/07/2019]</w:t>
      </w:r>
      <w:r w:rsidR="004038D3">
        <w:t>.</w:t>
      </w:r>
    </w:p>
    <w:p w14:paraId="06C31D03" w14:textId="2D0F31B4" w:rsidR="008C1770" w:rsidRPr="00CF15EC" w:rsidRDefault="008C1770" w:rsidP="00A05224">
      <w:pPr>
        <w:ind w:hanging="720"/>
      </w:pPr>
      <w:r w:rsidRPr="00CF15EC">
        <w:t xml:space="preserve">Woodward, D. R. (2011) </w:t>
      </w:r>
      <w:r w:rsidRPr="00F56B5E">
        <w:rPr>
          <w:i/>
          <w:iCs/>
        </w:rPr>
        <w:t>The Middle East during World War one</w:t>
      </w:r>
      <w:r w:rsidRPr="00CF15EC">
        <w:t xml:space="preserve">. Available at: </w:t>
      </w:r>
      <w:r w:rsidRPr="00A9121A">
        <w:t>http://www.bbc.co.uk/history/worldwars/wwone/middle_east_01.shtml</w:t>
      </w:r>
      <w:r w:rsidRPr="00CF15EC">
        <w:t xml:space="preserve"> [Accessed 28/01/</w:t>
      </w:r>
      <w:r w:rsidR="00F56B5E">
        <w:t>20</w:t>
      </w:r>
      <w:r w:rsidRPr="00CF15EC">
        <w:t>20]</w:t>
      </w:r>
      <w:r w:rsidR="0017213F">
        <w:t>.</w:t>
      </w:r>
    </w:p>
    <w:p w14:paraId="063CC35A" w14:textId="3AF27FC9" w:rsidR="008C1770" w:rsidRDefault="008C1770" w:rsidP="00A05224">
      <w:pPr>
        <w:ind w:hanging="720"/>
      </w:pPr>
      <w:r w:rsidRPr="00CF15EC">
        <w:t xml:space="preserve">World Archaeology. (2008) </w:t>
      </w:r>
      <w:r w:rsidRPr="00F56B5E">
        <w:rPr>
          <w:i/>
          <w:iCs/>
        </w:rPr>
        <w:t>Tutankhamun: Exhibition</w:t>
      </w:r>
      <w:r w:rsidRPr="00CF15EC">
        <w:t xml:space="preserve">. Available at: </w:t>
      </w:r>
      <w:r w:rsidRPr="00A9121A">
        <w:t>https://www.world-archaeology.com/world/africa/egypt/tutankhamun-exhibition/</w:t>
      </w:r>
      <w:r w:rsidRPr="00CF15EC">
        <w:t xml:space="preserve"> [Accessed 08/12/</w:t>
      </w:r>
      <w:r w:rsidR="00F56B5E">
        <w:t>20</w:t>
      </w:r>
      <w:r w:rsidRPr="00CF15EC">
        <w:t>19]</w:t>
      </w:r>
      <w:r w:rsidR="0017213F">
        <w:t>.</w:t>
      </w:r>
    </w:p>
    <w:p w14:paraId="641EFD34" w14:textId="0745BC44" w:rsidR="008C1770" w:rsidRDefault="008C1770" w:rsidP="008C1770"/>
    <w:p w14:paraId="19543F2B" w14:textId="0BFEC50E" w:rsidR="008C1770" w:rsidRDefault="008C1770" w:rsidP="008C1770"/>
    <w:p w14:paraId="47DA680D" w14:textId="20D69CE2" w:rsidR="008C1770" w:rsidRDefault="008C1770" w:rsidP="008C1770"/>
    <w:p w14:paraId="644D3BA1" w14:textId="01F56BCE" w:rsidR="008C1770" w:rsidRDefault="008C1770" w:rsidP="008C1770"/>
    <w:p w14:paraId="3F3568EC" w14:textId="7F06EA38" w:rsidR="008C1770" w:rsidRDefault="008C1770" w:rsidP="008C1770"/>
    <w:p w14:paraId="475457EF" w14:textId="09BE53C1" w:rsidR="008C1770" w:rsidRDefault="008C1770" w:rsidP="008C1770"/>
    <w:p w14:paraId="659FC41D" w14:textId="3D3384CC" w:rsidR="008C1770" w:rsidRDefault="008C1770" w:rsidP="008C1770"/>
    <w:p w14:paraId="7C7A4E0A" w14:textId="7B10BDDB" w:rsidR="008C1770" w:rsidRDefault="008C1770" w:rsidP="008C1770"/>
    <w:p w14:paraId="4C506DDF" w14:textId="4493F2D5" w:rsidR="008C1770" w:rsidRDefault="008C1770" w:rsidP="008C1770"/>
    <w:p w14:paraId="7AD7A1A7" w14:textId="3805C74B" w:rsidR="008C1770" w:rsidRDefault="008C1770" w:rsidP="008C1770"/>
    <w:p w14:paraId="50BB4BFB" w14:textId="3C5EBDD1" w:rsidR="00A05224" w:rsidRDefault="00A05224" w:rsidP="008C1770"/>
    <w:p w14:paraId="19A4C868" w14:textId="77777777" w:rsidR="00A05224" w:rsidRDefault="00A05224" w:rsidP="008C1770"/>
    <w:p w14:paraId="608899B5" w14:textId="737D92DC" w:rsidR="008C1770" w:rsidRDefault="008C1770" w:rsidP="008C1770"/>
    <w:p w14:paraId="23C37037" w14:textId="356779ED" w:rsidR="008C1770" w:rsidRDefault="008C1770" w:rsidP="008C1770"/>
    <w:p w14:paraId="5DBD42D3" w14:textId="77777777" w:rsidR="00C272CC" w:rsidRDefault="00C272CC" w:rsidP="008C1770"/>
    <w:p w14:paraId="62D67A70" w14:textId="77777777" w:rsidR="0017213F" w:rsidRDefault="0017213F" w:rsidP="0017213F"/>
    <w:p w14:paraId="59B42752" w14:textId="2D925BBF" w:rsidR="008C1770" w:rsidRPr="005A4486" w:rsidRDefault="008C1770" w:rsidP="0017213F">
      <w:pPr>
        <w:jc w:val="center"/>
        <w:rPr>
          <w:b/>
          <w:bCs/>
          <w:sz w:val="28"/>
          <w:szCs w:val="28"/>
          <w:u w:val="single"/>
        </w:rPr>
      </w:pPr>
      <w:r w:rsidRPr="005A4486">
        <w:rPr>
          <w:b/>
          <w:bCs/>
          <w:sz w:val="28"/>
          <w:szCs w:val="28"/>
          <w:u w:val="single"/>
        </w:rPr>
        <w:lastRenderedPageBreak/>
        <w:t>Bibliography</w:t>
      </w:r>
    </w:p>
    <w:p w14:paraId="6F556D1F" w14:textId="39BECD45" w:rsidR="008C1770" w:rsidRDefault="008C1770" w:rsidP="00A05224">
      <w:pPr>
        <w:ind w:hanging="720"/>
      </w:pPr>
      <w:proofErr w:type="spellStart"/>
      <w:r>
        <w:t>Addley</w:t>
      </w:r>
      <w:proofErr w:type="spellEnd"/>
      <w:r>
        <w:t xml:space="preserve">, E. (2019) ‘Tutankhamun’s glitzy farewell tour a timely promotion for Egypt’, </w:t>
      </w:r>
      <w:r w:rsidRPr="00134FF0">
        <w:rPr>
          <w:i/>
          <w:iCs/>
        </w:rPr>
        <w:t>The Guardian</w:t>
      </w:r>
      <w:r>
        <w:t>, 1</w:t>
      </w:r>
      <w:r w:rsidRPr="002503C7">
        <w:rPr>
          <w:vertAlign w:val="superscript"/>
        </w:rPr>
        <w:t>st</w:t>
      </w:r>
      <w:r>
        <w:t xml:space="preserve"> November, P.13</w:t>
      </w:r>
      <w:r w:rsidR="00D10EC1">
        <w:t>.</w:t>
      </w:r>
    </w:p>
    <w:p w14:paraId="3B483386" w14:textId="67D5B268" w:rsidR="008C1770" w:rsidRDefault="008C1770" w:rsidP="00A05224">
      <w:pPr>
        <w:ind w:hanging="720"/>
      </w:pPr>
      <w:r>
        <w:t xml:space="preserve">Ancient Egypt Online. (N.D) </w:t>
      </w:r>
      <w:r w:rsidRPr="00733BAD">
        <w:rPr>
          <w:i/>
          <w:iCs/>
        </w:rPr>
        <w:t>Ancient Egypt Maps</w:t>
      </w:r>
      <w:r>
        <w:t xml:space="preserve">. Available at: </w:t>
      </w:r>
      <w:r w:rsidRPr="00A9121A">
        <w:t>https://www.ancient-egypt-online.com/ancient-egypt-maps.html</w:t>
      </w:r>
      <w:r>
        <w:t xml:space="preserve"> [Accessed 28/01/</w:t>
      </w:r>
      <w:r w:rsidR="00733BAD">
        <w:t>20</w:t>
      </w:r>
      <w:r>
        <w:t>20]</w:t>
      </w:r>
      <w:r w:rsidR="00D10EC1">
        <w:t>.</w:t>
      </w:r>
    </w:p>
    <w:p w14:paraId="5BED7FDC" w14:textId="427B8B4A" w:rsidR="008C1770" w:rsidRPr="00141743" w:rsidRDefault="008C1770" w:rsidP="00A05224">
      <w:pPr>
        <w:ind w:hanging="720"/>
      </w:pPr>
      <w:r w:rsidRPr="00141743">
        <w:t xml:space="preserve">Anon. (2019) </w:t>
      </w:r>
      <w:r w:rsidRPr="00141743">
        <w:rPr>
          <w:i/>
          <w:iCs/>
        </w:rPr>
        <w:t xml:space="preserve">Behind the scenes as largest ever Tutankhamun exhibition moves to London. </w:t>
      </w:r>
      <w:r w:rsidRPr="00141743">
        <w:t xml:space="preserve">Available at: </w:t>
      </w:r>
      <w:r w:rsidRPr="00A9121A">
        <w:t>http://home.bt.com/news/behind-the-scenes-as-largest-ever-tutankhamun-exhibition-moves-to-london-91364399327709?playlistVideoId=6091137187001&amp;utm_campaign=139799_Extended%20Hours%20Announced%21&amp;utm_medium=email&amp;utm_source=Tutankhamun%20London&amp;dm_i=55SU,2ZVB,M0FAH,AUSB,1</w:t>
      </w:r>
      <w:r w:rsidRPr="00141743">
        <w:t xml:space="preserve"> [Accessed: 04/10/2019].</w:t>
      </w:r>
    </w:p>
    <w:p w14:paraId="414EEF24" w14:textId="77777777" w:rsidR="008C1770" w:rsidRPr="00141743" w:rsidRDefault="008C1770" w:rsidP="00A05224">
      <w:pPr>
        <w:ind w:hanging="720"/>
      </w:pPr>
      <w:r w:rsidRPr="00141743">
        <w:t xml:space="preserve">Arakaki, J. S. (1986) </w:t>
      </w:r>
      <w:r w:rsidRPr="00141743">
        <w:rPr>
          <w:i/>
          <w:iCs/>
        </w:rPr>
        <w:t xml:space="preserve">The Glint of Gold: Press Coverage of the Discovery of Tutankhamun’s Tomb. </w:t>
      </w:r>
      <w:r w:rsidRPr="00141743">
        <w:t>Unpublished PhD thesis, University of Redlands.</w:t>
      </w:r>
    </w:p>
    <w:p w14:paraId="0C391837" w14:textId="2C1E1DBE" w:rsidR="008C1770" w:rsidRDefault="008C1770" w:rsidP="00A05224">
      <w:pPr>
        <w:ind w:hanging="720"/>
      </w:pPr>
      <w:proofErr w:type="spellStart"/>
      <w:r>
        <w:t>Augustyn</w:t>
      </w:r>
      <w:proofErr w:type="spellEnd"/>
      <w:r>
        <w:t xml:space="preserve">, A. (2019) </w:t>
      </w:r>
      <w:r w:rsidRPr="00733BAD">
        <w:rPr>
          <w:i/>
          <w:iCs/>
        </w:rPr>
        <w:t>Herodotus</w:t>
      </w:r>
      <w:r>
        <w:t xml:space="preserve">. Available at: </w:t>
      </w:r>
      <w:r w:rsidRPr="00A9121A">
        <w:t>https://www.britannica.com/biography/Herodotus-Greek-historian</w:t>
      </w:r>
      <w:r>
        <w:t xml:space="preserve"> [Accessed: 01/12/</w:t>
      </w:r>
      <w:r w:rsidR="00733BAD">
        <w:t>20</w:t>
      </w:r>
      <w:r>
        <w:t>19]</w:t>
      </w:r>
      <w:r w:rsidR="00D04D46">
        <w:t>.</w:t>
      </w:r>
    </w:p>
    <w:p w14:paraId="0562AB2F" w14:textId="77777777" w:rsidR="008C1770" w:rsidRPr="00557BF0" w:rsidRDefault="008C1770" w:rsidP="00A05224">
      <w:pPr>
        <w:ind w:hanging="720"/>
      </w:pPr>
      <w:r w:rsidRPr="00141743">
        <w:t xml:space="preserve">Bell, T. (2010) </w:t>
      </w:r>
      <w:r w:rsidRPr="00141743">
        <w:rPr>
          <w:i/>
          <w:iCs/>
        </w:rPr>
        <w:t>The Western Perception of Ancient Egypt: The Discovery, Spectacle and Exposition of King Tutankhamun</w:t>
      </w:r>
      <w:r w:rsidRPr="00141743">
        <w:t>. Unpublished PhD thesis, Newman University.</w:t>
      </w:r>
    </w:p>
    <w:p w14:paraId="354DDC34" w14:textId="12BDE127" w:rsidR="008C1770" w:rsidRPr="00141743" w:rsidRDefault="008C1770" w:rsidP="00A05224">
      <w:pPr>
        <w:ind w:hanging="720"/>
      </w:pPr>
      <w:r w:rsidRPr="00141743">
        <w:t xml:space="preserve">Brewer, D. J. </w:t>
      </w:r>
      <w:r w:rsidR="00A245AE">
        <w:t>and</w:t>
      </w:r>
      <w:r w:rsidRPr="00141743">
        <w:t xml:space="preserve"> Teeter, E. (2007) </w:t>
      </w:r>
      <w:r w:rsidRPr="00141743">
        <w:rPr>
          <w:i/>
          <w:iCs/>
        </w:rPr>
        <w:t>Egypt and the Egyptians.</w:t>
      </w:r>
      <w:r w:rsidRPr="00141743">
        <w:t xml:space="preserve"> 2</w:t>
      </w:r>
      <w:r w:rsidRPr="00141743">
        <w:rPr>
          <w:vertAlign w:val="superscript"/>
        </w:rPr>
        <w:t>nd</w:t>
      </w:r>
      <w:r w:rsidRPr="00141743">
        <w:t xml:space="preserve"> </w:t>
      </w:r>
      <w:proofErr w:type="spellStart"/>
      <w:r w:rsidRPr="00141743">
        <w:t>ed</w:t>
      </w:r>
      <w:r w:rsidR="00D04D46">
        <w:t>n</w:t>
      </w:r>
      <w:proofErr w:type="spellEnd"/>
      <w:r w:rsidRPr="00141743">
        <w:t xml:space="preserve">. Cambridge: Cambridge University Press. </w:t>
      </w:r>
    </w:p>
    <w:p w14:paraId="07057E3A" w14:textId="1A59C244" w:rsidR="008C1770" w:rsidRDefault="008C1770" w:rsidP="00A05224">
      <w:pPr>
        <w:ind w:hanging="720"/>
      </w:pPr>
      <w:r w:rsidRPr="00141743">
        <w:t xml:space="preserve">Brier, B. (2013) </w:t>
      </w:r>
      <w:r w:rsidRPr="00141743">
        <w:rPr>
          <w:i/>
          <w:iCs/>
        </w:rPr>
        <w:t>Egypt-</w:t>
      </w:r>
      <w:proofErr w:type="spellStart"/>
      <w:r w:rsidRPr="00141743">
        <w:rPr>
          <w:i/>
          <w:iCs/>
        </w:rPr>
        <w:t>omaina</w:t>
      </w:r>
      <w:proofErr w:type="spellEnd"/>
      <w:r w:rsidRPr="00141743">
        <w:rPr>
          <w:i/>
          <w:iCs/>
        </w:rPr>
        <w:t xml:space="preserve">: our </w:t>
      </w:r>
      <w:proofErr w:type="gramStart"/>
      <w:r w:rsidRPr="00141743">
        <w:rPr>
          <w:i/>
          <w:iCs/>
        </w:rPr>
        <w:t>three thousand year</w:t>
      </w:r>
      <w:proofErr w:type="gramEnd"/>
      <w:r w:rsidRPr="00141743">
        <w:rPr>
          <w:i/>
          <w:iCs/>
        </w:rPr>
        <w:t xml:space="preserve"> obsession with the land of the pharaohs.</w:t>
      </w:r>
      <w:r w:rsidRPr="00141743">
        <w:t xml:space="preserve"> 1</w:t>
      </w:r>
      <w:r w:rsidRPr="00141743">
        <w:rPr>
          <w:vertAlign w:val="superscript"/>
        </w:rPr>
        <w:t>st</w:t>
      </w:r>
      <w:r w:rsidRPr="00141743">
        <w:t xml:space="preserve"> </w:t>
      </w:r>
      <w:proofErr w:type="spellStart"/>
      <w:r w:rsidRPr="00141743">
        <w:t>ed</w:t>
      </w:r>
      <w:r w:rsidR="00D04D46">
        <w:t>n</w:t>
      </w:r>
      <w:proofErr w:type="spellEnd"/>
      <w:r w:rsidRPr="00141743">
        <w:t xml:space="preserve">. New York: Palgrave Macmillan. </w:t>
      </w:r>
    </w:p>
    <w:p w14:paraId="78C8278C" w14:textId="77777777" w:rsidR="008C1770" w:rsidRPr="000C4348" w:rsidRDefault="008C1770" w:rsidP="00A05224">
      <w:pPr>
        <w:ind w:hanging="720"/>
      </w:pPr>
      <w:r>
        <w:t xml:space="preserve">Carter, H. (1927) </w:t>
      </w:r>
      <w:r>
        <w:rPr>
          <w:i/>
          <w:iCs/>
        </w:rPr>
        <w:t xml:space="preserve">The Tomb of </w:t>
      </w:r>
      <w:proofErr w:type="spellStart"/>
      <w:proofErr w:type="gramStart"/>
      <w:r>
        <w:rPr>
          <w:i/>
          <w:iCs/>
        </w:rPr>
        <w:t>Tut.Ankh.Amen</w:t>
      </w:r>
      <w:proofErr w:type="spellEnd"/>
      <w:proofErr w:type="gramEnd"/>
      <w:r>
        <w:rPr>
          <w:i/>
          <w:iCs/>
        </w:rPr>
        <w:t xml:space="preserve">. </w:t>
      </w:r>
      <w:r>
        <w:t>Volume two. Great Britain: Cassell and Company Ltd.</w:t>
      </w:r>
    </w:p>
    <w:p w14:paraId="31A213B5" w14:textId="77777777" w:rsidR="008C1770" w:rsidRDefault="008C1770" w:rsidP="00A05224">
      <w:pPr>
        <w:ind w:hanging="720"/>
      </w:pPr>
      <w:r>
        <w:t xml:space="preserve">Carter, H. (1933) </w:t>
      </w:r>
      <w:r>
        <w:rPr>
          <w:i/>
          <w:iCs/>
        </w:rPr>
        <w:t xml:space="preserve">The Tomb of </w:t>
      </w:r>
      <w:proofErr w:type="spellStart"/>
      <w:proofErr w:type="gramStart"/>
      <w:r>
        <w:rPr>
          <w:i/>
          <w:iCs/>
        </w:rPr>
        <w:t>Tut.Ankh.Amen</w:t>
      </w:r>
      <w:proofErr w:type="spellEnd"/>
      <w:proofErr w:type="gramEnd"/>
      <w:r>
        <w:rPr>
          <w:i/>
          <w:iCs/>
        </w:rPr>
        <w:t xml:space="preserve">. </w:t>
      </w:r>
      <w:r w:rsidRPr="00577E1C">
        <w:t xml:space="preserve">Volume three. Frome and London: </w:t>
      </w:r>
      <w:proofErr w:type="spellStart"/>
      <w:r w:rsidRPr="00577E1C">
        <w:t>Bulter</w:t>
      </w:r>
      <w:proofErr w:type="spellEnd"/>
      <w:r w:rsidRPr="00577E1C">
        <w:t xml:space="preserve"> and Tanner Ltd.</w:t>
      </w:r>
    </w:p>
    <w:p w14:paraId="31DAC552" w14:textId="77777777" w:rsidR="008C1770" w:rsidRDefault="008C1770" w:rsidP="00A05224">
      <w:pPr>
        <w:ind w:hanging="720"/>
      </w:pPr>
      <w:r>
        <w:t xml:space="preserve">Carter, H. and Mace. A. C. (1923) </w:t>
      </w:r>
      <w:r>
        <w:rPr>
          <w:i/>
          <w:iCs/>
        </w:rPr>
        <w:t xml:space="preserve">The Tomb of </w:t>
      </w:r>
      <w:proofErr w:type="spellStart"/>
      <w:proofErr w:type="gramStart"/>
      <w:r>
        <w:rPr>
          <w:i/>
          <w:iCs/>
        </w:rPr>
        <w:t>Tut.Ankh.Amen</w:t>
      </w:r>
      <w:proofErr w:type="spellEnd"/>
      <w:proofErr w:type="gramEnd"/>
      <w:r>
        <w:rPr>
          <w:i/>
          <w:iCs/>
        </w:rPr>
        <w:t xml:space="preserve">. </w:t>
      </w:r>
      <w:r>
        <w:t xml:space="preserve">Volume one. Norwich: </w:t>
      </w:r>
      <w:proofErr w:type="spellStart"/>
      <w:r>
        <w:t>Jarrold</w:t>
      </w:r>
      <w:proofErr w:type="spellEnd"/>
      <w:r>
        <w:t xml:space="preserve"> and Sons Ltd.</w:t>
      </w:r>
    </w:p>
    <w:p w14:paraId="30D0A7F7" w14:textId="77777777" w:rsidR="008C1770" w:rsidRPr="00BB2504" w:rsidRDefault="008C1770" w:rsidP="00A05224">
      <w:pPr>
        <w:ind w:hanging="720"/>
      </w:pPr>
      <w:r>
        <w:t xml:space="preserve">Clayton, P. A. (1994) </w:t>
      </w:r>
      <w:r>
        <w:rPr>
          <w:i/>
          <w:iCs/>
        </w:rPr>
        <w:t xml:space="preserve">Chronicle of the Pharaohs: the reign-by-reign record of the rulers and dynasties of ancient Egypt. </w:t>
      </w:r>
      <w:r>
        <w:t xml:space="preserve">London: BCA. </w:t>
      </w:r>
    </w:p>
    <w:p w14:paraId="4FC88C04" w14:textId="77777777" w:rsidR="008C1770" w:rsidRPr="00141743" w:rsidRDefault="008C1770" w:rsidP="00A05224">
      <w:pPr>
        <w:ind w:hanging="720"/>
      </w:pPr>
      <w:proofErr w:type="spellStart"/>
      <w:r w:rsidRPr="00141743">
        <w:t>Colla</w:t>
      </w:r>
      <w:proofErr w:type="spellEnd"/>
      <w:r w:rsidRPr="00141743">
        <w:t xml:space="preserve">, E. (2007) </w:t>
      </w:r>
      <w:r w:rsidRPr="00141743">
        <w:rPr>
          <w:i/>
          <w:iCs/>
        </w:rPr>
        <w:t xml:space="preserve">Conflicted Antiquities Egyptology, Egyptomania, Egyptian Modernity. </w:t>
      </w:r>
      <w:r w:rsidRPr="00141743">
        <w:t xml:space="preserve">Durham and London: Duke University Press. </w:t>
      </w:r>
    </w:p>
    <w:p w14:paraId="5BB054C3" w14:textId="4ADF25D8" w:rsidR="008C1770" w:rsidRDefault="008C1770" w:rsidP="00A05224">
      <w:pPr>
        <w:ind w:hanging="720"/>
      </w:pPr>
      <w:r w:rsidRPr="00141743">
        <w:t xml:space="preserve">Collins, P. </w:t>
      </w:r>
      <w:r w:rsidR="00211F47">
        <w:t>and</w:t>
      </w:r>
      <w:r w:rsidRPr="00141743">
        <w:t xml:space="preserve"> McNamara, L. (2014) </w:t>
      </w:r>
      <w:r w:rsidRPr="00141743">
        <w:rPr>
          <w:i/>
          <w:iCs/>
        </w:rPr>
        <w:t>Discovering Tutankhamun</w:t>
      </w:r>
      <w:r w:rsidRPr="00141743">
        <w:t xml:space="preserve">. Oxford: Ashmolean Museum, University of Oxford. </w:t>
      </w:r>
    </w:p>
    <w:p w14:paraId="16B0987B" w14:textId="56C2C216" w:rsidR="008C1770" w:rsidRDefault="008C1770" w:rsidP="00A05224">
      <w:pPr>
        <w:ind w:hanging="720"/>
      </w:pPr>
      <w:r>
        <w:t xml:space="preserve">Connolly, K. (2009) </w:t>
      </w:r>
      <w:r w:rsidRPr="00086878">
        <w:rPr>
          <w:i/>
          <w:iCs/>
        </w:rPr>
        <w:t>Is this Nefertiti- or a 100-year-old fake?</w:t>
      </w:r>
      <w:r>
        <w:t xml:space="preserve"> Available at: </w:t>
      </w:r>
      <w:r w:rsidRPr="00A9121A">
        <w:t>https://www.theguardian.com/artanddesign/2009/may/07/nefertiti-bust-berlin-egypt-authenticity</w:t>
      </w:r>
      <w:r>
        <w:t xml:space="preserve"> [Accessed: 01/12/</w:t>
      </w:r>
      <w:r w:rsidR="00086878">
        <w:t>20</w:t>
      </w:r>
      <w:r>
        <w:t>19]</w:t>
      </w:r>
      <w:r w:rsidR="00F54077">
        <w:t>.</w:t>
      </w:r>
    </w:p>
    <w:p w14:paraId="0FD65FC8" w14:textId="245CD722" w:rsidR="008C1770" w:rsidRPr="00141743" w:rsidRDefault="008C1770" w:rsidP="00A05224">
      <w:pPr>
        <w:ind w:hanging="720"/>
      </w:pPr>
      <w:r>
        <w:t>Daly</w:t>
      </w:r>
      <w:r w:rsidR="00F54077">
        <w:t>,</w:t>
      </w:r>
      <w:r>
        <w:t xml:space="preserve"> M. W. and </w:t>
      </w:r>
      <w:r w:rsidR="00F54077">
        <w:t xml:space="preserve">Petry, </w:t>
      </w:r>
      <w:r w:rsidR="00911DE9">
        <w:t>C. F.</w:t>
      </w:r>
      <w:r>
        <w:t xml:space="preserve"> (1998</w:t>
      </w:r>
      <w:r w:rsidRPr="00E77A31">
        <w:rPr>
          <w:i/>
          <w:iCs/>
        </w:rPr>
        <w:t>) The Cambridge History of Egypt</w:t>
      </w:r>
      <w:r>
        <w:t xml:space="preserve">. Cambridge: Cambridge University Press. </w:t>
      </w:r>
    </w:p>
    <w:p w14:paraId="2E253EDE" w14:textId="77777777" w:rsidR="008C1770" w:rsidRPr="00141743" w:rsidRDefault="008C1770" w:rsidP="00A05224">
      <w:pPr>
        <w:ind w:hanging="720"/>
      </w:pPr>
      <w:r w:rsidRPr="00141743">
        <w:t xml:space="preserve">Danton, W. (2019) </w:t>
      </w:r>
      <w:proofErr w:type="spellStart"/>
      <w:r w:rsidRPr="00141743">
        <w:rPr>
          <w:i/>
          <w:iCs/>
        </w:rPr>
        <w:t>Tutmaina</w:t>
      </w:r>
      <w:proofErr w:type="spellEnd"/>
      <w:r w:rsidRPr="00141743">
        <w:rPr>
          <w:i/>
          <w:iCs/>
        </w:rPr>
        <w:t xml:space="preserve">: An Exploration of Western Portrayals of King Tutankhamun and Orientalism in Egypt. </w:t>
      </w:r>
      <w:r w:rsidRPr="00141743">
        <w:t>Unpublished PhD thesis, University of Puget Sound.</w:t>
      </w:r>
    </w:p>
    <w:p w14:paraId="65E9A1DD" w14:textId="348ACB47" w:rsidR="008C1770" w:rsidRDefault="008C1770" w:rsidP="00A05224">
      <w:pPr>
        <w:ind w:hanging="720"/>
      </w:pPr>
      <w:proofErr w:type="spellStart"/>
      <w:r w:rsidRPr="00141743">
        <w:t>Desroches-Noblecourt</w:t>
      </w:r>
      <w:proofErr w:type="spellEnd"/>
      <w:r w:rsidRPr="00141743">
        <w:t xml:space="preserve">, C. (1963) </w:t>
      </w:r>
      <w:r w:rsidRPr="00141743">
        <w:rPr>
          <w:i/>
          <w:iCs/>
        </w:rPr>
        <w:t>Tutankhamen: life and death of a pharaoh</w:t>
      </w:r>
      <w:r w:rsidRPr="00141743">
        <w:t>. London: Connoisseur and Michael Joseph Ltd.</w:t>
      </w:r>
    </w:p>
    <w:p w14:paraId="4BA52F25" w14:textId="1A308D78" w:rsidR="00494B67" w:rsidRPr="00141743" w:rsidRDefault="00494B67" w:rsidP="00494B67">
      <w:pPr>
        <w:ind w:hanging="720"/>
      </w:pPr>
      <w:r>
        <w:lastRenderedPageBreak/>
        <w:t xml:space="preserve">Dodson, A. (2009) </w:t>
      </w:r>
      <w:r w:rsidRPr="0094185B">
        <w:rPr>
          <w:i/>
          <w:iCs/>
        </w:rPr>
        <w:t xml:space="preserve">Amarna Sunset. Nefertiti, Tutankhamun, Ay, </w:t>
      </w:r>
      <w:proofErr w:type="spellStart"/>
      <w:r w:rsidRPr="0094185B">
        <w:rPr>
          <w:i/>
          <w:iCs/>
        </w:rPr>
        <w:t>Horemheb</w:t>
      </w:r>
      <w:proofErr w:type="spellEnd"/>
      <w:r w:rsidRPr="0094185B">
        <w:rPr>
          <w:i/>
          <w:iCs/>
        </w:rPr>
        <w:t>, and the Egyptian Counter-Reformation.</w:t>
      </w:r>
      <w:r>
        <w:rPr>
          <w:i/>
          <w:iCs/>
        </w:rPr>
        <w:t xml:space="preserve"> </w:t>
      </w:r>
      <w:r w:rsidRPr="0062184D">
        <w:t>Cairo and New York</w:t>
      </w:r>
      <w:r>
        <w:rPr>
          <w:i/>
          <w:iCs/>
        </w:rPr>
        <w:t xml:space="preserve">: </w:t>
      </w:r>
      <w:r>
        <w:t>The American University in Cairo Press</w:t>
      </w:r>
      <w:r w:rsidR="00911DE9">
        <w:t>.</w:t>
      </w:r>
    </w:p>
    <w:p w14:paraId="4EF3859C" w14:textId="08E354E8" w:rsidR="008C1770" w:rsidRPr="00074050" w:rsidRDefault="008C1770" w:rsidP="00A05224">
      <w:pPr>
        <w:ind w:hanging="720"/>
      </w:pPr>
      <w:r>
        <w:t xml:space="preserve">Dowson, T. (2019) </w:t>
      </w:r>
      <w:r w:rsidRPr="00086878">
        <w:rPr>
          <w:i/>
          <w:iCs/>
        </w:rPr>
        <w:t>Tutankhamun: Treasures of the Golden Pharaoh 2019 – 2021</w:t>
      </w:r>
      <w:r>
        <w:t>. Available at</w:t>
      </w:r>
      <w:r w:rsidR="00911DE9">
        <w:t xml:space="preserve">: </w:t>
      </w:r>
      <w:r w:rsidRPr="00A9121A">
        <w:t>https://archaeology-travel.com/exhibitions/tutankhamun-treasures-of-the-golden-pharaoh/</w:t>
      </w:r>
      <w:r>
        <w:t xml:space="preserve"> [Accessed 16/12/2019]</w:t>
      </w:r>
      <w:r w:rsidR="00911DE9">
        <w:t>.</w:t>
      </w:r>
    </w:p>
    <w:p w14:paraId="6F5981D8" w14:textId="10732579" w:rsidR="008C1770" w:rsidRPr="00141743" w:rsidRDefault="008C1770" w:rsidP="00A05224">
      <w:pPr>
        <w:ind w:hanging="720"/>
      </w:pPr>
      <w:r w:rsidRPr="00141743">
        <w:t>Doyle, N. (2016) ‘The Earliest Known Uses of “</w:t>
      </w:r>
      <w:proofErr w:type="spellStart"/>
      <w:r w:rsidRPr="00141743">
        <w:t>L’Egyptomanie</w:t>
      </w:r>
      <w:proofErr w:type="spellEnd"/>
      <w:r w:rsidRPr="00141743">
        <w:t>”</w:t>
      </w:r>
      <w:proofErr w:type="gramStart"/>
      <w:r w:rsidRPr="00141743">
        <w:t>/”Egyptomania</w:t>
      </w:r>
      <w:proofErr w:type="gramEnd"/>
      <w:r w:rsidRPr="00141743">
        <w:t xml:space="preserve">” in French and English’, </w:t>
      </w:r>
      <w:r w:rsidRPr="00141743">
        <w:rPr>
          <w:i/>
          <w:iCs/>
        </w:rPr>
        <w:t xml:space="preserve">Journal of Ancient Egyptian Interconnections, </w:t>
      </w:r>
      <w:r w:rsidRPr="00141743">
        <w:t xml:space="preserve">8, pp. 122-125. </w:t>
      </w:r>
      <w:r w:rsidRPr="00A9121A">
        <w:t>http://jaei.library.arizona.edu/</w:t>
      </w:r>
      <w:r w:rsidRPr="00141743">
        <w:t xml:space="preserve"> [Accessed 18/06/2019].</w:t>
      </w:r>
    </w:p>
    <w:p w14:paraId="57D722F2" w14:textId="25DFA96B" w:rsidR="008C1770" w:rsidRDefault="008C1770" w:rsidP="00A05224">
      <w:pPr>
        <w:ind w:hanging="720"/>
      </w:pPr>
      <w:r>
        <w:t xml:space="preserve">Eaton-Krauss, M. (2016) </w:t>
      </w:r>
      <w:r w:rsidRPr="00086878">
        <w:rPr>
          <w:i/>
          <w:iCs/>
        </w:rPr>
        <w:t>The Unknown Tutankhamun</w:t>
      </w:r>
      <w:r>
        <w:t>. London; New York: Bloomsbury Academic</w:t>
      </w:r>
      <w:r w:rsidR="00911DE9">
        <w:t>.</w:t>
      </w:r>
    </w:p>
    <w:p w14:paraId="32146FC6" w14:textId="2C713DE4" w:rsidR="005E0442" w:rsidRDefault="005E0442" w:rsidP="00A05224">
      <w:pPr>
        <w:ind w:hanging="720"/>
      </w:pPr>
      <w:r w:rsidRPr="005E0442">
        <w:t xml:space="preserve">El-Akkad, T. (2017) ‘The Decline of Cairo Under the Ottomans’, </w:t>
      </w:r>
      <w:r w:rsidRPr="005E0442">
        <w:rPr>
          <w:i/>
          <w:iCs/>
        </w:rPr>
        <w:t>Art of the Orient</w:t>
      </w:r>
      <w:r w:rsidRPr="005E0442">
        <w:t>, 6. pp.76-86. Available at: https://crossasia-journals.ub.uni-heidelberg.de/index.php/ao/article/view/9063/8914 [Accessed: 01/12/2019]</w:t>
      </w:r>
      <w:r w:rsidR="00911DE9">
        <w:t>.</w:t>
      </w:r>
    </w:p>
    <w:p w14:paraId="6F72C2DF" w14:textId="0F6030BE" w:rsidR="008C1770" w:rsidRDefault="008C1770" w:rsidP="00A05224">
      <w:pPr>
        <w:ind w:hanging="720"/>
      </w:pPr>
      <w:r>
        <w:t xml:space="preserve">Encyclopaedia Britannica. (2018) </w:t>
      </w:r>
      <w:proofErr w:type="spellStart"/>
      <w:r w:rsidRPr="005E0442">
        <w:rPr>
          <w:i/>
          <w:iCs/>
        </w:rPr>
        <w:t>Diodorus</w:t>
      </w:r>
      <w:proofErr w:type="spellEnd"/>
      <w:r w:rsidRPr="005E0442">
        <w:rPr>
          <w:i/>
          <w:iCs/>
        </w:rPr>
        <w:t xml:space="preserve"> Siculus</w:t>
      </w:r>
      <w:r>
        <w:t xml:space="preserve">. Available at: </w:t>
      </w:r>
      <w:r w:rsidRPr="00A9121A">
        <w:t>https://www.britannica.com/biography/Diodorus-Siculus</w:t>
      </w:r>
      <w:r>
        <w:t xml:space="preserve"> [Accessed: 01/12/</w:t>
      </w:r>
      <w:r w:rsidR="005E0442">
        <w:t>20</w:t>
      </w:r>
      <w:r>
        <w:t>19]</w:t>
      </w:r>
      <w:r w:rsidR="00911DE9">
        <w:t>.</w:t>
      </w:r>
    </w:p>
    <w:p w14:paraId="20AACCF1" w14:textId="783AA57D" w:rsidR="008C1770" w:rsidRDefault="008C1770" w:rsidP="00A05224">
      <w:pPr>
        <w:ind w:hanging="720"/>
      </w:pPr>
      <w:r>
        <w:t xml:space="preserve">Encyclopaedia Britannica. (2019) </w:t>
      </w:r>
      <w:r w:rsidRPr="005E0442">
        <w:rPr>
          <w:i/>
          <w:iCs/>
        </w:rPr>
        <w:t>Giovanni Battista Belzoni</w:t>
      </w:r>
      <w:r>
        <w:t xml:space="preserve">. Available at: </w:t>
      </w:r>
      <w:r w:rsidRPr="00A9121A">
        <w:t>https://www.britannica.com/biography/Giovanni-Battista-Belzoni</w:t>
      </w:r>
      <w:r>
        <w:t xml:space="preserve"> [Accessed: 01/12/</w:t>
      </w:r>
      <w:r w:rsidR="005E0442">
        <w:t>20</w:t>
      </w:r>
      <w:r>
        <w:t>19]</w:t>
      </w:r>
      <w:r w:rsidR="00911DE9">
        <w:t>.</w:t>
      </w:r>
    </w:p>
    <w:p w14:paraId="5384EAA1" w14:textId="5CA61FCE" w:rsidR="008C1770" w:rsidRDefault="008C1770" w:rsidP="00A05224">
      <w:pPr>
        <w:ind w:hanging="720"/>
      </w:pPr>
      <w:r>
        <w:t>Encyclop</w:t>
      </w:r>
      <w:r w:rsidR="005E0442">
        <w:t>a</w:t>
      </w:r>
      <w:r>
        <w:t xml:space="preserve">edia Britannica. (2019) </w:t>
      </w:r>
      <w:r w:rsidRPr="005E0442">
        <w:rPr>
          <w:i/>
          <w:iCs/>
        </w:rPr>
        <w:t>Mehmed V</w:t>
      </w:r>
      <w:r>
        <w:t xml:space="preserve">. Available at: </w:t>
      </w:r>
      <w:r w:rsidRPr="00A9121A">
        <w:t>https://www.britannica.com/biography/Mehmed-V</w:t>
      </w:r>
      <w:r>
        <w:t xml:space="preserve"> [Accessed 22/03/</w:t>
      </w:r>
      <w:r w:rsidR="005E0442">
        <w:t>20</w:t>
      </w:r>
      <w:r>
        <w:t>20]</w:t>
      </w:r>
      <w:r w:rsidR="00911DE9">
        <w:t>.</w:t>
      </w:r>
    </w:p>
    <w:p w14:paraId="6C1F0ABC" w14:textId="0394C4DF" w:rsidR="00087117" w:rsidRDefault="00087117" w:rsidP="00087117">
      <w:pPr>
        <w:ind w:hanging="720"/>
      </w:pPr>
      <w:r>
        <w:t>Encyclopaedia Britannica. (2019) Mustafa al-</w:t>
      </w:r>
      <w:proofErr w:type="spellStart"/>
      <w:r>
        <w:t>Nahhas</w:t>
      </w:r>
      <w:proofErr w:type="spellEnd"/>
      <w:r>
        <w:t xml:space="preserve"> Pasha. Available at: </w:t>
      </w:r>
      <w:r w:rsidRPr="00087117">
        <w:t>https://www.britannica.com/biography/Mustafa-al-Nahhas-Pasha</w:t>
      </w:r>
      <w:r>
        <w:t xml:space="preserve"> [Accessed 01/05/2020]. </w:t>
      </w:r>
    </w:p>
    <w:p w14:paraId="2D29FB5B" w14:textId="02E1A241" w:rsidR="008C1770" w:rsidRDefault="008C1770" w:rsidP="00A05224">
      <w:pPr>
        <w:ind w:hanging="720"/>
      </w:pPr>
      <w:r>
        <w:t>Encyclop</w:t>
      </w:r>
      <w:r w:rsidR="005E0442">
        <w:t>a</w:t>
      </w:r>
      <w:r>
        <w:t xml:space="preserve">edia Britannica. (2020) </w:t>
      </w:r>
      <w:r w:rsidRPr="005E0442">
        <w:rPr>
          <w:i/>
          <w:iCs/>
        </w:rPr>
        <w:t>Imperialism</w:t>
      </w:r>
      <w:r>
        <w:t xml:space="preserve">. </w:t>
      </w:r>
      <w:r w:rsidR="00CF5AB7">
        <w:t>Available</w:t>
      </w:r>
      <w:r>
        <w:t xml:space="preserve"> at: </w:t>
      </w:r>
      <w:r w:rsidRPr="00A9121A">
        <w:t>https://www.britannica.com/topic/imperialism</w:t>
      </w:r>
      <w:r>
        <w:t xml:space="preserve"> [Accessed 22/03/</w:t>
      </w:r>
      <w:r w:rsidR="00CF5AB7">
        <w:t>20</w:t>
      </w:r>
      <w:r>
        <w:t>20]</w:t>
      </w:r>
      <w:r w:rsidR="00911DE9">
        <w:t>.</w:t>
      </w:r>
    </w:p>
    <w:p w14:paraId="155E00C3" w14:textId="251A3B35" w:rsidR="005E0442" w:rsidRDefault="00CF5AB7" w:rsidP="00A05224">
      <w:pPr>
        <w:ind w:hanging="720"/>
      </w:pPr>
      <w:r w:rsidRPr="00CF5AB7">
        <w:t xml:space="preserve">Encyclopaedia Britannica. (2020) </w:t>
      </w:r>
      <w:proofErr w:type="spellStart"/>
      <w:r w:rsidRPr="00CF5AB7">
        <w:rPr>
          <w:i/>
          <w:iCs/>
        </w:rPr>
        <w:t>Sa’id</w:t>
      </w:r>
      <w:proofErr w:type="spellEnd"/>
      <w:r w:rsidRPr="00CF5AB7">
        <w:rPr>
          <w:i/>
          <w:iCs/>
        </w:rPr>
        <w:t xml:space="preserve"> Pasha.</w:t>
      </w:r>
      <w:r w:rsidRPr="00CF5AB7">
        <w:t xml:space="preserve"> Available at: https://www.britannica.com/biography/Said-Pasha [Accessed 29/04/2020]</w:t>
      </w:r>
      <w:r w:rsidR="00911DE9">
        <w:t>.</w:t>
      </w:r>
    </w:p>
    <w:p w14:paraId="3E9C95DE" w14:textId="77777777" w:rsidR="008C1770" w:rsidRPr="00141743" w:rsidRDefault="008C1770" w:rsidP="00A05224">
      <w:pPr>
        <w:ind w:hanging="720"/>
      </w:pPr>
      <w:proofErr w:type="spellStart"/>
      <w:r w:rsidRPr="00141743">
        <w:t>Fritze</w:t>
      </w:r>
      <w:proofErr w:type="spellEnd"/>
      <w:r w:rsidRPr="00141743">
        <w:t xml:space="preserve">, R. H. (2016) </w:t>
      </w:r>
      <w:r w:rsidRPr="00141743">
        <w:rPr>
          <w:i/>
          <w:iCs/>
        </w:rPr>
        <w:t>Egyptomania: a history of fascination, obsession and fantasy</w:t>
      </w:r>
      <w:r w:rsidRPr="00141743">
        <w:t xml:space="preserve">. London: </w:t>
      </w:r>
      <w:proofErr w:type="spellStart"/>
      <w:r w:rsidRPr="00141743">
        <w:t>Reaktion</w:t>
      </w:r>
      <w:proofErr w:type="spellEnd"/>
      <w:r w:rsidRPr="00141743">
        <w:t xml:space="preserve"> Books. </w:t>
      </w:r>
    </w:p>
    <w:p w14:paraId="182E4E40" w14:textId="7A5E1E72" w:rsidR="008C1770" w:rsidRDefault="008C1770" w:rsidP="00A05224">
      <w:pPr>
        <w:ind w:hanging="720"/>
        <w:rPr>
          <w:rFonts w:cstheme="minorHAnsi"/>
        </w:rPr>
      </w:pPr>
      <w:r w:rsidRPr="00141743">
        <w:t xml:space="preserve">Fryxell, A. (2017) ‘Tutankhamen, Egyptomania, and Temporal Enchantment in Interwar Britain’, </w:t>
      </w:r>
      <w:r w:rsidRPr="00141743">
        <w:rPr>
          <w:i/>
          <w:iCs/>
        </w:rPr>
        <w:t xml:space="preserve">Twentieth Century British History, </w:t>
      </w:r>
      <w:r w:rsidRPr="00141743">
        <w:t xml:space="preserve">28(4), pp. 516-542, </w:t>
      </w:r>
      <w:r w:rsidRPr="00141743">
        <w:rPr>
          <w:rFonts w:cstheme="minorHAnsi"/>
        </w:rPr>
        <w:t>doi:10.1093/</w:t>
      </w:r>
      <w:proofErr w:type="spellStart"/>
      <w:r w:rsidRPr="00141743">
        <w:rPr>
          <w:rFonts w:cstheme="minorHAnsi"/>
        </w:rPr>
        <w:t>tcbh</w:t>
      </w:r>
      <w:proofErr w:type="spellEnd"/>
      <w:r w:rsidRPr="00141743">
        <w:rPr>
          <w:rFonts w:cstheme="minorHAnsi"/>
        </w:rPr>
        <w:t>/hwx056 [Accessed 27/07/2019]</w:t>
      </w:r>
      <w:r w:rsidR="00911DE9">
        <w:rPr>
          <w:rFonts w:cstheme="minorHAnsi"/>
        </w:rPr>
        <w:t>.</w:t>
      </w:r>
    </w:p>
    <w:p w14:paraId="437CB69B" w14:textId="16D8A7A6" w:rsidR="008C1770" w:rsidRDefault="008C1770" w:rsidP="00A05224">
      <w:pPr>
        <w:ind w:hanging="720"/>
      </w:pPr>
      <w:proofErr w:type="spellStart"/>
      <w:r>
        <w:t>Gange</w:t>
      </w:r>
      <w:proofErr w:type="spellEnd"/>
      <w:r>
        <w:t xml:space="preserve">, D. (2013) </w:t>
      </w:r>
      <w:r w:rsidRPr="00F5093F">
        <w:rPr>
          <w:i/>
          <w:iCs/>
        </w:rPr>
        <w:t>Dialogues with the Dead: Egyptology in British Culture and Religion, 1822 – 1922.</w:t>
      </w:r>
      <w:r>
        <w:t xml:space="preserve"> Oxford: Oxford University Press. </w:t>
      </w:r>
    </w:p>
    <w:p w14:paraId="10A4532A" w14:textId="07C2E31E" w:rsidR="00BE70E3" w:rsidRDefault="00BE70E3" w:rsidP="00BE70E3">
      <w:pPr>
        <w:ind w:hanging="720"/>
      </w:pPr>
      <w:r>
        <w:t xml:space="preserve">Geographic. (2010) </w:t>
      </w:r>
      <w:r w:rsidRPr="00BE70E3">
        <w:rPr>
          <w:i/>
          <w:iCs/>
        </w:rPr>
        <w:t>Europe Middle East Africa Large Printable Map.</w:t>
      </w:r>
      <w:r>
        <w:t xml:space="preserve"> Available at: </w:t>
      </w:r>
      <w:r w:rsidRPr="00BE70E3">
        <w:t>https://geographic.org/maps/new2/emea_large_map.html</w:t>
      </w:r>
      <w:r>
        <w:t xml:space="preserve"> [Accessed 30/04/2020]</w:t>
      </w:r>
      <w:r w:rsidR="00911DE9">
        <w:t>.</w:t>
      </w:r>
    </w:p>
    <w:p w14:paraId="2A6ED8FD" w14:textId="14A280CA" w:rsidR="008C1770" w:rsidRDefault="008C1770" w:rsidP="00A05224">
      <w:pPr>
        <w:ind w:hanging="720"/>
      </w:pPr>
      <w:r>
        <w:t xml:space="preserve">Giza Project at Harvard University. (2017) </w:t>
      </w:r>
      <w:r w:rsidRPr="00F5093F">
        <w:rPr>
          <w:i/>
          <w:iCs/>
        </w:rPr>
        <w:t xml:space="preserve">Pierre Lucien </w:t>
      </w:r>
      <w:proofErr w:type="spellStart"/>
      <w:r w:rsidRPr="00F5093F">
        <w:rPr>
          <w:i/>
          <w:iCs/>
        </w:rPr>
        <w:t>Lacau</w:t>
      </w:r>
      <w:proofErr w:type="spellEnd"/>
      <w:r>
        <w:t xml:space="preserve">. Available at: </w:t>
      </w:r>
      <w:r w:rsidRPr="00A9121A">
        <w:t>http://giza.fas.harvard.edu/modernpeople/1638/full/</w:t>
      </w:r>
      <w:r>
        <w:t xml:space="preserve"> [Accessed 21/03/</w:t>
      </w:r>
      <w:r w:rsidR="00F5093F">
        <w:t>20</w:t>
      </w:r>
      <w:r>
        <w:t>20]</w:t>
      </w:r>
      <w:r w:rsidR="00DF6C12">
        <w:t>.</w:t>
      </w:r>
    </w:p>
    <w:p w14:paraId="79872A70" w14:textId="66D6B1A6" w:rsidR="008C1770" w:rsidRDefault="008C1770" w:rsidP="00A05224">
      <w:pPr>
        <w:ind w:hanging="720"/>
      </w:pPr>
      <w:proofErr w:type="spellStart"/>
      <w:r>
        <w:t>Godechot</w:t>
      </w:r>
      <w:proofErr w:type="spellEnd"/>
      <w:r>
        <w:t xml:space="preserve">, J. (2019) </w:t>
      </w:r>
      <w:r w:rsidRPr="00F5093F">
        <w:rPr>
          <w:i/>
          <w:iCs/>
        </w:rPr>
        <w:t>Napoleon I</w:t>
      </w:r>
      <w:r>
        <w:t xml:space="preserve">. Available at: </w:t>
      </w:r>
      <w:r w:rsidRPr="00A9121A">
        <w:t>https://www.britannica.com/biography/Napoleon-I/Downfall-and-abdication</w:t>
      </w:r>
      <w:r>
        <w:t xml:space="preserve"> [Accessed: 01/12/</w:t>
      </w:r>
      <w:r w:rsidR="00F5093F">
        <w:t>20</w:t>
      </w:r>
      <w:r>
        <w:t>19]</w:t>
      </w:r>
      <w:r w:rsidR="00DF6C12">
        <w:t xml:space="preserve">. </w:t>
      </w:r>
    </w:p>
    <w:p w14:paraId="5174044C" w14:textId="6351FE73" w:rsidR="008C1770" w:rsidRDefault="008C1770" w:rsidP="00A05224">
      <w:pPr>
        <w:ind w:hanging="720"/>
      </w:pPr>
      <w:r>
        <w:t>Gorman, A. (20</w:t>
      </w:r>
      <w:r w:rsidR="004156DB">
        <w:t>05</w:t>
      </w:r>
      <w:r>
        <w:t xml:space="preserve">) </w:t>
      </w:r>
      <w:r w:rsidRPr="00F5093F">
        <w:rPr>
          <w:i/>
          <w:iCs/>
        </w:rPr>
        <w:t>Historians, State and Politics in 20</w:t>
      </w:r>
      <w:r w:rsidRPr="00F5093F">
        <w:rPr>
          <w:i/>
          <w:iCs/>
          <w:vertAlign w:val="superscript"/>
        </w:rPr>
        <w:t>th</w:t>
      </w:r>
      <w:r w:rsidRPr="00F5093F">
        <w:rPr>
          <w:i/>
          <w:iCs/>
        </w:rPr>
        <w:t xml:space="preserve"> Century Egypt: Contesting the Nation. </w:t>
      </w:r>
      <w:r>
        <w:t xml:space="preserve">London: Routledge. </w:t>
      </w:r>
    </w:p>
    <w:p w14:paraId="6AD5A9F4" w14:textId="393389DE" w:rsidR="008C1770" w:rsidRPr="00141743" w:rsidRDefault="008C1770" w:rsidP="00A05224">
      <w:pPr>
        <w:ind w:hanging="720"/>
        <w:rPr>
          <w:rFonts w:cstheme="minorHAnsi"/>
        </w:rPr>
      </w:pPr>
      <w:r>
        <w:rPr>
          <w:rFonts w:cstheme="minorHAnsi"/>
        </w:rPr>
        <w:lastRenderedPageBreak/>
        <w:t xml:space="preserve">Griffith Institute. (1922) </w:t>
      </w:r>
      <w:r>
        <w:rPr>
          <w:rFonts w:cstheme="minorHAnsi"/>
          <w:i/>
          <w:iCs/>
        </w:rPr>
        <w:t xml:space="preserve">Tutankhamun: Anatomy of an Excavation. Howard Carter’s diaries and journals. The first excavation season in the tomb of Tutankhamun. Part 1: October 28 to December 31, 1922. </w:t>
      </w:r>
      <w:r>
        <w:rPr>
          <w:rFonts w:cstheme="minorHAnsi"/>
        </w:rPr>
        <w:t xml:space="preserve">Available at: </w:t>
      </w:r>
      <w:r w:rsidRPr="00A9121A">
        <w:rPr>
          <w:rFonts w:cstheme="minorHAnsi"/>
        </w:rPr>
        <w:t>http://www.griffith.ox.ac.uk/gri/4sea1not.html</w:t>
      </w:r>
      <w:r>
        <w:rPr>
          <w:rFonts w:cstheme="minorHAnsi"/>
        </w:rPr>
        <w:t xml:space="preserve"> [Accessed 10/10/</w:t>
      </w:r>
      <w:r w:rsidR="00787ECE">
        <w:rPr>
          <w:rFonts w:cstheme="minorHAnsi"/>
        </w:rPr>
        <w:t>20</w:t>
      </w:r>
      <w:r>
        <w:rPr>
          <w:rFonts w:cstheme="minorHAnsi"/>
        </w:rPr>
        <w:t>19]</w:t>
      </w:r>
      <w:r w:rsidR="00DF6C12">
        <w:rPr>
          <w:rFonts w:cstheme="minorHAnsi"/>
        </w:rPr>
        <w:t>.</w:t>
      </w:r>
    </w:p>
    <w:p w14:paraId="21E5E762" w14:textId="77777777" w:rsidR="008C1770" w:rsidRDefault="008C1770" w:rsidP="00A05224">
      <w:pPr>
        <w:ind w:hanging="720"/>
      </w:pPr>
      <w:proofErr w:type="spellStart"/>
      <w:r w:rsidRPr="00141743">
        <w:t>Hawass</w:t>
      </w:r>
      <w:proofErr w:type="spellEnd"/>
      <w:r w:rsidRPr="00141743">
        <w:t xml:space="preserve">, Z. (2006) </w:t>
      </w:r>
      <w:r w:rsidRPr="00141743">
        <w:rPr>
          <w:i/>
          <w:iCs/>
        </w:rPr>
        <w:t>The golden king: the world of Tutankhamun</w:t>
      </w:r>
      <w:r w:rsidRPr="00141743">
        <w:t xml:space="preserve">. Cairo: American university in Cairo press. </w:t>
      </w:r>
    </w:p>
    <w:p w14:paraId="0BEA6A41" w14:textId="7CE2CCA4" w:rsidR="008C1770" w:rsidRDefault="008C1770" w:rsidP="00A05224">
      <w:pPr>
        <w:ind w:hanging="720"/>
      </w:pPr>
      <w:proofErr w:type="spellStart"/>
      <w:r>
        <w:t>Hawass</w:t>
      </w:r>
      <w:proofErr w:type="spellEnd"/>
      <w:r>
        <w:t xml:space="preserve">, Z. (2018) </w:t>
      </w:r>
      <w:r w:rsidRPr="00E77A31">
        <w:rPr>
          <w:i/>
          <w:iCs/>
        </w:rPr>
        <w:t>Tutankhamun: A Gift from the Boy King</w:t>
      </w:r>
      <w:r>
        <w:t xml:space="preserve">. New York: Melcher Media. </w:t>
      </w:r>
    </w:p>
    <w:p w14:paraId="23D19CC0" w14:textId="2EFE4533" w:rsidR="00D254E9" w:rsidRPr="00141743" w:rsidRDefault="00D254E9" w:rsidP="00D254E9">
      <w:pPr>
        <w:ind w:hanging="720"/>
      </w:pPr>
      <w:proofErr w:type="spellStart"/>
      <w:r w:rsidRPr="00FF366F">
        <w:t>Hawass</w:t>
      </w:r>
      <w:proofErr w:type="spellEnd"/>
      <w:r w:rsidRPr="00FF366F">
        <w:t xml:space="preserve">, Z., Gad, Y. Z., Ismail, S., </w:t>
      </w:r>
      <w:proofErr w:type="spellStart"/>
      <w:r w:rsidRPr="00FF366F">
        <w:t>Khairat</w:t>
      </w:r>
      <w:proofErr w:type="spellEnd"/>
      <w:r w:rsidRPr="00FF366F">
        <w:t xml:space="preserve">, R., </w:t>
      </w:r>
      <w:proofErr w:type="spellStart"/>
      <w:r w:rsidRPr="00FF366F">
        <w:t>Fathalla</w:t>
      </w:r>
      <w:proofErr w:type="spellEnd"/>
      <w:r w:rsidRPr="00FF366F">
        <w:t xml:space="preserve">, D., Hasan, N., Ahmed, A., </w:t>
      </w:r>
      <w:proofErr w:type="spellStart"/>
      <w:r w:rsidRPr="00FF366F">
        <w:t>Elleithy</w:t>
      </w:r>
      <w:proofErr w:type="spellEnd"/>
      <w:r w:rsidRPr="00FF366F">
        <w:t xml:space="preserve">, H., Ball, M., </w:t>
      </w:r>
      <w:proofErr w:type="spellStart"/>
      <w:r w:rsidRPr="00FF366F">
        <w:t>Gaballah</w:t>
      </w:r>
      <w:proofErr w:type="spellEnd"/>
      <w:r w:rsidRPr="00FF366F">
        <w:t xml:space="preserve">, F., </w:t>
      </w:r>
      <w:proofErr w:type="spellStart"/>
      <w:r w:rsidRPr="00FF366F">
        <w:t>Wasef</w:t>
      </w:r>
      <w:proofErr w:type="spellEnd"/>
      <w:r w:rsidRPr="00FF366F">
        <w:t xml:space="preserve">, S., </w:t>
      </w:r>
      <w:proofErr w:type="spellStart"/>
      <w:r w:rsidRPr="00FF366F">
        <w:t>Fateen</w:t>
      </w:r>
      <w:proofErr w:type="spellEnd"/>
      <w:r w:rsidRPr="00FF366F">
        <w:t xml:space="preserve">, M., Amer, H., </w:t>
      </w:r>
      <w:proofErr w:type="spellStart"/>
      <w:r w:rsidRPr="00FF366F">
        <w:t>Gostner</w:t>
      </w:r>
      <w:proofErr w:type="spellEnd"/>
      <w:r w:rsidRPr="00FF366F">
        <w:t xml:space="preserve">, P., Selim, A., Zink, A., and </w:t>
      </w:r>
      <w:proofErr w:type="spellStart"/>
      <w:r w:rsidRPr="00FF366F">
        <w:t>Pusch</w:t>
      </w:r>
      <w:proofErr w:type="spellEnd"/>
      <w:r w:rsidRPr="00FF366F">
        <w:t xml:space="preserve">, C. (2010) ‘Ancestry and Pathology in King Tutankhamun Family’, </w:t>
      </w:r>
      <w:r w:rsidRPr="00FF366F">
        <w:rPr>
          <w:i/>
          <w:iCs/>
        </w:rPr>
        <w:t>JAMA</w:t>
      </w:r>
      <w:r w:rsidRPr="00FF366F">
        <w:t>, 303 (7), pp. 638-647</w:t>
      </w:r>
      <w:r w:rsidRPr="00FF366F">
        <w:rPr>
          <w:rFonts w:cstheme="minorHAnsi"/>
          <w:color w:val="000000" w:themeColor="text1"/>
        </w:rPr>
        <w:t xml:space="preserve">. DOI: </w:t>
      </w:r>
      <w:r w:rsidRPr="00FF366F">
        <w:rPr>
          <w:rFonts w:cstheme="minorHAnsi"/>
          <w:color w:val="000000" w:themeColor="text1"/>
          <w:shd w:val="clear" w:color="auto" w:fill="FFFFFF"/>
        </w:rPr>
        <w:t>10.1001/jama.2010.121</w:t>
      </w:r>
      <w:r w:rsidRPr="00FF366F">
        <w:rPr>
          <w:color w:val="000000" w:themeColor="text1"/>
        </w:rPr>
        <w:t xml:space="preserve"> [Accessed 30/04/2020]</w:t>
      </w:r>
      <w:r w:rsidR="00751D24">
        <w:rPr>
          <w:color w:val="000000" w:themeColor="text1"/>
        </w:rPr>
        <w:t>.</w:t>
      </w:r>
    </w:p>
    <w:p w14:paraId="3AFAF650" w14:textId="6BB192E3" w:rsidR="008C1770" w:rsidRDefault="008C1770" w:rsidP="00A05224">
      <w:pPr>
        <w:ind w:hanging="720"/>
      </w:pPr>
      <w:r>
        <w:t>Higgins, C. (2007</w:t>
      </w:r>
      <w:r w:rsidRPr="00787ECE">
        <w:rPr>
          <w:i/>
          <w:iCs/>
        </w:rPr>
        <w:t xml:space="preserve">) After a </w:t>
      </w:r>
      <w:proofErr w:type="gramStart"/>
      <w:r w:rsidRPr="00787ECE">
        <w:rPr>
          <w:i/>
          <w:iCs/>
        </w:rPr>
        <w:t>35 year</w:t>
      </w:r>
      <w:proofErr w:type="gramEnd"/>
      <w:r w:rsidRPr="00787ECE">
        <w:rPr>
          <w:i/>
          <w:iCs/>
        </w:rPr>
        <w:t xml:space="preserve"> wait, Tutankhamun makes a golden, glittering return.</w:t>
      </w:r>
      <w:r>
        <w:t xml:space="preserve"> Available at: </w:t>
      </w:r>
      <w:proofErr w:type="gramStart"/>
      <w:r w:rsidRPr="00A9121A">
        <w:t>https://www.theguardian.com/uk/2007/mar/13/topstories3.artnews</w:t>
      </w:r>
      <w:r>
        <w:t xml:space="preserve">  [</w:t>
      </w:r>
      <w:proofErr w:type="gramEnd"/>
      <w:r>
        <w:t>Accessed 02/12/</w:t>
      </w:r>
      <w:r w:rsidR="00787ECE">
        <w:t>20</w:t>
      </w:r>
      <w:r>
        <w:t>19]</w:t>
      </w:r>
      <w:r w:rsidR="00751D24">
        <w:t>.</w:t>
      </w:r>
    </w:p>
    <w:p w14:paraId="48C82577" w14:textId="0725F49E" w:rsidR="008C1770" w:rsidRDefault="008C1770" w:rsidP="00A05224">
      <w:pPr>
        <w:ind w:hanging="720"/>
      </w:pPr>
      <w:r>
        <w:t xml:space="preserve">Hindley, M. (2015) </w:t>
      </w:r>
      <w:r w:rsidRPr="00787ECE">
        <w:rPr>
          <w:i/>
          <w:iCs/>
        </w:rPr>
        <w:t>King Tut: A Classic Blockbuster Museum Exhibition that began as a diplomatic gesture</w:t>
      </w:r>
      <w:r>
        <w:t xml:space="preserve">. Available at: </w:t>
      </w:r>
      <w:r w:rsidRPr="00A9121A">
        <w:t>https://www.neh.gov/humanities/2015/septemberoctober/feature/king-tut-classic-blockbuster-museum-exhibition-began-diplom</w:t>
      </w:r>
      <w:r>
        <w:t xml:space="preserve"> [Accessed 02/12/</w:t>
      </w:r>
      <w:r w:rsidR="00787ECE">
        <w:t>20</w:t>
      </w:r>
      <w:r>
        <w:t>19]</w:t>
      </w:r>
      <w:r w:rsidR="00751D24">
        <w:t xml:space="preserve">. </w:t>
      </w:r>
    </w:p>
    <w:p w14:paraId="41522E3B" w14:textId="77777777" w:rsidR="008C1770" w:rsidRPr="00141743" w:rsidRDefault="008C1770" w:rsidP="00A05224">
      <w:pPr>
        <w:ind w:hanging="720"/>
      </w:pPr>
      <w:r w:rsidRPr="00141743">
        <w:t xml:space="preserve">Hollman, O. G. (2019) </w:t>
      </w:r>
      <w:r w:rsidRPr="00141743">
        <w:rPr>
          <w:i/>
          <w:iCs/>
        </w:rPr>
        <w:t>Coping Through Curse: Confronting British Metropolitan Identity Through The “Curse of Tutankhamen” (1923-1933</w:t>
      </w:r>
      <w:r w:rsidRPr="00141743">
        <w:t>). Unpublished PhD thesis, University of Kansas.</w:t>
      </w:r>
    </w:p>
    <w:p w14:paraId="08C46BC6" w14:textId="13E79111" w:rsidR="008C1770" w:rsidRDefault="008C1770" w:rsidP="00A05224">
      <w:pPr>
        <w:ind w:hanging="720"/>
      </w:pPr>
      <w:r w:rsidRPr="00141743">
        <w:t xml:space="preserve">Ikram, S. (2010) </w:t>
      </w:r>
      <w:r w:rsidRPr="00141743">
        <w:rPr>
          <w:i/>
          <w:iCs/>
        </w:rPr>
        <w:t>Ancient Egypt: an introduction</w:t>
      </w:r>
      <w:r w:rsidRPr="00141743">
        <w:t xml:space="preserve">. New York: Cambridge University Press. </w:t>
      </w:r>
    </w:p>
    <w:p w14:paraId="35B4F08C" w14:textId="48BD9D7B" w:rsidR="009E1F21" w:rsidRDefault="009E1F21" w:rsidP="009E1F21">
      <w:pPr>
        <w:ind w:hanging="720"/>
      </w:pPr>
      <w:r>
        <w:t xml:space="preserve">Ivanovic, M. (2008) </w:t>
      </w:r>
      <w:r w:rsidRPr="009E1F21">
        <w:rPr>
          <w:i/>
          <w:iCs/>
        </w:rPr>
        <w:t>Cultural Tourism</w:t>
      </w:r>
      <w:r>
        <w:t xml:space="preserve">. Cape Town: Juta and Company Ltd. Available at: </w:t>
      </w:r>
      <w:r w:rsidRPr="009E1F21">
        <w:t>https://books.google.co.uk/books?id=fZ6Wb8AptvYC&amp;pg=PP186&amp;lpg=PP186&amp;dq=tutankhamun+tour+2004&amp;source=bl&amp;ots=ytGAAJ4atm&amp;sig=ACfU3U0TTwbxs7QwQpV8z_8xe8uZnKjUuw&amp;hl=en&amp;sa=X&amp;ved=2ahUKEwj3ktD5u5LpAhVzqHEKHbMXAYM4ChDoATABegQIChAB#v=onepage&amp;q=tutankhamun%20tour%202004&amp;f=false</w:t>
      </w:r>
      <w:r>
        <w:t xml:space="preserve"> [Accessed 01/05/2020].</w:t>
      </w:r>
    </w:p>
    <w:p w14:paraId="31EE93FE" w14:textId="77777777" w:rsidR="0017213F" w:rsidRPr="00CF15EC" w:rsidRDefault="0017213F" w:rsidP="0017213F">
      <w:pPr>
        <w:ind w:hanging="720"/>
      </w:pPr>
      <w:r>
        <w:t xml:space="preserve">James, T.G.H. (2001) ‘The Tomb of Tutankhamun’, in Weeks, K. R and De Luca, A. (eds.) </w:t>
      </w:r>
      <w:r w:rsidRPr="00C52218">
        <w:rPr>
          <w:i/>
          <w:iCs/>
        </w:rPr>
        <w:t>The Treasures of the Valley of the Kings: tombs and temples of the Theban West Bank in Luxor</w:t>
      </w:r>
      <w:r>
        <w:t>. Cairo: The American University in Cairo Press.</w:t>
      </w:r>
    </w:p>
    <w:p w14:paraId="7C032245" w14:textId="77777777" w:rsidR="008C1770" w:rsidRPr="00141743" w:rsidRDefault="008C1770" w:rsidP="00A05224">
      <w:pPr>
        <w:ind w:hanging="720"/>
      </w:pPr>
      <w:r w:rsidRPr="00141743">
        <w:t xml:space="preserve">Jankowski, J. P. (2000) </w:t>
      </w:r>
      <w:r w:rsidRPr="00141743">
        <w:rPr>
          <w:i/>
          <w:iCs/>
        </w:rPr>
        <w:t>Egypt: a short history</w:t>
      </w:r>
      <w:r w:rsidRPr="00141743">
        <w:t xml:space="preserve">. Oxford: </w:t>
      </w:r>
      <w:proofErr w:type="spellStart"/>
      <w:r w:rsidRPr="00141743">
        <w:t>Oneworld</w:t>
      </w:r>
      <w:proofErr w:type="spellEnd"/>
      <w:r w:rsidRPr="00141743">
        <w:t xml:space="preserve">. </w:t>
      </w:r>
    </w:p>
    <w:p w14:paraId="1F46BC36" w14:textId="0B92A3F4" w:rsidR="008C1770" w:rsidRPr="00141743" w:rsidRDefault="008C1770" w:rsidP="00A05224">
      <w:pPr>
        <w:ind w:hanging="720"/>
        <w:rPr>
          <w:rFonts w:cstheme="minorHAnsi"/>
        </w:rPr>
      </w:pPr>
      <w:proofErr w:type="spellStart"/>
      <w:r w:rsidRPr="00141743">
        <w:rPr>
          <w:rFonts w:cstheme="minorHAnsi"/>
        </w:rPr>
        <w:t>Janot</w:t>
      </w:r>
      <w:proofErr w:type="spellEnd"/>
      <w:r w:rsidRPr="00141743">
        <w:rPr>
          <w:rFonts w:cstheme="minorHAnsi"/>
        </w:rPr>
        <w:t xml:space="preserve">, F. (2010) </w:t>
      </w:r>
      <w:r w:rsidRPr="00141743">
        <w:rPr>
          <w:rFonts w:cstheme="minorHAnsi"/>
          <w:i/>
          <w:iCs/>
        </w:rPr>
        <w:t>The Royal Mummies Immortality in ancient Egypt.</w:t>
      </w:r>
      <w:r w:rsidRPr="00141743">
        <w:rPr>
          <w:rFonts w:cstheme="minorHAnsi"/>
        </w:rPr>
        <w:t xml:space="preserve"> </w:t>
      </w:r>
      <w:r w:rsidR="003F2F1D">
        <w:rPr>
          <w:rFonts w:cstheme="minorHAnsi"/>
        </w:rPr>
        <w:t xml:space="preserve">Cairo: </w:t>
      </w:r>
      <w:r w:rsidRPr="00141743">
        <w:rPr>
          <w:rFonts w:cstheme="minorHAnsi"/>
        </w:rPr>
        <w:t xml:space="preserve">The American University in Cairo Press. </w:t>
      </w:r>
    </w:p>
    <w:p w14:paraId="77AF22EE" w14:textId="77777777" w:rsidR="008C1770" w:rsidRPr="00141743" w:rsidRDefault="008C1770" w:rsidP="00A05224">
      <w:pPr>
        <w:ind w:hanging="720"/>
      </w:pPr>
      <w:r w:rsidRPr="00141743">
        <w:t xml:space="preserve">Jeffreys, D. G. (2003) </w:t>
      </w:r>
      <w:r w:rsidRPr="00141743">
        <w:rPr>
          <w:i/>
          <w:iCs/>
        </w:rPr>
        <w:t>Views of ancient Egypt since Napoleon Bonaparte imperialism, colonialism and modern appropriations</w:t>
      </w:r>
      <w:r w:rsidRPr="00141743">
        <w:t>. London: UCL Press London.</w:t>
      </w:r>
    </w:p>
    <w:p w14:paraId="14DBF0F6" w14:textId="3CDFFEA7" w:rsidR="008C1770" w:rsidRDefault="008C1770" w:rsidP="00A05224">
      <w:pPr>
        <w:ind w:hanging="720"/>
      </w:pPr>
      <w:r>
        <w:t xml:space="preserve">Johnson, B. (N.D) </w:t>
      </w:r>
      <w:r w:rsidRPr="00A04972">
        <w:rPr>
          <w:i/>
          <w:iCs/>
        </w:rPr>
        <w:t>The 1920’s in Britain</w:t>
      </w:r>
      <w:r>
        <w:t xml:space="preserve">. Available at: </w:t>
      </w:r>
      <w:r w:rsidRPr="00A9121A">
        <w:t>https://www.historic-uk.com/HistoryUK/HistoryofBritain/The-1920s-in-Britain/</w:t>
      </w:r>
      <w:r>
        <w:t xml:space="preserve"> [Accessed 22/03/</w:t>
      </w:r>
      <w:r w:rsidR="00A04972">
        <w:t>20</w:t>
      </w:r>
      <w:r>
        <w:t>20]</w:t>
      </w:r>
      <w:r w:rsidR="009013AC">
        <w:t xml:space="preserve">. </w:t>
      </w:r>
    </w:p>
    <w:p w14:paraId="54B7C171" w14:textId="1D79C4EC" w:rsidR="008C1770" w:rsidRDefault="008C1770" w:rsidP="00A05224">
      <w:pPr>
        <w:ind w:hanging="720"/>
      </w:pPr>
      <w:r>
        <w:t xml:space="preserve">Jones, J. (2019) ‘Tutankhamun review – thrills and fun as King Tut gets the Hollywood treatment’, </w:t>
      </w:r>
      <w:r w:rsidRPr="00134FF0">
        <w:rPr>
          <w:i/>
          <w:iCs/>
        </w:rPr>
        <w:t>The Guardian</w:t>
      </w:r>
      <w:r>
        <w:t>, 1</w:t>
      </w:r>
      <w:r w:rsidRPr="002503C7">
        <w:rPr>
          <w:vertAlign w:val="superscript"/>
        </w:rPr>
        <w:t>st</w:t>
      </w:r>
      <w:r>
        <w:t xml:space="preserve"> November, P.13</w:t>
      </w:r>
      <w:r w:rsidR="004176E6">
        <w:t>.</w:t>
      </w:r>
    </w:p>
    <w:p w14:paraId="2884EF1C" w14:textId="77777777" w:rsidR="008C1770" w:rsidRPr="00141743" w:rsidRDefault="008C1770" w:rsidP="00A05224">
      <w:pPr>
        <w:ind w:hanging="720"/>
        <w:rPr>
          <w:rFonts w:cstheme="minorHAnsi"/>
        </w:rPr>
      </w:pPr>
      <w:proofErr w:type="spellStart"/>
      <w:r w:rsidRPr="00141743">
        <w:rPr>
          <w:rFonts w:cstheme="minorHAnsi"/>
        </w:rPr>
        <w:t>Kozloff</w:t>
      </w:r>
      <w:proofErr w:type="spellEnd"/>
      <w:r w:rsidRPr="00141743">
        <w:rPr>
          <w:rFonts w:cstheme="minorHAnsi"/>
        </w:rPr>
        <w:t xml:space="preserve">, A. P. (2008) ‘Ancient Egypt in Museums Today’, in Wilkinson, R. H. (ed.) </w:t>
      </w:r>
      <w:r w:rsidRPr="00141743">
        <w:rPr>
          <w:rFonts w:cstheme="minorHAnsi"/>
          <w:i/>
          <w:iCs/>
        </w:rPr>
        <w:t xml:space="preserve">Egyptology Today. </w:t>
      </w:r>
      <w:r w:rsidRPr="00141743">
        <w:rPr>
          <w:rFonts w:cstheme="minorHAnsi"/>
        </w:rPr>
        <w:t>New York: Cambridge University Press.</w:t>
      </w:r>
    </w:p>
    <w:p w14:paraId="0ED5BD99" w14:textId="638460C8" w:rsidR="008C1770" w:rsidRDefault="008C1770" w:rsidP="00A05224">
      <w:pPr>
        <w:ind w:hanging="720"/>
      </w:pPr>
      <w:proofErr w:type="spellStart"/>
      <w:r>
        <w:t>Lexico</w:t>
      </w:r>
      <w:proofErr w:type="spellEnd"/>
      <w:r>
        <w:t>. (N.D)</w:t>
      </w:r>
      <w:r w:rsidRPr="00A04972">
        <w:rPr>
          <w:i/>
          <w:iCs/>
        </w:rPr>
        <w:t xml:space="preserve"> Westerner</w:t>
      </w:r>
      <w:r>
        <w:t xml:space="preserve">. Available at: </w:t>
      </w:r>
      <w:r w:rsidRPr="00A9121A">
        <w:t>https://www.lexico.com/en/definition/westerner</w:t>
      </w:r>
      <w:r>
        <w:t xml:space="preserve"> [Accessed 03/12/</w:t>
      </w:r>
      <w:r w:rsidR="00A04972">
        <w:t>20</w:t>
      </w:r>
      <w:r>
        <w:t>19]</w:t>
      </w:r>
      <w:r w:rsidR="004176E6">
        <w:t>.</w:t>
      </w:r>
    </w:p>
    <w:p w14:paraId="38D74171" w14:textId="701F2192" w:rsidR="008C1770" w:rsidRDefault="008C1770" w:rsidP="00A05224">
      <w:pPr>
        <w:ind w:hanging="720"/>
      </w:pPr>
      <w:r>
        <w:lastRenderedPageBreak/>
        <w:t xml:space="preserve">Majestic Tours. (2019) </w:t>
      </w:r>
      <w:r w:rsidRPr="00A04972">
        <w:rPr>
          <w:i/>
          <w:iCs/>
        </w:rPr>
        <w:t>Tutankhamun Exhibition with Majestic Tours Nov 2019 – May 2020</w:t>
      </w:r>
      <w:r>
        <w:t>. Available at</w:t>
      </w:r>
      <w:r w:rsidR="004176E6">
        <w:t xml:space="preserve">: </w:t>
      </w:r>
      <w:r w:rsidRPr="00A9121A">
        <w:t>https://www.bing.com/videos/search?q=tutankhamun+exhibition+2019&amp;&amp;view=detail&amp;mid=70B18F092A2D0BFAD24B70B18F092A2D0BFAD24B&amp;&amp;FORM=VRDGAR</w:t>
      </w:r>
      <w:r>
        <w:t xml:space="preserve"> [Accessed 08/12/</w:t>
      </w:r>
      <w:r w:rsidR="00A04972">
        <w:t>20</w:t>
      </w:r>
      <w:r>
        <w:t>19]</w:t>
      </w:r>
      <w:r w:rsidR="004176E6">
        <w:t>.</w:t>
      </w:r>
    </w:p>
    <w:p w14:paraId="34F661FF" w14:textId="4D357096" w:rsidR="008C1770" w:rsidRDefault="008C1770" w:rsidP="00A05224">
      <w:pPr>
        <w:ind w:hanging="720"/>
      </w:pPr>
      <w:r>
        <w:t xml:space="preserve">Malek, J. (2009) </w:t>
      </w:r>
      <w:r w:rsidRPr="00A04972">
        <w:rPr>
          <w:i/>
          <w:iCs/>
        </w:rPr>
        <w:t>Some thoughts inspired by a current exhibition: ‘Tutankhamun: His Tomb and Treasures’</w:t>
      </w:r>
      <w:r>
        <w:t xml:space="preserve">. Available at: </w:t>
      </w:r>
      <w:r w:rsidRPr="00A9121A">
        <w:t>http://www.griffith.ox.ac.uk/gri/4semmel.html</w:t>
      </w:r>
      <w:r>
        <w:t xml:space="preserve"> [Accessed 08/12/</w:t>
      </w:r>
      <w:r w:rsidR="00A04972">
        <w:t>20</w:t>
      </w:r>
      <w:r>
        <w:t>19]</w:t>
      </w:r>
      <w:r w:rsidR="00DD3520">
        <w:t>.</w:t>
      </w:r>
    </w:p>
    <w:p w14:paraId="6B1A3439" w14:textId="77777777" w:rsidR="008C1770" w:rsidRPr="00557BF0" w:rsidRDefault="008C1770" w:rsidP="00A05224">
      <w:pPr>
        <w:ind w:hanging="720"/>
      </w:pPr>
      <w:r w:rsidRPr="00557BF0">
        <w:t>Marlow</w:t>
      </w:r>
      <w:r>
        <w:t>e</w:t>
      </w:r>
      <w:r w:rsidRPr="00557BF0">
        <w:t xml:space="preserve">, J. (1974) </w:t>
      </w:r>
      <w:r w:rsidRPr="00A04972">
        <w:rPr>
          <w:i/>
          <w:iCs/>
        </w:rPr>
        <w:t>Spoiling the Egyptians</w:t>
      </w:r>
      <w:r w:rsidRPr="00557BF0">
        <w:t xml:space="preserve">. London: Deutsch. </w:t>
      </w:r>
    </w:p>
    <w:p w14:paraId="67525E93" w14:textId="4CDAB66F" w:rsidR="008C1770" w:rsidRDefault="008C1770" w:rsidP="00A05224">
      <w:pPr>
        <w:ind w:hanging="720"/>
      </w:pPr>
      <w:r w:rsidRPr="00141743">
        <w:t xml:space="preserve">Matthews, R., Roemer, C. </w:t>
      </w:r>
      <w:r w:rsidR="00CD2A95">
        <w:t xml:space="preserve">and </w:t>
      </w:r>
      <w:r w:rsidRPr="00141743">
        <w:t xml:space="preserve">University College London. (2003) </w:t>
      </w:r>
      <w:r w:rsidRPr="00141743">
        <w:rPr>
          <w:i/>
          <w:iCs/>
        </w:rPr>
        <w:t>Ancient perspectives on Egypt</w:t>
      </w:r>
      <w:r w:rsidRPr="00141743">
        <w:t>. London: UCL Press.</w:t>
      </w:r>
    </w:p>
    <w:p w14:paraId="5E030E95" w14:textId="77777777" w:rsidR="008C1770" w:rsidRPr="00141743" w:rsidRDefault="008C1770" w:rsidP="00A05224">
      <w:pPr>
        <w:ind w:hanging="720"/>
      </w:pPr>
      <w:proofErr w:type="spellStart"/>
      <w:r w:rsidRPr="00141743">
        <w:t>Meskell</w:t>
      </w:r>
      <w:proofErr w:type="spellEnd"/>
      <w:r w:rsidRPr="00141743">
        <w:t xml:space="preserve">, L. M. (2004) </w:t>
      </w:r>
      <w:r w:rsidRPr="00141743">
        <w:rPr>
          <w:i/>
          <w:iCs/>
        </w:rPr>
        <w:t>Object worlds in ancient Egypt: material biographies past and present</w:t>
      </w:r>
      <w:r w:rsidRPr="00141743">
        <w:t xml:space="preserve">. Oxford: Berg. </w:t>
      </w:r>
    </w:p>
    <w:p w14:paraId="36535A86" w14:textId="4C681A02" w:rsidR="008C1770" w:rsidRDefault="008C1770" w:rsidP="00A05224">
      <w:pPr>
        <w:ind w:hanging="720"/>
      </w:pPr>
      <w:proofErr w:type="spellStart"/>
      <w:r>
        <w:t>Miscevic</w:t>
      </w:r>
      <w:proofErr w:type="spellEnd"/>
      <w:r>
        <w:t xml:space="preserve">, N. (2014) </w:t>
      </w:r>
      <w:r w:rsidRPr="00A04972">
        <w:rPr>
          <w:i/>
          <w:iCs/>
        </w:rPr>
        <w:t>Nationalism.</w:t>
      </w:r>
      <w:r>
        <w:t xml:space="preserve"> Available at: </w:t>
      </w:r>
      <w:r w:rsidRPr="00A9121A">
        <w:t>https://plato.stanford.edu/entries/nationalism/</w:t>
      </w:r>
      <w:r>
        <w:t xml:space="preserve"> [Accessed 23/03/</w:t>
      </w:r>
      <w:r w:rsidR="00A04972">
        <w:t>20</w:t>
      </w:r>
      <w:r>
        <w:t>20]</w:t>
      </w:r>
      <w:r w:rsidR="00C03425">
        <w:t xml:space="preserve">. </w:t>
      </w:r>
    </w:p>
    <w:p w14:paraId="36C48BD7" w14:textId="77777777" w:rsidR="008C1770" w:rsidRPr="00141743" w:rsidRDefault="008C1770" w:rsidP="00A05224">
      <w:pPr>
        <w:ind w:hanging="720"/>
      </w:pPr>
      <w:r w:rsidRPr="00141743">
        <w:t xml:space="preserve">Moser, S. (2012) </w:t>
      </w:r>
      <w:r w:rsidRPr="00141743">
        <w:rPr>
          <w:i/>
          <w:iCs/>
        </w:rPr>
        <w:t>Wondrous curiosities: ancient Egypt at the British Museum</w:t>
      </w:r>
      <w:r w:rsidRPr="00141743">
        <w:t>. Chicago: University of Chicago Press.</w:t>
      </w:r>
    </w:p>
    <w:p w14:paraId="2D3583AF" w14:textId="209B8E70" w:rsidR="008C1770" w:rsidRDefault="008C1770" w:rsidP="00A05224">
      <w:pPr>
        <w:ind w:hanging="720"/>
      </w:pPr>
      <w:r>
        <w:t xml:space="preserve">Napoleon.org (2019) </w:t>
      </w:r>
      <w:r w:rsidRPr="00A04972">
        <w:rPr>
          <w:i/>
          <w:iCs/>
        </w:rPr>
        <w:t>The ‘</w:t>
      </w:r>
      <w:proofErr w:type="spellStart"/>
      <w:r w:rsidRPr="00A04972">
        <w:rPr>
          <w:i/>
          <w:iCs/>
        </w:rPr>
        <w:t>Institue</w:t>
      </w:r>
      <w:proofErr w:type="spellEnd"/>
      <w:r w:rsidRPr="00A04972">
        <w:rPr>
          <w:i/>
          <w:iCs/>
        </w:rPr>
        <w:t xml:space="preserve"> </w:t>
      </w:r>
      <w:proofErr w:type="spellStart"/>
      <w:r w:rsidRPr="00A04972">
        <w:rPr>
          <w:i/>
          <w:iCs/>
        </w:rPr>
        <w:t>D’Egypte</w:t>
      </w:r>
      <w:proofErr w:type="spellEnd"/>
      <w:r w:rsidRPr="00A04972">
        <w:rPr>
          <w:i/>
          <w:iCs/>
        </w:rPr>
        <w:t xml:space="preserve">’ and the Description De </w:t>
      </w:r>
      <w:proofErr w:type="spellStart"/>
      <w:r w:rsidRPr="00A04972">
        <w:rPr>
          <w:i/>
          <w:iCs/>
        </w:rPr>
        <w:t>L’Egypte</w:t>
      </w:r>
      <w:proofErr w:type="spellEnd"/>
      <w:r>
        <w:t xml:space="preserve">. Available at: </w:t>
      </w:r>
      <w:r w:rsidRPr="00A9121A">
        <w:t>https://www.napoleon.org/en/history-of-the-two-empires/articles/the-institut-degypte-and-the-description-de-legypte/</w:t>
      </w:r>
      <w:r>
        <w:t xml:space="preserve"> [Accessed 03/12/</w:t>
      </w:r>
      <w:r w:rsidR="00A04972">
        <w:t>20</w:t>
      </w:r>
      <w:r>
        <w:t>19]</w:t>
      </w:r>
      <w:r w:rsidR="00C03425">
        <w:t>.</w:t>
      </w:r>
    </w:p>
    <w:p w14:paraId="79099C79" w14:textId="0AB42041" w:rsidR="008C1770" w:rsidRDefault="008C1770" w:rsidP="00A05224">
      <w:pPr>
        <w:ind w:hanging="720"/>
      </w:pPr>
      <w:r>
        <w:t xml:space="preserve">National Library of Australia. (N.D) </w:t>
      </w:r>
      <w:r w:rsidRPr="00A04972">
        <w:rPr>
          <w:i/>
          <w:iCs/>
        </w:rPr>
        <w:t>The Murder of Sir Lee Stack</w:t>
      </w:r>
      <w:r>
        <w:t xml:space="preserve">. Available at: </w:t>
      </w:r>
      <w:r w:rsidRPr="00A9121A">
        <w:t>https://trove.nla.gov.au/newspaper/article/43252445</w:t>
      </w:r>
      <w:r>
        <w:t xml:space="preserve"> [Accessed 29/01/</w:t>
      </w:r>
      <w:r w:rsidR="00A04972">
        <w:t>20</w:t>
      </w:r>
      <w:r>
        <w:t>20]</w:t>
      </w:r>
      <w:r w:rsidR="00C03425">
        <w:t>.</w:t>
      </w:r>
    </w:p>
    <w:p w14:paraId="00C4CE3D" w14:textId="168B4C8B" w:rsidR="008C1770" w:rsidRDefault="008C1770" w:rsidP="00A05224">
      <w:pPr>
        <w:ind w:hanging="720"/>
        <w:rPr>
          <w:rFonts w:cstheme="minorHAnsi"/>
        </w:rPr>
      </w:pPr>
      <w:r>
        <w:rPr>
          <w:rFonts w:cstheme="minorHAnsi"/>
        </w:rPr>
        <w:t xml:space="preserve">Parkinson, B. R. (2008) ‘Tutankhamen on Trial: Egyptian Nationalism and the Court Case for the Pharaoh’s Artifacts’, </w:t>
      </w:r>
      <w:r w:rsidRPr="00A04972">
        <w:rPr>
          <w:rFonts w:cstheme="minorHAnsi"/>
          <w:i/>
          <w:iCs/>
        </w:rPr>
        <w:t xml:space="preserve">Journal of the American Research </w:t>
      </w:r>
      <w:r w:rsidR="00C03425" w:rsidRPr="00A04972">
        <w:rPr>
          <w:rFonts w:cstheme="minorHAnsi"/>
          <w:i/>
          <w:iCs/>
        </w:rPr>
        <w:t>Centre</w:t>
      </w:r>
      <w:r w:rsidRPr="00A04972">
        <w:rPr>
          <w:rFonts w:cstheme="minorHAnsi"/>
          <w:i/>
          <w:iCs/>
        </w:rPr>
        <w:t xml:space="preserve"> in Egypt,</w:t>
      </w:r>
      <w:r>
        <w:rPr>
          <w:rFonts w:cstheme="minorHAnsi"/>
        </w:rPr>
        <w:t xml:space="preserve"> 44, pp. 1-8, </w:t>
      </w:r>
      <w:r w:rsidRPr="00A9121A">
        <w:rPr>
          <w:rFonts w:cstheme="minorHAnsi"/>
        </w:rPr>
        <w:t>https://www.jstor.org/stable/27801619?seq=1#metadata_info_tab_contents</w:t>
      </w:r>
      <w:r>
        <w:rPr>
          <w:rFonts w:cstheme="minorHAnsi"/>
        </w:rPr>
        <w:t xml:space="preserve"> [Accessed 28/01/</w:t>
      </w:r>
      <w:r w:rsidR="00A04972">
        <w:rPr>
          <w:rFonts w:cstheme="minorHAnsi"/>
        </w:rPr>
        <w:t>20</w:t>
      </w:r>
      <w:r>
        <w:rPr>
          <w:rFonts w:cstheme="minorHAnsi"/>
        </w:rPr>
        <w:t>20]</w:t>
      </w:r>
      <w:r w:rsidR="00C03425">
        <w:rPr>
          <w:rFonts w:cstheme="minorHAnsi"/>
        </w:rPr>
        <w:t>.</w:t>
      </w:r>
    </w:p>
    <w:p w14:paraId="1928AC71" w14:textId="77777777" w:rsidR="008C1770" w:rsidRDefault="008C1770" w:rsidP="00A05224">
      <w:pPr>
        <w:ind w:hanging="720"/>
      </w:pPr>
      <w:r>
        <w:t xml:space="preserve">Reeves, N. and Wilkinson, R. H. (1996) </w:t>
      </w:r>
      <w:r w:rsidRPr="00A04972">
        <w:rPr>
          <w:i/>
          <w:iCs/>
        </w:rPr>
        <w:t>The complete Valley of the Kings: tombs and treasures of Egypt’s greatest Pharaohs</w:t>
      </w:r>
      <w:r>
        <w:t xml:space="preserve">. London: Thames and Hudson. </w:t>
      </w:r>
    </w:p>
    <w:p w14:paraId="486C19F5" w14:textId="7AAC2A53" w:rsidR="008C1770" w:rsidRPr="00141743" w:rsidRDefault="008C1770" w:rsidP="00A05224">
      <w:pPr>
        <w:ind w:hanging="720"/>
      </w:pPr>
      <w:r w:rsidRPr="00141743">
        <w:t xml:space="preserve">Reid, D. M. (1985) ‘Indigenous Egyptology: The Decolonization of a Profession?’, </w:t>
      </w:r>
      <w:r w:rsidRPr="00141743">
        <w:rPr>
          <w:i/>
          <w:iCs/>
        </w:rPr>
        <w:t xml:space="preserve">Journal of the American </w:t>
      </w:r>
      <w:proofErr w:type="spellStart"/>
      <w:r w:rsidRPr="00141743">
        <w:rPr>
          <w:i/>
          <w:iCs/>
        </w:rPr>
        <w:t>Oriential</w:t>
      </w:r>
      <w:proofErr w:type="spellEnd"/>
      <w:r w:rsidRPr="00141743">
        <w:rPr>
          <w:i/>
          <w:iCs/>
        </w:rPr>
        <w:t xml:space="preserve"> Society, </w:t>
      </w:r>
      <w:r w:rsidRPr="00141743">
        <w:t xml:space="preserve">105(2), pp.233-246. </w:t>
      </w:r>
      <w:r w:rsidRPr="00A9121A">
        <w:t>https://www.jstor.org/stable/601703?seq=1#metadata_info_tab_contents</w:t>
      </w:r>
      <w:r w:rsidRPr="00141743">
        <w:t>, [Accessed 18/06/2019].</w:t>
      </w:r>
    </w:p>
    <w:p w14:paraId="762CA61A" w14:textId="77777777" w:rsidR="008C1770" w:rsidRPr="00141743" w:rsidRDefault="008C1770" w:rsidP="00A05224">
      <w:pPr>
        <w:ind w:hanging="720"/>
      </w:pPr>
      <w:r w:rsidRPr="00141743">
        <w:t xml:space="preserve">Reid, D. M. (2003) </w:t>
      </w:r>
      <w:r w:rsidRPr="00141743">
        <w:rPr>
          <w:i/>
          <w:iCs/>
        </w:rPr>
        <w:t>Whose pharaohs? Archaeology, museums, and Egyptian national identity from Napoleon to world war 1.</w:t>
      </w:r>
      <w:r w:rsidRPr="00141743">
        <w:t xml:space="preserve"> Berkeley: University of California Press. </w:t>
      </w:r>
    </w:p>
    <w:p w14:paraId="29ED30BA" w14:textId="149DEC63" w:rsidR="008C1770" w:rsidRPr="00557BF0" w:rsidRDefault="008C1770" w:rsidP="00A05224">
      <w:pPr>
        <w:ind w:hanging="720"/>
      </w:pPr>
      <w:r w:rsidRPr="00557BF0">
        <w:t xml:space="preserve">Reid, D. M. (2015) </w:t>
      </w:r>
      <w:r w:rsidRPr="00557BF0">
        <w:rPr>
          <w:i/>
          <w:iCs/>
        </w:rPr>
        <w:t>Contesting antiquity in Egypt: archaeologies, museums &amp; the struggle for identities from world war 1 to Nasser</w:t>
      </w:r>
      <w:r w:rsidRPr="00557BF0">
        <w:t xml:space="preserve">. Cairo </w:t>
      </w:r>
      <w:r w:rsidR="00CE42BB">
        <w:t xml:space="preserve">and </w:t>
      </w:r>
      <w:r w:rsidRPr="00557BF0">
        <w:t>New York: The American University in Cairo Press.</w:t>
      </w:r>
    </w:p>
    <w:p w14:paraId="0B731E06" w14:textId="6A3B66FD" w:rsidR="008C1770" w:rsidRPr="00141743" w:rsidRDefault="008C1770" w:rsidP="00A05224">
      <w:pPr>
        <w:ind w:hanging="720"/>
        <w:rPr>
          <w:rFonts w:cstheme="minorHAnsi"/>
        </w:rPr>
      </w:pPr>
      <w:r w:rsidRPr="00141743">
        <w:rPr>
          <w:rFonts w:cstheme="minorHAnsi"/>
        </w:rPr>
        <w:t xml:space="preserve">Richmond, J. C. B. (1977) </w:t>
      </w:r>
      <w:r w:rsidRPr="00141743">
        <w:rPr>
          <w:rFonts w:cstheme="minorHAnsi"/>
          <w:i/>
          <w:iCs/>
        </w:rPr>
        <w:t>Egypt 1798-1952</w:t>
      </w:r>
      <w:r w:rsidRPr="00141743">
        <w:rPr>
          <w:rFonts w:cstheme="minorHAnsi"/>
        </w:rPr>
        <w:t xml:space="preserve">. London: Methuen </w:t>
      </w:r>
      <w:r w:rsidR="00CE42BB">
        <w:rPr>
          <w:rFonts w:cstheme="minorHAnsi"/>
        </w:rPr>
        <w:t>and</w:t>
      </w:r>
      <w:r w:rsidRPr="00141743">
        <w:rPr>
          <w:rFonts w:cstheme="minorHAnsi"/>
        </w:rPr>
        <w:t xml:space="preserve"> Co Ltd. </w:t>
      </w:r>
    </w:p>
    <w:p w14:paraId="5A538679" w14:textId="03EAF651" w:rsidR="008C1770" w:rsidRDefault="008C1770" w:rsidP="00A05224">
      <w:pPr>
        <w:ind w:hanging="720"/>
      </w:pPr>
      <w:r>
        <w:t xml:space="preserve">Riggs, C. (2019) </w:t>
      </w:r>
      <w:r w:rsidRPr="00A04972">
        <w:rPr>
          <w:i/>
          <w:iCs/>
        </w:rPr>
        <w:t>How 20</w:t>
      </w:r>
      <w:r w:rsidRPr="00A04972">
        <w:rPr>
          <w:i/>
          <w:iCs/>
          <w:vertAlign w:val="superscript"/>
        </w:rPr>
        <w:t>th</w:t>
      </w:r>
      <w:r w:rsidRPr="00A04972">
        <w:rPr>
          <w:i/>
          <w:iCs/>
        </w:rPr>
        <w:t>-century colonial politics shaped the story of Tutankhamun’s tomb.</w:t>
      </w:r>
      <w:r>
        <w:t xml:space="preserve"> Available at: </w:t>
      </w:r>
      <w:r w:rsidRPr="00A9121A">
        <w:t>https://www.thebritishacademy.ac.uk/blog/how-20th-century-colonial-politics-shaped-story-tutankhamuns-tomb</w:t>
      </w:r>
      <w:r>
        <w:t xml:space="preserve"> [Accessed 22/03/</w:t>
      </w:r>
      <w:r w:rsidR="00A04972">
        <w:t>20</w:t>
      </w:r>
      <w:r>
        <w:t>20]</w:t>
      </w:r>
      <w:r w:rsidR="00CE42BB">
        <w:t>.</w:t>
      </w:r>
    </w:p>
    <w:p w14:paraId="515AB5EF" w14:textId="3A87D745" w:rsidR="008C1770" w:rsidRDefault="008C1770" w:rsidP="00A05224">
      <w:pPr>
        <w:ind w:hanging="720"/>
      </w:pPr>
      <w:r>
        <w:t xml:space="preserve">Rivlin, H. A. B. (2020) </w:t>
      </w:r>
      <w:r w:rsidRPr="00A04972">
        <w:rPr>
          <w:i/>
          <w:iCs/>
        </w:rPr>
        <w:t>Muhammad Ali</w:t>
      </w:r>
      <w:r>
        <w:t xml:space="preserve">. Available at: </w:t>
      </w:r>
      <w:r w:rsidRPr="00A9121A">
        <w:t>https://www.britannica.com/biography/Muhammad-Ali-pasha-and-viceroy-of-Egypt</w:t>
      </w:r>
      <w:r>
        <w:t xml:space="preserve"> [Accessed 28/01/</w:t>
      </w:r>
      <w:r w:rsidR="00A04972">
        <w:t>20</w:t>
      </w:r>
      <w:r>
        <w:t>20]</w:t>
      </w:r>
      <w:r w:rsidR="00CE42BB">
        <w:t xml:space="preserve">. </w:t>
      </w:r>
    </w:p>
    <w:p w14:paraId="200273D5" w14:textId="2ACEE100" w:rsidR="008C1770" w:rsidRPr="00141743" w:rsidRDefault="008C1770" w:rsidP="00A05224">
      <w:pPr>
        <w:ind w:hanging="720"/>
        <w:rPr>
          <w:rFonts w:cstheme="minorHAnsi"/>
        </w:rPr>
      </w:pPr>
      <w:r w:rsidRPr="00141743">
        <w:lastRenderedPageBreak/>
        <w:t xml:space="preserve">Saatchi Gallery (2019) </w:t>
      </w:r>
      <w:r w:rsidRPr="00141743">
        <w:rPr>
          <w:i/>
          <w:iCs/>
        </w:rPr>
        <w:t>Tutankhamun Treasures of the Golden Pharaoh</w:t>
      </w:r>
      <w:r w:rsidRPr="00141743">
        <w:t xml:space="preserve">. Available at: </w:t>
      </w:r>
      <w:proofErr w:type="gramStart"/>
      <w:r w:rsidRPr="00A9121A">
        <w:t>https://www.saatchigallery.com/art/tutankhamun.php</w:t>
      </w:r>
      <w:r w:rsidRPr="00141743">
        <w:t xml:space="preserve">  [</w:t>
      </w:r>
      <w:proofErr w:type="gramEnd"/>
      <w:r w:rsidRPr="00141743">
        <w:t>Accessed 03/10/</w:t>
      </w:r>
      <w:r w:rsidR="00A04972">
        <w:t>20</w:t>
      </w:r>
      <w:r w:rsidRPr="00141743">
        <w:t>19].</w:t>
      </w:r>
    </w:p>
    <w:p w14:paraId="19227C56" w14:textId="77777777" w:rsidR="008C1770" w:rsidRPr="00141743" w:rsidRDefault="008C1770" w:rsidP="00A05224">
      <w:pPr>
        <w:ind w:hanging="720"/>
      </w:pPr>
      <w:r w:rsidRPr="00141743">
        <w:t xml:space="preserve">Shaw, I. (2003) </w:t>
      </w:r>
      <w:r w:rsidRPr="00141743">
        <w:rPr>
          <w:i/>
          <w:iCs/>
        </w:rPr>
        <w:t>The Oxford history of ancient Egypt</w:t>
      </w:r>
      <w:r w:rsidRPr="00141743">
        <w:t xml:space="preserve">. Oxford: Oxford University Press. </w:t>
      </w:r>
    </w:p>
    <w:p w14:paraId="5B08AD6E" w14:textId="77777777" w:rsidR="008C1770" w:rsidRPr="00141743" w:rsidRDefault="008C1770" w:rsidP="00A05224">
      <w:pPr>
        <w:ind w:hanging="720"/>
        <w:rPr>
          <w:rFonts w:cstheme="minorHAnsi"/>
        </w:rPr>
      </w:pPr>
      <w:r w:rsidRPr="00141743">
        <w:rPr>
          <w:rFonts w:cstheme="minorHAnsi"/>
        </w:rPr>
        <w:t xml:space="preserve">Shaw, I. (2004) </w:t>
      </w:r>
      <w:r w:rsidRPr="00A04972">
        <w:rPr>
          <w:rFonts w:cstheme="minorHAnsi"/>
          <w:i/>
          <w:iCs/>
        </w:rPr>
        <w:t xml:space="preserve">Ancient Egypt </w:t>
      </w:r>
      <w:proofErr w:type="gramStart"/>
      <w:r w:rsidRPr="00A04972">
        <w:rPr>
          <w:rFonts w:cstheme="minorHAnsi"/>
          <w:i/>
          <w:iCs/>
        </w:rPr>
        <w:t>A</w:t>
      </w:r>
      <w:proofErr w:type="gramEnd"/>
      <w:r w:rsidRPr="00A04972">
        <w:rPr>
          <w:rFonts w:cstheme="minorHAnsi"/>
          <w:i/>
          <w:iCs/>
        </w:rPr>
        <w:t xml:space="preserve"> Very Short Introduction.</w:t>
      </w:r>
      <w:r w:rsidRPr="00141743">
        <w:rPr>
          <w:rFonts w:cstheme="minorHAnsi"/>
        </w:rPr>
        <w:t xml:space="preserve"> New York: Oxford University Press Inc. </w:t>
      </w:r>
    </w:p>
    <w:p w14:paraId="76F24C05" w14:textId="77777777" w:rsidR="008C1770" w:rsidRPr="00141743" w:rsidRDefault="008C1770" w:rsidP="00A05224">
      <w:pPr>
        <w:ind w:hanging="720"/>
      </w:pPr>
      <w:r w:rsidRPr="00141743">
        <w:t>Simon, R. (</w:t>
      </w:r>
      <w:r>
        <w:t>2008</w:t>
      </w:r>
      <w:r w:rsidRPr="00141743">
        <w:t xml:space="preserve">) </w:t>
      </w:r>
      <w:r w:rsidRPr="00141743">
        <w:rPr>
          <w:i/>
          <w:iCs/>
        </w:rPr>
        <w:t xml:space="preserve">Seeing More in Cabinets and Blockbusters: A Rhetorical Study of Museum Exhibits. </w:t>
      </w:r>
      <w:r w:rsidRPr="00141743">
        <w:t xml:space="preserve">Unpublished PhD thesis. Pennsylvania State University. </w:t>
      </w:r>
    </w:p>
    <w:p w14:paraId="485B4DB5" w14:textId="1758595A" w:rsidR="008C1770" w:rsidRPr="00141743" w:rsidRDefault="008C1770" w:rsidP="00A05224">
      <w:pPr>
        <w:ind w:hanging="720"/>
      </w:pPr>
      <w:proofErr w:type="spellStart"/>
      <w:r w:rsidRPr="00141743">
        <w:t>Slyomovics</w:t>
      </w:r>
      <w:proofErr w:type="spellEnd"/>
      <w:r w:rsidRPr="00141743">
        <w:t xml:space="preserve">, S. (1989) ‘Cross-Cultural Dress and Tourist Performance in Egypt’, </w:t>
      </w:r>
      <w:r w:rsidRPr="00141743">
        <w:rPr>
          <w:i/>
          <w:iCs/>
        </w:rPr>
        <w:t xml:space="preserve">Performing Arts Journal, </w:t>
      </w:r>
      <w:r w:rsidRPr="00141743">
        <w:t xml:space="preserve">11(3), pp. 139-148. </w:t>
      </w:r>
      <w:r w:rsidR="00D6357E">
        <w:t xml:space="preserve">Available at: </w:t>
      </w:r>
      <w:r w:rsidRPr="00A9121A">
        <w:t>https://www.jstor.org/stable/3245432?seq=1#metadata_info_tab_contents</w:t>
      </w:r>
      <w:r w:rsidRPr="00141743">
        <w:rPr>
          <w:rStyle w:val="Hyperlink"/>
        </w:rPr>
        <w:t>,</w:t>
      </w:r>
      <w:r w:rsidRPr="00141743">
        <w:t xml:space="preserve"> [Accessed 27/07/2019].</w:t>
      </w:r>
    </w:p>
    <w:p w14:paraId="71C0F630" w14:textId="77777777" w:rsidR="008C1770" w:rsidRPr="00141743" w:rsidRDefault="008C1770" w:rsidP="00A05224">
      <w:pPr>
        <w:ind w:hanging="720"/>
        <w:rPr>
          <w:rFonts w:cstheme="minorHAnsi"/>
        </w:rPr>
      </w:pPr>
      <w:r w:rsidRPr="00141743">
        <w:rPr>
          <w:rFonts w:cstheme="minorHAnsi"/>
        </w:rPr>
        <w:t xml:space="preserve">Smith. G. E (1923) </w:t>
      </w:r>
      <w:r w:rsidRPr="00141743">
        <w:rPr>
          <w:rFonts w:cstheme="minorHAnsi"/>
          <w:i/>
          <w:iCs/>
        </w:rPr>
        <w:t xml:space="preserve">Tutankhamen and the Discovery of his Tomb by the Late Earl of Carnarvon and Mr Howard Carter. </w:t>
      </w:r>
      <w:r w:rsidRPr="00141743">
        <w:rPr>
          <w:rFonts w:cstheme="minorHAnsi"/>
        </w:rPr>
        <w:t>London: George Routledge &amp; Sons Ltd</w:t>
      </w:r>
    </w:p>
    <w:p w14:paraId="12B17CB0" w14:textId="77777777" w:rsidR="008C1770" w:rsidRDefault="008C1770" w:rsidP="00A05224">
      <w:pPr>
        <w:ind w:hanging="720"/>
        <w:rPr>
          <w:rFonts w:cstheme="minorHAnsi"/>
        </w:rPr>
      </w:pPr>
      <w:r w:rsidRPr="00141743">
        <w:rPr>
          <w:rFonts w:cstheme="minorHAnsi"/>
        </w:rPr>
        <w:t xml:space="preserve">Stevenson, A. (2019) </w:t>
      </w:r>
      <w:r w:rsidRPr="00141743">
        <w:rPr>
          <w:rFonts w:cstheme="minorHAnsi"/>
          <w:i/>
          <w:iCs/>
        </w:rPr>
        <w:t xml:space="preserve">Scattered Find, Archaeology, Egyptology and Museums. </w:t>
      </w:r>
      <w:r w:rsidRPr="00141743">
        <w:rPr>
          <w:rFonts w:cstheme="minorHAnsi"/>
        </w:rPr>
        <w:t>London: UCL Press.</w:t>
      </w:r>
    </w:p>
    <w:p w14:paraId="3E09191F" w14:textId="5C91B63E" w:rsidR="008C1770" w:rsidRDefault="008C1770" w:rsidP="00A05224">
      <w:pPr>
        <w:ind w:hanging="720"/>
      </w:pPr>
      <w:r>
        <w:t xml:space="preserve">Supreme Council of Antiquities. (N.D.) </w:t>
      </w:r>
      <w:r w:rsidRPr="008C7F66">
        <w:rPr>
          <w:i/>
          <w:iCs/>
        </w:rPr>
        <w:t>A Brief History of the Supreme Council of Antiquities: 1858 to present.</w:t>
      </w:r>
      <w:r>
        <w:t xml:space="preserve"> Available at: </w:t>
      </w:r>
      <w:r w:rsidRPr="00A9121A">
        <w:t>https://www.sca-egypt.org/eng/sca_history.html</w:t>
      </w:r>
      <w:r>
        <w:t xml:space="preserve"> [Accessed 21/03/</w:t>
      </w:r>
      <w:r w:rsidR="008C7F66">
        <w:t>20</w:t>
      </w:r>
      <w:r>
        <w:t>20]</w:t>
      </w:r>
      <w:r w:rsidR="007561A2">
        <w:t>.</w:t>
      </w:r>
    </w:p>
    <w:p w14:paraId="7E15820A" w14:textId="3BA097B5" w:rsidR="008C1770" w:rsidRDefault="008C1770" w:rsidP="00A05224">
      <w:pPr>
        <w:ind w:hanging="720"/>
        <w:rPr>
          <w:rFonts w:cstheme="minorHAnsi"/>
        </w:rPr>
      </w:pPr>
      <w:proofErr w:type="spellStart"/>
      <w:r w:rsidRPr="00CD34D7">
        <w:rPr>
          <w:rFonts w:cstheme="minorHAnsi"/>
        </w:rPr>
        <w:t>Tatomir</w:t>
      </w:r>
      <w:proofErr w:type="spellEnd"/>
      <w:r w:rsidRPr="00CD34D7">
        <w:rPr>
          <w:rFonts w:cstheme="minorHAnsi"/>
        </w:rPr>
        <w:t xml:space="preserve">, R. (2015) ‘Egyptomania in Antiquity and in Modern World Literature. Imaginary, Intercultural context and mentality’, </w:t>
      </w:r>
      <w:r w:rsidRPr="00CD34D7">
        <w:rPr>
          <w:rFonts w:cstheme="minorHAnsi"/>
          <w:i/>
          <w:iCs/>
        </w:rPr>
        <w:t xml:space="preserve">Discourse as a Form of Multiculturalism in Literature and Communication, </w:t>
      </w:r>
      <w:r w:rsidRPr="00CD34D7">
        <w:rPr>
          <w:rFonts w:cstheme="minorHAnsi"/>
        </w:rPr>
        <w:t xml:space="preserve">pp, 566-581. </w:t>
      </w:r>
      <w:r w:rsidR="007561A2">
        <w:rPr>
          <w:rFonts w:cstheme="minorHAnsi"/>
        </w:rPr>
        <w:t xml:space="preserve">Available at: </w:t>
      </w:r>
      <w:r w:rsidRPr="00A9121A">
        <w:rPr>
          <w:rFonts w:cstheme="minorHAnsi"/>
        </w:rPr>
        <w:t>https://www.academia.edu/19750156/Egyptomania_in_Antiquity_and_in_Modern_World_Literature._Imaginary_Intercultural_Context_and_Mentality</w:t>
      </w:r>
      <w:r w:rsidRPr="00CD34D7">
        <w:rPr>
          <w:rFonts w:cstheme="minorHAnsi"/>
        </w:rPr>
        <w:t xml:space="preserve"> [Accessed 09/10/</w:t>
      </w:r>
      <w:r w:rsidR="008C7F66">
        <w:rPr>
          <w:rFonts w:cstheme="minorHAnsi"/>
        </w:rPr>
        <w:t>20</w:t>
      </w:r>
      <w:r w:rsidRPr="00CD34D7">
        <w:rPr>
          <w:rFonts w:cstheme="minorHAnsi"/>
        </w:rPr>
        <w:t>19]</w:t>
      </w:r>
      <w:r w:rsidR="007561A2">
        <w:rPr>
          <w:rFonts w:cstheme="minorHAnsi"/>
        </w:rPr>
        <w:t>.</w:t>
      </w:r>
    </w:p>
    <w:p w14:paraId="1A2ABA4A" w14:textId="1AE8C8E8" w:rsidR="008C1770" w:rsidRDefault="008C1770" w:rsidP="00A05224">
      <w:pPr>
        <w:ind w:hanging="720"/>
      </w:pPr>
      <w:r>
        <w:t>The American University in Cairo. (N.D</w:t>
      </w:r>
      <w:r w:rsidRPr="008C7F66">
        <w:rPr>
          <w:i/>
          <w:iCs/>
        </w:rPr>
        <w:t xml:space="preserve">) </w:t>
      </w:r>
      <w:proofErr w:type="spellStart"/>
      <w:r w:rsidRPr="008C7F66">
        <w:rPr>
          <w:i/>
          <w:iCs/>
        </w:rPr>
        <w:t>Salima</w:t>
      </w:r>
      <w:proofErr w:type="spellEnd"/>
      <w:r w:rsidRPr="008C7F66">
        <w:rPr>
          <w:i/>
          <w:iCs/>
        </w:rPr>
        <w:t xml:space="preserve"> Ikram.</w:t>
      </w:r>
      <w:r>
        <w:t xml:space="preserve"> Available at: </w:t>
      </w:r>
      <w:r w:rsidRPr="00A9121A">
        <w:t>https://www.aucegypt.edu/fac/salimaikram</w:t>
      </w:r>
      <w:r>
        <w:t xml:space="preserve"> [Accessed 23/03/</w:t>
      </w:r>
      <w:r w:rsidR="008C7F66">
        <w:t>20</w:t>
      </w:r>
      <w:r>
        <w:t>20]</w:t>
      </w:r>
      <w:r w:rsidR="007561A2">
        <w:t>.</w:t>
      </w:r>
    </w:p>
    <w:p w14:paraId="743957B6" w14:textId="6F703110" w:rsidR="008C1770" w:rsidRDefault="008C1770" w:rsidP="00A05224">
      <w:pPr>
        <w:ind w:hanging="720"/>
      </w:pPr>
      <w:r>
        <w:t xml:space="preserve">The British Museum. (2017) </w:t>
      </w:r>
      <w:r w:rsidRPr="003A169E">
        <w:rPr>
          <w:i/>
          <w:iCs/>
        </w:rPr>
        <w:t>Everything you ever wanted to know about the Rosetta Stone</w:t>
      </w:r>
      <w:r>
        <w:t xml:space="preserve">. Available at: </w:t>
      </w:r>
      <w:r w:rsidRPr="00A9121A">
        <w:t>https://blog.britishmuseum.org/everything-you-ever-wanted-to-know-about-the-rosetta-stone/</w:t>
      </w:r>
      <w:r>
        <w:t xml:space="preserve"> [Accessed: 01/12/</w:t>
      </w:r>
      <w:r w:rsidR="008C7F66">
        <w:t>20</w:t>
      </w:r>
      <w:r>
        <w:t>19]</w:t>
      </w:r>
      <w:r w:rsidR="007561A2">
        <w:t>.</w:t>
      </w:r>
    </w:p>
    <w:p w14:paraId="56E6CF1C" w14:textId="3E172946" w:rsidR="008C1770" w:rsidRDefault="008C1770" w:rsidP="00A05224">
      <w:pPr>
        <w:ind w:hanging="720"/>
      </w:pPr>
      <w:r>
        <w:t xml:space="preserve">The Fitzwilliam Museum. (2020) </w:t>
      </w:r>
      <w:r w:rsidRPr="00A87175">
        <w:rPr>
          <w:i/>
          <w:iCs/>
        </w:rPr>
        <w:t>Explorer: Belzoni, Giovanni Battista (1778-1823</w:t>
      </w:r>
      <w:r>
        <w:t xml:space="preserve">). Available at: </w:t>
      </w:r>
      <w:r w:rsidRPr="00A9121A">
        <w:t>https://www.fitzmuseum.cam.ac.uk/collections/egypt/collectionhistory/belzoni</w:t>
      </w:r>
      <w:r>
        <w:t xml:space="preserve"> [Accessed 22/03/2</w:t>
      </w:r>
      <w:r w:rsidR="00A87175">
        <w:t>02</w:t>
      </w:r>
      <w:r>
        <w:t>0]</w:t>
      </w:r>
      <w:r w:rsidR="007561A2">
        <w:t>.</w:t>
      </w:r>
    </w:p>
    <w:p w14:paraId="6FA457E2" w14:textId="577DFDE1" w:rsidR="008C1770" w:rsidRDefault="008C1770" w:rsidP="00A05224">
      <w:pPr>
        <w:ind w:hanging="720"/>
      </w:pPr>
      <w:r>
        <w:t xml:space="preserve">The Metropolitan Museum of Art. (2011) </w:t>
      </w:r>
      <w:r w:rsidRPr="00A87175">
        <w:rPr>
          <w:i/>
          <w:iCs/>
        </w:rPr>
        <w:t>Recent Research in Egyptian Art: Behind the Mask of Tutankhamun</w:t>
      </w:r>
      <w:r>
        <w:t xml:space="preserve">. Available at: </w:t>
      </w:r>
      <w:r w:rsidRPr="00A9121A">
        <w:t>https://www.youtube.com/watch?v=bxN1hm1TmJ0</w:t>
      </w:r>
      <w:r>
        <w:t xml:space="preserve"> [Accessed 23/03/</w:t>
      </w:r>
      <w:r w:rsidR="00A87175">
        <w:t>20</w:t>
      </w:r>
      <w:r>
        <w:t>20]</w:t>
      </w:r>
      <w:r w:rsidR="00DC1AA8">
        <w:t>.</w:t>
      </w:r>
    </w:p>
    <w:p w14:paraId="0ECC7CD4" w14:textId="203943BD" w:rsidR="008C1770" w:rsidRDefault="008C1770" w:rsidP="00A05224">
      <w:pPr>
        <w:ind w:hanging="720"/>
      </w:pPr>
      <w:r>
        <w:t>The Telegraph</w:t>
      </w:r>
      <w:r w:rsidR="00DC1AA8">
        <w:t xml:space="preserve">. </w:t>
      </w:r>
      <w:r>
        <w:t xml:space="preserve">(2010) </w:t>
      </w:r>
      <w:r w:rsidRPr="00A87175">
        <w:rPr>
          <w:i/>
          <w:iCs/>
        </w:rPr>
        <w:t>TGH James.</w:t>
      </w:r>
      <w:r>
        <w:t xml:space="preserve"> Available at: </w:t>
      </w:r>
      <w:r w:rsidRPr="00A9121A">
        <w:t>https://www.telegraph.co.uk/news/obituaries/7309463/TGH-James.html</w:t>
      </w:r>
      <w:r>
        <w:t xml:space="preserve"> [Accessed 23/03/</w:t>
      </w:r>
      <w:r w:rsidR="00A87175">
        <w:t>20</w:t>
      </w:r>
      <w:r>
        <w:t>20]</w:t>
      </w:r>
      <w:r w:rsidR="00DC1AA8">
        <w:t>.</w:t>
      </w:r>
    </w:p>
    <w:p w14:paraId="55DD9114" w14:textId="4FE8636E" w:rsidR="008C1770" w:rsidRDefault="008C1770" w:rsidP="00A05224">
      <w:pPr>
        <w:ind w:hanging="720"/>
        <w:rPr>
          <w:rFonts w:cstheme="minorHAnsi"/>
        </w:rPr>
      </w:pPr>
      <w:r>
        <w:rPr>
          <w:rFonts w:cstheme="minorHAnsi"/>
        </w:rPr>
        <w:t>The University of Cambridge. (2020</w:t>
      </w:r>
      <w:r w:rsidRPr="00A87175">
        <w:rPr>
          <w:rFonts w:cstheme="minorHAnsi"/>
          <w:i/>
          <w:iCs/>
        </w:rPr>
        <w:t>) Dr Allegra R P Fryxell</w:t>
      </w:r>
      <w:r>
        <w:rPr>
          <w:rFonts w:cstheme="minorHAnsi"/>
        </w:rPr>
        <w:t xml:space="preserve">. Available at: </w:t>
      </w:r>
      <w:r w:rsidRPr="00A9121A">
        <w:rPr>
          <w:rFonts w:cstheme="minorHAnsi"/>
        </w:rPr>
        <w:t>https://www.hist.cam.ac.uk/directory/allegra-fryxell</w:t>
      </w:r>
      <w:r>
        <w:rPr>
          <w:rFonts w:cstheme="minorHAnsi"/>
        </w:rPr>
        <w:t xml:space="preserve"> [Accessed 27/01/</w:t>
      </w:r>
      <w:r w:rsidR="00A87175">
        <w:rPr>
          <w:rFonts w:cstheme="minorHAnsi"/>
        </w:rPr>
        <w:t>20</w:t>
      </w:r>
      <w:r>
        <w:rPr>
          <w:rFonts w:cstheme="minorHAnsi"/>
        </w:rPr>
        <w:t>20]</w:t>
      </w:r>
      <w:r w:rsidR="00DC1AA8">
        <w:rPr>
          <w:rFonts w:cstheme="minorHAnsi"/>
        </w:rPr>
        <w:t>.</w:t>
      </w:r>
    </w:p>
    <w:p w14:paraId="301391B8" w14:textId="213B4E87" w:rsidR="008C1770" w:rsidRDefault="008C1770" w:rsidP="00A05224">
      <w:pPr>
        <w:ind w:hanging="720"/>
        <w:rPr>
          <w:rFonts w:cstheme="minorHAnsi"/>
        </w:rPr>
      </w:pPr>
      <w:r>
        <w:rPr>
          <w:rFonts w:cstheme="minorHAnsi"/>
        </w:rPr>
        <w:t>The University of Manchester. (2013</w:t>
      </w:r>
      <w:r w:rsidRPr="00A87175">
        <w:rPr>
          <w:rFonts w:cstheme="minorHAnsi"/>
          <w:i/>
          <w:iCs/>
        </w:rPr>
        <w:t xml:space="preserve">) Peoples historian becomes Manchester professor. </w:t>
      </w:r>
      <w:r>
        <w:rPr>
          <w:rFonts w:cstheme="minorHAnsi"/>
        </w:rPr>
        <w:t xml:space="preserve">Available at: </w:t>
      </w:r>
      <w:r w:rsidRPr="00A9121A">
        <w:rPr>
          <w:rFonts w:cstheme="minorHAnsi"/>
        </w:rPr>
        <w:t>https://www.manchester.ac.uk/discover/news/peoples-historian-becomes-manchester-professor/</w:t>
      </w:r>
      <w:r>
        <w:rPr>
          <w:rFonts w:cstheme="minorHAnsi"/>
        </w:rPr>
        <w:t xml:space="preserve"> [Accessed 27/01/</w:t>
      </w:r>
      <w:r w:rsidR="00A87175">
        <w:rPr>
          <w:rFonts w:cstheme="minorHAnsi"/>
        </w:rPr>
        <w:t>20</w:t>
      </w:r>
      <w:r>
        <w:rPr>
          <w:rFonts w:cstheme="minorHAnsi"/>
        </w:rPr>
        <w:t>20]</w:t>
      </w:r>
      <w:r w:rsidR="00DC1AA8">
        <w:rPr>
          <w:rFonts w:cstheme="minorHAnsi"/>
        </w:rPr>
        <w:t>.</w:t>
      </w:r>
    </w:p>
    <w:p w14:paraId="79CA176F" w14:textId="5DBB5679" w:rsidR="008C1770" w:rsidRDefault="008C1770" w:rsidP="00A05224">
      <w:pPr>
        <w:ind w:hanging="720"/>
        <w:rPr>
          <w:rFonts w:cstheme="minorHAnsi"/>
        </w:rPr>
      </w:pPr>
      <w:r w:rsidRPr="00141743">
        <w:rPr>
          <w:rFonts w:cstheme="minorHAnsi"/>
        </w:rPr>
        <w:t xml:space="preserve">Thompson, J. (2016) </w:t>
      </w:r>
      <w:r w:rsidRPr="00141743">
        <w:rPr>
          <w:rFonts w:cstheme="minorHAnsi"/>
          <w:i/>
          <w:iCs/>
        </w:rPr>
        <w:t>Wonderful Things: A History of Egyptology. Vol 2 The Golden Age: 1881-1914</w:t>
      </w:r>
      <w:r w:rsidRPr="00141743">
        <w:rPr>
          <w:rFonts w:cstheme="minorHAnsi"/>
        </w:rPr>
        <w:t xml:space="preserve">. </w:t>
      </w:r>
      <w:r w:rsidR="00DC1AA8">
        <w:rPr>
          <w:rFonts w:cstheme="minorHAnsi"/>
        </w:rPr>
        <w:t xml:space="preserve">Cairo: </w:t>
      </w:r>
      <w:r w:rsidRPr="00141743">
        <w:rPr>
          <w:rFonts w:cstheme="minorHAnsi"/>
        </w:rPr>
        <w:t>The American University in Cairo Press.</w:t>
      </w:r>
    </w:p>
    <w:p w14:paraId="58F1E420" w14:textId="76F139B8" w:rsidR="008C1770" w:rsidRDefault="008C1770" w:rsidP="00A05224">
      <w:pPr>
        <w:ind w:hanging="720"/>
      </w:pPr>
      <w:r>
        <w:lastRenderedPageBreak/>
        <w:t>Wasson, D. L. (2016</w:t>
      </w:r>
      <w:r w:rsidRPr="004334E1">
        <w:rPr>
          <w:i/>
          <w:iCs/>
        </w:rPr>
        <w:t>) Ancient Roman Family Life</w:t>
      </w:r>
      <w:r>
        <w:t xml:space="preserve">. Available at: </w:t>
      </w:r>
      <w:r w:rsidRPr="00A9121A">
        <w:t>https://www.ancient.eu/article/870/ancient-roman-family-life/</w:t>
      </w:r>
      <w:r>
        <w:t xml:space="preserve"> [Accessed 01/12/</w:t>
      </w:r>
      <w:r w:rsidR="004334E1">
        <w:t>20</w:t>
      </w:r>
      <w:r>
        <w:t>19]</w:t>
      </w:r>
      <w:r w:rsidR="00DC1AA8">
        <w:t>.</w:t>
      </w:r>
    </w:p>
    <w:p w14:paraId="05B17919" w14:textId="51AE3F8F" w:rsidR="0017213F" w:rsidRPr="00CF15EC" w:rsidRDefault="0017213F" w:rsidP="0017213F">
      <w:pPr>
        <w:ind w:hanging="720"/>
        <w:rPr>
          <w:rFonts w:cstheme="minorHAnsi"/>
        </w:rPr>
      </w:pPr>
      <w:r w:rsidRPr="00CF15EC">
        <w:rPr>
          <w:rFonts w:cstheme="minorHAnsi"/>
        </w:rPr>
        <w:t xml:space="preserve">Wendell, C. (2012) </w:t>
      </w:r>
      <w:r w:rsidRPr="000141EC">
        <w:rPr>
          <w:rFonts w:cstheme="minorHAnsi"/>
          <w:i/>
          <w:iCs/>
        </w:rPr>
        <w:t xml:space="preserve">‘Lutfi al-Sayyid’, </w:t>
      </w:r>
      <w:r>
        <w:rPr>
          <w:rFonts w:cstheme="minorHAnsi"/>
          <w:i/>
          <w:iCs/>
        </w:rPr>
        <w:t xml:space="preserve">in </w:t>
      </w:r>
      <w:r w:rsidRPr="00CF15EC">
        <w:rPr>
          <w:rFonts w:cstheme="minorHAnsi"/>
        </w:rPr>
        <w:t>Bearman</w:t>
      </w:r>
      <w:r w:rsidR="00397822">
        <w:rPr>
          <w:rFonts w:cstheme="minorHAnsi"/>
        </w:rPr>
        <w:t>,</w:t>
      </w:r>
      <w:r w:rsidRPr="00CF15EC">
        <w:rPr>
          <w:rFonts w:cstheme="minorHAnsi"/>
        </w:rPr>
        <w:t xml:space="preserve"> P</w:t>
      </w:r>
      <w:r w:rsidR="00397822">
        <w:rPr>
          <w:rFonts w:cstheme="minorHAnsi"/>
        </w:rPr>
        <w:t>.</w:t>
      </w:r>
      <w:r w:rsidRPr="00CF15EC">
        <w:rPr>
          <w:rFonts w:cstheme="minorHAnsi"/>
        </w:rPr>
        <w:t xml:space="preserve">, </w:t>
      </w:r>
      <w:proofErr w:type="spellStart"/>
      <w:r w:rsidRPr="00CF15EC">
        <w:rPr>
          <w:rFonts w:cstheme="minorHAnsi"/>
        </w:rPr>
        <w:t>Bianquis</w:t>
      </w:r>
      <w:proofErr w:type="spellEnd"/>
      <w:r w:rsidR="00397822">
        <w:rPr>
          <w:rFonts w:cstheme="minorHAnsi"/>
        </w:rPr>
        <w:t>,</w:t>
      </w:r>
      <w:r w:rsidRPr="00CF15EC">
        <w:rPr>
          <w:rFonts w:cstheme="minorHAnsi"/>
        </w:rPr>
        <w:t xml:space="preserve"> T</w:t>
      </w:r>
      <w:r w:rsidR="00397822">
        <w:rPr>
          <w:rFonts w:cstheme="minorHAnsi"/>
        </w:rPr>
        <w:t>.</w:t>
      </w:r>
      <w:r w:rsidRPr="00CF15EC">
        <w:rPr>
          <w:rFonts w:cstheme="minorHAnsi"/>
        </w:rPr>
        <w:t>, Bosworth</w:t>
      </w:r>
      <w:r w:rsidR="00397822">
        <w:rPr>
          <w:rFonts w:cstheme="minorHAnsi"/>
        </w:rPr>
        <w:t>,</w:t>
      </w:r>
      <w:r w:rsidRPr="00CF15EC">
        <w:rPr>
          <w:rFonts w:cstheme="minorHAnsi"/>
        </w:rPr>
        <w:t xml:space="preserve"> C.E</w:t>
      </w:r>
      <w:r w:rsidR="00397822">
        <w:rPr>
          <w:rFonts w:cstheme="minorHAnsi"/>
        </w:rPr>
        <w:t>.</w:t>
      </w:r>
      <w:r w:rsidRPr="00CF15EC">
        <w:rPr>
          <w:rFonts w:cstheme="minorHAnsi"/>
        </w:rPr>
        <w:t xml:space="preserve">, Van </w:t>
      </w:r>
      <w:proofErr w:type="spellStart"/>
      <w:r w:rsidRPr="00CF15EC">
        <w:rPr>
          <w:rFonts w:cstheme="minorHAnsi"/>
        </w:rPr>
        <w:t>Donzel</w:t>
      </w:r>
      <w:proofErr w:type="spellEnd"/>
      <w:r w:rsidR="00397822">
        <w:rPr>
          <w:rFonts w:cstheme="minorHAnsi"/>
        </w:rPr>
        <w:t>,</w:t>
      </w:r>
      <w:r w:rsidRPr="00CF15EC">
        <w:rPr>
          <w:rFonts w:cstheme="minorHAnsi"/>
        </w:rPr>
        <w:t xml:space="preserve"> E</w:t>
      </w:r>
      <w:r w:rsidR="00397822">
        <w:rPr>
          <w:rFonts w:cstheme="minorHAnsi"/>
        </w:rPr>
        <w:t>.</w:t>
      </w:r>
      <w:r w:rsidRPr="00CF15EC">
        <w:rPr>
          <w:rFonts w:cstheme="minorHAnsi"/>
        </w:rPr>
        <w:t>,</w:t>
      </w:r>
      <w:r w:rsidR="00397822">
        <w:rPr>
          <w:rFonts w:cstheme="minorHAnsi"/>
        </w:rPr>
        <w:t xml:space="preserve"> and</w:t>
      </w:r>
      <w:r w:rsidRPr="00CF15EC">
        <w:rPr>
          <w:rFonts w:cstheme="minorHAnsi"/>
        </w:rPr>
        <w:t xml:space="preserve"> Heinrichs</w:t>
      </w:r>
      <w:r w:rsidR="00397822">
        <w:rPr>
          <w:rFonts w:cstheme="minorHAnsi"/>
        </w:rPr>
        <w:t>,</w:t>
      </w:r>
      <w:r w:rsidRPr="00CF15EC">
        <w:rPr>
          <w:rFonts w:cstheme="minorHAnsi"/>
        </w:rPr>
        <w:t xml:space="preserve"> W.P. (eds</w:t>
      </w:r>
      <w:r>
        <w:rPr>
          <w:rFonts w:cstheme="minorHAnsi"/>
        </w:rPr>
        <w:t>.</w:t>
      </w:r>
      <w:r w:rsidRPr="00CF15EC">
        <w:rPr>
          <w:rFonts w:cstheme="minorHAnsi"/>
        </w:rPr>
        <w:t>)</w:t>
      </w:r>
      <w:r>
        <w:rPr>
          <w:rFonts w:cstheme="minorHAnsi"/>
        </w:rPr>
        <w:t xml:space="preserve"> </w:t>
      </w:r>
      <w:r w:rsidRPr="000141EC">
        <w:rPr>
          <w:rFonts w:cstheme="minorHAnsi"/>
          <w:i/>
          <w:iCs/>
        </w:rPr>
        <w:t>Encyclopaedia of Islam,</w:t>
      </w:r>
      <w:r w:rsidRPr="00CF15EC">
        <w:rPr>
          <w:rFonts w:cstheme="minorHAnsi"/>
        </w:rPr>
        <w:t xml:space="preserve"> 2</w:t>
      </w:r>
      <w:r w:rsidRPr="00CF15EC">
        <w:rPr>
          <w:rFonts w:cstheme="minorHAnsi"/>
          <w:vertAlign w:val="superscript"/>
        </w:rPr>
        <w:t>nd</w:t>
      </w:r>
      <w:r w:rsidRPr="00CF15EC">
        <w:rPr>
          <w:rFonts w:cstheme="minorHAnsi"/>
        </w:rPr>
        <w:t xml:space="preserve"> </w:t>
      </w:r>
      <w:proofErr w:type="spellStart"/>
      <w:r w:rsidRPr="00CF15EC">
        <w:rPr>
          <w:rFonts w:cstheme="minorHAnsi"/>
        </w:rPr>
        <w:t>ed</w:t>
      </w:r>
      <w:r>
        <w:rPr>
          <w:rFonts w:cstheme="minorHAnsi"/>
        </w:rPr>
        <w:t>n</w:t>
      </w:r>
      <w:proofErr w:type="spellEnd"/>
      <w:r w:rsidRPr="00CF15EC">
        <w:rPr>
          <w:rFonts w:cstheme="minorHAnsi"/>
        </w:rPr>
        <w:t>.</w:t>
      </w:r>
      <w:r>
        <w:rPr>
          <w:rFonts w:cstheme="minorHAnsi"/>
        </w:rPr>
        <w:t xml:space="preserve"> Available at:</w:t>
      </w:r>
      <w:r w:rsidRPr="00CF15EC">
        <w:rPr>
          <w:rFonts w:cstheme="minorHAnsi"/>
        </w:rPr>
        <w:t xml:space="preserve"> </w:t>
      </w:r>
      <w:r w:rsidRPr="00F56B5E">
        <w:rPr>
          <w:rFonts w:cstheme="minorHAnsi"/>
        </w:rPr>
        <w:t>http://dx.doi.org/10.1163/1573-3912_islam_SIM_4705</w:t>
      </w:r>
      <w:r>
        <w:rPr>
          <w:rFonts w:cstheme="minorHAnsi"/>
        </w:rPr>
        <w:t xml:space="preserve"> [Accessed 01/12/2019]. </w:t>
      </w:r>
    </w:p>
    <w:p w14:paraId="177C0DF0" w14:textId="77777777" w:rsidR="008C1770" w:rsidRPr="00141743" w:rsidRDefault="008C1770" w:rsidP="00A05224">
      <w:pPr>
        <w:ind w:hanging="720"/>
        <w:rPr>
          <w:rFonts w:cstheme="minorHAnsi"/>
        </w:rPr>
      </w:pPr>
      <w:r>
        <w:rPr>
          <w:rFonts w:cstheme="minorHAnsi"/>
        </w:rPr>
        <w:t xml:space="preserve">Wilkinson, R. H. (2008) </w:t>
      </w:r>
      <w:r w:rsidRPr="00E77A31">
        <w:rPr>
          <w:rFonts w:cstheme="minorHAnsi"/>
          <w:i/>
          <w:iCs/>
        </w:rPr>
        <w:t>Egyptology Today</w:t>
      </w:r>
      <w:r>
        <w:rPr>
          <w:rFonts w:cstheme="minorHAnsi"/>
        </w:rPr>
        <w:t xml:space="preserve">. Cambridge: Cambridge University Press. </w:t>
      </w:r>
    </w:p>
    <w:p w14:paraId="0D2F7281" w14:textId="08BF4FF7" w:rsidR="008C1770" w:rsidRPr="00557BF0" w:rsidRDefault="008C1770" w:rsidP="00A05224">
      <w:pPr>
        <w:ind w:hanging="720"/>
        <w:rPr>
          <w:rFonts w:cstheme="minorHAnsi"/>
        </w:rPr>
      </w:pPr>
      <w:r>
        <w:rPr>
          <w:rFonts w:cstheme="minorHAnsi"/>
        </w:rPr>
        <w:t xml:space="preserve">Wilson, J. T. (1938) ‘Sir Grafton Elliot Smith. 1871-1937’, </w:t>
      </w:r>
      <w:r w:rsidRPr="004334E1">
        <w:rPr>
          <w:rFonts w:cstheme="minorHAnsi"/>
          <w:i/>
          <w:iCs/>
        </w:rPr>
        <w:t xml:space="preserve">Obituary Notices of Fellows of the Royal Society, </w:t>
      </w:r>
      <w:r>
        <w:rPr>
          <w:rFonts w:cstheme="minorHAnsi"/>
        </w:rPr>
        <w:t xml:space="preserve">2(6), pp.322-333, </w:t>
      </w:r>
      <w:r w:rsidRPr="00A9121A">
        <w:rPr>
          <w:rFonts w:cstheme="minorHAnsi"/>
        </w:rPr>
        <w:t>https://www.jstor.org/stable/769069?seq=1#metadata_info_tab_contents</w:t>
      </w:r>
      <w:r>
        <w:rPr>
          <w:rFonts w:cstheme="minorHAnsi"/>
        </w:rPr>
        <w:t xml:space="preserve"> [Accessed 22/01/</w:t>
      </w:r>
      <w:r w:rsidR="004334E1">
        <w:rPr>
          <w:rFonts w:cstheme="minorHAnsi"/>
        </w:rPr>
        <w:t>20</w:t>
      </w:r>
      <w:r>
        <w:rPr>
          <w:rFonts w:cstheme="minorHAnsi"/>
        </w:rPr>
        <w:t>20]</w:t>
      </w:r>
      <w:r w:rsidR="00D07508">
        <w:rPr>
          <w:rFonts w:cstheme="minorHAnsi"/>
        </w:rPr>
        <w:t>.</w:t>
      </w:r>
    </w:p>
    <w:p w14:paraId="704868D2" w14:textId="59D2ECB3" w:rsidR="008C1770" w:rsidRDefault="008C1770" w:rsidP="00A05224">
      <w:pPr>
        <w:ind w:hanging="720"/>
      </w:pPr>
      <w:r w:rsidRPr="00141743">
        <w:t xml:space="preserve">Wood, M. (1998) ‘The Use of the Pharaonic Past in Modern Egyptian Nationalism’, </w:t>
      </w:r>
      <w:r w:rsidRPr="00141743">
        <w:rPr>
          <w:i/>
          <w:iCs/>
        </w:rPr>
        <w:t xml:space="preserve">Journal of the American Research </w:t>
      </w:r>
      <w:r w:rsidR="00D07508" w:rsidRPr="00141743">
        <w:rPr>
          <w:i/>
          <w:iCs/>
        </w:rPr>
        <w:t>Centre</w:t>
      </w:r>
      <w:r w:rsidRPr="00141743">
        <w:rPr>
          <w:i/>
          <w:iCs/>
        </w:rPr>
        <w:t xml:space="preserve"> in Egypt, </w:t>
      </w:r>
      <w:r w:rsidRPr="00141743">
        <w:t>35, pp. 179-196</w:t>
      </w:r>
      <w:r w:rsidR="00D07508">
        <w:t xml:space="preserve">. Available at: </w:t>
      </w:r>
      <w:r w:rsidRPr="00A9121A">
        <w:t>https://www.jstor.org/stable/40000469#metadata_info_tab_contents</w:t>
      </w:r>
      <w:r w:rsidRPr="00141743">
        <w:t>, [Accessed 27/07/2019]</w:t>
      </w:r>
      <w:r w:rsidR="00D07508">
        <w:t xml:space="preserve">. </w:t>
      </w:r>
    </w:p>
    <w:p w14:paraId="24EA35B4" w14:textId="0BCF6E90" w:rsidR="008C1770" w:rsidRDefault="008C1770" w:rsidP="00A05224">
      <w:pPr>
        <w:ind w:hanging="720"/>
      </w:pPr>
      <w:r>
        <w:t xml:space="preserve">Woodward, D. R. (2011) </w:t>
      </w:r>
      <w:r w:rsidRPr="004334E1">
        <w:rPr>
          <w:i/>
          <w:iCs/>
        </w:rPr>
        <w:t>The Middle East during World War one</w:t>
      </w:r>
      <w:r>
        <w:t xml:space="preserve">. Available at: </w:t>
      </w:r>
      <w:r w:rsidRPr="00A9121A">
        <w:t>http://www.bbc.co.uk/history/worldwars/wwone/middle_east_01.shtml</w:t>
      </w:r>
      <w:r>
        <w:t xml:space="preserve"> [Accessed 28/01/</w:t>
      </w:r>
      <w:r w:rsidR="004334E1">
        <w:t>20</w:t>
      </w:r>
      <w:r>
        <w:t>20]</w:t>
      </w:r>
      <w:r w:rsidR="00D07508">
        <w:t>.</w:t>
      </w:r>
    </w:p>
    <w:p w14:paraId="4E360834" w14:textId="2DBDF478" w:rsidR="002117A2" w:rsidRDefault="008C1770" w:rsidP="00A05224">
      <w:pPr>
        <w:ind w:hanging="720"/>
      </w:pPr>
      <w:r>
        <w:t xml:space="preserve">World Archaeology. (2008) </w:t>
      </w:r>
      <w:r w:rsidRPr="004334E1">
        <w:rPr>
          <w:i/>
          <w:iCs/>
        </w:rPr>
        <w:t>Tutankhamun: Exhibition</w:t>
      </w:r>
      <w:r>
        <w:t xml:space="preserve">. Available at: </w:t>
      </w:r>
      <w:r w:rsidRPr="00A9121A">
        <w:t>https://www.world-archaeology.com/world/africa/egypt/tutankhamun-exhibition/</w:t>
      </w:r>
      <w:r>
        <w:t xml:space="preserve"> [Accessed 08/12/</w:t>
      </w:r>
      <w:r w:rsidR="004334E1">
        <w:t>20</w:t>
      </w:r>
      <w:r>
        <w:t>19]</w:t>
      </w:r>
      <w:r w:rsidR="00D07508">
        <w:t xml:space="preserve">. </w:t>
      </w:r>
    </w:p>
    <w:sectPr w:rsidR="002117A2" w:rsidSect="00327351">
      <w:headerReference w:type="first" r:id="rId26"/>
      <w:pgSz w:w="11906" w:h="16838"/>
      <w:pgMar w:top="1440" w:right="1440" w:bottom="1440" w:left="1440" w:header="708" w:footer="708" w:gutter="0"/>
      <w:pgNumType w:start="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Melisa Pak (1701689)" w:date="2020-04-29T11:27:00Z" w:initials="MP(">
    <w:p w14:paraId="1195A61C" w14:textId="1F02C826" w:rsidR="009943DF" w:rsidRDefault="009943DF">
      <w:pPr>
        <w:pStyle w:val="CommentText"/>
      </w:pPr>
      <w:r>
        <w:rPr>
          <w:rStyle w:val="CommentReference"/>
        </w:rPr>
        <w:annotationRef/>
      </w:r>
      <w:r>
        <w:t xml:space="preserve">KZ: ref or explain what this is </w:t>
      </w:r>
    </w:p>
  </w:comment>
  <w:comment w:id="1" w:author="Melisa Pak (1701689)" w:date="2020-04-29T11:27:00Z" w:initials="MP(">
    <w:p w14:paraId="292DC876" w14:textId="21BFC48F" w:rsidR="009943DF" w:rsidRDefault="009943DF">
      <w:pPr>
        <w:pStyle w:val="CommentText"/>
      </w:pPr>
      <w:r>
        <w:rPr>
          <w:rStyle w:val="CommentReference"/>
        </w:rPr>
        <w:annotationRef/>
      </w:r>
      <w:proofErr w:type="gramStart"/>
      <w:r>
        <w:t>Cant</w:t>
      </w:r>
      <w:proofErr w:type="gramEnd"/>
      <w:r>
        <w:t xml:space="preserve"> ref as own words</w:t>
      </w:r>
    </w:p>
  </w:comment>
  <w:comment w:id="2" w:author="Melisa Pak (1701689)" w:date="2020-04-29T11:27:00Z" w:initials="MP(">
    <w:p w14:paraId="3EC8009D" w14:textId="6D03324E" w:rsidR="009943DF" w:rsidRDefault="009943DF">
      <w:pPr>
        <w:pStyle w:val="CommentText"/>
      </w:pPr>
      <w:r>
        <w:rPr>
          <w:rStyle w:val="CommentReference"/>
        </w:rPr>
        <w:annotationRef/>
      </w:r>
      <w:r>
        <w:t xml:space="preserve">Explanation in the </w:t>
      </w:r>
      <w:proofErr w:type="spellStart"/>
      <w:r>
        <w:t>pharaonism</w:t>
      </w:r>
      <w:proofErr w:type="spellEnd"/>
      <w:r>
        <w:t xml:space="preserve"> paragraph? Do I need to do a short sentence of explanation here?</w:t>
      </w:r>
    </w:p>
  </w:comment>
  <w:comment w:id="3" w:author="Melisa Pak (1701689)" w:date="2020-04-29T11:57:00Z" w:initials="MP(">
    <w:p w14:paraId="4D9B786A" w14:textId="51A986F0" w:rsidR="009943DF" w:rsidRDefault="009943DF">
      <w:pPr>
        <w:pStyle w:val="CommentText"/>
      </w:pPr>
      <w:r>
        <w:rPr>
          <w:rStyle w:val="CommentReference"/>
        </w:rPr>
        <w:annotationRef/>
      </w:r>
      <w:r>
        <w:t>Repetition, should I delete? And add it to the previous sentence?</w:t>
      </w:r>
    </w:p>
  </w:comment>
  <w:comment w:id="4" w:author="Melisa Pak (1701689)" w:date="2020-04-29T11:29:00Z" w:initials="MP(">
    <w:p w14:paraId="7D845316" w14:textId="5E8AC3AA" w:rsidR="009943DF" w:rsidRDefault="009943DF">
      <w:pPr>
        <w:pStyle w:val="CommentText"/>
      </w:pPr>
      <w:r>
        <w:rPr>
          <w:rStyle w:val="CommentReference"/>
        </w:rPr>
        <w:annotationRef/>
      </w:r>
      <w:r>
        <w:t xml:space="preserve">KZ: Does not need to be a direct quote </w:t>
      </w:r>
    </w:p>
  </w:comment>
  <w:comment w:id="5" w:author="Melisa Pak (1701689)" w:date="2020-04-29T11:29:00Z" w:initials="MP(">
    <w:p w14:paraId="21CA9AAD" w14:textId="3D9B0FB7" w:rsidR="009943DF" w:rsidRDefault="009943DF">
      <w:pPr>
        <w:pStyle w:val="CommentText"/>
      </w:pPr>
      <w:r>
        <w:rPr>
          <w:rStyle w:val="CommentReference"/>
        </w:rPr>
        <w:annotationRef/>
      </w:r>
      <w:r>
        <w:t>But them words are the exact same from the ref or does it not matter as the whole sentence isn’t direct?</w:t>
      </w:r>
    </w:p>
    <w:p w14:paraId="0D47762A" w14:textId="0DD0E414" w:rsidR="009943DF" w:rsidRDefault="009943DF">
      <w:pPr>
        <w:pStyle w:val="CommentText"/>
      </w:pPr>
    </w:p>
  </w:comment>
  <w:comment w:id="6" w:author="Melisa Pak (1701689)" w:date="2020-04-29T11:30:00Z" w:initials="MP(">
    <w:p w14:paraId="124A878E" w14:textId="5914093C" w:rsidR="009943DF" w:rsidRDefault="009943DF">
      <w:pPr>
        <w:pStyle w:val="CommentText"/>
      </w:pPr>
      <w:r>
        <w:rPr>
          <w:rStyle w:val="CommentReference"/>
        </w:rPr>
        <w:annotationRef/>
      </w:r>
      <w:r>
        <w:t>KZ: A short sentence why</w:t>
      </w:r>
    </w:p>
  </w:comment>
  <w:comment w:id="7" w:author="Melisa Pak (1701689)" w:date="2020-04-29T11:30:00Z" w:initials="MP(">
    <w:p w14:paraId="3C577E02" w14:textId="6FF2292D" w:rsidR="009943DF" w:rsidRDefault="009943DF">
      <w:pPr>
        <w:pStyle w:val="CommentText"/>
      </w:pPr>
      <w:r>
        <w:rPr>
          <w:rStyle w:val="CommentReference"/>
        </w:rPr>
        <w:annotationRef/>
      </w:r>
      <w:r>
        <w:t>Is it a short sentence?</w:t>
      </w:r>
    </w:p>
  </w:comment>
  <w:comment w:id="10" w:author="Melisa" w:date="2020-04-30T10:20:00Z" w:initials="M">
    <w:p w14:paraId="71EC3895" w14:textId="77AB71E4" w:rsidR="009943DF" w:rsidRDefault="009943DF">
      <w:pPr>
        <w:pStyle w:val="CommentText"/>
      </w:pPr>
      <w:r>
        <w:rPr>
          <w:rStyle w:val="CommentReference"/>
        </w:rPr>
        <w:annotationRef/>
      </w:r>
      <w:r>
        <w:t>Shorten?</w:t>
      </w:r>
    </w:p>
  </w:comment>
  <w:comment w:id="8" w:author="Melisa Pak" w:date="2020-04-29T14:58:00Z" w:initials="MP(">
    <w:p w14:paraId="1F332096" w14:textId="77777777" w:rsidR="009943DF" w:rsidRDefault="009943DF" w:rsidP="00105636">
      <w:pPr>
        <w:pStyle w:val="CommentText"/>
      </w:pPr>
      <w:r>
        <w:rPr>
          <w:rStyle w:val="CommentReference"/>
        </w:rPr>
        <w:annotationRef/>
      </w:r>
      <w:r>
        <w:t>KZ:</w:t>
      </w:r>
      <w:r w:rsidRPr="00A768B1">
        <w:t xml:space="preserve"> </w:t>
      </w:r>
      <w:r>
        <w:t xml:space="preserve">You repeat this from above </w:t>
      </w:r>
      <w:proofErr w:type="gramStart"/>
      <w:r>
        <w:t>and also</w:t>
      </w:r>
      <w:proofErr w:type="gramEnd"/>
      <w:r>
        <w:t xml:space="preserve"> jump back in time. I therefore would cut this here out. It is quite descriptive and does not contribute to your argument. You can bring some of the facts in context or connect it further up when you talk about </w:t>
      </w:r>
      <w:proofErr w:type="spellStart"/>
      <w:r>
        <w:t>Bezoni</w:t>
      </w:r>
      <w:proofErr w:type="spellEnd"/>
      <w:r>
        <w:t>, Salt etc.</w:t>
      </w:r>
    </w:p>
    <w:p w14:paraId="0775E75F" w14:textId="77777777" w:rsidR="009943DF" w:rsidRDefault="009943DF" w:rsidP="00105636">
      <w:pPr>
        <w:pStyle w:val="CommentText"/>
      </w:pPr>
    </w:p>
  </w:comment>
  <w:comment w:id="9" w:author="Melisa" w:date="2020-04-30T10:17:00Z" w:initials="M">
    <w:p w14:paraId="16B566EB" w14:textId="7D4F6307" w:rsidR="009943DF" w:rsidRDefault="009943DF">
      <w:pPr>
        <w:pStyle w:val="CommentText"/>
      </w:pPr>
      <w:r>
        <w:rPr>
          <w:rStyle w:val="CommentReference"/>
        </w:rPr>
        <w:annotationRef/>
      </w:r>
      <w:r>
        <w:t>If I make these adjustments is it ok?</w:t>
      </w:r>
    </w:p>
  </w:comment>
  <w:comment w:id="11" w:author="Melisa Pak (1701689)" w:date="2020-04-29T11:31:00Z" w:initials="MP(">
    <w:p w14:paraId="634A2351" w14:textId="3F0C8373" w:rsidR="009943DF" w:rsidRDefault="009943DF">
      <w:pPr>
        <w:pStyle w:val="CommentText"/>
      </w:pPr>
      <w:r>
        <w:rPr>
          <w:rStyle w:val="CommentReference"/>
        </w:rPr>
        <w:annotationRef/>
      </w:r>
      <w:r>
        <w:t xml:space="preserve">KZ: Own words – this is correct but only one side of the medal. This practice was already an achievement compared with the practice by Belzoni, </w:t>
      </w:r>
      <w:proofErr w:type="spellStart"/>
      <w:r>
        <w:t>Drovettie</w:t>
      </w:r>
      <w:proofErr w:type="spellEnd"/>
      <w:r>
        <w:t xml:space="preserve"> and Salt. You need to argue more differentiated and in steps </w:t>
      </w:r>
    </w:p>
    <w:p w14:paraId="41653896" w14:textId="78C972E8" w:rsidR="009943DF" w:rsidRDefault="009943DF">
      <w:pPr>
        <w:pStyle w:val="CommentText"/>
      </w:pPr>
    </w:p>
  </w:comment>
  <w:comment w:id="12" w:author="Melisa Pak (1701689)" w:date="2020-04-29T11:33:00Z" w:initials="MP(">
    <w:p w14:paraId="2E39D024" w14:textId="29D760EE" w:rsidR="009943DF" w:rsidRDefault="009943DF">
      <w:pPr>
        <w:pStyle w:val="CommentText"/>
      </w:pPr>
      <w:r>
        <w:rPr>
          <w:rStyle w:val="CommentReference"/>
        </w:rPr>
        <w:annotationRef/>
      </w:r>
      <w:r>
        <w:t xml:space="preserve">No idea what she is on about </w:t>
      </w:r>
    </w:p>
  </w:comment>
  <w:comment w:id="13" w:author="Melisa Pak (1701689)" w:date="2020-04-29T11:21:00Z" w:initials="MP(">
    <w:p w14:paraId="6C2FCAF7" w14:textId="77777777" w:rsidR="009943DF" w:rsidRDefault="009943DF">
      <w:pPr>
        <w:pStyle w:val="CommentText"/>
      </w:pPr>
      <w:r>
        <w:rPr>
          <w:rStyle w:val="CommentReference"/>
        </w:rPr>
        <w:annotationRef/>
      </w:r>
      <w:r>
        <w:t xml:space="preserve">Made the changes suggested but now </w:t>
      </w:r>
      <w:proofErr w:type="spellStart"/>
      <w:r>
        <w:t>im</w:t>
      </w:r>
      <w:proofErr w:type="spellEnd"/>
      <w:r>
        <w:t xml:space="preserve"> not sure if I have confused the sentence </w:t>
      </w:r>
    </w:p>
    <w:p w14:paraId="171E81FD" w14:textId="2422F578" w:rsidR="009943DF" w:rsidRDefault="009943DF">
      <w:pPr>
        <w:pStyle w:val="CommentText"/>
      </w:pPr>
    </w:p>
  </w:comment>
  <w:comment w:id="14" w:author="Melisa" w:date="2020-04-30T10:23:00Z" w:initials="M">
    <w:p w14:paraId="55D6F7AB" w14:textId="0A3DBE85" w:rsidR="009943DF" w:rsidRDefault="009943DF">
      <w:pPr>
        <w:pStyle w:val="CommentText"/>
      </w:pPr>
      <w:r>
        <w:rPr>
          <w:rStyle w:val="CommentReference"/>
        </w:rPr>
        <w:annotationRef/>
      </w:r>
      <w:r>
        <w:t xml:space="preserve">Delete? Could add to the previous page where I mention </w:t>
      </w:r>
      <w:proofErr w:type="spellStart"/>
      <w:r>
        <w:t>marriette</w:t>
      </w:r>
      <w:proofErr w:type="spellEnd"/>
      <w:r>
        <w:t>?</w:t>
      </w:r>
    </w:p>
  </w:comment>
  <w:comment w:id="15" w:author="Melisa Pak (1701689)" w:date="2020-04-29T11:34:00Z" w:initials="MP(">
    <w:p w14:paraId="07BE5B4F" w14:textId="15C66D74" w:rsidR="009943DF" w:rsidRDefault="009943DF">
      <w:pPr>
        <w:pStyle w:val="CommentText"/>
      </w:pPr>
      <w:r>
        <w:rPr>
          <w:rStyle w:val="CommentReference"/>
        </w:rPr>
        <w:annotationRef/>
      </w:r>
      <w:r>
        <w:t xml:space="preserve">KZ: Why do you need this info? </w:t>
      </w:r>
    </w:p>
  </w:comment>
  <w:comment w:id="16" w:author="Melisa Pak (1701689)" w:date="2020-04-29T11:43:00Z" w:initials="MP(">
    <w:p w14:paraId="6C35621D" w14:textId="594D9C20" w:rsidR="009943DF" w:rsidRDefault="009943DF">
      <w:pPr>
        <w:pStyle w:val="CommentText"/>
      </w:pPr>
      <w:r>
        <w:rPr>
          <w:rStyle w:val="CommentReference"/>
        </w:rPr>
        <w:annotationRef/>
      </w:r>
      <w:r>
        <w:t>Background info?</w:t>
      </w:r>
    </w:p>
  </w:comment>
  <w:comment w:id="17" w:author="Melisa Pak (1701689)" w:date="2020-04-29T11:35:00Z" w:initials="MP(">
    <w:p w14:paraId="403584CF" w14:textId="77777777" w:rsidR="009943DF" w:rsidRPr="00782461" w:rsidRDefault="009943DF" w:rsidP="006D4AD3">
      <w:pPr>
        <w:pStyle w:val="CommentText"/>
        <w:rPr>
          <w:i/>
          <w:iCs/>
        </w:rPr>
      </w:pPr>
      <w:r>
        <w:rPr>
          <w:rStyle w:val="CommentReference"/>
        </w:rPr>
        <w:annotationRef/>
      </w:r>
      <w:r>
        <w:rPr>
          <w:rStyle w:val="CommentReference"/>
        </w:rPr>
        <w:annotationRef/>
      </w:r>
      <w:r>
        <w:t xml:space="preserve">Best to go back to the original article in JAMA 2010 in order to untangle this. We know that he was married to Nefertiti and Kiya. The motherhood between them is usually given to one of them (and not one of the manifold women in his </w:t>
      </w:r>
      <w:proofErr w:type="spellStart"/>
      <w:r>
        <w:t>harim</w:t>
      </w:r>
      <w:proofErr w:type="spellEnd"/>
      <w:r>
        <w:t xml:space="preserve">). </w:t>
      </w:r>
      <w:proofErr w:type="spellStart"/>
      <w:r>
        <w:t>Hawass</w:t>
      </w:r>
      <w:proofErr w:type="spellEnd"/>
      <w:r>
        <w:t xml:space="preserve">’ theory that it is the younger lady is only one of theories. What is also interesting is that the original JAMA article </w:t>
      </w:r>
      <w:proofErr w:type="gramStart"/>
      <w:r>
        <w:t>actually equates</w:t>
      </w:r>
      <w:proofErr w:type="gramEnd"/>
      <w:r>
        <w:t xml:space="preserve"> KV35YL with Nefertiti (also possible </w:t>
      </w:r>
      <w:proofErr w:type="spellStart"/>
      <w:r>
        <w:t>Tiye</w:t>
      </w:r>
      <w:proofErr w:type="spellEnd"/>
      <w:r>
        <w:t xml:space="preserve">), different to here. This is also followed by </w:t>
      </w:r>
      <w:proofErr w:type="spellStart"/>
      <w:r w:rsidRPr="00782461">
        <w:t>Habicht</w:t>
      </w:r>
      <w:proofErr w:type="spellEnd"/>
      <w:r w:rsidRPr="00782461">
        <w:t xml:space="preserve"> (M. E. </w:t>
      </w:r>
      <w:proofErr w:type="spellStart"/>
      <w:r w:rsidRPr="00782461">
        <w:t>Habicht</w:t>
      </w:r>
      <w:proofErr w:type="spellEnd"/>
      <w:r w:rsidRPr="00782461">
        <w:t xml:space="preserve">, </w:t>
      </w:r>
      <w:proofErr w:type="spellStart"/>
      <w:r w:rsidRPr="00782461">
        <w:rPr>
          <w:i/>
          <w:iCs/>
        </w:rPr>
        <w:t>Nofretete</w:t>
      </w:r>
      <w:proofErr w:type="spellEnd"/>
      <w:r w:rsidRPr="00782461">
        <w:rPr>
          <w:i/>
          <w:iCs/>
        </w:rPr>
        <w:t xml:space="preserve"> und</w:t>
      </w:r>
    </w:p>
    <w:p w14:paraId="6034D5BC" w14:textId="77777777" w:rsidR="009943DF" w:rsidRPr="00460049" w:rsidRDefault="009943DF" w:rsidP="006D4AD3">
      <w:pPr>
        <w:autoSpaceDE w:val="0"/>
        <w:autoSpaceDN w:val="0"/>
        <w:adjustRightInd w:val="0"/>
        <w:spacing w:after="0" w:line="240" w:lineRule="auto"/>
      </w:pPr>
      <w:r w:rsidRPr="00782461">
        <w:rPr>
          <w:i/>
          <w:iCs/>
          <w:lang w:val="de-DE"/>
        </w:rPr>
        <w:t>Echnaton: Das Geheimnis der Amarna-Mumien</w:t>
      </w:r>
      <w:r w:rsidRPr="00782461">
        <w:rPr>
          <w:lang w:val="de-DE"/>
        </w:rPr>
        <w:t xml:space="preserve">, Leipzig 2011). </w:t>
      </w:r>
      <w:r w:rsidRPr="0032649D">
        <w:t xml:space="preserve">Furthermore, it is </w:t>
      </w:r>
      <w:r>
        <w:t xml:space="preserve">not necessarily clear if Nefertiti or Kiya were daughters of AIII and T. I dispute that, none of them is marked as s3.t </w:t>
      </w:r>
      <w:proofErr w:type="spellStart"/>
      <w:r>
        <w:t>nswt</w:t>
      </w:r>
      <w:proofErr w:type="spellEnd"/>
      <w:r>
        <w:t xml:space="preserve"> (daughter of the king) as it would be expected. At least Nefertiti seems to have belonged to the family of </w:t>
      </w:r>
      <w:proofErr w:type="spellStart"/>
      <w:r>
        <w:t>Tiye</w:t>
      </w:r>
      <w:proofErr w:type="spellEnd"/>
      <w:r>
        <w:t xml:space="preserve"> (sister of her, niece, … – enough to mess up the DNA see my 2015 article. </w:t>
      </w:r>
      <w:r w:rsidRPr="00460049">
        <w:t xml:space="preserve">Also it is quite unlikely that Kiya was a daughter of </w:t>
      </w:r>
      <w:proofErr w:type="spellStart"/>
      <w:r w:rsidRPr="00460049">
        <w:t>Aiii</w:t>
      </w:r>
      <w:proofErr w:type="spellEnd"/>
      <w:r w:rsidRPr="00460049">
        <w:t xml:space="preserve"> / T. </w:t>
      </w:r>
      <w:proofErr w:type="spellStart"/>
      <w:r w:rsidRPr="00460049">
        <w:t>Habicht</w:t>
      </w:r>
      <w:proofErr w:type="spellEnd"/>
      <w:r w:rsidRPr="00460049">
        <w:t xml:space="preserve"> also discusses if N</w:t>
      </w:r>
      <w:r>
        <w:t xml:space="preserve">. could have been one of the lesser known daughters of AIII with a name change when she married </w:t>
      </w:r>
      <w:proofErr w:type="gramStart"/>
      <w:r>
        <w:t>AIII  (</w:t>
      </w:r>
      <w:proofErr w:type="spellStart"/>
      <w:proofErr w:type="gramEnd"/>
      <w:r>
        <w:t>H</w:t>
      </w:r>
      <w:r w:rsidRPr="00460049">
        <w:rPr>
          <w:rFonts w:ascii="MinionPro-Regular" w:hAnsi="MinionPro-Regular" w:cs="MinionPro-Regular"/>
          <w:sz w:val="20"/>
          <w:szCs w:val="20"/>
        </w:rPr>
        <w:t>enuttaunebu</w:t>
      </w:r>
      <w:proofErr w:type="spellEnd"/>
      <w:r w:rsidRPr="00460049">
        <w:rPr>
          <w:rFonts w:ascii="MinionPro-Regular" w:hAnsi="MinionPro-Regular" w:cs="MinionPro-Regular"/>
          <w:sz w:val="20"/>
          <w:szCs w:val="20"/>
        </w:rPr>
        <w:t xml:space="preserve"> or </w:t>
      </w:r>
      <w:proofErr w:type="spellStart"/>
      <w:r w:rsidRPr="00460049">
        <w:rPr>
          <w:rFonts w:ascii="MinionPro-Regular" w:hAnsi="MinionPro-Regular" w:cs="MinionPro-Regular"/>
          <w:sz w:val="20"/>
          <w:szCs w:val="20"/>
        </w:rPr>
        <w:t>Nebetach</w:t>
      </w:r>
      <w:proofErr w:type="spellEnd"/>
      <w:r>
        <w:rPr>
          <w:rFonts w:ascii="MinionPro-Regular" w:hAnsi="MinionPro-Regular" w:cs="MinionPro-Regular"/>
          <w:sz w:val="20"/>
          <w:szCs w:val="20"/>
        </w:rPr>
        <w:t>)</w:t>
      </w:r>
      <w:r w:rsidRPr="00460049">
        <w:rPr>
          <w:rFonts w:ascii="MinionPro-Regular" w:hAnsi="MinionPro-Regular" w:cs="MinionPro-Regular"/>
          <w:sz w:val="20"/>
          <w:szCs w:val="20"/>
        </w:rPr>
        <w:t>.</w:t>
      </w:r>
      <w:r>
        <w:rPr>
          <w:rFonts w:ascii="MinionPro-Regular" w:hAnsi="MinionPro-Regular" w:cs="MinionPro-Regular"/>
          <w:sz w:val="20"/>
          <w:szCs w:val="20"/>
        </w:rPr>
        <w:t xml:space="preserve"> </w:t>
      </w:r>
      <w:proofErr w:type="gramStart"/>
      <w:r>
        <w:rPr>
          <w:rFonts w:ascii="MinionPro-Regular" w:hAnsi="MinionPro-Regular" w:cs="MinionPro-Regular"/>
          <w:sz w:val="20"/>
          <w:szCs w:val="20"/>
        </w:rPr>
        <w:t>Again</w:t>
      </w:r>
      <w:proofErr w:type="gramEnd"/>
      <w:r>
        <w:rPr>
          <w:rFonts w:ascii="MinionPro-Regular" w:hAnsi="MinionPro-Regular" w:cs="MinionPro-Regular"/>
          <w:sz w:val="20"/>
          <w:szCs w:val="20"/>
        </w:rPr>
        <w:t xml:space="preserve"> I think this to be more unlikely due to the missing title which was important in the 18</w:t>
      </w:r>
      <w:r w:rsidRPr="00460049">
        <w:rPr>
          <w:rFonts w:ascii="MinionPro-Regular" w:hAnsi="MinionPro-Regular" w:cs="MinionPro-Regular"/>
          <w:sz w:val="20"/>
          <w:szCs w:val="20"/>
          <w:vertAlign w:val="superscript"/>
        </w:rPr>
        <w:t>th</w:t>
      </w:r>
      <w:r>
        <w:rPr>
          <w:rFonts w:ascii="MinionPro-Regular" w:hAnsi="MinionPro-Regular" w:cs="MinionPro-Regular"/>
          <w:sz w:val="20"/>
          <w:szCs w:val="20"/>
        </w:rPr>
        <w:t xml:space="preserve"> </w:t>
      </w:r>
      <w:proofErr w:type="spellStart"/>
      <w:r>
        <w:rPr>
          <w:rFonts w:ascii="MinionPro-Regular" w:hAnsi="MinionPro-Regular" w:cs="MinionPro-Regular"/>
          <w:sz w:val="20"/>
          <w:szCs w:val="20"/>
        </w:rPr>
        <w:t>dyn</w:t>
      </w:r>
      <w:proofErr w:type="spellEnd"/>
      <w:r>
        <w:rPr>
          <w:rFonts w:ascii="MinionPro-Regular" w:hAnsi="MinionPro-Regular" w:cs="MinionPro-Regular"/>
          <w:sz w:val="20"/>
          <w:szCs w:val="20"/>
        </w:rPr>
        <w:t>.</w:t>
      </w:r>
    </w:p>
    <w:p w14:paraId="65F873A6" w14:textId="77777777" w:rsidR="009943DF" w:rsidRPr="0032649D" w:rsidRDefault="009943DF" w:rsidP="006D4AD3">
      <w:pPr>
        <w:pStyle w:val="CommentText"/>
      </w:pPr>
      <w:r w:rsidRPr="00460049">
        <w:t xml:space="preserve"> </w:t>
      </w:r>
      <w:r>
        <w:t xml:space="preserve">the problem with the JAMA article is that we do not know who KV55 is whom </w:t>
      </w:r>
      <w:proofErr w:type="spellStart"/>
      <w:r>
        <w:t>Hawass</w:t>
      </w:r>
      <w:proofErr w:type="spellEnd"/>
      <w:r>
        <w:t xml:space="preserve"> marks as Akhenaten.</w:t>
      </w:r>
    </w:p>
    <w:p w14:paraId="0A0C651F" w14:textId="077985CB" w:rsidR="009943DF" w:rsidRDefault="009943DF">
      <w:pPr>
        <w:pStyle w:val="CommentText"/>
      </w:pPr>
    </w:p>
  </w:comment>
  <w:comment w:id="18" w:author="Melisa" w:date="2020-04-30T10:53:00Z" w:initials="M">
    <w:p w14:paraId="6D069F95" w14:textId="68AD1D78" w:rsidR="009943DF" w:rsidRDefault="009943DF">
      <w:pPr>
        <w:pStyle w:val="CommentText"/>
      </w:pPr>
      <w:r>
        <w:rPr>
          <w:rStyle w:val="CommentReference"/>
        </w:rPr>
        <w:annotationRef/>
      </w:r>
      <w:r>
        <w:t>Better?</w:t>
      </w:r>
    </w:p>
  </w:comment>
  <w:comment w:id="19" w:author="Melisa" w:date="2020-04-30T10:53:00Z" w:initials="M">
    <w:p w14:paraId="54CC1914" w14:textId="5813C1BE" w:rsidR="009943DF" w:rsidRDefault="009943DF">
      <w:pPr>
        <w:pStyle w:val="CommentText"/>
      </w:pPr>
      <w:r>
        <w:rPr>
          <w:rStyle w:val="CommentReference"/>
        </w:rPr>
        <w:annotationRef/>
      </w:r>
      <w:r>
        <w:t>Delete?</w:t>
      </w:r>
    </w:p>
  </w:comment>
  <w:comment w:id="20" w:author="Melisa" w:date="2020-04-30T11:09:00Z" w:initials="M">
    <w:p w14:paraId="1C068CC8" w14:textId="282FB8E7" w:rsidR="009943DF" w:rsidRDefault="009943DF">
      <w:pPr>
        <w:pStyle w:val="CommentText"/>
      </w:pPr>
      <w:r>
        <w:rPr>
          <w:rStyle w:val="CommentReference"/>
        </w:rPr>
        <w:annotationRef/>
      </w:r>
      <w:r>
        <w:t>Is this ref ok?</w:t>
      </w:r>
    </w:p>
  </w:comment>
  <w:comment w:id="21" w:author="Melisa Pak (1701689)" w:date="2020-04-29T11:37:00Z" w:initials="MP(">
    <w:p w14:paraId="1D15B582" w14:textId="77777777" w:rsidR="009943DF" w:rsidRDefault="009943DF" w:rsidP="00397464">
      <w:pPr>
        <w:pStyle w:val="CommentText"/>
      </w:pPr>
      <w:r>
        <w:rPr>
          <w:rStyle w:val="CommentReference"/>
        </w:rPr>
        <w:annotationRef/>
      </w:r>
      <w:r>
        <w:t>This matriarchal line is in and out of discussion and was the main explanation until the 1980s.</w:t>
      </w:r>
    </w:p>
    <w:p w14:paraId="57B39CAF" w14:textId="64E0F312" w:rsidR="009943DF" w:rsidRDefault="009943DF">
      <w:pPr>
        <w:pStyle w:val="CommentText"/>
      </w:pPr>
    </w:p>
  </w:comment>
  <w:comment w:id="22" w:author="Melisa Pak (1701689)" w:date="2020-04-29T11:49:00Z" w:initials="MP(">
    <w:p w14:paraId="17A9E623" w14:textId="0857FB8A" w:rsidR="009943DF" w:rsidRDefault="009943DF">
      <w:pPr>
        <w:pStyle w:val="CommentText"/>
      </w:pPr>
      <w:r>
        <w:rPr>
          <w:rStyle w:val="CommentReference"/>
        </w:rPr>
        <w:annotationRef/>
      </w:r>
      <w:proofErr w:type="gramStart"/>
      <w:r>
        <w:t>So</w:t>
      </w:r>
      <w:proofErr w:type="gramEnd"/>
      <w:r>
        <w:t xml:space="preserve"> should I remove this? As no idea on a ref to say that it is no longer a considered theory </w:t>
      </w:r>
    </w:p>
  </w:comment>
  <w:comment w:id="23" w:author="Melisa Pak (1701689)" w:date="2020-04-29T11:39:00Z" w:initials="MP(">
    <w:p w14:paraId="1C0B8548" w14:textId="783FC32C" w:rsidR="009943DF" w:rsidRDefault="009943DF">
      <w:pPr>
        <w:pStyle w:val="CommentText"/>
      </w:pPr>
      <w:r>
        <w:rPr>
          <w:rStyle w:val="CommentReference"/>
        </w:rPr>
        <w:annotationRef/>
      </w:r>
      <w:r>
        <w:t>KZ: I have real problems with this. The prince idea becomes important in the 19</w:t>
      </w:r>
      <w:r w:rsidRPr="000003E9">
        <w:rPr>
          <w:vertAlign w:val="superscript"/>
        </w:rPr>
        <w:t>th</w:t>
      </w:r>
      <w:r>
        <w:t xml:space="preserve"> dynasty. </w:t>
      </w:r>
      <w:proofErr w:type="spellStart"/>
      <w:r>
        <w:t>Horemhab</w:t>
      </w:r>
      <w:proofErr w:type="spellEnd"/>
      <w:r>
        <w:t xml:space="preserve"> is was an army officer from Amarna, later head of army under </w:t>
      </w:r>
      <w:proofErr w:type="spellStart"/>
      <w:r>
        <w:t>Tuti</w:t>
      </w:r>
      <w:proofErr w:type="spellEnd"/>
      <w:r>
        <w:t>, successor to Ay.</w:t>
      </w:r>
    </w:p>
  </w:comment>
  <w:comment w:id="24" w:author="Melisa Pak (1701689)" w:date="2020-04-29T11:50:00Z" w:initials="MP(">
    <w:p w14:paraId="22C0F31E" w14:textId="1D6C2F12" w:rsidR="009943DF" w:rsidRDefault="009943DF">
      <w:pPr>
        <w:pStyle w:val="CommentText"/>
      </w:pPr>
      <w:r>
        <w:rPr>
          <w:rStyle w:val="CommentReference"/>
        </w:rPr>
        <w:annotationRef/>
      </w:r>
      <w:r>
        <w:t xml:space="preserve">But this info I got from a book, so should I try to find info that supports what she says and then ref that? </w:t>
      </w:r>
    </w:p>
  </w:comment>
  <w:comment w:id="25" w:author="Melisa Pak" w:date="2020-04-29T14:17:00Z" w:initials="MP(">
    <w:p w14:paraId="39ACFF13" w14:textId="03F22E86" w:rsidR="009943DF" w:rsidRDefault="009943DF">
      <w:pPr>
        <w:pStyle w:val="CommentText"/>
      </w:pPr>
      <w:r>
        <w:rPr>
          <w:rStyle w:val="CommentReference"/>
        </w:rPr>
        <w:annotationRef/>
      </w:r>
      <w:r>
        <w:t xml:space="preserve">KZ: It is not fully clear why you offer this explanation here. Maybe add 1-2 sentences to ease in – where is the connection of Tutankhamun and </w:t>
      </w:r>
      <w:proofErr w:type="spellStart"/>
      <w:r>
        <w:t>pharaonism</w:t>
      </w:r>
      <w:proofErr w:type="spellEnd"/>
      <w:r>
        <w:t xml:space="preserve"> for your diss.</w:t>
      </w:r>
    </w:p>
  </w:comment>
  <w:comment w:id="26" w:author="Melisa" w:date="2020-04-30T11:31:00Z" w:initials="M">
    <w:p w14:paraId="531755E4" w14:textId="58229CF4" w:rsidR="009943DF" w:rsidRDefault="009943DF">
      <w:pPr>
        <w:pStyle w:val="CommentText"/>
      </w:pPr>
      <w:r>
        <w:rPr>
          <w:rStyle w:val="CommentReference"/>
        </w:rPr>
        <w:annotationRef/>
      </w:r>
      <w:r>
        <w:t>No idea if this makes sense but my attempt to answer Katharina’s previous statement</w:t>
      </w:r>
    </w:p>
  </w:comment>
  <w:comment w:id="27" w:author="Melisa Pak" w:date="2020-04-29T14:30:00Z" w:initials="MP(">
    <w:p w14:paraId="13DE0339" w14:textId="77777777" w:rsidR="009943DF" w:rsidRDefault="009943DF" w:rsidP="00000098">
      <w:pPr>
        <w:pStyle w:val="CommentText"/>
      </w:pPr>
      <w:r>
        <w:rPr>
          <w:rStyle w:val="CommentReference"/>
        </w:rPr>
        <w:annotationRef/>
      </w:r>
      <w:r>
        <w:t xml:space="preserve">KZ: Again, why this – far too abrupt – what is connection of </w:t>
      </w:r>
      <w:proofErr w:type="spellStart"/>
      <w:r>
        <w:t>pharaonism</w:t>
      </w:r>
      <w:proofErr w:type="spellEnd"/>
      <w:r>
        <w:t xml:space="preserve"> and nationalism, why is it called </w:t>
      </w:r>
      <w:proofErr w:type="spellStart"/>
      <w:r>
        <w:t>pharaonism</w:t>
      </w:r>
      <w:proofErr w:type="spellEnd"/>
    </w:p>
    <w:p w14:paraId="14898D4B" w14:textId="472E6FC8" w:rsidR="009943DF" w:rsidRDefault="009943DF">
      <w:pPr>
        <w:pStyle w:val="CommentText"/>
      </w:pPr>
    </w:p>
  </w:comment>
  <w:comment w:id="28" w:author="Melisa Pak" w:date="2020-04-29T14:32:00Z" w:initials="MP(">
    <w:p w14:paraId="26398667" w14:textId="029932FE" w:rsidR="009943DF" w:rsidRDefault="009943DF">
      <w:pPr>
        <w:pStyle w:val="CommentText"/>
      </w:pPr>
      <w:r>
        <w:rPr>
          <w:rStyle w:val="CommentReference"/>
        </w:rPr>
        <w:annotationRef/>
      </w:r>
      <w:r>
        <w:t xml:space="preserve">KZ: What is their relationship to the </w:t>
      </w:r>
      <w:proofErr w:type="spellStart"/>
      <w:r>
        <w:t>Wafd</w:t>
      </w:r>
      <w:proofErr w:type="spellEnd"/>
    </w:p>
  </w:comment>
  <w:comment w:id="29" w:author="Melisa" w:date="2020-04-30T14:27:00Z" w:initials="M">
    <w:p w14:paraId="4235F69D" w14:textId="46F5FA7E" w:rsidR="009943DF" w:rsidRDefault="009943DF">
      <w:pPr>
        <w:pStyle w:val="CommentText"/>
      </w:pPr>
      <w:r>
        <w:rPr>
          <w:rStyle w:val="CommentReference"/>
        </w:rPr>
        <w:annotationRef/>
      </w:r>
      <w:r>
        <w:t xml:space="preserve">Bold is the new section  </w:t>
      </w:r>
    </w:p>
  </w:comment>
  <w:comment w:id="30" w:author="Melisa" w:date="2020-05-01T10:17:00Z" w:initials="M">
    <w:p w14:paraId="65977DF3" w14:textId="0C378429" w:rsidR="009943DF" w:rsidRDefault="009943DF">
      <w:pPr>
        <w:pStyle w:val="CommentText"/>
      </w:pPr>
      <w:r>
        <w:rPr>
          <w:rStyle w:val="CommentReference"/>
        </w:rPr>
        <w:annotationRef/>
      </w:r>
      <w:r>
        <w:t>Not sure if this fits now?</w:t>
      </w:r>
    </w:p>
  </w:comment>
  <w:comment w:id="31" w:author="Melisa Pak" w:date="2020-04-29T14:36:00Z" w:initials="MP(">
    <w:p w14:paraId="60CC4834" w14:textId="77777777" w:rsidR="009943DF" w:rsidRDefault="009943DF" w:rsidP="002F71C0">
      <w:pPr>
        <w:pStyle w:val="CommentText"/>
      </w:pPr>
      <w:r>
        <w:rPr>
          <w:rStyle w:val="CommentReference"/>
        </w:rPr>
        <w:annotationRef/>
      </w:r>
      <w:r>
        <w:t xml:space="preserve">KZ: But this is not a conclusion the late discovery of heritage. What was Egyptology in the early time (since </w:t>
      </w:r>
      <w:proofErr w:type="spellStart"/>
      <w:r>
        <w:t>Napoleaon</w:t>
      </w:r>
      <w:proofErr w:type="spellEnd"/>
      <w:r>
        <w:t xml:space="preserve">)? Connected with imperialistic expansion. </w:t>
      </w:r>
      <w:proofErr w:type="spellStart"/>
      <w:r>
        <w:t>Pharaonism</w:t>
      </w:r>
      <w:proofErr w:type="spellEnd"/>
      <w:r>
        <w:t xml:space="preserve"> was the Egyptian attempt to counterbalance this. This </w:t>
      </w:r>
      <w:proofErr w:type="gramStart"/>
      <w:r>
        <w:t>actually does</w:t>
      </w:r>
      <w:proofErr w:type="gramEnd"/>
      <w:r>
        <w:t xml:space="preserve"> not say anything about appreciation of pharaonic heritage. Be careful not to mix that</w:t>
      </w:r>
    </w:p>
    <w:p w14:paraId="730549C9" w14:textId="17FADFD7" w:rsidR="009943DF" w:rsidRDefault="009943DF">
      <w:pPr>
        <w:pStyle w:val="CommentText"/>
      </w:pPr>
    </w:p>
  </w:comment>
  <w:comment w:id="32" w:author="Melisa Pak" w:date="2020-04-29T15:24:00Z" w:initials="MP(">
    <w:p w14:paraId="6D70F1C2" w14:textId="3B4885AF" w:rsidR="009943DF" w:rsidRDefault="009943DF">
      <w:pPr>
        <w:pStyle w:val="CommentText"/>
      </w:pPr>
      <w:r>
        <w:rPr>
          <w:rStyle w:val="CommentReference"/>
        </w:rPr>
        <w:annotationRef/>
      </w:r>
      <w:r>
        <w:t>Changed slightly do I need to change more?</w:t>
      </w:r>
    </w:p>
  </w:comment>
  <w:comment w:id="33" w:author="Melisa Pak" w:date="2020-04-29T14:37:00Z" w:initials="MP(">
    <w:p w14:paraId="75003938" w14:textId="77777777" w:rsidR="009943DF" w:rsidRDefault="009943DF" w:rsidP="00D05D88">
      <w:pPr>
        <w:pStyle w:val="CommentText"/>
      </w:pPr>
      <w:r>
        <w:rPr>
          <w:rStyle w:val="CommentReference"/>
        </w:rPr>
        <w:annotationRef/>
      </w:r>
      <w:r>
        <w:t xml:space="preserve">KZ: </w:t>
      </w:r>
      <w:r>
        <w:rPr>
          <w:rStyle w:val="CommentReference"/>
        </w:rPr>
        <w:annotationRef/>
      </w:r>
      <w:r>
        <w:t>He is an archaeologist which started as an artist</w:t>
      </w:r>
    </w:p>
    <w:p w14:paraId="24A00E3C" w14:textId="77777777" w:rsidR="009943DF" w:rsidRDefault="009943DF" w:rsidP="00D05D88">
      <w:pPr>
        <w:pStyle w:val="CommentText"/>
      </w:pPr>
      <w:r>
        <w:t>What you could say is – Being an artist, HC first visited (however, he worked as the excavation artist in times before easy photography, and he was only 17 when came to Egypt)</w:t>
      </w:r>
    </w:p>
    <w:p w14:paraId="504C0EF9" w14:textId="2B4ED510" w:rsidR="009943DF" w:rsidRDefault="009943DF">
      <w:pPr>
        <w:pStyle w:val="CommentText"/>
      </w:pPr>
    </w:p>
  </w:comment>
  <w:comment w:id="34" w:author="Melisa Pak" w:date="2020-04-29T15:27:00Z" w:initials="MP(">
    <w:p w14:paraId="2F881B3B" w14:textId="7A826A13" w:rsidR="009943DF" w:rsidRDefault="009943DF">
      <w:pPr>
        <w:pStyle w:val="CommentText"/>
      </w:pPr>
      <w:r>
        <w:rPr>
          <w:rStyle w:val="CommentReference"/>
        </w:rPr>
        <w:annotationRef/>
      </w:r>
      <w:r>
        <w:t>Can I ref her for this?</w:t>
      </w:r>
    </w:p>
  </w:comment>
  <w:comment w:id="35" w:author="Melisa" w:date="2020-04-30T11:37:00Z" w:initials="M">
    <w:p w14:paraId="42809067" w14:textId="0711C015" w:rsidR="009943DF" w:rsidRDefault="009943DF">
      <w:pPr>
        <w:pStyle w:val="CommentText"/>
      </w:pPr>
      <w:r>
        <w:rPr>
          <w:rStyle w:val="CommentReference"/>
        </w:rPr>
        <w:annotationRef/>
      </w:r>
      <w:r>
        <w:t xml:space="preserve">Change </w:t>
      </w:r>
      <w:proofErr w:type="gramStart"/>
      <w:r>
        <w:t>to  say</w:t>
      </w:r>
      <w:proofErr w:type="gramEnd"/>
      <w:r>
        <w:t xml:space="preserve"> something like Davis worked in the valley of the kings with many different Egyptologist seen in appendix b. Davis and Jones thought they had found tuts tomb because tuts name inscribed in the tomb. </w:t>
      </w:r>
    </w:p>
  </w:comment>
  <w:comment w:id="36" w:author="Melisa" w:date="2020-04-30T11:39:00Z" w:initials="M">
    <w:p w14:paraId="454A329F" w14:textId="51670F71" w:rsidR="009943DF" w:rsidRDefault="009943DF">
      <w:pPr>
        <w:pStyle w:val="CommentText"/>
      </w:pPr>
      <w:r>
        <w:rPr>
          <w:rStyle w:val="CommentReference"/>
        </w:rPr>
        <w:annotationRef/>
      </w:r>
      <w:r>
        <w:t xml:space="preserve">Just say they did excavation work together and found stuff see the pic </w:t>
      </w:r>
    </w:p>
  </w:comment>
  <w:comment w:id="37" w:author="Melisa" w:date="2020-04-30T11:40:00Z" w:initials="M">
    <w:p w14:paraId="79C85211" w14:textId="7798849E" w:rsidR="009943DF" w:rsidRDefault="009943DF">
      <w:pPr>
        <w:pStyle w:val="CommentText"/>
      </w:pPr>
      <w:r>
        <w:rPr>
          <w:rStyle w:val="CommentReference"/>
        </w:rPr>
        <w:annotationRef/>
      </w:r>
      <w:r>
        <w:t>Put with section above?</w:t>
      </w:r>
    </w:p>
  </w:comment>
  <w:comment w:id="38" w:author="Melisa Pak" w:date="2020-04-29T14:41:00Z" w:initials="MP(">
    <w:p w14:paraId="6F71972D" w14:textId="77777777" w:rsidR="009943DF" w:rsidRDefault="009943DF" w:rsidP="002A1C6C">
      <w:pPr>
        <w:pStyle w:val="CommentText"/>
      </w:pPr>
      <w:r>
        <w:rPr>
          <w:rStyle w:val="CommentReference"/>
        </w:rPr>
        <w:annotationRef/>
      </w:r>
      <w:r>
        <w:t xml:space="preserve">KZ: You simply would need this phrased as a statement. Fryxell would only be needed if she contributes to the dichotomy West - </w:t>
      </w:r>
      <w:proofErr w:type="spellStart"/>
      <w:r>
        <w:t>Turankhamun</w:t>
      </w:r>
      <w:proofErr w:type="spellEnd"/>
    </w:p>
    <w:p w14:paraId="7E82D11C" w14:textId="73C19CEC" w:rsidR="009943DF" w:rsidRDefault="009943DF">
      <w:pPr>
        <w:pStyle w:val="CommentText"/>
      </w:pPr>
    </w:p>
  </w:comment>
  <w:comment w:id="39" w:author="Melisa Pak" w:date="2020-04-29T15:28:00Z" w:initials="MP(">
    <w:p w14:paraId="05FDB230" w14:textId="354F5635" w:rsidR="009943DF" w:rsidRDefault="009943DF">
      <w:pPr>
        <w:pStyle w:val="CommentText"/>
      </w:pPr>
      <w:r>
        <w:rPr>
          <w:rStyle w:val="CommentReference"/>
        </w:rPr>
        <w:annotationRef/>
      </w:r>
      <w:proofErr w:type="gramStart"/>
      <w:r>
        <w:rPr>
          <w:rStyle w:val="CommentReference"/>
        </w:rPr>
        <w:t>Don’t</w:t>
      </w:r>
      <w:proofErr w:type="gramEnd"/>
      <w:r>
        <w:rPr>
          <w:rStyle w:val="CommentReference"/>
        </w:rPr>
        <w:t xml:space="preserve"> know what to change it to</w:t>
      </w:r>
    </w:p>
  </w:comment>
  <w:comment w:id="40" w:author="Melisa Pak" w:date="2020-04-29T14:46:00Z" w:initials="MP(">
    <w:p w14:paraId="096B25A4" w14:textId="692FC683" w:rsidR="009943DF" w:rsidRDefault="009943DF">
      <w:pPr>
        <w:pStyle w:val="CommentText"/>
      </w:pPr>
      <w:r>
        <w:rPr>
          <w:rStyle w:val="CommentReference"/>
        </w:rPr>
        <w:annotationRef/>
      </w:r>
      <w:r>
        <w:t>KZ: Does Ikram mentions Carter her or mor the interest of the public?</w:t>
      </w:r>
    </w:p>
  </w:comment>
  <w:comment w:id="41" w:author="Melisa Pak" w:date="2020-04-29T15:31:00Z" w:initials="MP(">
    <w:p w14:paraId="1D183A82" w14:textId="090E0BD5" w:rsidR="009943DF" w:rsidRDefault="009943DF">
      <w:pPr>
        <w:pStyle w:val="CommentText"/>
      </w:pPr>
      <w:r>
        <w:rPr>
          <w:rStyle w:val="CommentReference"/>
        </w:rPr>
        <w:annotationRef/>
      </w:r>
      <w:r>
        <w:t>Carter? Does my wording not explain this?</w:t>
      </w:r>
    </w:p>
  </w:comment>
  <w:comment w:id="42" w:author="Melisa Pak" w:date="2020-04-29T14:48:00Z" w:initials="MP(">
    <w:p w14:paraId="44E2EAD7" w14:textId="77777777" w:rsidR="009943DF" w:rsidRDefault="009943DF" w:rsidP="008671E3">
      <w:pPr>
        <w:pStyle w:val="CommentText"/>
      </w:pPr>
      <w:r>
        <w:rPr>
          <w:rStyle w:val="CommentReference"/>
        </w:rPr>
        <w:annotationRef/>
      </w:r>
      <w:r>
        <w:t xml:space="preserve">KZ: </w:t>
      </w:r>
      <w:r>
        <w:rPr>
          <w:rStyle w:val="CommentReference"/>
        </w:rPr>
        <w:annotationRef/>
      </w:r>
      <w:r>
        <w:t xml:space="preserve">These observations were not the reason for </w:t>
      </w:r>
      <w:proofErr w:type="spellStart"/>
      <w:r>
        <w:t>Tutmania</w:t>
      </w:r>
      <w:proofErr w:type="spellEnd"/>
      <w:r>
        <w:t xml:space="preserve"> – rephrase and be careful with cause and effect</w:t>
      </w:r>
    </w:p>
    <w:p w14:paraId="6B1E6497" w14:textId="505811C5" w:rsidR="009943DF" w:rsidRDefault="009943DF">
      <w:pPr>
        <w:pStyle w:val="CommentText"/>
      </w:pPr>
    </w:p>
  </w:comment>
  <w:comment w:id="43" w:author="Melisa Pak" w:date="2020-04-29T15:32:00Z" w:initials="MP(">
    <w:p w14:paraId="4B07B4D5" w14:textId="4FCD9025" w:rsidR="009943DF" w:rsidRDefault="009943DF">
      <w:pPr>
        <w:pStyle w:val="CommentText"/>
      </w:pPr>
      <w:r>
        <w:rPr>
          <w:rStyle w:val="CommentReference"/>
        </w:rPr>
        <w:annotationRef/>
      </w:r>
      <w:r>
        <w:t>Which part? The sentence above or what I go on to discuss?</w:t>
      </w:r>
    </w:p>
  </w:comment>
  <w:comment w:id="44" w:author="Melisa Pak" w:date="2020-04-29T14:49:00Z" w:initials="MP(">
    <w:p w14:paraId="6B329331" w14:textId="77777777" w:rsidR="009943DF" w:rsidRDefault="009943DF" w:rsidP="00927643">
      <w:pPr>
        <w:pStyle w:val="CommentText"/>
      </w:pPr>
      <w:r>
        <w:rPr>
          <w:rStyle w:val="CommentReference"/>
        </w:rPr>
        <w:annotationRef/>
      </w:r>
      <w:r>
        <w:t xml:space="preserve">KZ: </w:t>
      </w:r>
      <w:r>
        <w:rPr>
          <w:rStyle w:val="CommentReference"/>
        </w:rPr>
        <w:annotationRef/>
      </w:r>
      <w:r>
        <w:t>Clearly to Carnarvon, but the excavation technique clearly states that this was not the case for Carter. However, archaeological methods changed since then. However, these are two different points</w:t>
      </w:r>
    </w:p>
    <w:p w14:paraId="4926C65A" w14:textId="0E45BA23" w:rsidR="009943DF" w:rsidRDefault="009943DF">
      <w:pPr>
        <w:pStyle w:val="CommentText"/>
      </w:pPr>
    </w:p>
  </w:comment>
  <w:comment w:id="45" w:author="Melisa Pak" w:date="2020-04-29T15:33:00Z" w:initials="MP(">
    <w:p w14:paraId="5214E5B8" w14:textId="5D00412F" w:rsidR="009943DF" w:rsidRDefault="009943DF">
      <w:pPr>
        <w:pStyle w:val="CommentText"/>
      </w:pPr>
      <w:r>
        <w:rPr>
          <w:rStyle w:val="CommentReference"/>
        </w:rPr>
        <w:annotationRef/>
      </w:r>
      <w:r>
        <w:t xml:space="preserve">Confused? As this is what I got from a journal </w:t>
      </w:r>
    </w:p>
  </w:comment>
  <w:comment w:id="46" w:author="Melisa Pak" w:date="2020-04-29T14:52:00Z" w:initials="MP(">
    <w:p w14:paraId="6CEE46BC" w14:textId="7A9CABE7" w:rsidR="009943DF" w:rsidRDefault="009943DF">
      <w:pPr>
        <w:pStyle w:val="CommentText"/>
      </w:pPr>
      <w:r>
        <w:rPr>
          <w:rStyle w:val="CommentReference"/>
        </w:rPr>
        <w:annotationRef/>
      </w:r>
      <w:r>
        <w:t>KZ; Short comment which that is</w:t>
      </w:r>
    </w:p>
  </w:comment>
  <w:comment w:id="47" w:author="Melisa Pak" w:date="2020-04-29T15:34:00Z" w:initials="MP(">
    <w:p w14:paraId="2D614ECE" w14:textId="271ED42E" w:rsidR="009943DF" w:rsidRDefault="009943DF">
      <w:pPr>
        <w:pStyle w:val="CommentText"/>
      </w:pPr>
      <w:r>
        <w:rPr>
          <w:rStyle w:val="CommentReference"/>
        </w:rPr>
        <w:annotationRef/>
      </w:r>
      <w:r>
        <w:t xml:space="preserve">No </w:t>
      </w:r>
      <w:proofErr w:type="spellStart"/>
      <w:r>
        <w:t>idead</w:t>
      </w:r>
      <w:proofErr w:type="spellEnd"/>
      <w:r>
        <w:t xml:space="preserve"> what she is on about </w:t>
      </w:r>
    </w:p>
  </w:comment>
  <w:comment w:id="48" w:author="Melisa Pak" w:date="2020-04-29T15:02:00Z" w:initials="MP(">
    <w:p w14:paraId="039FB27C" w14:textId="243D6FE9" w:rsidR="009943DF" w:rsidRDefault="009943DF" w:rsidP="00B73FD0">
      <w:pPr>
        <w:pStyle w:val="CommentText"/>
      </w:pPr>
      <w:r>
        <w:rPr>
          <w:rStyle w:val="CommentReference"/>
        </w:rPr>
        <w:annotationRef/>
      </w:r>
      <w:r>
        <w:t>KZ:</w:t>
      </w:r>
      <w:r w:rsidRPr="00B73FD0">
        <w:t xml:space="preserve"> </w:t>
      </w:r>
      <w:r>
        <w:t>This and especially the need for Egyptian Egyptologists is an important step, bring this out more clearly – why was he doing it, why did the oppressor try to hinder that? By the way until the 1990/2000 it was still so that the leading Egyptologists were trained outside Egypt, this has finally changed!</w:t>
      </w:r>
    </w:p>
    <w:p w14:paraId="7CC6CF95" w14:textId="208EE03E" w:rsidR="009943DF" w:rsidRDefault="009943DF">
      <w:pPr>
        <w:pStyle w:val="CommentText"/>
      </w:pPr>
    </w:p>
  </w:comment>
  <w:comment w:id="49" w:author="Melisa" w:date="2020-04-30T12:01:00Z" w:initials="M">
    <w:p w14:paraId="2F8C3AE6" w14:textId="2D6AD5F7" w:rsidR="009943DF" w:rsidRDefault="009943DF">
      <w:pPr>
        <w:pStyle w:val="CommentText"/>
      </w:pPr>
      <w:r>
        <w:rPr>
          <w:rStyle w:val="CommentReference"/>
        </w:rPr>
        <w:annotationRef/>
      </w:r>
      <w:r>
        <w:t>Better?</w:t>
      </w:r>
    </w:p>
  </w:comment>
  <w:comment w:id="50" w:author="Melisa Pak" w:date="2020-04-29T15:05:00Z" w:initials="MP(">
    <w:p w14:paraId="5B90FCA8" w14:textId="77777777" w:rsidR="009943DF" w:rsidRDefault="009943DF" w:rsidP="00EC0D68">
      <w:pPr>
        <w:pStyle w:val="CommentText"/>
      </w:pPr>
      <w:r>
        <w:rPr>
          <w:rStyle w:val="CommentReference"/>
        </w:rPr>
        <w:annotationRef/>
      </w:r>
      <w:r>
        <w:t>KZ: Correct, but too abruptly in – how does this connects to the chapter before? Take the reader on a journey. Why are you adding this information?</w:t>
      </w:r>
    </w:p>
    <w:p w14:paraId="7737B2EE" w14:textId="6439A6F3" w:rsidR="009943DF" w:rsidRDefault="009943DF">
      <w:pPr>
        <w:pStyle w:val="CommentText"/>
      </w:pPr>
    </w:p>
  </w:comment>
  <w:comment w:id="51" w:author="Melisa Pak" w:date="2020-04-29T15:10:00Z" w:initials="MP(">
    <w:p w14:paraId="5C269778" w14:textId="77777777" w:rsidR="009943DF" w:rsidRDefault="009943DF" w:rsidP="00345640">
      <w:pPr>
        <w:pStyle w:val="CommentText"/>
      </w:pPr>
      <w:r>
        <w:rPr>
          <w:rStyle w:val="CommentReference"/>
        </w:rPr>
        <w:annotationRef/>
      </w:r>
      <w:r>
        <w:t xml:space="preserve">KZ: </w:t>
      </w:r>
      <w:r>
        <w:rPr>
          <w:rStyle w:val="CommentReference"/>
        </w:rPr>
        <w:annotationRef/>
      </w:r>
      <w:r>
        <w:t>that is all correct and well researched, but does not contribute to your argument – did this change perception in regard to the problems raised above, was there a movement towards the dealing with Egypt or interpretation of objects in the museum?</w:t>
      </w:r>
    </w:p>
    <w:p w14:paraId="318A9629" w14:textId="4F8DBB39" w:rsidR="009943DF" w:rsidRDefault="009943DF">
      <w:pPr>
        <w:pStyle w:val="CommentText"/>
      </w:pPr>
    </w:p>
  </w:comment>
  <w:comment w:id="52" w:author="Melisa" w:date="2020-04-30T14:20:00Z" w:initials="M">
    <w:p w14:paraId="1BF75061" w14:textId="26218C66" w:rsidR="009943DF" w:rsidRDefault="009943DF">
      <w:pPr>
        <w:pStyle w:val="CommentText"/>
      </w:pPr>
      <w:r>
        <w:rPr>
          <w:rStyle w:val="CommentReference"/>
        </w:rPr>
        <w:annotationRef/>
      </w:r>
      <w:r>
        <w:t>Alter, make shorter and less descriptive?</w:t>
      </w:r>
    </w:p>
  </w:comment>
  <w:comment w:id="53" w:author="Melisa Pak" w:date="2020-04-29T15:13:00Z" w:initials="MP(">
    <w:p w14:paraId="2F338619" w14:textId="25D0348C" w:rsidR="009943DF" w:rsidRDefault="009943DF">
      <w:pPr>
        <w:pStyle w:val="CommentText"/>
      </w:pPr>
      <w:r>
        <w:rPr>
          <w:rStyle w:val="CommentReference"/>
        </w:rPr>
        <w:annotationRef/>
      </w:r>
      <w:r>
        <w:t>KZ: That is very important!</w:t>
      </w:r>
    </w:p>
  </w:comment>
  <w:comment w:id="54" w:author="Melisa Pak" w:date="2020-04-29T15:14:00Z" w:initials="MP(">
    <w:p w14:paraId="45CDB752" w14:textId="5E8F6E30" w:rsidR="009943DF" w:rsidRDefault="009943DF" w:rsidP="001D42C0">
      <w:pPr>
        <w:pStyle w:val="CommentText"/>
      </w:pPr>
      <w:r>
        <w:rPr>
          <w:rStyle w:val="CommentReference"/>
        </w:rPr>
        <w:annotationRef/>
      </w:r>
      <w:r>
        <w:t>KZ:</w:t>
      </w:r>
      <w:r w:rsidRPr="001D42C0">
        <w:rPr>
          <w:rStyle w:val="CommentReference"/>
        </w:rPr>
        <w:t xml:space="preserve"> </w:t>
      </w:r>
      <w:r>
        <w:rPr>
          <w:rStyle w:val="CommentReference"/>
        </w:rPr>
        <w:annotationRef/>
      </w:r>
      <w:r>
        <w:t>Reference</w:t>
      </w:r>
    </w:p>
    <w:p w14:paraId="7FFEA598" w14:textId="77777777" w:rsidR="009943DF" w:rsidRDefault="009943DF" w:rsidP="001D42C0">
      <w:pPr>
        <w:pStyle w:val="CommentText"/>
      </w:pPr>
      <w:r>
        <w:t>Also add more her – the expectation and the different approach are very important to bring out as the culmination of your topic</w:t>
      </w:r>
    </w:p>
    <w:p w14:paraId="5AA14F48" w14:textId="6723AC21" w:rsidR="009943DF" w:rsidRDefault="009943DF">
      <w:pPr>
        <w:pStyle w:val="CommentText"/>
      </w:pPr>
    </w:p>
  </w:comment>
  <w:comment w:id="55" w:author="Melisa" w:date="2020-04-30T14:25:00Z" w:initials="M">
    <w:p w14:paraId="0624A7BB" w14:textId="22475F28" w:rsidR="009943DF" w:rsidRDefault="009943DF">
      <w:pPr>
        <w:pStyle w:val="CommentText"/>
      </w:pPr>
      <w:r>
        <w:rPr>
          <w:rStyle w:val="CommentReference"/>
        </w:rPr>
        <w:annotationRef/>
      </w:r>
      <w:r>
        <w:t>????</w:t>
      </w:r>
    </w:p>
  </w:comment>
  <w:comment w:id="56" w:author="Melisa Pak" w:date="2020-04-29T15:15:00Z" w:initials="MP(">
    <w:p w14:paraId="740DC6E2" w14:textId="44C103E4" w:rsidR="009943DF" w:rsidRDefault="009943DF">
      <w:pPr>
        <w:pStyle w:val="CommentText"/>
      </w:pPr>
      <w:r>
        <w:rPr>
          <w:rStyle w:val="CommentReference"/>
        </w:rPr>
        <w:annotationRef/>
      </w:r>
      <w:r>
        <w:t>KZ: this is very good, expand on it</w:t>
      </w:r>
    </w:p>
  </w:comment>
  <w:comment w:id="57" w:author="Melisa" w:date="2020-04-30T12:18:00Z" w:initials="M">
    <w:p w14:paraId="19E1CEB8" w14:textId="4E89CC3A" w:rsidR="009943DF" w:rsidRDefault="009943DF">
      <w:pPr>
        <w:pStyle w:val="CommentText"/>
      </w:pPr>
      <w:r>
        <w:rPr>
          <w:rStyle w:val="CommentReference"/>
        </w:rPr>
        <w:annotationRef/>
      </w:r>
      <w:r>
        <w:t>Netter?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195A61C" w15:done="0"/>
  <w15:commentEx w15:paraId="292DC876" w15:paraIdParent="1195A61C" w15:done="0"/>
  <w15:commentEx w15:paraId="3EC8009D" w15:paraIdParent="1195A61C" w15:done="0"/>
  <w15:commentEx w15:paraId="4D9B786A" w15:done="0"/>
  <w15:commentEx w15:paraId="7D845316" w15:done="0"/>
  <w15:commentEx w15:paraId="0D47762A" w15:paraIdParent="7D845316" w15:done="0"/>
  <w15:commentEx w15:paraId="124A878E" w15:done="0"/>
  <w15:commentEx w15:paraId="3C577E02" w15:paraIdParent="124A878E" w15:done="0"/>
  <w15:commentEx w15:paraId="71EC3895" w15:done="0"/>
  <w15:commentEx w15:paraId="0775E75F" w15:done="0"/>
  <w15:commentEx w15:paraId="16B566EB" w15:paraIdParent="0775E75F" w15:done="0"/>
  <w15:commentEx w15:paraId="41653896" w15:done="0"/>
  <w15:commentEx w15:paraId="2E39D024" w15:paraIdParent="41653896" w15:done="0"/>
  <w15:commentEx w15:paraId="171E81FD" w15:done="0"/>
  <w15:commentEx w15:paraId="55D6F7AB" w15:done="0"/>
  <w15:commentEx w15:paraId="07BE5B4F" w15:done="0"/>
  <w15:commentEx w15:paraId="6C35621D" w15:paraIdParent="07BE5B4F" w15:done="0"/>
  <w15:commentEx w15:paraId="0A0C651F" w15:done="0"/>
  <w15:commentEx w15:paraId="6D069F95" w15:paraIdParent="0A0C651F" w15:done="0"/>
  <w15:commentEx w15:paraId="54CC1914" w15:done="0"/>
  <w15:commentEx w15:paraId="1C068CC8" w15:done="0"/>
  <w15:commentEx w15:paraId="57B39CAF" w15:done="0"/>
  <w15:commentEx w15:paraId="17A9E623" w15:paraIdParent="57B39CAF" w15:done="0"/>
  <w15:commentEx w15:paraId="1C0B8548" w15:done="0"/>
  <w15:commentEx w15:paraId="22C0F31E" w15:paraIdParent="1C0B8548" w15:done="0"/>
  <w15:commentEx w15:paraId="39ACFF13" w15:done="0"/>
  <w15:commentEx w15:paraId="531755E4" w15:done="0"/>
  <w15:commentEx w15:paraId="14898D4B" w15:done="0"/>
  <w15:commentEx w15:paraId="26398667" w15:done="0"/>
  <w15:commentEx w15:paraId="4235F69D" w15:paraIdParent="26398667" w15:done="0"/>
  <w15:commentEx w15:paraId="65977DF3" w15:done="0"/>
  <w15:commentEx w15:paraId="730549C9" w15:done="0"/>
  <w15:commentEx w15:paraId="6D70F1C2" w15:paraIdParent="730549C9" w15:done="0"/>
  <w15:commentEx w15:paraId="504C0EF9" w15:done="0"/>
  <w15:commentEx w15:paraId="2F881B3B" w15:paraIdParent="504C0EF9" w15:done="0"/>
  <w15:commentEx w15:paraId="42809067" w15:done="0"/>
  <w15:commentEx w15:paraId="454A329F" w15:done="0"/>
  <w15:commentEx w15:paraId="79C85211" w15:done="0"/>
  <w15:commentEx w15:paraId="7E82D11C" w15:done="0"/>
  <w15:commentEx w15:paraId="05FDB230" w15:paraIdParent="7E82D11C" w15:done="0"/>
  <w15:commentEx w15:paraId="096B25A4" w15:done="0"/>
  <w15:commentEx w15:paraId="1D183A82" w15:paraIdParent="096B25A4" w15:done="0"/>
  <w15:commentEx w15:paraId="6B1E6497" w15:done="0"/>
  <w15:commentEx w15:paraId="4B07B4D5" w15:paraIdParent="6B1E6497" w15:done="0"/>
  <w15:commentEx w15:paraId="4926C65A" w15:done="0"/>
  <w15:commentEx w15:paraId="5214E5B8" w15:paraIdParent="4926C65A" w15:done="0"/>
  <w15:commentEx w15:paraId="6CEE46BC" w15:done="0"/>
  <w15:commentEx w15:paraId="2D614ECE" w15:paraIdParent="6CEE46BC" w15:done="0"/>
  <w15:commentEx w15:paraId="7CC6CF95" w15:done="0"/>
  <w15:commentEx w15:paraId="2F8C3AE6" w15:paraIdParent="7CC6CF95" w15:done="0"/>
  <w15:commentEx w15:paraId="7737B2EE" w15:done="0"/>
  <w15:commentEx w15:paraId="318A9629" w15:done="0"/>
  <w15:commentEx w15:paraId="1BF75061" w15:done="0"/>
  <w15:commentEx w15:paraId="2F338619" w15:done="0"/>
  <w15:commentEx w15:paraId="5AA14F48" w15:done="0"/>
  <w15:commentEx w15:paraId="0624A7BB" w15:paraIdParent="5AA14F48" w15:done="0"/>
  <w15:commentEx w15:paraId="740DC6E2" w15:done="0"/>
  <w15:commentEx w15:paraId="19E1CEB8" w15:paraIdParent="740DC6E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195A61C" w16cid:durableId="2253E318"/>
  <w16cid:commentId w16cid:paraId="292DC876" w16cid:durableId="2253E325"/>
  <w16cid:commentId w16cid:paraId="3EC8009D" w16cid:durableId="2253E331"/>
  <w16cid:commentId w16cid:paraId="4D9B786A" w16cid:durableId="2253EA15"/>
  <w16cid:commentId w16cid:paraId="7D845316" w16cid:durableId="2253E396"/>
  <w16cid:commentId w16cid:paraId="0D47762A" w16cid:durableId="2253E3A3"/>
  <w16cid:commentId w16cid:paraId="124A878E" w16cid:durableId="2253E3E1"/>
  <w16cid:commentId w16cid:paraId="3C577E02" w16cid:durableId="2253E3E7"/>
  <w16cid:commentId w16cid:paraId="71EC3895" w16cid:durableId="225524FC"/>
  <w16cid:commentId w16cid:paraId="0775E75F" w16cid:durableId="22541488"/>
  <w16cid:commentId w16cid:paraId="16B566EB" w16cid:durableId="22552453"/>
  <w16cid:commentId w16cid:paraId="41653896" w16cid:durableId="2253E42D"/>
  <w16cid:commentId w16cid:paraId="2E39D024" w16cid:durableId="2253E473"/>
  <w16cid:commentId w16cid:paraId="171E81FD" w16cid:durableId="2253E1A6"/>
  <w16cid:commentId w16cid:paraId="55D6F7AB" w16cid:durableId="225525B0"/>
  <w16cid:commentId w16cid:paraId="07BE5B4F" w16cid:durableId="2253E4A8"/>
  <w16cid:commentId w16cid:paraId="6C35621D" w16cid:durableId="2253E6F0"/>
  <w16cid:commentId w16cid:paraId="0A0C651F" w16cid:durableId="2253E501"/>
  <w16cid:commentId w16cid:paraId="6D069F95" w16cid:durableId="22552CB6"/>
  <w16cid:commentId w16cid:paraId="54CC1914" w16cid:durableId="22552C8C"/>
  <w16cid:commentId w16cid:paraId="1C068CC8" w16cid:durableId="2255304C"/>
  <w16cid:commentId w16cid:paraId="57B39CAF" w16cid:durableId="2253E579"/>
  <w16cid:commentId w16cid:paraId="17A9E623" w16cid:durableId="2253E834"/>
  <w16cid:commentId w16cid:paraId="1C0B8548" w16cid:durableId="2253E5D9"/>
  <w16cid:commentId w16cid:paraId="22C0F31E" w16cid:durableId="2253E89B"/>
  <w16cid:commentId w16cid:paraId="39ACFF13" w16cid:durableId="22540B09"/>
  <w16cid:commentId w16cid:paraId="531755E4" w16cid:durableId="2255359A"/>
  <w16cid:commentId w16cid:paraId="14898D4B" w16cid:durableId="22540DFF"/>
  <w16cid:commentId w16cid:paraId="26398667" w16cid:durableId="22540E82"/>
  <w16cid:commentId w16cid:paraId="4235F69D" w16cid:durableId="22555EB6"/>
  <w16cid:commentId w16cid:paraId="65977DF3" w16cid:durableId="225675A8"/>
  <w16cid:commentId w16cid:paraId="730549C9" w16cid:durableId="22540F67"/>
  <w16cid:commentId w16cid:paraId="6D70F1C2" w16cid:durableId="22541AA0"/>
  <w16cid:commentId w16cid:paraId="504C0EF9" w16cid:durableId="22540F9E"/>
  <w16cid:commentId w16cid:paraId="2F881B3B" w16cid:durableId="22541B57"/>
  <w16cid:commentId w16cid:paraId="42809067" w16cid:durableId="225536F4"/>
  <w16cid:commentId w16cid:paraId="454A329F" w16cid:durableId="2255378E"/>
  <w16cid:commentId w16cid:paraId="79C85211" w16cid:durableId="225537AD"/>
  <w16cid:commentId w16cid:paraId="7E82D11C" w16cid:durableId="225410A1"/>
  <w16cid:commentId w16cid:paraId="05FDB230" w16cid:durableId="22541BA2"/>
  <w16cid:commentId w16cid:paraId="096B25A4" w16cid:durableId="225411A8"/>
  <w16cid:commentId w16cid:paraId="1D183A82" w16cid:durableId="22541C5A"/>
  <w16cid:commentId w16cid:paraId="6B1E6497" w16cid:durableId="2254123B"/>
  <w16cid:commentId w16cid:paraId="4B07B4D5" w16cid:durableId="22541C9F"/>
  <w16cid:commentId w16cid:paraId="4926C65A" w16cid:durableId="2254128B"/>
  <w16cid:commentId w16cid:paraId="5214E5B8" w16cid:durableId="22541CDF"/>
  <w16cid:commentId w16cid:paraId="6CEE46BC" w16cid:durableId="2254132D"/>
  <w16cid:commentId w16cid:paraId="2D614ECE" w16cid:durableId="22541CFA"/>
  <w16cid:commentId w16cid:paraId="7CC6CF95" w16cid:durableId="2254157B"/>
  <w16cid:commentId w16cid:paraId="2F8C3AE6" w16cid:durableId="22553CA3"/>
  <w16cid:commentId w16cid:paraId="7737B2EE" w16cid:durableId="22541635"/>
  <w16cid:commentId w16cid:paraId="318A9629" w16cid:durableId="22541766"/>
  <w16cid:commentId w16cid:paraId="1BF75061" w16cid:durableId="22555D27"/>
  <w16cid:commentId w16cid:paraId="2F338619" w16cid:durableId="2254180D"/>
  <w16cid:commentId w16cid:paraId="5AA14F48" w16cid:durableId="2254183D"/>
  <w16cid:commentId w16cid:paraId="0624A7BB" w16cid:durableId="22555E58"/>
  <w16cid:commentId w16cid:paraId="740DC6E2" w16cid:durableId="225418A2"/>
  <w16cid:commentId w16cid:paraId="19E1CEB8" w16cid:durableId="225540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8CF39" w14:textId="77777777" w:rsidR="00BF7CA1" w:rsidRDefault="00BF7CA1" w:rsidP="00105905">
      <w:pPr>
        <w:spacing w:after="0" w:line="240" w:lineRule="auto"/>
      </w:pPr>
      <w:r>
        <w:separator/>
      </w:r>
    </w:p>
  </w:endnote>
  <w:endnote w:type="continuationSeparator" w:id="0">
    <w:p w14:paraId="357F8767" w14:textId="77777777" w:rsidR="00BF7CA1" w:rsidRDefault="00BF7CA1" w:rsidP="00105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Pro-Regular">
    <w:altName w:val="Cambria"/>
    <w:panose1 w:val="00000000000000000000"/>
    <w:charset w:val="A1"/>
    <w:family w:val="roman"/>
    <w:notTrueType/>
    <w:pitch w:val="default"/>
    <w:sig w:usb0="00000081" w:usb1="00000000" w:usb2="00000000" w:usb3="00000000" w:csb0="00000008"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5273411"/>
      <w:docPartObj>
        <w:docPartGallery w:val="Page Numbers (Bottom of Page)"/>
        <w:docPartUnique/>
      </w:docPartObj>
    </w:sdtPr>
    <w:sdtEndPr>
      <w:rPr>
        <w:noProof/>
      </w:rPr>
    </w:sdtEndPr>
    <w:sdtContent>
      <w:p w14:paraId="0F27D635" w14:textId="798AC585" w:rsidR="009943DF" w:rsidRDefault="009943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9BE6AD" w14:textId="77777777" w:rsidR="009943DF" w:rsidRDefault="009943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1102532"/>
      <w:docPartObj>
        <w:docPartGallery w:val="Page Numbers (Bottom of Page)"/>
        <w:docPartUnique/>
      </w:docPartObj>
    </w:sdtPr>
    <w:sdtEndPr>
      <w:rPr>
        <w:noProof/>
      </w:rPr>
    </w:sdtEndPr>
    <w:sdtContent>
      <w:p w14:paraId="069EB5BC" w14:textId="25A03EEC" w:rsidR="009943DF" w:rsidRDefault="009943DF">
        <w:pPr>
          <w:pStyle w:val="Footer"/>
          <w:jc w:val="center"/>
        </w:pPr>
      </w:p>
    </w:sdtContent>
  </w:sdt>
  <w:p w14:paraId="56F61DD0" w14:textId="77777777" w:rsidR="009943DF" w:rsidRDefault="009943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8962425"/>
      <w:docPartObj>
        <w:docPartGallery w:val="Page Numbers (Bottom of Page)"/>
        <w:docPartUnique/>
      </w:docPartObj>
    </w:sdtPr>
    <w:sdtEndPr>
      <w:rPr>
        <w:noProof/>
      </w:rPr>
    </w:sdtEndPr>
    <w:sdtContent>
      <w:p w14:paraId="7CA41410" w14:textId="77777777" w:rsidR="009943DF" w:rsidRDefault="009943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A2B255" w14:textId="77777777" w:rsidR="009943DF" w:rsidRDefault="009943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D4335" w14:textId="77777777" w:rsidR="00BF7CA1" w:rsidRDefault="00BF7CA1" w:rsidP="00105905">
      <w:pPr>
        <w:spacing w:after="0" w:line="240" w:lineRule="auto"/>
      </w:pPr>
      <w:r>
        <w:separator/>
      </w:r>
    </w:p>
  </w:footnote>
  <w:footnote w:type="continuationSeparator" w:id="0">
    <w:p w14:paraId="26919C1E" w14:textId="77777777" w:rsidR="00BF7CA1" w:rsidRDefault="00BF7CA1" w:rsidP="00105905">
      <w:pPr>
        <w:spacing w:after="0" w:line="240" w:lineRule="auto"/>
      </w:pPr>
      <w:r>
        <w:continuationSeparator/>
      </w:r>
    </w:p>
  </w:footnote>
  <w:footnote w:id="1">
    <w:p w14:paraId="47EB3E74" w14:textId="79CDA54A" w:rsidR="009943DF" w:rsidRDefault="009943DF">
      <w:pPr>
        <w:pStyle w:val="FootnoteText"/>
      </w:pPr>
      <w:r>
        <w:rPr>
          <w:rStyle w:val="FootnoteReference"/>
        </w:rPr>
        <w:footnoteRef/>
      </w:r>
      <w:r>
        <w:t xml:space="preserve"> Parkinson, 2008 ;1</w:t>
      </w:r>
    </w:p>
  </w:footnote>
  <w:footnote w:id="2">
    <w:p w14:paraId="0767E49D" w14:textId="77777777" w:rsidR="009943DF" w:rsidRDefault="009943DF" w:rsidP="00105905">
      <w:pPr>
        <w:pStyle w:val="FootnoteText"/>
      </w:pPr>
      <w:r>
        <w:rPr>
          <w:rStyle w:val="FootnoteReference"/>
        </w:rPr>
        <w:footnoteRef/>
      </w:r>
      <w:r>
        <w:t xml:space="preserve"> </w:t>
      </w:r>
      <w:proofErr w:type="spellStart"/>
      <w:r>
        <w:t>Lexico</w:t>
      </w:r>
      <w:proofErr w:type="spellEnd"/>
      <w:r>
        <w:t>, N.D</w:t>
      </w:r>
    </w:p>
  </w:footnote>
  <w:footnote w:id="3">
    <w:p w14:paraId="2C00221C" w14:textId="470A59DA" w:rsidR="009943DF" w:rsidRDefault="009943DF">
      <w:pPr>
        <w:pStyle w:val="FootnoteText"/>
      </w:pPr>
      <w:r>
        <w:rPr>
          <w:rStyle w:val="FootnoteReference"/>
        </w:rPr>
        <w:footnoteRef/>
      </w:r>
      <w:r>
        <w:t xml:space="preserve"> Geographic, 2010</w:t>
      </w:r>
    </w:p>
  </w:footnote>
  <w:footnote w:id="4">
    <w:p w14:paraId="756744CE" w14:textId="77777777" w:rsidR="009943DF" w:rsidRDefault="009943DF" w:rsidP="00105905">
      <w:pPr>
        <w:pStyle w:val="FootnoteText"/>
      </w:pPr>
      <w:r>
        <w:rPr>
          <w:rStyle w:val="FootnoteReference"/>
        </w:rPr>
        <w:footnoteRef/>
      </w:r>
      <w:r>
        <w:t xml:space="preserve"> </w:t>
      </w:r>
      <w:proofErr w:type="spellStart"/>
      <w:r>
        <w:t>Augustyn</w:t>
      </w:r>
      <w:proofErr w:type="spellEnd"/>
      <w:r>
        <w:t xml:space="preserve">, 2019 </w:t>
      </w:r>
    </w:p>
  </w:footnote>
  <w:footnote w:id="5">
    <w:p w14:paraId="15C78E05" w14:textId="77777777" w:rsidR="009943DF" w:rsidRDefault="009943DF" w:rsidP="00105905">
      <w:pPr>
        <w:pStyle w:val="FootnoteText"/>
      </w:pPr>
      <w:r>
        <w:rPr>
          <w:rStyle w:val="FootnoteReference"/>
        </w:rPr>
        <w:footnoteRef/>
      </w:r>
      <w:r>
        <w:t xml:space="preserve"> </w:t>
      </w:r>
      <w:proofErr w:type="spellStart"/>
      <w:r>
        <w:t>Tatomir</w:t>
      </w:r>
      <w:proofErr w:type="spellEnd"/>
      <w:r>
        <w:t>, 2015; 571</w:t>
      </w:r>
    </w:p>
  </w:footnote>
  <w:footnote w:id="6">
    <w:p w14:paraId="23A020F9" w14:textId="77777777" w:rsidR="009943DF" w:rsidRDefault="009943DF" w:rsidP="00105905">
      <w:pPr>
        <w:pStyle w:val="FootnoteText"/>
      </w:pPr>
      <w:r>
        <w:rPr>
          <w:rStyle w:val="FootnoteReference"/>
        </w:rPr>
        <w:footnoteRef/>
      </w:r>
      <w:r>
        <w:t xml:space="preserve"> </w:t>
      </w:r>
      <w:proofErr w:type="spellStart"/>
      <w:r>
        <w:t>Tatomir</w:t>
      </w:r>
      <w:proofErr w:type="spellEnd"/>
      <w:r>
        <w:t>, 2015; 572</w:t>
      </w:r>
    </w:p>
  </w:footnote>
  <w:footnote w:id="7">
    <w:p w14:paraId="511DAB0D" w14:textId="77777777" w:rsidR="009943DF" w:rsidRDefault="009943DF" w:rsidP="00105905">
      <w:pPr>
        <w:pStyle w:val="FootnoteText"/>
      </w:pPr>
      <w:r>
        <w:rPr>
          <w:rStyle w:val="FootnoteReference"/>
        </w:rPr>
        <w:footnoteRef/>
      </w:r>
      <w:r>
        <w:t xml:space="preserve"> </w:t>
      </w:r>
      <w:proofErr w:type="spellStart"/>
      <w:r>
        <w:t>Tatomir</w:t>
      </w:r>
      <w:proofErr w:type="spellEnd"/>
      <w:r>
        <w:t>, 2015; 574</w:t>
      </w:r>
    </w:p>
  </w:footnote>
  <w:footnote w:id="8">
    <w:p w14:paraId="7A37ED35" w14:textId="77777777" w:rsidR="009943DF" w:rsidRDefault="009943DF" w:rsidP="00105905">
      <w:pPr>
        <w:pStyle w:val="FootnoteText"/>
      </w:pPr>
      <w:r>
        <w:rPr>
          <w:rStyle w:val="FootnoteReference"/>
        </w:rPr>
        <w:footnoteRef/>
      </w:r>
      <w:r>
        <w:t xml:space="preserve"> Encyclopaedia Britannica, 2018</w:t>
      </w:r>
    </w:p>
  </w:footnote>
  <w:footnote w:id="9">
    <w:p w14:paraId="4E940223" w14:textId="77777777" w:rsidR="009943DF" w:rsidRDefault="009943DF" w:rsidP="00105905">
      <w:pPr>
        <w:pStyle w:val="FootnoteText"/>
      </w:pPr>
      <w:r>
        <w:rPr>
          <w:rStyle w:val="FootnoteReference"/>
        </w:rPr>
        <w:footnoteRef/>
      </w:r>
      <w:r>
        <w:t xml:space="preserve"> </w:t>
      </w:r>
      <w:proofErr w:type="spellStart"/>
      <w:r>
        <w:t>Tatomir</w:t>
      </w:r>
      <w:proofErr w:type="spellEnd"/>
      <w:r>
        <w:t>, 2015; 574</w:t>
      </w:r>
    </w:p>
  </w:footnote>
  <w:footnote w:id="10">
    <w:p w14:paraId="1F22EA89" w14:textId="77777777" w:rsidR="009943DF" w:rsidRDefault="009943DF" w:rsidP="00105905">
      <w:pPr>
        <w:pStyle w:val="FootnoteText"/>
      </w:pPr>
      <w:r>
        <w:rPr>
          <w:rStyle w:val="FootnoteReference"/>
        </w:rPr>
        <w:footnoteRef/>
      </w:r>
      <w:r>
        <w:t xml:space="preserve"> </w:t>
      </w:r>
      <w:proofErr w:type="spellStart"/>
      <w:r>
        <w:t>Tatomir</w:t>
      </w:r>
      <w:proofErr w:type="spellEnd"/>
      <w:r>
        <w:t>, 2015; 572</w:t>
      </w:r>
    </w:p>
  </w:footnote>
  <w:footnote w:id="11">
    <w:p w14:paraId="198C39E0" w14:textId="77777777" w:rsidR="009943DF" w:rsidRDefault="009943DF" w:rsidP="00105905">
      <w:pPr>
        <w:pStyle w:val="FootnoteText"/>
      </w:pPr>
      <w:r>
        <w:rPr>
          <w:rStyle w:val="FootnoteReference"/>
        </w:rPr>
        <w:footnoteRef/>
      </w:r>
      <w:r>
        <w:t xml:space="preserve"> </w:t>
      </w:r>
      <w:proofErr w:type="spellStart"/>
      <w:r>
        <w:t>Tatomir</w:t>
      </w:r>
      <w:proofErr w:type="spellEnd"/>
      <w:r>
        <w:t>, 2015; 572</w:t>
      </w:r>
    </w:p>
  </w:footnote>
  <w:footnote w:id="12">
    <w:p w14:paraId="33951161" w14:textId="77777777" w:rsidR="009943DF" w:rsidRDefault="009943DF" w:rsidP="00105905">
      <w:pPr>
        <w:pStyle w:val="FootnoteText"/>
      </w:pPr>
      <w:r>
        <w:rPr>
          <w:rStyle w:val="FootnoteReference"/>
        </w:rPr>
        <w:footnoteRef/>
      </w:r>
      <w:r>
        <w:t xml:space="preserve"> </w:t>
      </w:r>
      <w:proofErr w:type="spellStart"/>
      <w:r>
        <w:t>Tatomir</w:t>
      </w:r>
      <w:proofErr w:type="spellEnd"/>
      <w:r>
        <w:t>, 2015; 575</w:t>
      </w:r>
    </w:p>
  </w:footnote>
  <w:footnote w:id="13">
    <w:p w14:paraId="78C88941" w14:textId="77777777" w:rsidR="009943DF" w:rsidRDefault="009943DF" w:rsidP="00105905">
      <w:pPr>
        <w:pStyle w:val="FootnoteText"/>
      </w:pPr>
      <w:r>
        <w:rPr>
          <w:rStyle w:val="FootnoteReference"/>
        </w:rPr>
        <w:footnoteRef/>
      </w:r>
      <w:r>
        <w:t xml:space="preserve"> </w:t>
      </w:r>
      <w:proofErr w:type="spellStart"/>
      <w:r>
        <w:t>Tatomir</w:t>
      </w:r>
      <w:proofErr w:type="spellEnd"/>
      <w:r>
        <w:t>, 2015; 576</w:t>
      </w:r>
    </w:p>
  </w:footnote>
  <w:footnote w:id="14">
    <w:p w14:paraId="40468CB5" w14:textId="77777777" w:rsidR="009943DF" w:rsidRDefault="009943DF" w:rsidP="00105905">
      <w:pPr>
        <w:pStyle w:val="FootnoteText"/>
      </w:pPr>
      <w:r>
        <w:rPr>
          <w:rStyle w:val="FootnoteReference"/>
        </w:rPr>
        <w:footnoteRef/>
      </w:r>
      <w:r>
        <w:t xml:space="preserve"> Wasson, 2016 </w:t>
      </w:r>
    </w:p>
  </w:footnote>
  <w:footnote w:id="15">
    <w:p w14:paraId="6D90CC99" w14:textId="77777777" w:rsidR="009943DF" w:rsidRDefault="009943DF" w:rsidP="00105905">
      <w:pPr>
        <w:pStyle w:val="FootnoteText"/>
      </w:pPr>
      <w:r>
        <w:rPr>
          <w:rStyle w:val="FootnoteReference"/>
        </w:rPr>
        <w:footnoteRef/>
      </w:r>
      <w:r>
        <w:t xml:space="preserve"> </w:t>
      </w:r>
      <w:proofErr w:type="spellStart"/>
      <w:r>
        <w:t>Tatomir</w:t>
      </w:r>
      <w:proofErr w:type="spellEnd"/>
      <w:r>
        <w:t>, 2015; 576</w:t>
      </w:r>
    </w:p>
  </w:footnote>
  <w:footnote w:id="16">
    <w:p w14:paraId="67060968" w14:textId="77777777" w:rsidR="009943DF" w:rsidRDefault="009943DF" w:rsidP="00105905">
      <w:pPr>
        <w:pStyle w:val="FootnoteText"/>
      </w:pPr>
      <w:r>
        <w:rPr>
          <w:rStyle w:val="FootnoteReference"/>
        </w:rPr>
        <w:footnoteRef/>
      </w:r>
      <w:r>
        <w:t xml:space="preserve"> Reid, 2015; 20</w:t>
      </w:r>
    </w:p>
  </w:footnote>
  <w:footnote w:id="17">
    <w:p w14:paraId="6DA3D67C" w14:textId="77777777" w:rsidR="009943DF" w:rsidRDefault="009943DF" w:rsidP="00105905">
      <w:pPr>
        <w:pStyle w:val="FootnoteText"/>
      </w:pPr>
      <w:r>
        <w:rPr>
          <w:rStyle w:val="FootnoteReference"/>
        </w:rPr>
        <w:footnoteRef/>
      </w:r>
      <w:r>
        <w:t xml:space="preserve"> Wood, 1998; 190</w:t>
      </w:r>
    </w:p>
  </w:footnote>
  <w:footnote w:id="18">
    <w:p w14:paraId="41684EFB" w14:textId="77777777" w:rsidR="009943DF" w:rsidRDefault="009943DF" w:rsidP="00105905">
      <w:pPr>
        <w:pStyle w:val="FootnoteText"/>
      </w:pPr>
      <w:r>
        <w:rPr>
          <w:rStyle w:val="FootnoteReference"/>
        </w:rPr>
        <w:footnoteRef/>
      </w:r>
      <w:r>
        <w:t xml:space="preserve"> </w:t>
      </w:r>
      <w:proofErr w:type="spellStart"/>
      <w:r>
        <w:t>Janot</w:t>
      </w:r>
      <w:proofErr w:type="spellEnd"/>
      <w:r>
        <w:t>, 2010; 56</w:t>
      </w:r>
    </w:p>
  </w:footnote>
  <w:footnote w:id="19">
    <w:p w14:paraId="59AAB771" w14:textId="77777777" w:rsidR="009943DF" w:rsidRDefault="009943DF" w:rsidP="00105905">
      <w:pPr>
        <w:pStyle w:val="FootnoteText"/>
      </w:pPr>
      <w:r>
        <w:rPr>
          <w:rStyle w:val="FootnoteReference"/>
        </w:rPr>
        <w:footnoteRef/>
      </w:r>
      <w:r>
        <w:t xml:space="preserve"> Wood, 1998; 190</w:t>
      </w:r>
    </w:p>
  </w:footnote>
  <w:footnote w:id="20">
    <w:p w14:paraId="054C561A" w14:textId="77777777" w:rsidR="009943DF" w:rsidRDefault="009943DF" w:rsidP="00105905">
      <w:pPr>
        <w:pStyle w:val="FootnoteText"/>
      </w:pPr>
      <w:r>
        <w:rPr>
          <w:rStyle w:val="FootnoteReference"/>
        </w:rPr>
        <w:footnoteRef/>
      </w:r>
      <w:r>
        <w:t xml:space="preserve"> </w:t>
      </w:r>
      <w:proofErr w:type="spellStart"/>
      <w:r>
        <w:t>Godechot</w:t>
      </w:r>
      <w:proofErr w:type="spellEnd"/>
      <w:r>
        <w:t>, 2019</w:t>
      </w:r>
    </w:p>
  </w:footnote>
  <w:footnote w:id="21">
    <w:p w14:paraId="5C8FD413" w14:textId="23BDCCE1" w:rsidR="009943DF" w:rsidRDefault="009943DF" w:rsidP="00105905">
      <w:pPr>
        <w:pStyle w:val="FootnoteText"/>
      </w:pPr>
      <w:r>
        <w:rPr>
          <w:rStyle w:val="FootnoteReference"/>
        </w:rPr>
        <w:footnoteRef/>
      </w:r>
      <w:r>
        <w:t xml:space="preserve"> Bell, 2010; 7. Wood, 1998; 189</w:t>
      </w:r>
    </w:p>
  </w:footnote>
  <w:footnote w:id="22">
    <w:p w14:paraId="14C7B253" w14:textId="77777777" w:rsidR="009943DF" w:rsidRDefault="009943DF" w:rsidP="00105905">
      <w:pPr>
        <w:pStyle w:val="FootnoteText"/>
      </w:pPr>
      <w:r>
        <w:rPr>
          <w:rStyle w:val="FootnoteReference"/>
        </w:rPr>
        <w:footnoteRef/>
      </w:r>
      <w:r>
        <w:t xml:space="preserve"> Wood, 1998; 189</w:t>
      </w:r>
    </w:p>
  </w:footnote>
  <w:footnote w:id="23">
    <w:p w14:paraId="4C10D053" w14:textId="77777777" w:rsidR="009943DF" w:rsidRDefault="009943DF" w:rsidP="00105905">
      <w:pPr>
        <w:pStyle w:val="FootnoteText"/>
      </w:pPr>
      <w:r>
        <w:rPr>
          <w:rStyle w:val="FootnoteReference"/>
        </w:rPr>
        <w:footnoteRef/>
      </w:r>
      <w:r>
        <w:t xml:space="preserve"> Wood, 1998; 189</w:t>
      </w:r>
    </w:p>
  </w:footnote>
  <w:footnote w:id="24">
    <w:p w14:paraId="3C14E681" w14:textId="77777777" w:rsidR="009943DF" w:rsidRDefault="009943DF" w:rsidP="00105905">
      <w:pPr>
        <w:pStyle w:val="FootnoteText"/>
      </w:pPr>
      <w:r>
        <w:rPr>
          <w:rStyle w:val="FootnoteReference"/>
        </w:rPr>
        <w:footnoteRef/>
      </w:r>
      <w:r>
        <w:t xml:space="preserve"> Wood, 1998; 189</w:t>
      </w:r>
    </w:p>
  </w:footnote>
  <w:footnote w:id="25">
    <w:p w14:paraId="08DBC15A" w14:textId="77777777" w:rsidR="009943DF" w:rsidRDefault="009943DF" w:rsidP="00105905">
      <w:pPr>
        <w:pStyle w:val="FootnoteText"/>
      </w:pPr>
      <w:r>
        <w:rPr>
          <w:rStyle w:val="FootnoteReference"/>
        </w:rPr>
        <w:footnoteRef/>
      </w:r>
      <w:r>
        <w:t xml:space="preserve"> Reid, 2003; 234. Wood, 1998; 189</w:t>
      </w:r>
    </w:p>
  </w:footnote>
  <w:footnote w:id="26">
    <w:p w14:paraId="71954F0B" w14:textId="77777777" w:rsidR="009943DF" w:rsidRDefault="009943DF" w:rsidP="00105905">
      <w:pPr>
        <w:pStyle w:val="FootnoteText"/>
      </w:pPr>
      <w:r>
        <w:rPr>
          <w:rStyle w:val="FootnoteReference"/>
        </w:rPr>
        <w:footnoteRef/>
      </w:r>
      <w:r>
        <w:t xml:space="preserve"> Reid, 2003; 234</w:t>
      </w:r>
    </w:p>
  </w:footnote>
  <w:footnote w:id="27">
    <w:p w14:paraId="08063F6D" w14:textId="77777777" w:rsidR="009943DF" w:rsidRDefault="009943DF" w:rsidP="00105905">
      <w:pPr>
        <w:pStyle w:val="FootnoteText"/>
      </w:pPr>
      <w:r>
        <w:rPr>
          <w:rStyle w:val="FootnoteReference"/>
        </w:rPr>
        <w:footnoteRef/>
      </w:r>
      <w:r>
        <w:t xml:space="preserve"> Napoleon.org, 2019 </w:t>
      </w:r>
    </w:p>
  </w:footnote>
  <w:footnote w:id="28">
    <w:p w14:paraId="72BBF7C2" w14:textId="77777777" w:rsidR="009943DF" w:rsidRDefault="009943DF" w:rsidP="00105905">
      <w:pPr>
        <w:pStyle w:val="FootnoteText"/>
      </w:pPr>
      <w:r>
        <w:rPr>
          <w:rStyle w:val="FootnoteReference"/>
        </w:rPr>
        <w:footnoteRef/>
      </w:r>
      <w:r>
        <w:t xml:space="preserve"> Marlowe, 1974</w:t>
      </w:r>
    </w:p>
  </w:footnote>
  <w:footnote w:id="29">
    <w:p w14:paraId="301CD267" w14:textId="77777777" w:rsidR="009943DF" w:rsidRDefault="009943DF" w:rsidP="00105905">
      <w:pPr>
        <w:pStyle w:val="FootnoteText"/>
      </w:pPr>
      <w:r>
        <w:rPr>
          <w:rStyle w:val="FootnoteReference"/>
        </w:rPr>
        <w:footnoteRef/>
      </w:r>
      <w:r>
        <w:t xml:space="preserve"> Marlowe, 1974; 9 </w:t>
      </w:r>
    </w:p>
  </w:footnote>
  <w:footnote w:id="30">
    <w:p w14:paraId="5CC075E2" w14:textId="77777777" w:rsidR="009943DF" w:rsidRDefault="009943DF" w:rsidP="00105905">
      <w:pPr>
        <w:pStyle w:val="FootnoteText"/>
      </w:pPr>
      <w:r>
        <w:rPr>
          <w:rStyle w:val="FootnoteReference"/>
        </w:rPr>
        <w:footnoteRef/>
      </w:r>
      <w:r>
        <w:t xml:space="preserve"> Wood, 1998; 190</w:t>
      </w:r>
    </w:p>
  </w:footnote>
  <w:footnote w:id="31">
    <w:p w14:paraId="5E774F58" w14:textId="77777777" w:rsidR="009943DF" w:rsidRDefault="009943DF" w:rsidP="00105905">
      <w:pPr>
        <w:pStyle w:val="FootnoteText"/>
      </w:pPr>
      <w:r>
        <w:rPr>
          <w:rStyle w:val="FootnoteReference"/>
        </w:rPr>
        <w:footnoteRef/>
      </w:r>
      <w:r>
        <w:t xml:space="preserve"> Wood, 1998; 190</w:t>
      </w:r>
    </w:p>
  </w:footnote>
  <w:footnote w:id="32">
    <w:p w14:paraId="222BC08E" w14:textId="77777777" w:rsidR="009943DF" w:rsidRDefault="009943DF" w:rsidP="00105905">
      <w:pPr>
        <w:pStyle w:val="FootnoteText"/>
      </w:pPr>
      <w:r>
        <w:rPr>
          <w:rStyle w:val="FootnoteReference"/>
        </w:rPr>
        <w:footnoteRef/>
      </w:r>
      <w:r>
        <w:t xml:space="preserve"> Bell, 2010; 10</w:t>
      </w:r>
    </w:p>
  </w:footnote>
  <w:footnote w:id="33">
    <w:p w14:paraId="0386DC69" w14:textId="42DC95FF" w:rsidR="009943DF" w:rsidRDefault="009943DF" w:rsidP="00105905">
      <w:pPr>
        <w:pStyle w:val="FootnoteText"/>
        <w:tabs>
          <w:tab w:val="left" w:pos="5010"/>
        </w:tabs>
      </w:pPr>
      <w:r>
        <w:rPr>
          <w:rStyle w:val="FootnoteReference"/>
        </w:rPr>
        <w:footnoteRef/>
      </w:r>
      <w:r>
        <w:t xml:space="preserve"> British Museum, 2017 </w:t>
      </w:r>
      <w:r>
        <w:tab/>
      </w:r>
    </w:p>
  </w:footnote>
  <w:footnote w:id="34">
    <w:p w14:paraId="67C24CEF" w14:textId="15F01EFA" w:rsidR="009943DF" w:rsidRDefault="009943DF" w:rsidP="00105905">
      <w:pPr>
        <w:pStyle w:val="FootnoteText"/>
      </w:pPr>
      <w:r>
        <w:rPr>
          <w:rStyle w:val="FootnoteReference"/>
        </w:rPr>
        <w:footnoteRef/>
      </w:r>
      <w:r>
        <w:t xml:space="preserve"> British Museum, 2017 </w:t>
      </w:r>
    </w:p>
  </w:footnote>
  <w:footnote w:id="35">
    <w:p w14:paraId="240E4DC9" w14:textId="521DEF8E" w:rsidR="009943DF" w:rsidRDefault="009943DF" w:rsidP="00105905">
      <w:pPr>
        <w:pStyle w:val="FootnoteText"/>
      </w:pPr>
      <w:r>
        <w:rPr>
          <w:rStyle w:val="FootnoteReference"/>
        </w:rPr>
        <w:footnoteRef/>
      </w:r>
      <w:r>
        <w:t xml:space="preserve"> British Museum, 2017</w:t>
      </w:r>
    </w:p>
  </w:footnote>
  <w:footnote w:id="36">
    <w:p w14:paraId="53CACD25" w14:textId="77777777" w:rsidR="009943DF" w:rsidRDefault="009943DF" w:rsidP="00105905">
      <w:pPr>
        <w:pStyle w:val="FootnoteText"/>
      </w:pPr>
      <w:r>
        <w:rPr>
          <w:rStyle w:val="FootnoteReference"/>
        </w:rPr>
        <w:footnoteRef/>
      </w:r>
      <w:r>
        <w:t xml:space="preserve"> Ikram, 2010; 45</w:t>
      </w:r>
    </w:p>
  </w:footnote>
  <w:footnote w:id="37">
    <w:p w14:paraId="05AF3E07" w14:textId="77777777" w:rsidR="009943DF" w:rsidRDefault="009943DF" w:rsidP="0015498B">
      <w:pPr>
        <w:pStyle w:val="FootnoteText"/>
      </w:pPr>
      <w:r>
        <w:rPr>
          <w:rStyle w:val="FootnoteReference"/>
        </w:rPr>
        <w:footnoteRef/>
      </w:r>
      <w:r>
        <w:t xml:space="preserve"> Brewer and Teeter, 2007; 8</w:t>
      </w:r>
    </w:p>
  </w:footnote>
  <w:footnote w:id="38">
    <w:p w14:paraId="2EEB4545" w14:textId="77777777" w:rsidR="009943DF" w:rsidRDefault="009943DF" w:rsidP="0015498B">
      <w:pPr>
        <w:pStyle w:val="FootnoteText"/>
      </w:pPr>
      <w:r>
        <w:rPr>
          <w:rStyle w:val="FootnoteReference"/>
        </w:rPr>
        <w:footnoteRef/>
      </w:r>
      <w:r>
        <w:t xml:space="preserve"> Brewer and Teeter, 2007; 8</w:t>
      </w:r>
    </w:p>
  </w:footnote>
  <w:footnote w:id="39">
    <w:p w14:paraId="12CD40C9" w14:textId="77777777" w:rsidR="009943DF" w:rsidRDefault="009943DF" w:rsidP="0015498B">
      <w:pPr>
        <w:pStyle w:val="FootnoteText"/>
      </w:pPr>
      <w:r>
        <w:rPr>
          <w:rStyle w:val="FootnoteReference"/>
        </w:rPr>
        <w:footnoteRef/>
      </w:r>
      <w:r>
        <w:t xml:space="preserve"> Richmond, 1977; 181</w:t>
      </w:r>
    </w:p>
  </w:footnote>
  <w:footnote w:id="40">
    <w:p w14:paraId="5E5A518A" w14:textId="77777777" w:rsidR="009943DF" w:rsidRDefault="009943DF" w:rsidP="00105905">
      <w:pPr>
        <w:pStyle w:val="FootnoteText"/>
      </w:pPr>
      <w:r>
        <w:rPr>
          <w:rStyle w:val="FootnoteReference"/>
        </w:rPr>
        <w:footnoteRef/>
      </w:r>
      <w:r>
        <w:t xml:space="preserve"> Connolly, 2009</w:t>
      </w:r>
    </w:p>
  </w:footnote>
  <w:footnote w:id="41">
    <w:p w14:paraId="49F70C80" w14:textId="77777777" w:rsidR="009943DF" w:rsidRDefault="009943DF" w:rsidP="00105905">
      <w:pPr>
        <w:pStyle w:val="FootnoteText"/>
      </w:pPr>
      <w:r>
        <w:rPr>
          <w:rStyle w:val="FootnoteReference"/>
        </w:rPr>
        <w:footnoteRef/>
      </w:r>
      <w:r>
        <w:t xml:space="preserve"> Ikram, 2010; 45</w:t>
      </w:r>
    </w:p>
  </w:footnote>
  <w:footnote w:id="42">
    <w:p w14:paraId="25A75D86" w14:textId="77777777" w:rsidR="009943DF" w:rsidRDefault="009943DF" w:rsidP="00105905">
      <w:pPr>
        <w:pStyle w:val="FootnoteText"/>
      </w:pPr>
      <w:r>
        <w:rPr>
          <w:rStyle w:val="FootnoteReference"/>
        </w:rPr>
        <w:footnoteRef/>
      </w:r>
      <w:r>
        <w:t xml:space="preserve"> Brewer and Teeter, 2007; 8-9</w:t>
      </w:r>
    </w:p>
  </w:footnote>
  <w:footnote w:id="43">
    <w:p w14:paraId="20BB9B0C" w14:textId="77777777" w:rsidR="009943DF" w:rsidRDefault="009943DF" w:rsidP="00105905">
      <w:pPr>
        <w:pStyle w:val="FootnoteText"/>
      </w:pPr>
      <w:r>
        <w:rPr>
          <w:rStyle w:val="FootnoteReference"/>
        </w:rPr>
        <w:footnoteRef/>
      </w:r>
      <w:r>
        <w:t xml:space="preserve"> Reid, 2015; 22</w:t>
      </w:r>
    </w:p>
  </w:footnote>
  <w:footnote w:id="44">
    <w:p w14:paraId="5837EC22" w14:textId="77777777" w:rsidR="009943DF" w:rsidRDefault="009943DF" w:rsidP="00105905">
      <w:pPr>
        <w:pStyle w:val="FootnoteText"/>
      </w:pPr>
      <w:r>
        <w:rPr>
          <w:rStyle w:val="FootnoteReference"/>
        </w:rPr>
        <w:footnoteRef/>
      </w:r>
      <w:r>
        <w:t xml:space="preserve"> Marlowe, 1974; 12</w:t>
      </w:r>
    </w:p>
  </w:footnote>
  <w:footnote w:id="45">
    <w:p w14:paraId="5139E8EC" w14:textId="77777777" w:rsidR="009943DF" w:rsidRDefault="009943DF" w:rsidP="00105636">
      <w:pPr>
        <w:pStyle w:val="FootnoteText"/>
      </w:pPr>
      <w:r>
        <w:rPr>
          <w:rStyle w:val="FootnoteReference"/>
        </w:rPr>
        <w:footnoteRef/>
      </w:r>
      <w:r>
        <w:t xml:space="preserve"> Marlowe, 1974; 12</w:t>
      </w:r>
    </w:p>
  </w:footnote>
  <w:footnote w:id="46">
    <w:p w14:paraId="35A99587" w14:textId="77777777" w:rsidR="009943DF" w:rsidRDefault="009943DF" w:rsidP="00105636">
      <w:pPr>
        <w:pStyle w:val="FootnoteText"/>
      </w:pPr>
      <w:r>
        <w:rPr>
          <w:rStyle w:val="FootnoteReference"/>
        </w:rPr>
        <w:footnoteRef/>
      </w:r>
      <w:r>
        <w:t xml:space="preserve"> Reid, 2015; 20</w:t>
      </w:r>
    </w:p>
  </w:footnote>
  <w:footnote w:id="47">
    <w:p w14:paraId="45DA362F" w14:textId="75AE86BC" w:rsidR="009943DF" w:rsidRDefault="009943DF" w:rsidP="00105636">
      <w:pPr>
        <w:pStyle w:val="FootnoteText"/>
      </w:pPr>
      <w:r>
        <w:rPr>
          <w:rStyle w:val="FootnoteReference"/>
        </w:rPr>
        <w:footnoteRef/>
      </w:r>
      <w:r>
        <w:t xml:space="preserve"> Reid, 1985; 235</w:t>
      </w:r>
    </w:p>
  </w:footnote>
  <w:footnote w:id="48">
    <w:p w14:paraId="5F5D7041" w14:textId="031FC13B" w:rsidR="009943DF" w:rsidRDefault="009943DF" w:rsidP="00105636">
      <w:pPr>
        <w:pStyle w:val="FootnoteText"/>
      </w:pPr>
      <w:r>
        <w:rPr>
          <w:rStyle w:val="FootnoteReference"/>
        </w:rPr>
        <w:footnoteRef/>
      </w:r>
      <w:r>
        <w:t xml:space="preserve"> Reid, 1985; 235</w:t>
      </w:r>
    </w:p>
  </w:footnote>
  <w:footnote w:id="49">
    <w:p w14:paraId="1EA85CE2" w14:textId="77777777" w:rsidR="009943DF" w:rsidRDefault="009943DF" w:rsidP="00105636">
      <w:pPr>
        <w:pStyle w:val="FootnoteText"/>
      </w:pPr>
      <w:r>
        <w:rPr>
          <w:rStyle w:val="FootnoteReference"/>
        </w:rPr>
        <w:footnoteRef/>
      </w:r>
      <w:r>
        <w:t xml:space="preserve"> Reid, 2015; 21</w:t>
      </w:r>
    </w:p>
  </w:footnote>
  <w:footnote w:id="50">
    <w:p w14:paraId="3C0019D3" w14:textId="77777777" w:rsidR="009943DF" w:rsidRDefault="009943DF" w:rsidP="00105636">
      <w:pPr>
        <w:pStyle w:val="FootnoteText"/>
      </w:pPr>
      <w:r>
        <w:rPr>
          <w:rStyle w:val="FootnoteReference"/>
        </w:rPr>
        <w:footnoteRef/>
      </w:r>
      <w:r>
        <w:t xml:space="preserve"> Reid, 2015; 65</w:t>
      </w:r>
    </w:p>
  </w:footnote>
  <w:footnote w:id="51">
    <w:p w14:paraId="6AEB97AE" w14:textId="7444A150" w:rsidR="009943DF" w:rsidRDefault="009943DF" w:rsidP="00105636">
      <w:pPr>
        <w:pStyle w:val="FootnoteText"/>
      </w:pPr>
      <w:r>
        <w:rPr>
          <w:rStyle w:val="FootnoteReference"/>
        </w:rPr>
        <w:footnoteRef/>
      </w:r>
      <w:r>
        <w:t xml:space="preserve"> Reid, 2015; 77 </w:t>
      </w:r>
    </w:p>
  </w:footnote>
  <w:footnote w:id="52">
    <w:p w14:paraId="6B26DADB" w14:textId="70F75179" w:rsidR="009943DF" w:rsidRDefault="009943DF" w:rsidP="00105636">
      <w:pPr>
        <w:pStyle w:val="FootnoteText"/>
      </w:pPr>
      <w:r>
        <w:rPr>
          <w:rStyle w:val="FootnoteReference"/>
        </w:rPr>
        <w:footnoteRef/>
      </w:r>
      <w:r>
        <w:t xml:space="preserve"> Reid, 2015; 238 </w:t>
      </w:r>
    </w:p>
  </w:footnote>
  <w:footnote w:id="53">
    <w:p w14:paraId="4CA6EC15" w14:textId="77777777" w:rsidR="009943DF" w:rsidRDefault="009943DF" w:rsidP="00105636">
      <w:pPr>
        <w:pStyle w:val="FootnoteText"/>
      </w:pPr>
      <w:r>
        <w:rPr>
          <w:rStyle w:val="FootnoteReference"/>
        </w:rPr>
        <w:footnoteRef/>
      </w:r>
      <w:r>
        <w:t xml:space="preserve"> Giza Project at Harvard University, 2017 </w:t>
      </w:r>
    </w:p>
  </w:footnote>
  <w:footnote w:id="54">
    <w:p w14:paraId="3ABBCA74" w14:textId="77777777" w:rsidR="009943DF" w:rsidRDefault="009943DF" w:rsidP="00105636">
      <w:pPr>
        <w:pStyle w:val="FootnoteText"/>
      </w:pPr>
      <w:r>
        <w:rPr>
          <w:rStyle w:val="FootnoteReference"/>
        </w:rPr>
        <w:footnoteRef/>
      </w:r>
      <w:r>
        <w:t xml:space="preserve"> Reid, 2015; 65</w:t>
      </w:r>
    </w:p>
  </w:footnote>
  <w:footnote w:id="55">
    <w:p w14:paraId="5152A266" w14:textId="77777777" w:rsidR="009943DF" w:rsidRDefault="009943DF" w:rsidP="00105636">
      <w:pPr>
        <w:pStyle w:val="FootnoteText"/>
      </w:pPr>
      <w:r>
        <w:rPr>
          <w:rStyle w:val="FootnoteReference"/>
        </w:rPr>
        <w:footnoteRef/>
      </w:r>
      <w:r>
        <w:t xml:space="preserve"> Reid, 2015; 65</w:t>
      </w:r>
    </w:p>
  </w:footnote>
  <w:footnote w:id="56">
    <w:p w14:paraId="6A2D1039" w14:textId="77777777" w:rsidR="009943DF" w:rsidRDefault="009943DF" w:rsidP="00105636">
      <w:pPr>
        <w:pStyle w:val="FootnoteText"/>
      </w:pPr>
      <w:r>
        <w:rPr>
          <w:rStyle w:val="FootnoteReference"/>
        </w:rPr>
        <w:footnoteRef/>
      </w:r>
      <w:r>
        <w:t xml:space="preserve"> Reid, 2015; 65</w:t>
      </w:r>
    </w:p>
  </w:footnote>
  <w:footnote w:id="57">
    <w:p w14:paraId="5DD44D7F" w14:textId="77777777" w:rsidR="009943DF" w:rsidRDefault="009943DF" w:rsidP="00105636">
      <w:pPr>
        <w:pStyle w:val="FootnoteText"/>
      </w:pPr>
      <w:r>
        <w:rPr>
          <w:rStyle w:val="FootnoteReference"/>
        </w:rPr>
        <w:footnoteRef/>
      </w:r>
      <w:r>
        <w:t xml:space="preserve"> Reid 1985, 243</w:t>
      </w:r>
    </w:p>
  </w:footnote>
  <w:footnote w:id="58">
    <w:p w14:paraId="746AA6D8" w14:textId="77777777" w:rsidR="009943DF" w:rsidRDefault="009943DF" w:rsidP="00105905">
      <w:pPr>
        <w:pStyle w:val="FootnoteText"/>
      </w:pPr>
      <w:r>
        <w:rPr>
          <w:rStyle w:val="FootnoteReference"/>
        </w:rPr>
        <w:footnoteRef/>
      </w:r>
      <w:r>
        <w:t xml:space="preserve"> </w:t>
      </w:r>
      <w:proofErr w:type="spellStart"/>
      <w:r>
        <w:t>Tatomir</w:t>
      </w:r>
      <w:proofErr w:type="spellEnd"/>
      <w:r>
        <w:t>, 2015; 568</w:t>
      </w:r>
    </w:p>
  </w:footnote>
  <w:footnote w:id="59">
    <w:p w14:paraId="3A8FAC26" w14:textId="77777777" w:rsidR="009943DF" w:rsidRDefault="009943DF" w:rsidP="00105905">
      <w:pPr>
        <w:pStyle w:val="FootnoteText"/>
      </w:pPr>
      <w:r>
        <w:rPr>
          <w:rStyle w:val="FootnoteReference"/>
        </w:rPr>
        <w:footnoteRef/>
      </w:r>
      <w:r>
        <w:t xml:space="preserve"> Wood, 1998; 190</w:t>
      </w:r>
    </w:p>
  </w:footnote>
  <w:footnote w:id="60">
    <w:p w14:paraId="34CBF510" w14:textId="77777777" w:rsidR="009943DF" w:rsidRDefault="009943DF" w:rsidP="00105905">
      <w:pPr>
        <w:pStyle w:val="FootnoteText"/>
      </w:pPr>
      <w:r>
        <w:rPr>
          <w:rStyle w:val="FootnoteReference"/>
        </w:rPr>
        <w:footnoteRef/>
      </w:r>
      <w:r>
        <w:t xml:space="preserve"> Reid, 2003; 234</w:t>
      </w:r>
    </w:p>
  </w:footnote>
  <w:footnote w:id="61">
    <w:p w14:paraId="0F8536B0" w14:textId="77777777" w:rsidR="009943DF" w:rsidRDefault="009943DF" w:rsidP="00105905">
      <w:pPr>
        <w:pStyle w:val="FootnoteText"/>
      </w:pPr>
      <w:r>
        <w:rPr>
          <w:rStyle w:val="FootnoteReference"/>
        </w:rPr>
        <w:footnoteRef/>
      </w:r>
      <w:r>
        <w:t xml:space="preserve"> Reid, 2003; 234</w:t>
      </w:r>
    </w:p>
  </w:footnote>
  <w:footnote w:id="62">
    <w:p w14:paraId="4263FDFC" w14:textId="02589EAE" w:rsidR="009943DF" w:rsidRDefault="009943DF">
      <w:pPr>
        <w:pStyle w:val="FootnoteText"/>
      </w:pPr>
      <w:r>
        <w:rPr>
          <w:rStyle w:val="FootnoteReference"/>
        </w:rPr>
        <w:footnoteRef/>
      </w:r>
      <w:r>
        <w:t xml:space="preserve"> Encyclopaedia Britannica, 2020</w:t>
      </w:r>
    </w:p>
  </w:footnote>
  <w:footnote w:id="63">
    <w:p w14:paraId="048FC98B" w14:textId="77777777" w:rsidR="009943DF" w:rsidRDefault="009943DF" w:rsidP="00105905">
      <w:pPr>
        <w:pStyle w:val="FootnoteText"/>
      </w:pPr>
      <w:r>
        <w:rPr>
          <w:rStyle w:val="FootnoteReference"/>
        </w:rPr>
        <w:footnoteRef/>
      </w:r>
      <w:r>
        <w:t xml:space="preserve"> Brewer and Teeter, 2007; 9. </w:t>
      </w:r>
      <w:proofErr w:type="spellStart"/>
      <w:r>
        <w:t>Janot</w:t>
      </w:r>
      <w:proofErr w:type="spellEnd"/>
      <w:r>
        <w:t xml:space="preserve">, 2010; 63. </w:t>
      </w:r>
    </w:p>
  </w:footnote>
  <w:footnote w:id="64">
    <w:p w14:paraId="1B33978A" w14:textId="77777777" w:rsidR="009943DF" w:rsidRDefault="009943DF" w:rsidP="00105905">
      <w:pPr>
        <w:pStyle w:val="FootnoteText"/>
      </w:pPr>
      <w:r>
        <w:rPr>
          <w:rStyle w:val="FootnoteReference"/>
        </w:rPr>
        <w:footnoteRef/>
      </w:r>
      <w:r>
        <w:t xml:space="preserve"> Ikram, 2010; 45. Reid, 2003; 234</w:t>
      </w:r>
    </w:p>
  </w:footnote>
  <w:footnote w:id="65">
    <w:p w14:paraId="25494BE5" w14:textId="77777777" w:rsidR="009943DF" w:rsidRDefault="009943DF" w:rsidP="00105905">
      <w:pPr>
        <w:pStyle w:val="FootnoteText"/>
      </w:pPr>
      <w:r>
        <w:rPr>
          <w:rStyle w:val="FootnoteReference"/>
        </w:rPr>
        <w:footnoteRef/>
      </w:r>
      <w:r>
        <w:t xml:space="preserve"> </w:t>
      </w:r>
      <w:proofErr w:type="spellStart"/>
      <w:r>
        <w:t>Janot</w:t>
      </w:r>
      <w:proofErr w:type="spellEnd"/>
      <w:r>
        <w:t>, 2010; 63. Wood, 1998; 182</w:t>
      </w:r>
    </w:p>
  </w:footnote>
  <w:footnote w:id="66">
    <w:p w14:paraId="3B536F67" w14:textId="77777777" w:rsidR="009943DF" w:rsidRDefault="009943DF" w:rsidP="00105905">
      <w:pPr>
        <w:pStyle w:val="FootnoteText"/>
      </w:pPr>
      <w:r>
        <w:rPr>
          <w:rStyle w:val="FootnoteReference"/>
        </w:rPr>
        <w:footnoteRef/>
      </w:r>
      <w:r>
        <w:t xml:space="preserve"> Brewer and Teeter, 2007; 47</w:t>
      </w:r>
    </w:p>
  </w:footnote>
  <w:footnote w:id="67">
    <w:p w14:paraId="0AE5A2B4" w14:textId="77777777" w:rsidR="009943DF" w:rsidRDefault="009943DF" w:rsidP="00105905">
      <w:pPr>
        <w:pStyle w:val="FootnoteText"/>
      </w:pPr>
      <w:r>
        <w:rPr>
          <w:rStyle w:val="FootnoteReference"/>
        </w:rPr>
        <w:footnoteRef/>
      </w:r>
      <w:r>
        <w:t xml:space="preserve"> Brewer and Teeter, 2007; XIV</w:t>
      </w:r>
    </w:p>
  </w:footnote>
  <w:footnote w:id="68">
    <w:p w14:paraId="269F9687" w14:textId="77777777" w:rsidR="009943DF" w:rsidRDefault="009943DF" w:rsidP="00105905">
      <w:pPr>
        <w:pStyle w:val="FootnoteText"/>
      </w:pPr>
      <w:r>
        <w:rPr>
          <w:rStyle w:val="FootnoteReference"/>
        </w:rPr>
        <w:footnoteRef/>
      </w:r>
      <w:r>
        <w:t xml:space="preserve"> Brewer and Teeter, 2007; 47</w:t>
      </w:r>
    </w:p>
  </w:footnote>
  <w:footnote w:id="69">
    <w:p w14:paraId="6CBCEC54" w14:textId="7A87C2F2" w:rsidR="009943DF" w:rsidRDefault="009943DF">
      <w:pPr>
        <w:pStyle w:val="FootnoteText"/>
      </w:pPr>
      <w:r>
        <w:rPr>
          <w:rStyle w:val="FootnoteReference"/>
        </w:rPr>
        <w:footnoteRef/>
      </w:r>
      <w:r>
        <w:t xml:space="preserve"> </w:t>
      </w:r>
      <w:proofErr w:type="spellStart"/>
      <w:r>
        <w:t>Hawass</w:t>
      </w:r>
      <w:proofErr w:type="spellEnd"/>
      <w:r>
        <w:t>, 2018; 15</w:t>
      </w:r>
    </w:p>
  </w:footnote>
  <w:footnote w:id="70">
    <w:p w14:paraId="535E894A"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14 </w:t>
      </w:r>
    </w:p>
  </w:footnote>
  <w:footnote w:id="71">
    <w:p w14:paraId="6CC5CA53" w14:textId="77777777" w:rsidR="009943DF" w:rsidRDefault="009943DF" w:rsidP="00105905">
      <w:pPr>
        <w:pStyle w:val="FootnoteText"/>
      </w:pPr>
      <w:r>
        <w:rPr>
          <w:rStyle w:val="FootnoteReference"/>
        </w:rPr>
        <w:footnoteRef/>
      </w:r>
      <w:r>
        <w:t xml:space="preserve"> The Telegraph, 2010 </w:t>
      </w:r>
    </w:p>
  </w:footnote>
  <w:footnote w:id="72">
    <w:p w14:paraId="7AEFC850" w14:textId="284D6903" w:rsidR="009943DF" w:rsidRDefault="009943DF" w:rsidP="00105905">
      <w:pPr>
        <w:pStyle w:val="FootnoteText"/>
      </w:pPr>
      <w:r>
        <w:rPr>
          <w:rStyle w:val="FootnoteReference"/>
        </w:rPr>
        <w:footnoteRef/>
      </w:r>
      <w:r>
        <w:t xml:space="preserve"> </w:t>
      </w:r>
      <w:proofErr w:type="spellStart"/>
      <w:r>
        <w:t>Hawass</w:t>
      </w:r>
      <w:proofErr w:type="spellEnd"/>
      <w:r>
        <w:t>, 2018; 13</w:t>
      </w:r>
    </w:p>
  </w:footnote>
  <w:footnote w:id="73">
    <w:p w14:paraId="5BE49022"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13 </w:t>
      </w:r>
    </w:p>
  </w:footnote>
  <w:footnote w:id="74">
    <w:p w14:paraId="663AFD23" w14:textId="71809ED3" w:rsidR="009943DF" w:rsidRDefault="009943DF">
      <w:pPr>
        <w:pStyle w:val="FootnoteText"/>
      </w:pPr>
      <w:r>
        <w:rPr>
          <w:rStyle w:val="FootnoteReference"/>
        </w:rPr>
        <w:footnoteRef/>
      </w:r>
      <w:r>
        <w:t xml:space="preserve"> </w:t>
      </w:r>
      <w:proofErr w:type="spellStart"/>
      <w:r>
        <w:t>Hawass</w:t>
      </w:r>
      <w:proofErr w:type="spellEnd"/>
      <w:r>
        <w:t>, 2018; 15</w:t>
      </w:r>
    </w:p>
  </w:footnote>
  <w:footnote w:id="75">
    <w:p w14:paraId="1E307F48" w14:textId="56BB8C89" w:rsidR="009943DF" w:rsidRDefault="009943DF">
      <w:pPr>
        <w:pStyle w:val="FootnoteText"/>
      </w:pPr>
      <w:r>
        <w:rPr>
          <w:rStyle w:val="FootnoteReference"/>
        </w:rPr>
        <w:footnoteRef/>
      </w:r>
      <w:r>
        <w:t xml:space="preserve"> </w:t>
      </w:r>
      <w:proofErr w:type="spellStart"/>
      <w:r>
        <w:t>Hawass</w:t>
      </w:r>
      <w:proofErr w:type="spellEnd"/>
      <w:r>
        <w:t xml:space="preserve"> et al, 2010; 640</w:t>
      </w:r>
    </w:p>
  </w:footnote>
  <w:footnote w:id="76">
    <w:p w14:paraId="6A7A57EB"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15 </w:t>
      </w:r>
    </w:p>
  </w:footnote>
  <w:footnote w:id="77">
    <w:p w14:paraId="021360AC" w14:textId="3F19AAD5" w:rsidR="009943DF" w:rsidRDefault="009943DF">
      <w:pPr>
        <w:pStyle w:val="FootnoteText"/>
      </w:pPr>
      <w:r>
        <w:rPr>
          <w:rStyle w:val="FootnoteReference"/>
        </w:rPr>
        <w:footnoteRef/>
      </w:r>
      <w:r>
        <w:t xml:space="preserve"> </w:t>
      </w:r>
      <w:proofErr w:type="spellStart"/>
      <w:r>
        <w:t>Hawass</w:t>
      </w:r>
      <w:proofErr w:type="spellEnd"/>
      <w:r>
        <w:t xml:space="preserve"> et al, 2010; 640</w:t>
      </w:r>
    </w:p>
  </w:footnote>
  <w:footnote w:id="78">
    <w:p w14:paraId="7603A6A3" w14:textId="77777777" w:rsidR="009943DF" w:rsidRDefault="009943DF" w:rsidP="00105905">
      <w:pPr>
        <w:pStyle w:val="FootnoteText"/>
      </w:pPr>
      <w:r>
        <w:rPr>
          <w:rStyle w:val="FootnoteReference"/>
        </w:rPr>
        <w:footnoteRef/>
      </w:r>
      <w:r>
        <w:t xml:space="preserve"> </w:t>
      </w:r>
      <w:proofErr w:type="spellStart"/>
      <w:r>
        <w:t>Hawass</w:t>
      </w:r>
      <w:proofErr w:type="spellEnd"/>
      <w:r>
        <w:t>, 2018</w:t>
      </w:r>
    </w:p>
  </w:footnote>
  <w:footnote w:id="79">
    <w:p w14:paraId="051CA970" w14:textId="77777777" w:rsidR="009943DF" w:rsidRDefault="009943DF" w:rsidP="00105905">
      <w:pPr>
        <w:pStyle w:val="FootnoteText"/>
      </w:pPr>
      <w:r>
        <w:rPr>
          <w:rStyle w:val="FootnoteReference"/>
        </w:rPr>
        <w:footnoteRef/>
      </w:r>
      <w:r>
        <w:t xml:space="preserve"> Pak, 2019</w:t>
      </w:r>
    </w:p>
  </w:footnote>
  <w:footnote w:id="80">
    <w:p w14:paraId="732B33D9" w14:textId="14BD3778" w:rsidR="009943DF" w:rsidRDefault="009943DF">
      <w:pPr>
        <w:pStyle w:val="FootnoteText"/>
      </w:pPr>
      <w:r>
        <w:rPr>
          <w:rStyle w:val="FootnoteReference"/>
        </w:rPr>
        <w:footnoteRef/>
      </w:r>
      <w:r>
        <w:t xml:space="preserve"> Dodson, 2009; 30-32</w:t>
      </w:r>
    </w:p>
  </w:footnote>
  <w:footnote w:id="81">
    <w:p w14:paraId="51A0FA44" w14:textId="77777777" w:rsidR="009943DF" w:rsidRDefault="009943DF" w:rsidP="00496B92">
      <w:pPr>
        <w:pStyle w:val="FootnoteText"/>
      </w:pPr>
      <w:r>
        <w:rPr>
          <w:rStyle w:val="FootnoteReference"/>
        </w:rPr>
        <w:footnoteRef/>
      </w:r>
      <w:r>
        <w:t xml:space="preserve"> Brewer and Teeter, 2007; 54</w:t>
      </w:r>
    </w:p>
  </w:footnote>
  <w:footnote w:id="82">
    <w:p w14:paraId="379CE8A8" w14:textId="77777777" w:rsidR="009943DF" w:rsidRDefault="009943DF" w:rsidP="00105905">
      <w:pPr>
        <w:pStyle w:val="FootnoteText"/>
      </w:pPr>
      <w:r>
        <w:rPr>
          <w:rStyle w:val="FootnoteReference"/>
        </w:rPr>
        <w:footnoteRef/>
      </w:r>
      <w:r>
        <w:t xml:space="preserve"> Carter and Mace, 1923; 41</w:t>
      </w:r>
    </w:p>
  </w:footnote>
  <w:footnote w:id="83">
    <w:p w14:paraId="3614B5EB"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15 </w:t>
      </w:r>
    </w:p>
  </w:footnote>
  <w:footnote w:id="84">
    <w:p w14:paraId="5393C5B2"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17 </w:t>
      </w:r>
    </w:p>
  </w:footnote>
  <w:footnote w:id="85">
    <w:p w14:paraId="671428E2" w14:textId="77777777" w:rsidR="009943DF" w:rsidRDefault="009943DF" w:rsidP="00105905">
      <w:pPr>
        <w:pStyle w:val="FootnoteText"/>
      </w:pPr>
      <w:r>
        <w:rPr>
          <w:rStyle w:val="FootnoteReference"/>
        </w:rPr>
        <w:footnoteRef/>
      </w:r>
      <w:r>
        <w:t xml:space="preserve"> Brewer and Teeter, 2007; 14</w:t>
      </w:r>
    </w:p>
  </w:footnote>
  <w:footnote w:id="86">
    <w:p w14:paraId="0B716389" w14:textId="77777777" w:rsidR="009943DF" w:rsidRDefault="009943DF" w:rsidP="00105905">
      <w:pPr>
        <w:pStyle w:val="FootnoteText"/>
      </w:pPr>
      <w:r>
        <w:rPr>
          <w:rStyle w:val="FootnoteReference"/>
        </w:rPr>
        <w:footnoteRef/>
      </w:r>
      <w:r>
        <w:t xml:space="preserve"> </w:t>
      </w:r>
      <w:proofErr w:type="spellStart"/>
      <w:r>
        <w:t>Hawass</w:t>
      </w:r>
      <w:proofErr w:type="spellEnd"/>
      <w:r>
        <w:t>, 2018; 14</w:t>
      </w:r>
    </w:p>
  </w:footnote>
  <w:footnote w:id="87">
    <w:p w14:paraId="180434CC" w14:textId="3ACF73D4" w:rsidR="009943DF" w:rsidRDefault="009943DF" w:rsidP="00105905">
      <w:pPr>
        <w:pStyle w:val="FootnoteText"/>
      </w:pPr>
      <w:r>
        <w:rPr>
          <w:rStyle w:val="FootnoteReference"/>
        </w:rPr>
        <w:footnoteRef/>
      </w:r>
      <w:r>
        <w:t xml:space="preserve"> Brewer and Teeter, 2007; 54. </w:t>
      </w:r>
      <w:proofErr w:type="spellStart"/>
      <w:r>
        <w:t>Hawass</w:t>
      </w:r>
      <w:proofErr w:type="spellEnd"/>
      <w:r>
        <w:t>, 2018; 14</w:t>
      </w:r>
    </w:p>
  </w:footnote>
  <w:footnote w:id="88">
    <w:p w14:paraId="29019A35" w14:textId="4CED18D1" w:rsidR="009943DF" w:rsidRDefault="009943DF">
      <w:pPr>
        <w:pStyle w:val="FootnoteText"/>
      </w:pPr>
      <w:r>
        <w:rPr>
          <w:rStyle w:val="FootnoteReference"/>
        </w:rPr>
        <w:footnoteRef/>
      </w:r>
      <w:r>
        <w:t xml:space="preserve"> Ancient Egypt, N.D</w:t>
      </w:r>
    </w:p>
  </w:footnote>
  <w:footnote w:id="89">
    <w:p w14:paraId="5ED1FBF4" w14:textId="38DFB5CE" w:rsidR="009943DF" w:rsidRDefault="009943DF">
      <w:pPr>
        <w:pStyle w:val="FootnoteText"/>
      </w:pPr>
      <w:r>
        <w:rPr>
          <w:rStyle w:val="FootnoteReference"/>
        </w:rPr>
        <w:footnoteRef/>
      </w:r>
      <w:r>
        <w:t xml:space="preserve"> </w:t>
      </w:r>
      <w:proofErr w:type="spellStart"/>
      <w:r>
        <w:t>Hawass</w:t>
      </w:r>
      <w:proofErr w:type="spellEnd"/>
      <w:r>
        <w:t>, 2018; 15</w:t>
      </w:r>
    </w:p>
  </w:footnote>
  <w:footnote w:id="90">
    <w:p w14:paraId="746A2829"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15 </w:t>
      </w:r>
    </w:p>
  </w:footnote>
  <w:footnote w:id="91">
    <w:p w14:paraId="2793939F"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13 </w:t>
      </w:r>
    </w:p>
  </w:footnote>
  <w:footnote w:id="92">
    <w:p w14:paraId="639315CC" w14:textId="77777777" w:rsidR="009943DF" w:rsidRDefault="009943DF" w:rsidP="00105905">
      <w:pPr>
        <w:pStyle w:val="FootnoteText"/>
      </w:pPr>
      <w:r>
        <w:rPr>
          <w:rStyle w:val="FootnoteReference"/>
        </w:rPr>
        <w:footnoteRef/>
      </w:r>
      <w:r>
        <w:t xml:space="preserve"> </w:t>
      </w:r>
      <w:proofErr w:type="spellStart"/>
      <w:r>
        <w:t>Janot</w:t>
      </w:r>
      <w:proofErr w:type="spellEnd"/>
      <w:r>
        <w:t>, 2010; 113</w:t>
      </w:r>
    </w:p>
  </w:footnote>
  <w:footnote w:id="93">
    <w:p w14:paraId="1CB8278D" w14:textId="77777777" w:rsidR="009943DF" w:rsidRDefault="009943DF" w:rsidP="00105905">
      <w:pPr>
        <w:pStyle w:val="FootnoteText"/>
      </w:pPr>
      <w:r>
        <w:rPr>
          <w:rStyle w:val="FootnoteReference"/>
        </w:rPr>
        <w:footnoteRef/>
      </w:r>
      <w:r>
        <w:t xml:space="preserve"> </w:t>
      </w:r>
      <w:proofErr w:type="spellStart"/>
      <w:r>
        <w:t>Janot</w:t>
      </w:r>
      <w:proofErr w:type="spellEnd"/>
      <w:r>
        <w:t>, 2010; 29</w:t>
      </w:r>
    </w:p>
  </w:footnote>
  <w:footnote w:id="94">
    <w:p w14:paraId="5FD20A09" w14:textId="77777777" w:rsidR="009943DF" w:rsidRDefault="009943DF" w:rsidP="00105905">
      <w:pPr>
        <w:pStyle w:val="FootnoteText"/>
      </w:pPr>
      <w:r>
        <w:rPr>
          <w:rStyle w:val="FootnoteReference"/>
        </w:rPr>
        <w:footnoteRef/>
      </w:r>
      <w:r>
        <w:t xml:space="preserve"> Eaton-Krauss, 2016</w:t>
      </w:r>
    </w:p>
  </w:footnote>
  <w:footnote w:id="95">
    <w:p w14:paraId="17D7F5DB" w14:textId="77777777" w:rsidR="009943DF" w:rsidRDefault="009943DF" w:rsidP="00105905">
      <w:pPr>
        <w:pStyle w:val="FootnoteText"/>
      </w:pPr>
      <w:r>
        <w:rPr>
          <w:rStyle w:val="FootnoteReference"/>
        </w:rPr>
        <w:footnoteRef/>
      </w:r>
      <w:r>
        <w:t xml:space="preserve"> Eaton-Krauss, 2016; 105</w:t>
      </w:r>
    </w:p>
  </w:footnote>
  <w:footnote w:id="96">
    <w:p w14:paraId="52FF8C54" w14:textId="77777777" w:rsidR="009943DF" w:rsidRDefault="009943DF" w:rsidP="00105905">
      <w:pPr>
        <w:pStyle w:val="FootnoteText"/>
      </w:pPr>
      <w:r>
        <w:rPr>
          <w:rStyle w:val="FootnoteReference"/>
        </w:rPr>
        <w:footnoteRef/>
      </w:r>
      <w:r>
        <w:t xml:space="preserve"> Collins and McNamara, 2014; 87</w:t>
      </w:r>
    </w:p>
  </w:footnote>
  <w:footnote w:id="97">
    <w:p w14:paraId="30B74E14"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15 </w:t>
      </w:r>
    </w:p>
  </w:footnote>
  <w:footnote w:id="98">
    <w:p w14:paraId="033B2DC3"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17 </w:t>
      </w:r>
    </w:p>
  </w:footnote>
  <w:footnote w:id="99">
    <w:p w14:paraId="076BCF4A" w14:textId="77777777" w:rsidR="009943DF" w:rsidRDefault="009943DF" w:rsidP="00105905">
      <w:pPr>
        <w:pStyle w:val="FootnoteText"/>
      </w:pPr>
      <w:r>
        <w:rPr>
          <w:rStyle w:val="FootnoteReference"/>
        </w:rPr>
        <w:footnoteRef/>
      </w:r>
      <w:r>
        <w:t xml:space="preserve"> Wood, 1998; 181</w:t>
      </w:r>
    </w:p>
  </w:footnote>
  <w:footnote w:id="100">
    <w:p w14:paraId="4DFC1004" w14:textId="77777777" w:rsidR="009943DF" w:rsidRDefault="009943DF" w:rsidP="00105905">
      <w:pPr>
        <w:pStyle w:val="FootnoteText"/>
      </w:pPr>
      <w:r>
        <w:rPr>
          <w:rStyle w:val="FootnoteReference"/>
        </w:rPr>
        <w:footnoteRef/>
      </w:r>
      <w:r>
        <w:t xml:space="preserve"> </w:t>
      </w:r>
      <w:proofErr w:type="spellStart"/>
      <w:r>
        <w:t>Miscevic</w:t>
      </w:r>
      <w:proofErr w:type="spellEnd"/>
      <w:r>
        <w:t>, 2014</w:t>
      </w:r>
    </w:p>
  </w:footnote>
  <w:footnote w:id="101">
    <w:p w14:paraId="59FF43E4" w14:textId="77777777" w:rsidR="009943DF" w:rsidRDefault="009943DF" w:rsidP="00105905">
      <w:pPr>
        <w:pStyle w:val="FootnoteText"/>
      </w:pPr>
      <w:r>
        <w:rPr>
          <w:rStyle w:val="FootnoteReference"/>
        </w:rPr>
        <w:footnoteRef/>
      </w:r>
      <w:r>
        <w:t>Wood, 1998; 181</w:t>
      </w:r>
    </w:p>
  </w:footnote>
  <w:footnote w:id="102">
    <w:p w14:paraId="30DC64E2" w14:textId="77777777" w:rsidR="009943DF" w:rsidRDefault="009943DF" w:rsidP="00105905">
      <w:pPr>
        <w:pStyle w:val="FootnoteText"/>
      </w:pPr>
      <w:r>
        <w:rPr>
          <w:rStyle w:val="FootnoteReference"/>
        </w:rPr>
        <w:footnoteRef/>
      </w:r>
      <w:r>
        <w:t xml:space="preserve"> Wood, 1998; 182</w:t>
      </w:r>
    </w:p>
  </w:footnote>
  <w:footnote w:id="103">
    <w:p w14:paraId="1E495348" w14:textId="77777777" w:rsidR="009943DF" w:rsidRDefault="009943DF" w:rsidP="0017373E">
      <w:pPr>
        <w:pStyle w:val="FootnoteText"/>
      </w:pPr>
      <w:r>
        <w:rPr>
          <w:rStyle w:val="FootnoteReference"/>
        </w:rPr>
        <w:footnoteRef/>
      </w:r>
      <w:r>
        <w:t xml:space="preserve"> Jankowski, 2000; 122</w:t>
      </w:r>
    </w:p>
  </w:footnote>
  <w:footnote w:id="104">
    <w:p w14:paraId="7E0CA8F9" w14:textId="77777777" w:rsidR="009943DF" w:rsidRDefault="009943DF" w:rsidP="0017373E">
      <w:pPr>
        <w:pStyle w:val="FootnoteText"/>
      </w:pPr>
      <w:r>
        <w:rPr>
          <w:rStyle w:val="FootnoteReference"/>
        </w:rPr>
        <w:footnoteRef/>
      </w:r>
      <w:r>
        <w:t xml:space="preserve"> Reid, 2015; 43</w:t>
      </w:r>
    </w:p>
  </w:footnote>
  <w:footnote w:id="105">
    <w:p w14:paraId="19EFA5B1" w14:textId="77777777" w:rsidR="009943DF" w:rsidRDefault="009943DF" w:rsidP="00105905">
      <w:pPr>
        <w:pStyle w:val="FootnoteText"/>
      </w:pPr>
      <w:r>
        <w:rPr>
          <w:rStyle w:val="FootnoteReference"/>
        </w:rPr>
        <w:footnoteRef/>
      </w:r>
      <w:r>
        <w:t xml:space="preserve"> The University of Manchester, 2013</w:t>
      </w:r>
    </w:p>
  </w:footnote>
  <w:footnote w:id="106">
    <w:p w14:paraId="19B426E2" w14:textId="77777777" w:rsidR="009943DF" w:rsidRDefault="009943DF" w:rsidP="00105905">
      <w:pPr>
        <w:pStyle w:val="FootnoteText"/>
      </w:pPr>
      <w:r>
        <w:rPr>
          <w:rStyle w:val="FootnoteReference"/>
        </w:rPr>
        <w:footnoteRef/>
      </w:r>
      <w:r>
        <w:t xml:space="preserve"> Rivlin, 2020</w:t>
      </w:r>
    </w:p>
  </w:footnote>
  <w:footnote w:id="107">
    <w:p w14:paraId="2F446CB1" w14:textId="77777777" w:rsidR="009943DF" w:rsidRDefault="009943DF" w:rsidP="00105905">
      <w:pPr>
        <w:pStyle w:val="FootnoteText"/>
      </w:pPr>
      <w:r>
        <w:rPr>
          <w:rStyle w:val="FootnoteReference"/>
        </w:rPr>
        <w:footnoteRef/>
      </w:r>
      <w:r>
        <w:t xml:space="preserve"> Wood, 1998; 180</w:t>
      </w:r>
    </w:p>
  </w:footnote>
  <w:footnote w:id="108">
    <w:p w14:paraId="6F0A8BCE" w14:textId="77777777" w:rsidR="009943DF" w:rsidRDefault="009943DF" w:rsidP="00105905">
      <w:pPr>
        <w:pStyle w:val="FootnoteText"/>
      </w:pPr>
      <w:r>
        <w:rPr>
          <w:rStyle w:val="FootnoteReference"/>
        </w:rPr>
        <w:footnoteRef/>
      </w:r>
      <w:r>
        <w:t xml:space="preserve"> Reid, 2015; 34</w:t>
      </w:r>
    </w:p>
  </w:footnote>
  <w:footnote w:id="109">
    <w:p w14:paraId="02A23EF2" w14:textId="247A81E7" w:rsidR="009943DF" w:rsidRDefault="009943DF" w:rsidP="00105905">
      <w:pPr>
        <w:pStyle w:val="FootnoteText"/>
      </w:pPr>
      <w:r>
        <w:rPr>
          <w:rStyle w:val="FootnoteReference"/>
        </w:rPr>
        <w:footnoteRef/>
      </w:r>
      <w:r>
        <w:t xml:space="preserve"> Gorman, 2005; 117</w:t>
      </w:r>
    </w:p>
  </w:footnote>
  <w:footnote w:id="110">
    <w:p w14:paraId="5B61599B" w14:textId="202B4524" w:rsidR="009943DF" w:rsidRDefault="009943DF">
      <w:pPr>
        <w:pStyle w:val="FootnoteText"/>
      </w:pPr>
      <w:r>
        <w:rPr>
          <w:rStyle w:val="FootnoteReference"/>
        </w:rPr>
        <w:footnoteRef/>
      </w:r>
      <w:r>
        <w:t xml:space="preserve"> Gorman, 2005; 84</w:t>
      </w:r>
    </w:p>
  </w:footnote>
  <w:footnote w:id="111">
    <w:p w14:paraId="0F9165BE" w14:textId="195610E1" w:rsidR="009943DF" w:rsidRDefault="009943DF">
      <w:pPr>
        <w:pStyle w:val="FootnoteText"/>
      </w:pPr>
      <w:r>
        <w:rPr>
          <w:rStyle w:val="FootnoteReference"/>
        </w:rPr>
        <w:footnoteRef/>
      </w:r>
      <w:r>
        <w:t xml:space="preserve"> Gorman, 2005; 118</w:t>
      </w:r>
    </w:p>
  </w:footnote>
  <w:footnote w:id="112">
    <w:p w14:paraId="25558CFA" w14:textId="77777777" w:rsidR="009943DF" w:rsidRDefault="009943DF" w:rsidP="00105905">
      <w:pPr>
        <w:pStyle w:val="FootnoteText"/>
      </w:pPr>
      <w:r>
        <w:rPr>
          <w:rStyle w:val="FootnoteReference"/>
        </w:rPr>
        <w:footnoteRef/>
      </w:r>
      <w:r>
        <w:t xml:space="preserve"> Wendell, 2012</w:t>
      </w:r>
    </w:p>
  </w:footnote>
  <w:footnote w:id="113">
    <w:p w14:paraId="5E0E1C1A" w14:textId="586475E4" w:rsidR="009943DF" w:rsidRDefault="009943DF" w:rsidP="00105905">
      <w:pPr>
        <w:pStyle w:val="FootnoteText"/>
      </w:pPr>
      <w:r>
        <w:rPr>
          <w:rStyle w:val="FootnoteReference"/>
        </w:rPr>
        <w:footnoteRef/>
      </w:r>
      <w:r>
        <w:t xml:space="preserve"> Gorman, 2005; 117</w:t>
      </w:r>
    </w:p>
  </w:footnote>
  <w:footnote w:id="114">
    <w:p w14:paraId="444CCB27" w14:textId="2E1D993A" w:rsidR="009943DF" w:rsidRDefault="009943DF">
      <w:pPr>
        <w:pStyle w:val="FootnoteText"/>
      </w:pPr>
      <w:r>
        <w:rPr>
          <w:rStyle w:val="FootnoteReference"/>
        </w:rPr>
        <w:footnoteRef/>
      </w:r>
      <w:r>
        <w:t xml:space="preserve"> Encyclopaedia Britannica, 2019</w:t>
      </w:r>
    </w:p>
  </w:footnote>
  <w:footnote w:id="115">
    <w:p w14:paraId="5E58F4A6" w14:textId="77777777" w:rsidR="009943DF" w:rsidRDefault="009943DF" w:rsidP="00105905">
      <w:pPr>
        <w:pStyle w:val="FootnoteText"/>
      </w:pPr>
      <w:r>
        <w:rPr>
          <w:rStyle w:val="FootnoteReference"/>
        </w:rPr>
        <w:footnoteRef/>
      </w:r>
      <w:r>
        <w:t xml:space="preserve"> Wood, 1998; 181</w:t>
      </w:r>
    </w:p>
  </w:footnote>
  <w:footnote w:id="116">
    <w:p w14:paraId="15AE7107" w14:textId="77777777" w:rsidR="009943DF" w:rsidRDefault="009943DF" w:rsidP="00105905">
      <w:pPr>
        <w:pStyle w:val="FootnoteText"/>
      </w:pPr>
      <w:r>
        <w:rPr>
          <w:rStyle w:val="FootnoteReference"/>
        </w:rPr>
        <w:footnoteRef/>
      </w:r>
      <w:r>
        <w:t xml:space="preserve"> Wood, 1998; 181</w:t>
      </w:r>
    </w:p>
  </w:footnote>
  <w:footnote w:id="117">
    <w:p w14:paraId="6032E286" w14:textId="77777777" w:rsidR="009943DF" w:rsidRDefault="009943DF" w:rsidP="00105905">
      <w:pPr>
        <w:pStyle w:val="FootnoteText"/>
      </w:pPr>
      <w:r>
        <w:rPr>
          <w:rStyle w:val="FootnoteReference"/>
        </w:rPr>
        <w:footnoteRef/>
      </w:r>
      <w:r>
        <w:t xml:space="preserve"> Reid, 1985; 234</w:t>
      </w:r>
    </w:p>
  </w:footnote>
  <w:footnote w:id="118">
    <w:p w14:paraId="1B290560" w14:textId="77777777" w:rsidR="009943DF" w:rsidRDefault="009943DF" w:rsidP="00105905">
      <w:pPr>
        <w:pStyle w:val="FootnoteText"/>
      </w:pPr>
      <w:r>
        <w:rPr>
          <w:rStyle w:val="FootnoteReference"/>
        </w:rPr>
        <w:footnoteRef/>
      </w:r>
      <w:r>
        <w:t xml:space="preserve"> Wood, 1998; 182</w:t>
      </w:r>
    </w:p>
  </w:footnote>
  <w:footnote w:id="119">
    <w:p w14:paraId="0FBFED6C" w14:textId="77777777" w:rsidR="009943DF" w:rsidRDefault="009943DF" w:rsidP="00105905">
      <w:pPr>
        <w:pStyle w:val="FootnoteText"/>
      </w:pPr>
      <w:r>
        <w:rPr>
          <w:rStyle w:val="FootnoteReference"/>
        </w:rPr>
        <w:footnoteRef/>
      </w:r>
      <w:r>
        <w:t xml:space="preserve"> Parkinson, 2008 ;1</w:t>
      </w:r>
    </w:p>
  </w:footnote>
  <w:footnote w:id="120">
    <w:p w14:paraId="0A8B0F3F" w14:textId="77777777" w:rsidR="009943DF" w:rsidRDefault="009943DF" w:rsidP="00105905">
      <w:pPr>
        <w:pStyle w:val="FootnoteText"/>
      </w:pPr>
      <w:r>
        <w:rPr>
          <w:rStyle w:val="FootnoteReference"/>
        </w:rPr>
        <w:footnoteRef/>
      </w:r>
      <w:r>
        <w:t xml:space="preserve"> </w:t>
      </w:r>
      <w:proofErr w:type="spellStart"/>
      <w:r>
        <w:t>Hawass</w:t>
      </w:r>
      <w:proofErr w:type="spellEnd"/>
      <w:r>
        <w:t>, 2018; 21</w:t>
      </w:r>
    </w:p>
  </w:footnote>
  <w:footnote w:id="121">
    <w:p w14:paraId="13D4A8C0" w14:textId="77777777" w:rsidR="009943DF" w:rsidRDefault="009943DF" w:rsidP="00105905">
      <w:pPr>
        <w:pStyle w:val="FootnoteText"/>
      </w:pPr>
      <w:r>
        <w:rPr>
          <w:rStyle w:val="FootnoteReference"/>
        </w:rPr>
        <w:footnoteRef/>
      </w:r>
      <w:r>
        <w:t xml:space="preserve"> Carter and Mace, 1923; 75</w:t>
      </w:r>
    </w:p>
  </w:footnote>
  <w:footnote w:id="122">
    <w:p w14:paraId="605A7E74" w14:textId="42BBAC14" w:rsidR="009943DF" w:rsidRDefault="009943DF" w:rsidP="00105905">
      <w:pPr>
        <w:pStyle w:val="FootnoteText"/>
      </w:pPr>
      <w:r w:rsidRPr="009964B5">
        <w:rPr>
          <w:rStyle w:val="FootnoteReference"/>
        </w:rPr>
        <w:footnoteRef/>
      </w:r>
      <w:r w:rsidRPr="009964B5">
        <w:t xml:space="preserve"> Reeves, 1996; 12</w:t>
      </w:r>
    </w:p>
  </w:footnote>
  <w:footnote w:id="123">
    <w:p w14:paraId="0AB20488"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17 </w:t>
      </w:r>
    </w:p>
  </w:footnote>
  <w:footnote w:id="124">
    <w:p w14:paraId="6A648775" w14:textId="77777777" w:rsidR="009943DF" w:rsidRDefault="009943DF" w:rsidP="00105905">
      <w:pPr>
        <w:pStyle w:val="FootnoteText"/>
      </w:pPr>
      <w:r>
        <w:rPr>
          <w:rStyle w:val="FootnoteReference"/>
        </w:rPr>
        <w:footnoteRef/>
      </w:r>
      <w:r>
        <w:t xml:space="preserve"> </w:t>
      </w:r>
      <w:proofErr w:type="spellStart"/>
      <w:r>
        <w:t>Hawass</w:t>
      </w:r>
      <w:proofErr w:type="spellEnd"/>
      <w:r>
        <w:t>, 2018; 17</w:t>
      </w:r>
    </w:p>
  </w:footnote>
  <w:footnote w:id="125">
    <w:p w14:paraId="2DAD7A3B"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17 </w:t>
      </w:r>
    </w:p>
  </w:footnote>
  <w:footnote w:id="126">
    <w:p w14:paraId="73370465"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17 </w:t>
      </w:r>
    </w:p>
  </w:footnote>
  <w:footnote w:id="127">
    <w:p w14:paraId="20B0842A" w14:textId="77777777" w:rsidR="009943DF" w:rsidRDefault="009943DF" w:rsidP="00105905">
      <w:pPr>
        <w:pStyle w:val="FootnoteText"/>
      </w:pPr>
      <w:r>
        <w:rPr>
          <w:rStyle w:val="FootnoteReference"/>
        </w:rPr>
        <w:footnoteRef/>
      </w:r>
      <w:r>
        <w:t xml:space="preserve"> </w:t>
      </w:r>
      <w:proofErr w:type="spellStart"/>
      <w:r>
        <w:t>Hawass</w:t>
      </w:r>
      <w:proofErr w:type="spellEnd"/>
      <w:r>
        <w:t>, 2018; 17</w:t>
      </w:r>
    </w:p>
  </w:footnote>
  <w:footnote w:id="128">
    <w:p w14:paraId="2ECB0145"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17 </w:t>
      </w:r>
    </w:p>
  </w:footnote>
  <w:footnote w:id="129">
    <w:p w14:paraId="3CFC8EE1" w14:textId="77777777" w:rsidR="009943DF" w:rsidRDefault="009943DF" w:rsidP="00105905">
      <w:pPr>
        <w:pStyle w:val="FootnoteText"/>
      </w:pPr>
      <w:r>
        <w:rPr>
          <w:rStyle w:val="FootnoteReference"/>
        </w:rPr>
        <w:footnoteRef/>
      </w:r>
      <w:r>
        <w:t xml:space="preserve"> </w:t>
      </w:r>
      <w:proofErr w:type="spellStart"/>
      <w:r>
        <w:t>Hawass</w:t>
      </w:r>
      <w:proofErr w:type="spellEnd"/>
      <w:r>
        <w:t>, 2018; 17</w:t>
      </w:r>
    </w:p>
  </w:footnote>
  <w:footnote w:id="130">
    <w:p w14:paraId="40022D46" w14:textId="77777777" w:rsidR="009943DF" w:rsidRDefault="009943DF" w:rsidP="00105905">
      <w:pPr>
        <w:pStyle w:val="FootnoteText"/>
      </w:pPr>
      <w:r>
        <w:rPr>
          <w:rStyle w:val="FootnoteReference"/>
        </w:rPr>
        <w:footnoteRef/>
      </w:r>
      <w:r>
        <w:t xml:space="preserve"> Brewer and Teeter, 2007; 19 </w:t>
      </w:r>
    </w:p>
  </w:footnote>
  <w:footnote w:id="131">
    <w:p w14:paraId="2E8FA09C"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17 </w:t>
      </w:r>
    </w:p>
  </w:footnote>
  <w:footnote w:id="132">
    <w:p w14:paraId="571153C4"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17 </w:t>
      </w:r>
    </w:p>
  </w:footnote>
  <w:footnote w:id="133">
    <w:p w14:paraId="4EC770E7"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17 </w:t>
      </w:r>
    </w:p>
  </w:footnote>
  <w:footnote w:id="134">
    <w:p w14:paraId="54431A92"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17 </w:t>
      </w:r>
    </w:p>
  </w:footnote>
  <w:footnote w:id="135">
    <w:p w14:paraId="2D5F25E9" w14:textId="77777777" w:rsidR="009943DF" w:rsidRDefault="009943DF" w:rsidP="00105905">
      <w:pPr>
        <w:pStyle w:val="FootnoteText"/>
      </w:pPr>
      <w:r>
        <w:rPr>
          <w:rStyle w:val="FootnoteReference"/>
        </w:rPr>
        <w:footnoteRef/>
      </w:r>
      <w:r>
        <w:t xml:space="preserve"> Carter and Mace, 1923; 75</w:t>
      </w:r>
    </w:p>
  </w:footnote>
  <w:footnote w:id="136">
    <w:p w14:paraId="363E3170" w14:textId="77777777" w:rsidR="009943DF" w:rsidRDefault="009943DF" w:rsidP="00105905">
      <w:pPr>
        <w:pStyle w:val="FootnoteText"/>
      </w:pPr>
      <w:r>
        <w:rPr>
          <w:rStyle w:val="FootnoteReference"/>
        </w:rPr>
        <w:footnoteRef/>
      </w:r>
      <w:r>
        <w:t xml:space="preserve"> </w:t>
      </w:r>
      <w:proofErr w:type="spellStart"/>
      <w:r>
        <w:t>Hawass</w:t>
      </w:r>
      <w:proofErr w:type="spellEnd"/>
      <w:r>
        <w:t>, 2018; 17</w:t>
      </w:r>
    </w:p>
  </w:footnote>
  <w:footnote w:id="137">
    <w:p w14:paraId="0AFB6EB5"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17 </w:t>
      </w:r>
    </w:p>
  </w:footnote>
  <w:footnote w:id="138">
    <w:p w14:paraId="6AD2C123" w14:textId="77777777" w:rsidR="009943DF" w:rsidRDefault="009943DF" w:rsidP="00105905">
      <w:pPr>
        <w:pStyle w:val="FootnoteText"/>
      </w:pPr>
      <w:r>
        <w:rPr>
          <w:rStyle w:val="FootnoteReference"/>
        </w:rPr>
        <w:footnoteRef/>
      </w:r>
      <w:r>
        <w:t xml:space="preserve"> Reid, 2015; 21</w:t>
      </w:r>
    </w:p>
  </w:footnote>
  <w:footnote w:id="139">
    <w:p w14:paraId="32483C13"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19 </w:t>
      </w:r>
    </w:p>
  </w:footnote>
  <w:footnote w:id="140">
    <w:p w14:paraId="18356F29" w14:textId="77777777" w:rsidR="009943DF" w:rsidRDefault="009943DF" w:rsidP="00105905">
      <w:pPr>
        <w:pStyle w:val="FootnoteText"/>
      </w:pPr>
      <w:r>
        <w:rPr>
          <w:rStyle w:val="FootnoteReference"/>
        </w:rPr>
        <w:footnoteRef/>
      </w:r>
      <w:r>
        <w:t xml:space="preserve"> Reid, 2015; 56</w:t>
      </w:r>
    </w:p>
  </w:footnote>
  <w:footnote w:id="141">
    <w:p w14:paraId="54F62B98" w14:textId="77777777" w:rsidR="009943DF" w:rsidRDefault="009943DF" w:rsidP="00105905">
      <w:pPr>
        <w:pStyle w:val="FootnoteText"/>
      </w:pPr>
      <w:r>
        <w:rPr>
          <w:rStyle w:val="FootnoteReference"/>
        </w:rPr>
        <w:footnoteRef/>
      </w:r>
      <w:r>
        <w:t xml:space="preserve"> </w:t>
      </w:r>
      <w:proofErr w:type="spellStart"/>
      <w:r>
        <w:t>Hawass</w:t>
      </w:r>
      <w:proofErr w:type="spellEnd"/>
      <w:r>
        <w:t>, 2018; 19</w:t>
      </w:r>
    </w:p>
  </w:footnote>
  <w:footnote w:id="142">
    <w:p w14:paraId="02F34CCD" w14:textId="77777777" w:rsidR="009943DF" w:rsidRDefault="009943DF" w:rsidP="00105905">
      <w:pPr>
        <w:pStyle w:val="FootnoteText"/>
      </w:pPr>
      <w:r>
        <w:rPr>
          <w:rStyle w:val="FootnoteReference"/>
        </w:rPr>
        <w:footnoteRef/>
      </w:r>
      <w:r>
        <w:t xml:space="preserve"> Reid, 2015; 56</w:t>
      </w:r>
    </w:p>
  </w:footnote>
  <w:footnote w:id="143">
    <w:p w14:paraId="4AD5FB23" w14:textId="77777777" w:rsidR="009943DF" w:rsidRDefault="009943DF" w:rsidP="00105905">
      <w:pPr>
        <w:pStyle w:val="FootnoteText"/>
      </w:pPr>
      <w:r>
        <w:rPr>
          <w:rStyle w:val="FootnoteReference"/>
        </w:rPr>
        <w:footnoteRef/>
      </w:r>
      <w:r>
        <w:t xml:space="preserve"> </w:t>
      </w:r>
      <w:proofErr w:type="spellStart"/>
      <w:r>
        <w:t>Hawass</w:t>
      </w:r>
      <w:proofErr w:type="spellEnd"/>
      <w:r>
        <w:t>, 2018; 19</w:t>
      </w:r>
    </w:p>
  </w:footnote>
  <w:footnote w:id="144">
    <w:p w14:paraId="0E103D12" w14:textId="77777777" w:rsidR="009943DF" w:rsidRDefault="009943DF" w:rsidP="00105905">
      <w:pPr>
        <w:pStyle w:val="FootnoteText"/>
      </w:pPr>
      <w:r>
        <w:rPr>
          <w:rStyle w:val="FootnoteReference"/>
        </w:rPr>
        <w:footnoteRef/>
      </w:r>
      <w:r>
        <w:t xml:space="preserve"> Carter and Mace, 1923; 76</w:t>
      </w:r>
    </w:p>
  </w:footnote>
  <w:footnote w:id="145">
    <w:p w14:paraId="20038D5E" w14:textId="77777777" w:rsidR="009943DF" w:rsidRDefault="009943DF" w:rsidP="00105905">
      <w:pPr>
        <w:pStyle w:val="FootnoteText"/>
      </w:pPr>
      <w:r>
        <w:rPr>
          <w:rStyle w:val="FootnoteReference"/>
        </w:rPr>
        <w:footnoteRef/>
      </w:r>
      <w:r>
        <w:t xml:space="preserve"> </w:t>
      </w:r>
      <w:proofErr w:type="spellStart"/>
      <w:r>
        <w:t>Hawass</w:t>
      </w:r>
      <w:proofErr w:type="spellEnd"/>
      <w:r>
        <w:t>, 2018; 19</w:t>
      </w:r>
    </w:p>
  </w:footnote>
  <w:footnote w:id="146">
    <w:p w14:paraId="435320F8" w14:textId="77777777" w:rsidR="009943DF" w:rsidRDefault="009943DF" w:rsidP="00105905">
      <w:pPr>
        <w:pStyle w:val="FootnoteText"/>
      </w:pPr>
      <w:r>
        <w:rPr>
          <w:rStyle w:val="FootnoteReference"/>
        </w:rPr>
        <w:footnoteRef/>
      </w:r>
      <w:r>
        <w:t xml:space="preserve"> Carter and Mace, 1923; 76</w:t>
      </w:r>
    </w:p>
  </w:footnote>
  <w:footnote w:id="147">
    <w:p w14:paraId="6724B16B" w14:textId="77777777" w:rsidR="009943DF" w:rsidRDefault="009943DF" w:rsidP="00105905">
      <w:pPr>
        <w:pStyle w:val="FootnoteText"/>
      </w:pPr>
      <w:r>
        <w:rPr>
          <w:rStyle w:val="FootnoteReference"/>
        </w:rPr>
        <w:footnoteRef/>
      </w:r>
      <w:r>
        <w:t xml:space="preserve"> James, 2001; 80</w:t>
      </w:r>
    </w:p>
  </w:footnote>
  <w:footnote w:id="148">
    <w:p w14:paraId="05B74239" w14:textId="77777777" w:rsidR="009943DF" w:rsidRDefault="009943DF" w:rsidP="00105905">
      <w:pPr>
        <w:pStyle w:val="FootnoteText"/>
      </w:pPr>
      <w:r>
        <w:rPr>
          <w:rStyle w:val="FootnoteReference"/>
        </w:rPr>
        <w:footnoteRef/>
      </w:r>
      <w:r>
        <w:t xml:space="preserve"> </w:t>
      </w:r>
      <w:proofErr w:type="spellStart"/>
      <w:r>
        <w:t>Hawass</w:t>
      </w:r>
      <w:proofErr w:type="spellEnd"/>
      <w:r>
        <w:t>, 2018; 19</w:t>
      </w:r>
    </w:p>
  </w:footnote>
  <w:footnote w:id="149">
    <w:p w14:paraId="62742AD8" w14:textId="77777777" w:rsidR="009943DF" w:rsidRDefault="009943DF" w:rsidP="00105905">
      <w:pPr>
        <w:pStyle w:val="FootnoteText"/>
      </w:pPr>
      <w:r>
        <w:rPr>
          <w:rStyle w:val="FootnoteReference"/>
        </w:rPr>
        <w:footnoteRef/>
      </w:r>
      <w:r>
        <w:t xml:space="preserve"> </w:t>
      </w:r>
      <w:proofErr w:type="spellStart"/>
      <w:r>
        <w:t>Hawass</w:t>
      </w:r>
      <w:proofErr w:type="spellEnd"/>
      <w:r>
        <w:t>, 2018; 21</w:t>
      </w:r>
    </w:p>
  </w:footnote>
  <w:footnote w:id="150">
    <w:p w14:paraId="1D9C8BC5" w14:textId="77777777" w:rsidR="009943DF" w:rsidRDefault="009943DF" w:rsidP="00105905">
      <w:pPr>
        <w:pStyle w:val="FootnoteText"/>
      </w:pPr>
      <w:r>
        <w:rPr>
          <w:rStyle w:val="FootnoteReference"/>
        </w:rPr>
        <w:footnoteRef/>
      </w:r>
      <w:r>
        <w:t xml:space="preserve"> </w:t>
      </w:r>
      <w:proofErr w:type="spellStart"/>
      <w:r>
        <w:t>Hawass</w:t>
      </w:r>
      <w:proofErr w:type="spellEnd"/>
      <w:r>
        <w:t xml:space="preserve">, 2018; 21 </w:t>
      </w:r>
    </w:p>
  </w:footnote>
  <w:footnote w:id="151">
    <w:p w14:paraId="19AABC3E" w14:textId="77777777" w:rsidR="009943DF" w:rsidRDefault="009943DF" w:rsidP="00105905">
      <w:pPr>
        <w:pStyle w:val="FootnoteText"/>
      </w:pPr>
      <w:r>
        <w:rPr>
          <w:rStyle w:val="FootnoteReference"/>
        </w:rPr>
        <w:footnoteRef/>
      </w:r>
      <w:r>
        <w:t xml:space="preserve"> </w:t>
      </w:r>
      <w:proofErr w:type="spellStart"/>
      <w:r>
        <w:t>Hawass</w:t>
      </w:r>
      <w:proofErr w:type="spellEnd"/>
      <w:r>
        <w:t>, 2018; 21</w:t>
      </w:r>
    </w:p>
  </w:footnote>
  <w:footnote w:id="152">
    <w:p w14:paraId="4604486D" w14:textId="77777777" w:rsidR="009943DF" w:rsidRDefault="009943DF" w:rsidP="00105905">
      <w:pPr>
        <w:pStyle w:val="FootnoteText"/>
      </w:pPr>
      <w:r>
        <w:rPr>
          <w:rStyle w:val="FootnoteReference"/>
        </w:rPr>
        <w:footnoteRef/>
      </w:r>
      <w:r>
        <w:t xml:space="preserve"> Reid, 2015; 63</w:t>
      </w:r>
    </w:p>
  </w:footnote>
  <w:footnote w:id="153">
    <w:p w14:paraId="2D5B5664" w14:textId="77777777" w:rsidR="009943DF" w:rsidRDefault="009943DF" w:rsidP="00105905">
      <w:pPr>
        <w:pStyle w:val="FootnoteText"/>
      </w:pPr>
      <w:r>
        <w:rPr>
          <w:rStyle w:val="FootnoteReference"/>
        </w:rPr>
        <w:footnoteRef/>
      </w:r>
      <w:r>
        <w:t xml:space="preserve"> </w:t>
      </w:r>
      <w:proofErr w:type="spellStart"/>
      <w:r>
        <w:t>Hawass</w:t>
      </w:r>
      <w:proofErr w:type="spellEnd"/>
      <w:r>
        <w:t>, 2018; 24</w:t>
      </w:r>
    </w:p>
  </w:footnote>
  <w:footnote w:id="154">
    <w:p w14:paraId="240DF72C" w14:textId="77777777" w:rsidR="009943DF" w:rsidRDefault="009943DF" w:rsidP="00105905">
      <w:pPr>
        <w:pStyle w:val="FootnoteText"/>
      </w:pPr>
      <w:r>
        <w:rPr>
          <w:rStyle w:val="FootnoteReference"/>
        </w:rPr>
        <w:footnoteRef/>
      </w:r>
      <w:r>
        <w:t xml:space="preserve"> Stevenson, 2019; 145</w:t>
      </w:r>
    </w:p>
  </w:footnote>
  <w:footnote w:id="155">
    <w:p w14:paraId="46D01958" w14:textId="77777777" w:rsidR="009943DF" w:rsidRDefault="009943DF" w:rsidP="00105905">
      <w:pPr>
        <w:pStyle w:val="FootnoteText"/>
      </w:pPr>
      <w:r>
        <w:rPr>
          <w:rStyle w:val="FootnoteReference"/>
        </w:rPr>
        <w:footnoteRef/>
      </w:r>
      <w:r>
        <w:t xml:space="preserve"> </w:t>
      </w:r>
      <w:proofErr w:type="spellStart"/>
      <w:r>
        <w:t>Hawass</w:t>
      </w:r>
      <w:proofErr w:type="spellEnd"/>
      <w:r>
        <w:t>, 2018; 22</w:t>
      </w:r>
    </w:p>
  </w:footnote>
  <w:footnote w:id="156">
    <w:p w14:paraId="38690DF3" w14:textId="77777777" w:rsidR="009943DF" w:rsidRDefault="009943DF" w:rsidP="00105905">
      <w:pPr>
        <w:pStyle w:val="FootnoteText"/>
      </w:pPr>
      <w:r>
        <w:rPr>
          <w:rStyle w:val="FootnoteReference"/>
        </w:rPr>
        <w:footnoteRef/>
      </w:r>
      <w:r>
        <w:t xml:space="preserve"> Reid, 2015; 238</w:t>
      </w:r>
    </w:p>
  </w:footnote>
  <w:footnote w:id="157">
    <w:p w14:paraId="3148F9F8" w14:textId="77777777" w:rsidR="009943DF" w:rsidRDefault="009943DF" w:rsidP="00105905">
      <w:pPr>
        <w:pStyle w:val="FootnoteText"/>
      </w:pPr>
      <w:r>
        <w:rPr>
          <w:rStyle w:val="FootnoteReference"/>
        </w:rPr>
        <w:footnoteRef/>
      </w:r>
      <w:r>
        <w:t xml:space="preserve"> Reid, 2015; 65</w:t>
      </w:r>
    </w:p>
  </w:footnote>
  <w:footnote w:id="158">
    <w:p w14:paraId="57AA7F00" w14:textId="77777777" w:rsidR="009943DF" w:rsidRDefault="009943DF" w:rsidP="00105905">
      <w:pPr>
        <w:pStyle w:val="FootnoteText"/>
      </w:pPr>
      <w:r>
        <w:rPr>
          <w:rStyle w:val="FootnoteReference"/>
        </w:rPr>
        <w:footnoteRef/>
      </w:r>
      <w:r>
        <w:t xml:space="preserve"> Wood, 1998; 182</w:t>
      </w:r>
    </w:p>
  </w:footnote>
  <w:footnote w:id="159">
    <w:p w14:paraId="42D71005" w14:textId="77777777" w:rsidR="009943DF" w:rsidRDefault="009943DF" w:rsidP="00105905">
      <w:pPr>
        <w:pStyle w:val="FootnoteText"/>
      </w:pPr>
      <w:r>
        <w:rPr>
          <w:rStyle w:val="FootnoteReference"/>
        </w:rPr>
        <w:footnoteRef/>
      </w:r>
      <w:r>
        <w:t xml:space="preserve"> Wood, 1998; 183</w:t>
      </w:r>
    </w:p>
  </w:footnote>
  <w:footnote w:id="160">
    <w:p w14:paraId="4F8E74AB" w14:textId="77777777" w:rsidR="009943DF" w:rsidRDefault="009943DF" w:rsidP="00105905">
      <w:pPr>
        <w:pStyle w:val="FootnoteText"/>
      </w:pPr>
      <w:r>
        <w:rPr>
          <w:rStyle w:val="FootnoteReference"/>
        </w:rPr>
        <w:footnoteRef/>
      </w:r>
      <w:r>
        <w:t xml:space="preserve"> </w:t>
      </w:r>
      <w:proofErr w:type="spellStart"/>
      <w:r>
        <w:t>Hawass</w:t>
      </w:r>
      <w:proofErr w:type="spellEnd"/>
      <w:r>
        <w:t>, 2018; 23</w:t>
      </w:r>
    </w:p>
  </w:footnote>
  <w:footnote w:id="161">
    <w:p w14:paraId="271EB0B2" w14:textId="77777777" w:rsidR="009943DF" w:rsidRDefault="009943DF" w:rsidP="00105905">
      <w:pPr>
        <w:pStyle w:val="FootnoteText"/>
      </w:pPr>
      <w:r>
        <w:rPr>
          <w:rStyle w:val="FootnoteReference"/>
        </w:rPr>
        <w:footnoteRef/>
      </w:r>
      <w:r>
        <w:t xml:space="preserve"> Wood, 1998; 183</w:t>
      </w:r>
    </w:p>
  </w:footnote>
  <w:footnote w:id="162">
    <w:p w14:paraId="5F6D57B5" w14:textId="77777777" w:rsidR="009943DF" w:rsidRDefault="009943DF" w:rsidP="00105905">
      <w:pPr>
        <w:pStyle w:val="FootnoteText"/>
      </w:pPr>
      <w:r>
        <w:rPr>
          <w:rStyle w:val="FootnoteReference"/>
        </w:rPr>
        <w:footnoteRef/>
      </w:r>
      <w:r>
        <w:t xml:space="preserve"> Wood, 1998; 183</w:t>
      </w:r>
    </w:p>
  </w:footnote>
  <w:footnote w:id="163">
    <w:p w14:paraId="00CA99B1" w14:textId="77777777" w:rsidR="009943DF" w:rsidRDefault="009943DF" w:rsidP="00105905">
      <w:pPr>
        <w:pStyle w:val="FootnoteText"/>
      </w:pPr>
      <w:r>
        <w:rPr>
          <w:rStyle w:val="FootnoteReference"/>
        </w:rPr>
        <w:footnoteRef/>
      </w:r>
      <w:r>
        <w:t xml:space="preserve"> Wilkinson, 2008; 146</w:t>
      </w:r>
    </w:p>
  </w:footnote>
  <w:footnote w:id="164">
    <w:p w14:paraId="7776D418" w14:textId="77777777" w:rsidR="009943DF" w:rsidRDefault="009943DF" w:rsidP="00105905">
      <w:pPr>
        <w:pStyle w:val="FootnoteText"/>
      </w:pPr>
      <w:r>
        <w:rPr>
          <w:rStyle w:val="FootnoteReference"/>
        </w:rPr>
        <w:footnoteRef/>
      </w:r>
      <w:r>
        <w:t xml:space="preserve"> Stevenson, 2019; 146 </w:t>
      </w:r>
    </w:p>
  </w:footnote>
  <w:footnote w:id="165">
    <w:p w14:paraId="24B390C9" w14:textId="77777777" w:rsidR="009943DF" w:rsidRDefault="009943DF" w:rsidP="00105905">
      <w:pPr>
        <w:pStyle w:val="FootnoteText"/>
      </w:pPr>
      <w:r>
        <w:rPr>
          <w:rStyle w:val="FootnoteReference"/>
        </w:rPr>
        <w:footnoteRef/>
      </w:r>
      <w:r>
        <w:t xml:space="preserve"> Parkinson, 2008 ;1</w:t>
      </w:r>
    </w:p>
  </w:footnote>
  <w:footnote w:id="166">
    <w:p w14:paraId="17C63BF9" w14:textId="77777777" w:rsidR="009943DF" w:rsidRDefault="009943DF" w:rsidP="00105905">
      <w:pPr>
        <w:pStyle w:val="FootnoteText"/>
      </w:pPr>
      <w:r>
        <w:rPr>
          <w:rStyle w:val="FootnoteReference"/>
        </w:rPr>
        <w:footnoteRef/>
      </w:r>
      <w:r>
        <w:t xml:space="preserve"> National Library of Australia, N.D</w:t>
      </w:r>
    </w:p>
  </w:footnote>
  <w:footnote w:id="167">
    <w:p w14:paraId="2AF787D7" w14:textId="77777777" w:rsidR="009943DF" w:rsidRDefault="009943DF" w:rsidP="00105905">
      <w:pPr>
        <w:pStyle w:val="FootnoteText"/>
      </w:pPr>
      <w:r>
        <w:rPr>
          <w:rStyle w:val="FootnoteReference"/>
        </w:rPr>
        <w:footnoteRef/>
      </w:r>
      <w:r>
        <w:t xml:space="preserve"> Wood, 1998; 183</w:t>
      </w:r>
    </w:p>
  </w:footnote>
  <w:footnote w:id="168">
    <w:p w14:paraId="75230869" w14:textId="77777777" w:rsidR="009943DF" w:rsidRDefault="009943DF" w:rsidP="00105905">
      <w:pPr>
        <w:pStyle w:val="FootnoteText"/>
      </w:pPr>
      <w:r>
        <w:rPr>
          <w:rStyle w:val="FootnoteReference"/>
        </w:rPr>
        <w:footnoteRef/>
      </w:r>
      <w:r>
        <w:t xml:space="preserve"> Wood, 1998; 183</w:t>
      </w:r>
    </w:p>
  </w:footnote>
  <w:footnote w:id="169">
    <w:p w14:paraId="5C06A505" w14:textId="77777777" w:rsidR="009943DF" w:rsidRDefault="009943DF" w:rsidP="00105905">
      <w:pPr>
        <w:pStyle w:val="FootnoteText"/>
      </w:pPr>
      <w:r>
        <w:rPr>
          <w:rStyle w:val="FootnoteReference"/>
        </w:rPr>
        <w:footnoteRef/>
      </w:r>
      <w:r>
        <w:t xml:space="preserve"> </w:t>
      </w:r>
      <w:proofErr w:type="spellStart"/>
      <w:r>
        <w:t>Hawass</w:t>
      </w:r>
      <w:proofErr w:type="spellEnd"/>
      <w:r>
        <w:t>, 2018; 23</w:t>
      </w:r>
    </w:p>
  </w:footnote>
  <w:footnote w:id="170">
    <w:p w14:paraId="05F59AD8" w14:textId="77777777" w:rsidR="009943DF" w:rsidRPr="00182F6F" w:rsidRDefault="009943DF" w:rsidP="00105905">
      <w:pPr>
        <w:pStyle w:val="FootnoteText"/>
      </w:pPr>
      <w:r>
        <w:rPr>
          <w:rStyle w:val="FootnoteReference"/>
        </w:rPr>
        <w:footnoteRef/>
      </w:r>
      <w:r>
        <w:t xml:space="preserve"> </w:t>
      </w:r>
      <w:r w:rsidRPr="00182F6F">
        <w:t>Johnson, N.D</w:t>
      </w:r>
    </w:p>
  </w:footnote>
  <w:footnote w:id="171">
    <w:p w14:paraId="3A4204C5" w14:textId="77777777" w:rsidR="009943DF" w:rsidRDefault="009943DF" w:rsidP="00105905">
      <w:pPr>
        <w:pStyle w:val="FootnoteText"/>
      </w:pPr>
      <w:r w:rsidRPr="00182F6F">
        <w:rPr>
          <w:rStyle w:val="FootnoteReference"/>
        </w:rPr>
        <w:footnoteRef/>
      </w:r>
      <w:r w:rsidRPr="00182F6F">
        <w:t xml:space="preserve"> Johnson, N.D</w:t>
      </w:r>
    </w:p>
  </w:footnote>
  <w:footnote w:id="172">
    <w:p w14:paraId="11BDCB2B" w14:textId="3EF6A143" w:rsidR="009943DF" w:rsidRDefault="009943DF" w:rsidP="00105905">
      <w:pPr>
        <w:pStyle w:val="FootnoteText"/>
      </w:pPr>
      <w:r>
        <w:rPr>
          <w:rStyle w:val="FootnoteReference"/>
        </w:rPr>
        <w:footnoteRef/>
      </w:r>
      <w:r>
        <w:t xml:space="preserve"> </w:t>
      </w:r>
      <w:proofErr w:type="spellStart"/>
      <w:r>
        <w:t>Fritze</w:t>
      </w:r>
      <w:proofErr w:type="spellEnd"/>
      <w:r>
        <w:t>, 2016; 224</w:t>
      </w:r>
    </w:p>
  </w:footnote>
  <w:footnote w:id="173">
    <w:p w14:paraId="3927DCAE" w14:textId="77777777" w:rsidR="009943DF" w:rsidRDefault="009943DF" w:rsidP="00105905">
      <w:pPr>
        <w:pStyle w:val="FootnoteText"/>
      </w:pPr>
      <w:r>
        <w:rPr>
          <w:rStyle w:val="FootnoteReference"/>
        </w:rPr>
        <w:footnoteRef/>
      </w:r>
      <w:r>
        <w:t xml:space="preserve"> Fryxell, 2017; 523</w:t>
      </w:r>
    </w:p>
  </w:footnote>
  <w:footnote w:id="174">
    <w:p w14:paraId="4949D18F" w14:textId="77777777" w:rsidR="009943DF" w:rsidRPr="00701F56" w:rsidRDefault="009943DF" w:rsidP="00105905">
      <w:pPr>
        <w:pStyle w:val="FootnoteText"/>
      </w:pPr>
      <w:r w:rsidRPr="00701F56">
        <w:rPr>
          <w:rStyle w:val="FootnoteReference"/>
        </w:rPr>
        <w:footnoteRef/>
      </w:r>
      <w:r w:rsidRPr="00701F56">
        <w:t xml:space="preserve"> University of Cambridge, 2020</w:t>
      </w:r>
    </w:p>
  </w:footnote>
  <w:footnote w:id="175">
    <w:p w14:paraId="2FF92654" w14:textId="77777777" w:rsidR="009943DF" w:rsidRPr="00701F56" w:rsidRDefault="009943DF" w:rsidP="00105905">
      <w:pPr>
        <w:pStyle w:val="FootnoteText"/>
      </w:pPr>
      <w:r w:rsidRPr="00701F56">
        <w:rPr>
          <w:rStyle w:val="FootnoteReference"/>
        </w:rPr>
        <w:footnoteRef/>
      </w:r>
      <w:r w:rsidRPr="00701F56">
        <w:t xml:space="preserve"> The American University in Cairo, N.D. </w:t>
      </w:r>
    </w:p>
  </w:footnote>
  <w:footnote w:id="176">
    <w:p w14:paraId="04403405" w14:textId="77777777" w:rsidR="009943DF" w:rsidRPr="00701F56" w:rsidRDefault="009943DF" w:rsidP="00105905">
      <w:pPr>
        <w:pStyle w:val="FootnoteText"/>
      </w:pPr>
      <w:r w:rsidRPr="00701F56">
        <w:rPr>
          <w:rStyle w:val="FootnoteReference"/>
        </w:rPr>
        <w:footnoteRef/>
      </w:r>
      <w:r w:rsidRPr="00701F56">
        <w:t xml:space="preserve"> Ikram, 2010; 292</w:t>
      </w:r>
    </w:p>
  </w:footnote>
  <w:footnote w:id="177">
    <w:p w14:paraId="2E184C94" w14:textId="77777777" w:rsidR="009943DF" w:rsidRPr="00701F56" w:rsidRDefault="009943DF" w:rsidP="00105905">
      <w:pPr>
        <w:pStyle w:val="FootnoteText"/>
      </w:pPr>
      <w:r w:rsidRPr="00701F56">
        <w:rPr>
          <w:rStyle w:val="FootnoteReference"/>
        </w:rPr>
        <w:footnoteRef/>
      </w:r>
      <w:r w:rsidRPr="00701F56">
        <w:t xml:space="preserve"> Wilson, 1938 ;26</w:t>
      </w:r>
    </w:p>
  </w:footnote>
  <w:footnote w:id="178">
    <w:p w14:paraId="7E034F64" w14:textId="77777777" w:rsidR="009943DF" w:rsidRDefault="009943DF" w:rsidP="00105905">
      <w:pPr>
        <w:pStyle w:val="FootnoteText"/>
      </w:pPr>
      <w:r w:rsidRPr="00701F56">
        <w:rPr>
          <w:rStyle w:val="FootnoteReference"/>
        </w:rPr>
        <w:footnoteRef/>
      </w:r>
      <w:r w:rsidRPr="00701F56">
        <w:t xml:space="preserve"> Smith, 1923; 16</w:t>
      </w:r>
    </w:p>
  </w:footnote>
  <w:footnote w:id="179">
    <w:p w14:paraId="57D39834" w14:textId="03910B81" w:rsidR="009943DF" w:rsidRDefault="009943DF">
      <w:pPr>
        <w:pStyle w:val="FootnoteText"/>
      </w:pPr>
      <w:r>
        <w:rPr>
          <w:rStyle w:val="FootnoteReference"/>
        </w:rPr>
        <w:footnoteRef/>
      </w:r>
      <w:r>
        <w:t xml:space="preserve"> Ikram, 2010; 293</w:t>
      </w:r>
    </w:p>
  </w:footnote>
  <w:footnote w:id="180">
    <w:p w14:paraId="6009BB38" w14:textId="77777777" w:rsidR="009943DF" w:rsidRDefault="009943DF" w:rsidP="00105905">
      <w:pPr>
        <w:pStyle w:val="FootnoteText"/>
      </w:pPr>
      <w:r>
        <w:rPr>
          <w:rStyle w:val="FootnoteReference"/>
        </w:rPr>
        <w:footnoteRef/>
      </w:r>
      <w:r>
        <w:t xml:space="preserve"> Ikram, 2010; 292</w:t>
      </w:r>
    </w:p>
  </w:footnote>
  <w:footnote w:id="181">
    <w:p w14:paraId="706031FA" w14:textId="6C1B2767" w:rsidR="009943DF" w:rsidRDefault="009943DF" w:rsidP="00105905">
      <w:pPr>
        <w:pStyle w:val="FootnoteText"/>
      </w:pPr>
      <w:r>
        <w:rPr>
          <w:rStyle w:val="FootnoteReference"/>
        </w:rPr>
        <w:footnoteRef/>
      </w:r>
      <w:r>
        <w:t xml:space="preserve"> The Metropolitan Museum of Fine Arts, 2011</w:t>
      </w:r>
    </w:p>
  </w:footnote>
  <w:footnote w:id="182">
    <w:p w14:paraId="356A2D78" w14:textId="77777777" w:rsidR="009943DF" w:rsidRDefault="009943DF" w:rsidP="00105905">
      <w:pPr>
        <w:pStyle w:val="FootnoteText"/>
      </w:pPr>
      <w:r>
        <w:rPr>
          <w:rStyle w:val="FootnoteReference"/>
        </w:rPr>
        <w:footnoteRef/>
      </w:r>
      <w:r>
        <w:t xml:space="preserve"> Ikram, 2010; 293</w:t>
      </w:r>
    </w:p>
  </w:footnote>
  <w:footnote w:id="183">
    <w:p w14:paraId="455F32EE" w14:textId="77777777" w:rsidR="009943DF" w:rsidRPr="00B84A59" w:rsidRDefault="009943DF" w:rsidP="00105905">
      <w:pPr>
        <w:pStyle w:val="FootnoteText"/>
      </w:pPr>
      <w:r>
        <w:rPr>
          <w:rStyle w:val="FootnoteReference"/>
        </w:rPr>
        <w:footnoteRef/>
      </w:r>
      <w:r>
        <w:t xml:space="preserve"> </w:t>
      </w:r>
      <w:r w:rsidRPr="00B84A59">
        <w:t>James, 2001; 148</w:t>
      </w:r>
    </w:p>
  </w:footnote>
  <w:footnote w:id="184">
    <w:p w14:paraId="7031A23C" w14:textId="77777777" w:rsidR="009943DF" w:rsidRDefault="009943DF" w:rsidP="00105905">
      <w:pPr>
        <w:pStyle w:val="FootnoteText"/>
      </w:pPr>
      <w:r w:rsidRPr="00B84A59">
        <w:rPr>
          <w:rStyle w:val="FootnoteReference"/>
        </w:rPr>
        <w:footnoteRef/>
      </w:r>
      <w:r w:rsidRPr="00B84A59">
        <w:t xml:space="preserve"> James, 2001; 148</w:t>
      </w:r>
    </w:p>
  </w:footnote>
  <w:footnote w:id="185">
    <w:p w14:paraId="3B29C677" w14:textId="77777777" w:rsidR="009943DF" w:rsidRDefault="009943DF" w:rsidP="00105905">
      <w:pPr>
        <w:pStyle w:val="FootnoteText"/>
      </w:pPr>
      <w:r>
        <w:rPr>
          <w:rStyle w:val="FootnoteReference"/>
        </w:rPr>
        <w:footnoteRef/>
      </w:r>
      <w:r>
        <w:t xml:space="preserve"> Eaton-Krauss, 2016; 93</w:t>
      </w:r>
    </w:p>
  </w:footnote>
  <w:footnote w:id="186">
    <w:p w14:paraId="4CAFA802" w14:textId="77777777" w:rsidR="009943DF" w:rsidRDefault="009943DF" w:rsidP="00105905">
      <w:pPr>
        <w:pStyle w:val="FootnoteText"/>
      </w:pPr>
      <w:r>
        <w:rPr>
          <w:rStyle w:val="FootnoteReference"/>
        </w:rPr>
        <w:footnoteRef/>
      </w:r>
      <w:r>
        <w:t xml:space="preserve"> Clayton, 1994; 128</w:t>
      </w:r>
    </w:p>
  </w:footnote>
  <w:footnote w:id="187">
    <w:p w14:paraId="09CD3A55" w14:textId="77777777" w:rsidR="009943DF" w:rsidRDefault="009943DF" w:rsidP="00105905">
      <w:pPr>
        <w:pStyle w:val="FootnoteText"/>
      </w:pPr>
      <w:r>
        <w:rPr>
          <w:rStyle w:val="FootnoteReference"/>
        </w:rPr>
        <w:footnoteRef/>
      </w:r>
      <w:r>
        <w:t xml:space="preserve"> </w:t>
      </w:r>
      <w:proofErr w:type="spellStart"/>
      <w:r>
        <w:t>Janot</w:t>
      </w:r>
      <w:proofErr w:type="spellEnd"/>
      <w:r>
        <w:t>, 2010; 28</w:t>
      </w:r>
    </w:p>
  </w:footnote>
  <w:footnote w:id="188">
    <w:p w14:paraId="21438E0C" w14:textId="77777777" w:rsidR="009943DF" w:rsidRDefault="009943DF" w:rsidP="00105905">
      <w:pPr>
        <w:pStyle w:val="FootnoteText"/>
      </w:pPr>
      <w:r>
        <w:rPr>
          <w:rStyle w:val="FootnoteReference"/>
        </w:rPr>
        <w:footnoteRef/>
      </w:r>
      <w:r>
        <w:t xml:space="preserve"> Ikram, 2010; 294</w:t>
      </w:r>
    </w:p>
  </w:footnote>
  <w:footnote w:id="189">
    <w:p w14:paraId="37AD1A8E" w14:textId="77777777" w:rsidR="009943DF" w:rsidRDefault="009943DF" w:rsidP="00105905">
      <w:pPr>
        <w:pStyle w:val="FootnoteText"/>
      </w:pPr>
      <w:r>
        <w:rPr>
          <w:rStyle w:val="FootnoteReference"/>
        </w:rPr>
        <w:footnoteRef/>
      </w:r>
      <w:r>
        <w:t xml:space="preserve"> </w:t>
      </w:r>
      <w:proofErr w:type="spellStart"/>
      <w:r>
        <w:t>Janot</w:t>
      </w:r>
      <w:proofErr w:type="spellEnd"/>
      <w:r>
        <w:t>, 2010; 28</w:t>
      </w:r>
    </w:p>
  </w:footnote>
  <w:footnote w:id="190">
    <w:p w14:paraId="06E09C45" w14:textId="77777777" w:rsidR="009943DF" w:rsidRDefault="009943DF" w:rsidP="00105905">
      <w:pPr>
        <w:pStyle w:val="FootnoteText"/>
      </w:pPr>
      <w:r>
        <w:rPr>
          <w:rStyle w:val="FootnoteReference"/>
        </w:rPr>
        <w:footnoteRef/>
      </w:r>
      <w:r>
        <w:t xml:space="preserve"> Reid, 2015; 65</w:t>
      </w:r>
    </w:p>
  </w:footnote>
  <w:footnote w:id="191">
    <w:p w14:paraId="71D7BF02" w14:textId="77777777" w:rsidR="009943DF" w:rsidRDefault="009943DF" w:rsidP="00105905">
      <w:pPr>
        <w:pStyle w:val="FootnoteText"/>
      </w:pPr>
      <w:r>
        <w:rPr>
          <w:rStyle w:val="FootnoteReference"/>
        </w:rPr>
        <w:footnoteRef/>
      </w:r>
      <w:r>
        <w:t xml:space="preserve"> Reid, 2015; 65</w:t>
      </w:r>
    </w:p>
  </w:footnote>
  <w:footnote w:id="192">
    <w:p w14:paraId="7CC7958D" w14:textId="77777777" w:rsidR="009943DF" w:rsidRDefault="009943DF" w:rsidP="00105905">
      <w:pPr>
        <w:pStyle w:val="FootnoteText"/>
      </w:pPr>
      <w:r>
        <w:rPr>
          <w:rStyle w:val="FootnoteReference"/>
        </w:rPr>
        <w:footnoteRef/>
      </w:r>
      <w:r>
        <w:t xml:space="preserve"> Collins and McNamara, 2014; 25</w:t>
      </w:r>
    </w:p>
  </w:footnote>
  <w:footnote w:id="193">
    <w:p w14:paraId="3C8664CB" w14:textId="77777777" w:rsidR="009943DF" w:rsidRDefault="009943DF" w:rsidP="002117A2">
      <w:pPr>
        <w:pStyle w:val="FootnoteText"/>
      </w:pPr>
      <w:r>
        <w:rPr>
          <w:rStyle w:val="FootnoteReference"/>
        </w:rPr>
        <w:footnoteRef/>
      </w:r>
      <w:r>
        <w:t xml:space="preserve"> Reid, 1985; 233</w:t>
      </w:r>
    </w:p>
  </w:footnote>
  <w:footnote w:id="194">
    <w:p w14:paraId="0AD59AA3" w14:textId="77777777" w:rsidR="009943DF" w:rsidRDefault="009943DF" w:rsidP="002117A2">
      <w:pPr>
        <w:pStyle w:val="FootnoteText"/>
      </w:pPr>
      <w:r>
        <w:rPr>
          <w:rStyle w:val="FootnoteReference"/>
        </w:rPr>
        <w:footnoteRef/>
      </w:r>
      <w:r>
        <w:t xml:space="preserve"> Moser, 2012; 53</w:t>
      </w:r>
    </w:p>
  </w:footnote>
  <w:footnote w:id="195">
    <w:p w14:paraId="3F9A1F5B" w14:textId="77777777" w:rsidR="009943DF" w:rsidRDefault="009943DF" w:rsidP="002117A2">
      <w:pPr>
        <w:pStyle w:val="FootnoteText"/>
      </w:pPr>
      <w:r>
        <w:rPr>
          <w:rStyle w:val="FootnoteReference"/>
        </w:rPr>
        <w:footnoteRef/>
      </w:r>
      <w:r>
        <w:t xml:space="preserve"> Reid, 1985; 234</w:t>
      </w:r>
    </w:p>
  </w:footnote>
  <w:footnote w:id="196">
    <w:p w14:paraId="16B1AC1F" w14:textId="77777777" w:rsidR="009943DF" w:rsidRDefault="009943DF" w:rsidP="002117A2">
      <w:pPr>
        <w:pStyle w:val="FootnoteText"/>
      </w:pPr>
      <w:r>
        <w:rPr>
          <w:rStyle w:val="FootnoteReference"/>
        </w:rPr>
        <w:footnoteRef/>
      </w:r>
      <w:r>
        <w:t xml:space="preserve"> </w:t>
      </w:r>
      <w:proofErr w:type="spellStart"/>
      <w:r>
        <w:t>Gange</w:t>
      </w:r>
      <w:proofErr w:type="spellEnd"/>
      <w:r>
        <w:t>, 2013; 75</w:t>
      </w:r>
    </w:p>
  </w:footnote>
  <w:footnote w:id="197">
    <w:p w14:paraId="3924CE5F" w14:textId="77777777" w:rsidR="009943DF" w:rsidRDefault="009943DF" w:rsidP="002117A2">
      <w:pPr>
        <w:pStyle w:val="FootnoteText"/>
      </w:pPr>
      <w:r>
        <w:rPr>
          <w:rStyle w:val="FootnoteReference"/>
        </w:rPr>
        <w:footnoteRef/>
      </w:r>
      <w:r>
        <w:t xml:space="preserve"> Wood, 1998; 190</w:t>
      </w:r>
    </w:p>
  </w:footnote>
  <w:footnote w:id="198">
    <w:p w14:paraId="540DD353" w14:textId="77777777" w:rsidR="009943DF" w:rsidRDefault="009943DF" w:rsidP="002117A2">
      <w:pPr>
        <w:pStyle w:val="FootnoteText"/>
      </w:pPr>
      <w:r>
        <w:rPr>
          <w:rStyle w:val="FootnoteReference"/>
        </w:rPr>
        <w:footnoteRef/>
      </w:r>
      <w:r>
        <w:t xml:space="preserve"> Reid, 2015; 61</w:t>
      </w:r>
    </w:p>
  </w:footnote>
  <w:footnote w:id="199">
    <w:p w14:paraId="3170F590" w14:textId="77777777" w:rsidR="009943DF" w:rsidRDefault="009943DF" w:rsidP="002117A2">
      <w:pPr>
        <w:pStyle w:val="FootnoteText"/>
      </w:pPr>
      <w:r>
        <w:rPr>
          <w:rStyle w:val="FootnoteReference"/>
        </w:rPr>
        <w:footnoteRef/>
      </w:r>
      <w:r>
        <w:t xml:space="preserve"> Thompson, 2016; 245</w:t>
      </w:r>
    </w:p>
  </w:footnote>
  <w:footnote w:id="200">
    <w:p w14:paraId="55896A0E" w14:textId="77777777" w:rsidR="009943DF" w:rsidRDefault="009943DF" w:rsidP="002117A2">
      <w:pPr>
        <w:pStyle w:val="FootnoteText"/>
      </w:pPr>
      <w:r>
        <w:rPr>
          <w:rStyle w:val="FootnoteReference"/>
        </w:rPr>
        <w:footnoteRef/>
      </w:r>
      <w:r>
        <w:t xml:space="preserve"> Reid, 1985; 233</w:t>
      </w:r>
    </w:p>
  </w:footnote>
  <w:footnote w:id="201">
    <w:p w14:paraId="13B685A3" w14:textId="77777777" w:rsidR="009943DF" w:rsidRDefault="009943DF" w:rsidP="002117A2">
      <w:pPr>
        <w:pStyle w:val="FootnoteText"/>
      </w:pPr>
      <w:r>
        <w:rPr>
          <w:rStyle w:val="FootnoteReference"/>
        </w:rPr>
        <w:footnoteRef/>
      </w:r>
      <w:r>
        <w:t xml:space="preserve"> Reid, 1985; 233</w:t>
      </w:r>
    </w:p>
  </w:footnote>
  <w:footnote w:id="202">
    <w:p w14:paraId="5C317CEE" w14:textId="77777777" w:rsidR="009943DF" w:rsidRDefault="009943DF" w:rsidP="002117A2">
      <w:pPr>
        <w:pStyle w:val="FootnoteText"/>
      </w:pPr>
      <w:r>
        <w:rPr>
          <w:rStyle w:val="FootnoteReference"/>
        </w:rPr>
        <w:footnoteRef/>
      </w:r>
      <w:r>
        <w:t xml:space="preserve"> Daly and Petry, 1998; 239</w:t>
      </w:r>
    </w:p>
  </w:footnote>
  <w:footnote w:id="203">
    <w:p w14:paraId="71929192" w14:textId="77777777" w:rsidR="009943DF" w:rsidRDefault="009943DF" w:rsidP="002117A2">
      <w:pPr>
        <w:pStyle w:val="FootnoteText"/>
      </w:pPr>
      <w:r>
        <w:rPr>
          <w:rStyle w:val="FootnoteReference"/>
        </w:rPr>
        <w:footnoteRef/>
      </w:r>
      <w:r>
        <w:t xml:space="preserve"> Woodward, 2011</w:t>
      </w:r>
    </w:p>
  </w:footnote>
  <w:footnote w:id="204">
    <w:p w14:paraId="1EE78973" w14:textId="57F3E013" w:rsidR="009943DF" w:rsidRPr="0034236D" w:rsidRDefault="009943DF" w:rsidP="002117A2">
      <w:pPr>
        <w:pStyle w:val="FootnoteText"/>
      </w:pPr>
      <w:r>
        <w:rPr>
          <w:rStyle w:val="FootnoteReference"/>
        </w:rPr>
        <w:footnoteRef/>
      </w:r>
      <w:r>
        <w:t xml:space="preserve"> Encyclopaedia </w:t>
      </w:r>
      <w:r w:rsidRPr="0034236D">
        <w:t>Britannia, 2019</w:t>
      </w:r>
    </w:p>
  </w:footnote>
  <w:footnote w:id="205">
    <w:p w14:paraId="3390BA8C" w14:textId="4585D2A8" w:rsidR="009943DF" w:rsidRDefault="009943DF" w:rsidP="002117A2">
      <w:pPr>
        <w:pStyle w:val="FootnoteText"/>
      </w:pPr>
      <w:r w:rsidRPr="0034236D">
        <w:rPr>
          <w:rStyle w:val="FootnoteReference"/>
        </w:rPr>
        <w:footnoteRef/>
      </w:r>
      <w:r w:rsidRPr="0034236D">
        <w:t xml:space="preserve"> Woodward</w:t>
      </w:r>
      <w:r>
        <w:t>,</w:t>
      </w:r>
      <w:r w:rsidRPr="0034236D">
        <w:t xml:space="preserve"> 2011</w:t>
      </w:r>
    </w:p>
  </w:footnote>
  <w:footnote w:id="206">
    <w:p w14:paraId="5251686C" w14:textId="39EF5C1C" w:rsidR="009943DF" w:rsidRDefault="009943DF" w:rsidP="002117A2">
      <w:pPr>
        <w:pStyle w:val="FootnoteText"/>
      </w:pPr>
      <w:r>
        <w:rPr>
          <w:rStyle w:val="FootnoteReference"/>
        </w:rPr>
        <w:footnoteRef/>
      </w:r>
      <w:r>
        <w:t xml:space="preserve"> Woodward, 2011</w:t>
      </w:r>
    </w:p>
  </w:footnote>
  <w:footnote w:id="207">
    <w:p w14:paraId="181FCFBA" w14:textId="2EAD7949" w:rsidR="009943DF" w:rsidRDefault="009943DF" w:rsidP="002117A2">
      <w:pPr>
        <w:pStyle w:val="FootnoteText"/>
      </w:pPr>
      <w:r>
        <w:rPr>
          <w:rStyle w:val="FootnoteReference"/>
        </w:rPr>
        <w:footnoteRef/>
      </w:r>
      <w:r>
        <w:t xml:space="preserve"> Woodward, 2011</w:t>
      </w:r>
    </w:p>
  </w:footnote>
  <w:footnote w:id="208">
    <w:p w14:paraId="1770D9E8" w14:textId="77777777" w:rsidR="009943DF" w:rsidRDefault="009943DF" w:rsidP="002117A2">
      <w:pPr>
        <w:pStyle w:val="FootnoteText"/>
      </w:pPr>
      <w:r>
        <w:rPr>
          <w:rStyle w:val="FootnoteReference"/>
        </w:rPr>
        <w:footnoteRef/>
      </w:r>
      <w:r>
        <w:t xml:space="preserve"> Riggs, 2019 </w:t>
      </w:r>
    </w:p>
  </w:footnote>
  <w:footnote w:id="209">
    <w:p w14:paraId="51EE9467" w14:textId="1395E4CF" w:rsidR="009943DF" w:rsidRDefault="009943DF">
      <w:pPr>
        <w:pStyle w:val="FootnoteText"/>
      </w:pPr>
      <w:r>
        <w:rPr>
          <w:rStyle w:val="FootnoteReference"/>
        </w:rPr>
        <w:footnoteRef/>
      </w:r>
      <w:r>
        <w:t xml:space="preserve"> Brewer and Teeter, 2007; 8</w:t>
      </w:r>
    </w:p>
  </w:footnote>
  <w:footnote w:id="210">
    <w:p w14:paraId="256E8553" w14:textId="77777777" w:rsidR="009943DF" w:rsidRDefault="009943DF" w:rsidP="002117A2">
      <w:pPr>
        <w:pStyle w:val="FootnoteText"/>
      </w:pPr>
      <w:r>
        <w:rPr>
          <w:rStyle w:val="FootnoteReference"/>
        </w:rPr>
        <w:footnoteRef/>
      </w:r>
      <w:r>
        <w:t xml:space="preserve"> Riggs, 2019</w:t>
      </w:r>
    </w:p>
  </w:footnote>
  <w:footnote w:id="211">
    <w:p w14:paraId="1BFD7F92" w14:textId="77777777" w:rsidR="009943DF" w:rsidRDefault="009943DF" w:rsidP="002117A2">
      <w:pPr>
        <w:pStyle w:val="FootnoteText"/>
      </w:pPr>
      <w:r>
        <w:rPr>
          <w:rStyle w:val="FootnoteReference"/>
        </w:rPr>
        <w:footnoteRef/>
      </w:r>
      <w:r>
        <w:t xml:space="preserve"> Marlowe, 1974; 17</w:t>
      </w:r>
    </w:p>
  </w:footnote>
  <w:footnote w:id="212">
    <w:p w14:paraId="6713C347" w14:textId="036B0248" w:rsidR="009943DF" w:rsidRDefault="009943DF" w:rsidP="002117A2">
      <w:pPr>
        <w:pStyle w:val="FootnoteText"/>
      </w:pPr>
      <w:r>
        <w:rPr>
          <w:rStyle w:val="FootnoteReference"/>
        </w:rPr>
        <w:footnoteRef/>
      </w:r>
      <w:r>
        <w:t xml:space="preserve"> El-Akkad, 2017; 77</w:t>
      </w:r>
    </w:p>
  </w:footnote>
  <w:footnote w:id="213">
    <w:p w14:paraId="72BE459E" w14:textId="77777777" w:rsidR="009943DF" w:rsidRDefault="009943DF" w:rsidP="002117A2">
      <w:pPr>
        <w:pStyle w:val="FootnoteText"/>
      </w:pPr>
      <w:r>
        <w:rPr>
          <w:rStyle w:val="FootnoteReference"/>
        </w:rPr>
        <w:footnoteRef/>
      </w:r>
      <w:r>
        <w:t xml:space="preserve"> Fryxell, 2017; 531</w:t>
      </w:r>
    </w:p>
  </w:footnote>
  <w:footnote w:id="214">
    <w:p w14:paraId="0881B8AF" w14:textId="77777777" w:rsidR="009943DF" w:rsidRDefault="009943DF" w:rsidP="002117A2">
      <w:pPr>
        <w:pStyle w:val="FootnoteText"/>
      </w:pPr>
      <w:r>
        <w:rPr>
          <w:rStyle w:val="FootnoteReference"/>
        </w:rPr>
        <w:footnoteRef/>
      </w:r>
      <w:r>
        <w:t xml:space="preserve"> Reid, 1985; 244 </w:t>
      </w:r>
    </w:p>
  </w:footnote>
  <w:footnote w:id="215">
    <w:p w14:paraId="7396D5D5" w14:textId="77777777" w:rsidR="009943DF" w:rsidRDefault="009943DF" w:rsidP="002117A2">
      <w:pPr>
        <w:pStyle w:val="FootnoteText"/>
      </w:pPr>
      <w:r>
        <w:rPr>
          <w:rStyle w:val="FootnoteReference"/>
        </w:rPr>
        <w:footnoteRef/>
      </w:r>
      <w:r>
        <w:t xml:space="preserve"> Supreme Council of Antiquities, N.D. </w:t>
      </w:r>
    </w:p>
  </w:footnote>
  <w:footnote w:id="216">
    <w:p w14:paraId="7C96386C" w14:textId="77777777" w:rsidR="009943DF" w:rsidRDefault="009943DF" w:rsidP="002117A2">
      <w:pPr>
        <w:pStyle w:val="FootnoteText"/>
      </w:pPr>
      <w:r>
        <w:rPr>
          <w:rStyle w:val="FootnoteReference"/>
        </w:rPr>
        <w:footnoteRef/>
      </w:r>
      <w:r>
        <w:t xml:space="preserve"> Wilkinson, 2008; 151</w:t>
      </w:r>
    </w:p>
  </w:footnote>
  <w:footnote w:id="217">
    <w:p w14:paraId="741DF80D" w14:textId="77777777" w:rsidR="009943DF" w:rsidRDefault="009943DF" w:rsidP="002117A2">
      <w:pPr>
        <w:pStyle w:val="FootnoteText"/>
      </w:pPr>
      <w:r>
        <w:rPr>
          <w:rStyle w:val="FootnoteReference"/>
        </w:rPr>
        <w:footnoteRef/>
      </w:r>
      <w:r>
        <w:t xml:space="preserve"> Reid, 1985; 246</w:t>
      </w:r>
    </w:p>
  </w:footnote>
  <w:footnote w:id="218">
    <w:p w14:paraId="3CC2066E" w14:textId="77777777" w:rsidR="009943DF" w:rsidRDefault="009943DF" w:rsidP="002117A2">
      <w:pPr>
        <w:pStyle w:val="FootnoteText"/>
      </w:pPr>
      <w:r>
        <w:rPr>
          <w:rStyle w:val="FootnoteReference"/>
        </w:rPr>
        <w:footnoteRef/>
      </w:r>
      <w:r>
        <w:t xml:space="preserve"> Wood, 1998; 181 </w:t>
      </w:r>
    </w:p>
  </w:footnote>
  <w:footnote w:id="219">
    <w:p w14:paraId="7A7D7F9A" w14:textId="77777777" w:rsidR="009943DF" w:rsidRDefault="009943DF" w:rsidP="002117A2">
      <w:pPr>
        <w:pStyle w:val="FootnoteText"/>
      </w:pPr>
      <w:r>
        <w:rPr>
          <w:rStyle w:val="FootnoteReference"/>
        </w:rPr>
        <w:footnoteRef/>
      </w:r>
      <w:r>
        <w:t xml:space="preserve"> Reid, 1985; 237</w:t>
      </w:r>
    </w:p>
  </w:footnote>
  <w:footnote w:id="220">
    <w:p w14:paraId="14901576" w14:textId="2949B8EB" w:rsidR="009943DF" w:rsidRDefault="009943DF">
      <w:pPr>
        <w:pStyle w:val="FootnoteText"/>
      </w:pPr>
      <w:r>
        <w:rPr>
          <w:rStyle w:val="FootnoteReference"/>
        </w:rPr>
        <w:footnoteRef/>
      </w:r>
      <w:r>
        <w:t xml:space="preserve"> Reid, 1985; 237</w:t>
      </w:r>
    </w:p>
  </w:footnote>
  <w:footnote w:id="221">
    <w:p w14:paraId="3B952863" w14:textId="77777777" w:rsidR="009943DF" w:rsidRDefault="009943DF" w:rsidP="002117A2">
      <w:pPr>
        <w:pStyle w:val="FootnoteText"/>
      </w:pPr>
      <w:r>
        <w:rPr>
          <w:rStyle w:val="FootnoteReference"/>
        </w:rPr>
        <w:footnoteRef/>
      </w:r>
      <w:r>
        <w:t xml:space="preserve"> Reid, 1985; 237</w:t>
      </w:r>
    </w:p>
  </w:footnote>
  <w:footnote w:id="222">
    <w:p w14:paraId="643B381A" w14:textId="77777777" w:rsidR="009943DF" w:rsidRDefault="009943DF" w:rsidP="002117A2">
      <w:pPr>
        <w:pStyle w:val="FootnoteText"/>
      </w:pPr>
      <w:r>
        <w:rPr>
          <w:rStyle w:val="FootnoteReference"/>
        </w:rPr>
        <w:footnoteRef/>
      </w:r>
      <w:r>
        <w:t xml:space="preserve"> Reid, 1985; 237</w:t>
      </w:r>
    </w:p>
  </w:footnote>
  <w:footnote w:id="223">
    <w:p w14:paraId="4EE42AFD" w14:textId="77777777" w:rsidR="009943DF" w:rsidRDefault="009943DF" w:rsidP="002117A2">
      <w:pPr>
        <w:pStyle w:val="FootnoteText"/>
      </w:pPr>
      <w:r>
        <w:rPr>
          <w:rStyle w:val="FootnoteReference"/>
        </w:rPr>
        <w:footnoteRef/>
      </w:r>
      <w:r>
        <w:t xml:space="preserve"> Reid, 1985; 237</w:t>
      </w:r>
    </w:p>
  </w:footnote>
  <w:footnote w:id="224">
    <w:p w14:paraId="22521B2E" w14:textId="77777777" w:rsidR="009943DF" w:rsidRDefault="009943DF" w:rsidP="002117A2">
      <w:pPr>
        <w:pStyle w:val="FootnoteText"/>
      </w:pPr>
      <w:r>
        <w:rPr>
          <w:rStyle w:val="FootnoteReference"/>
        </w:rPr>
        <w:footnoteRef/>
      </w:r>
      <w:r>
        <w:t xml:space="preserve"> Reid, 1985; 237</w:t>
      </w:r>
    </w:p>
  </w:footnote>
  <w:footnote w:id="225">
    <w:p w14:paraId="42E9836F" w14:textId="77777777" w:rsidR="009943DF" w:rsidRDefault="009943DF" w:rsidP="002117A2">
      <w:pPr>
        <w:pStyle w:val="FootnoteText"/>
      </w:pPr>
      <w:r>
        <w:rPr>
          <w:rStyle w:val="FootnoteReference"/>
        </w:rPr>
        <w:footnoteRef/>
      </w:r>
      <w:r>
        <w:t xml:space="preserve"> Reid, 1985; 241</w:t>
      </w:r>
    </w:p>
  </w:footnote>
  <w:footnote w:id="226">
    <w:p w14:paraId="13641D5B" w14:textId="77777777" w:rsidR="009943DF" w:rsidRDefault="009943DF" w:rsidP="002117A2">
      <w:pPr>
        <w:pStyle w:val="FootnoteText"/>
      </w:pPr>
      <w:r>
        <w:rPr>
          <w:rStyle w:val="FootnoteReference"/>
        </w:rPr>
        <w:footnoteRef/>
      </w:r>
      <w:r>
        <w:t xml:space="preserve"> Reid, 1985; 241</w:t>
      </w:r>
    </w:p>
  </w:footnote>
  <w:footnote w:id="227">
    <w:p w14:paraId="02C6F258" w14:textId="77777777" w:rsidR="009943DF" w:rsidRDefault="009943DF" w:rsidP="002117A2">
      <w:pPr>
        <w:pStyle w:val="FootnoteText"/>
      </w:pPr>
      <w:r>
        <w:rPr>
          <w:rStyle w:val="FootnoteReference"/>
        </w:rPr>
        <w:footnoteRef/>
      </w:r>
      <w:r>
        <w:t xml:space="preserve"> Wood, 1998; 182</w:t>
      </w:r>
    </w:p>
  </w:footnote>
  <w:footnote w:id="228">
    <w:p w14:paraId="318F2CEB" w14:textId="77777777" w:rsidR="009943DF" w:rsidRDefault="009943DF" w:rsidP="002117A2">
      <w:pPr>
        <w:pStyle w:val="FootnoteText"/>
      </w:pPr>
      <w:r>
        <w:rPr>
          <w:rStyle w:val="FootnoteReference"/>
        </w:rPr>
        <w:footnoteRef/>
      </w:r>
      <w:r>
        <w:t xml:space="preserve"> Simon, 2008; 88</w:t>
      </w:r>
    </w:p>
  </w:footnote>
  <w:footnote w:id="229">
    <w:p w14:paraId="5CBB1381" w14:textId="77777777" w:rsidR="009943DF" w:rsidRDefault="009943DF" w:rsidP="002117A2">
      <w:pPr>
        <w:pStyle w:val="FootnoteText"/>
      </w:pPr>
      <w:r>
        <w:rPr>
          <w:rStyle w:val="FootnoteReference"/>
        </w:rPr>
        <w:footnoteRef/>
      </w:r>
      <w:r>
        <w:t xml:space="preserve"> Bell, 2010; 24</w:t>
      </w:r>
    </w:p>
  </w:footnote>
  <w:footnote w:id="230">
    <w:p w14:paraId="0FE8176E" w14:textId="77777777" w:rsidR="009943DF" w:rsidRDefault="009943DF" w:rsidP="002117A2">
      <w:pPr>
        <w:pStyle w:val="FootnoteText"/>
      </w:pPr>
      <w:r>
        <w:rPr>
          <w:rStyle w:val="FootnoteReference"/>
        </w:rPr>
        <w:footnoteRef/>
      </w:r>
      <w:r>
        <w:t xml:space="preserve"> Moser, 2012; 2</w:t>
      </w:r>
    </w:p>
  </w:footnote>
  <w:footnote w:id="231">
    <w:p w14:paraId="55D78916" w14:textId="77777777" w:rsidR="009943DF" w:rsidRDefault="009943DF" w:rsidP="002117A2">
      <w:pPr>
        <w:pStyle w:val="FootnoteText"/>
      </w:pPr>
      <w:r>
        <w:rPr>
          <w:rStyle w:val="FootnoteReference"/>
        </w:rPr>
        <w:footnoteRef/>
      </w:r>
      <w:r>
        <w:t xml:space="preserve"> Simon, 2008; 89</w:t>
      </w:r>
    </w:p>
  </w:footnote>
  <w:footnote w:id="232">
    <w:p w14:paraId="48B2FEB0" w14:textId="77777777" w:rsidR="009943DF" w:rsidRDefault="009943DF" w:rsidP="002117A2">
      <w:pPr>
        <w:pStyle w:val="FootnoteText"/>
      </w:pPr>
      <w:r>
        <w:rPr>
          <w:rStyle w:val="FootnoteReference"/>
        </w:rPr>
        <w:footnoteRef/>
      </w:r>
      <w:r>
        <w:t xml:space="preserve"> Wood, 1998 190</w:t>
      </w:r>
    </w:p>
  </w:footnote>
  <w:footnote w:id="233">
    <w:p w14:paraId="15E17CC8" w14:textId="77777777" w:rsidR="009943DF" w:rsidRDefault="009943DF" w:rsidP="002117A2">
      <w:pPr>
        <w:pStyle w:val="FootnoteText"/>
      </w:pPr>
      <w:r>
        <w:rPr>
          <w:rStyle w:val="FootnoteReference"/>
        </w:rPr>
        <w:footnoteRef/>
      </w:r>
      <w:r>
        <w:t xml:space="preserve"> Simon, 2008; 89</w:t>
      </w:r>
    </w:p>
  </w:footnote>
  <w:footnote w:id="234">
    <w:p w14:paraId="067CCC24" w14:textId="77777777" w:rsidR="009943DF" w:rsidRDefault="009943DF" w:rsidP="002117A2">
      <w:pPr>
        <w:pStyle w:val="FootnoteText"/>
      </w:pPr>
      <w:r>
        <w:rPr>
          <w:rStyle w:val="FootnoteReference"/>
        </w:rPr>
        <w:footnoteRef/>
      </w:r>
      <w:r>
        <w:t xml:space="preserve"> </w:t>
      </w:r>
      <w:proofErr w:type="spellStart"/>
      <w:r>
        <w:t>Fritze</w:t>
      </w:r>
      <w:proofErr w:type="spellEnd"/>
      <w:r>
        <w:t>, 2016; 241</w:t>
      </w:r>
    </w:p>
  </w:footnote>
  <w:footnote w:id="235">
    <w:p w14:paraId="7CB03F7D" w14:textId="77777777" w:rsidR="009943DF" w:rsidRDefault="009943DF" w:rsidP="002117A2">
      <w:pPr>
        <w:pStyle w:val="FootnoteText"/>
      </w:pPr>
      <w:r>
        <w:rPr>
          <w:rStyle w:val="FootnoteReference"/>
        </w:rPr>
        <w:footnoteRef/>
      </w:r>
      <w:r>
        <w:t xml:space="preserve"> Malek, 2009</w:t>
      </w:r>
    </w:p>
  </w:footnote>
  <w:footnote w:id="236">
    <w:p w14:paraId="1080AA61" w14:textId="77777777" w:rsidR="009943DF" w:rsidRDefault="009943DF" w:rsidP="002117A2">
      <w:pPr>
        <w:pStyle w:val="FootnoteText"/>
      </w:pPr>
      <w:r>
        <w:rPr>
          <w:rStyle w:val="FootnoteReference"/>
        </w:rPr>
        <w:footnoteRef/>
      </w:r>
      <w:r>
        <w:t xml:space="preserve"> Malek, 2009</w:t>
      </w:r>
    </w:p>
  </w:footnote>
  <w:footnote w:id="237">
    <w:p w14:paraId="33150A67" w14:textId="77777777" w:rsidR="009943DF" w:rsidRDefault="009943DF" w:rsidP="002117A2">
      <w:pPr>
        <w:pStyle w:val="FootnoteText"/>
      </w:pPr>
      <w:r>
        <w:rPr>
          <w:rStyle w:val="FootnoteReference"/>
        </w:rPr>
        <w:footnoteRef/>
      </w:r>
      <w:r>
        <w:t xml:space="preserve"> Malek, 2009 </w:t>
      </w:r>
    </w:p>
  </w:footnote>
  <w:footnote w:id="238">
    <w:p w14:paraId="493CEFFA" w14:textId="77777777" w:rsidR="009943DF" w:rsidRDefault="009943DF" w:rsidP="002117A2">
      <w:pPr>
        <w:pStyle w:val="FootnoteText"/>
      </w:pPr>
      <w:r>
        <w:rPr>
          <w:rStyle w:val="FootnoteReference"/>
        </w:rPr>
        <w:footnoteRef/>
      </w:r>
      <w:r>
        <w:t xml:space="preserve"> Pak, 2019</w:t>
      </w:r>
    </w:p>
  </w:footnote>
  <w:footnote w:id="239">
    <w:p w14:paraId="41CF2C80" w14:textId="77777777" w:rsidR="009943DF" w:rsidRDefault="009943DF" w:rsidP="002117A2">
      <w:pPr>
        <w:pStyle w:val="FootnoteText"/>
      </w:pPr>
      <w:r>
        <w:rPr>
          <w:rStyle w:val="FootnoteReference"/>
        </w:rPr>
        <w:footnoteRef/>
      </w:r>
      <w:r>
        <w:t xml:space="preserve"> Malek, 2009</w:t>
      </w:r>
    </w:p>
  </w:footnote>
  <w:footnote w:id="240">
    <w:p w14:paraId="43EB0CCE" w14:textId="77777777" w:rsidR="009943DF" w:rsidRDefault="009943DF" w:rsidP="002117A2">
      <w:pPr>
        <w:pStyle w:val="FootnoteText"/>
      </w:pPr>
      <w:r>
        <w:rPr>
          <w:rStyle w:val="FootnoteReference"/>
        </w:rPr>
        <w:footnoteRef/>
      </w:r>
      <w:r>
        <w:t xml:space="preserve"> Higgins, 2007</w:t>
      </w:r>
    </w:p>
  </w:footnote>
  <w:footnote w:id="241">
    <w:p w14:paraId="2B5720AA" w14:textId="77777777" w:rsidR="009943DF" w:rsidRDefault="009943DF" w:rsidP="002117A2">
      <w:pPr>
        <w:pStyle w:val="FootnoteText"/>
      </w:pPr>
      <w:r>
        <w:rPr>
          <w:rStyle w:val="FootnoteReference"/>
        </w:rPr>
        <w:footnoteRef/>
      </w:r>
      <w:r>
        <w:t xml:space="preserve"> Simon, 2008; 90-1</w:t>
      </w:r>
    </w:p>
  </w:footnote>
  <w:footnote w:id="242">
    <w:p w14:paraId="488CEDD4" w14:textId="77777777" w:rsidR="009943DF" w:rsidRDefault="009943DF" w:rsidP="002117A2">
      <w:pPr>
        <w:pStyle w:val="FootnoteText"/>
      </w:pPr>
      <w:r>
        <w:rPr>
          <w:rStyle w:val="FootnoteReference"/>
        </w:rPr>
        <w:footnoteRef/>
      </w:r>
      <w:r>
        <w:t xml:space="preserve"> Simon, 2008; 88</w:t>
      </w:r>
    </w:p>
  </w:footnote>
  <w:footnote w:id="243">
    <w:p w14:paraId="618CB036" w14:textId="77777777" w:rsidR="009943DF" w:rsidRDefault="009943DF" w:rsidP="002117A2">
      <w:pPr>
        <w:pStyle w:val="FootnoteText"/>
      </w:pPr>
      <w:r>
        <w:rPr>
          <w:rStyle w:val="FootnoteReference"/>
        </w:rPr>
        <w:footnoteRef/>
      </w:r>
      <w:r>
        <w:t xml:space="preserve"> Simon, 2008; 89</w:t>
      </w:r>
    </w:p>
  </w:footnote>
  <w:footnote w:id="244">
    <w:p w14:paraId="6D50EB6B" w14:textId="77777777" w:rsidR="009943DF" w:rsidRDefault="009943DF" w:rsidP="002117A2">
      <w:pPr>
        <w:pStyle w:val="FootnoteText"/>
      </w:pPr>
      <w:r>
        <w:rPr>
          <w:rStyle w:val="FootnoteReference"/>
        </w:rPr>
        <w:footnoteRef/>
      </w:r>
      <w:r>
        <w:t xml:space="preserve"> Simon, 2008; 90</w:t>
      </w:r>
    </w:p>
  </w:footnote>
  <w:footnote w:id="245">
    <w:p w14:paraId="546465F9" w14:textId="77777777" w:rsidR="009943DF" w:rsidRDefault="009943DF" w:rsidP="002117A2">
      <w:pPr>
        <w:pStyle w:val="FootnoteText"/>
      </w:pPr>
      <w:r>
        <w:rPr>
          <w:rStyle w:val="FootnoteReference"/>
        </w:rPr>
        <w:footnoteRef/>
      </w:r>
      <w:r>
        <w:t xml:space="preserve"> Simon, 2008; 87</w:t>
      </w:r>
    </w:p>
  </w:footnote>
  <w:footnote w:id="246">
    <w:p w14:paraId="2AA8F646" w14:textId="77777777" w:rsidR="009943DF" w:rsidRDefault="009943DF" w:rsidP="002117A2">
      <w:pPr>
        <w:pStyle w:val="FootnoteText"/>
      </w:pPr>
      <w:r>
        <w:rPr>
          <w:rStyle w:val="FootnoteReference"/>
        </w:rPr>
        <w:footnoteRef/>
      </w:r>
      <w:r>
        <w:t xml:space="preserve"> Simon, 2008; 91</w:t>
      </w:r>
    </w:p>
  </w:footnote>
  <w:footnote w:id="247">
    <w:p w14:paraId="2EFC95BA" w14:textId="77777777" w:rsidR="009943DF" w:rsidRDefault="009943DF" w:rsidP="002117A2">
      <w:pPr>
        <w:pStyle w:val="FootnoteText"/>
      </w:pPr>
      <w:r>
        <w:rPr>
          <w:rStyle w:val="FootnoteReference"/>
        </w:rPr>
        <w:footnoteRef/>
      </w:r>
      <w:r>
        <w:t xml:space="preserve"> Malek, 2009</w:t>
      </w:r>
    </w:p>
  </w:footnote>
  <w:footnote w:id="248">
    <w:p w14:paraId="2B08C030" w14:textId="77777777" w:rsidR="009943DF" w:rsidRDefault="009943DF" w:rsidP="002117A2">
      <w:pPr>
        <w:pStyle w:val="FootnoteText"/>
      </w:pPr>
      <w:r>
        <w:rPr>
          <w:rStyle w:val="FootnoteReference"/>
        </w:rPr>
        <w:footnoteRef/>
      </w:r>
      <w:r>
        <w:t xml:space="preserve"> Hindley, 2015</w:t>
      </w:r>
    </w:p>
  </w:footnote>
  <w:footnote w:id="249">
    <w:p w14:paraId="09C1AD16" w14:textId="77777777" w:rsidR="009943DF" w:rsidRDefault="009943DF" w:rsidP="002117A2">
      <w:pPr>
        <w:pStyle w:val="FootnoteText"/>
      </w:pPr>
      <w:r>
        <w:rPr>
          <w:rStyle w:val="FootnoteReference"/>
        </w:rPr>
        <w:footnoteRef/>
      </w:r>
      <w:r>
        <w:t xml:space="preserve"> Simon, 2008; 87</w:t>
      </w:r>
    </w:p>
  </w:footnote>
  <w:footnote w:id="250">
    <w:p w14:paraId="6619C895" w14:textId="77777777" w:rsidR="009943DF" w:rsidRDefault="009943DF" w:rsidP="002117A2">
      <w:pPr>
        <w:pStyle w:val="FootnoteText"/>
      </w:pPr>
      <w:r>
        <w:rPr>
          <w:rStyle w:val="FootnoteReference"/>
        </w:rPr>
        <w:footnoteRef/>
      </w:r>
      <w:r>
        <w:t xml:space="preserve"> Hindley, 2015</w:t>
      </w:r>
    </w:p>
  </w:footnote>
  <w:footnote w:id="251">
    <w:p w14:paraId="0630E0B0" w14:textId="77777777" w:rsidR="009943DF" w:rsidRDefault="009943DF" w:rsidP="002117A2">
      <w:pPr>
        <w:pStyle w:val="FootnoteText"/>
      </w:pPr>
      <w:r>
        <w:rPr>
          <w:rStyle w:val="FootnoteReference"/>
        </w:rPr>
        <w:footnoteRef/>
      </w:r>
      <w:r>
        <w:t xml:space="preserve"> Hindley, 2015</w:t>
      </w:r>
    </w:p>
  </w:footnote>
  <w:footnote w:id="252">
    <w:p w14:paraId="1C286A46" w14:textId="77777777" w:rsidR="009943DF" w:rsidRDefault="009943DF" w:rsidP="002117A2">
      <w:pPr>
        <w:pStyle w:val="FootnoteText"/>
      </w:pPr>
      <w:r>
        <w:rPr>
          <w:rStyle w:val="FootnoteReference"/>
        </w:rPr>
        <w:footnoteRef/>
      </w:r>
      <w:r>
        <w:t xml:space="preserve"> Hindley, 2015. Moser, 2012; 55</w:t>
      </w:r>
    </w:p>
  </w:footnote>
  <w:footnote w:id="253">
    <w:p w14:paraId="5581CAF5" w14:textId="77777777" w:rsidR="009943DF" w:rsidRDefault="009943DF" w:rsidP="002117A2">
      <w:pPr>
        <w:pStyle w:val="FootnoteText"/>
      </w:pPr>
      <w:r>
        <w:rPr>
          <w:rStyle w:val="FootnoteReference"/>
        </w:rPr>
        <w:footnoteRef/>
      </w:r>
      <w:r>
        <w:t xml:space="preserve"> Bell, 2010; 56</w:t>
      </w:r>
    </w:p>
  </w:footnote>
  <w:footnote w:id="254">
    <w:p w14:paraId="6F53F670" w14:textId="77777777" w:rsidR="009943DF" w:rsidRDefault="009943DF" w:rsidP="002117A2">
      <w:pPr>
        <w:pStyle w:val="FootnoteText"/>
      </w:pPr>
      <w:r>
        <w:rPr>
          <w:rStyle w:val="FootnoteReference"/>
        </w:rPr>
        <w:footnoteRef/>
      </w:r>
      <w:r>
        <w:t xml:space="preserve"> Hindley, 2015</w:t>
      </w:r>
    </w:p>
  </w:footnote>
  <w:footnote w:id="255">
    <w:p w14:paraId="032213F0" w14:textId="77777777" w:rsidR="009943DF" w:rsidRDefault="009943DF" w:rsidP="002117A2">
      <w:pPr>
        <w:pStyle w:val="FootnoteText"/>
      </w:pPr>
      <w:r>
        <w:rPr>
          <w:rStyle w:val="FootnoteReference"/>
        </w:rPr>
        <w:footnoteRef/>
      </w:r>
      <w:r>
        <w:t xml:space="preserve"> Anon, 2019</w:t>
      </w:r>
    </w:p>
  </w:footnote>
  <w:footnote w:id="256">
    <w:p w14:paraId="4D638B5E" w14:textId="77777777" w:rsidR="009943DF" w:rsidRDefault="009943DF" w:rsidP="002117A2">
      <w:pPr>
        <w:pStyle w:val="FootnoteText"/>
      </w:pPr>
      <w:r>
        <w:rPr>
          <w:rStyle w:val="FootnoteReference"/>
        </w:rPr>
        <w:footnoteRef/>
      </w:r>
      <w:r>
        <w:t xml:space="preserve"> Hindley, 2015</w:t>
      </w:r>
    </w:p>
  </w:footnote>
  <w:footnote w:id="257">
    <w:p w14:paraId="7EE6834B" w14:textId="77777777" w:rsidR="009943DF" w:rsidRDefault="009943DF" w:rsidP="002117A2">
      <w:pPr>
        <w:pStyle w:val="FootnoteText"/>
      </w:pPr>
      <w:r>
        <w:rPr>
          <w:rStyle w:val="FootnoteReference"/>
        </w:rPr>
        <w:footnoteRef/>
      </w:r>
      <w:r>
        <w:t xml:space="preserve"> Hindley, 2015</w:t>
      </w:r>
    </w:p>
  </w:footnote>
  <w:footnote w:id="258">
    <w:p w14:paraId="6C47C589" w14:textId="77777777" w:rsidR="009943DF" w:rsidRDefault="009943DF" w:rsidP="002117A2">
      <w:pPr>
        <w:pStyle w:val="FootnoteText"/>
      </w:pPr>
      <w:r>
        <w:rPr>
          <w:rStyle w:val="FootnoteReference"/>
        </w:rPr>
        <w:footnoteRef/>
      </w:r>
      <w:r>
        <w:t xml:space="preserve"> Malek, 2009</w:t>
      </w:r>
    </w:p>
  </w:footnote>
  <w:footnote w:id="259">
    <w:p w14:paraId="18720B30" w14:textId="77777777" w:rsidR="009943DF" w:rsidRDefault="009943DF" w:rsidP="002117A2">
      <w:pPr>
        <w:pStyle w:val="FootnoteText"/>
      </w:pPr>
      <w:r>
        <w:rPr>
          <w:rStyle w:val="FootnoteReference"/>
        </w:rPr>
        <w:footnoteRef/>
      </w:r>
      <w:r>
        <w:t xml:space="preserve"> Anon, 2019</w:t>
      </w:r>
    </w:p>
  </w:footnote>
  <w:footnote w:id="260">
    <w:p w14:paraId="6A23F1FF" w14:textId="77777777" w:rsidR="009943DF" w:rsidRDefault="009943DF" w:rsidP="002117A2">
      <w:pPr>
        <w:pStyle w:val="FootnoteText"/>
      </w:pPr>
      <w:r>
        <w:rPr>
          <w:rStyle w:val="FootnoteReference"/>
        </w:rPr>
        <w:footnoteRef/>
      </w:r>
      <w:r>
        <w:t xml:space="preserve"> Malek, 2009</w:t>
      </w:r>
    </w:p>
  </w:footnote>
  <w:footnote w:id="261">
    <w:p w14:paraId="0007C15F" w14:textId="77777777" w:rsidR="009943DF" w:rsidRDefault="009943DF" w:rsidP="002117A2">
      <w:pPr>
        <w:pStyle w:val="FootnoteText"/>
      </w:pPr>
      <w:r>
        <w:rPr>
          <w:rStyle w:val="FootnoteReference"/>
        </w:rPr>
        <w:footnoteRef/>
      </w:r>
      <w:r>
        <w:t xml:space="preserve"> Malek, 2009</w:t>
      </w:r>
    </w:p>
  </w:footnote>
  <w:footnote w:id="262">
    <w:p w14:paraId="4492050C" w14:textId="77777777" w:rsidR="009943DF" w:rsidRDefault="009943DF" w:rsidP="002117A2">
      <w:pPr>
        <w:pStyle w:val="FootnoteText"/>
      </w:pPr>
      <w:r>
        <w:rPr>
          <w:rStyle w:val="FootnoteReference"/>
        </w:rPr>
        <w:footnoteRef/>
      </w:r>
      <w:r>
        <w:t xml:space="preserve"> Malek, 2009. Simon, 2008 87</w:t>
      </w:r>
    </w:p>
  </w:footnote>
  <w:footnote w:id="263">
    <w:p w14:paraId="4CC62075" w14:textId="6AE3575B" w:rsidR="009943DF" w:rsidRDefault="009943DF">
      <w:pPr>
        <w:pStyle w:val="FootnoteText"/>
      </w:pPr>
      <w:r>
        <w:rPr>
          <w:rStyle w:val="FootnoteReference"/>
        </w:rPr>
        <w:footnoteRef/>
      </w:r>
      <w:r>
        <w:t xml:space="preserve"> Ivanovic, 2008; 156</w:t>
      </w:r>
    </w:p>
  </w:footnote>
  <w:footnote w:id="264">
    <w:p w14:paraId="30D8654B" w14:textId="77777777" w:rsidR="009943DF" w:rsidRDefault="009943DF" w:rsidP="002117A2">
      <w:pPr>
        <w:pStyle w:val="FootnoteText"/>
      </w:pPr>
      <w:r>
        <w:rPr>
          <w:rStyle w:val="FootnoteReference"/>
        </w:rPr>
        <w:footnoteRef/>
      </w:r>
      <w:r>
        <w:t xml:space="preserve"> Simon, 2008; 92</w:t>
      </w:r>
    </w:p>
  </w:footnote>
  <w:footnote w:id="265">
    <w:p w14:paraId="78B2BDBE" w14:textId="77777777" w:rsidR="009943DF" w:rsidRDefault="009943DF" w:rsidP="002117A2">
      <w:pPr>
        <w:pStyle w:val="FootnoteText"/>
      </w:pPr>
      <w:r>
        <w:rPr>
          <w:rStyle w:val="FootnoteReference"/>
        </w:rPr>
        <w:footnoteRef/>
      </w:r>
      <w:r>
        <w:t xml:space="preserve"> Simon, 2008; 92 </w:t>
      </w:r>
    </w:p>
  </w:footnote>
  <w:footnote w:id="266">
    <w:p w14:paraId="7C261782" w14:textId="77777777" w:rsidR="009943DF" w:rsidRDefault="009943DF" w:rsidP="002117A2">
      <w:pPr>
        <w:pStyle w:val="FootnoteText"/>
      </w:pPr>
      <w:r>
        <w:rPr>
          <w:rStyle w:val="FootnoteReference"/>
        </w:rPr>
        <w:footnoteRef/>
      </w:r>
      <w:r>
        <w:t xml:space="preserve"> World archaeology, 2008</w:t>
      </w:r>
    </w:p>
  </w:footnote>
  <w:footnote w:id="267">
    <w:p w14:paraId="5C60CF3C" w14:textId="77777777" w:rsidR="009943DF" w:rsidRDefault="009943DF" w:rsidP="002117A2">
      <w:pPr>
        <w:pStyle w:val="FootnoteText"/>
      </w:pPr>
      <w:r>
        <w:rPr>
          <w:rStyle w:val="FootnoteReference"/>
        </w:rPr>
        <w:footnoteRef/>
      </w:r>
      <w:r>
        <w:t xml:space="preserve"> World archaeology, 2008</w:t>
      </w:r>
    </w:p>
  </w:footnote>
  <w:footnote w:id="268">
    <w:p w14:paraId="08FB1820" w14:textId="77777777" w:rsidR="009943DF" w:rsidRDefault="009943DF" w:rsidP="002117A2">
      <w:pPr>
        <w:pStyle w:val="FootnoteText"/>
      </w:pPr>
      <w:r>
        <w:rPr>
          <w:rStyle w:val="FootnoteReference"/>
        </w:rPr>
        <w:footnoteRef/>
      </w:r>
      <w:r>
        <w:t xml:space="preserve"> World archaeology, 2008</w:t>
      </w:r>
    </w:p>
  </w:footnote>
  <w:footnote w:id="269">
    <w:p w14:paraId="23D9499C" w14:textId="77777777" w:rsidR="009943DF" w:rsidRDefault="009943DF" w:rsidP="002117A2">
      <w:pPr>
        <w:pStyle w:val="FootnoteText"/>
      </w:pPr>
      <w:r>
        <w:rPr>
          <w:rStyle w:val="FootnoteReference"/>
        </w:rPr>
        <w:footnoteRef/>
      </w:r>
      <w:r>
        <w:t xml:space="preserve"> World archaeology, 2008</w:t>
      </w:r>
    </w:p>
  </w:footnote>
  <w:footnote w:id="270">
    <w:p w14:paraId="61E9B22C" w14:textId="77777777" w:rsidR="009943DF" w:rsidRDefault="009943DF" w:rsidP="002117A2">
      <w:pPr>
        <w:pStyle w:val="FootnoteText"/>
      </w:pPr>
      <w:r>
        <w:rPr>
          <w:rStyle w:val="FootnoteReference"/>
        </w:rPr>
        <w:footnoteRef/>
      </w:r>
      <w:r>
        <w:t xml:space="preserve"> World archaeology, 2008</w:t>
      </w:r>
    </w:p>
  </w:footnote>
  <w:footnote w:id="271">
    <w:p w14:paraId="5D652D48" w14:textId="77777777" w:rsidR="009943DF" w:rsidRDefault="009943DF" w:rsidP="002117A2">
      <w:pPr>
        <w:pStyle w:val="FootnoteText"/>
      </w:pPr>
      <w:r>
        <w:rPr>
          <w:rStyle w:val="FootnoteReference"/>
        </w:rPr>
        <w:footnoteRef/>
      </w:r>
      <w:r>
        <w:t xml:space="preserve"> Simon, 2008; 95</w:t>
      </w:r>
    </w:p>
  </w:footnote>
  <w:footnote w:id="272">
    <w:p w14:paraId="0D870132" w14:textId="77777777" w:rsidR="009943DF" w:rsidRDefault="009943DF" w:rsidP="002117A2">
      <w:pPr>
        <w:pStyle w:val="FootnoteText"/>
      </w:pPr>
      <w:r>
        <w:rPr>
          <w:rStyle w:val="FootnoteReference"/>
        </w:rPr>
        <w:footnoteRef/>
      </w:r>
      <w:r>
        <w:t xml:space="preserve"> Saatchi Gallery, 2019</w:t>
      </w:r>
    </w:p>
  </w:footnote>
  <w:footnote w:id="273">
    <w:p w14:paraId="0F458D12" w14:textId="77777777" w:rsidR="009943DF" w:rsidRDefault="009943DF" w:rsidP="002117A2">
      <w:pPr>
        <w:pStyle w:val="FootnoteText"/>
      </w:pPr>
      <w:r>
        <w:rPr>
          <w:rStyle w:val="FootnoteReference"/>
        </w:rPr>
        <w:footnoteRef/>
      </w:r>
      <w:r>
        <w:t xml:space="preserve"> Dowson, 2019</w:t>
      </w:r>
    </w:p>
  </w:footnote>
  <w:footnote w:id="274">
    <w:p w14:paraId="7A419DF6" w14:textId="77777777" w:rsidR="009943DF" w:rsidRDefault="009943DF" w:rsidP="002117A2">
      <w:pPr>
        <w:pStyle w:val="FootnoteText"/>
      </w:pPr>
      <w:r>
        <w:rPr>
          <w:rStyle w:val="FootnoteReference"/>
        </w:rPr>
        <w:footnoteRef/>
      </w:r>
      <w:r>
        <w:t xml:space="preserve"> </w:t>
      </w:r>
      <w:proofErr w:type="spellStart"/>
      <w:r w:rsidRPr="006D4509">
        <w:t>Addley</w:t>
      </w:r>
      <w:proofErr w:type="spellEnd"/>
      <w:r w:rsidRPr="006D4509">
        <w:t xml:space="preserve"> 2019; 13</w:t>
      </w:r>
    </w:p>
  </w:footnote>
  <w:footnote w:id="275">
    <w:p w14:paraId="4255EFF0" w14:textId="77777777" w:rsidR="009943DF" w:rsidRDefault="009943DF" w:rsidP="002117A2">
      <w:pPr>
        <w:pStyle w:val="FootnoteText"/>
      </w:pPr>
      <w:r>
        <w:rPr>
          <w:rStyle w:val="FootnoteReference"/>
        </w:rPr>
        <w:footnoteRef/>
      </w:r>
      <w:r>
        <w:t xml:space="preserve"> Majestic Tours, 2019</w:t>
      </w:r>
    </w:p>
  </w:footnote>
  <w:footnote w:id="276">
    <w:p w14:paraId="75E2908B" w14:textId="77777777" w:rsidR="009943DF" w:rsidRDefault="009943DF" w:rsidP="002117A2">
      <w:pPr>
        <w:pStyle w:val="FootnoteText"/>
      </w:pPr>
      <w:r>
        <w:rPr>
          <w:rStyle w:val="FootnoteReference"/>
        </w:rPr>
        <w:footnoteRef/>
      </w:r>
      <w:r>
        <w:t xml:space="preserve"> Dowson, 2019</w:t>
      </w:r>
    </w:p>
  </w:footnote>
  <w:footnote w:id="277">
    <w:p w14:paraId="0FD013D8" w14:textId="77777777" w:rsidR="009943DF" w:rsidRDefault="009943DF" w:rsidP="002117A2">
      <w:pPr>
        <w:pStyle w:val="FootnoteText"/>
      </w:pPr>
      <w:r>
        <w:rPr>
          <w:rStyle w:val="FootnoteReference"/>
        </w:rPr>
        <w:footnoteRef/>
      </w:r>
      <w:r>
        <w:t xml:space="preserve"> Dowson, 2019</w:t>
      </w:r>
    </w:p>
  </w:footnote>
  <w:footnote w:id="278">
    <w:p w14:paraId="3C95F5F3" w14:textId="77777777" w:rsidR="009943DF" w:rsidRDefault="009943DF" w:rsidP="002117A2">
      <w:pPr>
        <w:pStyle w:val="FootnoteText"/>
      </w:pPr>
      <w:r>
        <w:rPr>
          <w:rStyle w:val="FootnoteReference"/>
        </w:rPr>
        <w:footnoteRef/>
      </w:r>
      <w:r>
        <w:t xml:space="preserve"> Saatchi Gallery, 2019</w:t>
      </w:r>
    </w:p>
  </w:footnote>
  <w:footnote w:id="279">
    <w:p w14:paraId="600932C2" w14:textId="77777777" w:rsidR="009943DF" w:rsidRPr="00C00896" w:rsidRDefault="009943DF" w:rsidP="002117A2">
      <w:pPr>
        <w:pStyle w:val="FootnoteText"/>
        <w:rPr>
          <w:highlight w:val="magenta"/>
        </w:rPr>
      </w:pPr>
      <w:r>
        <w:rPr>
          <w:rStyle w:val="FootnoteReference"/>
        </w:rPr>
        <w:footnoteRef/>
      </w:r>
      <w:r>
        <w:t xml:space="preserve"> </w:t>
      </w:r>
      <w:proofErr w:type="spellStart"/>
      <w:r w:rsidRPr="003B00CF">
        <w:t>Addley</w:t>
      </w:r>
      <w:proofErr w:type="spellEnd"/>
      <w:r w:rsidRPr="003B00CF">
        <w:t>, 2019; 13</w:t>
      </w:r>
    </w:p>
  </w:footnote>
  <w:footnote w:id="280">
    <w:p w14:paraId="5BED2141" w14:textId="77777777" w:rsidR="009943DF" w:rsidRPr="00C00896" w:rsidRDefault="009943DF" w:rsidP="002117A2">
      <w:pPr>
        <w:pStyle w:val="FootnoteText"/>
        <w:rPr>
          <w:highlight w:val="magenta"/>
        </w:rPr>
      </w:pPr>
      <w:r w:rsidRPr="009B7A05">
        <w:rPr>
          <w:rStyle w:val="FootnoteReference"/>
        </w:rPr>
        <w:footnoteRef/>
      </w:r>
      <w:r w:rsidRPr="009B7A05">
        <w:t xml:space="preserve"> </w:t>
      </w:r>
      <w:proofErr w:type="spellStart"/>
      <w:r w:rsidRPr="009B7A05">
        <w:t>Addley</w:t>
      </w:r>
      <w:proofErr w:type="spellEnd"/>
      <w:r w:rsidRPr="009B7A05">
        <w:t>, 2019; 13</w:t>
      </w:r>
    </w:p>
  </w:footnote>
  <w:footnote w:id="281">
    <w:p w14:paraId="3321A038" w14:textId="77777777" w:rsidR="009943DF" w:rsidRDefault="009943DF" w:rsidP="002117A2">
      <w:pPr>
        <w:pStyle w:val="FootnoteText"/>
      </w:pPr>
      <w:r w:rsidRPr="0010227F">
        <w:rPr>
          <w:rStyle w:val="FootnoteReference"/>
        </w:rPr>
        <w:footnoteRef/>
      </w:r>
      <w:r w:rsidRPr="0010227F">
        <w:t xml:space="preserve"> </w:t>
      </w:r>
      <w:proofErr w:type="spellStart"/>
      <w:r w:rsidRPr="0010227F">
        <w:t>Addley</w:t>
      </w:r>
      <w:proofErr w:type="spellEnd"/>
      <w:r w:rsidRPr="0010227F">
        <w:t>, 2019; 13</w:t>
      </w:r>
    </w:p>
  </w:footnote>
  <w:footnote w:id="282">
    <w:p w14:paraId="2C0C4383" w14:textId="77777777" w:rsidR="009943DF" w:rsidRDefault="009943DF" w:rsidP="002117A2">
      <w:pPr>
        <w:pStyle w:val="FootnoteText"/>
      </w:pPr>
      <w:r>
        <w:rPr>
          <w:rStyle w:val="FootnoteReference"/>
        </w:rPr>
        <w:footnoteRef/>
      </w:r>
      <w:r>
        <w:t xml:space="preserve"> </w:t>
      </w:r>
      <w:proofErr w:type="spellStart"/>
      <w:r>
        <w:t>Addley</w:t>
      </w:r>
      <w:proofErr w:type="spellEnd"/>
      <w:r w:rsidRPr="00A308A1">
        <w:t>, 2019; 13</w:t>
      </w:r>
    </w:p>
  </w:footnote>
  <w:footnote w:id="283">
    <w:p w14:paraId="6D86B0C9" w14:textId="77777777" w:rsidR="009943DF" w:rsidRDefault="009943DF" w:rsidP="002117A2">
      <w:pPr>
        <w:pStyle w:val="FootnoteText"/>
      </w:pPr>
      <w:r>
        <w:rPr>
          <w:rStyle w:val="FootnoteReference"/>
        </w:rPr>
        <w:footnoteRef/>
      </w:r>
      <w:r>
        <w:t xml:space="preserve"> Dowson, 2019</w:t>
      </w:r>
    </w:p>
  </w:footnote>
  <w:footnote w:id="284">
    <w:p w14:paraId="6338F1B3" w14:textId="77777777" w:rsidR="009943DF" w:rsidRPr="00D735AB" w:rsidRDefault="009943DF" w:rsidP="002117A2">
      <w:pPr>
        <w:pStyle w:val="FootnoteText"/>
      </w:pPr>
      <w:r>
        <w:rPr>
          <w:rStyle w:val="FootnoteReference"/>
        </w:rPr>
        <w:footnoteRef/>
      </w:r>
      <w:r>
        <w:t xml:space="preserve"> </w:t>
      </w:r>
      <w:r w:rsidRPr="00D735AB">
        <w:t>Jones, 2019; 13</w:t>
      </w:r>
    </w:p>
  </w:footnote>
  <w:footnote w:id="285">
    <w:p w14:paraId="1A9D4269" w14:textId="77777777" w:rsidR="009943DF" w:rsidRDefault="009943DF" w:rsidP="002117A2">
      <w:pPr>
        <w:pStyle w:val="FootnoteText"/>
      </w:pPr>
      <w:r>
        <w:rPr>
          <w:rStyle w:val="FootnoteReference"/>
        </w:rPr>
        <w:footnoteRef/>
      </w:r>
      <w:r>
        <w:t xml:space="preserve"> Dowson, 2019</w:t>
      </w:r>
    </w:p>
  </w:footnote>
  <w:footnote w:id="286">
    <w:p w14:paraId="1E097C94" w14:textId="77777777" w:rsidR="009943DF" w:rsidRDefault="009943DF" w:rsidP="002117A2">
      <w:pPr>
        <w:pStyle w:val="FootnoteText"/>
      </w:pPr>
      <w:r>
        <w:rPr>
          <w:rStyle w:val="FootnoteReference"/>
        </w:rPr>
        <w:footnoteRef/>
      </w:r>
      <w:r>
        <w:t xml:space="preserve"> Dowson, 2019</w:t>
      </w:r>
    </w:p>
  </w:footnote>
  <w:footnote w:id="287">
    <w:p w14:paraId="6CFD09B6" w14:textId="77777777" w:rsidR="009943DF" w:rsidRDefault="009943DF" w:rsidP="002117A2">
      <w:pPr>
        <w:pStyle w:val="FootnoteText"/>
      </w:pPr>
      <w:r w:rsidRPr="00737F19">
        <w:rPr>
          <w:rStyle w:val="FootnoteReference"/>
        </w:rPr>
        <w:footnoteRef/>
      </w:r>
      <w:r w:rsidRPr="00737F19">
        <w:t xml:space="preserve"> </w:t>
      </w:r>
      <w:proofErr w:type="spellStart"/>
      <w:r w:rsidRPr="00737F19">
        <w:t>Addley</w:t>
      </w:r>
      <w:proofErr w:type="spellEnd"/>
      <w:r w:rsidRPr="00737F19">
        <w:t>, 2019; 13</w:t>
      </w:r>
    </w:p>
  </w:footnote>
  <w:footnote w:id="288">
    <w:p w14:paraId="727D9516" w14:textId="2ED0CB95" w:rsidR="009943DF" w:rsidRDefault="009943DF">
      <w:pPr>
        <w:pStyle w:val="FootnoteText"/>
      </w:pPr>
      <w:r>
        <w:rPr>
          <w:rStyle w:val="FootnoteReference"/>
        </w:rPr>
        <w:footnoteRef/>
      </w:r>
      <w:r>
        <w:t xml:space="preserve"> Parkinson, 2008 ;1</w:t>
      </w:r>
    </w:p>
  </w:footnote>
  <w:footnote w:id="289">
    <w:p w14:paraId="73708B9E" w14:textId="77777777" w:rsidR="009943DF" w:rsidRDefault="009943DF" w:rsidP="00A533FD">
      <w:pPr>
        <w:pStyle w:val="FootnoteText"/>
      </w:pPr>
      <w:r>
        <w:rPr>
          <w:rStyle w:val="FootnoteReference"/>
        </w:rPr>
        <w:footnoteRef/>
      </w:r>
      <w:r>
        <w:t xml:space="preserve"> Pak, 2019 </w:t>
      </w:r>
    </w:p>
  </w:footnote>
  <w:footnote w:id="290">
    <w:p w14:paraId="3FA91992" w14:textId="77777777" w:rsidR="009943DF" w:rsidRDefault="009943DF" w:rsidP="00A533FD">
      <w:pPr>
        <w:pStyle w:val="FootnoteText"/>
      </w:pPr>
      <w:r>
        <w:rPr>
          <w:rStyle w:val="FootnoteReference"/>
        </w:rPr>
        <w:footnoteRef/>
      </w:r>
      <w:r>
        <w:t xml:space="preserve"> James, 2001; 80</w:t>
      </w:r>
    </w:p>
  </w:footnote>
  <w:footnote w:id="291">
    <w:p w14:paraId="5546C28A" w14:textId="77777777" w:rsidR="009943DF" w:rsidRDefault="009943DF" w:rsidP="00A533FD">
      <w:pPr>
        <w:pStyle w:val="FootnoteText"/>
      </w:pPr>
      <w:r>
        <w:rPr>
          <w:rStyle w:val="FootnoteReference"/>
        </w:rPr>
        <w:footnoteRef/>
      </w:r>
      <w:r>
        <w:t xml:space="preserve"> Reid, 1895; 233-5</w:t>
      </w:r>
    </w:p>
  </w:footnote>
  <w:footnote w:id="292">
    <w:p w14:paraId="16A2136F" w14:textId="77777777" w:rsidR="009943DF" w:rsidRDefault="009943DF" w:rsidP="00A533FD">
      <w:pPr>
        <w:pStyle w:val="FootnoteText"/>
      </w:pPr>
      <w:r>
        <w:rPr>
          <w:rStyle w:val="FootnoteReference"/>
        </w:rPr>
        <w:footnoteRef/>
      </w:r>
      <w:r>
        <w:t xml:space="preserve"> Richmond, 1977; 186-7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45437" w14:textId="77777777" w:rsidR="009943DF" w:rsidRDefault="009943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7B661" w14:textId="77777777" w:rsidR="009943DF" w:rsidRPr="00327351" w:rsidRDefault="009943DF" w:rsidP="003273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9338D" w14:textId="77777777" w:rsidR="009943DF" w:rsidRDefault="009943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5.75pt;height:14.25pt;visibility:visible;mso-wrap-style:square" o:bullet="t">
        <v:imagedata r:id="rId1" o:title=""/>
      </v:shape>
    </w:pict>
  </w:numPicBullet>
  <w:abstractNum w:abstractNumId="0" w15:restartNumberingAfterBreak="0">
    <w:nsid w:val="0C386AC4"/>
    <w:multiLevelType w:val="hybridMultilevel"/>
    <w:tmpl w:val="FFE823FE"/>
    <w:lvl w:ilvl="0" w:tplc="BE52FD1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7168DC"/>
    <w:multiLevelType w:val="hybridMultilevel"/>
    <w:tmpl w:val="9D962E18"/>
    <w:lvl w:ilvl="0" w:tplc="2AC4EB1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163B27"/>
    <w:multiLevelType w:val="hybridMultilevel"/>
    <w:tmpl w:val="3326C378"/>
    <w:lvl w:ilvl="0" w:tplc="8F66A4BC">
      <w:start w:val="1"/>
      <w:numFmt w:val="bullet"/>
      <w:lvlText w:val=""/>
      <w:lvlPicBulletId w:val="0"/>
      <w:lvlJc w:val="left"/>
      <w:pPr>
        <w:tabs>
          <w:tab w:val="num" w:pos="720"/>
        </w:tabs>
        <w:ind w:left="720" w:hanging="360"/>
      </w:pPr>
      <w:rPr>
        <w:rFonts w:ascii="Symbol" w:hAnsi="Symbol" w:hint="default"/>
      </w:rPr>
    </w:lvl>
    <w:lvl w:ilvl="1" w:tplc="2F145B18" w:tentative="1">
      <w:start w:val="1"/>
      <w:numFmt w:val="bullet"/>
      <w:lvlText w:val=""/>
      <w:lvlJc w:val="left"/>
      <w:pPr>
        <w:tabs>
          <w:tab w:val="num" w:pos="1440"/>
        </w:tabs>
        <w:ind w:left="1440" w:hanging="360"/>
      </w:pPr>
      <w:rPr>
        <w:rFonts w:ascii="Symbol" w:hAnsi="Symbol" w:hint="default"/>
      </w:rPr>
    </w:lvl>
    <w:lvl w:ilvl="2" w:tplc="1518B586" w:tentative="1">
      <w:start w:val="1"/>
      <w:numFmt w:val="bullet"/>
      <w:lvlText w:val=""/>
      <w:lvlJc w:val="left"/>
      <w:pPr>
        <w:tabs>
          <w:tab w:val="num" w:pos="2160"/>
        </w:tabs>
        <w:ind w:left="2160" w:hanging="360"/>
      </w:pPr>
      <w:rPr>
        <w:rFonts w:ascii="Symbol" w:hAnsi="Symbol" w:hint="default"/>
      </w:rPr>
    </w:lvl>
    <w:lvl w:ilvl="3" w:tplc="58B811A4" w:tentative="1">
      <w:start w:val="1"/>
      <w:numFmt w:val="bullet"/>
      <w:lvlText w:val=""/>
      <w:lvlJc w:val="left"/>
      <w:pPr>
        <w:tabs>
          <w:tab w:val="num" w:pos="2880"/>
        </w:tabs>
        <w:ind w:left="2880" w:hanging="360"/>
      </w:pPr>
      <w:rPr>
        <w:rFonts w:ascii="Symbol" w:hAnsi="Symbol" w:hint="default"/>
      </w:rPr>
    </w:lvl>
    <w:lvl w:ilvl="4" w:tplc="0F4899E6" w:tentative="1">
      <w:start w:val="1"/>
      <w:numFmt w:val="bullet"/>
      <w:lvlText w:val=""/>
      <w:lvlJc w:val="left"/>
      <w:pPr>
        <w:tabs>
          <w:tab w:val="num" w:pos="3600"/>
        </w:tabs>
        <w:ind w:left="3600" w:hanging="360"/>
      </w:pPr>
      <w:rPr>
        <w:rFonts w:ascii="Symbol" w:hAnsi="Symbol" w:hint="default"/>
      </w:rPr>
    </w:lvl>
    <w:lvl w:ilvl="5" w:tplc="B29A5970" w:tentative="1">
      <w:start w:val="1"/>
      <w:numFmt w:val="bullet"/>
      <w:lvlText w:val=""/>
      <w:lvlJc w:val="left"/>
      <w:pPr>
        <w:tabs>
          <w:tab w:val="num" w:pos="4320"/>
        </w:tabs>
        <w:ind w:left="4320" w:hanging="360"/>
      </w:pPr>
      <w:rPr>
        <w:rFonts w:ascii="Symbol" w:hAnsi="Symbol" w:hint="default"/>
      </w:rPr>
    </w:lvl>
    <w:lvl w:ilvl="6" w:tplc="AD8C738E" w:tentative="1">
      <w:start w:val="1"/>
      <w:numFmt w:val="bullet"/>
      <w:lvlText w:val=""/>
      <w:lvlJc w:val="left"/>
      <w:pPr>
        <w:tabs>
          <w:tab w:val="num" w:pos="5040"/>
        </w:tabs>
        <w:ind w:left="5040" w:hanging="360"/>
      </w:pPr>
      <w:rPr>
        <w:rFonts w:ascii="Symbol" w:hAnsi="Symbol" w:hint="default"/>
      </w:rPr>
    </w:lvl>
    <w:lvl w:ilvl="7" w:tplc="76B81500" w:tentative="1">
      <w:start w:val="1"/>
      <w:numFmt w:val="bullet"/>
      <w:lvlText w:val=""/>
      <w:lvlJc w:val="left"/>
      <w:pPr>
        <w:tabs>
          <w:tab w:val="num" w:pos="5760"/>
        </w:tabs>
        <w:ind w:left="5760" w:hanging="360"/>
      </w:pPr>
      <w:rPr>
        <w:rFonts w:ascii="Symbol" w:hAnsi="Symbol" w:hint="default"/>
      </w:rPr>
    </w:lvl>
    <w:lvl w:ilvl="8" w:tplc="22E6591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22072F6A"/>
    <w:multiLevelType w:val="hybridMultilevel"/>
    <w:tmpl w:val="04963820"/>
    <w:lvl w:ilvl="0" w:tplc="291A16E8">
      <w:start w:val="1"/>
      <w:numFmt w:val="lowerRoman"/>
      <w:lvlText w:val="%1."/>
      <w:lvlJc w:val="left"/>
      <w:pPr>
        <w:ind w:left="873" w:hanging="720"/>
      </w:pPr>
      <w:rPr>
        <w:rFonts w:hint="default"/>
      </w:rPr>
    </w:lvl>
    <w:lvl w:ilvl="1" w:tplc="08090019" w:tentative="1">
      <w:start w:val="1"/>
      <w:numFmt w:val="lowerLetter"/>
      <w:lvlText w:val="%2."/>
      <w:lvlJc w:val="left"/>
      <w:pPr>
        <w:ind w:left="1233" w:hanging="360"/>
      </w:pPr>
    </w:lvl>
    <w:lvl w:ilvl="2" w:tplc="0809001B" w:tentative="1">
      <w:start w:val="1"/>
      <w:numFmt w:val="lowerRoman"/>
      <w:lvlText w:val="%3."/>
      <w:lvlJc w:val="right"/>
      <w:pPr>
        <w:ind w:left="1953" w:hanging="180"/>
      </w:pPr>
    </w:lvl>
    <w:lvl w:ilvl="3" w:tplc="0809000F" w:tentative="1">
      <w:start w:val="1"/>
      <w:numFmt w:val="decimal"/>
      <w:lvlText w:val="%4."/>
      <w:lvlJc w:val="left"/>
      <w:pPr>
        <w:ind w:left="2673" w:hanging="360"/>
      </w:pPr>
    </w:lvl>
    <w:lvl w:ilvl="4" w:tplc="08090019" w:tentative="1">
      <w:start w:val="1"/>
      <w:numFmt w:val="lowerLetter"/>
      <w:lvlText w:val="%5."/>
      <w:lvlJc w:val="left"/>
      <w:pPr>
        <w:ind w:left="3393" w:hanging="360"/>
      </w:pPr>
    </w:lvl>
    <w:lvl w:ilvl="5" w:tplc="0809001B" w:tentative="1">
      <w:start w:val="1"/>
      <w:numFmt w:val="lowerRoman"/>
      <w:lvlText w:val="%6."/>
      <w:lvlJc w:val="right"/>
      <w:pPr>
        <w:ind w:left="4113" w:hanging="180"/>
      </w:pPr>
    </w:lvl>
    <w:lvl w:ilvl="6" w:tplc="0809000F" w:tentative="1">
      <w:start w:val="1"/>
      <w:numFmt w:val="decimal"/>
      <w:lvlText w:val="%7."/>
      <w:lvlJc w:val="left"/>
      <w:pPr>
        <w:ind w:left="4833" w:hanging="360"/>
      </w:pPr>
    </w:lvl>
    <w:lvl w:ilvl="7" w:tplc="08090019" w:tentative="1">
      <w:start w:val="1"/>
      <w:numFmt w:val="lowerLetter"/>
      <w:lvlText w:val="%8."/>
      <w:lvlJc w:val="left"/>
      <w:pPr>
        <w:ind w:left="5553" w:hanging="360"/>
      </w:pPr>
    </w:lvl>
    <w:lvl w:ilvl="8" w:tplc="0809001B" w:tentative="1">
      <w:start w:val="1"/>
      <w:numFmt w:val="lowerRoman"/>
      <w:lvlText w:val="%9."/>
      <w:lvlJc w:val="right"/>
      <w:pPr>
        <w:ind w:left="6273" w:hanging="180"/>
      </w:pPr>
    </w:lvl>
  </w:abstractNum>
  <w:abstractNum w:abstractNumId="4" w15:restartNumberingAfterBreak="0">
    <w:nsid w:val="372843BA"/>
    <w:multiLevelType w:val="hybridMultilevel"/>
    <w:tmpl w:val="5C942EF0"/>
    <w:lvl w:ilvl="0" w:tplc="4C20D30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C623306"/>
    <w:multiLevelType w:val="hybridMultilevel"/>
    <w:tmpl w:val="E078FF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2953D3"/>
    <w:multiLevelType w:val="hybridMultilevel"/>
    <w:tmpl w:val="00702FFC"/>
    <w:lvl w:ilvl="0" w:tplc="14B8590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8A404E"/>
    <w:multiLevelType w:val="hybridMultilevel"/>
    <w:tmpl w:val="FD703764"/>
    <w:lvl w:ilvl="0" w:tplc="5E764AC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8571D85"/>
    <w:multiLevelType w:val="hybridMultilevel"/>
    <w:tmpl w:val="579C5552"/>
    <w:lvl w:ilvl="0" w:tplc="84FC60D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BF0BCE"/>
    <w:multiLevelType w:val="hybridMultilevel"/>
    <w:tmpl w:val="AC744D8E"/>
    <w:lvl w:ilvl="0" w:tplc="C338BC56">
      <w:start w:val="1"/>
      <w:numFmt w:val="lowerRoman"/>
      <w:lvlText w:val="%1."/>
      <w:lvlJc w:val="left"/>
      <w:pPr>
        <w:ind w:left="0" w:firstLine="153"/>
      </w:pPr>
      <w:rPr>
        <w:rFonts w:hint="default"/>
      </w:rPr>
    </w:lvl>
    <w:lvl w:ilvl="1" w:tplc="08090019" w:tentative="1">
      <w:start w:val="1"/>
      <w:numFmt w:val="lowerLetter"/>
      <w:lvlText w:val="%2."/>
      <w:lvlJc w:val="left"/>
      <w:pPr>
        <w:ind w:left="1233" w:hanging="360"/>
      </w:pPr>
    </w:lvl>
    <w:lvl w:ilvl="2" w:tplc="0809001B" w:tentative="1">
      <w:start w:val="1"/>
      <w:numFmt w:val="lowerRoman"/>
      <w:lvlText w:val="%3."/>
      <w:lvlJc w:val="right"/>
      <w:pPr>
        <w:ind w:left="1953" w:hanging="180"/>
      </w:pPr>
    </w:lvl>
    <w:lvl w:ilvl="3" w:tplc="0809000F" w:tentative="1">
      <w:start w:val="1"/>
      <w:numFmt w:val="decimal"/>
      <w:lvlText w:val="%4."/>
      <w:lvlJc w:val="left"/>
      <w:pPr>
        <w:ind w:left="2673" w:hanging="360"/>
      </w:pPr>
    </w:lvl>
    <w:lvl w:ilvl="4" w:tplc="08090019" w:tentative="1">
      <w:start w:val="1"/>
      <w:numFmt w:val="lowerLetter"/>
      <w:lvlText w:val="%5."/>
      <w:lvlJc w:val="left"/>
      <w:pPr>
        <w:ind w:left="3393" w:hanging="360"/>
      </w:pPr>
    </w:lvl>
    <w:lvl w:ilvl="5" w:tplc="0809001B" w:tentative="1">
      <w:start w:val="1"/>
      <w:numFmt w:val="lowerRoman"/>
      <w:lvlText w:val="%6."/>
      <w:lvlJc w:val="right"/>
      <w:pPr>
        <w:ind w:left="4113" w:hanging="180"/>
      </w:pPr>
    </w:lvl>
    <w:lvl w:ilvl="6" w:tplc="0809000F" w:tentative="1">
      <w:start w:val="1"/>
      <w:numFmt w:val="decimal"/>
      <w:lvlText w:val="%7."/>
      <w:lvlJc w:val="left"/>
      <w:pPr>
        <w:ind w:left="4833" w:hanging="360"/>
      </w:pPr>
    </w:lvl>
    <w:lvl w:ilvl="7" w:tplc="08090019" w:tentative="1">
      <w:start w:val="1"/>
      <w:numFmt w:val="lowerLetter"/>
      <w:lvlText w:val="%8."/>
      <w:lvlJc w:val="left"/>
      <w:pPr>
        <w:ind w:left="5553" w:hanging="360"/>
      </w:pPr>
    </w:lvl>
    <w:lvl w:ilvl="8" w:tplc="0809001B" w:tentative="1">
      <w:start w:val="1"/>
      <w:numFmt w:val="lowerRoman"/>
      <w:lvlText w:val="%9."/>
      <w:lvlJc w:val="right"/>
      <w:pPr>
        <w:ind w:left="6273" w:hanging="180"/>
      </w:pPr>
    </w:lvl>
  </w:abstractNum>
  <w:num w:numId="1">
    <w:abstractNumId w:val="9"/>
  </w:num>
  <w:num w:numId="2">
    <w:abstractNumId w:val="3"/>
  </w:num>
  <w:num w:numId="3">
    <w:abstractNumId w:val="6"/>
  </w:num>
  <w:num w:numId="4">
    <w:abstractNumId w:val="1"/>
  </w:num>
  <w:num w:numId="5">
    <w:abstractNumId w:val="7"/>
  </w:num>
  <w:num w:numId="6">
    <w:abstractNumId w:val="8"/>
  </w:num>
  <w:num w:numId="7">
    <w:abstractNumId w:val="0"/>
  </w:num>
  <w:num w:numId="8">
    <w:abstractNumId w:val="5"/>
  </w:num>
  <w:num w:numId="9">
    <w:abstractNumId w:val="4"/>
  </w:num>
  <w:num w:numId="1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elisa Pak (1701689)">
    <w15:presenceInfo w15:providerId="AD" w15:userId="S::1701689@student.uwtsd.ac.uk::3e584991-fde1-4ee9-b8e0-899b5c9d6c85"/>
  </w15:person>
  <w15:person w15:author="Melisa">
    <w15:presenceInfo w15:providerId="None" w15:userId="Melisa"/>
  </w15:person>
  <w15:person w15:author="Melisa Pak">
    <w15:presenceInfo w15:providerId="Windows Live" w15:userId="51bcb5f8ae1311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SysDCzNDewMDczNrdQ0lEKTi0uzszPAykwtKwFAHAF3OQtAAAA"/>
  </w:docVars>
  <w:rsids>
    <w:rsidRoot w:val="00105905"/>
    <w:rsid w:val="00000098"/>
    <w:rsid w:val="00000FD7"/>
    <w:rsid w:val="00005E50"/>
    <w:rsid w:val="00011C95"/>
    <w:rsid w:val="000141EC"/>
    <w:rsid w:val="000144B4"/>
    <w:rsid w:val="00016014"/>
    <w:rsid w:val="0001730D"/>
    <w:rsid w:val="00021C8D"/>
    <w:rsid w:val="00025ABF"/>
    <w:rsid w:val="00032E2B"/>
    <w:rsid w:val="000426FC"/>
    <w:rsid w:val="00042A92"/>
    <w:rsid w:val="000435D6"/>
    <w:rsid w:val="00046E02"/>
    <w:rsid w:val="000514ED"/>
    <w:rsid w:val="00051656"/>
    <w:rsid w:val="00051672"/>
    <w:rsid w:val="000523D5"/>
    <w:rsid w:val="00061D9A"/>
    <w:rsid w:val="00063E1D"/>
    <w:rsid w:val="0006442B"/>
    <w:rsid w:val="00067D0D"/>
    <w:rsid w:val="0007296B"/>
    <w:rsid w:val="00077916"/>
    <w:rsid w:val="000827AA"/>
    <w:rsid w:val="00085816"/>
    <w:rsid w:val="0008589A"/>
    <w:rsid w:val="00086878"/>
    <w:rsid w:val="00087117"/>
    <w:rsid w:val="0009595C"/>
    <w:rsid w:val="00095B37"/>
    <w:rsid w:val="000A0216"/>
    <w:rsid w:val="000A0DC4"/>
    <w:rsid w:val="000A54E0"/>
    <w:rsid w:val="000A5A12"/>
    <w:rsid w:val="000A5AAA"/>
    <w:rsid w:val="000A7730"/>
    <w:rsid w:val="000A78DF"/>
    <w:rsid w:val="000B2984"/>
    <w:rsid w:val="000B4BA2"/>
    <w:rsid w:val="000C09E5"/>
    <w:rsid w:val="000C2BC6"/>
    <w:rsid w:val="000C3368"/>
    <w:rsid w:val="000C34AB"/>
    <w:rsid w:val="000D090D"/>
    <w:rsid w:val="000D6335"/>
    <w:rsid w:val="000E07ED"/>
    <w:rsid w:val="000E156E"/>
    <w:rsid w:val="000E2F1C"/>
    <w:rsid w:val="000E325B"/>
    <w:rsid w:val="000E5057"/>
    <w:rsid w:val="000E6455"/>
    <w:rsid w:val="000E79FF"/>
    <w:rsid w:val="00100408"/>
    <w:rsid w:val="0010041F"/>
    <w:rsid w:val="00103A92"/>
    <w:rsid w:val="00105636"/>
    <w:rsid w:val="00105905"/>
    <w:rsid w:val="0010643B"/>
    <w:rsid w:val="00110A5E"/>
    <w:rsid w:val="0011160E"/>
    <w:rsid w:val="001133D3"/>
    <w:rsid w:val="00115D3C"/>
    <w:rsid w:val="00116250"/>
    <w:rsid w:val="001241EB"/>
    <w:rsid w:val="00124A92"/>
    <w:rsid w:val="00125433"/>
    <w:rsid w:val="00125824"/>
    <w:rsid w:val="0014198F"/>
    <w:rsid w:val="001430D9"/>
    <w:rsid w:val="001453FF"/>
    <w:rsid w:val="00151958"/>
    <w:rsid w:val="00151C46"/>
    <w:rsid w:val="00153C47"/>
    <w:rsid w:val="00154199"/>
    <w:rsid w:val="0015498B"/>
    <w:rsid w:val="00154D7E"/>
    <w:rsid w:val="001552D8"/>
    <w:rsid w:val="00156C12"/>
    <w:rsid w:val="00160E87"/>
    <w:rsid w:val="00161212"/>
    <w:rsid w:val="001668C1"/>
    <w:rsid w:val="00171F5B"/>
    <w:rsid w:val="0017213F"/>
    <w:rsid w:val="00173560"/>
    <w:rsid w:val="0017373E"/>
    <w:rsid w:val="0017770B"/>
    <w:rsid w:val="001836D5"/>
    <w:rsid w:val="001943AF"/>
    <w:rsid w:val="001A0B3E"/>
    <w:rsid w:val="001B0338"/>
    <w:rsid w:val="001B1628"/>
    <w:rsid w:val="001B34E7"/>
    <w:rsid w:val="001B473A"/>
    <w:rsid w:val="001B67E0"/>
    <w:rsid w:val="001C0CA0"/>
    <w:rsid w:val="001C0F79"/>
    <w:rsid w:val="001C1949"/>
    <w:rsid w:val="001C3544"/>
    <w:rsid w:val="001D3B7E"/>
    <w:rsid w:val="001D42C0"/>
    <w:rsid w:val="001D449C"/>
    <w:rsid w:val="001D6987"/>
    <w:rsid w:val="001D7764"/>
    <w:rsid w:val="001E12B5"/>
    <w:rsid w:val="001E23AC"/>
    <w:rsid w:val="001F1E4C"/>
    <w:rsid w:val="001F2C28"/>
    <w:rsid w:val="001F4011"/>
    <w:rsid w:val="001F425E"/>
    <w:rsid w:val="001F674D"/>
    <w:rsid w:val="0020129B"/>
    <w:rsid w:val="00205295"/>
    <w:rsid w:val="0020758E"/>
    <w:rsid w:val="002117A2"/>
    <w:rsid w:val="00211F47"/>
    <w:rsid w:val="00220FBD"/>
    <w:rsid w:val="00221A0C"/>
    <w:rsid w:val="002226DC"/>
    <w:rsid w:val="00232146"/>
    <w:rsid w:val="00232E0E"/>
    <w:rsid w:val="0023336F"/>
    <w:rsid w:val="002338B3"/>
    <w:rsid w:val="00237210"/>
    <w:rsid w:val="00240FC2"/>
    <w:rsid w:val="0024251D"/>
    <w:rsid w:val="00243ABA"/>
    <w:rsid w:val="00246948"/>
    <w:rsid w:val="00250CFF"/>
    <w:rsid w:val="00253AEA"/>
    <w:rsid w:val="00257A17"/>
    <w:rsid w:val="002611DF"/>
    <w:rsid w:val="00264DE7"/>
    <w:rsid w:val="00267255"/>
    <w:rsid w:val="00282806"/>
    <w:rsid w:val="00282DA5"/>
    <w:rsid w:val="00285E20"/>
    <w:rsid w:val="002869BF"/>
    <w:rsid w:val="00287B75"/>
    <w:rsid w:val="002923FA"/>
    <w:rsid w:val="0029519E"/>
    <w:rsid w:val="00297F0C"/>
    <w:rsid w:val="002A1C6C"/>
    <w:rsid w:val="002A24A7"/>
    <w:rsid w:val="002A4DE5"/>
    <w:rsid w:val="002B6BFB"/>
    <w:rsid w:val="002B78A9"/>
    <w:rsid w:val="002C671A"/>
    <w:rsid w:val="002D0C2A"/>
    <w:rsid w:val="002D104D"/>
    <w:rsid w:val="002D1D46"/>
    <w:rsid w:val="002D381E"/>
    <w:rsid w:val="002D52E1"/>
    <w:rsid w:val="002D77BD"/>
    <w:rsid w:val="002E22FB"/>
    <w:rsid w:val="002E555E"/>
    <w:rsid w:val="002F2E96"/>
    <w:rsid w:val="002F3D4D"/>
    <w:rsid w:val="002F4B89"/>
    <w:rsid w:val="002F71C0"/>
    <w:rsid w:val="003039FA"/>
    <w:rsid w:val="00303AD2"/>
    <w:rsid w:val="00303BBD"/>
    <w:rsid w:val="00311AAD"/>
    <w:rsid w:val="0031701A"/>
    <w:rsid w:val="003238D4"/>
    <w:rsid w:val="0032521F"/>
    <w:rsid w:val="00327351"/>
    <w:rsid w:val="00330A92"/>
    <w:rsid w:val="00332AA9"/>
    <w:rsid w:val="003417BA"/>
    <w:rsid w:val="0034506B"/>
    <w:rsid w:val="00345640"/>
    <w:rsid w:val="00345B39"/>
    <w:rsid w:val="00347F6C"/>
    <w:rsid w:val="003528DA"/>
    <w:rsid w:val="00360CFC"/>
    <w:rsid w:val="0036515C"/>
    <w:rsid w:val="00367AA8"/>
    <w:rsid w:val="0037174F"/>
    <w:rsid w:val="003733E9"/>
    <w:rsid w:val="00382637"/>
    <w:rsid w:val="00384CB4"/>
    <w:rsid w:val="0038543C"/>
    <w:rsid w:val="00390325"/>
    <w:rsid w:val="003948A3"/>
    <w:rsid w:val="00394D09"/>
    <w:rsid w:val="003953BA"/>
    <w:rsid w:val="00397464"/>
    <w:rsid w:val="00397822"/>
    <w:rsid w:val="003B3E89"/>
    <w:rsid w:val="003C2A54"/>
    <w:rsid w:val="003C316A"/>
    <w:rsid w:val="003C50B3"/>
    <w:rsid w:val="003C6CE6"/>
    <w:rsid w:val="003C778C"/>
    <w:rsid w:val="003D3716"/>
    <w:rsid w:val="003E1D26"/>
    <w:rsid w:val="003E2602"/>
    <w:rsid w:val="003E34D5"/>
    <w:rsid w:val="003E4CB3"/>
    <w:rsid w:val="003E6AF2"/>
    <w:rsid w:val="003E7BC6"/>
    <w:rsid w:val="003F211A"/>
    <w:rsid w:val="003F2F1D"/>
    <w:rsid w:val="004003CF"/>
    <w:rsid w:val="004018A4"/>
    <w:rsid w:val="00401CD6"/>
    <w:rsid w:val="0040290B"/>
    <w:rsid w:val="004038B9"/>
    <w:rsid w:val="004038D3"/>
    <w:rsid w:val="00410E48"/>
    <w:rsid w:val="00413B9F"/>
    <w:rsid w:val="004156DB"/>
    <w:rsid w:val="00415A8C"/>
    <w:rsid w:val="004176E6"/>
    <w:rsid w:val="00421762"/>
    <w:rsid w:val="004217A5"/>
    <w:rsid w:val="0042482D"/>
    <w:rsid w:val="00425A93"/>
    <w:rsid w:val="004313BE"/>
    <w:rsid w:val="0043291F"/>
    <w:rsid w:val="004334E1"/>
    <w:rsid w:val="00435135"/>
    <w:rsid w:val="00435D37"/>
    <w:rsid w:val="00441FA5"/>
    <w:rsid w:val="00443F88"/>
    <w:rsid w:val="0044558E"/>
    <w:rsid w:val="00446627"/>
    <w:rsid w:val="00446B6F"/>
    <w:rsid w:val="00453B10"/>
    <w:rsid w:val="00460160"/>
    <w:rsid w:val="00461E92"/>
    <w:rsid w:val="00462FB9"/>
    <w:rsid w:val="0046692C"/>
    <w:rsid w:val="00471A01"/>
    <w:rsid w:val="00472CE1"/>
    <w:rsid w:val="004734D4"/>
    <w:rsid w:val="00483A5A"/>
    <w:rsid w:val="00485E2E"/>
    <w:rsid w:val="004863A4"/>
    <w:rsid w:val="004874F7"/>
    <w:rsid w:val="00487FE6"/>
    <w:rsid w:val="00490578"/>
    <w:rsid w:val="00492A90"/>
    <w:rsid w:val="00494B67"/>
    <w:rsid w:val="00495BC1"/>
    <w:rsid w:val="00496B92"/>
    <w:rsid w:val="004A00C1"/>
    <w:rsid w:val="004A05A8"/>
    <w:rsid w:val="004A0C10"/>
    <w:rsid w:val="004A0C92"/>
    <w:rsid w:val="004A17B6"/>
    <w:rsid w:val="004A729C"/>
    <w:rsid w:val="004C7F12"/>
    <w:rsid w:val="004D088E"/>
    <w:rsid w:val="004D17F8"/>
    <w:rsid w:val="004E14CF"/>
    <w:rsid w:val="004E7B79"/>
    <w:rsid w:val="004F2083"/>
    <w:rsid w:val="004F407F"/>
    <w:rsid w:val="004F472E"/>
    <w:rsid w:val="004F535F"/>
    <w:rsid w:val="004F53B9"/>
    <w:rsid w:val="00504B8E"/>
    <w:rsid w:val="00510F4B"/>
    <w:rsid w:val="00517B04"/>
    <w:rsid w:val="00522776"/>
    <w:rsid w:val="005257AF"/>
    <w:rsid w:val="00527747"/>
    <w:rsid w:val="005326E1"/>
    <w:rsid w:val="00533584"/>
    <w:rsid w:val="0053525B"/>
    <w:rsid w:val="00544B2E"/>
    <w:rsid w:val="005465DA"/>
    <w:rsid w:val="00560301"/>
    <w:rsid w:val="00561318"/>
    <w:rsid w:val="0056243E"/>
    <w:rsid w:val="00562A75"/>
    <w:rsid w:val="00563AE7"/>
    <w:rsid w:val="00571394"/>
    <w:rsid w:val="005736C8"/>
    <w:rsid w:val="00581A40"/>
    <w:rsid w:val="005859FA"/>
    <w:rsid w:val="00587277"/>
    <w:rsid w:val="00592433"/>
    <w:rsid w:val="005924BD"/>
    <w:rsid w:val="0059382F"/>
    <w:rsid w:val="005A02CE"/>
    <w:rsid w:val="005A050C"/>
    <w:rsid w:val="005A1568"/>
    <w:rsid w:val="005A1C9A"/>
    <w:rsid w:val="005B3342"/>
    <w:rsid w:val="005B3E80"/>
    <w:rsid w:val="005B4159"/>
    <w:rsid w:val="005B7A81"/>
    <w:rsid w:val="005C2C85"/>
    <w:rsid w:val="005C36DB"/>
    <w:rsid w:val="005C57BC"/>
    <w:rsid w:val="005C6654"/>
    <w:rsid w:val="005D0784"/>
    <w:rsid w:val="005D3611"/>
    <w:rsid w:val="005D4B8D"/>
    <w:rsid w:val="005D7421"/>
    <w:rsid w:val="005E0442"/>
    <w:rsid w:val="005E6B32"/>
    <w:rsid w:val="005E705A"/>
    <w:rsid w:val="005F0684"/>
    <w:rsid w:val="005F2E82"/>
    <w:rsid w:val="005F59BE"/>
    <w:rsid w:val="005F7041"/>
    <w:rsid w:val="00600BD7"/>
    <w:rsid w:val="00603105"/>
    <w:rsid w:val="006063DE"/>
    <w:rsid w:val="006120F4"/>
    <w:rsid w:val="00612FB8"/>
    <w:rsid w:val="00616ED4"/>
    <w:rsid w:val="00620FD2"/>
    <w:rsid w:val="0062184D"/>
    <w:rsid w:val="00627514"/>
    <w:rsid w:val="00630871"/>
    <w:rsid w:val="00630A0D"/>
    <w:rsid w:val="0063345F"/>
    <w:rsid w:val="00640CD0"/>
    <w:rsid w:val="006414CC"/>
    <w:rsid w:val="00642979"/>
    <w:rsid w:val="00645357"/>
    <w:rsid w:val="00650AA5"/>
    <w:rsid w:val="00652F52"/>
    <w:rsid w:val="00652FFF"/>
    <w:rsid w:val="0065344F"/>
    <w:rsid w:val="00654D13"/>
    <w:rsid w:val="00656DE4"/>
    <w:rsid w:val="00665407"/>
    <w:rsid w:val="00667F53"/>
    <w:rsid w:val="00672E59"/>
    <w:rsid w:val="00672F22"/>
    <w:rsid w:val="006804DB"/>
    <w:rsid w:val="00681026"/>
    <w:rsid w:val="00686065"/>
    <w:rsid w:val="0068696F"/>
    <w:rsid w:val="00687B1B"/>
    <w:rsid w:val="00693FBD"/>
    <w:rsid w:val="006947BD"/>
    <w:rsid w:val="00694946"/>
    <w:rsid w:val="00697A64"/>
    <w:rsid w:val="006A2935"/>
    <w:rsid w:val="006A33C8"/>
    <w:rsid w:val="006A74B6"/>
    <w:rsid w:val="006B16E7"/>
    <w:rsid w:val="006B5A17"/>
    <w:rsid w:val="006C20D2"/>
    <w:rsid w:val="006C5508"/>
    <w:rsid w:val="006C7D4C"/>
    <w:rsid w:val="006D33F2"/>
    <w:rsid w:val="006D4832"/>
    <w:rsid w:val="006D4AD3"/>
    <w:rsid w:val="006D7548"/>
    <w:rsid w:val="006E277F"/>
    <w:rsid w:val="006E4CD1"/>
    <w:rsid w:val="006E4F79"/>
    <w:rsid w:val="006E7C8C"/>
    <w:rsid w:val="006F0145"/>
    <w:rsid w:val="006F125A"/>
    <w:rsid w:val="006F444B"/>
    <w:rsid w:val="00701F7B"/>
    <w:rsid w:val="00705C5B"/>
    <w:rsid w:val="00706CE3"/>
    <w:rsid w:val="007115FA"/>
    <w:rsid w:val="00713AA2"/>
    <w:rsid w:val="00714792"/>
    <w:rsid w:val="00717F6A"/>
    <w:rsid w:val="007247C0"/>
    <w:rsid w:val="00730A23"/>
    <w:rsid w:val="00731AC9"/>
    <w:rsid w:val="007321D7"/>
    <w:rsid w:val="00733BAD"/>
    <w:rsid w:val="007420FE"/>
    <w:rsid w:val="007448D2"/>
    <w:rsid w:val="00750413"/>
    <w:rsid w:val="00751298"/>
    <w:rsid w:val="00751D24"/>
    <w:rsid w:val="00753651"/>
    <w:rsid w:val="00754533"/>
    <w:rsid w:val="00754C07"/>
    <w:rsid w:val="00755C68"/>
    <w:rsid w:val="007561A2"/>
    <w:rsid w:val="007617AB"/>
    <w:rsid w:val="0076380A"/>
    <w:rsid w:val="00763EF3"/>
    <w:rsid w:val="00770654"/>
    <w:rsid w:val="0077643D"/>
    <w:rsid w:val="00777045"/>
    <w:rsid w:val="00782D37"/>
    <w:rsid w:val="0078565E"/>
    <w:rsid w:val="007868AB"/>
    <w:rsid w:val="00787ECE"/>
    <w:rsid w:val="00790A8C"/>
    <w:rsid w:val="00793663"/>
    <w:rsid w:val="007A0E3D"/>
    <w:rsid w:val="007A1CEF"/>
    <w:rsid w:val="007A6A6F"/>
    <w:rsid w:val="007A6E24"/>
    <w:rsid w:val="007B09A9"/>
    <w:rsid w:val="007B13AA"/>
    <w:rsid w:val="007B780E"/>
    <w:rsid w:val="007C1A85"/>
    <w:rsid w:val="007C3A11"/>
    <w:rsid w:val="007C61E2"/>
    <w:rsid w:val="007D14CC"/>
    <w:rsid w:val="007D78FE"/>
    <w:rsid w:val="007E0356"/>
    <w:rsid w:val="007E213D"/>
    <w:rsid w:val="007E6394"/>
    <w:rsid w:val="007F04DF"/>
    <w:rsid w:val="00800FBC"/>
    <w:rsid w:val="00810CF0"/>
    <w:rsid w:val="0082196C"/>
    <w:rsid w:val="00821C91"/>
    <w:rsid w:val="008223F0"/>
    <w:rsid w:val="00822FFA"/>
    <w:rsid w:val="00823E11"/>
    <w:rsid w:val="00830C19"/>
    <w:rsid w:val="00833706"/>
    <w:rsid w:val="0083518E"/>
    <w:rsid w:val="0083709A"/>
    <w:rsid w:val="008468B4"/>
    <w:rsid w:val="00847E41"/>
    <w:rsid w:val="0085165F"/>
    <w:rsid w:val="00853E63"/>
    <w:rsid w:val="00854B59"/>
    <w:rsid w:val="00860494"/>
    <w:rsid w:val="008624B8"/>
    <w:rsid w:val="00864862"/>
    <w:rsid w:val="0086645C"/>
    <w:rsid w:val="008671E3"/>
    <w:rsid w:val="00877113"/>
    <w:rsid w:val="008818F4"/>
    <w:rsid w:val="00882F9D"/>
    <w:rsid w:val="00891970"/>
    <w:rsid w:val="0089212B"/>
    <w:rsid w:val="008A01BE"/>
    <w:rsid w:val="008A2FB3"/>
    <w:rsid w:val="008A3A06"/>
    <w:rsid w:val="008A5287"/>
    <w:rsid w:val="008A5DA4"/>
    <w:rsid w:val="008A7BAF"/>
    <w:rsid w:val="008B2AF5"/>
    <w:rsid w:val="008B3446"/>
    <w:rsid w:val="008B605F"/>
    <w:rsid w:val="008B61BF"/>
    <w:rsid w:val="008C1770"/>
    <w:rsid w:val="008C5339"/>
    <w:rsid w:val="008C7F66"/>
    <w:rsid w:val="008D110D"/>
    <w:rsid w:val="008D2CF7"/>
    <w:rsid w:val="008E09A2"/>
    <w:rsid w:val="008E0C64"/>
    <w:rsid w:val="008E0C6A"/>
    <w:rsid w:val="008E7A95"/>
    <w:rsid w:val="008E7F55"/>
    <w:rsid w:val="008F106B"/>
    <w:rsid w:val="008F4530"/>
    <w:rsid w:val="008F51E2"/>
    <w:rsid w:val="008F6D8E"/>
    <w:rsid w:val="009013AC"/>
    <w:rsid w:val="009018EB"/>
    <w:rsid w:val="00904711"/>
    <w:rsid w:val="00906150"/>
    <w:rsid w:val="009071D7"/>
    <w:rsid w:val="009076FA"/>
    <w:rsid w:val="00911DE9"/>
    <w:rsid w:val="00912EA0"/>
    <w:rsid w:val="00913BC2"/>
    <w:rsid w:val="00914BF9"/>
    <w:rsid w:val="00915C5D"/>
    <w:rsid w:val="00925A9D"/>
    <w:rsid w:val="00927643"/>
    <w:rsid w:val="00931DC2"/>
    <w:rsid w:val="0093234D"/>
    <w:rsid w:val="0093237B"/>
    <w:rsid w:val="009347F9"/>
    <w:rsid w:val="00934BEA"/>
    <w:rsid w:val="009401F9"/>
    <w:rsid w:val="0094185B"/>
    <w:rsid w:val="00944070"/>
    <w:rsid w:val="00950084"/>
    <w:rsid w:val="00951000"/>
    <w:rsid w:val="0095501A"/>
    <w:rsid w:val="00956072"/>
    <w:rsid w:val="0095780D"/>
    <w:rsid w:val="00960807"/>
    <w:rsid w:val="00965194"/>
    <w:rsid w:val="00965D84"/>
    <w:rsid w:val="00967636"/>
    <w:rsid w:val="00970408"/>
    <w:rsid w:val="00971ED2"/>
    <w:rsid w:val="0097685D"/>
    <w:rsid w:val="0097760A"/>
    <w:rsid w:val="00982034"/>
    <w:rsid w:val="009842AC"/>
    <w:rsid w:val="00987ECD"/>
    <w:rsid w:val="00991538"/>
    <w:rsid w:val="009943DF"/>
    <w:rsid w:val="009945CB"/>
    <w:rsid w:val="00996432"/>
    <w:rsid w:val="009964B5"/>
    <w:rsid w:val="009C07DA"/>
    <w:rsid w:val="009C1E5B"/>
    <w:rsid w:val="009C4656"/>
    <w:rsid w:val="009C61B7"/>
    <w:rsid w:val="009C7763"/>
    <w:rsid w:val="009D0155"/>
    <w:rsid w:val="009D2E03"/>
    <w:rsid w:val="009D4821"/>
    <w:rsid w:val="009D7A1B"/>
    <w:rsid w:val="009E1F21"/>
    <w:rsid w:val="009E20B0"/>
    <w:rsid w:val="009E5917"/>
    <w:rsid w:val="009E6F71"/>
    <w:rsid w:val="009F2B73"/>
    <w:rsid w:val="009F39E6"/>
    <w:rsid w:val="009F4498"/>
    <w:rsid w:val="00A03D2D"/>
    <w:rsid w:val="00A04972"/>
    <w:rsid w:val="00A05224"/>
    <w:rsid w:val="00A1263C"/>
    <w:rsid w:val="00A15F0B"/>
    <w:rsid w:val="00A210EB"/>
    <w:rsid w:val="00A245AE"/>
    <w:rsid w:val="00A251CC"/>
    <w:rsid w:val="00A2549D"/>
    <w:rsid w:val="00A2672E"/>
    <w:rsid w:val="00A26FB4"/>
    <w:rsid w:val="00A271BC"/>
    <w:rsid w:val="00A31F09"/>
    <w:rsid w:val="00A40582"/>
    <w:rsid w:val="00A41CD9"/>
    <w:rsid w:val="00A435FE"/>
    <w:rsid w:val="00A47A52"/>
    <w:rsid w:val="00A50357"/>
    <w:rsid w:val="00A533FD"/>
    <w:rsid w:val="00A55473"/>
    <w:rsid w:val="00A57787"/>
    <w:rsid w:val="00A65C72"/>
    <w:rsid w:val="00A66B5F"/>
    <w:rsid w:val="00A701BE"/>
    <w:rsid w:val="00A725F4"/>
    <w:rsid w:val="00A74B23"/>
    <w:rsid w:val="00A75166"/>
    <w:rsid w:val="00A75266"/>
    <w:rsid w:val="00A7665D"/>
    <w:rsid w:val="00A768B1"/>
    <w:rsid w:val="00A772EC"/>
    <w:rsid w:val="00A857F6"/>
    <w:rsid w:val="00A861D8"/>
    <w:rsid w:val="00A86C36"/>
    <w:rsid w:val="00A87175"/>
    <w:rsid w:val="00A87EF5"/>
    <w:rsid w:val="00A9121A"/>
    <w:rsid w:val="00AA320D"/>
    <w:rsid w:val="00AA3A60"/>
    <w:rsid w:val="00AA73AA"/>
    <w:rsid w:val="00AB2FAA"/>
    <w:rsid w:val="00AB32BC"/>
    <w:rsid w:val="00AB37CA"/>
    <w:rsid w:val="00AB5644"/>
    <w:rsid w:val="00AB7897"/>
    <w:rsid w:val="00AC4305"/>
    <w:rsid w:val="00AC50D2"/>
    <w:rsid w:val="00AC63C1"/>
    <w:rsid w:val="00AD1BC3"/>
    <w:rsid w:val="00AD5AA8"/>
    <w:rsid w:val="00AD765E"/>
    <w:rsid w:val="00AE3EA9"/>
    <w:rsid w:val="00AE3FEE"/>
    <w:rsid w:val="00AE6527"/>
    <w:rsid w:val="00AF5598"/>
    <w:rsid w:val="00B12754"/>
    <w:rsid w:val="00B13AFD"/>
    <w:rsid w:val="00B1520D"/>
    <w:rsid w:val="00B17054"/>
    <w:rsid w:val="00B1720C"/>
    <w:rsid w:val="00B20F97"/>
    <w:rsid w:val="00B23AF6"/>
    <w:rsid w:val="00B248EE"/>
    <w:rsid w:val="00B27975"/>
    <w:rsid w:val="00B41090"/>
    <w:rsid w:val="00B4296D"/>
    <w:rsid w:val="00B43452"/>
    <w:rsid w:val="00B43B93"/>
    <w:rsid w:val="00B43C64"/>
    <w:rsid w:val="00B43FD2"/>
    <w:rsid w:val="00B4453A"/>
    <w:rsid w:val="00B446EC"/>
    <w:rsid w:val="00B45DEC"/>
    <w:rsid w:val="00B51027"/>
    <w:rsid w:val="00B51576"/>
    <w:rsid w:val="00B52BC3"/>
    <w:rsid w:val="00B53544"/>
    <w:rsid w:val="00B5760C"/>
    <w:rsid w:val="00B6302D"/>
    <w:rsid w:val="00B64FAB"/>
    <w:rsid w:val="00B65842"/>
    <w:rsid w:val="00B65A9E"/>
    <w:rsid w:val="00B667F0"/>
    <w:rsid w:val="00B66828"/>
    <w:rsid w:val="00B66EDB"/>
    <w:rsid w:val="00B71A38"/>
    <w:rsid w:val="00B73298"/>
    <w:rsid w:val="00B73FD0"/>
    <w:rsid w:val="00B75ECD"/>
    <w:rsid w:val="00B816E7"/>
    <w:rsid w:val="00B85143"/>
    <w:rsid w:val="00B90921"/>
    <w:rsid w:val="00B90E45"/>
    <w:rsid w:val="00B94504"/>
    <w:rsid w:val="00BA67BC"/>
    <w:rsid w:val="00BB03FB"/>
    <w:rsid w:val="00BB0B65"/>
    <w:rsid w:val="00BB1B5A"/>
    <w:rsid w:val="00BB5D56"/>
    <w:rsid w:val="00BB60F5"/>
    <w:rsid w:val="00BC05C0"/>
    <w:rsid w:val="00BC0AFC"/>
    <w:rsid w:val="00BC2659"/>
    <w:rsid w:val="00BC3CD0"/>
    <w:rsid w:val="00BC7370"/>
    <w:rsid w:val="00BC7735"/>
    <w:rsid w:val="00BD0FC7"/>
    <w:rsid w:val="00BD75EA"/>
    <w:rsid w:val="00BE3329"/>
    <w:rsid w:val="00BE37C7"/>
    <w:rsid w:val="00BE70E3"/>
    <w:rsid w:val="00BE70E6"/>
    <w:rsid w:val="00BF1DA9"/>
    <w:rsid w:val="00BF4576"/>
    <w:rsid w:val="00BF5A9A"/>
    <w:rsid w:val="00BF7818"/>
    <w:rsid w:val="00BF785F"/>
    <w:rsid w:val="00BF7CA1"/>
    <w:rsid w:val="00C03425"/>
    <w:rsid w:val="00C03C05"/>
    <w:rsid w:val="00C1144C"/>
    <w:rsid w:val="00C1234F"/>
    <w:rsid w:val="00C156D5"/>
    <w:rsid w:val="00C169A6"/>
    <w:rsid w:val="00C17F5C"/>
    <w:rsid w:val="00C213DD"/>
    <w:rsid w:val="00C24C0D"/>
    <w:rsid w:val="00C272CC"/>
    <w:rsid w:val="00C27BD5"/>
    <w:rsid w:val="00C302B9"/>
    <w:rsid w:val="00C30B43"/>
    <w:rsid w:val="00C32509"/>
    <w:rsid w:val="00C4227F"/>
    <w:rsid w:val="00C42821"/>
    <w:rsid w:val="00C477A8"/>
    <w:rsid w:val="00C51431"/>
    <w:rsid w:val="00C52218"/>
    <w:rsid w:val="00C549EF"/>
    <w:rsid w:val="00C61298"/>
    <w:rsid w:val="00C63FB7"/>
    <w:rsid w:val="00C66E6B"/>
    <w:rsid w:val="00C72D63"/>
    <w:rsid w:val="00C80178"/>
    <w:rsid w:val="00C83C80"/>
    <w:rsid w:val="00C93BF5"/>
    <w:rsid w:val="00CA0C32"/>
    <w:rsid w:val="00CA2216"/>
    <w:rsid w:val="00CB1886"/>
    <w:rsid w:val="00CB2821"/>
    <w:rsid w:val="00CB64A0"/>
    <w:rsid w:val="00CC0EF4"/>
    <w:rsid w:val="00CC1522"/>
    <w:rsid w:val="00CC2729"/>
    <w:rsid w:val="00CC71E0"/>
    <w:rsid w:val="00CC7699"/>
    <w:rsid w:val="00CD2A95"/>
    <w:rsid w:val="00CD3AE5"/>
    <w:rsid w:val="00CD4481"/>
    <w:rsid w:val="00CD70C7"/>
    <w:rsid w:val="00CE12B5"/>
    <w:rsid w:val="00CE42BB"/>
    <w:rsid w:val="00CE505F"/>
    <w:rsid w:val="00CE6797"/>
    <w:rsid w:val="00CF20DB"/>
    <w:rsid w:val="00CF294C"/>
    <w:rsid w:val="00CF3F3B"/>
    <w:rsid w:val="00CF5AB7"/>
    <w:rsid w:val="00CF5B1C"/>
    <w:rsid w:val="00D04D46"/>
    <w:rsid w:val="00D05D88"/>
    <w:rsid w:val="00D07508"/>
    <w:rsid w:val="00D10B95"/>
    <w:rsid w:val="00D10EC1"/>
    <w:rsid w:val="00D1242C"/>
    <w:rsid w:val="00D1653E"/>
    <w:rsid w:val="00D20AA0"/>
    <w:rsid w:val="00D221C9"/>
    <w:rsid w:val="00D22636"/>
    <w:rsid w:val="00D24016"/>
    <w:rsid w:val="00D253E9"/>
    <w:rsid w:val="00D254E9"/>
    <w:rsid w:val="00D302CB"/>
    <w:rsid w:val="00D32D89"/>
    <w:rsid w:val="00D35B8D"/>
    <w:rsid w:val="00D523B1"/>
    <w:rsid w:val="00D5413E"/>
    <w:rsid w:val="00D5693D"/>
    <w:rsid w:val="00D6357E"/>
    <w:rsid w:val="00D6386F"/>
    <w:rsid w:val="00D64CCE"/>
    <w:rsid w:val="00D70916"/>
    <w:rsid w:val="00D800AF"/>
    <w:rsid w:val="00D80930"/>
    <w:rsid w:val="00D814DF"/>
    <w:rsid w:val="00D8336E"/>
    <w:rsid w:val="00D940F1"/>
    <w:rsid w:val="00DC1AA8"/>
    <w:rsid w:val="00DC1D9A"/>
    <w:rsid w:val="00DC59B9"/>
    <w:rsid w:val="00DD0792"/>
    <w:rsid w:val="00DD3520"/>
    <w:rsid w:val="00DE016D"/>
    <w:rsid w:val="00DE4DDF"/>
    <w:rsid w:val="00DF6C12"/>
    <w:rsid w:val="00E03B6A"/>
    <w:rsid w:val="00E077FD"/>
    <w:rsid w:val="00E10FE7"/>
    <w:rsid w:val="00E11014"/>
    <w:rsid w:val="00E30954"/>
    <w:rsid w:val="00E3181E"/>
    <w:rsid w:val="00E33EDC"/>
    <w:rsid w:val="00E34393"/>
    <w:rsid w:val="00E351E2"/>
    <w:rsid w:val="00E411C3"/>
    <w:rsid w:val="00E45334"/>
    <w:rsid w:val="00E459FB"/>
    <w:rsid w:val="00E46CFB"/>
    <w:rsid w:val="00E60754"/>
    <w:rsid w:val="00E612D5"/>
    <w:rsid w:val="00E62C14"/>
    <w:rsid w:val="00E62D25"/>
    <w:rsid w:val="00E645FD"/>
    <w:rsid w:val="00E662CD"/>
    <w:rsid w:val="00E66E57"/>
    <w:rsid w:val="00E714AD"/>
    <w:rsid w:val="00E7669F"/>
    <w:rsid w:val="00E76C6E"/>
    <w:rsid w:val="00E8369A"/>
    <w:rsid w:val="00E84FF8"/>
    <w:rsid w:val="00E9323D"/>
    <w:rsid w:val="00E97E5F"/>
    <w:rsid w:val="00EA4D4D"/>
    <w:rsid w:val="00EB10FE"/>
    <w:rsid w:val="00EB6681"/>
    <w:rsid w:val="00EC0D68"/>
    <w:rsid w:val="00EC3313"/>
    <w:rsid w:val="00ED0F8F"/>
    <w:rsid w:val="00ED2EC3"/>
    <w:rsid w:val="00ED71BE"/>
    <w:rsid w:val="00EE1B24"/>
    <w:rsid w:val="00EE1B7A"/>
    <w:rsid w:val="00EE7D82"/>
    <w:rsid w:val="00EF04AB"/>
    <w:rsid w:val="00EF3E82"/>
    <w:rsid w:val="00EF5BB9"/>
    <w:rsid w:val="00F055A9"/>
    <w:rsid w:val="00F06BC5"/>
    <w:rsid w:val="00F114B1"/>
    <w:rsid w:val="00F11AA1"/>
    <w:rsid w:val="00F161D4"/>
    <w:rsid w:val="00F16AEB"/>
    <w:rsid w:val="00F208BC"/>
    <w:rsid w:val="00F21751"/>
    <w:rsid w:val="00F24B84"/>
    <w:rsid w:val="00F30AEE"/>
    <w:rsid w:val="00F3273C"/>
    <w:rsid w:val="00F337B7"/>
    <w:rsid w:val="00F44378"/>
    <w:rsid w:val="00F46076"/>
    <w:rsid w:val="00F47066"/>
    <w:rsid w:val="00F5093F"/>
    <w:rsid w:val="00F5102F"/>
    <w:rsid w:val="00F54077"/>
    <w:rsid w:val="00F55E3B"/>
    <w:rsid w:val="00F56B5E"/>
    <w:rsid w:val="00F56CB6"/>
    <w:rsid w:val="00F57DCF"/>
    <w:rsid w:val="00F6125B"/>
    <w:rsid w:val="00F641B0"/>
    <w:rsid w:val="00F673DE"/>
    <w:rsid w:val="00F75521"/>
    <w:rsid w:val="00F77752"/>
    <w:rsid w:val="00F918D0"/>
    <w:rsid w:val="00F95A62"/>
    <w:rsid w:val="00FA0BAE"/>
    <w:rsid w:val="00FA128E"/>
    <w:rsid w:val="00FA2139"/>
    <w:rsid w:val="00FA4985"/>
    <w:rsid w:val="00FB293B"/>
    <w:rsid w:val="00FC305F"/>
    <w:rsid w:val="00FC4E65"/>
    <w:rsid w:val="00FC5306"/>
    <w:rsid w:val="00FC661A"/>
    <w:rsid w:val="00FC6DCE"/>
    <w:rsid w:val="00FD1A0A"/>
    <w:rsid w:val="00FD40E6"/>
    <w:rsid w:val="00FE1B17"/>
    <w:rsid w:val="00FF29E3"/>
    <w:rsid w:val="00FF2BDA"/>
    <w:rsid w:val="00FF366F"/>
    <w:rsid w:val="00FF517A"/>
    <w:rsid w:val="00FF529B"/>
    <w:rsid w:val="00FF6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38FAB7"/>
  <w15:chartTrackingRefBased/>
  <w15:docId w15:val="{CC084006-5ECE-472E-8509-742553F69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9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5905"/>
    <w:rPr>
      <w:rFonts w:ascii="Segoe UI" w:hAnsi="Segoe UI" w:cs="Segoe UI"/>
      <w:sz w:val="18"/>
      <w:szCs w:val="18"/>
    </w:rPr>
  </w:style>
  <w:style w:type="paragraph" w:styleId="FootnoteText">
    <w:name w:val="footnote text"/>
    <w:basedOn w:val="Normal"/>
    <w:link w:val="FootnoteTextChar"/>
    <w:uiPriority w:val="99"/>
    <w:semiHidden/>
    <w:unhideWhenUsed/>
    <w:rsid w:val="001059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5905"/>
    <w:rPr>
      <w:sz w:val="20"/>
      <w:szCs w:val="20"/>
    </w:rPr>
  </w:style>
  <w:style w:type="character" w:styleId="FootnoteReference">
    <w:name w:val="footnote reference"/>
    <w:basedOn w:val="DefaultParagraphFont"/>
    <w:uiPriority w:val="99"/>
    <w:semiHidden/>
    <w:unhideWhenUsed/>
    <w:rsid w:val="00105905"/>
    <w:rPr>
      <w:vertAlign w:val="superscript"/>
    </w:rPr>
  </w:style>
  <w:style w:type="character" w:styleId="CommentReference">
    <w:name w:val="annotation reference"/>
    <w:basedOn w:val="DefaultParagraphFont"/>
    <w:uiPriority w:val="99"/>
    <w:semiHidden/>
    <w:unhideWhenUsed/>
    <w:rsid w:val="00105905"/>
    <w:rPr>
      <w:sz w:val="16"/>
      <w:szCs w:val="16"/>
    </w:rPr>
  </w:style>
  <w:style w:type="paragraph" w:styleId="NoSpacing">
    <w:name w:val="No Spacing"/>
    <w:link w:val="NoSpacingChar"/>
    <w:uiPriority w:val="1"/>
    <w:qFormat/>
    <w:rsid w:val="00105905"/>
    <w:pPr>
      <w:spacing w:after="0" w:line="240" w:lineRule="auto"/>
    </w:pPr>
  </w:style>
  <w:style w:type="paragraph" w:styleId="CommentText">
    <w:name w:val="annotation text"/>
    <w:basedOn w:val="Normal"/>
    <w:link w:val="CommentTextChar"/>
    <w:uiPriority w:val="99"/>
    <w:semiHidden/>
    <w:unhideWhenUsed/>
    <w:rsid w:val="00105905"/>
    <w:pPr>
      <w:spacing w:line="240" w:lineRule="auto"/>
    </w:pPr>
    <w:rPr>
      <w:sz w:val="20"/>
      <w:szCs w:val="20"/>
    </w:rPr>
  </w:style>
  <w:style w:type="character" w:customStyle="1" w:styleId="CommentTextChar">
    <w:name w:val="Comment Text Char"/>
    <w:basedOn w:val="DefaultParagraphFont"/>
    <w:link w:val="CommentText"/>
    <w:uiPriority w:val="99"/>
    <w:semiHidden/>
    <w:rsid w:val="00105905"/>
    <w:rPr>
      <w:sz w:val="20"/>
      <w:szCs w:val="20"/>
    </w:rPr>
  </w:style>
  <w:style w:type="character" w:styleId="Hyperlink">
    <w:name w:val="Hyperlink"/>
    <w:basedOn w:val="DefaultParagraphFont"/>
    <w:uiPriority w:val="99"/>
    <w:unhideWhenUsed/>
    <w:rsid w:val="00105905"/>
    <w:rPr>
      <w:color w:val="0563C1" w:themeColor="hyperlink"/>
      <w:u w:val="single"/>
    </w:rPr>
  </w:style>
  <w:style w:type="paragraph" w:styleId="ListParagraph">
    <w:name w:val="List Paragraph"/>
    <w:basedOn w:val="Normal"/>
    <w:uiPriority w:val="34"/>
    <w:qFormat/>
    <w:rsid w:val="00105905"/>
    <w:pPr>
      <w:ind w:left="720"/>
      <w:contextualSpacing/>
    </w:pPr>
  </w:style>
  <w:style w:type="character" w:customStyle="1" w:styleId="NoSpacingChar">
    <w:name w:val="No Spacing Char"/>
    <w:basedOn w:val="DefaultParagraphFont"/>
    <w:link w:val="NoSpacing"/>
    <w:uiPriority w:val="1"/>
    <w:rsid w:val="00B65A9E"/>
  </w:style>
  <w:style w:type="paragraph" w:styleId="Header">
    <w:name w:val="header"/>
    <w:basedOn w:val="Normal"/>
    <w:link w:val="HeaderChar"/>
    <w:uiPriority w:val="99"/>
    <w:unhideWhenUsed/>
    <w:rsid w:val="000E50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057"/>
  </w:style>
  <w:style w:type="paragraph" w:styleId="Footer">
    <w:name w:val="footer"/>
    <w:basedOn w:val="Normal"/>
    <w:link w:val="FooterChar"/>
    <w:uiPriority w:val="99"/>
    <w:unhideWhenUsed/>
    <w:rsid w:val="000E50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057"/>
  </w:style>
  <w:style w:type="table" w:styleId="TableGrid">
    <w:name w:val="Table Grid"/>
    <w:basedOn w:val="TableNormal"/>
    <w:uiPriority w:val="39"/>
    <w:rsid w:val="00A53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B3342"/>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7115FA"/>
    <w:rPr>
      <w:b/>
      <w:bCs/>
    </w:rPr>
  </w:style>
  <w:style w:type="character" w:customStyle="1" w:styleId="CommentSubjectChar">
    <w:name w:val="Comment Subject Char"/>
    <w:basedOn w:val="CommentTextChar"/>
    <w:link w:val="CommentSubject"/>
    <w:uiPriority w:val="99"/>
    <w:semiHidden/>
    <w:rsid w:val="007115FA"/>
    <w:rPr>
      <w:b/>
      <w:bCs/>
      <w:sz w:val="20"/>
      <w:szCs w:val="20"/>
    </w:rPr>
  </w:style>
  <w:style w:type="character" w:styleId="PlaceholderText">
    <w:name w:val="Placeholder Text"/>
    <w:basedOn w:val="DefaultParagraphFont"/>
    <w:uiPriority w:val="99"/>
    <w:semiHidden/>
    <w:rsid w:val="002338B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16/09/relationships/commentsIds" Target="commentsIds.xm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ettings" Target="settings.xml"/><Relationship Id="rId12" Type="http://schemas.openxmlformats.org/officeDocument/2006/relationships/footer" Target="footer2.xml"/><Relationship Id="rId17" Type="http://schemas.microsoft.com/office/2011/relationships/commentsExtended" Target="commentsExtended.xml"/><Relationship Id="rId25"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image" Target="media/image3.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7.jpg"/><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6.jpeg"/><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5.jpeg"/><Relationship Id="rId27" Type="http://schemas.openxmlformats.org/officeDocument/2006/relationships/fontTable" Target="fontTable.xm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294536BD7F94E649C50F3258B994703"/>
        <w:category>
          <w:name w:val="General"/>
          <w:gallery w:val="placeholder"/>
        </w:category>
        <w:types>
          <w:type w:val="bbPlcHdr"/>
        </w:types>
        <w:behaviors>
          <w:behavior w:val="content"/>
        </w:behaviors>
        <w:guid w:val="{9598D81D-ED06-48C0-BF11-26EEF230EB18}"/>
      </w:docPartPr>
      <w:docPartBody>
        <w:p w:rsidR="002848E3" w:rsidRDefault="00243889" w:rsidP="00243889">
          <w:pPr>
            <w:pStyle w:val="9294536BD7F94E649C50F3258B994703"/>
          </w:pPr>
          <w:r>
            <w:rPr>
              <w:rFonts w:asciiTheme="majorHAnsi" w:eastAsiaTheme="majorEastAsia" w:hAnsiTheme="majorHAnsi" w:cstheme="majorBidi"/>
              <w:color w:val="4472C4" w:themeColor="accent1"/>
              <w:sz w:val="88"/>
              <w:szCs w:val="88"/>
            </w:rPr>
            <w:t>[Document title]</w:t>
          </w:r>
        </w:p>
      </w:docPartBody>
    </w:docPart>
    <w:docPart>
      <w:docPartPr>
        <w:name w:val="F771076C7CA348D98032C7D8886B42EE"/>
        <w:category>
          <w:name w:val="General"/>
          <w:gallery w:val="placeholder"/>
        </w:category>
        <w:types>
          <w:type w:val="bbPlcHdr"/>
        </w:types>
        <w:behaviors>
          <w:behavior w:val="content"/>
        </w:behaviors>
        <w:guid w:val="{B7067EAD-C668-4B14-872D-8556BA94A35C}"/>
      </w:docPartPr>
      <w:docPartBody>
        <w:p w:rsidR="002848E3" w:rsidRDefault="00243889" w:rsidP="00243889">
          <w:pPr>
            <w:pStyle w:val="F771076C7CA348D98032C7D8886B42EE"/>
          </w:pPr>
          <w:r>
            <w:rPr>
              <w:color w:val="4472C4" w:themeColor="accent1"/>
              <w:sz w:val="28"/>
              <w:szCs w:val="28"/>
            </w:rPr>
            <w:t>[Author name]</w:t>
          </w:r>
        </w:p>
      </w:docPartBody>
    </w:docPart>
    <w:docPart>
      <w:docPartPr>
        <w:name w:val="5D0BDB1605864FD397C86ECC2C09BF22"/>
        <w:category>
          <w:name w:val="General"/>
          <w:gallery w:val="placeholder"/>
        </w:category>
        <w:types>
          <w:type w:val="bbPlcHdr"/>
        </w:types>
        <w:behaviors>
          <w:behavior w:val="content"/>
        </w:behaviors>
        <w:guid w:val="{72737446-23BA-4626-AAE7-BA6CEB315341}"/>
      </w:docPartPr>
      <w:docPartBody>
        <w:p w:rsidR="002848E3" w:rsidRDefault="00243889" w:rsidP="00243889">
          <w:pPr>
            <w:pStyle w:val="5D0BDB1605864FD397C86ECC2C09BF22"/>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Pro-Regular">
    <w:altName w:val="Cambria"/>
    <w:panose1 w:val="00000000000000000000"/>
    <w:charset w:val="A1"/>
    <w:family w:val="roman"/>
    <w:notTrueType/>
    <w:pitch w:val="default"/>
    <w:sig w:usb0="00000081" w:usb1="00000000" w:usb2="00000000" w:usb3="00000000" w:csb0="00000008"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889"/>
    <w:rsid w:val="00243889"/>
    <w:rsid w:val="00277C05"/>
    <w:rsid w:val="002848E3"/>
    <w:rsid w:val="00292FD8"/>
    <w:rsid w:val="004F47D1"/>
    <w:rsid w:val="005067F2"/>
    <w:rsid w:val="00541F57"/>
    <w:rsid w:val="005D3765"/>
    <w:rsid w:val="00746837"/>
    <w:rsid w:val="00755A84"/>
    <w:rsid w:val="00782607"/>
    <w:rsid w:val="00974EF4"/>
    <w:rsid w:val="00B13D1C"/>
    <w:rsid w:val="00B416C8"/>
    <w:rsid w:val="00BF612E"/>
    <w:rsid w:val="00F1728F"/>
    <w:rsid w:val="00F65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02F1959AA843479EFFA8934748595D">
    <w:name w:val="2302F1959AA843479EFFA8934748595D"/>
    <w:rsid w:val="00243889"/>
  </w:style>
  <w:style w:type="paragraph" w:customStyle="1" w:styleId="9294536BD7F94E649C50F3258B994703">
    <w:name w:val="9294536BD7F94E649C50F3258B994703"/>
    <w:rsid w:val="00243889"/>
  </w:style>
  <w:style w:type="paragraph" w:customStyle="1" w:styleId="622A9DD47F9E422E9F5729B12E1E09DE">
    <w:name w:val="622A9DD47F9E422E9F5729B12E1E09DE"/>
    <w:rsid w:val="00243889"/>
  </w:style>
  <w:style w:type="paragraph" w:customStyle="1" w:styleId="F771076C7CA348D98032C7D8886B42EE">
    <w:name w:val="F771076C7CA348D98032C7D8886B42EE"/>
    <w:rsid w:val="00243889"/>
  </w:style>
  <w:style w:type="paragraph" w:customStyle="1" w:styleId="5D0BDB1605864FD397C86ECC2C09BF22">
    <w:name w:val="5D0BDB1605864FD397C86ECC2C09BF22"/>
    <w:rsid w:val="00243889"/>
  </w:style>
  <w:style w:type="character" w:styleId="PlaceholderText">
    <w:name w:val="Placeholder Text"/>
    <w:basedOn w:val="DefaultParagraphFont"/>
    <w:uiPriority w:val="99"/>
    <w:semiHidden/>
    <w:rsid w:val="0078260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4" ma:contentTypeDescription="Create a new document." ma:contentTypeScope="" ma:versionID="72b50bad626819d9bc115971fdf00f84">
  <xsd:schema xmlns:xsd="http://www.w3.org/2001/XMLSchema" xmlns:xs="http://www.w3.org/2001/XMLSchema" xmlns:p="http://schemas.microsoft.com/office/2006/metadata/properties" xmlns:ns3="aadfcd52-e379-49eb-a412-e28a16640aff" targetNamespace="http://schemas.microsoft.com/office/2006/metadata/properties" ma:root="true" ma:fieldsID="b723171da5fb3ba62041da52327c875a" ns3:_="">
    <xsd:import namespace="aadfcd52-e379-49eb-a412-e28a16640af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61F7F-C49E-473A-9CE1-47FADAAE81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72713B2-8B64-4787-8660-7ADEDCEA5F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EDB6F6-D29C-42DF-95AC-04E6940D83A0}">
  <ds:schemaRefs>
    <ds:schemaRef ds:uri="http://schemas.microsoft.com/sharepoint/v3/contenttype/forms"/>
  </ds:schemaRefs>
</ds:datastoreItem>
</file>

<file path=customXml/itemProps4.xml><?xml version="1.0" encoding="utf-8"?>
<ds:datastoreItem xmlns:ds="http://schemas.openxmlformats.org/officeDocument/2006/customXml" ds:itemID="{79B30F6C-B42A-4143-84ED-C8521CE5B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52</Pages>
  <Words>13217</Words>
  <Characters>75338</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The Exploitation of Tutankhamun</vt:lpstr>
    </vt:vector>
  </TitlesOfParts>
  <Company/>
  <LinksUpToDate>false</LinksUpToDate>
  <CharactersWithSpaces>88379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Exploitation of Tutankhamun</dc:title>
  <dc:subject/>
  <dc:creator>Melisa Pak (1701689)</dc:creator>
  <cp:keywords/>
  <dc:description/>
  <cp:lastModifiedBy>Melisa Pak (1701689)</cp:lastModifiedBy>
  <cp:revision>11</cp:revision>
  <dcterms:created xsi:type="dcterms:W3CDTF">2020-05-01T09:37:00Z</dcterms:created>
  <dcterms:modified xsi:type="dcterms:W3CDTF">2020-05-01T13:22:00Z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