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4B24B" w14:textId="77777777" w:rsidR="00AF7D4A" w:rsidRDefault="00AF7D4A" w:rsidP="00AF7D4A">
      <w:pPr>
        <w:jc w:val="center"/>
        <w:rPr>
          <w:rFonts w:ascii="Arial" w:hAnsi="Arial" w:cs="Arial"/>
          <w:b/>
          <w:sz w:val="36"/>
          <w:u w:val="single"/>
        </w:rPr>
      </w:pPr>
    </w:p>
    <w:p w14:paraId="0478B121" w14:textId="77777777" w:rsidR="00AF7D4A" w:rsidRDefault="00AF7D4A" w:rsidP="00AF7D4A">
      <w:pPr>
        <w:jc w:val="center"/>
        <w:rPr>
          <w:rFonts w:ascii="Arial" w:hAnsi="Arial" w:cs="Arial"/>
          <w:b/>
          <w:sz w:val="36"/>
        </w:rPr>
      </w:pPr>
      <w:r w:rsidRPr="00AF7D4A">
        <w:rPr>
          <w:rFonts w:ascii="Arial" w:hAnsi="Arial" w:cs="Arial"/>
          <w:b/>
          <w:sz w:val="36"/>
          <w:u w:val="single"/>
        </w:rPr>
        <w:t>TITLE</w:t>
      </w:r>
      <w:r w:rsidRPr="00AF7D4A">
        <w:rPr>
          <w:rFonts w:ascii="Arial" w:hAnsi="Arial" w:cs="Arial"/>
          <w:b/>
          <w:sz w:val="36"/>
        </w:rPr>
        <w:t>: Assessment C</w:t>
      </w:r>
      <w:r>
        <w:rPr>
          <w:rFonts w:ascii="Arial" w:hAnsi="Arial" w:cs="Arial"/>
          <w:b/>
          <w:sz w:val="36"/>
        </w:rPr>
        <w:t>om</w:t>
      </w:r>
      <w:r w:rsidRPr="00AF7D4A">
        <w:rPr>
          <w:rFonts w:ascii="Arial" w:hAnsi="Arial" w:cs="Arial"/>
          <w:b/>
          <w:sz w:val="36"/>
        </w:rPr>
        <w:t>ponent 2- Major Health Issue</w:t>
      </w:r>
    </w:p>
    <w:p w14:paraId="252FF636" w14:textId="77777777" w:rsidR="00AF7D4A" w:rsidRPr="00AF7D4A" w:rsidRDefault="00AF7D4A" w:rsidP="00AF7D4A">
      <w:pPr>
        <w:jc w:val="center"/>
        <w:rPr>
          <w:rFonts w:asciiTheme="majorHAnsi" w:eastAsiaTheme="majorEastAsia" w:hAnsiTheme="majorHAnsi" w:cstheme="majorBidi"/>
          <w:b/>
          <w:color w:val="2F5496" w:themeColor="accent1" w:themeShade="BF"/>
          <w:sz w:val="48"/>
          <w:szCs w:val="32"/>
        </w:rPr>
      </w:pPr>
    </w:p>
    <w:p w14:paraId="3C054A70" w14:textId="77777777" w:rsidR="00AF7D4A" w:rsidRDefault="00AF7D4A" w:rsidP="00AF7D4A">
      <w:pPr>
        <w:jc w:val="center"/>
        <w:rPr>
          <w:sz w:val="36"/>
        </w:rPr>
      </w:pPr>
      <w:r w:rsidRPr="00AF7D4A">
        <w:rPr>
          <w:sz w:val="36"/>
        </w:rPr>
        <w:t>(N</w:t>
      </w:r>
      <w:r>
        <w:rPr>
          <w:sz w:val="36"/>
        </w:rPr>
        <w:t>on-</w:t>
      </w:r>
      <w:r w:rsidRPr="00AF7D4A">
        <w:rPr>
          <w:sz w:val="36"/>
        </w:rPr>
        <w:t>Infectious Disease- Diabetes)</w:t>
      </w:r>
    </w:p>
    <w:p w14:paraId="320575D7" w14:textId="77777777" w:rsidR="00AF7D4A" w:rsidRDefault="00AF7D4A" w:rsidP="00AF7D4A">
      <w:pPr>
        <w:jc w:val="center"/>
        <w:rPr>
          <w:sz w:val="36"/>
        </w:rPr>
      </w:pPr>
    </w:p>
    <w:p w14:paraId="16869A11" w14:textId="77777777" w:rsidR="00AF7D4A" w:rsidRDefault="006221EB" w:rsidP="00AF7D4A">
      <w:pPr>
        <w:rPr>
          <w:b/>
          <w:sz w:val="32"/>
          <w:u w:val="single"/>
        </w:rPr>
      </w:pPr>
      <w:r>
        <w:rPr>
          <w:b/>
          <w:sz w:val="32"/>
          <w:u w:val="single"/>
        </w:rPr>
        <w:t xml:space="preserve">Student Name:             Sonia Tariq </w:t>
      </w:r>
    </w:p>
    <w:p w14:paraId="44D1334D" w14:textId="7DFD918D" w:rsidR="006221EB" w:rsidRPr="00AF7D4A" w:rsidRDefault="006221EB" w:rsidP="00AF7D4A">
      <w:pPr>
        <w:rPr>
          <w:b/>
          <w:sz w:val="32"/>
          <w:u w:val="single"/>
        </w:rPr>
      </w:pPr>
      <w:r>
        <w:rPr>
          <w:b/>
          <w:sz w:val="32"/>
          <w:u w:val="single"/>
        </w:rPr>
        <w:t xml:space="preserve">Student number:         </w:t>
      </w:r>
      <w:r w:rsidR="00E646E6">
        <w:rPr>
          <w:b/>
          <w:sz w:val="32"/>
          <w:u w:val="single"/>
        </w:rPr>
        <w:t>2208954</w:t>
      </w:r>
    </w:p>
    <w:p w14:paraId="28A9E27F" w14:textId="77777777" w:rsidR="00AF7D4A" w:rsidRPr="00AF7D4A" w:rsidRDefault="00AF7D4A" w:rsidP="00AF7D4A">
      <w:pPr>
        <w:rPr>
          <w:b/>
          <w:sz w:val="32"/>
          <w:u w:val="single"/>
        </w:rPr>
      </w:pPr>
      <w:r w:rsidRPr="00AF7D4A">
        <w:rPr>
          <w:b/>
          <w:sz w:val="32"/>
          <w:u w:val="single"/>
        </w:rPr>
        <w:t>Module Title/code:</w:t>
      </w:r>
      <w:r w:rsidR="006221EB">
        <w:rPr>
          <w:b/>
          <w:sz w:val="32"/>
          <w:u w:val="single"/>
        </w:rPr>
        <w:t xml:space="preserve">     LCHS4004</w:t>
      </w:r>
    </w:p>
    <w:p w14:paraId="1862ED98" w14:textId="77777777" w:rsidR="00AF7D4A" w:rsidRPr="00AF7D4A" w:rsidRDefault="00AF7D4A" w:rsidP="00AF7D4A">
      <w:pPr>
        <w:rPr>
          <w:b/>
          <w:sz w:val="32"/>
          <w:u w:val="single"/>
        </w:rPr>
      </w:pPr>
      <w:r w:rsidRPr="00AF7D4A">
        <w:rPr>
          <w:b/>
          <w:sz w:val="32"/>
          <w:u w:val="single"/>
        </w:rPr>
        <w:t>Lecturer’s Name:</w:t>
      </w:r>
      <w:r w:rsidR="006221EB">
        <w:rPr>
          <w:b/>
          <w:sz w:val="32"/>
          <w:u w:val="single"/>
        </w:rPr>
        <w:t xml:space="preserve">         Dr Aishat Bakre </w:t>
      </w:r>
    </w:p>
    <w:p w14:paraId="26419053" w14:textId="77777777" w:rsidR="00AF7D4A" w:rsidRDefault="00AF7D4A">
      <w:pPr>
        <w:rPr>
          <w:rFonts w:asciiTheme="majorHAnsi" w:eastAsiaTheme="majorEastAsia" w:hAnsiTheme="majorHAnsi" w:cstheme="majorBidi"/>
          <w:color w:val="2F5496" w:themeColor="accent1" w:themeShade="BF"/>
          <w:sz w:val="32"/>
          <w:szCs w:val="32"/>
        </w:rPr>
      </w:pPr>
      <w:r>
        <w:br w:type="page"/>
      </w:r>
    </w:p>
    <w:sdt>
      <w:sdtPr>
        <w:rPr>
          <w:rFonts w:asciiTheme="minorHAnsi" w:eastAsiaTheme="minorHAnsi" w:hAnsiTheme="minorHAnsi" w:cstheme="minorBidi"/>
          <w:color w:val="auto"/>
          <w:sz w:val="22"/>
          <w:szCs w:val="22"/>
        </w:rPr>
        <w:id w:val="-1144886546"/>
        <w:docPartObj>
          <w:docPartGallery w:val="Table of Contents"/>
          <w:docPartUnique/>
        </w:docPartObj>
      </w:sdtPr>
      <w:sdtEndPr>
        <w:rPr>
          <w:b/>
          <w:bCs/>
          <w:noProof/>
        </w:rPr>
      </w:sdtEndPr>
      <w:sdtContent>
        <w:p w14:paraId="3C4A8B28" w14:textId="77777777" w:rsidR="001721A2" w:rsidRPr="00873D30" w:rsidRDefault="001721A2">
          <w:pPr>
            <w:pStyle w:val="TOCHeading"/>
            <w:rPr>
              <w:color w:val="000000" w:themeColor="text1"/>
            </w:rPr>
          </w:pPr>
          <w:r w:rsidRPr="00873D30">
            <w:rPr>
              <w:color w:val="000000" w:themeColor="text1"/>
            </w:rPr>
            <w:t>Table of Contents</w:t>
          </w:r>
          <w:r w:rsidR="00873D30">
            <w:rPr>
              <w:color w:val="000000" w:themeColor="text1"/>
            </w:rPr>
            <w:t xml:space="preserve"> </w:t>
          </w:r>
        </w:p>
        <w:p w14:paraId="12C9508E" w14:textId="77777777" w:rsidR="001721A2" w:rsidRDefault="001721A2">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27176662" w:history="1">
            <w:r w:rsidRPr="003D64D8">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_Toc127176662 \h </w:instrText>
            </w:r>
            <w:r>
              <w:rPr>
                <w:noProof/>
                <w:webHidden/>
              </w:rPr>
            </w:r>
            <w:r>
              <w:rPr>
                <w:noProof/>
                <w:webHidden/>
              </w:rPr>
              <w:fldChar w:fldCharType="separate"/>
            </w:r>
            <w:r>
              <w:rPr>
                <w:noProof/>
                <w:webHidden/>
              </w:rPr>
              <w:t>1</w:t>
            </w:r>
            <w:r>
              <w:rPr>
                <w:noProof/>
                <w:webHidden/>
              </w:rPr>
              <w:fldChar w:fldCharType="end"/>
            </w:r>
          </w:hyperlink>
        </w:p>
        <w:p w14:paraId="502414F4" w14:textId="77777777" w:rsidR="001721A2" w:rsidRDefault="00000000">
          <w:pPr>
            <w:pStyle w:val="TOC1"/>
            <w:tabs>
              <w:tab w:val="right" w:leader="dot" w:pos="9350"/>
            </w:tabs>
            <w:rPr>
              <w:rFonts w:eastAsiaTheme="minorEastAsia"/>
              <w:noProof/>
            </w:rPr>
          </w:pPr>
          <w:hyperlink w:anchor="_Toc127176663" w:history="1">
            <w:r w:rsidR="001721A2" w:rsidRPr="003D64D8">
              <w:rPr>
                <w:rStyle w:val="Hyperlink"/>
                <w:rFonts w:ascii="Arial" w:hAnsi="Arial" w:cs="Arial"/>
                <w:b/>
                <w:noProof/>
              </w:rPr>
              <w:t>Main Body:</w:t>
            </w:r>
            <w:r w:rsidR="001721A2">
              <w:rPr>
                <w:noProof/>
                <w:webHidden/>
              </w:rPr>
              <w:tab/>
            </w:r>
            <w:r w:rsidR="00873D30">
              <w:rPr>
                <w:noProof/>
                <w:webHidden/>
              </w:rPr>
              <w:t xml:space="preserve"> </w:t>
            </w:r>
            <w:r w:rsidR="001721A2">
              <w:rPr>
                <w:noProof/>
                <w:webHidden/>
              </w:rPr>
              <w:fldChar w:fldCharType="begin"/>
            </w:r>
            <w:r w:rsidR="001721A2">
              <w:rPr>
                <w:noProof/>
                <w:webHidden/>
              </w:rPr>
              <w:instrText xml:space="preserve"> PAGEREF _Toc127176663 \h </w:instrText>
            </w:r>
            <w:r w:rsidR="001721A2">
              <w:rPr>
                <w:noProof/>
                <w:webHidden/>
              </w:rPr>
            </w:r>
            <w:r w:rsidR="001721A2">
              <w:rPr>
                <w:noProof/>
                <w:webHidden/>
              </w:rPr>
              <w:fldChar w:fldCharType="separate"/>
            </w:r>
            <w:r w:rsidR="001721A2">
              <w:rPr>
                <w:noProof/>
                <w:webHidden/>
              </w:rPr>
              <w:t>1</w:t>
            </w:r>
            <w:r w:rsidR="001721A2">
              <w:rPr>
                <w:noProof/>
                <w:webHidden/>
              </w:rPr>
              <w:fldChar w:fldCharType="end"/>
            </w:r>
          </w:hyperlink>
        </w:p>
        <w:p w14:paraId="1344A56B" w14:textId="77777777" w:rsidR="001721A2" w:rsidRDefault="00000000">
          <w:pPr>
            <w:pStyle w:val="TOC2"/>
            <w:tabs>
              <w:tab w:val="left" w:pos="660"/>
              <w:tab w:val="right" w:leader="dot" w:pos="9350"/>
            </w:tabs>
            <w:rPr>
              <w:rFonts w:eastAsiaTheme="minorEastAsia"/>
              <w:noProof/>
            </w:rPr>
          </w:pPr>
          <w:hyperlink w:anchor="_Toc127176664" w:history="1">
            <w:r w:rsidR="001721A2" w:rsidRPr="003D64D8">
              <w:rPr>
                <w:rStyle w:val="Hyperlink"/>
                <w:rFonts w:ascii="Wingdings" w:hAnsi="Wingdings" w:cs="Arial"/>
                <w:noProof/>
              </w:rPr>
              <w:t></w:t>
            </w:r>
            <w:r w:rsidR="001721A2">
              <w:rPr>
                <w:rFonts w:eastAsiaTheme="minorEastAsia"/>
                <w:noProof/>
              </w:rPr>
              <w:tab/>
            </w:r>
            <w:r w:rsidR="001721A2" w:rsidRPr="003D64D8">
              <w:rPr>
                <w:rStyle w:val="Hyperlink"/>
                <w:rFonts w:ascii="Arial" w:hAnsi="Arial" w:cs="Arial"/>
                <w:b/>
                <w:noProof/>
              </w:rPr>
              <w:t>Diabetes Control and Management</w:t>
            </w:r>
            <w:r w:rsidR="001721A2">
              <w:rPr>
                <w:noProof/>
                <w:webHidden/>
              </w:rPr>
              <w:tab/>
            </w:r>
            <w:r w:rsidR="001721A2">
              <w:rPr>
                <w:noProof/>
                <w:webHidden/>
              </w:rPr>
              <w:fldChar w:fldCharType="begin"/>
            </w:r>
            <w:r w:rsidR="001721A2">
              <w:rPr>
                <w:noProof/>
                <w:webHidden/>
              </w:rPr>
              <w:instrText xml:space="preserve"> PAGEREF _Toc127176664 \h </w:instrText>
            </w:r>
            <w:r w:rsidR="001721A2">
              <w:rPr>
                <w:noProof/>
                <w:webHidden/>
              </w:rPr>
            </w:r>
            <w:r w:rsidR="001721A2">
              <w:rPr>
                <w:noProof/>
                <w:webHidden/>
              </w:rPr>
              <w:fldChar w:fldCharType="separate"/>
            </w:r>
            <w:r w:rsidR="001721A2">
              <w:rPr>
                <w:noProof/>
                <w:webHidden/>
              </w:rPr>
              <w:t>1</w:t>
            </w:r>
            <w:r w:rsidR="001721A2">
              <w:rPr>
                <w:noProof/>
                <w:webHidden/>
              </w:rPr>
              <w:fldChar w:fldCharType="end"/>
            </w:r>
          </w:hyperlink>
        </w:p>
        <w:p w14:paraId="4B8AA601" w14:textId="77777777" w:rsidR="001721A2" w:rsidRDefault="00000000">
          <w:pPr>
            <w:pStyle w:val="TOC2"/>
            <w:tabs>
              <w:tab w:val="left" w:pos="660"/>
              <w:tab w:val="right" w:leader="dot" w:pos="9350"/>
            </w:tabs>
            <w:rPr>
              <w:rFonts w:eastAsiaTheme="minorEastAsia"/>
              <w:noProof/>
            </w:rPr>
          </w:pPr>
          <w:hyperlink w:anchor="_Toc127176665" w:history="1">
            <w:r w:rsidR="001721A2" w:rsidRPr="003D64D8">
              <w:rPr>
                <w:rStyle w:val="Hyperlink"/>
                <w:rFonts w:ascii="Wingdings" w:hAnsi="Wingdings" w:cs="Arial"/>
                <w:noProof/>
              </w:rPr>
              <w:t></w:t>
            </w:r>
            <w:r w:rsidR="001721A2">
              <w:rPr>
                <w:rFonts w:eastAsiaTheme="minorEastAsia"/>
                <w:noProof/>
              </w:rPr>
              <w:tab/>
            </w:r>
            <w:r w:rsidR="001721A2" w:rsidRPr="003D64D8">
              <w:rPr>
                <w:rStyle w:val="Hyperlink"/>
                <w:rFonts w:ascii="Arial" w:hAnsi="Arial" w:cs="Arial"/>
                <w:b/>
                <w:noProof/>
              </w:rPr>
              <w:t>Risk factors</w:t>
            </w:r>
            <w:r w:rsidR="001721A2">
              <w:rPr>
                <w:noProof/>
                <w:webHidden/>
              </w:rPr>
              <w:tab/>
            </w:r>
            <w:r w:rsidR="001721A2">
              <w:rPr>
                <w:noProof/>
                <w:webHidden/>
              </w:rPr>
              <w:fldChar w:fldCharType="begin"/>
            </w:r>
            <w:r w:rsidR="001721A2">
              <w:rPr>
                <w:noProof/>
                <w:webHidden/>
              </w:rPr>
              <w:instrText xml:space="preserve"> PAGEREF _Toc127176665 \h </w:instrText>
            </w:r>
            <w:r w:rsidR="001721A2">
              <w:rPr>
                <w:noProof/>
                <w:webHidden/>
              </w:rPr>
            </w:r>
            <w:r w:rsidR="001721A2">
              <w:rPr>
                <w:noProof/>
                <w:webHidden/>
              </w:rPr>
              <w:fldChar w:fldCharType="separate"/>
            </w:r>
            <w:r w:rsidR="001721A2">
              <w:rPr>
                <w:noProof/>
                <w:webHidden/>
              </w:rPr>
              <w:t>3</w:t>
            </w:r>
            <w:r w:rsidR="001721A2">
              <w:rPr>
                <w:noProof/>
                <w:webHidden/>
              </w:rPr>
              <w:fldChar w:fldCharType="end"/>
            </w:r>
          </w:hyperlink>
        </w:p>
        <w:p w14:paraId="210F4DAE" w14:textId="77777777" w:rsidR="001721A2" w:rsidRDefault="00000000">
          <w:pPr>
            <w:pStyle w:val="TOC2"/>
            <w:tabs>
              <w:tab w:val="left" w:pos="660"/>
              <w:tab w:val="right" w:leader="dot" w:pos="9350"/>
            </w:tabs>
            <w:rPr>
              <w:rFonts w:eastAsiaTheme="minorEastAsia"/>
              <w:noProof/>
            </w:rPr>
          </w:pPr>
          <w:hyperlink w:anchor="_Toc127176666" w:history="1">
            <w:r w:rsidR="001721A2" w:rsidRPr="003D64D8">
              <w:rPr>
                <w:rStyle w:val="Hyperlink"/>
                <w:rFonts w:ascii="Wingdings" w:hAnsi="Wingdings" w:cs="Arial"/>
                <w:noProof/>
              </w:rPr>
              <w:t></w:t>
            </w:r>
            <w:r w:rsidR="001721A2">
              <w:rPr>
                <w:rFonts w:eastAsiaTheme="minorEastAsia"/>
                <w:noProof/>
              </w:rPr>
              <w:tab/>
            </w:r>
            <w:r w:rsidR="001721A2" w:rsidRPr="003D64D8">
              <w:rPr>
                <w:rStyle w:val="Hyperlink"/>
                <w:rFonts w:ascii="Arial" w:hAnsi="Arial" w:cs="Arial"/>
                <w:b/>
                <w:noProof/>
              </w:rPr>
              <w:t>Short-Term Consequences of Diabetes:</w:t>
            </w:r>
            <w:r w:rsidR="001721A2">
              <w:rPr>
                <w:noProof/>
                <w:webHidden/>
              </w:rPr>
              <w:tab/>
            </w:r>
            <w:r w:rsidR="001721A2">
              <w:rPr>
                <w:noProof/>
                <w:webHidden/>
              </w:rPr>
              <w:fldChar w:fldCharType="begin"/>
            </w:r>
            <w:r w:rsidR="001721A2">
              <w:rPr>
                <w:noProof/>
                <w:webHidden/>
              </w:rPr>
              <w:instrText xml:space="preserve"> PAGEREF _Toc127176666 \h </w:instrText>
            </w:r>
            <w:r w:rsidR="001721A2">
              <w:rPr>
                <w:noProof/>
                <w:webHidden/>
              </w:rPr>
            </w:r>
            <w:r w:rsidR="001721A2">
              <w:rPr>
                <w:noProof/>
                <w:webHidden/>
              </w:rPr>
              <w:fldChar w:fldCharType="separate"/>
            </w:r>
            <w:r w:rsidR="001721A2">
              <w:rPr>
                <w:noProof/>
                <w:webHidden/>
              </w:rPr>
              <w:t>4</w:t>
            </w:r>
            <w:r w:rsidR="001721A2">
              <w:rPr>
                <w:noProof/>
                <w:webHidden/>
              </w:rPr>
              <w:fldChar w:fldCharType="end"/>
            </w:r>
          </w:hyperlink>
        </w:p>
        <w:p w14:paraId="6323D377" w14:textId="77777777" w:rsidR="001721A2" w:rsidRDefault="00000000">
          <w:pPr>
            <w:pStyle w:val="TOC2"/>
            <w:tabs>
              <w:tab w:val="left" w:pos="660"/>
              <w:tab w:val="right" w:leader="dot" w:pos="9350"/>
            </w:tabs>
            <w:rPr>
              <w:rFonts w:eastAsiaTheme="minorEastAsia"/>
              <w:noProof/>
            </w:rPr>
          </w:pPr>
          <w:hyperlink w:anchor="_Toc127176667" w:history="1">
            <w:r w:rsidR="001721A2" w:rsidRPr="003D64D8">
              <w:rPr>
                <w:rStyle w:val="Hyperlink"/>
                <w:rFonts w:ascii="Wingdings" w:hAnsi="Wingdings" w:cs="Arial"/>
                <w:noProof/>
              </w:rPr>
              <w:t></w:t>
            </w:r>
            <w:r w:rsidR="001721A2">
              <w:rPr>
                <w:rFonts w:eastAsiaTheme="minorEastAsia"/>
                <w:noProof/>
              </w:rPr>
              <w:tab/>
            </w:r>
            <w:r w:rsidR="001721A2" w:rsidRPr="003D64D8">
              <w:rPr>
                <w:rStyle w:val="Hyperlink"/>
                <w:rFonts w:ascii="Arial" w:hAnsi="Arial" w:cs="Arial"/>
                <w:b/>
                <w:noProof/>
              </w:rPr>
              <w:t>Long-Term Consequences of Diabetes:</w:t>
            </w:r>
            <w:r w:rsidR="001721A2">
              <w:rPr>
                <w:noProof/>
                <w:webHidden/>
              </w:rPr>
              <w:tab/>
            </w:r>
            <w:r w:rsidR="001721A2">
              <w:rPr>
                <w:noProof/>
                <w:webHidden/>
              </w:rPr>
              <w:fldChar w:fldCharType="begin"/>
            </w:r>
            <w:r w:rsidR="001721A2">
              <w:rPr>
                <w:noProof/>
                <w:webHidden/>
              </w:rPr>
              <w:instrText xml:space="preserve"> PAGEREF _Toc127176667 \h </w:instrText>
            </w:r>
            <w:r w:rsidR="001721A2">
              <w:rPr>
                <w:noProof/>
                <w:webHidden/>
              </w:rPr>
            </w:r>
            <w:r w:rsidR="001721A2">
              <w:rPr>
                <w:noProof/>
                <w:webHidden/>
              </w:rPr>
              <w:fldChar w:fldCharType="separate"/>
            </w:r>
            <w:r w:rsidR="001721A2">
              <w:rPr>
                <w:noProof/>
                <w:webHidden/>
              </w:rPr>
              <w:t>4</w:t>
            </w:r>
            <w:r w:rsidR="001721A2">
              <w:rPr>
                <w:noProof/>
                <w:webHidden/>
              </w:rPr>
              <w:fldChar w:fldCharType="end"/>
            </w:r>
          </w:hyperlink>
        </w:p>
        <w:p w14:paraId="70747277" w14:textId="77777777" w:rsidR="001721A2" w:rsidRDefault="00000000">
          <w:pPr>
            <w:pStyle w:val="TOC2"/>
            <w:tabs>
              <w:tab w:val="left" w:pos="660"/>
              <w:tab w:val="right" w:leader="dot" w:pos="9350"/>
            </w:tabs>
            <w:rPr>
              <w:rFonts w:eastAsiaTheme="minorEastAsia"/>
              <w:noProof/>
            </w:rPr>
          </w:pPr>
          <w:hyperlink w:anchor="_Toc127176668" w:history="1">
            <w:r w:rsidR="001721A2" w:rsidRPr="003D64D8">
              <w:rPr>
                <w:rStyle w:val="Hyperlink"/>
                <w:rFonts w:ascii="Wingdings" w:hAnsi="Wingdings" w:cs="Arial"/>
                <w:noProof/>
              </w:rPr>
              <w:t></w:t>
            </w:r>
            <w:r w:rsidR="001721A2">
              <w:rPr>
                <w:rFonts w:eastAsiaTheme="minorEastAsia"/>
                <w:noProof/>
              </w:rPr>
              <w:tab/>
            </w:r>
            <w:r w:rsidR="001721A2" w:rsidRPr="003D64D8">
              <w:rPr>
                <w:rStyle w:val="Hyperlink"/>
                <w:rFonts w:ascii="Arial" w:hAnsi="Arial" w:cs="Arial"/>
                <w:b/>
                <w:noProof/>
              </w:rPr>
              <w:t>Health and Well-being Influencing Factors:</w:t>
            </w:r>
            <w:r w:rsidR="001721A2">
              <w:rPr>
                <w:noProof/>
                <w:webHidden/>
              </w:rPr>
              <w:tab/>
            </w:r>
            <w:r w:rsidR="001721A2">
              <w:rPr>
                <w:noProof/>
                <w:webHidden/>
              </w:rPr>
              <w:fldChar w:fldCharType="begin"/>
            </w:r>
            <w:r w:rsidR="001721A2">
              <w:rPr>
                <w:noProof/>
                <w:webHidden/>
              </w:rPr>
              <w:instrText xml:space="preserve"> PAGEREF _Toc127176668 \h </w:instrText>
            </w:r>
            <w:r w:rsidR="001721A2">
              <w:rPr>
                <w:noProof/>
                <w:webHidden/>
              </w:rPr>
            </w:r>
            <w:r w:rsidR="001721A2">
              <w:rPr>
                <w:noProof/>
                <w:webHidden/>
              </w:rPr>
              <w:fldChar w:fldCharType="separate"/>
            </w:r>
            <w:r w:rsidR="001721A2">
              <w:rPr>
                <w:noProof/>
                <w:webHidden/>
              </w:rPr>
              <w:t>5</w:t>
            </w:r>
            <w:r w:rsidR="001721A2">
              <w:rPr>
                <w:noProof/>
                <w:webHidden/>
              </w:rPr>
              <w:fldChar w:fldCharType="end"/>
            </w:r>
          </w:hyperlink>
        </w:p>
        <w:p w14:paraId="3E583132" w14:textId="77777777" w:rsidR="001721A2" w:rsidRDefault="00000000">
          <w:pPr>
            <w:pStyle w:val="TOC1"/>
            <w:tabs>
              <w:tab w:val="right" w:leader="dot" w:pos="9350"/>
            </w:tabs>
            <w:rPr>
              <w:rFonts w:eastAsiaTheme="minorEastAsia"/>
              <w:noProof/>
            </w:rPr>
          </w:pPr>
          <w:hyperlink w:anchor="_Toc127176669" w:history="1">
            <w:r w:rsidR="001721A2" w:rsidRPr="003D64D8">
              <w:rPr>
                <w:rStyle w:val="Hyperlink"/>
                <w:rFonts w:ascii="Arial" w:hAnsi="Arial" w:cs="Arial"/>
                <w:b/>
                <w:noProof/>
              </w:rPr>
              <w:t>Conclusion:</w:t>
            </w:r>
            <w:r w:rsidR="001721A2">
              <w:rPr>
                <w:noProof/>
                <w:webHidden/>
              </w:rPr>
              <w:tab/>
            </w:r>
            <w:r w:rsidR="001721A2">
              <w:rPr>
                <w:noProof/>
                <w:webHidden/>
              </w:rPr>
              <w:fldChar w:fldCharType="begin"/>
            </w:r>
            <w:r w:rsidR="001721A2">
              <w:rPr>
                <w:noProof/>
                <w:webHidden/>
              </w:rPr>
              <w:instrText xml:space="preserve"> PAGEREF _Toc127176669 \h </w:instrText>
            </w:r>
            <w:r w:rsidR="001721A2">
              <w:rPr>
                <w:noProof/>
                <w:webHidden/>
              </w:rPr>
            </w:r>
            <w:r w:rsidR="001721A2">
              <w:rPr>
                <w:noProof/>
                <w:webHidden/>
              </w:rPr>
              <w:fldChar w:fldCharType="separate"/>
            </w:r>
            <w:r w:rsidR="001721A2">
              <w:rPr>
                <w:noProof/>
                <w:webHidden/>
              </w:rPr>
              <w:t>6</w:t>
            </w:r>
            <w:r w:rsidR="001721A2">
              <w:rPr>
                <w:noProof/>
                <w:webHidden/>
              </w:rPr>
              <w:fldChar w:fldCharType="end"/>
            </w:r>
          </w:hyperlink>
        </w:p>
        <w:p w14:paraId="58642FA4" w14:textId="77777777" w:rsidR="001721A2" w:rsidRDefault="00000000">
          <w:pPr>
            <w:pStyle w:val="TOC1"/>
            <w:tabs>
              <w:tab w:val="right" w:leader="dot" w:pos="9350"/>
            </w:tabs>
            <w:rPr>
              <w:rFonts w:eastAsiaTheme="minorEastAsia"/>
              <w:noProof/>
            </w:rPr>
          </w:pPr>
          <w:hyperlink w:anchor="_Toc127176670" w:history="1">
            <w:r w:rsidR="001721A2" w:rsidRPr="003D64D8">
              <w:rPr>
                <w:rStyle w:val="Hyperlink"/>
                <w:rFonts w:ascii="Arial" w:hAnsi="Arial" w:cs="Arial"/>
                <w:b/>
                <w:noProof/>
              </w:rPr>
              <w:t>References:</w:t>
            </w:r>
            <w:r w:rsidR="001721A2">
              <w:rPr>
                <w:noProof/>
                <w:webHidden/>
              </w:rPr>
              <w:tab/>
            </w:r>
            <w:r w:rsidR="001721A2">
              <w:rPr>
                <w:noProof/>
                <w:webHidden/>
              </w:rPr>
              <w:fldChar w:fldCharType="begin"/>
            </w:r>
            <w:r w:rsidR="001721A2">
              <w:rPr>
                <w:noProof/>
                <w:webHidden/>
              </w:rPr>
              <w:instrText xml:space="preserve"> PAGEREF _Toc127176670 \h </w:instrText>
            </w:r>
            <w:r w:rsidR="001721A2">
              <w:rPr>
                <w:noProof/>
                <w:webHidden/>
              </w:rPr>
            </w:r>
            <w:r w:rsidR="001721A2">
              <w:rPr>
                <w:noProof/>
                <w:webHidden/>
              </w:rPr>
              <w:fldChar w:fldCharType="separate"/>
            </w:r>
            <w:r w:rsidR="001721A2">
              <w:rPr>
                <w:noProof/>
                <w:webHidden/>
              </w:rPr>
              <w:t>6</w:t>
            </w:r>
            <w:r w:rsidR="001721A2">
              <w:rPr>
                <w:noProof/>
                <w:webHidden/>
              </w:rPr>
              <w:fldChar w:fldCharType="end"/>
            </w:r>
          </w:hyperlink>
        </w:p>
        <w:p w14:paraId="168496AC" w14:textId="77777777" w:rsidR="001721A2" w:rsidRDefault="001721A2">
          <w:r>
            <w:rPr>
              <w:b/>
              <w:bCs/>
              <w:noProof/>
            </w:rPr>
            <w:fldChar w:fldCharType="end"/>
          </w:r>
        </w:p>
      </w:sdtContent>
    </w:sdt>
    <w:p w14:paraId="77951421" w14:textId="77777777" w:rsidR="0050776F" w:rsidRPr="00D37058" w:rsidRDefault="0050776F" w:rsidP="00D37058">
      <w:pPr>
        <w:pStyle w:val="Heading1"/>
        <w:spacing w:line="360" w:lineRule="auto"/>
        <w:jc w:val="both"/>
        <w:rPr>
          <w:rFonts w:ascii="Arial" w:hAnsi="Arial" w:cs="Arial"/>
          <w:b/>
        </w:rPr>
      </w:pPr>
    </w:p>
    <w:p w14:paraId="2D32396A" w14:textId="77777777" w:rsidR="007C67AD" w:rsidRDefault="007C67AD" w:rsidP="00D37058">
      <w:pPr>
        <w:pStyle w:val="Heading1"/>
        <w:spacing w:line="360" w:lineRule="auto"/>
        <w:jc w:val="both"/>
        <w:rPr>
          <w:rFonts w:ascii="Arial" w:hAnsi="Arial" w:cs="Arial"/>
          <w:b/>
          <w:color w:val="000000" w:themeColor="text1"/>
        </w:rPr>
      </w:pPr>
      <w:bookmarkStart w:id="0" w:name="_Toc127176662"/>
    </w:p>
    <w:p w14:paraId="7AD1620F" w14:textId="77777777" w:rsidR="007C67AD" w:rsidRDefault="007C67AD" w:rsidP="00D37058">
      <w:pPr>
        <w:pStyle w:val="Heading1"/>
        <w:spacing w:line="360" w:lineRule="auto"/>
        <w:jc w:val="both"/>
        <w:rPr>
          <w:rFonts w:ascii="Arial" w:hAnsi="Arial" w:cs="Arial"/>
          <w:b/>
          <w:color w:val="000000" w:themeColor="text1"/>
        </w:rPr>
      </w:pPr>
    </w:p>
    <w:p w14:paraId="4DABCF63" w14:textId="77777777" w:rsidR="007C67AD" w:rsidRDefault="007C67AD" w:rsidP="00D37058">
      <w:pPr>
        <w:pStyle w:val="Heading1"/>
        <w:spacing w:line="360" w:lineRule="auto"/>
        <w:jc w:val="both"/>
        <w:rPr>
          <w:rFonts w:ascii="Arial" w:hAnsi="Arial" w:cs="Arial"/>
          <w:b/>
          <w:color w:val="000000" w:themeColor="text1"/>
        </w:rPr>
      </w:pPr>
    </w:p>
    <w:p w14:paraId="533FDF35" w14:textId="77777777" w:rsidR="007C67AD" w:rsidRDefault="007C67AD" w:rsidP="00D37058">
      <w:pPr>
        <w:pStyle w:val="Heading1"/>
        <w:spacing w:line="360" w:lineRule="auto"/>
        <w:jc w:val="both"/>
        <w:rPr>
          <w:rFonts w:ascii="Arial" w:hAnsi="Arial" w:cs="Arial"/>
          <w:b/>
          <w:color w:val="000000" w:themeColor="text1"/>
        </w:rPr>
      </w:pPr>
    </w:p>
    <w:p w14:paraId="5462D0B7" w14:textId="77777777" w:rsidR="007C67AD" w:rsidRDefault="007C67AD" w:rsidP="00D37058">
      <w:pPr>
        <w:pStyle w:val="Heading1"/>
        <w:spacing w:line="360" w:lineRule="auto"/>
        <w:jc w:val="both"/>
        <w:rPr>
          <w:rFonts w:ascii="Arial" w:hAnsi="Arial" w:cs="Arial"/>
          <w:b/>
          <w:color w:val="000000" w:themeColor="text1"/>
        </w:rPr>
      </w:pPr>
    </w:p>
    <w:p w14:paraId="6DEDDBDD" w14:textId="77777777" w:rsidR="007C67AD" w:rsidRDefault="007C67AD" w:rsidP="00D37058">
      <w:pPr>
        <w:pStyle w:val="Heading1"/>
        <w:spacing w:line="360" w:lineRule="auto"/>
        <w:jc w:val="both"/>
        <w:rPr>
          <w:rFonts w:ascii="Arial" w:hAnsi="Arial" w:cs="Arial"/>
          <w:b/>
          <w:color w:val="000000" w:themeColor="text1"/>
        </w:rPr>
      </w:pPr>
    </w:p>
    <w:p w14:paraId="59188FE4" w14:textId="77777777" w:rsidR="007C67AD" w:rsidRDefault="007C67AD" w:rsidP="00D37058">
      <w:pPr>
        <w:pStyle w:val="Heading1"/>
        <w:spacing w:line="360" w:lineRule="auto"/>
        <w:jc w:val="both"/>
        <w:rPr>
          <w:rFonts w:ascii="Arial" w:hAnsi="Arial" w:cs="Arial"/>
          <w:b/>
          <w:color w:val="000000" w:themeColor="text1"/>
        </w:rPr>
      </w:pPr>
    </w:p>
    <w:p w14:paraId="1E54F92B" w14:textId="77777777" w:rsidR="007C67AD" w:rsidRDefault="007C67AD" w:rsidP="00D37058">
      <w:pPr>
        <w:pStyle w:val="Heading1"/>
        <w:spacing w:line="360" w:lineRule="auto"/>
        <w:jc w:val="both"/>
        <w:rPr>
          <w:rFonts w:ascii="Arial" w:hAnsi="Arial" w:cs="Arial"/>
          <w:b/>
          <w:color w:val="000000" w:themeColor="text1"/>
        </w:rPr>
      </w:pPr>
    </w:p>
    <w:p w14:paraId="3CE7AA35" w14:textId="77777777" w:rsidR="007C67AD" w:rsidRPr="007C67AD" w:rsidRDefault="007C67AD" w:rsidP="007C67AD"/>
    <w:p w14:paraId="1E7986F4" w14:textId="77777777" w:rsidR="0050776F" w:rsidRPr="00D37058" w:rsidRDefault="0050776F" w:rsidP="00D37058">
      <w:pPr>
        <w:pStyle w:val="Heading1"/>
        <w:spacing w:line="360" w:lineRule="auto"/>
        <w:jc w:val="both"/>
        <w:rPr>
          <w:rFonts w:ascii="Arial" w:hAnsi="Arial" w:cs="Arial"/>
          <w:b/>
        </w:rPr>
      </w:pPr>
      <w:r w:rsidRPr="00873D30">
        <w:rPr>
          <w:rFonts w:ascii="Arial" w:hAnsi="Arial" w:cs="Arial"/>
          <w:b/>
          <w:color w:val="000000" w:themeColor="text1"/>
        </w:rPr>
        <w:lastRenderedPageBreak/>
        <w:t>Introduction:</w:t>
      </w:r>
      <w:bookmarkEnd w:id="0"/>
    </w:p>
    <w:p w14:paraId="373AEDFF" w14:textId="77777777" w:rsidR="00C970BE" w:rsidRPr="00D37058" w:rsidRDefault="00C970BE" w:rsidP="00D37058">
      <w:pPr>
        <w:spacing w:line="360" w:lineRule="auto"/>
        <w:jc w:val="both"/>
        <w:rPr>
          <w:rFonts w:ascii="Arial" w:hAnsi="Arial" w:cs="Arial"/>
        </w:rPr>
      </w:pPr>
      <w:r w:rsidRPr="00C970BE">
        <w:rPr>
          <w:rFonts w:ascii="Arial" w:hAnsi="Arial" w:cs="Arial"/>
        </w:rPr>
        <w:t>Diabetes is a chronic health condition marked by elevated levels of glucose in the blood. This occurs when the body is unable to produce sufficient insulin, which regulates blood sugar levels, or when it fails to utilize the insulin effectively. There are two major forms of diabetes: type 1 and type 2 (Ramírez-</w:t>
      </w:r>
      <w:proofErr w:type="spellStart"/>
      <w:r w:rsidRPr="00C970BE">
        <w:rPr>
          <w:rFonts w:ascii="Arial" w:hAnsi="Arial" w:cs="Arial"/>
        </w:rPr>
        <w:t>Vélez</w:t>
      </w:r>
      <w:proofErr w:type="spellEnd"/>
      <w:r w:rsidRPr="00C970BE">
        <w:rPr>
          <w:rFonts w:ascii="Arial" w:hAnsi="Arial" w:cs="Arial"/>
        </w:rPr>
        <w:t xml:space="preserve"> et al., 2019). The global prevalence of diabetes is on the rise, with the World Health Organization predicting that by 2019, 463 million people will be affected, and this number is expected to reach 700 million by 2045. In the UK, it is estimated that 4 million people have diabetes, with 90% of these cases being type 2 diabetes (Pham et al., 2019). Additionally, it is believed that an additional 12.3 million people in the UK are at high risk of developing type 2 diabetes. These figures emphasize the serious nature of diabetes as a significant health concern both worldwide and in the UK (</w:t>
      </w:r>
      <w:proofErr w:type="spellStart"/>
      <w:r w:rsidRPr="00C970BE">
        <w:rPr>
          <w:rFonts w:ascii="Arial" w:hAnsi="Arial" w:cs="Arial"/>
        </w:rPr>
        <w:t>Whicher</w:t>
      </w:r>
      <w:proofErr w:type="spellEnd"/>
      <w:r w:rsidRPr="00C970BE">
        <w:rPr>
          <w:rFonts w:ascii="Arial" w:hAnsi="Arial" w:cs="Arial"/>
        </w:rPr>
        <w:t>, O’Neill, and Holt, 2020).</w:t>
      </w:r>
    </w:p>
    <w:p w14:paraId="6AC921AE" w14:textId="77777777" w:rsidR="0050776F" w:rsidRPr="00873D30" w:rsidRDefault="00D47E7F" w:rsidP="00D37058">
      <w:pPr>
        <w:pStyle w:val="Heading1"/>
        <w:spacing w:line="360" w:lineRule="auto"/>
        <w:jc w:val="both"/>
        <w:rPr>
          <w:rFonts w:ascii="Arial" w:hAnsi="Arial" w:cs="Arial"/>
          <w:b/>
          <w:color w:val="000000" w:themeColor="text1"/>
        </w:rPr>
      </w:pPr>
      <w:bookmarkStart w:id="1" w:name="_Toc127176663"/>
      <w:r w:rsidRPr="00873D30">
        <w:rPr>
          <w:rFonts w:ascii="Arial" w:hAnsi="Arial" w:cs="Arial"/>
          <w:b/>
          <w:color w:val="000000" w:themeColor="text1"/>
        </w:rPr>
        <w:t>Main Body:</w:t>
      </w:r>
      <w:bookmarkEnd w:id="1"/>
    </w:p>
    <w:p w14:paraId="411E0C71" w14:textId="77777777" w:rsidR="00D47E7F" w:rsidRPr="00873D30" w:rsidRDefault="00D47E7F" w:rsidP="00D37058">
      <w:pPr>
        <w:pStyle w:val="Heading2"/>
        <w:numPr>
          <w:ilvl w:val="0"/>
          <w:numId w:val="1"/>
        </w:numPr>
        <w:spacing w:line="360" w:lineRule="auto"/>
        <w:jc w:val="both"/>
        <w:rPr>
          <w:rFonts w:ascii="Arial" w:hAnsi="Arial" w:cs="Arial"/>
          <w:b/>
          <w:color w:val="000000" w:themeColor="text1"/>
        </w:rPr>
      </w:pPr>
      <w:bookmarkStart w:id="2" w:name="_Toc127176664"/>
      <w:r w:rsidRPr="00873D30">
        <w:rPr>
          <w:rFonts w:ascii="Arial" w:hAnsi="Arial" w:cs="Arial"/>
          <w:b/>
          <w:color w:val="000000" w:themeColor="text1"/>
        </w:rPr>
        <w:t>Diabetes Control and Management</w:t>
      </w:r>
      <w:bookmarkEnd w:id="2"/>
    </w:p>
    <w:p w14:paraId="38D02B2F" w14:textId="77777777" w:rsidR="009D0D88" w:rsidRDefault="009D0D88" w:rsidP="00D37058">
      <w:pPr>
        <w:spacing w:line="360" w:lineRule="auto"/>
        <w:jc w:val="both"/>
        <w:rPr>
          <w:rFonts w:ascii="Arial" w:hAnsi="Arial" w:cs="Arial"/>
        </w:rPr>
      </w:pPr>
      <w:r w:rsidRPr="009D0D88">
        <w:rPr>
          <w:rFonts w:ascii="Arial" w:hAnsi="Arial" w:cs="Arial"/>
        </w:rPr>
        <w:t>Public health strategies play a crucial role in controlling and reducing the occurrence of diabetes. The initial step in managing diabetes is to evaluate</w:t>
      </w:r>
      <w:r>
        <w:rPr>
          <w:rFonts w:ascii="Arial" w:hAnsi="Arial" w:cs="Arial"/>
        </w:rPr>
        <w:t xml:space="preserve"> and </w:t>
      </w:r>
      <w:r w:rsidRPr="009D0D88">
        <w:rPr>
          <w:rFonts w:ascii="Arial" w:hAnsi="Arial" w:cs="Arial"/>
          <w:b/>
        </w:rPr>
        <w:t>asses</w:t>
      </w:r>
      <w:r w:rsidRPr="009D0D88">
        <w:rPr>
          <w:rFonts w:ascii="Arial" w:hAnsi="Arial" w:cs="Arial"/>
        </w:rPr>
        <w:t xml:space="preserve"> an individual's risk of developing the disease (</w:t>
      </w:r>
      <w:proofErr w:type="spellStart"/>
      <w:r w:rsidRPr="009D0D88">
        <w:rPr>
          <w:rFonts w:ascii="Arial" w:hAnsi="Arial" w:cs="Arial"/>
        </w:rPr>
        <w:t>Burlina</w:t>
      </w:r>
      <w:proofErr w:type="spellEnd"/>
      <w:r w:rsidRPr="009D0D88">
        <w:rPr>
          <w:rFonts w:ascii="Arial" w:hAnsi="Arial" w:cs="Arial"/>
        </w:rPr>
        <w:t xml:space="preserve">, </w:t>
      </w:r>
      <w:proofErr w:type="spellStart"/>
      <w:r w:rsidRPr="009D0D88">
        <w:rPr>
          <w:rFonts w:ascii="Arial" w:hAnsi="Arial" w:cs="Arial"/>
        </w:rPr>
        <w:t>Dalfrà</w:t>
      </w:r>
      <w:proofErr w:type="spellEnd"/>
      <w:r w:rsidRPr="009D0D88">
        <w:rPr>
          <w:rFonts w:ascii="Arial" w:hAnsi="Arial" w:cs="Arial"/>
        </w:rPr>
        <w:t xml:space="preserve">, and </w:t>
      </w:r>
      <w:proofErr w:type="spellStart"/>
      <w:r w:rsidRPr="009D0D88">
        <w:rPr>
          <w:rFonts w:ascii="Arial" w:hAnsi="Arial" w:cs="Arial"/>
        </w:rPr>
        <w:t>Lapolla</w:t>
      </w:r>
      <w:proofErr w:type="spellEnd"/>
      <w:r w:rsidRPr="009D0D88">
        <w:rPr>
          <w:rFonts w:ascii="Arial" w:hAnsi="Arial" w:cs="Arial"/>
        </w:rPr>
        <w:t>, 2017). This can be accomplished through various screening programs, such as the UK's National Diabetes Prevention Program (NDPP), which aims to identify people at high risk of developing type 2 diabetes and provide them with support to prevent or delay the onset of the disease.</w:t>
      </w:r>
    </w:p>
    <w:p w14:paraId="251585A3" w14:textId="77777777" w:rsidR="009D0D88" w:rsidRDefault="009D0D88" w:rsidP="00D37058">
      <w:pPr>
        <w:spacing w:line="360" w:lineRule="auto"/>
        <w:jc w:val="both"/>
        <w:rPr>
          <w:rFonts w:ascii="Arial" w:hAnsi="Arial" w:cs="Arial"/>
        </w:rPr>
      </w:pPr>
      <w:r w:rsidRPr="009D0D88">
        <w:rPr>
          <w:rFonts w:ascii="Arial" w:hAnsi="Arial" w:cs="Arial"/>
        </w:rPr>
        <w:t xml:space="preserve">In terms of </w:t>
      </w:r>
      <w:r w:rsidRPr="009D0D88">
        <w:rPr>
          <w:rFonts w:ascii="Arial" w:hAnsi="Arial" w:cs="Arial"/>
          <w:b/>
        </w:rPr>
        <w:t>policy development</w:t>
      </w:r>
      <w:r w:rsidRPr="009D0D88">
        <w:rPr>
          <w:rFonts w:ascii="Arial" w:hAnsi="Arial" w:cs="Arial"/>
        </w:rPr>
        <w:t>, various organizations such as the World Health Organization (WHO) and the UK's National Health Service (NHS) have established guidelines and policies to enhance diabetes management and prevention. For instance, the WHO has formulated a Global Action Plan for the Prevention and Control of Non-Communicable Diseases, which adopts a comprehensive approach to diabetes management, including improving access to care, promoting healthy lifestyles, and raising awareness about the disease (Craig et al., 2020) (</w:t>
      </w:r>
      <w:proofErr w:type="spellStart"/>
      <w:r w:rsidRPr="009D0D88">
        <w:rPr>
          <w:rFonts w:ascii="Arial" w:hAnsi="Arial" w:cs="Arial"/>
        </w:rPr>
        <w:t>Burlina</w:t>
      </w:r>
      <w:proofErr w:type="spellEnd"/>
      <w:r w:rsidRPr="009D0D88">
        <w:rPr>
          <w:rFonts w:ascii="Arial" w:hAnsi="Arial" w:cs="Arial"/>
        </w:rPr>
        <w:t xml:space="preserve">, </w:t>
      </w:r>
      <w:proofErr w:type="spellStart"/>
      <w:r w:rsidRPr="009D0D88">
        <w:rPr>
          <w:rFonts w:ascii="Arial" w:hAnsi="Arial" w:cs="Arial"/>
        </w:rPr>
        <w:t>Dalfrà</w:t>
      </w:r>
      <w:proofErr w:type="spellEnd"/>
      <w:r w:rsidRPr="009D0D88">
        <w:rPr>
          <w:rFonts w:ascii="Arial" w:hAnsi="Arial" w:cs="Arial"/>
        </w:rPr>
        <w:t xml:space="preserve">, and </w:t>
      </w:r>
      <w:proofErr w:type="spellStart"/>
      <w:r w:rsidRPr="009D0D88">
        <w:rPr>
          <w:rFonts w:ascii="Arial" w:hAnsi="Arial" w:cs="Arial"/>
        </w:rPr>
        <w:t>Lapolla</w:t>
      </w:r>
      <w:proofErr w:type="spellEnd"/>
      <w:r w:rsidRPr="009D0D88">
        <w:rPr>
          <w:rFonts w:ascii="Arial" w:hAnsi="Arial" w:cs="Arial"/>
        </w:rPr>
        <w:t>, 2017).</w:t>
      </w:r>
    </w:p>
    <w:p w14:paraId="45B496B5" w14:textId="77777777" w:rsidR="009D0D88" w:rsidRDefault="00D47E7F" w:rsidP="00D37058">
      <w:pPr>
        <w:spacing w:line="360" w:lineRule="auto"/>
        <w:jc w:val="both"/>
        <w:rPr>
          <w:rFonts w:ascii="Arial" w:hAnsi="Arial" w:cs="Arial"/>
        </w:rPr>
      </w:pPr>
      <w:r w:rsidRPr="00D37058">
        <w:rPr>
          <w:rFonts w:ascii="Arial" w:hAnsi="Arial" w:cs="Arial"/>
        </w:rPr>
        <w:t xml:space="preserve">In terms of </w:t>
      </w:r>
      <w:r w:rsidRPr="001721A2">
        <w:rPr>
          <w:rFonts w:ascii="Arial" w:hAnsi="Arial" w:cs="Arial"/>
          <w:b/>
        </w:rPr>
        <w:t>assurance</w:t>
      </w:r>
      <w:r w:rsidRPr="00D37058">
        <w:rPr>
          <w:rFonts w:ascii="Arial" w:hAnsi="Arial" w:cs="Arial"/>
        </w:rPr>
        <w:t>, various organizations, including the NHS and private healthcare providers, are responsible for ensuring that individuals with diabetes receive the appropriate care and treatment</w:t>
      </w:r>
      <w:r w:rsidR="00873D30">
        <w:rPr>
          <w:rFonts w:ascii="Arial" w:hAnsi="Arial" w:cs="Arial"/>
        </w:rPr>
        <w:t xml:space="preserve"> </w:t>
      </w:r>
      <w:r w:rsidR="00873D30" w:rsidRPr="00873D30">
        <w:rPr>
          <w:rFonts w:ascii="Arial" w:hAnsi="Arial" w:cs="Arial"/>
        </w:rPr>
        <w:t>(</w:t>
      </w:r>
      <w:proofErr w:type="spellStart"/>
      <w:r w:rsidR="00873D30" w:rsidRPr="00873D30">
        <w:rPr>
          <w:rFonts w:ascii="Arial" w:hAnsi="Arial" w:cs="Arial"/>
        </w:rPr>
        <w:t>Bommer</w:t>
      </w:r>
      <w:proofErr w:type="spellEnd"/>
      <w:r w:rsidR="00873D30" w:rsidRPr="00873D30">
        <w:rPr>
          <w:rFonts w:ascii="Arial" w:hAnsi="Arial" w:cs="Arial"/>
        </w:rPr>
        <w:t xml:space="preserve"> et al., 2017)</w:t>
      </w:r>
      <w:r w:rsidRPr="00D37058">
        <w:rPr>
          <w:rFonts w:ascii="Arial" w:hAnsi="Arial" w:cs="Arial"/>
        </w:rPr>
        <w:t xml:space="preserve">. The NHS, for example, provides a range of services for people with diabetes, including access to specialist diabetes teams, diabetes education programs, and access to innovative treatments. </w:t>
      </w:r>
      <w:r w:rsidR="009D0D88" w:rsidRPr="009D0D88">
        <w:rPr>
          <w:rFonts w:ascii="Arial" w:hAnsi="Arial" w:cs="Arial"/>
        </w:rPr>
        <w:t xml:space="preserve">Furthermore, the National Health Service in the UK offers </w:t>
      </w:r>
      <w:r w:rsidR="009D0D88" w:rsidRPr="009D0D88">
        <w:rPr>
          <w:rFonts w:ascii="Arial" w:hAnsi="Arial" w:cs="Arial"/>
        </w:rPr>
        <w:lastRenderedPageBreak/>
        <w:t>assistance to individuals with diabetes to effectively manage their condition. This includes access to dietary specialists and the provision of support groups.</w:t>
      </w:r>
    </w:p>
    <w:p w14:paraId="3C066516" w14:textId="77777777" w:rsidR="00D47E7F" w:rsidRPr="00D37058" w:rsidRDefault="00D47E7F" w:rsidP="00D37058">
      <w:pPr>
        <w:spacing w:line="360" w:lineRule="auto"/>
        <w:jc w:val="both"/>
        <w:rPr>
          <w:rFonts w:ascii="Arial" w:hAnsi="Arial" w:cs="Arial"/>
        </w:rPr>
      </w:pPr>
      <w:r w:rsidRPr="00D37058">
        <w:rPr>
          <w:rFonts w:ascii="Arial" w:hAnsi="Arial" w:cs="Arial"/>
        </w:rPr>
        <w:t xml:space="preserve">There are also a range of </w:t>
      </w:r>
      <w:r w:rsidRPr="001721A2">
        <w:rPr>
          <w:rFonts w:ascii="Arial" w:hAnsi="Arial" w:cs="Arial"/>
          <w:b/>
        </w:rPr>
        <w:t>non-government organizations</w:t>
      </w:r>
      <w:r w:rsidRPr="00D37058">
        <w:rPr>
          <w:rFonts w:ascii="Arial" w:hAnsi="Arial" w:cs="Arial"/>
        </w:rPr>
        <w:t xml:space="preserve"> that are working to help manage and control diabetes, such as Diabetes UK, which is the largest patient-led organization in the UK. Diabetes UK provides support and information for people with diabetes, as well as advocating for improved access to care and treatment. Other organizations, such as JDRF, the leading global organization funding type 1 diabetes research, also play a crucial role in improving the lives of people with diabetes by funding research into new treatments and therapies</w:t>
      </w:r>
      <w:r w:rsidR="00B777DF">
        <w:rPr>
          <w:rFonts w:ascii="Arial" w:hAnsi="Arial" w:cs="Arial"/>
        </w:rPr>
        <w:t xml:space="preserve"> </w:t>
      </w:r>
      <w:r w:rsidR="00B777DF" w:rsidRPr="00B777DF">
        <w:rPr>
          <w:rFonts w:ascii="Arial" w:hAnsi="Arial" w:cs="Arial"/>
        </w:rPr>
        <w:t>(Heald et al., 2020)</w:t>
      </w:r>
      <w:r w:rsidRPr="00D37058">
        <w:rPr>
          <w:rFonts w:ascii="Arial" w:hAnsi="Arial" w:cs="Arial"/>
        </w:rPr>
        <w:t>.</w:t>
      </w:r>
    </w:p>
    <w:p w14:paraId="5C60D3D5" w14:textId="77777777" w:rsidR="00763FF5" w:rsidRPr="00D37058" w:rsidRDefault="00763FF5" w:rsidP="00D37058">
      <w:pPr>
        <w:spacing w:line="360" w:lineRule="auto"/>
        <w:jc w:val="both"/>
        <w:rPr>
          <w:rFonts w:ascii="Arial" w:hAnsi="Arial" w:cs="Arial"/>
        </w:rPr>
      </w:pPr>
      <w:r w:rsidRPr="00D37058">
        <w:rPr>
          <w:rFonts w:ascii="Arial" w:hAnsi="Arial" w:cs="Arial"/>
          <w:noProof/>
        </w:rPr>
        <w:drawing>
          <wp:inline distT="0" distB="0" distL="0" distR="0" wp14:anchorId="125EFECE" wp14:editId="6161F1DC">
            <wp:extent cx="5743575" cy="245745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9AB803A" w14:textId="77777777" w:rsidR="00D47E7F" w:rsidRPr="00D37058" w:rsidRDefault="001721A2" w:rsidP="00D37058">
      <w:pPr>
        <w:spacing w:line="360" w:lineRule="auto"/>
        <w:jc w:val="both"/>
        <w:rPr>
          <w:rFonts w:ascii="Arial" w:hAnsi="Arial" w:cs="Arial"/>
        </w:rPr>
      </w:pPr>
      <w:r>
        <w:rPr>
          <w:rFonts w:ascii="Arial" w:hAnsi="Arial" w:cs="Arial"/>
        </w:rPr>
        <w:t>P</w:t>
      </w:r>
      <w:r w:rsidR="00D47E7F" w:rsidRPr="00D37058">
        <w:rPr>
          <w:rFonts w:ascii="Arial" w:hAnsi="Arial" w:cs="Arial"/>
        </w:rPr>
        <w:t>ublic health measures play a critical role in managing and reducing the incidence of diabetes. A range of organizations, including the WHO, the NHS, and various non-government organizations, are working together to improve diabetes management and prevention, by providing access to care, promoting healthy lifestyles, and increasing awareness about the disease</w:t>
      </w:r>
      <w:r w:rsidR="00B777DF" w:rsidRPr="00B777DF">
        <w:t xml:space="preserve"> </w:t>
      </w:r>
      <w:r w:rsidR="00B777DF" w:rsidRPr="00B777DF">
        <w:rPr>
          <w:rFonts w:ascii="Arial" w:hAnsi="Arial" w:cs="Arial"/>
        </w:rPr>
        <w:t>(</w:t>
      </w:r>
      <w:proofErr w:type="spellStart"/>
      <w:r w:rsidR="00B777DF" w:rsidRPr="00B777DF">
        <w:rPr>
          <w:rFonts w:ascii="Arial" w:hAnsi="Arial" w:cs="Arial"/>
        </w:rPr>
        <w:t>Muche</w:t>
      </w:r>
      <w:proofErr w:type="spellEnd"/>
      <w:r w:rsidR="00B777DF" w:rsidRPr="00B777DF">
        <w:rPr>
          <w:rFonts w:ascii="Arial" w:hAnsi="Arial" w:cs="Arial"/>
        </w:rPr>
        <w:t xml:space="preserve">, </w:t>
      </w:r>
      <w:proofErr w:type="spellStart"/>
      <w:r w:rsidR="00B777DF" w:rsidRPr="00B777DF">
        <w:rPr>
          <w:rFonts w:ascii="Arial" w:hAnsi="Arial" w:cs="Arial"/>
        </w:rPr>
        <w:t>Olayemi</w:t>
      </w:r>
      <w:proofErr w:type="spellEnd"/>
      <w:r w:rsidR="00B777DF" w:rsidRPr="00B777DF">
        <w:rPr>
          <w:rFonts w:ascii="Arial" w:hAnsi="Arial" w:cs="Arial"/>
        </w:rPr>
        <w:t xml:space="preserve"> and </w:t>
      </w:r>
      <w:proofErr w:type="spellStart"/>
      <w:r w:rsidR="00B777DF" w:rsidRPr="00B777DF">
        <w:rPr>
          <w:rFonts w:ascii="Arial" w:hAnsi="Arial" w:cs="Arial"/>
        </w:rPr>
        <w:t>Gete</w:t>
      </w:r>
      <w:proofErr w:type="spellEnd"/>
      <w:r w:rsidR="00B777DF" w:rsidRPr="00B777DF">
        <w:rPr>
          <w:rFonts w:ascii="Arial" w:hAnsi="Arial" w:cs="Arial"/>
        </w:rPr>
        <w:t>, 2020)</w:t>
      </w:r>
      <w:r w:rsidR="00D47E7F" w:rsidRPr="00D37058">
        <w:rPr>
          <w:rFonts w:ascii="Arial" w:hAnsi="Arial" w:cs="Arial"/>
        </w:rPr>
        <w:t>.</w:t>
      </w:r>
    </w:p>
    <w:p w14:paraId="1362EF7D" w14:textId="77777777" w:rsidR="00D47E7F" w:rsidRPr="00873D30" w:rsidRDefault="00D47E7F" w:rsidP="00D37058">
      <w:pPr>
        <w:pStyle w:val="Heading2"/>
        <w:numPr>
          <w:ilvl w:val="0"/>
          <w:numId w:val="1"/>
        </w:numPr>
        <w:spacing w:line="360" w:lineRule="auto"/>
        <w:jc w:val="both"/>
        <w:rPr>
          <w:rFonts w:ascii="Arial" w:hAnsi="Arial" w:cs="Arial"/>
          <w:b/>
          <w:color w:val="000000" w:themeColor="text1"/>
        </w:rPr>
      </w:pPr>
      <w:bookmarkStart w:id="3" w:name="_Toc127176665"/>
      <w:r w:rsidRPr="00873D30">
        <w:rPr>
          <w:rFonts w:ascii="Arial" w:hAnsi="Arial" w:cs="Arial"/>
          <w:b/>
          <w:color w:val="000000" w:themeColor="text1"/>
        </w:rPr>
        <w:t>Risk factors</w:t>
      </w:r>
      <w:bookmarkEnd w:id="3"/>
    </w:p>
    <w:p w14:paraId="558A4DA6" w14:textId="77777777" w:rsidR="00D47E7F" w:rsidRDefault="00D47E7F" w:rsidP="00D37058">
      <w:pPr>
        <w:spacing w:line="360" w:lineRule="auto"/>
        <w:jc w:val="both"/>
        <w:rPr>
          <w:rFonts w:ascii="Arial" w:hAnsi="Arial" w:cs="Arial"/>
        </w:rPr>
      </w:pPr>
      <w:r w:rsidRPr="00D37058">
        <w:rPr>
          <w:rFonts w:ascii="Arial" w:hAnsi="Arial" w:cs="Arial"/>
        </w:rPr>
        <w:t>The key determinants or risk factors for type 2 diabetes are complex and multifactorial, including both genetic and environmental factors.</w:t>
      </w:r>
      <w:r w:rsidR="00B777DF">
        <w:rPr>
          <w:rFonts w:ascii="Arial" w:hAnsi="Arial" w:cs="Arial"/>
        </w:rPr>
        <w:t xml:space="preserve"> </w:t>
      </w:r>
      <w:r w:rsidR="00B777DF" w:rsidRPr="00B777DF">
        <w:rPr>
          <w:rFonts w:ascii="Arial" w:hAnsi="Arial" w:cs="Arial"/>
        </w:rPr>
        <w:t>(</w:t>
      </w:r>
      <w:proofErr w:type="spellStart"/>
      <w:r w:rsidR="00B777DF" w:rsidRPr="00B777DF">
        <w:rPr>
          <w:rFonts w:ascii="Arial" w:hAnsi="Arial" w:cs="Arial"/>
        </w:rPr>
        <w:t>Laressa</w:t>
      </w:r>
      <w:proofErr w:type="spellEnd"/>
      <w:r w:rsidR="00B777DF" w:rsidRPr="00B777DF">
        <w:rPr>
          <w:rFonts w:ascii="Arial" w:hAnsi="Arial" w:cs="Arial"/>
        </w:rPr>
        <w:t xml:space="preserve"> </w:t>
      </w:r>
      <w:proofErr w:type="spellStart"/>
      <w:r w:rsidR="00B777DF" w:rsidRPr="00B777DF">
        <w:rPr>
          <w:rFonts w:ascii="Arial" w:hAnsi="Arial" w:cs="Arial"/>
        </w:rPr>
        <w:t>Bethishou</w:t>
      </w:r>
      <w:proofErr w:type="spellEnd"/>
      <w:r w:rsidR="00B777DF" w:rsidRPr="00B777DF">
        <w:rPr>
          <w:rFonts w:ascii="Arial" w:hAnsi="Arial" w:cs="Arial"/>
        </w:rPr>
        <w:t>, 2017)</w:t>
      </w:r>
      <w:r w:rsidRPr="00D37058">
        <w:rPr>
          <w:rFonts w:ascii="Arial" w:hAnsi="Arial" w:cs="Arial"/>
        </w:rPr>
        <w:t xml:space="preserve"> Understanding these risk factors is important for developing strategies to prevent and manage the disease.</w:t>
      </w:r>
    </w:p>
    <w:p w14:paraId="35D1BED5" w14:textId="77777777" w:rsidR="00BD0C4C" w:rsidRPr="00D37058" w:rsidRDefault="00BD0C4C" w:rsidP="00D37058">
      <w:pPr>
        <w:spacing w:line="360" w:lineRule="auto"/>
        <w:jc w:val="both"/>
        <w:rPr>
          <w:rFonts w:ascii="Arial" w:hAnsi="Arial" w:cs="Arial"/>
        </w:rPr>
      </w:pPr>
      <w:r>
        <w:rPr>
          <w:rFonts w:ascii="Arial" w:hAnsi="Arial" w:cs="Arial"/>
          <w:noProof/>
        </w:rPr>
        <w:lastRenderedPageBreak/>
        <w:drawing>
          <wp:inline distT="0" distB="0" distL="0" distR="0" wp14:anchorId="05887AA3" wp14:editId="5FD58067">
            <wp:extent cx="5762625" cy="14097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A92CFF0" w14:textId="77777777" w:rsidR="00D47E7F" w:rsidRPr="00D37058" w:rsidRDefault="00D47E7F" w:rsidP="00D37058">
      <w:pPr>
        <w:spacing w:line="360" w:lineRule="auto"/>
        <w:jc w:val="both"/>
        <w:rPr>
          <w:rFonts w:ascii="Arial" w:hAnsi="Arial" w:cs="Arial"/>
        </w:rPr>
      </w:pPr>
      <w:r w:rsidRPr="00D37058">
        <w:rPr>
          <w:rFonts w:ascii="Arial" w:hAnsi="Arial" w:cs="Arial"/>
        </w:rPr>
        <w:t xml:space="preserve">Modifiable </w:t>
      </w:r>
      <w:r w:rsidR="009D0D88" w:rsidRPr="009D0D88">
        <w:rPr>
          <w:rFonts w:ascii="Arial" w:hAnsi="Arial" w:cs="Arial"/>
        </w:rPr>
        <w:t>Risk factors for type 2 diabetes that can be altered are obesity, lack of physical activity, poor dietary choices such as consuming high levels of processed foods, sugar and fat, and excessive alcohol consumption. These factors are crucial to address as they can be changed through adopting healthy lifestyle practices such as regular exercise, a nutritious diet, and limiting alcohol intake. Additionally, reducing weight through diet and exercise can also lower the risk of developing type 2 diabetes (</w:t>
      </w:r>
      <w:proofErr w:type="spellStart"/>
      <w:r w:rsidR="009D0D88" w:rsidRPr="009D0D88">
        <w:rPr>
          <w:rFonts w:ascii="Arial" w:hAnsi="Arial" w:cs="Arial"/>
        </w:rPr>
        <w:t>Bishu</w:t>
      </w:r>
      <w:proofErr w:type="spellEnd"/>
      <w:r w:rsidR="009D0D88" w:rsidRPr="009D0D88">
        <w:rPr>
          <w:rFonts w:ascii="Arial" w:hAnsi="Arial" w:cs="Arial"/>
        </w:rPr>
        <w:t xml:space="preserve"> et al., 2019). For instance, contributing factors to obesity, a significant risk factor for type 2 diabetes, can include an energy-dense diet high in sugar and fat and a sedentary lifestyle</w:t>
      </w:r>
      <w:r w:rsidR="009D0D88">
        <w:rPr>
          <w:rFonts w:ascii="Arial" w:hAnsi="Arial" w:cs="Arial"/>
        </w:rPr>
        <w:t>.</w:t>
      </w:r>
      <w:r w:rsidRPr="00D37058">
        <w:rPr>
          <w:rFonts w:ascii="Arial" w:hAnsi="Arial" w:cs="Arial"/>
        </w:rPr>
        <w:t xml:space="preserve"> Strategies to address these risk factors include increasing physical activity, reducing calorie intake through a healthy diet, and reducing sugar and fat in the diet.</w:t>
      </w:r>
    </w:p>
    <w:p w14:paraId="7D400CDD" w14:textId="77777777" w:rsidR="009D0D88" w:rsidRDefault="009D0D88" w:rsidP="00D37058">
      <w:pPr>
        <w:spacing w:line="360" w:lineRule="auto"/>
        <w:jc w:val="both"/>
        <w:rPr>
          <w:rFonts w:ascii="Arial" w:hAnsi="Arial" w:cs="Arial"/>
        </w:rPr>
      </w:pPr>
      <w:r w:rsidRPr="009D0D88">
        <w:rPr>
          <w:rFonts w:ascii="Arial" w:hAnsi="Arial" w:cs="Arial"/>
        </w:rPr>
        <w:t>On the other hand, there are certain factors for type 2 diabetes that cannot be modified. These include age, hereditary factors, and ethnicity. For instance, the likelihood of developing type 2 diabetes increases with age, and individuals with a family history of the disease are more predisposed to it. Moreover, particular ethnic groups such as African Americans, Hispanic Americans, and Native Americans have a higher chance of suffering from type 2 diabetes (Pham et al., 2019)</w:t>
      </w:r>
      <w:r>
        <w:rPr>
          <w:rFonts w:ascii="Arial" w:hAnsi="Arial" w:cs="Arial"/>
        </w:rPr>
        <w:t>.</w:t>
      </w:r>
    </w:p>
    <w:p w14:paraId="1D3A82F5" w14:textId="77777777" w:rsidR="00065F60" w:rsidRDefault="00065F60" w:rsidP="00D37058">
      <w:pPr>
        <w:spacing w:line="360" w:lineRule="auto"/>
        <w:jc w:val="both"/>
        <w:rPr>
          <w:rFonts w:ascii="Arial" w:hAnsi="Arial" w:cs="Arial"/>
        </w:rPr>
      </w:pPr>
      <w:r w:rsidRPr="00065F60">
        <w:rPr>
          <w:rFonts w:ascii="Arial" w:hAnsi="Arial" w:cs="Arial"/>
        </w:rPr>
        <w:t>It is crucial to take into account both the factors for type 2 diabetes that can be changed and those that cannot be altered when developing strategies for its prevention and management. By addressing the modifiable risk factors, including being overweight and a lack of physical activity, and maintaining a healthy lifestyle, individuals can significantly decrease their chances of developing the disease. Even though some risk factors, such as age and family history, cannot be altered, one can still minimize their risk by leading a healthy lifestyle and seeking early diagnosis and treatment.</w:t>
      </w:r>
    </w:p>
    <w:p w14:paraId="68BEB077" w14:textId="77777777" w:rsidR="00065F60" w:rsidRDefault="00065F60" w:rsidP="00D37058">
      <w:pPr>
        <w:spacing w:line="360" w:lineRule="auto"/>
        <w:jc w:val="both"/>
        <w:rPr>
          <w:rFonts w:ascii="Arial" w:hAnsi="Arial" w:cs="Arial"/>
        </w:rPr>
      </w:pPr>
    </w:p>
    <w:p w14:paraId="7684BFA9" w14:textId="77777777" w:rsidR="007A0902" w:rsidRPr="00873D30" w:rsidRDefault="007A0902" w:rsidP="007A0902">
      <w:pPr>
        <w:pStyle w:val="Heading2"/>
        <w:numPr>
          <w:ilvl w:val="0"/>
          <w:numId w:val="1"/>
        </w:numPr>
        <w:spacing w:line="360" w:lineRule="auto"/>
        <w:jc w:val="both"/>
        <w:rPr>
          <w:rFonts w:ascii="Arial" w:hAnsi="Arial" w:cs="Arial"/>
          <w:b/>
          <w:color w:val="000000" w:themeColor="text1"/>
        </w:rPr>
      </w:pPr>
      <w:bookmarkStart w:id="4" w:name="_Toc127176666"/>
      <w:r w:rsidRPr="00873D30">
        <w:rPr>
          <w:rFonts w:ascii="Arial" w:hAnsi="Arial" w:cs="Arial"/>
          <w:b/>
          <w:color w:val="000000" w:themeColor="text1"/>
        </w:rPr>
        <w:lastRenderedPageBreak/>
        <w:t>Short-Term Consequences of Diabetes:</w:t>
      </w:r>
      <w:bookmarkEnd w:id="4"/>
    </w:p>
    <w:p w14:paraId="5DB9AEF4" w14:textId="77777777" w:rsidR="00065F60" w:rsidRDefault="00065F60" w:rsidP="007A0902">
      <w:pPr>
        <w:spacing w:line="360" w:lineRule="auto"/>
        <w:jc w:val="both"/>
        <w:rPr>
          <w:rFonts w:ascii="Arial" w:hAnsi="Arial" w:cs="Arial"/>
        </w:rPr>
      </w:pPr>
      <w:r w:rsidRPr="00065F60">
        <w:rPr>
          <w:rFonts w:ascii="Arial" w:hAnsi="Arial" w:cs="Arial"/>
        </w:rPr>
        <w:t>In the short term, type 2 diabetes can cause significant harm to an individual's health and have an impact on the health and social care system. The condition can result in hyperglycemia, a condition characterized by high blood sugar levels, leading to symptoms such as increased thirst, frequent urination, and fatigue. These symptoms can interfere with an individual's daily life and reduce their overall quality of life.</w:t>
      </w:r>
    </w:p>
    <w:p w14:paraId="3779AA85" w14:textId="77777777" w:rsidR="00065F60" w:rsidRDefault="00065F60" w:rsidP="007A0902">
      <w:pPr>
        <w:spacing w:line="360" w:lineRule="auto"/>
        <w:jc w:val="both"/>
        <w:rPr>
          <w:rFonts w:ascii="Arial" w:hAnsi="Arial" w:cs="Arial"/>
        </w:rPr>
      </w:pPr>
      <w:r w:rsidRPr="00065F60">
        <w:rPr>
          <w:rFonts w:ascii="Arial" w:hAnsi="Arial" w:cs="Arial"/>
        </w:rPr>
        <w:t>In addition to the common symptoms, individuals with type 2 diabetes may also experience serious short-term complications, including diabetic ketoacidosis (DKA) and hypoglycemia. DKA, a potentially fatal condition, happens when the body lacks sufficient insulin and produces high levels of harmful ketones in the blood. Hypoglycemia, on the other hand, is characterized by low blood sugar levels, which can lead to symptoms such as shaking, sweating, and confusion. (Davis and Davis, 2018).</w:t>
      </w:r>
    </w:p>
    <w:p w14:paraId="518F8F06" w14:textId="77777777" w:rsidR="007A0902" w:rsidRPr="007A0902" w:rsidRDefault="007A0902" w:rsidP="007A0902">
      <w:pPr>
        <w:spacing w:line="360" w:lineRule="auto"/>
        <w:jc w:val="both"/>
        <w:rPr>
          <w:rFonts w:ascii="Arial" w:hAnsi="Arial" w:cs="Arial"/>
        </w:rPr>
      </w:pPr>
      <w:r w:rsidRPr="007A0902">
        <w:rPr>
          <w:rFonts w:ascii="Arial" w:hAnsi="Arial" w:cs="Arial"/>
        </w:rPr>
        <w:t>In the health and social care setting, short-term complications from type 2 diabetes can result in increased hospitalization rates, increased use of healthcare resources, and higher costs for patients and the healthcare system. Additionally, individuals may experience decreased ability to work and participate in daily activities, leading to decreased social and economic well-being</w:t>
      </w:r>
      <w:r w:rsidR="00873D30">
        <w:rPr>
          <w:rFonts w:ascii="Arial" w:hAnsi="Arial" w:cs="Arial"/>
        </w:rPr>
        <w:t xml:space="preserve"> </w:t>
      </w:r>
      <w:r w:rsidR="00873D30" w:rsidRPr="00873D30">
        <w:rPr>
          <w:rFonts w:ascii="Arial" w:hAnsi="Arial" w:cs="Arial"/>
        </w:rPr>
        <w:t>(</w:t>
      </w:r>
      <w:proofErr w:type="spellStart"/>
      <w:r w:rsidR="00873D30" w:rsidRPr="00873D30">
        <w:rPr>
          <w:rFonts w:ascii="Arial" w:hAnsi="Arial" w:cs="Arial"/>
        </w:rPr>
        <w:t>Bommer</w:t>
      </w:r>
      <w:proofErr w:type="spellEnd"/>
      <w:r w:rsidR="00873D30" w:rsidRPr="00873D30">
        <w:rPr>
          <w:rFonts w:ascii="Arial" w:hAnsi="Arial" w:cs="Arial"/>
        </w:rPr>
        <w:t xml:space="preserve"> et al., 2017)</w:t>
      </w:r>
      <w:r w:rsidRPr="007A0902">
        <w:rPr>
          <w:rFonts w:ascii="Arial" w:hAnsi="Arial" w:cs="Arial"/>
        </w:rPr>
        <w:t>.</w:t>
      </w:r>
    </w:p>
    <w:p w14:paraId="0B6EC9CD" w14:textId="77777777" w:rsidR="007A0902" w:rsidRPr="00BD0C4C" w:rsidRDefault="007A0902" w:rsidP="00BD0C4C">
      <w:pPr>
        <w:spacing w:line="360" w:lineRule="auto"/>
        <w:jc w:val="both"/>
        <w:rPr>
          <w:rFonts w:ascii="Arial" w:hAnsi="Arial" w:cs="Arial"/>
        </w:rPr>
      </w:pPr>
      <w:r w:rsidRPr="007A0902">
        <w:rPr>
          <w:rFonts w:ascii="Arial" w:hAnsi="Arial" w:cs="Arial"/>
        </w:rPr>
        <w:t>Therefore, managing type 2 diabetes in the short term is crucial for reducing the negative impact on individual health and the health and social care system. This includes effective management of blood sugar levels, prompt treatment of complications, and appropriate support and education for individuals to manage their condition and minimize the risk of short-term consequences.</w:t>
      </w:r>
      <w:r w:rsidR="001721A2">
        <w:rPr>
          <w:rFonts w:ascii="Arial" w:hAnsi="Arial" w:cs="Arial"/>
        </w:rPr>
        <w:t xml:space="preserve"> Ty</w:t>
      </w:r>
      <w:r w:rsidRPr="007A0902">
        <w:rPr>
          <w:rFonts w:ascii="Arial" w:hAnsi="Arial" w:cs="Arial"/>
        </w:rPr>
        <w:t>pe 2 diabetes can have significant short-term consequences for both individual health and the health and social care system. Effective management of the disease, including proper treatment and support, is essential for reducing the negative impact of type 2 diabetes in the short term</w:t>
      </w:r>
    </w:p>
    <w:p w14:paraId="3440712D" w14:textId="77777777" w:rsidR="007A0902" w:rsidRPr="00873D30" w:rsidRDefault="007A0902" w:rsidP="00D37058">
      <w:pPr>
        <w:spacing w:line="360" w:lineRule="auto"/>
        <w:jc w:val="both"/>
        <w:rPr>
          <w:rFonts w:ascii="Arial" w:hAnsi="Arial" w:cs="Arial"/>
          <w:b/>
          <w:color w:val="000000" w:themeColor="text1"/>
        </w:rPr>
      </w:pPr>
    </w:p>
    <w:p w14:paraId="27428B90" w14:textId="77777777" w:rsidR="00D47E7F" w:rsidRPr="00873D30" w:rsidRDefault="007A0902" w:rsidP="00D37058">
      <w:pPr>
        <w:pStyle w:val="Heading2"/>
        <w:numPr>
          <w:ilvl w:val="0"/>
          <w:numId w:val="1"/>
        </w:numPr>
        <w:spacing w:line="360" w:lineRule="auto"/>
        <w:jc w:val="both"/>
        <w:rPr>
          <w:rFonts w:ascii="Arial" w:hAnsi="Arial" w:cs="Arial"/>
          <w:b/>
          <w:color w:val="000000" w:themeColor="text1"/>
        </w:rPr>
      </w:pPr>
      <w:bookmarkStart w:id="5" w:name="_Toc127176667"/>
      <w:r w:rsidRPr="00873D30">
        <w:rPr>
          <w:rFonts w:ascii="Arial" w:hAnsi="Arial" w:cs="Arial"/>
          <w:b/>
          <w:color w:val="000000" w:themeColor="text1"/>
        </w:rPr>
        <w:t>Long-</w:t>
      </w:r>
      <w:r w:rsidR="00763FF5" w:rsidRPr="00873D30">
        <w:rPr>
          <w:rFonts w:ascii="Arial" w:hAnsi="Arial" w:cs="Arial"/>
          <w:b/>
          <w:color w:val="000000" w:themeColor="text1"/>
        </w:rPr>
        <w:t>Term Consequences of Diabetes:</w:t>
      </w:r>
      <w:bookmarkEnd w:id="5"/>
    </w:p>
    <w:p w14:paraId="3EF0E057" w14:textId="77777777" w:rsidR="00D37058" w:rsidRPr="00D37058" w:rsidRDefault="00763FF5" w:rsidP="00D37058">
      <w:pPr>
        <w:spacing w:line="360" w:lineRule="auto"/>
        <w:jc w:val="both"/>
        <w:rPr>
          <w:rFonts w:ascii="Arial" w:hAnsi="Arial" w:cs="Arial"/>
        </w:rPr>
      </w:pPr>
      <w:r w:rsidRPr="00D37058">
        <w:rPr>
          <w:rFonts w:ascii="Arial" w:hAnsi="Arial" w:cs="Arial"/>
        </w:rPr>
        <w:t>Type 2 diabetes can have significant long-term public health consequences, both in terms of health outcomes and costs to the health and social care systems.</w:t>
      </w:r>
      <w:r w:rsidR="00D37058" w:rsidRPr="00D37058">
        <w:rPr>
          <w:rFonts w:ascii="Arial" w:hAnsi="Arial" w:cs="Arial"/>
        </w:rPr>
        <w:t xml:space="preserve"> People with type 2 diabetes are at higher risk of developing cardiovascular disease, stroke, kidney disease, nerve damage, and vision loss</w:t>
      </w:r>
      <w:r w:rsidR="00354A56">
        <w:rPr>
          <w:rFonts w:ascii="Arial" w:hAnsi="Arial" w:cs="Arial"/>
        </w:rPr>
        <w:t xml:space="preserve"> </w:t>
      </w:r>
      <w:r w:rsidR="00354A56" w:rsidRPr="00354A56">
        <w:rPr>
          <w:rFonts w:ascii="Arial" w:hAnsi="Arial" w:cs="Arial"/>
        </w:rPr>
        <w:t>(Heald et al., 2020)</w:t>
      </w:r>
      <w:r w:rsidR="00D37058" w:rsidRPr="00D37058">
        <w:rPr>
          <w:rFonts w:ascii="Arial" w:hAnsi="Arial" w:cs="Arial"/>
        </w:rPr>
        <w:t xml:space="preserve">. These complications can greatly affect the quality of life of the individuals and increase the need for medical attention. The medical treatments and support </w:t>
      </w:r>
      <w:r w:rsidR="00D37058" w:rsidRPr="00D37058">
        <w:rPr>
          <w:rFonts w:ascii="Arial" w:hAnsi="Arial" w:cs="Arial"/>
        </w:rPr>
        <w:lastRenderedPageBreak/>
        <w:t>required to manage the disease can place a burden on the health care system and lead to increased healthcare costs.</w:t>
      </w:r>
    </w:p>
    <w:p w14:paraId="39DB38F5" w14:textId="77777777" w:rsidR="00D37058" w:rsidRPr="00D37058" w:rsidRDefault="00D37058" w:rsidP="00D37058">
      <w:pPr>
        <w:spacing w:line="360" w:lineRule="auto"/>
        <w:jc w:val="both"/>
        <w:rPr>
          <w:rFonts w:ascii="Arial" w:hAnsi="Arial" w:cs="Arial"/>
        </w:rPr>
      </w:pPr>
      <w:r w:rsidRPr="00D37058">
        <w:rPr>
          <w:rFonts w:ascii="Arial" w:hAnsi="Arial" w:cs="Arial"/>
        </w:rPr>
        <w:t>In addition to the direct health consequences, type 2 diabetes can also have indirect impacts on individuals and society. People with the condition may experience decreased physical and cognitive function, increased disability, and reduced ability to participate in daily activities and work. These factors can negatively impact social and economic well-being and lead to decreased quality of life</w:t>
      </w:r>
      <w:r w:rsidR="00873D30" w:rsidRPr="00873D30">
        <w:t xml:space="preserve"> </w:t>
      </w:r>
      <w:r w:rsidR="00873D30" w:rsidRPr="00873D30">
        <w:rPr>
          <w:rFonts w:ascii="Arial" w:hAnsi="Arial" w:cs="Arial"/>
        </w:rPr>
        <w:t>(</w:t>
      </w:r>
      <w:proofErr w:type="spellStart"/>
      <w:r w:rsidR="00873D30" w:rsidRPr="00873D30">
        <w:rPr>
          <w:rFonts w:ascii="Arial" w:hAnsi="Arial" w:cs="Arial"/>
        </w:rPr>
        <w:t>Burlina</w:t>
      </w:r>
      <w:proofErr w:type="spellEnd"/>
      <w:r w:rsidR="00873D30" w:rsidRPr="00873D30">
        <w:rPr>
          <w:rFonts w:ascii="Arial" w:hAnsi="Arial" w:cs="Arial"/>
        </w:rPr>
        <w:t xml:space="preserve">, </w:t>
      </w:r>
      <w:proofErr w:type="spellStart"/>
      <w:r w:rsidR="00873D30" w:rsidRPr="00873D30">
        <w:rPr>
          <w:rFonts w:ascii="Arial" w:hAnsi="Arial" w:cs="Arial"/>
        </w:rPr>
        <w:t>Dalfrà</w:t>
      </w:r>
      <w:proofErr w:type="spellEnd"/>
      <w:r w:rsidR="00873D30" w:rsidRPr="00873D30">
        <w:rPr>
          <w:rFonts w:ascii="Arial" w:hAnsi="Arial" w:cs="Arial"/>
        </w:rPr>
        <w:t xml:space="preserve"> and </w:t>
      </w:r>
      <w:proofErr w:type="spellStart"/>
      <w:r w:rsidR="00873D30" w:rsidRPr="00873D30">
        <w:rPr>
          <w:rFonts w:ascii="Arial" w:hAnsi="Arial" w:cs="Arial"/>
        </w:rPr>
        <w:t>Lapolla</w:t>
      </w:r>
      <w:proofErr w:type="spellEnd"/>
      <w:r w:rsidR="00873D30" w:rsidRPr="00873D30">
        <w:rPr>
          <w:rFonts w:ascii="Arial" w:hAnsi="Arial" w:cs="Arial"/>
        </w:rPr>
        <w:t>, 2017)</w:t>
      </w:r>
      <w:r w:rsidRPr="00D37058">
        <w:rPr>
          <w:rFonts w:ascii="Arial" w:hAnsi="Arial" w:cs="Arial"/>
        </w:rPr>
        <w:t>.</w:t>
      </w:r>
    </w:p>
    <w:p w14:paraId="2A24D031" w14:textId="77777777" w:rsidR="00D37058" w:rsidRPr="00D37058" w:rsidRDefault="00D37058" w:rsidP="00D37058">
      <w:pPr>
        <w:spacing w:line="360" w:lineRule="auto"/>
        <w:jc w:val="both"/>
        <w:rPr>
          <w:rFonts w:ascii="Arial" w:hAnsi="Arial" w:cs="Arial"/>
        </w:rPr>
      </w:pPr>
      <w:r w:rsidRPr="00D37058">
        <w:rPr>
          <w:rFonts w:ascii="Arial" w:hAnsi="Arial" w:cs="Arial"/>
        </w:rPr>
        <w:t>In the health and social care setting, type 2 diabetes requires ongoing medical monitoring and management, including regular check-ups, medication, and lifestyle changes</w:t>
      </w:r>
      <w:r w:rsidR="00B777DF">
        <w:rPr>
          <w:rFonts w:ascii="Arial" w:hAnsi="Arial" w:cs="Arial"/>
        </w:rPr>
        <w:t xml:space="preserve"> </w:t>
      </w:r>
      <w:r w:rsidR="00B777DF" w:rsidRPr="00B777DF">
        <w:rPr>
          <w:rFonts w:ascii="Arial" w:hAnsi="Arial" w:cs="Arial"/>
        </w:rPr>
        <w:t>(</w:t>
      </w:r>
      <w:proofErr w:type="spellStart"/>
      <w:r w:rsidR="00B777DF" w:rsidRPr="00B777DF">
        <w:rPr>
          <w:rFonts w:ascii="Arial" w:hAnsi="Arial" w:cs="Arial"/>
        </w:rPr>
        <w:t>Burlina</w:t>
      </w:r>
      <w:proofErr w:type="spellEnd"/>
      <w:r w:rsidR="00B777DF" w:rsidRPr="00B777DF">
        <w:rPr>
          <w:rFonts w:ascii="Arial" w:hAnsi="Arial" w:cs="Arial"/>
        </w:rPr>
        <w:t xml:space="preserve">, </w:t>
      </w:r>
      <w:proofErr w:type="spellStart"/>
      <w:r w:rsidR="00B777DF" w:rsidRPr="00B777DF">
        <w:rPr>
          <w:rFonts w:ascii="Arial" w:hAnsi="Arial" w:cs="Arial"/>
        </w:rPr>
        <w:t>Dalfrà</w:t>
      </w:r>
      <w:proofErr w:type="spellEnd"/>
      <w:r w:rsidR="00B777DF" w:rsidRPr="00B777DF">
        <w:rPr>
          <w:rFonts w:ascii="Arial" w:hAnsi="Arial" w:cs="Arial"/>
        </w:rPr>
        <w:t xml:space="preserve"> and </w:t>
      </w:r>
      <w:proofErr w:type="spellStart"/>
      <w:r w:rsidR="00B777DF" w:rsidRPr="00B777DF">
        <w:rPr>
          <w:rFonts w:ascii="Arial" w:hAnsi="Arial" w:cs="Arial"/>
        </w:rPr>
        <w:t>Lapolla</w:t>
      </w:r>
      <w:proofErr w:type="spellEnd"/>
      <w:r w:rsidR="00B777DF" w:rsidRPr="00B777DF">
        <w:rPr>
          <w:rFonts w:ascii="Arial" w:hAnsi="Arial" w:cs="Arial"/>
        </w:rPr>
        <w:t>, 2017)</w:t>
      </w:r>
      <w:r w:rsidRPr="00D37058">
        <w:rPr>
          <w:rFonts w:ascii="Arial" w:hAnsi="Arial" w:cs="Arial"/>
        </w:rPr>
        <w:t>. The health and social care costs associated with type 2 diabetes can also be substantial. People with type 2 diabetes often require ongoing medical care, including regular monitoring of blood sugar levels, medication, and treatment for any complications</w:t>
      </w:r>
      <w:r w:rsidR="00B777DF">
        <w:rPr>
          <w:rFonts w:ascii="Arial" w:hAnsi="Arial" w:cs="Arial"/>
        </w:rPr>
        <w:t xml:space="preserve"> </w:t>
      </w:r>
      <w:r w:rsidR="00B777DF" w:rsidRPr="00B777DF">
        <w:rPr>
          <w:rFonts w:ascii="Arial" w:hAnsi="Arial" w:cs="Arial"/>
        </w:rPr>
        <w:t>(</w:t>
      </w:r>
      <w:proofErr w:type="spellStart"/>
      <w:r w:rsidR="00B777DF" w:rsidRPr="00B777DF">
        <w:rPr>
          <w:rFonts w:ascii="Arial" w:hAnsi="Arial" w:cs="Arial"/>
        </w:rPr>
        <w:t>Netten</w:t>
      </w:r>
      <w:proofErr w:type="spellEnd"/>
      <w:r w:rsidR="00B777DF" w:rsidRPr="00B777DF">
        <w:rPr>
          <w:rFonts w:ascii="Arial" w:hAnsi="Arial" w:cs="Arial"/>
        </w:rPr>
        <w:t xml:space="preserve"> et al., 2020)</w:t>
      </w:r>
      <w:r w:rsidRPr="00D37058">
        <w:rPr>
          <w:rFonts w:ascii="Arial" w:hAnsi="Arial" w:cs="Arial"/>
        </w:rPr>
        <w:t>. This can place a significant financial burden on the health and social care systems, as well as on individuals and families. In addition, people with type 2 diabetes may require more support from the health and social care systems, such as rehabilitation and long-term care, which can also increase costs.</w:t>
      </w:r>
    </w:p>
    <w:p w14:paraId="6153C2B0" w14:textId="77777777" w:rsidR="00763FF5" w:rsidRPr="00D37058" w:rsidRDefault="00D37058" w:rsidP="00D37058">
      <w:pPr>
        <w:spacing w:line="360" w:lineRule="auto"/>
        <w:jc w:val="both"/>
        <w:rPr>
          <w:rFonts w:ascii="Arial" w:hAnsi="Arial" w:cs="Arial"/>
        </w:rPr>
      </w:pPr>
      <w:r w:rsidRPr="00D37058">
        <w:rPr>
          <w:rFonts w:ascii="Arial" w:hAnsi="Arial" w:cs="Arial"/>
        </w:rPr>
        <w:t>It is essential to address type 2 diabetes as a public health priority as it can have significant long-term consequences for both individuals and society. Effective management of the disease, through appropriate treatment and support for patients, is vital to reduce the negative impact of type 2 diabetes on health and well-being</w:t>
      </w:r>
      <w:r w:rsidR="00B777DF">
        <w:rPr>
          <w:rFonts w:ascii="Arial" w:hAnsi="Arial" w:cs="Arial"/>
        </w:rPr>
        <w:t xml:space="preserve"> </w:t>
      </w:r>
      <w:r w:rsidR="00B777DF" w:rsidRPr="00B777DF">
        <w:rPr>
          <w:rFonts w:ascii="Arial" w:hAnsi="Arial" w:cs="Arial"/>
        </w:rPr>
        <w:t>(</w:t>
      </w:r>
      <w:proofErr w:type="spellStart"/>
      <w:r w:rsidR="00B777DF" w:rsidRPr="00B777DF">
        <w:rPr>
          <w:rFonts w:ascii="Arial" w:hAnsi="Arial" w:cs="Arial"/>
        </w:rPr>
        <w:t>Muche</w:t>
      </w:r>
      <w:proofErr w:type="spellEnd"/>
      <w:r w:rsidR="00B777DF" w:rsidRPr="00B777DF">
        <w:rPr>
          <w:rFonts w:ascii="Arial" w:hAnsi="Arial" w:cs="Arial"/>
        </w:rPr>
        <w:t xml:space="preserve">, </w:t>
      </w:r>
      <w:proofErr w:type="spellStart"/>
      <w:r w:rsidR="00B777DF" w:rsidRPr="00B777DF">
        <w:rPr>
          <w:rFonts w:ascii="Arial" w:hAnsi="Arial" w:cs="Arial"/>
        </w:rPr>
        <w:t>Olayemi</w:t>
      </w:r>
      <w:proofErr w:type="spellEnd"/>
      <w:r w:rsidR="00B777DF" w:rsidRPr="00B777DF">
        <w:rPr>
          <w:rFonts w:ascii="Arial" w:hAnsi="Arial" w:cs="Arial"/>
        </w:rPr>
        <w:t xml:space="preserve"> and </w:t>
      </w:r>
      <w:proofErr w:type="spellStart"/>
      <w:r w:rsidR="00B777DF" w:rsidRPr="00B777DF">
        <w:rPr>
          <w:rFonts w:ascii="Arial" w:hAnsi="Arial" w:cs="Arial"/>
        </w:rPr>
        <w:t>Gete</w:t>
      </w:r>
      <w:proofErr w:type="spellEnd"/>
      <w:r w:rsidR="00B777DF" w:rsidRPr="00B777DF">
        <w:rPr>
          <w:rFonts w:ascii="Arial" w:hAnsi="Arial" w:cs="Arial"/>
        </w:rPr>
        <w:t>, 2020)</w:t>
      </w:r>
      <w:r w:rsidRPr="00D37058">
        <w:rPr>
          <w:rFonts w:ascii="Arial" w:hAnsi="Arial" w:cs="Arial"/>
        </w:rPr>
        <w:t>.</w:t>
      </w:r>
      <w:r w:rsidR="001721A2">
        <w:rPr>
          <w:rFonts w:ascii="Arial" w:hAnsi="Arial" w:cs="Arial"/>
        </w:rPr>
        <w:t xml:space="preserve"> T</w:t>
      </w:r>
      <w:r w:rsidR="00763FF5" w:rsidRPr="00D37058">
        <w:rPr>
          <w:rFonts w:ascii="Arial" w:hAnsi="Arial" w:cs="Arial"/>
        </w:rPr>
        <w:t>ype 2 diabetes has significant long-term public health consequences, both in terms of health outcomes and costs to the health and social care systems. It is therefore important to prioritize strategies aimed at preventing and managing the disease, in order to reduce its impact on individuals, families, and society as a whole</w:t>
      </w:r>
      <w:r w:rsidR="00B777DF">
        <w:rPr>
          <w:rFonts w:ascii="Arial" w:hAnsi="Arial" w:cs="Arial"/>
        </w:rPr>
        <w:t xml:space="preserve"> </w:t>
      </w:r>
      <w:r w:rsidR="00B777DF" w:rsidRPr="00B777DF">
        <w:rPr>
          <w:rFonts w:ascii="Arial" w:hAnsi="Arial" w:cs="Arial"/>
        </w:rPr>
        <w:t>(</w:t>
      </w:r>
      <w:proofErr w:type="spellStart"/>
      <w:r w:rsidR="00B777DF" w:rsidRPr="00B777DF">
        <w:rPr>
          <w:rFonts w:ascii="Arial" w:hAnsi="Arial" w:cs="Arial"/>
        </w:rPr>
        <w:t>Laressa</w:t>
      </w:r>
      <w:proofErr w:type="spellEnd"/>
      <w:r w:rsidR="00B777DF" w:rsidRPr="00B777DF">
        <w:rPr>
          <w:rFonts w:ascii="Arial" w:hAnsi="Arial" w:cs="Arial"/>
        </w:rPr>
        <w:t xml:space="preserve"> </w:t>
      </w:r>
      <w:proofErr w:type="spellStart"/>
      <w:r w:rsidR="00B777DF" w:rsidRPr="00B777DF">
        <w:rPr>
          <w:rFonts w:ascii="Arial" w:hAnsi="Arial" w:cs="Arial"/>
        </w:rPr>
        <w:t>Bethishou</w:t>
      </w:r>
      <w:proofErr w:type="spellEnd"/>
      <w:r w:rsidR="00B777DF" w:rsidRPr="00B777DF">
        <w:rPr>
          <w:rFonts w:ascii="Arial" w:hAnsi="Arial" w:cs="Arial"/>
        </w:rPr>
        <w:t>, 2017)</w:t>
      </w:r>
      <w:r w:rsidR="00763FF5" w:rsidRPr="00D37058">
        <w:rPr>
          <w:rFonts w:ascii="Arial" w:hAnsi="Arial" w:cs="Arial"/>
        </w:rPr>
        <w:t>.</w:t>
      </w:r>
    </w:p>
    <w:p w14:paraId="6560C070" w14:textId="77777777" w:rsidR="00763FF5" w:rsidRPr="00D37058" w:rsidRDefault="00763FF5" w:rsidP="00D37058">
      <w:pPr>
        <w:pStyle w:val="Heading2"/>
        <w:numPr>
          <w:ilvl w:val="0"/>
          <w:numId w:val="2"/>
        </w:numPr>
        <w:spacing w:line="360" w:lineRule="auto"/>
        <w:jc w:val="both"/>
        <w:rPr>
          <w:rFonts w:ascii="Arial" w:hAnsi="Arial" w:cs="Arial"/>
          <w:b/>
        </w:rPr>
      </w:pPr>
      <w:bookmarkStart w:id="6" w:name="_Toc127176668"/>
      <w:r w:rsidRPr="00873D30">
        <w:rPr>
          <w:rFonts w:ascii="Arial" w:hAnsi="Arial" w:cs="Arial"/>
          <w:b/>
          <w:color w:val="000000" w:themeColor="text1"/>
        </w:rPr>
        <w:t>Health and Well-being Influencing Factors</w:t>
      </w:r>
      <w:r w:rsidRPr="00D37058">
        <w:rPr>
          <w:rFonts w:ascii="Arial" w:hAnsi="Arial" w:cs="Arial"/>
          <w:b/>
        </w:rPr>
        <w:t>:</w:t>
      </w:r>
      <w:bookmarkEnd w:id="6"/>
    </w:p>
    <w:p w14:paraId="4BC3751C" w14:textId="77777777" w:rsidR="00D37058" w:rsidRPr="00D37058" w:rsidRDefault="00763FF5" w:rsidP="00D37058">
      <w:pPr>
        <w:spacing w:line="360" w:lineRule="auto"/>
        <w:jc w:val="both"/>
        <w:rPr>
          <w:rFonts w:ascii="Arial" w:hAnsi="Arial" w:cs="Arial"/>
        </w:rPr>
      </w:pPr>
      <w:r w:rsidRPr="00D37058">
        <w:rPr>
          <w:rFonts w:ascii="Arial" w:hAnsi="Arial" w:cs="Arial"/>
        </w:rPr>
        <w:t>Individuals with type 2 diabetes face a range of factors that can influence their health and well-being, including medical, psychological, and social factors.</w:t>
      </w:r>
    </w:p>
    <w:tbl>
      <w:tblPr>
        <w:tblStyle w:val="TableGrid"/>
        <w:tblW w:w="0" w:type="auto"/>
        <w:tblLook w:val="04A0" w:firstRow="1" w:lastRow="0" w:firstColumn="1" w:lastColumn="0" w:noHBand="0" w:noVBand="1"/>
      </w:tblPr>
      <w:tblGrid>
        <w:gridCol w:w="1696"/>
        <w:gridCol w:w="7654"/>
      </w:tblGrid>
      <w:tr w:rsidR="00D37058" w:rsidRPr="00D37058" w14:paraId="3FACB36D" w14:textId="77777777" w:rsidTr="00D37058">
        <w:tc>
          <w:tcPr>
            <w:tcW w:w="1615" w:type="dxa"/>
            <w:shd w:val="clear" w:color="auto" w:fill="A8D08D" w:themeFill="accent6" w:themeFillTint="99"/>
          </w:tcPr>
          <w:p w14:paraId="247086A5" w14:textId="77777777" w:rsidR="00D37058" w:rsidRPr="007A0902" w:rsidRDefault="00D37058" w:rsidP="00D37058">
            <w:pPr>
              <w:spacing w:line="360" w:lineRule="auto"/>
              <w:jc w:val="both"/>
              <w:rPr>
                <w:rFonts w:ascii="Arial" w:hAnsi="Arial" w:cs="Arial"/>
                <w:b/>
              </w:rPr>
            </w:pPr>
            <w:r w:rsidRPr="007A0902">
              <w:rPr>
                <w:rFonts w:ascii="Arial" w:hAnsi="Arial" w:cs="Arial"/>
                <w:b/>
              </w:rPr>
              <w:t>Medical Factors</w:t>
            </w:r>
          </w:p>
        </w:tc>
        <w:tc>
          <w:tcPr>
            <w:tcW w:w="7735" w:type="dxa"/>
          </w:tcPr>
          <w:p w14:paraId="0BEA28C2" w14:textId="77777777" w:rsidR="00D37058" w:rsidRPr="00D37058" w:rsidRDefault="00D37058" w:rsidP="00D37058">
            <w:pPr>
              <w:spacing w:after="160" w:line="360" w:lineRule="auto"/>
              <w:jc w:val="both"/>
              <w:rPr>
                <w:rFonts w:ascii="Arial" w:hAnsi="Arial" w:cs="Arial"/>
              </w:rPr>
            </w:pPr>
            <w:r w:rsidRPr="00D37058">
              <w:rPr>
                <w:rFonts w:ascii="Arial" w:hAnsi="Arial" w:cs="Arial"/>
              </w:rPr>
              <w:t xml:space="preserve">The severity of the disease and the presence of complications, can have a significant impact on the health and well-being of people with type 2 diabetes. For example, poor glycemic control can increase the risk of complications, </w:t>
            </w:r>
            <w:r w:rsidRPr="00D37058">
              <w:rPr>
                <w:rFonts w:ascii="Arial" w:hAnsi="Arial" w:cs="Arial"/>
              </w:rPr>
              <w:lastRenderedPageBreak/>
              <w:t>such as cardiovascular disease and kidney disease, which can negatively affect overall health and quality of life</w:t>
            </w:r>
            <w:r w:rsidR="00354A56">
              <w:rPr>
                <w:rFonts w:ascii="Arial" w:hAnsi="Arial" w:cs="Arial"/>
              </w:rPr>
              <w:t xml:space="preserve"> </w:t>
            </w:r>
            <w:r w:rsidR="00354A56" w:rsidRPr="00354A56">
              <w:rPr>
                <w:rFonts w:ascii="Arial" w:hAnsi="Arial" w:cs="Arial"/>
              </w:rPr>
              <w:t>(Hill-Briggs et al., 2020)</w:t>
            </w:r>
            <w:r w:rsidRPr="00D37058">
              <w:rPr>
                <w:rFonts w:ascii="Arial" w:hAnsi="Arial" w:cs="Arial"/>
              </w:rPr>
              <w:t>.</w:t>
            </w:r>
          </w:p>
          <w:p w14:paraId="312A5286" w14:textId="77777777" w:rsidR="00D37058" w:rsidRPr="00D37058" w:rsidRDefault="00D37058" w:rsidP="00D37058">
            <w:pPr>
              <w:spacing w:line="360" w:lineRule="auto"/>
              <w:jc w:val="both"/>
              <w:rPr>
                <w:rFonts w:ascii="Arial" w:hAnsi="Arial" w:cs="Arial"/>
              </w:rPr>
            </w:pPr>
          </w:p>
        </w:tc>
      </w:tr>
      <w:tr w:rsidR="00D37058" w:rsidRPr="00D37058" w14:paraId="760E7068" w14:textId="77777777" w:rsidTr="00D37058">
        <w:tc>
          <w:tcPr>
            <w:tcW w:w="1615" w:type="dxa"/>
            <w:shd w:val="clear" w:color="auto" w:fill="A8D08D" w:themeFill="accent6" w:themeFillTint="99"/>
          </w:tcPr>
          <w:p w14:paraId="5F6C20C8" w14:textId="77777777" w:rsidR="00D37058" w:rsidRPr="007A0902" w:rsidRDefault="00D37058" w:rsidP="00D37058">
            <w:pPr>
              <w:spacing w:line="360" w:lineRule="auto"/>
              <w:jc w:val="both"/>
              <w:rPr>
                <w:rFonts w:ascii="Arial" w:hAnsi="Arial" w:cs="Arial"/>
                <w:b/>
              </w:rPr>
            </w:pPr>
            <w:r w:rsidRPr="007A0902">
              <w:rPr>
                <w:rFonts w:ascii="Arial" w:hAnsi="Arial" w:cs="Arial"/>
                <w:b/>
              </w:rPr>
              <w:lastRenderedPageBreak/>
              <w:t>Psychological factors</w:t>
            </w:r>
          </w:p>
        </w:tc>
        <w:tc>
          <w:tcPr>
            <w:tcW w:w="7735" w:type="dxa"/>
          </w:tcPr>
          <w:p w14:paraId="52327DBC" w14:textId="77777777" w:rsidR="00D37058" w:rsidRPr="00D37058" w:rsidRDefault="00B777DF" w:rsidP="00B777DF">
            <w:pPr>
              <w:spacing w:line="360" w:lineRule="auto"/>
              <w:jc w:val="both"/>
              <w:rPr>
                <w:rFonts w:ascii="Arial" w:hAnsi="Arial" w:cs="Arial"/>
              </w:rPr>
            </w:pPr>
            <w:r w:rsidRPr="00B777DF">
              <w:rPr>
                <w:rFonts w:ascii="Arial" w:hAnsi="Arial" w:cs="Arial"/>
              </w:rPr>
              <w:t>Ramírez-</w:t>
            </w:r>
            <w:proofErr w:type="spellStart"/>
            <w:r w:rsidRPr="00B777DF">
              <w:rPr>
                <w:rFonts w:ascii="Arial" w:hAnsi="Arial" w:cs="Arial"/>
              </w:rPr>
              <w:t>Vélez</w:t>
            </w:r>
            <w:proofErr w:type="spellEnd"/>
            <w:r w:rsidRPr="00B777DF">
              <w:rPr>
                <w:rFonts w:ascii="Arial" w:hAnsi="Arial" w:cs="Arial"/>
              </w:rPr>
              <w:t xml:space="preserve"> et al. (2019)</w:t>
            </w:r>
            <w:r>
              <w:rPr>
                <w:rFonts w:ascii="Arial" w:hAnsi="Arial" w:cs="Arial"/>
              </w:rPr>
              <w:t xml:space="preserve"> concluded that </w:t>
            </w:r>
            <w:r w:rsidR="00D37058" w:rsidRPr="00D37058">
              <w:rPr>
                <w:rFonts w:ascii="Arial" w:hAnsi="Arial" w:cs="Arial"/>
              </w:rPr>
              <w:t>stress and depression, can also impact the health and well-bein</w:t>
            </w:r>
            <w:r>
              <w:rPr>
                <w:rFonts w:ascii="Arial" w:hAnsi="Arial" w:cs="Arial"/>
              </w:rPr>
              <w:t>g of people with type 2 diabetes</w:t>
            </w:r>
            <w:r w:rsidR="00D37058" w:rsidRPr="00D37058">
              <w:rPr>
                <w:rFonts w:ascii="Arial" w:hAnsi="Arial" w:cs="Arial"/>
              </w:rPr>
              <w:t>. Living with a chronic condition can be stressful and can increase the risk of depression, which can affect adherence to treatment and overall health outcomes.</w:t>
            </w:r>
          </w:p>
        </w:tc>
      </w:tr>
      <w:tr w:rsidR="00D37058" w:rsidRPr="00D37058" w14:paraId="6135F29A" w14:textId="77777777" w:rsidTr="00D37058">
        <w:tc>
          <w:tcPr>
            <w:tcW w:w="1615" w:type="dxa"/>
            <w:shd w:val="clear" w:color="auto" w:fill="A8D08D" w:themeFill="accent6" w:themeFillTint="99"/>
          </w:tcPr>
          <w:p w14:paraId="22FB4131" w14:textId="77777777" w:rsidR="00D37058" w:rsidRPr="007A0902" w:rsidRDefault="00D37058" w:rsidP="00D37058">
            <w:pPr>
              <w:spacing w:line="360" w:lineRule="auto"/>
              <w:jc w:val="both"/>
              <w:rPr>
                <w:rFonts w:ascii="Arial" w:hAnsi="Arial" w:cs="Arial"/>
                <w:b/>
                <w:color w:val="FF0000"/>
              </w:rPr>
            </w:pPr>
            <w:r w:rsidRPr="007A0902">
              <w:rPr>
                <w:rFonts w:ascii="Arial" w:hAnsi="Arial" w:cs="Arial"/>
                <w:b/>
              </w:rPr>
              <w:t>Social factors</w:t>
            </w:r>
          </w:p>
        </w:tc>
        <w:tc>
          <w:tcPr>
            <w:tcW w:w="7735" w:type="dxa"/>
          </w:tcPr>
          <w:p w14:paraId="1C00AE93" w14:textId="77777777" w:rsidR="00D37058" w:rsidRPr="00D37058" w:rsidRDefault="00D37058" w:rsidP="00D37058">
            <w:pPr>
              <w:spacing w:line="360" w:lineRule="auto"/>
              <w:jc w:val="both"/>
              <w:rPr>
                <w:rFonts w:ascii="Arial" w:hAnsi="Arial" w:cs="Arial"/>
              </w:rPr>
            </w:pPr>
            <w:r w:rsidRPr="00D37058">
              <w:rPr>
                <w:rFonts w:ascii="Arial" w:hAnsi="Arial" w:cs="Arial"/>
              </w:rPr>
              <w:t>Access to healthcare, support from family and friends, and financial stability, can also influence the health and well-being of individuals with type 2 diabetes. People with limited access to healthcare and inadequate support networks may experience difficulties in managing their condition, which can negatively impact their health and quality of life. Financial instability can also impact the ability to access the resources needed to manage the disease effectively</w:t>
            </w:r>
            <w:r w:rsidR="00873D30">
              <w:rPr>
                <w:rFonts w:ascii="Arial" w:hAnsi="Arial" w:cs="Arial"/>
              </w:rPr>
              <w:t xml:space="preserve"> </w:t>
            </w:r>
            <w:r w:rsidR="00873D30" w:rsidRPr="00873D30">
              <w:rPr>
                <w:rFonts w:ascii="Arial" w:hAnsi="Arial" w:cs="Arial"/>
              </w:rPr>
              <w:t>(</w:t>
            </w:r>
            <w:proofErr w:type="spellStart"/>
            <w:r w:rsidR="00873D30" w:rsidRPr="00873D30">
              <w:rPr>
                <w:rFonts w:ascii="Arial" w:hAnsi="Arial" w:cs="Arial"/>
              </w:rPr>
              <w:t>Bishu</w:t>
            </w:r>
            <w:proofErr w:type="spellEnd"/>
            <w:r w:rsidR="00873D30" w:rsidRPr="00873D30">
              <w:rPr>
                <w:rFonts w:ascii="Arial" w:hAnsi="Arial" w:cs="Arial"/>
              </w:rPr>
              <w:t xml:space="preserve"> et al., 2019)</w:t>
            </w:r>
            <w:r w:rsidRPr="00D37058">
              <w:rPr>
                <w:rFonts w:ascii="Arial" w:hAnsi="Arial" w:cs="Arial"/>
              </w:rPr>
              <w:t>.</w:t>
            </w:r>
          </w:p>
        </w:tc>
      </w:tr>
    </w:tbl>
    <w:p w14:paraId="6DA8D66F" w14:textId="77777777" w:rsidR="00D37058" w:rsidRPr="00D37058" w:rsidRDefault="00D37058" w:rsidP="00D37058">
      <w:pPr>
        <w:spacing w:line="360" w:lineRule="auto"/>
        <w:jc w:val="both"/>
        <w:rPr>
          <w:rFonts w:ascii="Arial" w:hAnsi="Arial" w:cs="Arial"/>
        </w:rPr>
      </w:pPr>
    </w:p>
    <w:p w14:paraId="01374E06" w14:textId="77777777" w:rsidR="00763FF5" w:rsidRPr="00D37058" w:rsidRDefault="001721A2" w:rsidP="00D37058">
      <w:pPr>
        <w:spacing w:line="360" w:lineRule="auto"/>
        <w:jc w:val="both"/>
        <w:rPr>
          <w:rFonts w:ascii="Arial" w:hAnsi="Arial" w:cs="Arial"/>
        </w:rPr>
      </w:pPr>
      <w:r>
        <w:rPr>
          <w:rFonts w:ascii="Arial" w:hAnsi="Arial" w:cs="Arial"/>
        </w:rPr>
        <w:t>To sum up</w:t>
      </w:r>
      <w:r w:rsidR="00763FF5" w:rsidRPr="00D37058">
        <w:rPr>
          <w:rFonts w:ascii="Arial" w:hAnsi="Arial" w:cs="Arial"/>
        </w:rPr>
        <w:t>, there are a range of factors that can influence the health and well-being of individuals with type 2 diabetes, including medical, psychological, and social factors. Addressing these factors is important for improving overall health outcomes and quality of life for people with the condition.</w:t>
      </w:r>
    </w:p>
    <w:p w14:paraId="41B8ECA9" w14:textId="77777777" w:rsidR="00763FF5" w:rsidRPr="00873D30" w:rsidRDefault="00763FF5" w:rsidP="00D37058">
      <w:pPr>
        <w:pStyle w:val="Heading1"/>
        <w:spacing w:line="360" w:lineRule="auto"/>
        <w:jc w:val="both"/>
        <w:rPr>
          <w:rFonts w:ascii="Arial" w:hAnsi="Arial" w:cs="Arial"/>
          <w:b/>
          <w:color w:val="000000" w:themeColor="text1"/>
        </w:rPr>
      </w:pPr>
      <w:bookmarkStart w:id="7" w:name="_Toc127176669"/>
      <w:r w:rsidRPr="00873D30">
        <w:rPr>
          <w:rFonts w:ascii="Arial" w:hAnsi="Arial" w:cs="Arial"/>
          <w:b/>
          <w:color w:val="000000" w:themeColor="text1"/>
        </w:rPr>
        <w:t>Conclusion:</w:t>
      </w:r>
      <w:bookmarkEnd w:id="7"/>
    </w:p>
    <w:p w14:paraId="6E5BD6E0" w14:textId="77777777" w:rsidR="00C970BE" w:rsidRDefault="00C970BE" w:rsidP="00BD0C4C">
      <w:pPr>
        <w:spacing w:line="360" w:lineRule="auto"/>
        <w:jc w:val="both"/>
        <w:rPr>
          <w:rFonts w:ascii="Arial" w:hAnsi="Arial" w:cs="Arial"/>
        </w:rPr>
      </w:pPr>
      <w:r w:rsidRPr="00C970BE">
        <w:rPr>
          <w:rFonts w:ascii="Arial" w:hAnsi="Arial" w:cs="Arial"/>
        </w:rPr>
        <w:t>To sum up,</w:t>
      </w:r>
      <w:r>
        <w:rPr>
          <w:rFonts w:ascii="Arial" w:hAnsi="Arial" w:cs="Arial"/>
        </w:rPr>
        <w:t xml:space="preserve"> we can say that</w:t>
      </w:r>
      <w:r w:rsidR="00D52691">
        <w:rPr>
          <w:rFonts w:ascii="Arial" w:hAnsi="Arial" w:cs="Arial"/>
        </w:rPr>
        <w:t xml:space="preserve"> most importantly</w:t>
      </w:r>
      <w:r w:rsidRPr="00C970BE">
        <w:rPr>
          <w:rFonts w:ascii="Arial" w:hAnsi="Arial" w:cs="Arial"/>
        </w:rPr>
        <w:t xml:space="preserve"> type 2 diabetes is a growing public health challenge, with increasing rates globally and in the UK. It is a complex condition influenced by various risk factors such as obesity, lack of physical activity, and family history. The disease has significant long-term impacts on both health and social care systems, including an increased risk of serious health problems such as cardiovascular disease and kidney disease, as well as higher costs related to ongoing medical care and treatment of complications. The health and well-being of individuals with type 2 diabetes are also influenced by various medical, psychological, and social factors, including glucose control, stress, and access to healthcare. Addressing these factors is crucial for improving the overall health outcomes and quality of life for people with the condition. Effective public health measures, including assessment, policy development, and assurance, and the involvement of organizations like the WHO and the NHS, are critical in managing and controlling type 2 diabetes.</w:t>
      </w:r>
    </w:p>
    <w:p w14:paraId="544F3F9E" w14:textId="77777777" w:rsidR="001721A2" w:rsidRPr="00873D30" w:rsidRDefault="001721A2" w:rsidP="001721A2">
      <w:pPr>
        <w:pStyle w:val="Heading1"/>
        <w:rPr>
          <w:rFonts w:ascii="Arial" w:hAnsi="Arial" w:cs="Arial"/>
          <w:b/>
          <w:color w:val="000000" w:themeColor="text1"/>
        </w:rPr>
      </w:pPr>
      <w:bookmarkStart w:id="8" w:name="_Toc127176670"/>
      <w:r w:rsidRPr="00873D30">
        <w:rPr>
          <w:rFonts w:ascii="Arial" w:hAnsi="Arial" w:cs="Arial"/>
          <w:b/>
          <w:color w:val="000000" w:themeColor="text1"/>
        </w:rPr>
        <w:lastRenderedPageBreak/>
        <w:t>References:</w:t>
      </w:r>
      <w:bookmarkEnd w:id="8"/>
    </w:p>
    <w:p w14:paraId="7F486E21" w14:textId="77777777" w:rsidR="00873D30" w:rsidRDefault="00873D30" w:rsidP="00873D30"/>
    <w:p w14:paraId="18B5F11C" w14:textId="77777777" w:rsidR="00873D30" w:rsidRDefault="00873D30" w:rsidP="00873D30">
      <w:pPr>
        <w:pStyle w:val="NormalWeb"/>
        <w:spacing w:before="0" w:beforeAutospacing="0" w:after="240" w:afterAutospacing="0" w:line="360" w:lineRule="auto"/>
        <w:ind w:left="720" w:hanging="720"/>
      </w:pPr>
      <w:proofErr w:type="spellStart"/>
      <w:r>
        <w:t>Bishu</w:t>
      </w:r>
      <w:proofErr w:type="spellEnd"/>
      <w:r>
        <w:t xml:space="preserve">, K.G. et al. (2019). Diabetes in Ethiopia: A systematic review of prevalence, risk factors, complications, and cost. </w:t>
      </w:r>
      <w:r>
        <w:rPr>
          <w:i/>
          <w:iCs/>
        </w:rPr>
        <w:t>Obesity Medicine</w:t>
      </w:r>
      <w:r>
        <w:t xml:space="preserve">, 15 (2), 100132. Available from </w:t>
      </w:r>
      <w:hyperlink r:id="rId18" w:history="1">
        <w:r w:rsidRPr="005C5986">
          <w:rPr>
            <w:rStyle w:val="Hyperlink"/>
          </w:rPr>
          <w:t>https://www.sciencedirect.com/science/article/pii/S2451847619300521</w:t>
        </w:r>
      </w:hyperlink>
      <w:r>
        <w:t xml:space="preserve">  [Accessed 13 February 2023].</w:t>
      </w:r>
    </w:p>
    <w:p w14:paraId="16EF823C" w14:textId="77777777" w:rsidR="00873D30" w:rsidRDefault="00873D30" w:rsidP="00873D30">
      <w:pPr>
        <w:pStyle w:val="NormalWeb"/>
        <w:spacing w:before="0" w:beforeAutospacing="0" w:after="240" w:afterAutospacing="0" w:line="360" w:lineRule="auto"/>
        <w:ind w:left="720" w:hanging="720"/>
      </w:pPr>
      <w:proofErr w:type="spellStart"/>
      <w:r>
        <w:t>Bommer</w:t>
      </w:r>
      <w:proofErr w:type="spellEnd"/>
      <w:r>
        <w:t xml:space="preserve">, C. et al. (2017). The global economic burden of diabetes in adults aged 20-79 years: a cost-of-illness study. </w:t>
      </w:r>
      <w:r>
        <w:rPr>
          <w:i/>
          <w:iCs/>
        </w:rPr>
        <w:t>The lancet. Diabetes &amp; endocrinology</w:t>
      </w:r>
      <w:r>
        <w:t xml:space="preserve">, 5 (6), 423–430. Available from </w:t>
      </w:r>
      <w:hyperlink r:id="rId19" w:history="1">
        <w:r w:rsidRPr="005C5986">
          <w:rPr>
            <w:rStyle w:val="Hyperlink"/>
          </w:rPr>
          <w:t>https://www.ncbi.nlm.nih.gov/pubmed/28456416</w:t>
        </w:r>
      </w:hyperlink>
      <w:r>
        <w:t xml:space="preserve">  [Accessed 13 February 2023].</w:t>
      </w:r>
    </w:p>
    <w:p w14:paraId="7D640113" w14:textId="77777777" w:rsidR="00873D30" w:rsidRDefault="00873D30" w:rsidP="00873D30">
      <w:pPr>
        <w:pStyle w:val="NormalWeb"/>
        <w:spacing w:before="0" w:beforeAutospacing="0" w:after="240" w:afterAutospacing="0" w:line="360" w:lineRule="auto"/>
        <w:ind w:left="720" w:hanging="720"/>
      </w:pPr>
      <w:proofErr w:type="spellStart"/>
      <w:r>
        <w:t>Burlina</w:t>
      </w:r>
      <w:proofErr w:type="spellEnd"/>
      <w:r>
        <w:t xml:space="preserve">, S., </w:t>
      </w:r>
      <w:proofErr w:type="spellStart"/>
      <w:r>
        <w:t>Dalfrà</w:t>
      </w:r>
      <w:proofErr w:type="spellEnd"/>
      <w:r>
        <w:t xml:space="preserve">, M.G. and </w:t>
      </w:r>
      <w:proofErr w:type="spellStart"/>
      <w:r>
        <w:t>Lapolla</w:t>
      </w:r>
      <w:proofErr w:type="spellEnd"/>
      <w:r>
        <w:t xml:space="preserve">, A. (2017). Short- and long-term consequences for offspring exposed to maternal diabetes: a review. </w:t>
      </w:r>
      <w:r>
        <w:rPr>
          <w:i/>
          <w:iCs/>
        </w:rPr>
        <w:t>The Journal of Maternal-Fetal &amp; Neonatal Medicine</w:t>
      </w:r>
      <w:r>
        <w:t xml:space="preserve">, 32 (4), 687–694. Available from </w:t>
      </w:r>
      <w:hyperlink r:id="rId20" w:history="1">
        <w:r w:rsidRPr="005C5986">
          <w:rPr>
            <w:rStyle w:val="Hyperlink"/>
          </w:rPr>
          <w:t>https://www.tandfonline.com/doi/abs/10.1080/14767058.2017.1387893</w:t>
        </w:r>
      </w:hyperlink>
      <w:r>
        <w:t xml:space="preserve">  [Accessed 14 February 2023].</w:t>
      </w:r>
    </w:p>
    <w:p w14:paraId="008A2879" w14:textId="77777777" w:rsidR="00873D30" w:rsidRDefault="00873D30" w:rsidP="00873D30">
      <w:pPr>
        <w:pStyle w:val="NormalWeb"/>
        <w:spacing w:before="0" w:beforeAutospacing="0" w:after="240" w:afterAutospacing="0" w:line="360" w:lineRule="auto"/>
        <w:ind w:left="720" w:hanging="720"/>
      </w:pPr>
      <w:r>
        <w:t xml:space="preserve">Craig, L. et al. (2020). Women’s experiences of a diagnosis of gestational diabetes mellitus: a systematic review. </w:t>
      </w:r>
      <w:r>
        <w:rPr>
          <w:i/>
          <w:iCs/>
        </w:rPr>
        <w:t>BMC Pregnancy and Childbirth</w:t>
      </w:r>
      <w:r>
        <w:t xml:space="preserve">, 20 (1). Available from </w:t>
      </w:r>
      <w:hyperlink r:id="rId21" w:history="1">
        <w:r w:rsidRPr="005C5986">
          <w:rPr>
            <w:rStyle w:val="Hyperlink"/>
          </w:rPr>
          <w:t>https://bmcpregnancychildbirth.biomedcentral.com/articles/10.1186/s12884-020-2745-1</w:t>
        </w:r>
      </w:hyperlink>
      <w:r>
        <w:t xml:space="preserve">  [Accessed 14 February 2023].</w:t>
      </w:r>
    </w:p>
    <w:p w14:paraId="4F3F5318" w14:textId="77777777" w:rsidR="00873D30" w:rsidRDefault="00873D30" w:rsidP="00873D30">
      <w:pPr>
        <w:pStyle w:val="NormalWeb"/>
        <w:spacing w:before="0" w:beforeAutospacing="0" w:after="240" w:afterAutospacing="0" w:line="360" w:lineRule="auto"/>
        <w:ind w:left="720" w:hanging="720"/>
      </w:pPr>
      <w:r>
        <w:t xml:space="preserve">J.J., Davis, W.A. and Davis, T.M.E. (2018). A systematic review of risk factors for cataract in type 2 diabetes. </w:t>
      </w:r>
      <w:r>
        <w:rPr>
          <w:i/>
          <w:iCs/>
        </w:rPr>
        <w:t>Diabetes/Metabolism Research and Reviews</w:t>
      </w:r>
      <w:r>
        <w:t xml:space="preserve">, 35 (1), e3073. Available from </w:t>
      </w:r>
      <w:hyperlink r:id="rId22" w:history="1">
        <w:r w:rsidRPr="005C5986">
          <w:rPr>
            <w:rStyle w:val="Hyperlink"/>
          </w:rPr>
          <w:t>https://onlinelibrary.wiley.com/doi/abs/10.1002/dmrr.3073</w:t>
        </w:r>
      </w:hyperlink>
      <w:r>
        <w:t xml:space="preserve">  [Accessed 14 February 2023].</w:t>
      </w:r>
    </w:p>
    <w:p w14:paraId="4B638ED8" w14:textId="77777777" w:rsidR="00873D30" w:rsidRDefault="00873D30" w:rsidP="00873D30">
      <w:pPr>
        <w:pStyle w:val="NormalWeb"/>
        <w:spacing w:before="0" w:beforeAutospacing="0" w:after="240" w:afterAutospacing="0" w:line="360" w:lineRule="auto"/>
        <w:ind w:left="720" w:hanging="720"/>
      </w:pPr>
      <w:r>
        <w:t xml:space="preserve">Heald, A.H. et al. (2020). Estimating life years lost to diabetes: outcomes from analysis of National Diabetes Audit and Office of National Statistics data. </w:t>
      </w:r>
      <w:r>
        <w:rPr>
          <w:i/>
          <w:iCs/>
        </w:rPr>
        <w:t>Cardiovascular Endocrinology &amp; Metabolism</w:t>
      </w:r>
      <w:r>
        <w:t xml:space="preserve">, 9 (4), 183–185. Available from </w:t>
      </w:r>
      <w:hyperlink r:id="rId23" w:history="1">
        <w:r w:rsidRPr="005C5986">
          <w:rPr>
            <w:rStyle w:val="Hyperlink"/>
          </w:rPr>
          <w:t>https://www.ncbi.nlm.nih.gov/pmc/articles/PMC7673790/</w:t>
        </w:r>
      </w:hyperlink>
      <w:r>
        <w:t xml:space="preserve">  [Accessed 13 February 2023].</w:t>
      </w:r>
    </w:p>
    <w:p w14:paraId="456BD294" w14:textId="77777777" w:rsidR="00873D30" w:rsidRDefault="00873D30" w:rsidP="00873D30">
      <w:pPr>
        <w:pStyle w:val="NormalWeb"/>
        <w:spacing w:before="0" w:beforeAutospacing="0" w:after="240" w:afterAutospacing="0" w:line="360" w:lineRule="auto"/>
        <w:ind w:left="720" w:hanging="720"/>
      </w:pPr>
      <w:r>
        <w:t xml:space="preserve">Hill-Briggs, F. et al. (2020). Social Determinants of Health and Diabetes: A Scientific Review. </w:t>
      </w:r>
      <w:r>
        <w:rPr>
          <w:i/>
          <w:iCs/>
        </w:rPr>
        <w:t>Diabetes Care</w:t>
      </w:r>
      <w:r>
        <w:t xml:space="preserve">, 44 (1), 258–279. Available from </w:t>
      </w:r>
      <w:hyperlink r:id="rId24" w:history="1">
        <w:r w:rsidRPr="005C5986">
          <w:rPr>
            <w:rStyle w:val="Hyperlink"/>
          </w:rPr>
          <w:t>https://care.diabetesjournals.org/content/diacare/early/2020/10/31/dci20-0053.full.pdf</w:t>
        </w:r>
      </w:hyperlink>
      <w:r>
        <w:t xml:space="preserve">   [Accessed 14 February 2023].</w:t>
      </w:r>
    </w:p>
    <w:p w14:paraId="547A5700" w14:textId="77777777" w:rsidR="00873D30" w:rsidRDefault="00873D30" w:rsidP="00873D30">
      <w:pPr>
        <w:pStyle w:val="NormalWeb"/>
        <w:spacing w:before="0" w:beforeAutospacing="0" w:after="240" w:afterAutospacing="0" w:line="360" w:lineRule="auto"/>
        <w:ind w:left="720" w:hanging="720"/>
      </w:pPr>
      <w:proofErr w:type="spellStart"/>
      <w:r>
        <w:t>Laressa</w:t>
      </w:r>
      <w:proofErr w:type="spellEnd"/>
      <w:r>
        <w:t xml:space="preserve"> </w:t>
      </w:r>
      <w:proofErr w:type="spellStart"/>
      <w:r>
        <w:t>Bethishou</w:t>
      </w:r>
      <w:proofErr w:type="spellEnd"/>
      <w:r>
        <w:t xml:space="preserve">, P. (2017). Managing the Cost of Diabetes. </w:t>
      </w:r>
      <w:r>
        <w:rPr>
          <w:i/>
          <w:iCs/>
        </w:rPr>
        <w:t>www.pharmacytimes.com</w:t>
      </w:r>
      <w:r>
        <w:t xml:space="preserve">, 33 (1). Available from </w:t>
      </w:r>
      <w:hyperlink r:id="rId25" w:history="1">
        <w:r w:rsidRPr="005C5986">
          <w:rPr>
            <w:rStyle w:val="Hyperlink"/>
          </w:rPr>
          <w:t>https://www.pharmacytimes.com/view/managing-the-cost-of-diabetes-</w:t>
        </w:r>
      </w:hyperlink>
      <w:r>
        <w:t xml:space="preserve"> [Accessed 13 February 2023].</w:t>
      </w:r>
    </w:p>
    <w:p w14:paraId="74686FAB" w14:textId="77777777" w:rsidR="00873D30" w:rsidRDefault="00873D30" w:rsidP="00873D30">
      <w:pPr>
        <w:pStyle w:val="NormalWeb"/>
        <w:spacing w:before="0" w:beforeAutospacing="0" w:after="240" w:afterAutospacing="0" w:line="360" w:lineRule="auto"/>
        <w:ind w:left="720" w:hanging="720"/>
      </w:pPr>
      <w:r>
        <w:t xml:space="preserve">Massey, C.N. et al. (2019). Well-being interventions for individuals with diabetes: A systematic review. </w:t>
      </w:r>
      <w:r>
        <w:rPr>
          <w:i/>
          <w:iCs/>
        </w:rPr>
        <w:t>Diabetes Research and Clinical Practice</w:t>
      </w:r>
      <w:r>
        <w:t xml:space="preserve">, 147 (3), 118–133. Available from </w:t>
      </w:r>
      <w:hyperlink r:id="rId26" w:history="1">
        <w:r w:rsidRPr="005C5986">
          <w:rPr>
            <w:rStyle w:val="Hyperlink"/>
          </w:rPr>
          <w:t>https://www.sciencedirect.com/science/article/pii/S0168822718310933</w:t>
        </w:r>
      </w:hyperlink>
      <w:r>
        <w:t xml:space="preserve">  [Accessed 14 February 2023].</w:t>
      </w:r>
    </w:p>
    <w:p w14:paraId="6590D6B3" w14:textId="77777777" w:rsidR="00873D30" w:rsidRDefault="00873D30" w:rsidP="00873D30">
      <w:pPr>
        <w:pStyle w:val="NormalWeb"/>
        <w:spacing w:before="0" w:beforeAutospacing="0" w:after="240" w:afterAutospacing="0" w:line="360" w:lineRule="auto"/>
        <w:ind w:left="720" w:hanging="720"/>
      </w:pPr>
      <w:proofErr w:type="spellStart"/>
      <w:r>
        <w:t>Muche</w:t>
      </w:r>
      <w:proofErr w:type="spellEnd"/>
      <w:r>
        <w:t xml:space="preserve">, A.A., </w:t>
      </w:r>
      <w:proofErr w:type="spellStart"/>
      <w:r>
        <w:t>Olayemi</w:t>
      </w:r>
      <w:proofErr w:type="spellEnd"/>
      <w:r>
        <w:t xml:space="preserve">, O.O. and </w:t>
      </w:r>
      <w:proofErr w:type="spellStart"/>
      <w:r>
        <w:t>Gete</w:t>
      </w:r>
      <w:proofErr w:type="spellEnd"/>
      <w:r>
        <w:t xml:space="preserve">, Y.K. (2020). Effects of gestational diabetes mellitus on risk of adverse maternal outcomes: a prospective cohort study in Northwest Ethiopia. </w:t>
      </w:r>
      <w:r>
        <w:rPr>
          <w:i/>
          <w:iCs/>
        </w:rPr>
        <w:t>BMC Pregnancy and Childbirth</w:t>
      </w:r>
      <w:r>
        <w:t xml:space="preserve">, 20 (1). Available from </w:t>
      </w:r>
      <w:hyperlink r:id="rId27" w:history="1">
        <w:r w:rsidRPr="005C5986">
          <w:rPr>
            <w:rStyle w:val="Hyperlink"/>
          </w:rPr>
          <w:t>https://bmcpregnancychildbirth.biomedcentral.com/articles/10.1186/s12884-020-2759-8</w:t>
        </w:r>
      </w:hyperlink>
      <w:r>
        <w:t xml:space="preserve">  [Accessed 14 February 2023].</w:t>
      </w:r>
    </w:p>
    <w:p w14:paraId="00897A4E" w14:textId="77777777" w:rsidR="00873D30" w:rsidRDefault="00873D30" w:rsidP="00873D30">
      <w:pPr>
        <w:pStyle w:val="NormalWeb"/>
        <w:spacing w:before="0" w:beforeAutospacing="0" w:after="240" w:afterAutospacing="0" w:line="360" w:lineRule="auto"/>
        <w:ind w:left="720" w:hanging="720"/>
      </w:pPr>
      <w:proofErr w:type="spellStart"/>
      <w:r>
        <w:t>Netten</w:t>
      </w:r>
      <w:proofErr w:type="spellEnd"/>
      <w:r>
        <w:t xml:space="preserve">, J.J. et al. (2020). Treatment of modifiable risk factors for foot ulceration in persons with diabetes: a systematic review. </w:t>
      </w:r>
      <w:r>
        <w:rPr>
          <w:i/>
          <w:iCs/>
        </w:rPr>
        <w:t>Diabetes/Metabolism Research and Reviews</w:t>
      </w:r>
      <w:r>
        <w:t xml:space="preserve">, 36 (S1). Available from </w:t>
      </w:r>
      <w:hyperlink r:id="rId28" w:history="1">
        <w:r w:rsidRPr="005C5986">
          <w:rPr>
            <w:rStyle w:val="Hyperlink"/>
          </w:rPr>
          <w:t>https://onlinelibrary.wiley.com/doi/abs/10.1002/dmrr.3271</w:t>
        </w:r>
      </w:hyperlink>
      <w:r>
        <w:t xml:space="preserve">  [Accessed 13 February 2023].</w:t>
      </w:r>
    </w:p>
    <w:p w14:paraId="3525BDAE" w14:textId="77777777" w:rsidR="00873D30" w:rsidRDefault="00873D30" w:rsidP="00873D30">
      <w:pPr>
        <w:pStyle w:val="NormalWeb"/>
        <w:spacing w:before="0" w:beforeAutospacing="0" w:after="240" w:afterAutospacing="0" w:line="360" w:lineRule="auto"/>
        <w:ind w:left="720" w:hanging="720"/>
      </w:pPr>
      <w:r>
        <w:t xml:space="preserve">Pham, T.M. et al. (2019). Ethnic Differences in the Prevalence of Type 2 Diabetes Diagnoses in the UK: Cross-Sectional Analysis of the Health Improvement Network Primary Care Database. </w:t>
      </w:r>
      <w:r>
        <w:rPr>
          <w:i/>
          <w:iCs/>
        </w:rPr>
        <w:t>Clinical Epidemiology</w:t>
      </w:r>
      <w:r>
        <w:t xml:space="preserve">, Volume 11 (11), 1081–1088. Available from </w:t>
      </w:r>
      <w:hyperlink r:id="rId29" w:history="1">
        <w:r w:rsidRPr="005C5986">
          <w:rPr>
            <w:rStyle w:val="Hyperlink"/>
          </w:rPr>
          <w:t>https://www.ncbi.nlm.nih.gov/pmc/articles/PMC6948201/</w:t>
        </w:r>
      </w:hyperlink>
      <w:r>
        <w:t xml:space="preserve">  [Accessed 13 February 2023].</w:t>
      </w:r>
    </w:p>
    <w:p w14:paraId="03EA90A9" w14:textId="77777777" w:rsidR="00873D30" w:rsidRDefault="00873D30" w:rsidP="00873D30">
      <w:pPr>
        <w:pStyle w:val="NormalWeb"/>
        <w:spacing w:before="0" w:beforeAutospacing="0" w:after="240" w:afterAutospacing="0" w:line="360" w:lineRule="auto"/>
        <w:ind w:left="720" w:hanging="720"/>
      </w:pPr>
      <w:r>
        <w:t>Ramírez-</w:t>
      </w:r>
      <w:proofErr w:type="spellStart"/>
      <w:r>
        <w:t>Vélez</w:t>
      </w:r>
      <w:proofErr w:type="spellEnd"/>
      <w:r>
        <w:t xml:space="preserve">, R. et al. (2019). Obesity- and Lipid-Related Parameters in the Identification of Older Adults with a High Risk of Prediabetes According to the American Diabetes Association: An Analysis of the 2015 Health, Well-Being, and Aging Study. </w:t>
      </w:r>
      <w:r>
        <w:rPr>
          <w:i/>
          <w:iCs/>
        </w:rPr>
        <w:t>Nutrients</w:t>
      </w:r>
      <w:r>
        <w:t xml:space="preserve">, 11 (11), 2654. Available from </w:t>
      </w:r>
      <w:hyperlink r:id="rId30" w:history="1">
        <w:r w:rsidRPr="005C5986">
          <w:rPr>
            <w:rStyle w:val="Hyperlink"/>
          </w:rPr>
          <w:t>https://www.mdpi.com/566832</w:t>
        </w:r>
      </w:hyperlink>
      <w:r>
        <w:t xml:space="preserve">  [Accessed 14 February 2023].</w:t>
      </w:r>
    </w:p>
    <w:p w14:paraId="58BC5735" w14:textId="77777777" w:rsidR="00873D30" w:rsidRDefault="00873D30" w:rsidP="00873D30">
      <w:pPr>
        <w:pStyle w:val="NormalWeb"/>
        <w:spacing w:before="0" w:beforeAutospacing="0" w:after="240" w:afterAutospacing="0" w:line="360" w:lineRule="auto"/>
        <w:ind w:left="720" w:hanging="720"/>
      </w:pPr>
      <w:r>
        <w:lastRenderedPageBreak/>
        <w:t xml:space="preserve">Rhee, J.A.V. (2020). Diabetes: By the Numbers. </w:t>
      </w:r>
      <w:r>
        <w:rPr>
          <w:i/>
          <w:iCs/>
        </w:rPr>
        <w:t>Physician Assistant Clinics</w:t>
      </w:r>
      <w:r>
        <w:t xml:space="preserve">, 5 (2), xiii–xiv. Available from </w:t>
      </w:r>
      <w:hyperlink r:id="rId31" w:history="1">
        <w:r w:rsidRPr="005C5986">
          <w:rPr>
            <w:rStyle w:val="Hyperlink"/>
          </w:rPr>
          <w:t>https://www.physicianassistant.theclinics.com/article/S2405-7991(20)30013-X/abstract</w:t>
        </w:r>
      </w:hyperlink>
      <w:r>
        <w:t xml:space="preserve">  [Accessed 13 February 2023].</w:t>
      </w:r>
    </w:p>
    <w:p w14:paraId="4C6A6A1A" w14:textId="77777777" w:rsidR="00873D30" w:rsidRDefault="00873D30" w:rsidP="00873D30">
      <w:pPr>
        <w:pStyle w:val="NormalWeb"/>
        <w:spacing w:before="0" w:beforeAutospacing="0" w:after="240" w:afterAutospacing="0" w:line="360" w:lineRule="auto"/>
        <w:ind w:left="720" w:hanging="720"/>
      </w:pPr>
      <w:proofErr w:type="spellStart"/>
      <w:r>
        <w:t>Whicher</w:t>
      </w:r>
      <w:proofErr w:type="spellEnd"/>
      <w:r>
        <w:t xml:space="preserve">, C.A., O’Neill, S. and Holt, R.I.G. (2020). Diabetes in the UK: 2019. </w:t>
      </w:r>
      <w:r>
        <w:rPr>
          <w:i/>
          <w:iCs/>
        </w:rPr>
        <w:t>Diabetic Medicine</w:t>
      </w:r>
      <w:r>
        <w:t xml:space="preserve">, 37 (2), 242–247. Available from </w:t>
      </w:r>
      <w:hyperlink r:id="rId32" w:history="1">
        <w:r w:rsidRPr="005C5986">
          <w:rPr>
            <w:rStyle w:val="Hyperlink"/>
          </w:rPr>
          <w:t>https://pubmed.ncbi.nlm.nih.gov/31901175/</w:t>
        </w:r>
      </w:hyperlink>
      <w:r>
        <w:t xml:space="preserve"> [Accessed 13 February 2023].</w:t>
      </w:r>
    </w:p>
    <w:p w14:paraId="29754183" w14:textId="77777777" w:rsidR="00873D30" w:rsidRPr="00873D30" w:rsidRDefault="00873D30" w:rsidP="00873D30"/>
    <w:sectPr w:rsidR="00873D30" w:rsidRPr="00873D30">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EC0FD" w14:textId="77777777" w:rsidR="00447A93" w:rsidRDefault="00447A93" w:rsidP="001721A2">
      <w:pPr>
        <w:spacing w:after="0" w:line="240" w:lineRule="auto"/>
      </w:pPr>
      <w:r>
        <w:separator/>
      </w:r>
    </w:p>
  </w:endnote>
  <w:endnote w:type="continuationSeparator" w:id="0">
    <w:p w14:paraId="19848486" w14:textId="77777777" w:rsidR="00447A93" w:rsidRDefault="00447A93" w:rsidP="00172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5751208"/>
      <w:docPartObj>
        <w:docPartGallery w:val="Page Numbers (Bottom of Page)"/>
        <w:docPartUnique/>
      </w:docPartObj>
    </w:sdtPr>
    <w:sdtEndPr>
      <w:rPr>
        <w:noProof/>
      </w:rPr>
    </w:sdtEndPr>
    <w:sdtContent>
      <w:p w14:paraId="32EA9841" w14:textId="77777777" w:rsidR="001721A2" w:rsidRDefault="001721A2">
        <w:pPr>
          <w:pStyle w:val="Footer"/>
        </w:pPr>
        <w:r>
          <w:fldChar w:fldCharType="begin"/>
        </w:r>
        <w:r>
          <w:instrText xml:space="preserve"> PAGE   \* MERGEFORMAT </w:instrText>
        </w:r>
        <w:r>
          <w:fldChar w:fldCharType="separate"/>
        </w:r>
        <w:r w:rsidR="007C67AD">
          <w:rPr>
            <w:noProof/>
          </w:rPr>
          <w:t>1</w:t>
        </w:r>
        <w:r>
          <w:rPr>
            <w:noProof/>
          </w:rPr>
          <w:fldChar w:fldCharType="end"/>
        </w:r>
      </w:p>
    </w:sdtContent>
  </w:sdt>
  <w:p w14:paraId="6CDFB84C" w14:textId="77777777" w:rsidR="001721A2" w:rsidRDefault="001721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91661" w14:textId="77777777" w:rsidR="00447A93" w:rsidRDefault="00447A93" w:rsidP="001721A2">
      <w:pPr>
        <w:spacing w:after="0" w:line="240" w:lineRule="auto"/>
      </w:pPr>
      <w:r>
        <w:separator/>
      </w:r>
    </w:p>
  </w:footnote>
  <w:footnote w:type="continuationSeparator" w:id="0">
    <w:p w14:paraId="26C50DF0" w14:textId="77777777" w:rsidR="00447A93" w:rsidRDefault="00447A93" w:rsidP="001721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E2440"/>
    <w:multiLevelType w:val="hybridMultilevel"/>
    <w:tmpl w:val="E15051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52128B"/>
    <w:multiLevelType w:val="hybridMultilevel"/>
    <w:tmpl w:val="17F46A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5474776">
    <w:abstractNumId w:val="0"/>
  </w:num>
  <w:num w:numId="2" w16cid:durableId="9428047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76F"/>
    <w:rsid w:val="00065F60"/>
    <w:rsid w:val="001721A2"/>
    <w:rsid w:val="00354A56"/>
    <w:rsid w:val="00392524"/>
    <w:rsid w:val="00447A93"/>
    <w:rsid w:val="0050776F"/>
    <w:rsid w:val="00521D30"/>
    <w:rsid w:val="006221EB"/>
    <w:rsid w:val="00763FF5"/>
    <w:rsid w:val="007A0902"/>
    <w:rsid w:val="007C67AD"/>
    <w:rsid w:val="00873D30"/>
    <w:rsid w:val="008C6796"/>
    <w:rsid w:val="009D0D88"/>
    <w:rsid w:val="00AE4D1C"/>
    <w:rsid w:val="00AF7D4A"/>
    <w:rsid w:val="00B777DF"/>
    <w:rsid w:val="00BA022E"/>
    <w:rsid w:val="00BD0C4C"/>
    <w:rsid w:val="00C970BE"/>
    <w:rsid w:val="00D36202"/>
    <w:rsid w:val="00D37058"/>
    <w:rsid w:val="00D47E7F"/>
    <w:rsid w:val="00D47F53"/>
    <w:rsid w:val="00D52691"/>
    <w:rsid w:val="00E646E6"/>
    <w:rsid w:val="00EE3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D6921"/>
  <w15:chartTrackingRefBased/>
  <w15:docId w15:val="{1337E7B6-2A70-4E3D-881F-2775E90F5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058"/>
  </w:style>
  <w:style w:type="paragraph" w:styleId="Heading1">
    <w:name w:val="heading 1"/>
    <w:basedOn w:val="Normal"/>
    <w:next w:val="Normal"/>
    <w:link w:val="Heading1Char"/>
    <w:uiPriority w:val="9"/>
    <w:qFormat/>
    <w:rsid w:val="00D370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70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05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37058"/>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D37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721A2"/>
    <w:pPr>
      <w:outlineLvl w:val="9"/>
    </w:pPr>
  </w:style>
  <w:style w:type="paragraph" w:styleId="TOC1">
    <w:name w:val="toc 1"/>
    <w:basedOn w:val="Normal"/>
    <w:next w:val="Normal"/>
    <w:autoRedefine/>
    <w:uiPriority w:val="39"/>
    <w:unhideWhenUsed/>
    <w:rsid w:val="001721A2"/>
    <w:pPr>
      <w:spacing w:after="100"/>
    </w:pPr>
  </w:style>
  <w:style w:type="paragraph" w:styleId="TOC2">
    <w:name w:val="toc 2"/>
    <w:basedOn w:val="Normal"/>
    <w:next w:val="Normal"/>
    <w:autoRedefine/>
    <w:uiPriority w:val="39"/>
    <w:unhideWhenUsed/>
    <w:rsid w:val="001721A2"/>
    <w:pPr>
      <w:spacing w:after="100"/>
      <w:ind w:left="220"/>
    </w:pPr>
  </w:style>
  <w:style w:type="character" w:styleId="Hyperlink">
    <w:name w:val="Hyperlink"/>
    <w:basedOn w:val="DefaultParagraphFont"/>
    <w:uiPriority w:val="99"/>
    <w:unhideWhenUsed/>
    <w:rsid w:val="001721A2"/>
    <w:rPr>
      <w:color w:val="0563C1" w:themeColor="hyperlink"/>
      <w:u w:val="single"/>
    </w:rPr>
  </w:style>
  <w:style w:type="paragraph" w:styleId="Header">
    <w:name w:val="header"/>
    <w:basedOn w:val="Normal"/>
    <w:link w:val="HeaderChar"/>
    <w:uiPriority w:val="99"/>
    <w:unhideWhenUsed/>
    <w:rsid w:val="001721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21A2"/>
  </w:style>
  <w:style w:type="paragraph" w:styleId="Footer">
    <w:name w:val="footer"/>
    <w:basedOn w:val="Normal"/>
    <w:link w:val="FooterChar"/>
    <w:uiPriority w:val="99"/>
    <w:unhideWhenUsed/>
    <w:rsid w:val="001721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21A2"/>
  </w:style>
  <w:style w:type="paragraph" w:styleId="NormalWeb">
    <w:name w:val="Normal (Web)"/>
    <w:basedOn w:val="Normal"/>
    <w:uiPriority w:val="99"/>
    <w:semiHidden/>
    <w:unhideWhenUsed/>
    <w:rsid w:val="00873D3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429643">
      <w:bodyDiv w:val="1"/>
      <w:marLeft w:val="0"/>
      <w:marRight w:val="0"/>
      <w:marTop w:val="0"/>
      <w:marBottom w:val="0"/>
      <w:divBdr>
        <w:top w:val="none" w:sz="0" w:space="0" w:color="auto"/>
        <w:left w:val="none" w:sz="0" w:space="0" w:color="auto"/>
        <w:bottom w:val="none" w:sz="0" w:space="0" w:color="auto"/>
        <w:right w:val="none" w:sz="0" w:space="0" w:color="auto"/>
      </w:divBdr>
      <w:divsChild>
        <w:div w:id="589239341">
          <w:marLeft w:val="0"/>
          <w:marRight w:val="0"/>
          <w:marTop w:val="0"/>
          <w:marBottom w:val="0"/>
          <w:divBdr>
            <w:top w:val="none" w:sz="0" w:space="0" w:color="auto"/>
            <w:left w:val="none" w:sz="0" w:space="0" w:color="auto"/>
            <w:bottom w:val="none" w:sz="0" w:space="0" w:color="auto"/>
            <w:right w:val="none" w:sz="0" w:space="0" w:color="auto"/>
          </w:divBdr>
        </w:div>
      </w:divsChild>
    </w:div>
    <w:div w:id="167451320">
      <w:bodyDiv w:val="1"/>
      <w:marLeft w:val="0"/>
      <w:marRight w:val="0"/>
      <w:marTop w:val="0"/>
      <w:marBottom w:val="0"/>
      <w:divBdr>
        <w:top w:val="none" w:sz="0" w:space="0" w:color="auto"/>
        <w:left w:val="none" w:sz="0" w:space="0" w:color="auto"/>
        <w:bottom w:val="none" w:sz="0" w:space="0" w:color="auto"/>
        <w:right w:val="none" w:sz="0" w:space="0" w:color="auto"/>
      </w:divBdr>
    </w:div>
    <w:div w:id="202404753">
      <w:bodyDiv w:val="1"/>
      <w:marLeft w:val="0"/>
      <w:marRight w:val="0"/>
      <w:marTop w:val="0"/>
      <w:marBottom w:val="0"/>
      <w:divBdr>
        <w:top w:val="none" w:sz="0" w:space="0" w:color="auto"/>
        <w:left w:val="none" w:sz="0" w:space="0" w:color="auto"/>
        <w:bottom w:val="none" w:sz="0" w:space="0" w:color="auto"/>
        <w:right w:val="none" w:sz="0" w:space="0" w:color="auto"/>
      </w:divBdr>
    </w:div>
    <w:div w:id="383411128">
      <w:bodyDiv w:val="1"/>
      <w:marLeft w:val="0"/>
      <w:marRight w:val="0"/>
      <w:marTop w:val="0"/>
      <w:marBottom w:val="0"/>
      <w:divBdr>
        <w:top w:val="none" w:sz="0" w:space="0" w:color="auto"/>
        <w:left w:val="none" w:sz="0" w:space="0" w:color="auto"/>
        <w:bottom w:val="none" w:sz="0" w:space="0" w:color="auto"/>
        <w:right w:val="none" w:sz="0" w:space="0" w:color="auto"/>
      </w:divBdr>
    </w:div>
    <w:div w:id="487286688">
      <w:bodyDiv w:val="1"/>
      <w:marLeft w:val="0"/>
      <w:marRight w:val="0"/>
      <w:marTop w:val="0"/>
      <w:marBottom w:val="0"/>
      <w:divBdr>
        <w:top w:val="none" w:sz="0" w:space="0" w:color="auto"/>
        <w:left w:val="none" w:sz="0" w:space="0" w:color="auto"/>
        <w:bottom w:val="none" w:sz="0" w:space="0" w:color="auto"/>
        <w:right w:val="none" w:sz="0" w:space="0" w:color="auto"/>
      </w:divBdr>
    </w:div>
    <w:div w:id="707530236">
      <w:bodyDiv w:val="1"/>
      <w:marLeft w:val="0"/>
      <w:marRight w:val="0"/>
      <w:marTop w:val="0"/>
      <w:marBottom w:val="0"/>
      <w:divBdr>
        <w:top w:val="none" w:sz="0" w:space="0" w:color="auto"/>
        <w:left w:val="none" w:sz="0" w:space="0" w:color="auto"/>
        <w:bottom w:val="none" w:sz="0" w:space="0" w:color="auto"/>
        <w:right w:val="none" w:sz="0" w:space="0" w:color="auto"/>
      </w:divBdr>
    </w:div>
    <w:div w:id="867572541">
      <w:bodyDiv w:val="1"/>
      <w:marLeft w:val="0"/>
      <w:marRight w:val="0"/>
      <w:marTop w:val="0"/>
      <w:marBottom w:val="0"/>
      <w:divBdr>
        <w:top w:val="none" w:sz="0" w:space="0" w:color="auto"/>
        <w:left w:val="none" w:sz="0" w:space="0" w:color="auto"/>
        <w:bottom w:val="none" w:sz="0" w:space="0" w:color="auto"/>
        <w:right w:val="none" w:sz="0" w:space="0" w:color="auto"/>
      </w:divBdr>
    </w:div>
    <w:div w:id="925461399">
      <w:bodyDiv w:val="1"/>
      <w:marLeft w:val="0"/>
      <w:marRight w:val="0"/>
      <w:marTop w:val="0"/>
      <w:marBottom w:val="0"/>
      <w:divBdr>
        <w:top w:val="none" w:sz="0" w:space="0" w:color="auto"/>
        <w:left w:val="none" w:sz="0" w:space="0" w:color="auto"/>
        <w:bottom w:val="none" w:sz="0" w:space="0" w:color="auto"/>
        <w:right w:val="none" w:sz="0" w:space="0" w:color="auto"/>
      </w:divBdr>
    </w:div>
    <w:div w:id="1328898493">
      <w:bodyDiv w:val="1"/>
      <w:marLeft w:val="0"/>
      <w:marRight w:val="0"/>
      <w:marTop w:val="0"/>
      <w:marBottom w:val="0"/>
      <w:divBdr>
        <w:top w:val="none" w:sz="0" w:space="0" w:color="auto"/>
        <w:left w:val="none" w:sz="0" w:space="0" w:color="auto"/>
        <w:bottom w:val="none" w:sz="0" w:space="0" w:color="auto"/>
        <w:right w:val="none" w:sz="0" w:space="0" w:color="auto"/>
      </w:divBdr>
    </w:div>
    <w:div w:id="1387416077">
      <w:bodyDiv w:val="1"/>
      <w:marLeft w:val="0"/>
      <w:marRight w:val="0"/>
      <w:marTop w:val="0"/>
      <w:marBottom w:val="0"/>
      <w:divBdr>
        <w:top w:val="none" w:sz="0" w:space="0" w:color="auto"/>
        <w:left w:val="none" w:sz="0" w:space="0" w:color="auto"/>
        <w:bottom w:val="none" w:sz="0" w:space="0" w:color="auto"/>
        <w:right w:val="none" w:sz="0" w:space="0" w:color="auto"/>
      </w:divBdr>
    </w:div>
    <w:div w:id="1681814345">
      <w:bodyDiv w:val="1"/>
      <w:marLeft w:val="0"/>
      <w:marRight w:val="0"/>
      <w:marTop w:val="0"/>
      <w:marBottom w:val="0"/>
      <w:divBdr>
        <w:top w:val="none" w:sz="0" w:space="0" w:color="auto"/>
        <w:left w:val="none" w:sz="0" w:space="0" w:color="auto"/>
        <w:bottom w:val="none" w:sz="0" w:space="0" w:color="auto"/>
        <w:right w:val="none" w:sz="0" w:space="0" w:color="auto"/>
      </w:divBdr>
    </w:div>
    <w:div w:id="194271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yperlink" Target="https://www.sciencedirect.com/science/article/pii/S2451847619300521" TargetMode="External"/><Relationship Id="rId26" Type="http://schemas.openxmlformats.org/officeDocument/2006/relationships/hyperlink" Target="https://www.sciencedirect.com/science/article/pii/S0168822718310933" TargetMode="External"/><Relationship Id="rId3" Type="http://schemas.openxmlformats.org/officeDocument/2006/relationships/styles" Target="styles.xml"/><Relationship Id="rId21" Type="http://schemas.openxmlformats.org/officeDocument/2006/relationships/hyperlink" Target="https://bmcpregnancychildbirth.biomedcentral.com/articles/10.1186/s12884-020-2745-1" TargetMode="External"/><Relationship Id="rId34"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s://www.pharmacytimes.com/view/managing-the-cost-of-diabetes-"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yperlink" Target="https://www.tandfonline.com/doi/abs/10.1080/14767058.2017.1387893" TargetMode="External"/><Relationship Id="rId29" Type="http://schemas.openxmlformats.org/officeDocument/2006/relationships/hyperlink" Target="https://www.ncbi.nlm.nih.gov/pmc/articles/PMC69482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care.diabetesjournals.org/content/diacare/early/2020/10/31/dci20-0053.full.pdf" TargetMode="External"/><Relationship Id="rId32" Type="http://schemas.openxmlformats.org/officeDocument/2006/relationships/hyperlink" Target="https://pubmed.ncbi.nlm.nih.gov/31901175/" TargetMode="Externa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hyperlink" Target="https://www.ncbi.nlm.nih.gov/pmc/articles/PMC7673790/" TargetMode="External"/><Relationship Id="rId28" Type="http://schemas.openxmlformats.org/officeDocument/2006/relationships/hyperlink" Target="https://onlinelibrary.wiley.com/doi/abs/10.1002/dmrr.3271" TargetMode="External"/><Relationship Id="rId10" Type="http://schemas.openxmlformats.org/officeDocument/2006/relationships/diagramQuickStyle" Target="diagrams/quickStyle1.xml"/><Relationship Id="rId19" Type="http://schemas.openxmlformats.org/officeDocument/2006/relationships/hyperlink" Target="https://www.ncbi.nlm.nih.gov/pubmed/28456416" TargetMode="External"/><Relationship Id="rId31" Type="http://schemas.openxmlformats.org/officeDocument/2006/relationships/hyperlink" Target="https://www.physicianassistant.theclinics.com/article/S2405-7991(20)30013-X/abstract"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hyperlink" Target="https://onlinelibrary.wiley.com/doi/abs/10.1002/dmrr.3073" TargetMode="External"/><Relationship Id="rId27" Type="http://schemas.openxmlformats.org/officeDocument/2006/relationships/hyperlink" Target="https://bmcpregnancychildbirth.biomedcentral.com/articles/10.1186/s12884-020-2759-8" TargetMode="External"/><Relationship Id="rId30" Type="http://schemas.openxmlformats.org/officeDocument/2006/relationships/hyperlink" Target="https://www.mdpi.com/566832" TargetMode="External"/><Relationship Id="rId35"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BA7AF8F-AC2D-44E2-9E51-D86E887AC11E}" type="doc">
      <dgm:prSet loTypeId="urn:microsoft.com/office/officeart/2005/8/layout/cycle1" loCatId="cycle" qsTypeId="urn:microsoft.com/office/officeart/2005/8/quickstyle/simple4" qsCatId="simple" csTypeId="urn:microsoft.com/office/officeart/2005/8/colors/colorful3" csCatId="colorful" phldr="1"/>
      <dgm:spPr/>
    </dgm:pt>
    <dgm:pt modelId="{30BD29C3-B905-4DB4-86A3-015DE576F812}">
      <dgm:prSet phldrT="[Text]"/>
      <dgm:spPr/>
      <dgm:t>
        <a:bodyPr/>
        <a:lstStyle/>
        <a:p>
          <a:r>
            <a:rPr lang="en-US" b="1"/>
            <a:t>Policy Development</a:t>
          </a:r>
        </a:p>
      </dgm:t>
    </dgm:pt>
    <dgm:pt modelId="{CE15EBD4-3D3C-42A6-8416-09FAEA0B8766}" type="parTrans" cxnId="{7D7117D9-B598-42BD-A180-10439F15A963}">
      <dgm:prSet/>
      <dgm:spPr/>
      <dgm:t>
        <a:bodyPr/>
        <a:lstStyle/>
        <a:p>
          <a:endParaRPr lang="en-US"/>
        </a:p>
      </dgm:t>
    </dgm:pt>
    <dgm:pt modelId="{80E4ECEA-0FF9-4855-B0BA-9B33C32B0490}" type="sibTrans" cxnId="{7D7117D9-B598-42BD-A180-10439F15A963}">
      <dgm:prSet/>
      <dgm:spPr/>
      <dgm:t>
        <a:bodyPr/>
        <a:lstStyle/>
        <a:p>
          <a:endParaRPr lang="en-US"/>
        </a:p>
      </dgm:t>
    </dgm:pt>
    <dgm:pt modelId="{63FA3AD2-A1C7-4ECB-ACC7-B57DFB2044BD}">
      <dgm:prSet phldrT="[Text]"/>
      <dgm:spPr/>
      <dgm:t>
        <a:bodyPr/>
        <a:lstStyle/>
        <a:p>
          <a:r>
            <a:rPr lang="en-US" b="1"/>
            <a:t>Assurance</a:t>
          </a:r>
        </a:p>
      </dgm:t>
    </dgm:pt>
    <dgm:pt modelId="{48D2AA42-7BD7-413E-9175-29362F5C6FFD}" type="parTrans" cxnId="{A82A0699-56D5-4DAC-AD61-407DCCE0E852}">
      <dgm:prSet/>
      <dgm:spPr/>
      <dgm:t>
        <a:bodyPr/>
        <a:lstStyle/>
        <a:p>
          <a:endParaRPr lang="en-US"/>
        </a:p>
      </dgm:t>
    </dgm:pt>
    <dgm:pt modelId="{AD91E357-35E6-4A1B-8B10-896073BBDB06}" type="sibTrans" cxnId="{A82A0699-56D5-4DAC-AD61-407DCCE0E852}">
      <dgm:prSet/>
      <dgm:spPr/>
      <dgm:t>
        <a:bodyPr/>
        <a:lstStyle/>
        <a:p>
          <a:endParaRPr lang="en-US"/>
        </a:p>
      </dgm:t>
    </dgm:pt>
    <dgm:pt modelId="{53857DE0-EB0A-496F-AA5F-4269ADC79A83}">
      <dgm:prSet phldrT="[Text]"/>
      <dgm:spPr/>
      <dgm:t>
        <a:bodyPr/>
        <a:lstStyle/>
        <a:p>
          <a:r>
            <a:rPr lang="en-US" b="1"/>
            <a:t>Assessment</a:t>
          </a:r>
        </a:p>
      </dgm:t>
    </dgm:pt>
    <dgm:pt modelId="{E9616BAE-3743-4C26-9429-90AAA4CB02D9}" type="parTrans" cxnId="{9553BC16-2FD4-4D79-99D4-156F6F16CDDB}">
      <dgm:prSet/>
      <dgm:spPr/>
      <dgm:t>
        <a:bodyPr/>
        <a:lstStyle/>
        <a:p>
          <a:endParaRPr lang="en-US"/>
        </a:p>
      </dgm:t>
    </dgm:pt>
    <dgm:pt modelId="{AF68BE90-E8C1-4240-9608-E4F0EE4FBFC4}" type="sibTrans" cxnId="{9553BC16-2FD4-4D79-99D4-156F6F16CDDB}">
      <dgm:prSet/>
      <dgm:spPr/>
      <dgm:t>
        <a:bodyPr/>
        <a:lstStyle/>
        <a:p>
          <a:endParaRPr lang="en-US"/>
        </a:p>
      </dgm:t>
    </dgm:pt>
    <dgm:pt modelId="{C03430EE-A3C5-4D9C-88C2-E4834B8CB97A}" type="pres">
      <dgm:prSet presAssocID="{5BA7AF8F-AC2D-44E2-9E51-D86E887AC11E}" presName="cycle" presStyleCnt="0">
        <dgm:presLayoutVars>
          <dgm:dir/>
          <dgm:resizeHandles val="exact"/>
        </dgm:presLayoutVars>
      </dgm:prSet>
      <dgm:spPr/>
    </dgm:pt>
    <dgm:pt modelId="{EE8B03DD-0DB3-44CC-BA42-94CE9EA8CBDF}" type="pres">
      <dgm:prSet presAssocID="{30BD29C3-B905-4DB4-86A3-015DE576F812}" presName="dummy" presStyleCnt="0"/>
      <dgm:spPr/>
    </dgm:pt>
    <dgm:pt modelId="{12B36683-F89F-490C-A40B-0F80EC3922E5}" type="pres">
      <dgm:prSet presAssocID="{30BD29C3-B905-4DB4-86A3-015DE576F812}" presName="node" presStyleLbl="revTx" presStyleIdx="0" presStyleCnt="3">
        <dgm:presLayoutVars>
          <dgm:bulletEnabled val="1"/>
        </dgm:presLayoutVars>
      </dgm:prSet>
      <dgm:spPr/>
    </dgm:pt>
    <dgm:pt modelId="{DEFE90CA-555A-4237-B74E-9F3D90D236A8}" type="pres">
      <dgm:prSet presAssocID="{80E4ECEA-0FF9-4855-B0BA-9B33C32B0490}" presName="sibTrans" presStyleLbl="node1" presStyleIdx="0" presStyleCnt="3"/>
      <dgm:spPr/>
    </dgm:pt>
    <dgm:pt modelId="{123BFA3B-FE17-4CA8-9FBB-BB6E4CAE3337}" type="pres">
      <dgm:prSet presAssocID="{63FA3AD2-A1C7-4ECB-ACC7-B57DFB2044BD}" presName="dummy" presStyleCnt="0"/>
      <dgm:spPr/>
    </dgm:pt>
    <dgm:pt modelId="{2BD0F160-6278-4035-B86F-7B956378D304}" type="pres">
      <dgm:prSet presAssocID="{63FA3AD2-A1C7-4ECB-ACC7-B57DFB2044BD}" presName="node" presStyleLbl="revTx" presStyleIdx="1" presStyleCnt="3">
        <dgm:presLayoutVars>
          <dgm:bulletEnabled val="1"/>
        </dgm:presLayoutVars>
      </dgm:prSet>
      <dgm:spPr/>
    </dgm:pt>
    <dgm:pt modelId="{14F5618F-2E34-4DE4-95AB-89C24736AADE}" type="pres">
      <dgm:prSet presAssocID="{AD91E357-35E6-4A1B-8B10-896073BBDB06}" presName="sibTrans" presStyleLbl="node1" presStyleIdx="1" presStyleCnt="3"/>
      <dgm:spPr/>
    </dgm:pt>
    <dgm:pt modelId="{FD60A156-5517-4FB5-A971-0B26E37877BB}" type="pres">
      <dgm:prSet presAssocID="{53857DE0-EB0A-496F-AA5F-4269ADC79A83}" presName="dummy" presStyleCnt="0"/>
      <dgm:spPr/>
    </dgm:pt>
    <dgm:pt modelId="{2D30DE58-ED82-4D51-800E-4876EA54A833}" type="pres">
      <dgm:prSet presAssocID="{53857DE0-EB0A-496F-AA5F-4269ADC79A83}" presName="node" presStyleLbl="revTx" presStyleIdx="2" presStyleCnt="3">
        <dgm:presLayoutVars>
          <dgm:bulletEnabled val="1"/>
        </dgm:presLayoutVars>
      </dgm:prSet>
      <dgm:spPr/>
    </dgm:pt>
    <dgm:pt modelId="{3E1583C2-C2A4-4C95-BB17-76CE59CF452F}" type="pres">
      <dgm:prSet presAssocID="{AF68BE90-E8C1-4240-9608-E4F0EE4FBFC4}" presName="sibTrans" presStyleLbl="node1" presStyleIdx="2" presStyleCnt="3"/>
      <dgm:spPr/>
    </dgm:pt>
  </dgm:ptLst>
  <dgm:cxnLst>
    <dgm:cxn modelId="{9553BC16-2FD4-4D79-99D4-156F6F16CDDB}" srcId="{5BA7AF8F-AC2D-44E2-9E51-D86E887AC11E}" destId="{53857DE0-EB0A-496F-AA5F-4269ADC79A83}" srcOrd="2" destOrd="0" parTransId="{E9616BAE-3743-4C26-9429-90AAA4CB02D9}" sibTransId="{AF68BE90-E8C1-4240-9608-E4F0EE4FBFC4}"/>
    <dgm:cxn modelId="{811BFE3A-1BA1-46DD-A799-9333718F814B}" type="presOf" srcId="{AD91E357-35E6-4A1B-8B10-896073BBDB06}" destId="{14F5618F-2E34-4DE4-95AB-89C24736AADE}" srcOrd="0" destOrd="0" presId="urn:microsoft.com/office/officeart/2005/8/layout/cycle1"/>
    <dgm:cxn modelId="{A97EB066-39A8-47FC-BEAE-2FB0DF917420}" type="presOf" srcId="{5BA7AF8F-AC2D-44E2-9E51-D86E887AC11E}" destId="{C03430EE-A3C5-4D9C-88C2-E4834B8CB97A}" srcOrd="0" destOrd="0" presId="urn:microsoft.com/office/officeart/2005/8/layout/cycle1"/>
    <dgm:cxn modelId="{60B8EB73-6625-4415-AA4C-0DF724BA4494}" type="presOf" srcId="{53857DE0-EB0A-496F-AA5F-4269ADC79A83}" destId="{2D30DE58-ED82-4D51-800E-4876EA54A833}" srcOrd="0" destOrd="0" presId="urn:microsoft.com/office/officeart/2005/8/layout/cycle1"/>
    <dgm:cxn modelId="{9F40118E-C29F-407C-963F-41772AB5CA62}" type="presOf" srcId="{80E4ECEA-0FF9-4855-B0BA-9B33C32B0490}" destId="{DEFE90CA-555A-4237-B74E-9F3D90D236A8}" srcOrd="0" destOrd="0" presId="urn:microsoft.com/office/officeart/2005/8/layout/cycle1"/>
    <dgm:cxn modelId="{75A62895-873F-4D69-BA62-2F8109FDAE18}" type="presOf" srcId="{63FA3AD2-A1C7-4ECB-ACC7-B57DFB2044BD}" destId="{2BD0F160-6278-4035-B86F-7B956378D304}" srcOrd="0" destOrd="0" presId="urn:microsoft.com/office/officeart/2005/8/layout/cycle1"/>
    <dgm:cxn modelId="{CB47FF96-A80E-4972-8DDC-B6024A890E49}" type="presOf" srcId="{30BD29C3-B905-4DB4-86A3-015DE576F812}" destId="{12B36683-F89F-490C-A40B-0F80EC3922E5}" srcOrd="0" destOrd="0" presId="urn:microsoft.com/office/officeart/2005/8/layout/cycle1"/>
    <dgm:cxn modelId="{A82A0699-56D5-4DAC-AD61-407DCCE0E852}" srcId="{5BA7AF8F-AC2D-44E2-9E51-D86E887AC11E}" destId="{63FA3AD2-A1C7-4ECB-ACC7-B57DFB2044BD}" srcOrd="1" destOrd="0" parTransId="{48D2AA42-7BD7-413E-9175-29362F5C6FFD}" sibTransId="{AD91E357-35E6-4A1B-8B10-896073BBDB06}"/>
    <dgm:cxn modelId="{ED58B7C5-9499-477B-AD28-9E54C7E05CFB}" type="presOf" srcId="{AF68BE90-E8C1-4240-9608-E4F0EE4FBFC4}" destId="{3E1583C2-C2A4-4C95-BB17-76CE59CF452F}" srcOrd="0" destOrd="0" presId="urn:microsoft.com/office/officeart/2005/8/layout/cycle1"/>
    <dgm:cxn modelId="{7D7117D9-B598-42BD-A180-10439F15A963}" srcId="{5BA7AF8F-AC2D-44E2-9E51-D86E887AC11E}" destId="{30BD29C3-B905-4DB4-86A3-015DE576F812}" srcOrd="0" destOrd="0" parTransId="{CE15EBD4-3D3C-42A6-8416-09FAEA0B8766}" sibTransId="{80E4ECEA-0FF9-4855-B0BA-9B33C32B0490}"/>
    <dgm:cxn modelId="{2CEA3B34-E069-42C3-83BA-758351010E3A}" type="presParOf" srcId="{C03430EE-A3C5-4D9C-88C2-E4834B8CB97A}" destId="{EE8B03DD-0DB3-44CC-BA42-94CE9EA8CBDF}" srcOrd="0" destOrd="0" presId="urn:microsoft.com/office/officeart/2005/8/layout/cycle1"/>
    <dgm:cxn modelId="{970E0689-718E-43CE-B05A-2B0C49F48B80}" type="presParOf" srcId="{C03430EE-A3C5-4D9C-88C2-E4834B8CB97A}" destId="{12B36683-F89F-490C-A40B-0F80EC3922E5}" srcOrd="1" destOrd="0" presId="urn:microsoft.com/office/officeart/2005/8/layout/cycle1"/>
    <dgm:cxn modelId="{4D2DDF4B-6058-4640-826F-E348BAE2C09D}" type="presParOf" srcId="{C03430EE-A3C5-4D9C-88C2-E4834B8CB97A}" destId="{DEFE90CA-555A-4237-B74E-9F3D90D236A8}" srcOrd="2" destOrd="0" presId="urn:microsoft.com/office/officeart/2005/8/layout/cycle1"/>
    <dgm:cxn modelId="{F3B2AF12-7248-48A1-90FE-532237A04E86}" type="presParOf" srcId="{C03430EE-A3C5-4D9C-88C2-E4834B8CB97A}" destId="{123BFA3B-FE17-4CA8-9FBB-BB6E4CAE3337}" srcOrd="3" destOrd="0" presId="urn:microsoft.com/office/officeart/2005/8/layout/cycle1"/>
    <dgm:cxn modelId="{EFCFF82C-C198-405D-9CA2-69619044079F}" type="presParOf" srcId="{C03430EE-A3C5-4D9C-88C2-E4834B8CB97A}" destId="{2BD0F160-6278-4035-B86F-7B956378D304}" srcOrd="4" destOrd="0" presId="urn:microsoft.com/office/officeart/2005/8/layout/cycle1"/>
    <dgm:cxn modelId="{BCE23AF9-CD8C-4ED1-AB44-4D82662B792A}" type="presParOf" srcId="{C03430EE-A3C5-4D9C-88C2-E4834B8CB97A}" destId="{14F5618F-2E34-4DE4-95AB-89C24736AADE}" srcOrd="5" destOrd="0" presId="urn:microsoft.com/office/officeart/2005/8/layout/cycle1"/>
    <dgm:cxn modelId="{17C3DF6C-703A-498F-AAAD-DFED70B7DF95}" type="presParOf" srcId="{C03430EE-A3C5-4D9C-88C2-E4834B8CB97A}" destId="{FD60A156-5517-4FB5-A971-0B26E37877BB}" srcOrd="6" destOrd="0" presId="urn:microsoft.com/office/officeart/2005/8/layout/cycle1"/>
    <dgm:cxn modelId="{DD049D7E-F675-443B-BD93-818188F04AE1}" type="presParOf" srcId="{C03430EE-A3C5-4D9C-88C2-E4834B8CB97A}" destId="{2D30DE58-ED82-4D51-800E-4876EA54A833}" srcOrd="7" destOrd="0" presId="urn:microsoft.com/office/officeart/2005/8/layout/cycle1"/>
    <dgm:cxn modelId="{0FEDBC5A-F0DF-4E0F-A1D3-191ECB87360B}" type="presParOf" srcId="{C03430EE-A3C5-4D9C-88C2-E4834B8CB97A}" destId="{3E1583C2-C2A4-4C95-BB17-76CE59CF452F}" srcOrd="8" destOrd="0" presId="urn:microsoft.com/office/officeart/2005/8/layout/cycle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46F9262-82A9-4391-B69D-12C3360A8C3B}" type="doc">
      <dgm:prSet loTypeId="urn:microsoft.com/office/officeart/2005/8/layout/hierarchy2" loCatId="hierarchy" qsTypeId="urn:microsoft.com/office/officeart/2005/8/quickstyle/simple1" qsCatId="simple" csTypeId="urn:microsoft.com/office/officeart/2005/8/colors/colorful5" csCatId="colorful" phldr="1"/>
      <dgm:spPr/>
      <dgm:t>
        <a:bodyPr/>
        <a:lstStyle/>
        <a:p>
          <a:endParaRPr lang="en-US"/>
        </a:p>
      </dgm:t>
    </dgm:pt>
    <dgm:pt modelId="{1EC94CE5-0377-4C67-8172-0B65957F6FFF}">
      <dgm:prSet phldrT="[Text]"/>
      <dgm:spPr/>
      <dgm:t>
        <a:bodyPr/>
        <a:lstStyle/>
        <a:p>
          <a:r>
            <a:rPr lang="en-US" b="1"/>
            <a:t>Risk Factors</a:t>
          </a:r>
        </a:p>
      </dgm:t>
    </dgm:pt>
    <dgm:pt modelId="{2FF91778-27C9-4CC0-94F4-870FBC0B5CCF}" type="parTrans" cxnId="{64FEC681-5646-4A51-9320-8BFEE9710EA1}">
      <dgm:prSet/>
      <dgm:spPr/>
      <dgm:t>
        <a:bodyPr/>
        <a:lstStyle/>
        <a:p>
          <a:endParaRPr lang="en-US"/>
        </a:p>
      </dgm:t>
    </dgm:pt>
    <dgm:pt modelId="{BAD9D7EC-CD2A-4853-A7A2-2BAD1B015AE7}" type="sibTrans" cxnId="{64FEC681-5646-4A51-9320-8BFEE9710EA1}">
      <dgm:prSet/>
      <dgm:spPr/>
      <dgm:t>
        <a:bodyPr/>
        <a:lstStyle/>
        <a:p>
          <a:endParaRPr lang="en-US"/>
        </a:p>
      </dgm:t>
    </dgm:pt>
    <dgm:pt modelId="{B965A349-52D0-4DC4-8010-838738E01CF5}">
      <dgm:prSet phldrT="[Text]"/>
      <dgm:spPr/>
      <dgm:t>
        <a:bodyPr/>
        <a:lstStyle/>
        <a:p>
          <a:r>
            <a:rPr lang="en-US" b="1"/>
            <a:t>Modifiable Factors</a:t>
          </a:r>
        </a:p>
      </dgm:t>
    </dgm:pt>
    <dgm:pt modelId="{7F4FE3FD-591A-4910-83F6-5FB4C1B5A6C1}" type="parTrans" cxnId="{315D4462-F350-410A-B1FB-D3CA851C5595}">
      <dgm:prSet/>
      <dgm:spPr/>
      <dgm:t>
        <a:bodyPr/>
        <a:lstStyle/>
        <a:p>
          <a:endParaRPr lang="en-US"/>
        </a:p>
      </dgm:t>
    </dgm:pt>
    <dgm:pt modelId="{9D83A344-D5BA-4960-B638-86679DF187BF}" type="sibTrans" cxnId="{315D4462-F350-410A-B1FB-D3CA851C5595}">
      <dgm:prSet/>
      <dgm:spPr/>
      <dgm:t>
        <a:bodyPr/>
        <a:lstStyle/>
        <a:p>
          <a:endParaRPr lang="en-US"/>
        </a:p>
      </dgm:t>
    </dgm:pt>
    <dgm:pt modelId="{61AC6370-6A77-450E-8FE2-D4727C7F8DEF}">
      <dgm:prSet phldrT="[Text]"/>
      <dgm:spPr/>
      <dgm:t>
        <a:bodyPr/>
        <a:lstStyle/>
        <a:p>
          <a:r>
            <a:rPr lang="en-US" b="1"/>
            <a:t>Non-Modifiable Risk Factors</a:t>
          </a:r>
        </a:p>
      </dgm:t>
    </dgm:pt>
    <dgm:pt modelId="{6BE4CA18-D242-403C-BEFC-96099226F75F}" type="parTrans" cxnId="{00D6A052-FC2D-4922-8AAC-114618F7474A}">
      <dgm:prSet/>
      <dgm:spPr/>
      <dgm:t>
        <a:bodyPr/>
        <a:lstStyle/>
        <a:p>
          <a:endParaRPr lang="en-US"/>
        </a:p>
      </dgm:t>
    </dgm:pt>
    <dgm:pt modelId="{203B7F70-0785-40B9-88AB-7E44DE1920C2}" type="sibTrans" cxnId="{00D6A052-FC2D-4922-8AAC-114618F7474A}">
      <dgm:prSet/>
      <dgm:spPr/>
      <dgm:t>
        <a:bodyPr/>
        <a:lstStyle/>
        <a:p>
          <a:endParaRPr lang="en-US"/>
        </a:p>
      </dgm:t>
    </dgm:pt>
    <dgm:pt modelId="{C929AA1F-C539-4B72-82C9-74B741885C24}" type="pres">
      <dgm:prSet presAssocID="{246F9262-82A9-4391-B69D-12C3360A8C3B}" presName="diagram" presStyleCnt="0">
        <dgm:presLayoutVars>
          <dgm:chPref val="1"/>
          <dgm:dir/>
          <dgm:animOne val="branch"/>
          <dgm:animLvl val="lvl"/>
          <dgm:resizeHandles val="exact"/>
        </dgm:presLayoutVars>
      </dgm:prSet>
      <dgm:spPr/>
    </dgm:pt>
    <dgm:pt modelId="{03E3F0C1-90C6-414F-BB95-25DCC17EB82A}" type="pres">
      <dgm:prSet presAssocID="{1EC94CE5-0377-4C67-8172-0B65957F6FFF}" presName="root1" presStyleCnt="0"/>
      <dgm:spPr/>
    </dgm:pt>
    <dgm:pt modelId="{0E58C149-6301-488D-8E66-755AE1F4943E}" type="pres">
      <dgm:prSet presAssocID="{1EC94CE5-0377-4C67-8172-0B65957F6FFF}" presName="LevelOneTextNode" presStyleLbl="node0" presStyleIdx="0" presStyleCnt="1">
        <dgm:presLayoutVars>
          <dgm:chPref val="3"/>
        </dgm:presLayoutVars>
      </dgm:prSet>
      <dgm:spPr/>
    </dgm:pt>
    <dgm:pt modelId="{49AA6C96-C2D2-4B2B-AB6D-55C5E6169200}" type="pres">
      <dgm:prSet presAssocID="{1EC94CE5-0377-4C67-8172-0B65957F6FFF}" presName="level2hierChild" presStyleCnt="0"/>
      <dgm:spPr/>
    </dgm:pt>
    <dgm:pt modelId="{56C25859-9163-4540-93A9-4664A702140B}" type="pres">
      <dgm:prSet presAssocID="{7F4FE3FD-591A-4910-83F6-5FB4C1B5A6C1}" presName="conn2-1" presStyleLbl="parChTrans1D2" presStyleIdx="0" presStyleCnt="2"/>
      <dgm:spPr/>
    </dgm:pt>
    <dgm:pt modelId="{A8FD4718-8E10-4BF0-850F-DB5D4C3FBA7E}" type="pres">
      <dgm:prSet presAssocID="{7F4FE3FD-591A-4910-83F6-5FB4C1B5A6C1}" presName="connTx" presStyleLbl="parChTrans1D2" presStyleIdx="0" presStyleCnt="2"/>
      <dgm:spPr/>
    </dgm:pt>
    <dgm:pt modelId="{D5C7D7ED-3374-411D-AF5A-B23D3AFEB2B9}" type="pres">
      <dgm:prSet presAssocID="{B965A349-52D0-4DC4-8010-838738E01CF5}" presName="root2" presStyleCnt="0"/>
      <dgm:spPr/>
    </dgm:pt>
    <dgm:pt modelId="{6B5D0914-2697-4893-8899-C97A4975FCE6}" type="pres">
      <dgm:prSet presAssocID="{B965A349-52D0-4DC4-8010-838738E01CF5}" presName="LevelTwoTextNode" presStyleLbl="node2" presStyleIdx="0" presStyleCnt="2">
        <dgm:presLayoutVars>
          <dgm:chPref val="3"/>
        </dgm:presLayoutVars>
      </dgm:prSet>
      <dgm:spPr/>
    </dgm:pt>
    <dgm:pt modelId="{7F0229E5-9EE3-4767-9295-D197599D9C27}" type="pres">
      <dgm:prSet presAssocID="{B965A349-52D0-4DC4-8010-838738E01CF5}" presName="level3hierChild" presStyleCnt="0"/>
      <dgm:spPr/>
    </dgm:pt>
    <dgm:pt modelId="{C39C6752-9133-4E85-861F-EA9880CB7486}" type="pres">
      <dgm:prSet presAssocID="{6BE4CA18-D242-403C-BEFC-96099226F75F}" presName="conn2-1" presStyleLbl="parChTrans1D2" presStyleIdx="1" presStyleCnt="2"/>
      <dgm:spPr/>
    </dgm:pt>
    <dgm:pt modelId="{A52FF3AA-6DF4-4ACD-AD4F-B58B5C30E8C0}" type="pres">
      <dgm:prSet presAssocID="{6BE4CA18-D242-403C-BEFC-96099226F75F}" presName="connTx" presStyleLbl="parChTrans1D2" presStyleIdx="1" presStyleCnt="2"/>
      <dgm:spPr/>
    </dgm:pt>
    <dgm:pt modelId="{FC1426C0-FD8B-49E7-A5B9-9425C424A6F5}" type="pres">
      <dgm:prSet presAssocID="{61AC6370-6A77-450E-8FE2-D4727C7F8DEF}" presName="root2" presStyleCnt="0"/>
      <dgm:spPr/>
    </dgm:pt>
    <dgm:pt modelId="{70257885-664A-4FC5-979D-61C922135E56}" type="pres">
      <dgm:prSet presAssocID="{61AC6370-6A77-450E-8FE2-D4727C7F8DEF}" presName="LevelTwoTextNode" presStyleLbl="node2" presStyleIdx="1" presStyleCnt="2">
        <dgm:presLayoutVars>
          <dgm:chPref val="3"/>
        </dgm:presLayoutVars>
      </dgm:prSet>
      <dgm:spPr/>
    </dgm:pt>
    <dgm:pt modelId="{10256EFD-67AC-480B-BAC0-5EE6B4AFA5D4}" type="pres">
      <dgm:prSet presAssocID="{61AC6370-6A77-450E-8FE2-D4727C7F8DEF}" presName="level3hierChild" presStyleCnt="0"/>
      <dgm:spPr/>
    </dgm:pt>
  </dgm:ptLst>
  <dgm:cxnLst>
    <dgm:cxn modelId="{ACB9AD3D-1FC8-43FD-A5AA-CA507889BB07}" type="presOf" srcId="{7F4FE3FD-591A-4910-83F6-5FB4C1B5A6C1}" destId="{56C25859-9163-4540-93A9-4664A702140B}" srcOrd="0" destOrd="0" presId="urn:microsoft.com/office/officeart/2005/8/layout/hierarchy2"/>
    <dgm:cxn modelId="{315D4462-F350-410A-B1FB-D3CA851C5595}" srcId="{1EC94CE5-0377-4C67-8172-0B65957F6FFF}" destId="{B965A349-52D0-4DC4-8010-838738E01CF5}" srcOrd="0" destOrd="0" parTransId="{7F4FE3FD-591A-4910-83F6-5FB4C1B5A6C1}" sibTransId="{9D83A344-D5BA-4960-B638-86679DF187BF}"/>
    <dgm:cxn modelId="{996EFD44-6041-46A4-8F01-B0487AA5B8BE}" type="presOf" srcId="{6BE4CA18-D242-403C-BEFC-96099226F75F}" destId="{C39C6752-9133-4E85-861F-EA9880CB7486}" srcOrd="0" destOrd="0" presId="urn:microsoft.com/office/officeart/2005/8/layout/hierarchy2"/>
    <dgm:cxn modelId="{6CCCDF46-D141-4719-B570-96126C214050}" type="presOf" srcId="{61AC6370-6A77-450E-8FE2-D4727C7F8DEF}" destId="{70257885-664A-4FC5-979D-61C922135E56}" srcOrd="0" destOrd="0" presId="urn:microsoft.com/office/officeart/2005/8/layout/hierarchy2"/>
    <dgm:cxn modelId="{00D6A052-FC2D-4922-8AAC-114618F7474A}" srcId="{1EC94CE5-0377-4C67-8172-0B65957F6FFF}" destId="{61AC6370-6A77-450E-8FE2-D4727C7F8DEF}" srcOrd="1" destOrd="0" parTransId="{6BE4CA18-D242-403C-BEFC-96099226F75F}" sibTransId="{203B7F70-0785-40B9-88AB-7E44DE1920C2}"/>
    <dgm:cxn modelId="{30E63D55-D24A-4240-B24E-8594FAAD6672}" type="presOf" srcId="{7F4FE3FD-591A-4910-83F6-5FB4C1B5A6C1}" destId="{A8FD4718-8E10-4BF0-850F-DB5D4C3FBA7E}" srcOrd="1" destOrd="0" presId="urn:microsoft.com/office/officeart/2005/8/layout/hierarchy2"/>
    <dgm:cxn modelId="{64FEC681-5646-4A51-9320-8BFEE9710EA1}" srcId="{246F9262-82A9-4391-B69D-12C3360A8C3B}" destId="{1EC94CE5-0377-4C67-8172-0B65957F6FFF}" srcOrd="0" destOrd="0" parTransId="{2FF91778-27C9-4CC0-94F4-870FBC0B5CCF}" sibTransId="{BAD9D7EC-CD2A-4853-A7A2-2BAD1B015AE7}"/>
    <dgm:cxn modelId="{4607088A-327C-41AE-9768-7CDE54D98678}" type="presOf" srcId="{246F9262-82A9-4391-B69D-12C3360A8C3B}" destId="{C929AA1F-C539-4B72-82C9-74B741885C24}" srcOrd="0" destOrd="0" presId="urn:microsoft.com/office/officeart/2005/8/layout/hierarchy2"/>
    <dgm:cxn modelId="{6688078C-B6FD-47FA-A990-1D131E788C74}" type="presOf" srcId="{B965A349-52D0-4DC4-8010-838738E01CF5}" destId="{6B5D0914-2697-4893-8899-C97A4975FCE6}" srcOrd="0" destOrd="0" presId="urn:microsoft.com/office/officeart/2005/8/layout/hierarchy2"/>
    <dgm:cxn modelId="{7B016FCE-A0C9-49B5-B603-59F3F86EA9E9}" type="presOf" srcId="{6BE4CA18-D242-403C-BEFC-96099226F75F}" destId="{A52FF3AA-6DF4-4ACD-AD4F-B58B5C30E8C0}" srcOrd="1" destOrd="0" presId="urn:microsoft.com/office/officeart/2005/8/layout/hierarchy2"/>
    <dgm:cxn modelId="{CF3962F5-25FF-4354-B750-90FA74EB4A8E}" type="presOf" srcId="{1EC94CE5-0377-4C67-8172-0B65957F6FFF}" destId="{0E58C149-6301-488D-8E66-755AE1F4943E}" srcOrd="0" destOrd="0" presId="urn:microsoft.com/office/officeart/2005/8/layout/hierarchy2"/>
    <dgm:cxn modelId="{A41197B4-571D-4E10-B183-8EA6B99E9C27}" type="presParOf" srcId="{C929AA1F-C539-4B72-82C9-74B741885C24}" destId="{03E3F0C1-90C6-414F-BB95-25DCC17EB82A}" srcOrd="0" destOrd="0" presId="urn:microsoft.com/office/officeart/2005/8/layout/hierarchy2"/>
    <dgm:cxn modelId="{BB514D21-989A-4627-85F4-F912E7DEFF62}" type="presParOf" srcId="{03E3F0C1-90C6-414F-BB95-25DCC17EB82A}" destId="{0E58C149-6301-488D-8E66-755AE1F4943E}" srcOrd="0" destOrd="0" presId="urn:microsoft.com/office/officeart/2005/8/layout/hierarchy2"/>
    <dgm:cxn modelId="{B423E8B1-0282-41DF-9A12-8A42D4928E91}" type="presParOf" srcId="{03E3F0C1-90C6-414F-BB95-25DCC17EB82A}" destId="{49AA6C96-C2D2-4B2B-AB6D-55C5E6169200}" srcOrd="1" destOrd="0" presId="urn:microsoft.com/office/officeart/2005/8/layout/hierarchy2"/>
    <dgm:cxn modelId="{073503CD-A395-469C-AFE0-630F9D5172F9}" type="presParOf" srcId="{49AA6C96-C2D2-4B2B-AB6D-55C5E6169200}" destId="{56C25859-9163-4540-93A9-4664A702140B}" srcOrd="0" destOrd="0" presId="urn:microsoft.com/office/officeart/2005/8/layout/hierarchy2"/>
    <dgm:cxn modelId="{FEFFD916-85BE-49B7-B8AC-08558FC417E4}" type="presParOf" srcId="{56C25859-9163-4540-93A9-4664A702140B}" destId="{A8FD4718-8E10-4BF0-850F-DB5D4C3FBA7E}" srcOrd="0" destOrd="0" presId="urn:microsoft.com/office/officeart/2005/8/layout/hierarchy2"/>
    <dgm:cxn modelId="{D79A9163-837D-411B-AD2B-51275BE99FC4}" type="presParOf" srcId="{49AA6C96-C2D2-4B2B-AB6D-55C5E6169200}" destId="{D5C7D7ED-3374-411D-AF5A-B23D3AFEB2B9}" srcOrd="1" destOrd="0" presId="urn:microsoft.com/office/officeart/2005/8/layout/hierarchy2"/>
    <dgm:cxn modelId="{0DA2A334-1846-4884-B729-08A2D9E92F0E}" type="presParOf" srcId="{D5C7D7ED-3374-411D-AF5A-B23D3AFEB2B9}" destId="{6B5D0914-2697-4893-8899-C97A4975FCE6}" srcOrd="0" destOrd="0" presId="urn:microsoft.com/office/officeart/2005/8/layout/hierarchy2"/>
    <dgm:cxn modelId="{A7C78940-6702-4D8E-B1C8-F78990D9E8E7}" type="presParOf" srcId="{D5C7D7ED-3374-411D-AF5A-B23D3AFEB2B9}" destId="{7F0229E5-9EE3-4767-9295-D197599D9C27}" srcOrd="1" destOrd="0" presId="urn:microsoft.com/office/officeart/2005/8/layout/hierarchy2"/>
    <dgm:cxn modelId="{AA781862-DE96-4A3A-85FF-5A4E19A14364}" type="presParOf" srcId="{49AA6C96-C2D2-4B2B-AB6D-55C5E6169200}" destId="{C39C6752-9133-4E85-861F-EA9880CB7486}" srcOrd="2" destOrd="0" presId="urn:microsoft.com/office/officeart/2005/8/layout/hierarchy2"/>
    <dgm:cxn modelId="{3D1B80BB-0546-4F10-97ED-A942CBF1897B}" type="presParOf" srcId="{C39C6752-9133-4E85-861F-EA9880CB7486}" destId="{A52FF3AA-6DF4-4ACD-AD4F-B58B5C30E8C0}" srcOrd="0" destOrd="0" presId="urn:microsoft.com/office/officeart/2005/8/layout/hierarchy2"/>
    <dgm:cxn modelId="{B843D8A0-44B2-452D-8749-6477C0842748}" type="presParOf" srcId="{49AA6C96-C2D2-4B2B-AB6D-55C5E6169200}" destId="{FC1426C0-FD8B-49E7-A5B9-9425C424A6F5}" srcOrd="3" destOrd="0" presId="urn:microsoft.com/office/officeart/2005/8/layout/hierarchy2"/>
    <dgm:cxn modelId="{3750700A-21B6-4166-98F1-0BA4E175A5C5}" type="presParOf" srcId="{FC1426C0-FD8B-49E7-A5B9-9425C424A6F5}" destId="{70257885-664A-4FC5-979D-61C922135E56}" srcOrd="0" destOrd="0" presId="urn:microsoft.com/office/officeart/2005/8/layout/hierarchy2"/>
    <dgm:cxn modelId="{35F7161B-7C2B-4492-A6D1-FC4F4FB673AB}" type="presParOf" srcId="{FC1426C0-FD8B-49E7-A5B9-9425C424A6F5}" destId="{10256EFD-67AC-480B-BAC0-5EE6B4AFA5D4}" srcOrd="1" destOrd="0" presId="urn:microsoft.com/office/officeart/2005/8/layout/hierarchy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B36683-F89F-490C-A40B-0F80EC3922E5}">
      <dsp:nvSpPr>
        <dsp:cNvPr id="0" name=""/>
        <dsp:cNvSpPr/>
      </dsp:nvSpPr>
      <dsp:spPr>
        <a:xfrm>
          <a:off x="3188223" y="181934"/>
          <a:ext cx="925478" cy="9254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Policy Development</a:t>
          </a:r>
        </a:p>
      </dsp:txBody>
      <dsp:txXfrm>
        <a:off x="3188223" y="181934"/>
        <a:ext cx="925478" cy="925478"/>
      </dsp:txXfrm>
    </dsp:sp>
    <dsp:sp modelId="{DEFE90CA-555A-4237-B74E-9F3D90D236A8}">
      <dsp:nvSpPr>
        <dsp:cNvPr id="0" name=""/>
        <dsp:cNvSpPr/>
      </dsp:nvSpPr>
      <dsp:spPr>
        <a:xfrm>
          <a:off x="1776565" y="-690"/>
          <a:ext cx="2190443" cy="2190443"/>
        </a:xfrm>
        <a:prstGeom prst="circularArrow">
          <a:avLst>
            <a:gd name="adj1" fmla="val 8239"/>
            <a:gd name="adj2" fmla="val 575302"/>
            <a:gd name="adj3" fmla="val 2967585"/>
            <a:gd name="adj4" fmla="val 49223"/>
            <a:gd name="adj5" fmla="val 9612"/>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2BD0F160-6278-4035-B86F-7B956378D304}">
      <dsp:nvSpPr>
        <dsp:cNvPr id="0" name=""/>
        <dsp:cNvSpPr/>
      </dsp:nvSpPr>
      <dsp:spPr>
        <a:xfrm>
          <a:off x="2409048" y="1531505"/>
          <a:ext cx="925478" cy="9254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Assurance</a:t>
          </a:r>
        </a:p>
      </dsp:txBody>
      <dsp:txXfrm>
        <a:off x="2409048" y="1531505"/>
        <a:ext cx="925478" cy="925478"/>
      </dsp:txXfrm>
    </dsp:sp>
    <dsp:sp modelId="{14F5618F-2E34-4DE4-95AB-89C24736AADE}">
      <dsp:nvSpPr>
        <dsp:cNvPr id="0" name=""/>
        <dsp:cNvSpPr/>
      </dsp:nvSpPr>
      <dsp:spPr>
        <a:xfrm>
          <a:off x="1776565" y="-690"/>
          <a:ext cx="2190443" cy="2190443"/>
        </a:xfrm>
        <a:prstGeom prst="circularArrow">
          <a:avLst>
            <a:gd name="adj1" fmla="val 8239"/>
            <a:gd name="adj2" fmla="val 575302"/>
            <a:gd name="adj3" fmla="val 10175475"/>
            <a:gd name="adj4" fmla="val 7257113"/>
            <a:gd name="adj5" fmla="val 9612"/>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2D30DE58-ED82-4D51-800E-4876EA54A833}">
      <dsp:nvSpPr>
        <dsp:cNvPr id="0" name=""/>
        <dsp:cNvSpPr/>
      </dsp:nvSpPr>
      <dsp:spPr>
        <a:xfrm>
          <a:off x="1629872" y="181934"/>
          <a:ext cx="925478" cy="9254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Assessment</a:t>
          </a:r>
        </a:p>
      </dsp:txBody>
      <dsp:txXfrm>
        <a:off x="1629872" y="181934"/>
        <a:ext cx="925478" cy="925478"/>
      </dsp:txXfrm>
    </dsp:sp>
    <dsp:sp modelId="{3E1583C2-C2A4-4C95-BB17-76CE59CF452F}">
      <dsp:nvSpPr>
        <dsp:cNvPr id="0" name=""/>
        <dsp:cNvSpPr/>
      </dsp:nvSpPr>
      <dsp:spPr>
        <a:xfrm>
          <a:off x="1776565" y="-690"/>
          <a:ext cx="2190443" cy="2190443"/>
        </a:xfrm>
        <a:prstGeom prst="circularArrow">
          <a:avLst>
            <a:gd name="adj1" fmla="val 8239"/>
            <a:gd name="adj2" fmla="val 575302"/>
            <a:gd name="adj3" fmla="val 16860205"/>
            <a:gd name="adj4" fmla="val 14964493"/>
            <a:gd name="adj5" fmla="val 9612"/>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58C149-6301-488D-8E66-755AE1F4943E}">
      <dsp:nvSpPr>
        <dsp:cNvPr id="0" name=""/>
        <dsp:cNvSpPr/>
      </dsp:nvSpPr>
      <dsp:spPr>
        <a:xfrm>
          <a:off x="1308615" y="377204"/>
          <a:ext cx="1310580" cy="655290"/>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b="1" kern="1200"/>
            <a:t>Risk Factors</a:t>
          </a:r>
        </a:p>
      </dsp:txBody>
      <dsp:txXfrm>
        <a:off x="1327808" y="396397"/>
        <a:ext cx="1272194" cy="616904"/>
      </dsp:txXfrm>
    </dsp:sp>
    <dsp:sp modelId="{56C25859-9163-4540-93A9-4664A702140B}">
      <dsp:nvSpPr>
        <dsp:cNvPr id="0" name=""/>
        <dsp:cNvSpPr/>
      </dsp:nvSpPr>
      <dsp:spPr>
        <a:xfrm rot="19457599">
          <a:off x="2558515" y="474618"/>
          <a:ext cx="645593" cy="83671"/>
        </a:xfrm>
        <a:custGeom>
          <a:avLst/>
          <a:gdLst/>
          <a:ahLst/>
          <a:cxnLst/>
          <a:rect l="0" t="0" r="0" b="0"/>
          <a:pathLst>
            <a:path>
              <a:moveTo>
                <a:pt x="0" y="41835"/>
              </a:moveTo>
              <a:lnTo>
                <a:pt x="645593" y="4183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865172" y="500314"/>
        <a:ext cx="32279" cy="32279"/>
      </dsp:txXfrm>
    </dsp:sp>
    <dsp:sp modelId="{6B5D0914-2697-4893-8899-C97A4975FCE6}">
      <dsp:nvSpPr>
        <dsp:cNvPr id="0" name=""/>
        <dsp:cNvSpPr/>
      </dsp:nvSpPr>
      <dsp:spPr>
        <a:xfrm>
          <a:off x="3143428" y="412"/>
          <a:ext cx="1310580" cy="655290"/>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b="1" kern="1200"/>
            <a:t>Modifiable Factors</a:t>
          </a:r>
        </a:p>
      </dsp:txBody>
      <dsp:txXfrm>
        <a:off x="3162621" y="19605"/>
        <a:ext cx="1272194" cy="616904"/>
      </dsp:txXfrm>
    </dsp:sp>
    <dsp:sp modelId="{C39C6752-9133-4E85-861F-EA9880CB7486}">
      <dsp:nvSpPr>
        <dsp:cNvPr id="0" name=""/>
        <dsp:cNvSpPr/>
      </dsp:nvSpPr>
      <dsp:spPr>
        <a:xfrm rot="2142401">
          <a:off x="2558515" y="851410"/>
          <a:ext cx="645593" cy="83671"/>
        </a:xfrm>
        <a:custGeom>
          <a:avLst/>
          <a:gdLst/>
          <a:ahLst/>
          <a:cxnLst/>
          <a:rect l="0" t="0" r="0" b="0"/>
          <a:pathLst>
            <a:path>
              <a:moveTo>
                <a:pt x="0" y="41835"/>
              </a:moveTo>
              <a:lnTo>
                <a:pt x="645593" y="4183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865172" y="877106"/>
        <a:ext cx="32279" cy="32279"/>
      </dsp:txXfrm>
    </dsp:sp>
    <dsp:sp modelId="{70257885-664A-4FC5-979D-61C922135E56}">
      <dsp:nvSpPr>
        <dsp:cNvPr id="0" name=""/>
        <dsp:cNvSpPr/>
      </dsp:nvSpPr>
      <dsp:spPr>
        <a:xfrm>
          <a:off x="3143428" y="753996"/>
          <a:ext cx="1310580" cy="655290"/>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b="1" kern="1200"/>
            <a:t>Non-Modifiable Risk Factors</a:t>
          </a:r>
        </a:p>
      </dsp:txBody>
      <dsp:txXfrm>
        <a:off x="3162621" y="773189"/>
        <a:ext cx="1272194" cy="616904"/>
      </dsp:txXfrm>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1316B-4181-4CD6-9402-B96A75093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2961</Words>
  <Characters>16884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dc:creator>
  <cp:keywords/>
  <dc:description/>
  <cp:lastModifiedBy>Sonia Tariq (2208954)</cp:lastModifiedBy>
  <cp:revision>2</cp:revision>
  <dcterms:created xsi:type="dcterms:W3CDTF">2023-03-30T11:38:00Z</dcterms:created>
  <dcterms:modified xsi:type="dcterms:W3CDTF">2023-03-30T11:38:00Z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78e98ba253243fa8f2f00c59b121192596b6dc298c853c9a7aef71a1d73ce787</vt:lpwstr>
  </property>
</Properties>
</file>