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E7443" w14:textId="79006569" w:rsidR="00AA2364" w:rsidRPr="004F5C4A" w:rsidRDefault="00AA2364" w:rsidP="004F5C4A">
      <w:pPr>
        <w:rPr>
          <w:rFonts w:eastAsia="Times New Roman" w:cs="Times New Roman"/>
          <w:b/>
          <w:bCs/>
          <w:kern w:val="0"/>
          <w:lang w:eastAsia="en-GB"/>
          <w14:ligatures w14:val="none"/>
        </w:rPr>
      </w:pPr>
      <w:r w:rsidRPr="004F5C4A">
        <w:rPr>
          <w:rFonts w:eastAsia="Times New Roman" w:cs="Times New Roman"/>
          <w:b/>
          <w:bCs/>
          <w:kern w:val="0"/>
          <w:lang w:eastAsia="en-GB"/>
          <w14:ligatures w14:val="none"/>
        </w:rPr>
        <w:t>Part A: The poster content Project proposal</w:t>
      </w:r>
    </w:p>
    <w:p w14:paraId="0EEF5C17" w14:textId="77777777" w:rsidR="004F5C4A" w:rsidRPr="004F5C4A" w:rsidRDefault="004F5C4A" w:rsidP="004F5C4A">
      <w:pPr>
        <w:rPr>
          <w:rFonts w:eastAsia="Times New Roman" w:cs="Times New Roman"/>
          <w:b/>
          <w:bCs/>
          <w:kern w:val="0"/>
          <w:lang w:eastAsia="en-GB"/>
          <w14:ligatures w14:val="none"/>
        </w:rPr>
      </w:pPr>
    </w:p>
    <w:p w14:paraId="54168EC0" w14:textId="3B893C48" w:rsidR="00AA2364" w:rsidRPr="004F5C4A" w:rsidRDefault="00AA2364" w:rsidP="004F5C4A">
      <w:pPr>
        <w:rPr>
          <w:rFonts w:eastAsia="Times New Roman" w:cs="Times New Roman"/>
          <w:b/>
          <w:bCs/>
          <w:kern w:val="0"/>
          <w:lang w:eastAsia="en-GB"/>
          <w14:ligatures w14:val="none"/>
        </w:rPr>
      </w:pPr>
      <w:r w:rsidRPr="004F5C4A">
        <w:rPr>
          <w:rFonts w:eastAsia="Times New Roman" w:cs="Times New Roman"/>
          <w:b/>
          <w:bCs/>
          <w:kern w:val="0"/>
          <w:lang w:eastAsia="en-GB"/>
          <w14:ligatures w14:val="none"/>
        </w:rPr>
        <w:t>Project Title:</w:t>
      </w:r>
      <w:r w:rsidR="004F5C4A" w:rsidRPr="004F5C4A">
        <w:rPr>
          <w:rFonts w:eastAsia="Times New Roman" w:cs="Times New Roman"/>
          <w:b/>
          <w:bCs/>
          <w:kern w:val="0"/>
          <w:lang w:eastAsia="en-GB"/>
          <w14:ligatures w14:val="none"/>
        </w:rPr>
        <w:t xml:space="preserve"> </w:t>
      </w:r>
      <w:r w:rsidRPr="004F5C4A">
        <w:rPr>
          <w:rFonts w:eastAsia="Times New Roman" w:cs="Times New Roman"/>
          <w:b/>
          <w:bCs/>
          <w:kern w:val="0"/>
          <w:lang w:eastAsia="en-GB"/>
          <w14:ligatures w14:val="none"/>
        </w:rPr>
        <w:t>Reconstruction of the Principal Transportation Corridor, British Columbia, Canada.</w:t>
      </w:r>
    </w:p>
    <w:p w14:paraId="4963572B" w14:textId="77777777" w:rsidR="004F5C4A" w:rsidRPr="004F5C4A" w:rsidRDefault="004F5C4A" w:rsidP="004F5C4A">
      <w:pPr>
        <w:rPr>
          <w:rFonts w:eastAsia="Times New Roman" w:cs="Times New Roman"/>
          <w:kern w:val="0"/>
          <w:lang w:eastAsia="en-GB"/>
          <w14:ligatures w14:val="none"/>
        </w:rPr>
      </w:pPr>
    </w:p>
    <w:p w14:paraId="30A7AA12" w14:textId="77777777" w:rsidR="004F5C4A" w:rsidRPr="004F5C4A" w:rsidRDefault="004F5C4A" w:rsidP="004F5C4A">
      <w:pPr>
        <w:rPr>
          <w:rFonts w:eastAsia="Times New Roman" w:cs="Times New Roman"/>
          <w:kern w:val="0"/>
          <w:lang w:eastAsia="en-GB"/>
          <w14:ligatures w14:val="none"/>
        </w:rPr>
      </w:pPr>
    </w:p>
    <w:p w14:paraId="006F3BE3" w14:textId="0313FB98" w:rsidR="00AA2364" w:rsidRDefault="00AA2364" w:rsidP="004F5C4A">
      <w:pPr>
        <w:rPr>
          <w:rFonts w:eastAsia="Times New Roman" w:cs="Times New Roman"/>
          <w:b/>
          <w:bCs/>
          <w:kern w:val="0"/>
          <w:lang w:eastAsia="en-GB"/>
          <w14:ligatures w14:val="none"/>
        </w:rPr>
      </w:pPr>
      <w:r w:rsidRPr="004F5C4A">
        <w:rPr>
          <w:rFonts w:eastAsia="Times New Roman" w:cs="Times New Roman"/>
          <w:b/>
          <w:bCs/>
          <w:kern w:val="0"/>
          <w:lang w:eastAsia="en-GB"/>
          <w14:ligatures w14:val="none"/>
        </w:rPr>
        <w:t>Project Overview:</w:t>
      </w:r>
    </w:p>
    <w:p w14:paraId="60F3FD0A" w14:textId="77777777" w:rsidR="004F5C4A" w:rsidRPr="004F5C4A" w:rsidRDefault="004F5C4A" w:rsidP="004F5C4A">
      <w:pPr>
        <w:rPr>
          <w:rFonts w:eastAsia="Times New Roman" w:cs="Times New Roman"/>
          <w:b/>
          <w:bCs/>
          <w:kern w:val="0"/>
          <w:lang w:eastAsia="en-GB"/>
          <w14:ligatures w14:val="none"/>
        </w:rPr>
      </w:pPr>
    </w:p>
    <w:p w14:paraId="6579DA3F" w14:textId="263F27E1"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In November 2022, the drastic floods in British Columbia (BC) caused devastating effects on the major transport route in the province. This is an essential infrastructure that links the Lower Mainland to the rest of Canada and is the central port of entry and exit of goods, services and people. The incident interfered with logistics, limited emergency management efforts, and impacted greatly on the economy of the region and country in general.</w:t>
      </w:r>
      <w:r w:rsidR="00CB1489">
        <w:rPr>
          <w:rFonts w:eastAsia="Times New Roman" w:cs="Times New Roman"/>
          <w:kern w:val="0"/>
          <w:lang w:eastAsia="en-GB"/>
          <w14:ligatures w14:val="none"/>
        </w:rPr>
        <w:t xml:space="preserve"> </w:t>
      </w:r>
      <w:r w:rsidRPr="004F5C4A">
        <w:rPr>
          <w:rFonts w:eastAsia="Times New Roman" w:cs="Times New Roman"/>
          <w:kern w:val="0"/>
          <w:lang w:eastAsia="en-GB"/>
          <w14:ligatures w14:val="none"/>
        </w:rPr>
        <w:t>The proposed project will restructure and upgrade this important line to rise to high standards of flood resilience, environmental sustainability and economic sustainability. The rebuilding effort shall be aimed at regaining connectivity, providing safety to the populace as well as incorporating new engineering ideas that will help reduce the effects of subsequent natural disasters. Through enhanced structural integrity and the inclusion of sustainability concepts in the design and construction, the project will develop a stable and sustainable transportation network to sustain regional development in the long term and ensure the maintenance of the environment (Government of British Columbia, 2023).</w:t>
      </w:r>
    </w:p>
    <w:p w14:paraId="6A27D10F" w14:textId="77777777" w:rsidR="00CB1489" w:rsidRDefault="00CB1489" w:rsidP="004F5C4A">
      <w:pPr>
        <w:rPr>
          <w:rFonts w:eastAsia="Times New Roman" w:cs="Times New Roman"/>
          <w:kern w:val="0"/>
          <w:lang w:eastAsia="en-GB"/>
          <w14:ligatures w14:val="none"/>
        </w:rPr>
      </w:pPr>
    </w:p>
    <w:p w14:paraId="0EB69C0D" w14:textId="7749ED76" w:rsidR="00AA2364" w:rsidRPr="00CB1489" w:rsidRDefault="00AA2364" w:rsidP="004F5C4A">
      <w:pPr>
        <w:rPr>
          <w:rFonts w:eastAsia="Times New Roman" w:cs="Times New Roman"/>
          <w:b/>
          <w:bCs/>
          <w:kern w:val="0"/>
          <w:lang w:eastAsia="en-GB"/>
          <w14:ligatures w14:val="none"/>
        </w:rPr>
      </w:pPr>
      <w:r w:rsidRPr="00CB1489">
        <w:rPr>
          <w:rFonts w:eastAsia="Times New Roman" w:cs="Times New Roman"/>
          <w:b/>
          <w:bCs/>
          <w:kern w:val="0"/>
          <w:lang w:eastAsia="en-GB"/>
          <w14:ligatures w14:val="none"/>
        </w:rPr>
        <w:t>Project Objectives:</w:t>
      </w:r>
    </w:p>
    <w:p w14:paraId="0E8D4730" w14:textId="1F3F7391"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Rebuild all broken bridges, roads and supporting structures.</w:t>
      </w:r>
    </w:p>
    <w:p w14:paraId="1917EFFE" w14:textId="34BC2C68"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Incorporate resiliency aspects such as flood resistant building materials, slope stabilization, and better drainage.</w:t>
      </w:r>
      <w:r w:rsidR="00CB1489">
        <w:rPr>
          <w:rFonts w:eastAsia="Times New Roman" w:cs="Times New Roman"/>
          <w:kern w:val="0"/>
          <w:lang w:eastAsia="en-GB"/>
          <w14:ligatures w14:val="none"/>
        </w:rPr>
        <w:t xml:space="preserve"> </w:t>
      </w:r>
      <w:r w:rsidRPr="004F5C4A">
        <w:rPr>
          <w:rFonts w:eastAsia="Times New Roman" w:cs="Times New Roman"/>
          <w:kern w:val="0"/>
          <w:lang w:eastAsia="en-GB"/>
          <w14:ligatures w14:val="none"/>
        </w:rPr>
        <w:t>This is to ensure that there is a compliance with laws of the environment in both the provincial and the federal level by making sure that the environmental impact assessments are strong.</w:t>
      </w:r>
    </w:p>
    <w:p w14:paraId="374B4418" w14:textId="4AE4E53A"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Design and introduce detailed traffic and safety control measures in the reconstruction process to reduce inconveniences.</w:t>
      </w:r>
      <w:r w:rsidR="00CB1489">
        <w:rPr>
          <w:rFonts w:eastAsia="Times New Roman" w:cs="Times New Roman"/>
          <w:kern w:val="0"/>
          <w:lang w:eastAsia="en-GB"/>
          <w14:ligatures w14:val="none"/>
        </w:rPr>
        <w:t xml:space="preserve"> </w:t>
      </w:r>
      <w:r w:rsidRPr="004F5C4A">
        <w:rPr>
          <w:rFonts w:eastAsia="Times New Roman" w:cs="Times New Roman"/>
          <w:kern w:val="0"/>
          <w:lang w:eastAsia="en-GB"/>
          <w14:ligatures w14:val="none"/>
        </w:rPr>
        <w:t>Handover the project within the approved CAD 450 million budget and within the stipulated time with clear monitoring and reporting.</w:t>
      </w:r>
    </w:p>
    <w:p w14:paraId="4A30AC5A" w14:textId="77777777" w:rsidR="00CB1489" w:rsidRDefault="00CB1489" w:rsidP="004F5C4A">
      <w:pPr>
        <w:rPr>
          <w:rFonts w:eastAsia="Times New Roman" w:cs="Times New Roman"/>
          <w:kern w:val="0"/>
          <w:lang w:eastAsia="en-GB"/>
          <w14:ligatures w14:val="none"/>
        </w:rPr>
      </w:pPr>
    </w:p>
    <w:p w14:paraId="5D8016F9" w14:textId="4A3ABB4F" w:rsidR="00AA2364" w:rsidRPr="00CB1489" w:rsidRDefault="00AA2364" w:rsidP="004F5C4A">
      <w:pPr>
        <w:rPr>
          <w:rFonts w:eastAsia="Times New Roman" w:cs="Times New Roman"/>
          <w:b/>
          <w:bCs/>
          <w:kern w:val="0"/>
          <w:lang w:eastAsia="en-GB"/>
          <w14:ligatures w14:val="none"/>
        </w:rPr>
      </w:pPr>
      <w:r w:rsidRPr="00CB1489">
        <w:rPr>
          <w:rFonts w:eastAsia="Times New Roman" w:cs="Times New Roman"/>
          <w:b/>
          <w:bCs/>
          <w:kern w:val="0"/>
          <w:lang w:eastAsia="en-GB"/>
          <w14:ligatures w14:val="none"/>
        </w:rPr>
        <w:t>Key Deliverables:</w:t>
      </w:r>
    </w:p>
    <w:p w14:paraId="52655CE4" w14:textId="55E6F076"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A new transportation corridor with bridges, culverts and significant pieces of roads complete and operational.</w:t>
      </w:r>
      <w:r w:rsidR="00CB1489">
        <w:rPr>
          <w:rFonts w:eastAsia="Times New Roman" w:cs="Times New Roman"/>
          <w:kern w:val="0"/>
          <w:lang w:eastAsia="en-GB"/>
          <w14:ligatures w14:val="none"/>
        </w:rPr>
        <w:t xml:space="preserve"> </w:t>
      </w:r>
      <w:r w:rsidRPr="004F5C4A">
        <w:rPr>
          <w:rFonts w:eastAsia="Times New Roman" w:cs="Times New Roman"/>
          <w:kern w:val="0"/>
          <w:lang w:eastAsia="en-GB"/>
          <w14:ligatures w14:val="none"/>
        </w:rPr>
        <w:t>Refined and up-to-date engineering and design reports that incorporate the sustainable and resilient infrastructure solutions.</w:t>
      </w:r>
    </w:p>
    <w:p w14:paraId="3A6C4EDA" w14:textId="1D4DBD0E"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Green and regulatory reports, where it is ensured that all the legal structures have been followed.</w:t>
      </w:r>
      <w:r w:rsidR="00CB1489">
        <w:rPr>
          <w:rFonts w:eastAsia="Times New Roman" w:cs="Times New Roman"/>
          <w:kern w:val="0"/>
          <w:lang w:eastAsia="en-GB"/>
          <w14:ligatures w14:val="none"/>
        </w:rPr>
        <w:t xml:space="preserve"> </w:t>
      </w:r>
      <w:r w:rsidRPr="004F5C4A">
        <w:rPr>
          <w:rFonts w:eastAsia="Times New Roman" w:cs="Times New Roman"/>
          <w:kern w:val="0"/>
          <w:lang w:eastAsia="en-GB"/>
          <w14:ligatures w14:val="none"/>
        </w:rPr>
        <w:t>Traffic and construction safety plans were formulated to ensure safety of the people and the workers.</w:t>
      </w:r>
      <w:r w:rsidR="00CB1489">
        <w:rPr>
          <w:rFonts w:eastAsia="Times New Roman" w:cs="Times New Roman"/>
          <w:kern w:val="0"/>
          <w:lang w:eastAsia="en-GB"/>
          <w14:ligatures w14:val="none"/>
        </w:rPr>
        <w:t xml:space="preserve"> </w:t>
      </w:r>
      <w:r w:rsidRPr="004F5C4A">
        <w:rPr>
          <w:rFonts w:eastAsia="Times New Roman" w:cs="Times New Roman"/>
          <w:kern w:val="0"/>
          <w:lang w:eastAsia="en-GB"/>
          <w14:ligatures w14:val="none"/>
        </w:rPr>
        <w:t>Final commissioning documents and hand over documents such as maintenance plans and quality assurance documentation.</w:t>
      </w:r>
    </w:p>
    <w:p w14:paraId="0C00BF9E" w14:textId="77777777" w:rsidR="00CB1489" w:rsidRDefault="00CB1489" w:rsidP="004F5C4A">
      <w:pPr>
        <w:rPr>
          <w:rFonts w:eastAsia="Times New Roman" w:cs="Times New Roman"/>
          <w:kern w:val="0"/>
          <w:lang w:eastAsia="en-GB"/>
          <w14:ligatures w14:val="none"/>
        </w:rPr>
      </w:pPr>
    </w:p>
    <w:p w14:paraId="6819DC15" w14:textId="4A5A79D5" w:rsidR="00AA2364" w:rsidRDefault="00AA2364" w:rsidP="004F5C4A">
      <w:pPr>
        <w:rPr>
          <w:rFonts w:eastAsia="Times New Roman" w:cs="Times New Roman"/>
          <w:b/>
          <w:bCs/>
          <w:kern w:val="0"/>
          <w:lang w:eastAsia="en-GB"/>
          <w14:ligatures w14:val="none"/>
        </w:rPr>
      </w:pPr>
      <w:r w:rsidRPr="00CB1489">
        <w:rPr>
          <w:rFonts w:eastAsia="Times New Roman" w:cs="Times New Roman"/>
          <w:b/>
          <w:bCs/>
          <w:kern w:val="0"/>
          <w:lang w:eastAsia="en-GB"/>
          <w14:ligatures w14:val="none"/>
        </w:rPr>
        <w:t>Timeline and Budget:</w:t>
      </w:r>
    </w:p>
    <w:p w14:paraId="712EF77F" w14:textId="77777777" w:rsidR="008F7E4A" w:rsidRPr="00CB1489" w:rsidRDefault="008F7E4A" w:rsidP="004F5C4A">
      <w:pPr>
        <w:rPr>
          <w:rFonts w:eastAsia="Times New Roman" w:cs="Times New Roman"/>
          <w:b/>
          <w:bCs/>
          <w:kern w:val="0"/>
          <w:lang w:eastAsia="en-GB"/>
          <w14:ligatures w14:val="none"/>
        </w:rPr>
      </w:pPr>
    </w:p>
    <w:p w14:paraId="431CF822" w14:textId="77777777"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The project shall take a period of 24 months and it shall be divided into five key phases:</w:t>
      </w:r>
    </w:p>
    <w:p w14:paraId="4967F669" w14:textId="77777777"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Planning and Feasibility (Months 1-3)</w:t>
      </w:r>
    </w:p>
    <w:p w14:paraId="3464ED9E" w14:textId="77777777"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Design and Approvals (Months 4-6)</w:t>
      </w:r>
    </w:p>
    <w:p w14:paraId="1EFC8737" w14:textId="77777777"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Construction (Months 7-20)</w:t>
      </w:r>
    </w:p>
    <w:p w14:paraId="58DC0107" w14:textId="77777777"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Quality Assurance/negotiations and Testing (Months 21-22)</w:t>
      </w:r>
    </w:p>
    <w:p w14:paraId="0B203E4A" w14:textId="77777777"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Months 23-24 Pre-Commissioning and Handover</w:t>
      </w:r>
    </w:p>
    <w:p w14:paraId="6F026111" w14:textId="77777777"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The traditional budget is approximated to be CAD 450 million which includes labor, materials, equipment, environmental monitoring and contingency reserves.</w:t>
      </w:r>
    </w:p>
    <w:p w14:paraId="4952AE41" w14:textId="77777777"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Stakeholders:</w:t>
      </w:r>
    </w:p>
    <w:p w14:paraId="03F3CECE" w14:textId="2A915239"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Government of British Columbia - Transport and road, Ministry.</w:t>
      </w:r>
    </w:p>
    <w:p w14:paraId="3B516A7C" w14:textId="240C0C75"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Construction and engineering companies.</w:t>
      </w:r>
    </w:p>
    <w:p w14:paraId="3D6EF2FC" w14:textId="7D469D5F"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Environmental and regulation agencies.</w:t>
      </w:r>
    </w:p>
    <w:p w14:paraId="646C8283" w14:textId="1910408C"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Indigenous communities and the local communities.</w:t>
      </w:r>
    </w:p>
    <w:p w14:paraId="31D7DB0B" w14:textId="1F88F814"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Logistics, freighthandling and transporting firms.</w:t>
      </w:r>
    </w:p>
    <w:p w14:paraId="6628CAE1" w14:textId="77777777" w:rsidR="008F7E4A" w:rsidRDefault="008F7E4A" w:rsidP="004F5C4A">
      <w:pPr>
        <w:rPr>
          <w:rFonts w:eastAsia="Times New Roman" w:cs="Times New Roman"/>
          <w:kern w:val="0"/>
          <w:lang w:eastAsia="en-GB"/>
          <w14:ligatures w14:val="none"/>
        </w:rPr>
      </w:pPr>
    </w:p>
    <w:p w14:paraId="71D5773B" w14:textId="77777777" w:rsidR="008F7E4A" w:rsidRDefault="008F7E4A" w:rsidP="004F5C4A">
      <w:pPr>
        <w:rPr>
          <w:rFonts w:eastAsia="Times New Roman" w:cs="Times New Roman"/>
          <w:kern w:val="0"/>
          <w:lang w:eastAsia="en-GB"/>
          <w14:ligatures w14:val="none"/>
        </w:rPr>
      </w:pPr>
    </w:p>
    <w:p w14:paraId="40FB0DB6" w14:textId="45FC0EED" w:rsidR="00AA2364" w:rsidRDefault="00AA2364" w:rsidP="004F5C4A">
      <w:pPr>
        <w:rPr>
          <w:rFonts w:eastAsia="Times New Roman" w:cs="Times New Roman"/>
          <w:b/>
          <w:bCs/>
          <w:kern w:val="0"/>
          <w:lang w:eastAsia="en-GB"/>
          <w14:ligatures w14:val="none"/>
        </w:rPr>
      </w:pPr>
      <w:r w:rsidRPr="00274928">
        <w:rPr>
          <w:rFonts w:eastAsia="Times New Roman" w:cs="Times New Roman"/>
          <w:b/>
          <w:bCs/>
          <w:kern w:val="0"/>
          <w:lang w:eastAsia="en-GB"/>
          <w14:ligatures w14:val="none"/>
        </w:rPr>
        <w:t>Key Risks:</w:t>
      </w:r>
    </w:p>
    <w:p w14:paraId="54C835DB" w14:textId="77777777" w:rsidR="00274928" w:rsidRPr="00274928" w:rsidRDefault="00274928" w:rsidP="004F5C4A">
      <w:pPr>
        <w:rPr>
          <w:rFonts w:eastAsia="Times New Roman" w:cs="Times New Roman"/>
          <w:b/>
          <w:bCs/>
          <w:kern w:val="0"/>
          <w:lang w:eastAsia="en-GB"/>
          <w14:ligatures w14:val="none"/>
        </w:rPr>
      </w:pPr>
    </w:p>
    <w:p w14:paraId="7A49DB5A" w14:textId="64A1DA1A"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Floods or landslides might happen again in the process of building.</w:t>
      </w:r>
    </w:p>
    <w:p w14:paraId="7E70FC89" w14:textId="3038F22F"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Delays in the supply chain and increasing the cost of materials.</w:t>
      </w:r>
    </w:p>
    <w:p w14:paraId="4F9502BD" w14:textId="13AFCDA4" w:rsidR="00AA2364" w:rsidRPr="004F5C4A"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Changes in compliance or laws of the environment.</w:t>
      </w:r>
    </w:p>
    <w:p w14:paraId="2296E6F3" w14:textId="77777777" w:rsidR="00AA2364"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Cost increases or project time estimates because of unfavorable site conditions.</w:t>
      </w:r>
    </w:p>
    <w:p w14:paraId="2BF2278A" w14:textId="77777777" w:rsidR="00274928" w:rsidRPr="004F5C4A" w:rsidRDefault="00274928" w:rsidP="004F5C4A">
      <w:pPr>
        <w:rPr>
          <w:rFonts w:eastAsia="Times New Roman" w:cs="Times New Roman"/>
          <w:kern w:val="0"/>
          <w:lang w:eastAsia="en-GB"/>
          <w14:ligatures w14:val="none"/>
        </w:rPr>
      </w:pPr>
    </w:p>
    <w:p w14:paraId="1226CD66" w14:textId="77777777" w:rsidR="00AA2364" w:rsidRDefault="00AA2364" w:rsidP="004F5C4A">
      <w:pPr>
        <w:rPr>
          <w:rFonts w:eastAsia="Times New Roman" w:cs="Times New Roman"/>
          <w:b/>
          <w:bCs/>
          <w:kern w:val="0"/>
          <w:lang w:eastAsia="en-GB"/>
          <w14:ligatures w14:val="none"/>
        </w:rPr>
      </w:pPr>
      <w:r w:rsidRPr="00274928">
        <w:rPr>
          <w:rFonts w:eastAsia="Times New Roman" w:cs="Times New Roman"/>
          <w:b/>
          <w:bCs/>
          <w:kern w:val="0"/>
          <w:lang w:eastAsia="en-GB"/>
          <w14:ligatures w14:val="none"/>
        </w:rPr>
        <w:t>Speaker Notes Summary:</w:t>
      </w:r>
    </w:p>
    <w:p w14:paraId="5110CF3B" w14:textId="77777777" w:rsidR="00274928" w:rsidRPr="00274928" w:rsidRDefault="00274928" w:rsidP="004F5C4A">
      <w:pPr>
        <w:rPr>
          <w:rFonts w:eastAsia="Times New Roman" w:cs="Times New Roman"/>
          <w:b/>
          <w:bCs/>
          <w:kern w:val="0"/>
          <w:lang w:eastAsia="en-GB"/>
          <w14:ligatures w14:val="none"/>
        </w:rPr>
      </w:pPr>
    </w:p>
    <w:p w14:paraId="35AF72E9" w14:textId="75A282B7" w:rsidR="00AA2364" w:rsidRDefault="00AA2364" w:rsidP="004F5C4A">
      <w:pPr>
        <w:rPr>
          <w:rFonts w:eastAsia="Times New Roman" w:cs="Times New Roman"/>
          <w:kern w:val="0"/>
          <w:lang w:eastAsia="en-GB"/>
          <w14:ligatures w14:val="none"/>
        </w:rPr>
      </w:pPr>
      <w:r w:rsidRPr="004F5C4A">
        <w:rPr>
          <w:rFonts w:eastAsia="Times New Roman" w:cs="Times New Roman"/>
          <w:kern w:val="0"/>
          <w:lang w:eastAsia="en-GB"/>
          <w14:ligatures w14:val="none"/>
        </w:rPr>
        <w:t>The 2022 floods revealed that the transportation systems in BC were prone to climate change. This initiative will meet that weakness since resilience, sustainability, and collaboration with stakeholders are incorporated at all stages of the rebuilding process. The project will provide a transportation corridor that can serve the communities and economy of BC over the next decades through effective governance, effective communication practices, and reduction of risk (Public Safety Canada, 2023).</w:t>
      </w:r>
    </w:p>
    <w:p w14:paraId="3F5914EC" w14:textId="77777777" w:rsidR="00262D74" w:rsidRPr="002A6CBA" w:rsidRDefault="00262D74" w:rsidP="004F5C4A">
      <w:pPr>
        <w:rPr>
          <w:rFonts w:eastAsia="Times New Roman" w:cs="Times New Roman"/>
          <w:b/>
          <w:bCs/>
          <w:kern w:val="0"/>
          <w:lang w:eastAsia="en-GB"/>
          <w14:ligatures w14:val="none"/>
        </w:rPr>
      </w:pPr>
    </w:p>
    <w:p w14:paraId="6F15BE43" w14:textId="6981F0A1" w:rsidR="002A6CBA" w:rsidRDefault="002A6CBA" w:rsidP="002A6CBA">
      <w:pPr>
        <w:rPr>
          <w:rFonts w:eastAsia="Times New Roman" w:cs="Times New Roman"/>
          <w:b/>
          <w:bCs/>
          <w:kern w:val="0"/>
          <w:lang w:eastAsia="en-GB"/>
          <w14:ligatures w14:val="none"/>
        </w:rPr>
      </w:pPr>
      <w:r w:rsidRPr="002A6CBA">
        <w:rPr>
          <w:rFonts w:eastAsia="Times New Roman" w:cs="Times New Roman"/>
          <w:b/>
          <w:bCs/>
          <w:kern w:val="0"/>
          <w:lang w:eastAsia="en-GB"/>
          <w14:ligatures w14:val="none"/>
        </w:rPr>
        <w:t xml:space="preserve">Part B: Reflection on Feedback </w:t>
      </w:r>
    </w:p>
    <w:p w14:paraId="4D3243A6" w14:textId="77777777" w:rsidR="002A6CBA" w:rsidRPr="002A6CBA" w:rsidRDefault="002A6CBA" w:rsidP="002A6CBA">
      <w:pPr>
        <w:rPr>
          <w:rFonts w:eastAsia="Times New Roman" w:cs="Times New Roman"/>
          <w:b/>
          <w:bCs/>
          <w:kern w:val="0"/>
          <w:lang w:eastAsia="en-GB"/>
          <w14:ligatures w14:val="none"/>
        </w:rPr>
      </w:pPr>
    </w:p>
    <w:p w14:paraId="4D081489" w14:textId="7CD65DCD" w:rsidR="002A6CBA" w:rsidRPr="002A6CBA" w:rsidRDefault="002A6CBA" w:rsidP="002A6CBA">
      <w:pPr>
        <w:rPr>
          <w:rFonts w:eastAsia="Times New Roman" w:cs="Times New Roman"/>
          <w:kern w:val="0"/>
          <w:lang w:eastAsia="en-GB"/>
          <w14:ligatures w14:val="none"/>
        </w:rPr>
      </w:pPr>
      <w:r w:rsidRPr="002A6CBA">
        <w:rPr>
          <w:rFonts w:eastAsia="Times New Roman" w:cs="Times New Roman"/>
          <w:kern w:val="0"/>
          <w:lang w:eastAsia="en-GB"/>
          <w14:ligatures w14:val="none"/>
        </w:rPr>
        <w:t>The review of the first poster presentation was an important experience that revealed both positive and negative aspects about my project proposal, as well as suggested ways to make improvements in the project. The others including peers and tutors applauded the proposal due to its lucidity, organization, and consideration of real world disaster recovery requirements. The presentation was good in conveying the issue of urgency in the recovery of the transport corridor in British Columbia, and it displayed a good comprehension of the project management concepts.</w:t>
      </w:r>
      <w:r w:rsidR="003E4586">
        <w:rPr>
          <w:rFonts w:eastAsia="Times New Roman" w:cs="Times New Roman"/>
          <w:kern w:val="0"/>
          <w:lang w:eastAsia="en-GB"/>
          <w14:ligatures w14:val="none"/>
        </w:rPr>
        <w:t xml:space="preserve"> </w:t>
      </w:r>
      <w:r w:rsidRPr="002A6CBA">
        <w:rPr>
          <w:rFonts w:eastAsia="Times New Roman" w:cs="Times New Roman"/>
          <w:kern w:val="0"/>
          <w:lang w:eastAsia="en-GB"/>
          <w14:ligatures w14:val="none"/>
        </w:rPr>
        <w:t>The clarity of the objectives was also named as one of the major strengths and directly interconnected with practical and measurable results. Critics liked the focus on sustainability, resilience, and cooperation between stakeholders. The timeline or schedule of the project as well as deliverables also received positive reviews of being rational, attainable and comprehensible. This was a positive feedback that strengthened the need to have lean and clear concise structure of future project presentation.</w:t>
      </w:r>
      <w:r w:rsidR="003E4586">
        <w:rPr>
          <w:rFonts w:eastAsia="Times New Roman" w:cs="Times New Roman"/>
          <w:kern w:val="0"/>
          <w:lang w:eastAsia="en-GB"/>
          <w14:ligatures w14:val="none"/>
        </w:rPr>
        <w:t xml:space="preserve"> </w:t>
      </w:r>
      <w:r w:rsidRPr="002A6CBA">
        <w:rPr>
          <w:rFonts w:eastAsia="Times New Roman" w:cs="Times New Roman"/>
          <w:kern w:val="0"/>
          <w:lang w:eastAsia="en-GB"/>
          <w14:ligatures w14:val="none"/>
        </w:rPr>
        <w:t>A number of the reviewers though proposed to improve the environmental and sustainability provisions in the proposal. Although the first one related to environmental compliance, it was not specific to particular environmentally friendly approaches to the construction process, the choice of the materials, and the waste management planning. I will in turn address it by adding an environmental section where the use of recycled aggregates, low Carbon concrete, and the use of locally sourced materials, environmental monitoring, and auditing at the Construction stage will be added (Infrastructure Canada, 2023). Not only does this increase environmental responsibility, but also complies with international standards of sustainability including the United Nations Sustainable Development Goals (UN SDGs).</w:t>
      </w:r>
    </w:p>
    <w:p w14:paraId="1F8A7008" w14:textId="77777777" w:rsidR="003E4586" w:rsidRDefault="003E4586" w:rsidP="002A6CBA">
      <w:pPr>
        <w:rPr>
          <w:rFonts w:eastAsia="Times New Roman" w:cs="Times New Roman"/>
          <w:kern w:val="0"/>
          <w:lang w:eastAsia="en-GB"/>
          <w14:ligatures w14:val="none"/>
        </w:rPr>
      </w:pPr>
    </w:p>
    <w:p w14:paraId="483C298D" w14:textId="180D9A52" w:rsidR="002A6CBA" w:rsidRPr="002A6CBA" w:rsidRDefault="002A6CBA" w:rsidP="002A6CBA">
      <w:pPr>
        <w:rPr>
          <w:rFonts w:eastAsia="Times New Roman" w:cs="Times New Roman"/>
          <w:kern w:val="0"/>
          <w:lang w:eastAsia="en-GB"/>
          <w14:ligatures w14:val="none"/>
        </w:rPr>
      </w:pPr>
      <w:r w:rsidRPr="002A6CBA">
        <w:rPr>
          <w:rFonts w:eastAsia="Times New Roman" w:cs="Times New Roman"/>
          <w:kern w:val="0"/>
          <w:lang w:eastAsia="en-GB"/>
          <w14:ligatures w14:val="none"/>
        </w:rPr>
        <w:t>Feedback further revealed that the Gantt chart and Work Breakdown Structure (WBS) would be more graphical in detail. In the first version, there were no apparent task dependencies and milestones indicators. To this end, I will revise the graph of the Gantt chart to identify critical paths, tasks with several activities, and other significant milestones so that the diagram has a clear representation of the transformation of tasks. Equally, the WBS will be expanded with subtasks under engineering environmental, and safety management to enhance the clarity of the project scope and sequencing.</w:t>
      </w:r>
      <w:r w:rsidR="003E4586">
        <w:rPr>
          <w:rFonts w:eastAsia="Times New Roman" w:cs="Times New Roman"/>
          <w:kern w:val="0"/>
          <w:lang w:eastAsia="en-GB"/>
          <w14:ligatures w14:val="none"/>
        </w:rPr>
        <w:t xml:space="preserve"> </w:t>
      </w:r>
      <w:r w:rsidRPr="002A6CBA">
        <w:rPr>
          <w:rFonts w:eastAsia="Times New Roman" w:cs="Times New Roman"/>
          <w:kern w:val="0"/>
          <w:lang w:eastAsia="en-GB"/>
          <w14:ligatures w14:val="none"/>
        </w:rPr>
        <w:t>The other major issue that came up was on risk management and contingent planning. It was recommended that more active measures need to be included to deal with any disruptions like bad weather and delays in the supply chain. In the new variant, I will provide contingency plans such as a variety of supplier arrangements, adaptable procurement schedule, and stock storage of material in advance. The plans are backed with the provisions of PMBOK(r), which propose the importance of proactive response to risks by planning the project as a key aspect of extensive infrastructure projects (Project Management Institute, 2021).</w:t>
      </w:r>
    </w:p>
    <w:p w14:paraId="4712E59B" w14:textId="77777777" w:rsidR="002A6CBA" w:rsidRPr="002A6CBA" w:rsidRDefault="002A6CBA" w:rsidP="002A6CBA">
      <w:pPr>
        <w:rPr>
          <w:rFonts w:eastAsia="Times New Roman" w:cs="Times New Roman"/>
          <w:kern w:val="0"/>
          <w:lang w:eastAsia="en-GB"/>
          <w14:ligatures w14:val="none"/>
        </w:rPr>
      </w:pPr>
      <w:r w:rsidRPr="002A6CBA">
        <w:rPr>
          <w:rFonts w:eastAsia="Times New Roman" w:cs="Times New Roman"/>
          <w:kern w:val="0"/>
          <w:lang w:eastAsia="en-GB"/>
          <w14:ligatures w14:val="none"/>
        </w:rPr>
        <w:t>Improvement could also be in resource allocation. Reviewers remarked the presented budget seemed to be feasible, but it might have been clearer on how resources have been allocated among labor, material, and contingency funds. Thus, the update version will provide a clear explanation of why the resources are allocated in this way because every piece of the budget will be related to project deliverables and risk approach measures.</w:t>
      </w:r>
    </w:p>
    <w:p w14:paraId="7BB439E6" w14:textId="77777777" w:rsidR="003E4586" w:rsidRDefault="003E4586" w:rsidP="002A6CBA">
      <w:pPr>
        <w:rPr>
          <w:rFonts w:eastAsia="Times New Roman" w:cs="Times New Roman"/>
          <w:kern w:val="0"/>
          <w:lang w:eastAsia="en-GB"/>
          <w14:ligatures w14:val="none"/>
        </w:rPr>
      </w:pPr>
    </w:p>
    <w:p w14:paraId="3AFF4DEA" w14:textId="5CE5ECA4" w:rsidR="002A6CBA" w:rsidRPr="002A6CBA" w:rsidRDefault="002A6CBA" w:rsidP="002A6CBA">
      <w:pPr>
        <w:rPr>
          <w:rFonts w:eastAsia="Times New Roman" w:cs="Times New Roman"/>
          <w:kern w:val="0"/>
          <w:lang w:eastAsia="en-GB"/>
          <w14:ligatures w14:val="none"/>
        </w:rPr>
      </w:pPr>
      <w:r w:rsidRPr="002A6CBA">
        <w:rPr>
          <w:rFonts w:eastAsia="Times New Roman" w:cs="Times New Roman"/>
          <w:kern w:val="0"/>
          <w:lang w:eastAsia="en-GB"/>
          <w14:ligatures w14:val="none"/>
        </w:rPr>
        <w:t>Lastly, some of the reviewers also emphasized on better communication with the stake holders. Although the original variant involved some public updates, there was more interactive feedback offered. As such, the better plan will include community information sessions, web portals on feedback, and bi-monthly updates to residents and businesses, who are bound to be affected by the construction. Such actions will assist in preserving the transparency and building the trust of the community.</w:t>
      </w:r>
    </w:p>
    <w:p w14:paraId="12C74E15" w14:textId="6F5CE558" w:rsidR="00262D74" w:rsidRPr="004F5C4A" w:rsidRDefault="002A6CBA" w:rsidP="002A6CBA">
      <w:pPr>
        <w:rPr>
          <w:rFonts w:eastAsia="Times New Roman" w:cs="Times New Roman"/>
          <w:kern w:val="0"/>
          <w:lang w:eastAsia="en-GB"/>
          <w14:ligatures w14:val="none"/>
        </w:rPr>
      </w:pPr>
      <w:r w:rsidRPr="002A6CBA">
        <w:rPr>
          <w:rFonts w:eastAsia="Times New Roman" w:cs="Times New Roman"/>
          <w:kern w:val="0"/>
          <w:lang w:eastAsia="en-GB"/>
          <w14:ligatures w14:val="none"/>
        </w:rPr>
        <w:t>The process of the feedback in general was incredibly useful in learning more about the project management practice of the professional kind. I learned that valuable projects must not only have technical accuracy, but they must also have proper environmental planning, communication, and flexibility. Integrating these lessons has also enabled the updated project proposal to become more detailed, realistic, and representative of the best practices in terms of infrastructure recovery and sustainable development.</w:t>
      </w:r>
    </w:p>
    <w:p w14:paraId="5312DD14" w14:textId="4D86E935" w:rsidR="00D429C3" w:rsidRPr="00D429C3" w:rsidRDefault="00D429C3" w:rsidP="00D429C3">
      <w:pPr>
        <w:rPr>
          <w:rFonts w:ascii="Times New Roman" w:eastAsia="Times New Roman" w:hAnsi="Times New Roman" w:cs="Times New Roman"/>
          <w:kern w:val="0"/>
          <w:lang w:eastAsia="en-GB"/>
          <w14:ligatures w14:val="none"/>
        </w:rPr>
      </w:pPr>
    </w:p>
    <w:p w14:paraId="00113352" w14:textId="77777777" w:rsidR="009E33A6" w:rsidRPr="00544DFF" w:rsidRDefault="009E33A6" w:rsidP="00C737B7">
      <w:pPr>
        <w:rPr>
          <w:rFonts w:ascii="Times New Roman" w:eastAsia="Times New Roman" w:hAnsi="Times New Roman" w:cs="Times New Roman"/>
          <w:b/>
          <w:bCs/>
          <w:kern w:val="0"/>
          <w:lang w:eastAsia="en-GB"/>
          <w14:ligatures w14:val="none"/>
        </w:rPr>
      </w:pPr>
    </w:p>
    <w:p w14:paraId="761A73C9" w14:textId="77777777" w:rsidR="009E33A6" w:rsidRPr="00544DFF" w:rsidRDefault="009E33A6" w:rsidP="00C737B7">
      <w:pPr>
        <w:rPr>
          <w:rFonts w:ascii="Times New Roman" w:eastAsia="Times New Roman" w:hAnsi="Times New Roman" w:cs="Times New Roman"/>
          <w:b/>
          <w:bCs/>
          <w:kern w:val="0"/>
          <w:lang w:eastAsia="en-GB"/>
          <w14:ligatures w14:val="none"/>
        </w:rPr>
      </w:pPr>
    </w:p>
    <w:p w14:paraId="46E04861" w14:textId="2A96BFBD" w:rsidR="004F26C3" w:rsidRPr="00544DFF" w:rsidRDefault="004F26C3" w:rsidP="004F26C3">
      <w:pPr>
        <w:rPr>
          <w:rFonts w:eastAsia="Times New Roman" w:cs="Times New Roman"/>
          <w:b/>
          <w:bCs/>
          <w:kern w:val="0"/>
          <w:lang w:eastAsia="en-GB"/>
          <w14:ligatures w14:val="none"/>
        </w:rPr>
      </w:pPr>
      <w:r w:rsidRPr="00544DFF">
        <w:rPr>
          <w:rFonts w:eastAsia="Times New Roman" w:cs="Times New Roman"/>
          <w:b/>
          <w:bCs/>
          <w:kern w:val="0"/>
          <w:lang w:eastAsia="en-GB"/>
          <w14:ligatures w14:val="none"/>
        </w:rPr>
        <w:t xml:space="preserve">Part C: Project management plan </w:t>
      </w:r>
    </w:p>
    <w:p w14:paraId="579BBFF9" w14:textId="77777777" w:rsidR="00544DFF" w:rsidRDefault="00544DFF" w:rsidP="004F26C3">
      <w:pPr>
        <w:rPr>
          <w:rFonts w:eastAsia="Times New Roman" w:cs="Times New Roman"/>
          <w:kern w:val="0"/>
          <w:lang w:eastAsia="en-GB"/>
          <w14:ligatures w14:val="none"/>
        </w:rPr>
      </w:pPr>
    </w:p>
    <w:p w14:paraId="25458430" w14:textId="305F6B15" w:rsidR="004F26C3" w:rsidRDefault="004F26C3" w:rsidP="004F26C3">
      <w:pPr>
        <w:rPr>
          <w:rFonts w:eastAsia="Times New Roman" w:cs="Times New Roman"/>
          <w:b/>
          <w:bCs/>
          <w:kern w:val="0"/>
          <w:lang w:eastAsia="en-GB"/>
          <w14:ligatures w14:val="none"/>
        </w:rPr>
      </w:pPr>
      <w:r w:rsidRPr="00544DFF">
        <w:rPr>
          <w:rFonts w:eastAsia="Times New Roman" w:cs="Times New Roman"/>
          <w:b/>
          <w:bCs/>
          <w:kern w:val="0"/>
          <w:lang w:eastAsia="en-GB"/>
          <w14:ligatures w14:val="none"/>
        </w:rPr>
        <w:t>Introduction</w:t>
      </w:r>
    </w:p>
    <w:p w14:paraId="377CEFE4" w14:textId="77777777" w:rsidR="00544DFF" w:rsidRPr="00544DFF" w:rsidRDefault="00544DFF" w:rsidP="004F26C3">
      <w:pPr>
        <w:rPr>
          <w:rFonts w:eastAsia="Times New Roman" w:cs="Times New Roman"/>
          <w:b/>
          <w:bCs/>
          <w:kern w:val="0"/>
          <w:lang w:eastAsia="en-GB"/>
          <w14:ligatures w14:val="none"/>
        </w:rPr>
      </w:pPr>
    </w:p>
    <w:p w14:paraId="77BA75A2" w14:textId="37C9FF61"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In November 2022, British Columbia (BC) recorded the highest rainfall on record that caused devastating flooding and landslides in the western and southwestern parts of the interior. The incident had widespread destruction of roads, bridges, and rail lines that constituted the major source of transportation in the province, connecting the Lower Mainland with the whole of Canada. A large number of thousands of inhabitants were displaced, freight transport was stopped, and supply chains were severely damaged. The catastrophe showed that the transport infrastructure in BC was susceptible to climate-related risks, hence the need to put in its necessary reconstruction.</w:t>
      </w:r>
      <w:r w:rsidR="00544DFF">
        <w:rPr>
          <w:rFonts w:eastAsia="Times New Roman" w:cs="Times New Roman"/>
          <w:kern w:val="0"/>
          <w:lang w:eastAsia="en-GB"/>
          <w14:ligatures w14:val="none"/>
        </w:rPr>
        <w:t xml:space="preserve"> </w:t>
      </w:r>
      <w:r w:rsidRPr="004F26C3">
        <w:rPr>
          <w:rFonts w:eastAsia="Times New Roman" w:cs="Times New Roman"/>
          <w:kern w:val="0"/>
          <w:lang w:eastAsia="en-GB"/>
          <w14:ligatures w14:val="none"/>
        </w:rPr>
        <w:t>Rebuilding the Principal Transportation Corridor Project (RPTCP) will rebuild the whole functionality to this important network but will incorporate the principle of resilience, sustainability, and adaptability capacity at the core of the design and implementation. The Project Management Plan (PMP) adheres to Project Management Institute (2021) framework (Project Management Institute, 2021) and uses the standardised processes to manage the scope, cost, schedule, quality, risk, communication, and procurement. It also combines provincial environmental policies and sustainable infrastructure policies spearheaded by Infrastructure Canada (2023).</w:t>
      </w:r>
    </w:p>
    <w:p w14:paraId="473FC069"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The general objective is to provide a safe, faster and climate-resilient transportation route that enables economic recovery and offers long-term insurance against natural catastrophes.</w:t>
      </w:r>
    </w:p>
    <w:p w14:paraId="73C56005" w14:textId="77777777" w:rsidR="004F26C3" w:rsidRPr="004F26C3" w:rsidRDefault="004F26C3" w:rsidP="004F26C3">
      <w:pPr>
        <w:rPr>
          <w:rFonts w:eastAsia="Times New Roman" w:cs="Times New Roman"/>
          <w:kern w:val="0"/>
          <w:lang w:eastAsia="en-GB"/>
          <w14:ligatures w14:val="none"/>
        </w:rPr>
      </w:pPr>
    </w:p>
    <w:p w14:paraId="7601A4E3" w14:textId="77777777" w:rsidR="004F26C3" w:rsidRDefault="004F26C3" w:rsidP="004F26C3">
      <w:pPr>
        <w:rPr>
          <w:rFonts w:eastAsia="Times New Roman" w:cs="Times New Roman"/>
          <w:b/>
          <w:bCs/>
          <w:kern w:val="0"/>
          <w:lang w:eastAsia="en-GB"/>
          <w14:ligatures w14:val="none"/>
        </w:rPr>
      </w:pPr>
      <w:r w:rsidRPr="00544DFF">
        <w:rPr>
          <w:rFonts w:eastAsia="Times New Roman" w:cs="Times New Roman"/>
          <w:b/>
          <w:bCs/>
          <w:kern w:val="0"/>
          <w:lang w:eastAsia="en-GB"/>
          <w14:ligatures w14:val="none"/>
        </w:rPr>
        <w:t>Project Objectives</w:t>
      </w:r>
    </w:p>
    <w:p w14:paraId="329CD571" w14:textId="77777777" w:rsidR="00544DFF" w:rsidRPr="00544DFF" w:rsidRDefault="00544DFF" w:rsidP="004F26C3">
      <w:pPr>
        <w:rPr>
          <w:rFonts w:eastAsia="Times New Roman" w:cs="Times New Roman"/>
          <w:b/>
          <w:bCs/>
          <w:kern w:val="0"/>
          <w:lang w:eastAsia="en-GB"/>
          <w14:ligatures w14:val="none"/>
        </w:rPr>
      </w:pPr>
    </w:p>
    <w:p w14:paraId="381F8915"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All the activities in the project are guided by the following goals which serve as the foundation of measuring performance:</w:t>
      </w:r>
    </w:p>
    <w:p w14:paraId="2CDAC4C5"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Restore Core Infrastructure: Repair bridges, culverts and roads which had been damaged by floods and landslides to be fully operational.</w:t>
      </w:r>
    </w:p>
    <w:p w14:paraId="5FBB80BF"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Make Strengths against Floods and Landslides: Design innovations, including raised roadbeds, stiffer embankment, and drainage systems should be introduced.</w:t>
      </w:r>
    </w:p>
    <w:p w14:paraId="37470EA8"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Guarantee Environmental Conformity: Abide by all provincial and federal environmental laws as well as embracing low-carbon construction methods.</w:t>
      </w:r>
    </w:p>
    <w:p w14:paraId="3C0A12C1"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Sustained Network: Have in place viable diversion of traffic and communications to reduce inconveniences during reconstruction.</w:t>
      </w:r>
    </w:p>
    <w:p w14:paraId="697E5A24"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Meet Cost and Schedule Targets: Work under the CAD 450 million budget and 24 month timeframe.</w:t>
      </w:r>
    </w:p>
    <w:p w14:paraId="2F5503BA"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Encourage the Collaboration of Stakeholders: Have a two way communication with communities, agencies and industry partners.</w:t>
      </w:r>
    </w:p>
    <w:p w14:paraId="6B7CB894"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Ensure Quality and Safety: Implement powerful quality control and safety management protocols in accordance with the standards of the WorkSafeBC (2022).</w:t>
      </w:r>
    </w:p>
    <w:p w14:paraId="2AC206F2"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These goals will give quantifiable standards/benchmarks by which the success of the project will be measured.</w:t>
      </w:r>
    </w:p>
    <w:p w14:paraId="70912B15" w14:textId="77777777" w:rsidR="004F26C3" w:rsidRPr="004F26C3" w:rsidRDefault="004F26C3" w:rsidP="004F26C3">
      <w:pPr>
        <w:rPr>
          <w:rFonts w:eastAsia="Times New Roman" w:cs="Times New Roman"/>
          <w:kern w:val="0"/>
          <w:lang w:eastAsia="en-GB"/>
          <w14:ligatures w14:val="none"/>
        </w:rPr>
      </w:pPr>
    </w:p>
    <w:p w14:paraId="0C2EB52D" w14:textId="77777777" w:rsidR="004F26C3" w:rsidRPr="00544DFF" w:rsidRDefault="004F26C3" w:rsidP="004F26C3">
      <w:pPr>
        <w:rPr>
          <w:rFonts w:eastAsia="Times New Roman" w:cs="Times New Roman"/>
          <w:b/>
          <w:bCs/>
          <w:kern w:val="0"/>
          <w:lang w:eastAsia="en-GB"/>
          <w14:ligatures w14:val="none"/>
        </w:rPr>
      </w:pPr>
      <w:r w:rsidRPr="00544DFF">
        <w:rPr>
          <w:rFonts w:eastAsia="Times New Roman" w:cs="Times New Roman"/>
          <w:b/>
          <w:bCs/>
          <w:kern w:val="0"/>
          <w:lang w:eastAsia="en-GB"/>
          <w14:ligatures w14:val="none"/>
        </w:rPr>
        <w:t>Project Scope</w:t>
      </w:r>
    </w:p>
    <w:p w14:paraId="503D76B5" w14:textId="77777777" w:rsidR="00544DFF" w:rsidRDefault="00544DFF" w:rsidP="004F26C3">
      <w:pPr>
        <w:rPr>
          <w:rFonts w:eastAsia="Times New Roman" w:cs="Times New Roman"/>
          <w:kern w:val="0"/>
          <w:lang w:eastAsia="en-GB"/>
          <w14:ligatures w14:val="none"/>
        </w:rPr>
      </w:pPr>
    </w:p>
    <w:p w14:paraId="76E92C14" w14:textId="45B51D9A"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3.1 In-Scope Activities</w:t>
      </w:r>
    </w:p>
    <w:p w14:paraId="6A4CE5F6" w14:textId="46F44D2C"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Bridge rebuilding, culvert rebuilding and road embankment rebuilding.</w:t>
      </w:r>
    </w:p>
    <w:p w14:paraId="231F0162" w14:textId="254168E1"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Flood resistant design requirements and geotechnical reinforcements.</w:t>
      </w:r>
    </w:p>
    <w:p w14:paraId="7784DF78" w14:textId="596135AF"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Modern drainage and monitoring systems should be installed.</w:t>
      </w:r>
    </w:p>
    <w:p w14:paraId="3F7DFAC0" w14:textId="01557264"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Installation of slopes stabilization and erosion control systems.</w:t>
      </w:r>
    </w:p>
    <w:p w14:paraId="5F0970D7" w14:textId="46120473"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Carrying out thorough environmental audits and assessment.</w:t>
      </w:r>
    </w:p>
    <w:p w14:paraId="083AC0D3" w14:textId="3C418A5E"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Traffic management plans and detour plans development.</w:t>
      </w:r>
    </w:p>
    <w:p w14:paraId="51041486" w14:textId="39660E3E"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Continued interaction with stakeholders and consultation with the local community.</w:t>
      </w:r>
    </w:p>
    <w:p w14:paraId="5579CBCC" w14:textId="77777777" w:rsidR="00544DFF" w:rsidRDefault="00544DFF" w:rsidP="004F26C3">
      <w:pPr>
        <w:rPr>
          <w:rFonts w:eastAsia="Times New Roman" w:cs="Times New Roman"/>
          <w:kern w:val="0"/>
          <w:lang w:eastAsia="en-GB"/>
          <w14:ligatures w14:val="none"/>
        </w:rPr>
      </w:pPr>
    </w:p>
    <w:p w14:paraId="24944986" w14:textId="60FFEED2"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3.2 Out-of-Scope Activities</w:t>
      </w:r>
    </w:p>
    <w:p w14:paraId="67D56248" w14:textId="1B3D2F0D"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Redevelopment of local roads in the locality that are not corridor.</w:t>
      </w:r>
    </w:p>
    <w:p w14:paraId="002864BD" w14:textId="1542C6FD"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Repairs that have no flood resistance value (e.g. aesthetic landscaping).</w:t>
      </w:r>
    </w:p>
    <w:p w14:paraId="28AD4E73" w14:textId="3DD8936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Retail property rehabilitation.</w:t>
      </w:r>
    </w:p>
    <w:p w14:paraId="1BA75691" w14:textId="389BB8CD"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Addition of the corridor to the current rights-of-way.</w:t>
      </w:r>
    </w:p>
    <w:p w14:paraId="6C4C506D" w14:textId="77777777" w:rsidR="00544DFF" w:rsidRDefault="00544DFF" w:rsidP="004F26C3">
      <w:pPr>
        <w:rPr>
          <w:rFonts w:eastAsia="Times New Roman" w:cs="Times New Roman"/>
          <w:kern w:val="0"/>
          <w:lang w:eastAsia="en-GB"/>
          <w14:ligatures w14:val="none"/>
        </w:rPr>
      </w:pPr>
    </w:p>
    <w:p w14:paraId="7DB0B0CB" w14:textId="3C8C4553"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3.3 Key Deliverables</w:t>
      </w:r>
    </w:p>
    <w:p w14:paraId="7E7B5DD1" w14:textId="490D56E8"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Complete and qualified transportation infrastructure.</w:t>
      </w:r>
    </w:p>
    <w:p w14:paraId="5DCB27B7" w14:textId="1FCBD23B"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New engineering and environmental reports.</w:t>
      </w:r>
    </w:p>
    <w:p w14:paraId="55BF7D02" w14:textId="694CF401"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Manuals of maintenance and monitoring.</w:t>
      </w:r>
    </w:p>
    <w:p w14:paraId="2E2B944A"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Financial compliance reports, progress reports and environmental compliance reports.</w:t>
      </w:r>
    </w:p>
    <w:p w14:paraId="58E49733"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Suggestions to clarify the scope boundaries are necessary to ensure that the resources can be focused on the practical results and the scope creep can be eliminated (Kerzner, 2022).</w:t>
      </w:r>
    </w:p>
    <w:p w14:paraId="548961D5" w14:textId="77777777" w:rsidR="004F26C3" w:rsidRPr="004F26C3" w:rsidRDefault="004F26C3" w:rsidP="004F26C3">
      <w:pPr>
        <w:rPr>
          <w:rFonts w:eastAsia="Times New Roman" w:cs="Times New Roman"/>
          <w:kern w:val="0"/>
          <w:lang w:eastAsia="en-GB"/>
          <w14:ligatures w14:val="none"/>
        </w:rPr>
      </w:pPr>
    </w:p>
    <w:p w14:paraId="357B0E35" w14:textId="77777777" w:rsidR="004F26C3" w:rsidRPr="005B4081" w:rsidRDefault="004F26C3" w:rsidP="004F26C3">
      <w:pPr>
        <w:rPr>
          <w:rFonts w:eastAsia="Times New Roman" w:cs="Times New Roman"/>
          <w:b/>
          <w:bCs/>
          <w:kern w:val="0"/>
          <w:lang w:eastAsia="en-GB"/>
          <w14:ligatures w14:val="none"/>
        </w:rPr>
      </w:pPr>
      <w:r w:rsidRPr="005B4081">
        <w:rPr>
          <w:rFonts w:eastAsia="Times New Roman" w:cs="Times New Roman"/>
          <w:b/>
          <w:bCs/>
          <w:kern w:val="0"/>
          <w:lang w:eastAsia="en-GB"/>
          <w14:ligatures w14:val="none"/>
        </w:rPr>
        <w:t>Governance, Organisational Structure.</w:t>
      </w:r>
    </w:p>
    <w:p w14:paraId="0D1EC7AC" w14:textId="77777777" w:rsidR="005B4081" w:rsidRDefault="005B4081" w:rsidP="004F26C3">
      <w:pPr>
        <w:rPr>
          <w:rFonts w:eastAsia="Times New Roman" w:cs="Times New Roman"/>
          <w:kern w:val="0"/>
          <w:lang w:eastAsia="en-GB"/>
          <w14:ligatures w14:val="none"/>
        </w:rPr>
      </w:pPr>
    </w:p>
    <w:p w14:paraId="4CDCDB53" w14:textId="600724E1"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Good governance is one that is accountable, makes decisions on time, and ensures functional integration.</w:t>
      </w:r>
    </w:p>
    <w:p w14:paraId="4FD6D159" w14:textId="2FB50654"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Role</w:t>
      </w:r>
      <w:r w:rsidR="005B4081">
        <w:rPr>
          <w:rFonts w:eastAsia="Times New Roman" w:cs="Times New Roman"/>
          <w:kern w:val="0"/>
          <w:lang w:eastAsia="en-GB"/>
          <w14:ligatures w14:val="none"/>
        </w:rPr>
        <w:t xml:space="preserve"> </w:t>
      </w:r>
      <w:r w:rsidRPr="004F26C3">
        <w:rPr>
          <w:rFonts w:eastAsia="Times New Roman" w:cs="Times New Roman"/>
          <w:kern w:val="0"/>
          <w:lang w:eastAsia="en-GB"/>
          <w14:ligatures w14:val="none"/>
        </w:rPr>
        <w:t>Responsibilities</w:t>
      </w:r>
    </w:p>
    <w:p w14:paraId="7F2A2722"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Project Sponsor: Ministry of Transportation and Infrastructure (MoTI)</w:t>
      </w:r>
      <w:r w:rsidRPr="004F26C3">
        <w:rPr>
          <w:rFonts w:eastAsia="Times New Roman" w:cs="Times New Roman"/>
          <w:kern w:val="0"/>
          <w:lang w:eastAsia="en-GB"/>
          <w14:ligatures w14:val="none"/>
        </w:rPr>
        <w:tab/>
        <w:t>Gives the project a strategic oversight, funding, giving the go-ahead to strategic milestones and policy alignment.</w:t>
      </w:r>
    </w:p>
    <w:p w14:paraId="0F2C4176"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Steering Committee: MoTI senior representatives, engineering companies, Indigenous, and environmental agencies reviews the progress, approves significant changes in scope and addresses the rising issues.</w:t>
      </w:r>
    </w:p>
    <w:p w14:paraId="2FD7F3F5" w14:textId="4F56D16B"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Project Manager</w:t>
      </w:r>
      <w:r w:rsidR="005B4081">
        <w:rPr>
          <w:rFonts w:eastAsia="Times New Roman" w:cs="Times New Roman"/>
          <w:kern w:val="0"/>
          <w:lang w:eastAsia="en-GB"/>
          <w14:ligatures w14:val="none"/>
        </w:rPr>
        <w:t xml:space="preserve"> </w:t>
      </w:r>
      <w:r w:rsidRPr="004F26C3">
        <w:rPr>
          <w:rFonts w:eastAsia="Times New Roman" w:cs="Times New Roman"/>
          <w:kern w:val="0"/>
          <w:lang w:eastAsia="en-GB"/>
          <w14:ligatures w14:val="none"/>
        </w:rPr>
        <w:t>Daily operations, cost, schedule, risk, and communication.</w:t>
      </w:r>
    </w:p>
    <w:p w14:paraId="0AB6B84D"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Functional Teams Health and Safety and Civil and Structural Engineering; Procurement and Logistics; Communications and Environmental Management.</w:t>
      </w:r>
    </w:p>
    <w:p w14:paraId="1EC92197"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The reporting processes will involve weekly review meetings, monthly steering-committee, and quarterly general bulletins. Such a chain of command allows being tracked successfully and prevents the loss of time before a problem is revealed to the executive level.</w:t>
      </w:r>
    </w:p>
    <w:p w14:paraId="251A5980" w14:textId="77777777" w:rsidR="004F26C3" w:rsidRPr="004F26C3" w:rsidRDefault="004F26C3" w:rsidP="004F26C3">
      <w:pPr>
        <w:rPr>
          <w:rFonts w:eastAsia="Times New Roman" w:cs="Times New Roman"/>
          <w:kern w:val="0"/>
          <w:lang w:eastAsia="en-GB"/>
          <w14:ligatures w14:val="none"/>
        </w:rPr>
      </w:pPr>
    </w:p>
    <w:p w14:paraId="7EE84D73" w14:textId="77777777" w:rsidR="004F26C3" w:rsidRPr="005B4081" w:rsidRDefault="004F26C3" w:rsidP="004F26C3">
      <w:pPr>
        <w:rPr>
          <w:rFonts w:eastAsia="Times New Roman" w:cs="Times New Roman"/>
          <w:b/>
          <w:bCs/>
          <w:kern w:val="0"/>
          <w:lang w:eastAsia="en-GB"/>
          <w14:ligatures w14:val="none"/>
        </w:rPr>
      </w:pPr>
      <w:r w:rsidRPr="005B4081">
        <w:rPr>
          <w:rFonts w:eastAsia="Times New Roman" w:cs="Times New Roman"/>
          <w:b/>
          <w:bCs/>
          <w:kern w:val="0"/>
          <w:lang w:eastAsia="en-GB"/>
          <w14:ligatures w14:val="none"/>
        </w:rPr>
        <w:t>Work Breakdown Structure (WBS).</w:t>
      </w:r>
    </w:p>
    <w:p w14:paraId="121EF9FB" w14:textId="77777777" w:rsidR="005B4081" w:rsidRDefault="005B4081" w:rsidP="004F26C3">
      <w:pPr>
        <w:rPr>
          <w:rFonts w:eastAsia="Times New Roman" w:cs="Times New Roman"/>
          <w:kern w:val="0"/>
          <w:lang w:eastAsia="en-GB"/>
          <w14:ligatures w14:val="none"/>
        </w:rPr>
      </w:pPr>
    </w:p>
    <w:p w14:paraId="30F03FB2" w14:textId="50ACD973"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The WBS breaks down the project into work packages that are manageable (Table 1).</w:t>
      </w:r>
    </w:p>
    <w:p w14:paraId="0BC8605E"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Table 1: WBS Summary</w:t>
      </w:r>
    </w:p>
    <w:p w14:paraId="21259B51" w14:textId="0F1A87D0" w:rsid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Phase</w:t>
      </w:r>
      <w:r w:rsidRPr="004F26C3">
        <w:rPr>
          <w:rFonts w:eastAsia="Times New Roman" w:cs="Times New Roman"/>
          <w:kern w:val="0"/>
          <w:lang w:eastAsia="en-GB"/>
          <w14:ligatures w14:val="none"/>
        </w:rPr>
        <w:tab/>
        <w:t>Key TasksOutputs</w:t>
      </w:r>
    </w:p>
    <w:p w14:paraId="27FECEA7" w14:textId="77777777" w:rsidR="009076D5" w:rsidRDefault="009076D5" w:rsidP="004F26C3">
      <w:pPr>
        <w:rPr>
          <w:rFonts w:eastAsia="Times New Roman" w:cs="Times New Roman"/>
          <w:kern w:val="0"/>
          <w:lang w:eastAsia="en-GB"/>
          <w14:ligatures w14:val="none"/>
        </w:rPr>
      </w:pPr>
    </w:p>
    <w:tbl>
      <w:tblPr>
        <w:tblStyle w:val="TableGrid"/>
        <w:tblW w:w="0" w:type="auto"/>
        <w:tblLook w:val="04A0" w:firstRow="1" w:lastRow="0" w:firstColumn="1" w:lastColumn="0" w:noHBand="0" w:noVBand="1"/>
      </w:tblPr>
      <w:tblGrid>
        <w:gridCol w:w="3005"/>
        <w:gridCol w:w="3005"/>
        <w:gridCol w:w="3006"/>
      </w:tblGrid>
      <w:tr w:rsidR="00AA065F" w14:paraId="017A749A" w14:textId="77777777" w:rsidTr="00AA065F">
        <w:tc>
          <w:tcPr>
            <w:tcW w:w="3005" w:type="dxa"/>
          </w:tcPr>
          <w:p w14:paraId="35260D24" w14:textId="2B8B3AC6" w:rsidR="00AA065F" w:rsidRDefault="0005083E" w:rsidP="004F26C3">
            <w:pPr>
              <w:rPr>
                <w:rFonts w:eastAsia="Times New Roman" w:cs="Times New Roman"/>
                <w:kern w:val="0"/>
                <w:lang w:eastAsia="en-GB"/>
                <w14:ligatures w14:val="none"/>
              </w:rPr>
            </w:pPr>
            <w:r>
              <w:rPr>
                <w:rFonts w:eastAsia="Times New Roman" w:cs="Times New Roman"/>
                <w:kern w:val="0"/>
                <w:lang w:eastAsia="en-GB"/>
                <w14:ligatures w14:val="none"/>
              </w:rPr>
              <w:t xml:space="preserve">Phase </w:t>
            </w:r>
          </w:p>
        </w:tc>
        <w:tc>
          <w:tcPr>
            <w:tcW w:w="3005" w:type="dxa"/>
          </w:tcPr>
          <w:p w14:paraId="0FD2E962" w14:textId="14968FA4" w:rsidR="00AA065F" w:rsidRDefault="0005083E" w:rsidP="004F26C3">
            <w:pPr>
              <w:rPr>
                <w:rFonts w:eastAsia="Times New Roman" w:cs="Times New Roman"/>
                <w:kern w:val="0"/>
                <w:lang w:eastAsia="en-GB"/>
                <w14:ligatures w14:val="none"/>
              </w:rPr>
            </w:pPr>
            <w:r>
              <w:rPr>
                <w:rFonts w:eastAsia="Times New Roman" w:cs="Times New Roman"/>
                <w:kern w:val="0"/>
                <w:lang w:eastAsia="en-GB"/>
                <w14:ligatures w14:val="none"/>
              </w:rPr>
              <w:t xml:space="preserve">Key Task </w:t>
            </w:r>
          </w:p>
        </w:tc>
        <w:tc>
          <w:tcPr>
            <w:tcW w:w="3006" w:type="dxa"/>
          </w:tcPr>
          <w:p w14:paraId="29501D22" w14:textId="128D8B2D" w:rsidR="00AA065F" w:rsidRDefault="0005083E" w:rsidP="004F26C3">
            <w:pPr>
              <w:rPr>
                <w:rFonts w:eastAsia="Times New Roman" w:cs="Times New Roman"/>
                <w:kern w:val="0"/>
                <w:lang w:eastAsia="en-GB"/>
                <w14:ligatures w14:val="none"/>
              </w:rPr>
            </w:pPr>
            <w:r>
              <w:rPr>
                <w:rFonts w:eastAsia="Times New Roman" w:cs="Times New Roman"/>
                <w:kern w:val="0"/>
                <w:lang w:eastAsia="en-GB"/>
                <w14:ligatures w14:val="none"/>
              </w:rPr>
              <w:t xml:space="preserve">Out Put </w:t>
            </w:r>
          </w:p>
        </w:tc>
      </w:tr>
      <w:tr w:rsidR="00AA065F" w14:paraId="6DF15C71" w14:textId="77777777" w:rsidTr="00AA065F">
        <w:tc>
          <w:tcPr>
            <w:tcW w:w="3005" w:type="dxa"/>
          </w:tcPr>
          <w:p w14:paraId="51D7E3DA" w14:textId="2BF76F96" w:rsidR="00AA065F" w:rsidRDefault="0005083E"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1 - Initiation Stakeholder identification:</w:t>
            </w:r>
          </w:p>
        </w:tc>
        <w:tc>
          <w:tcPr>
            <w:tcW w:w="3005" w:type="dxa"/>
          </w:tcPr>
          <w:p w14:paraId="624D0CF8" w14:textId="2DBD9495" w:rsidR="00AA065F" w:rsidRDefault="005C0F0E"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feasibility and risk studies Preliminary budget approval</w:t>
            </w:r>
          </w:p>
        </w:tc>
        <w:tc>
          <w:tcPr>
            <w:tcW w:w="3006" w:type="dxa"/>
          </w:tcPr>
          <w:p w14:paraId="40F7652E" w14:textId="2EF35138" w:rsidR="00AA065F" w:rsidRDefault="005C0F0E"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Feasibility report Risk register</w:t>
            </w:r>
          </w:p>
        </w:tc>
      </w:tr>
      <w:tr w:rsidR="00AA065F" w14:paraId="4A81FE9C" w14:textId="77777777" w:rsidTr="00AA065F">
        <w:tc>
          <w:tcPr>
            <w:tcW w:w="3005" w:type="dxa"/>
          </w:tcPr>
          <w:p w14:paraId="5F7446DF" w14:textId="15F66F0B" w:rsidR="00AA065F" w:rsidRDefault="000F43D9" w:rsidP="004F26C3">
            <w:pPr>
              <w:rPr>
                <w:rFonts w:eastAsia="Times New Roman" w:cs="Times New Roman"/>
                <w:kern w:val="0"/>
                <w:lang w:eastAsia="en-GB"/>
                <w14:ligatures w14:val="none"/>
              </w:rPr>
            </w:pPr>
            <w:r>
              <w:rPr>
                <w:rFonts w:eastAsia="Times New Roman" w:cs="Times New Roman"/>
                <w:kern w:val="0"/>
                <w:lang w:eastAsia="en-GB"/>
                <w14:ligatures w14:val="none"/>
              </w:rPr>
              <w:t>2-</w:t>
            </w:r>
            <w:r w:rsidR="0005083E" w:rsidRPr="004F26C3">
              <w:rPr>
                <w:rFonts w:eastAsia="Times New Roman" w:cs="Times New Roman"/>
                <w:kern w:val="0"/>
                <w:lang w:eastAsia="en-GB"/>
                <w14:ligatures w14:val="none"/>
              </w:rPr>
              <w:t xml:space="preserve"> Planning and Design</w:t>
            </w:r>
          </w:p>
        </w:tc>
        <w:tc>
          <w:tcPr>
            <w:tcW w:w="3005" w:type="dxa"/>
          </w:tcPr>
          <w:p w14:paraId="0ACFC18A" w14:textId="71DF7373" w:rsidR="00AA065F" w:rsidRDefault="00646522"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Planning and engineering Detailed engineering designs, environmental impact assessment and procurement planning</w:t>
            </w:r>
          </w:p>
        </w:tc>
        <w:tc>
          <w:tcPr>
            <w:tcW w:w="3006" w:type="dxa"/>
          </w:tcPr>
          <w:p w14:paraId="43077F84" w14:textId="5F8840BF" w:rsidR="00646522" w:rsidRPr="004F26C3" w:rsidRDefault="00646522" w:rsidP="00646522">
            <w:pPr>
              <w:rPr>
                <w:rFonts w:eastAsia="Times New Roman" w:cs="Times New Roman"/>
                <w:kern w:val="0"/>
                <w:lang w:eastAsia="en-GB"/>
                <w14:ligatures w14:val="none"/>
              </w:rPr>
            </w:pPr>
            <w:r w:rsidRPr="004F26C3">
              <w:rPr>
                <w:rFonts w:eastAsia="Times New Roman" w:cs="Times New Roman"/>
                <w:kern w:val="0"/>
                <w:lang w:eastAsia="en-GB"/>
                <w14:ligatures w14:val="none"/>
              </w:rPr>
              <w:t>planning Approved designs, EIA report</w:t>
            </w:r>
          </w:p>
          <w:p w14:paraId="5F408D85" w14:textId="77777777" w:rsidR="00AA065F" w:rsidRDefault="00AA065F" w:rsidP="004F26C3">
            <w:pPr>
              <w:rPr>
                <w:rFonts w:eastAsia="Times New Roman" w:cs="Times New Roman"/>
                <w:kern w:val="0"/>
                <w:lang w:eastAsia="en-GB"/>
                <w14:ligatures w14:val="none"/>
              </w:rPr>
            </w:pPr>
          </w:p>
        </w:tc>
      </w:tr>
      <w:tr w:rsidR="00AA065F" w14:paraId="5A949DAD" w14:textId="77777777" w:rsidTr="00AA065F">
        <w:tc>
          <w:tcPr>
            <w:tcW w:w="3005" w:type="dxa"/>
          </w:tcPr>
          <w:p w14:paraId="78117199" w14:textId="6C2C48E4" w:rsidR="00AA065F" w:rsidRDefault="000F43D9" w:rsidP="004F26C3">
            <w:pPr>
              <w:rPr>
                <w:rFonts w:eastAsia="Times New Roman" w:cs="Times New Roman"/>
                <w:kern w:val="0"/>
                <w:lang w:eastAsia="en-GB"/>
                <w14:ligatures w14:val="none"/>
              </w:rPr>
            </w:pPr>
            <w:r>
              <w:rPr>
                <w:rFonts w:eastAsia="Times New Roman" w:cs="Times New Roman"/>
                <w:kern w:val="0"/>
                <w:lang w:eastAsia="en-GB"/>
                <w14:ligatures w14:val="none"/>
              </w:rPr>
              <w:t xml:space="preserve">3- </w:t>
            </w:r>
            <w:r w:rsidRPr="004F26C3">
              <w:rPr>
                <w:rFonts w:eastAsia="Times New Roman" w:cs="Times New Roman"/>
                <w:kern w:val="0"/>
                <w:lang w:eastAsia="en-GB"/>
                <w14:ligatures w14:val="none"/>
              </w:rPr>
              <w:t>Construction</w:t>
            </w:r>
            <w:r>
              <w:rPr>
                <w:rFonts w:eastAsia="Times New Roman" w:cs="Times New Roman"/>
                <w:kern w:val="0"/>
                <w:lang w:eastAsia="en-GB"/>
                <w14:ligatures w14:val="none"/>
              </w:rPr>
              <w:t xml:space="preserve"> </w:t>
            </w:r>
            <w:r w:rsidRPr="004F26C3">
              <w:rPr>
                <w:rFonts w:eastAsia="Times New Roman" w:cs="Times New Roman"/>
                <w:kern w:val="0"/>
                <w:lang w:eastAsia="en-GB"/>
                <w14:ligatures w14:val="none"/>
              </w:rPr>
              <w:t>Site preparation</w:t>
            </w:r>
          </w:p>
        </w:tc>
        <w:tc>
          <w:tcPr>
            <w:tcW w:w="3005" w:type="dxa"/>
          </w:tcPr>
          <w:p w14:paraId="503FECFF" w14:textId="5EAFE05C" w:rsidR="00AA065F" w:rsidRDefault="009F200B" w:rsidP="004F26C3">
            <w:pPr>
              <w:rPr>
                <w:rFonts w:eastAsia="Times New Roman" w:cs="Times New Roman"/>
                <w:kern w:val="0"/>
                <w:lang w:eastAsia="en-GB"/>
                <w14:ligatures w14:val="none"/>
              </w:rPr>
            </w:pPr>
            <w:r>
              <w:rPr>
                <w:rFonts w:eastAsia="Times New Roman" w:cs="Times New Roman"/>
                <w:kern w:val="0"/>
                <w:lang w:eastAsia="en-GB"/>
                <w14:ligatures w14:val="none"/>
              </w:rPr>
              <w:t>A</w:t>
            </w:r>
            <w:r w:rsidRPr="004F26C3">
              <w:rPr>
                <w:rFonts w:eastAsia="Times New Roman" w:cs="Times New Roman"/>
                <w:kern w:val="0"/>
                <w:lang w:eastAsia="en-GB"/>
                <w14:ligatures w14:val="none"/>
              </w:rPr>
              <w:t>vailable of debris, bridge and road works, drainage improvement</w:t>
            </w:r>
          </w:p>
        </w:tc>
        <w:tc>
          <w:tcPr>
            <w:tcW w:w="3006" w:type="dxa"/>
          </w:tcPr>
          <w:p w14:paraId="6CA70C1A" w14:textId="0928D09B" w:rsidR="009F200B" w:rsidRPr="004F26C3" w:rsidRDefault="009F200B" w:rsidP="009F200B">
            <w:pPr>
              <w:rPr>
                <w:rFonts w:eastAsia="Times New Roman" w:cs="Times New Roman"/>
                <w:kern w:val="0"/>
                <w:lang w:eastAsia="en-GB"/>
                <w14:ligatures w14:val="none"/>
              </w:rPr>
            </w:pPr>
            <w:r w:rsidRPr="004F26C3">
              <w:rPr>
                <w:rFonts w:eastAsia="Times New Roman" w:cs="Times New Roman"/>
                <w:kern w:val="0"/>
                <w:lang w:eastAsia="en-GB"/>
                <w14:ligatures w14:val="none"/>
              </w:rPr>
              <w:t>Civil works completed</w:t>
            </w:r>
          </w:p>
          <w:p w14:paraId="3F73DA90" w14:textId="77777777" w:rsidR="00AA065F" w:rsidRDefault="00AA065F" w:rsidP="004F26C3">
            <w:pPr>
              <w:rPr>
                <w:rFonts w:eastAsia="Times New Roman" w:cs="Times New Roman"/>
                <w:kern w:val="0"/>
                <w:lang w:eastAsia="en-GB"/>
                <w14:ligatures w14:val="none"/>
              </w:rPr>
            </w:pPr>
          </w:p>
        </w:tc>
      </w:tr>
      <w:tr w:rsidR="00AA065F" w14:paraId="45BEFC5C" w14:textId="77777777" w:rsidTr="00AA065F">
        <w:tc>
          <w:tcPr>
            <w:tcW w:w="3005" w:type="dxa"/>
          </w:tcPr>
          <w:p w14:paraId="1271EE1C" w14:textId="5E335999" w:rsidR="00AA065F" w:rsidRDefault="00F7496E"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4 - Quality assurance Cases</w:t>
            </w:r>
          </w:p>
        </w:tc>
        <w:tc>
          <w:tcPr>
            <w:tcW w:w="3005" w:type="dxa"/>
          </w:tcPr>
          <w:p w14:paraId="37C8701B" w14:textId="7C7BF718" w:rsidR="00AA065F" w:rsidRDefault="002919BF"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Examinations, inspections of safety, monitoring of the environment</w:t>
            </w:r>
          </w:p>
        </w:tc>
        <w:tc>
          <w:tcPr>
            <w:tcW w:w="3006" w:type="dxa"/>
          </w:tcPr>
          <w:p w14:paraId="1043AFF2" w14:textId="77777777" w:rsidR="002919BF" w:rsidRPr="004F26C3" w:rsidRDefault="002919BF" w:rsidP="002919BF">
            <w:pPr>
              <w:rPr>
                <w:rFonts w:eastAsia="Times New Roman" w:cs="Times New Roman"/>
                <w:kern w:val="0"/>
                <w:lang w:eastAsia="en-GB"/>
                <w14:ligatures w14:val="none"/>
              </w:rPr>
            </w:pPr>
            <w:r w:rsidRPr="004F26C3">
              <w:rPr>
                <w:rFonts w:eastAsia="Times New Roman" w:cs="Times New Roman"/>
                <w:kern w:val="0"/>
                <w:lang w:eastAsia="en-GB"/>
                <w14:ligatures w14:val="none"/>
              </w:rPr>
              <w:t>Quality certificates; audit statements</w:t>
            </w:r>
          </w:p>
          <w:p w14:paraId="1F817DAC" w14:textId="77777777" w:rsidR="00AA065F" w:rsidRDefault="00AA065F" w:rsidP="004F26C3">
            <w:pPr>
              <w:rPr>
                <w:rFonts w:eastAsia="Times New Roman" w:cs="Times New Roman"/>
                <w:kern w:val="0"/>
                <w:lang w:eastAsia="en-GB"/>
                <w14:ligatures w14:val="none"/>
              </w:rPr>
            </w:pPr>
          </w:p>
        </w:tc>
      </w:tr>
      <w:tr w:rsidR="00AA065F" w14:paraId="0F39C5A0" w14:textId="77777777" w:rsidTr="00AA065F">
        <w:tc>
          <w:tcPr>
            <w:tcW w:w="3005" w:type="dxa"/>
          </w:tcPr>
          <w:p w14:paraId="4AE43D32" w14:textId="2A718C13" w:rsidR="00AA065F" w:rsidRDefault="00F7496E"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 xml:space="preserve">5 - Commissioning &amp; Handover </w:t>
            </w:r>
          </w:p>
        </w:tc>
        <w:tc>
          <w:tcPr>
            <w:tcW w:w="3005" w:type="dxa"/>
          </w:tcPr>
          <w:p w14:paraId="310C96F5" w14:textId="2AC1B484" w:rsidR="00AA065F" w:rsidRDefault="00D02114" w:rsidP="004F26C3">
            <w:pPr>
              <w:rPr>
                <w:rFonts w:eastAsia="Times New Roman" w:cs="Times New Roman"/>
                <w:kern w:val="0"/>
                <w:lang w:eastAsia="en-GB"/>
                <w14:ligatures w14:val="none"/>
              </w:rPr>
            </w:pPr>
            <w:r>
              <w:rPr>
                <w:rFonts w:eastAsia="Times New Roman" w:cs="Times New Roman"/>
                <w:kern w:val="0"/>
                <w:lang w:eastAsia="en-GB"/>
                <w14:ligatures w14:val="none"/>
              </w:rPr>
              <w:t>Financial inpriation, t</w:t>
            </w:r>
            <w:r w:rsidR="007C6208" w:rsidRPr="004F26C3">
              <w:rPr>
                <w:rFonts w:eastAsia="Times New Roman" w:cs="Times New Roman"/>
                <w:kern w:val="0"/>
                <w:lang w:eastAsia="en-GB"/>
                <w14:ligatures w14:val="none"/>
              </w:rPr>
              <w:t>raining, documentation, and closure review</w:t>
            </w:r>
          </w:p>
        </w:tc>
        <w:tc>
          <w:tcPr>
            <w:tcW w:w="3006" w:type="dxa"/>
          </w:tcPr>
          <w:p w14:paraId="07230408" w14:textId="77777777" w:rsidR="00D02114" w:rsidRPr="004F26C3" w:rsidRDefault="00D02114" w:rsidP="00D02114">
            <w:pPr>
              <w:rPr>
                <w:rFonts w:eastAsia="Times New Roman" w:cs="Times New Roman"/>
                <w:kern w:val="0"/>
                <w:lang w:eastAsia="en-GB"/>
                <w14:ligatures w14:val="none"/>
              </w:rPr>
            </w:pPr>
            <w:r w:rsidRPr="004F26C3">
              <w:rPr>
                <w:rFonts w:eastAsia="Times New Roman" w:cs="Times New Roman"/>
                <w:kern w:val="0"/>
                <w:lang w:eastAsia="en-GB"/>
                <w14:ligatures w14:val="none"/>
              </w:rPr>
              <w:t>Handover package; lessons-learned report</w:t>
            </w:r>
          </w:p>
          <w:p w14:paraId="4B080F24" w14:textId="77777777" w:rsidR="00AA065F" w:rsidRDefault="00AA065F" w:rsidP="004F26C3">
            <w:pPr>
              <w:rPr>
                <w:rFonts w:eastAsia="Times New Roman" w:cs="Times New Roman"/>
                <w:kern w:val="0"/>
                <w:lang w:eastAsia="en-GB"/>
                <w14:ligatures w14:val="none"/>
              </w:rPr>
            </w:pPr>
          </w:p>
        </w:tc>
      </w:tr>
    </w:tbl>
    <w:p w14:paraId="493AE518" w14:textId="77777777" w:rsidR="009076D5" w:rsidRDefault="009076D5" w:rsidP="004F26C3">
      <w:pPr>
        <w:rPr>
          <w:rFonts w:eastAsia="Times New Roman" w:cs="Times New Roman"/>
          <w:kern w:val="0"/>
          <w:lang w:eastAsia="en-GB"/>
          <w14:ligatures w14:val="none"/>
        </w:rPr>
      </w:pPr>
    </w:p>
    <w:p w14:paraId="067B782A" w14:textId="77777777" w:rsidR="009076D5" w:rsidRPr="004F26C3" w:rsidRDefault="009076D5" w:rsidP="004F26C3">
      <w:pPr>
        <w:rPr>
          <w:rFonts w:eastAsia="Times New Roman" w:cs="Times New Roman"/>
          <w:kern w:val="0"/>
          <w:lang w:eastAsia="en-GB"/>
          <w14:ligatures w14:val="none"/>
        </w:rPr>
      </w:pPr>
    </w:p>
    <w:p w14:paraId="20AD7338"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This is a systematic method that makes it accountable, traceable and within the scope and integration management process of PMBOK(r).</w:t>
      </w:r>
    </w:p>
    <w:p w14:paraId="3929FEAA" w14:textId="77777777" w:rsidR="004F26C3" w:rsidRPr="00D02114" w:rsidRDefault="004F26C3" w:rsidP="004F26C3">
      <w:pPr>
        <w:rPr>
          <w:rFonts w:eastAsia="Times New Roman" w:cs="Times New Roman"/>
          <w:b/>
          <w:bCs/>
          <w:kern w:val="0"/>
          <w:lang w:eastAsia="en-GB"/>
          <w14:ligatures w14:val="none"/>
        </w:rPr>
      </w:pPr>
    </w:p>
    <w:p w14:paraId="1B1B9900" w14:textId="77777777" w:rsidR="004F26C3" w:rsidRDefault="004F26C3" w:rsidP="004F26C3">
      <w:pPr>
        <w:rPr>
          <w:rFonts w:eastAsia="Times New Roman" w:cs="Times New Roman"/>
          <w:b/>
          <w:bCs/>
          <w:kern w:val="0"/>
          <w:lang w:eastAsia="en-GB"/>
          <w14:ligatures w14:val="none"/>
        </w:rPr>
      </w:pPr>
      <w:r w:rsidRPr="00D02114">
        <w:rPr>
          <w:rFonts w:eastAsia="Times New Roman" w:cs="Times New Roman"/>
          <w:b/>
          <w:bCs/>
          <w:kern w:val="0"/>
          <w:lang w:eastAsia="en-GB"/>
          <w14:ligatures w14:val="none"/>
        </w:rPr>
        <w:t>Schedule Management</w:t>
      </w:r>
    </w:p>
    <w:p w14:paraId="505A71F0" w14:textId="77777777" w:rsidR="00D02114" w:rsidRPr="00D02114" w:rsidRDefault="00D02114" w:rsidP="004F26C3">
      <w:pPr>
        <w:rPr>
          <w:rFonts w:eastAsia="Times New Roman" w:cs="Times New Roman"/>
          <w:b/>
          <w:bCs/>
          <w:kern w:val="0"/>
          <w:lang w:eastAsia="en-GB"/>
          <w14:ligatures w14:val="none"/>
        </w:rPr>
      </w:pPr>
    </w:p>
    <w:p w14:paraId="53895862" w14:textId="77777777" w:rsidR="000C457B"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The 24-month plan compromises the quality speed with the help of the phased overlapping tasks</w:t>
      </w:r>
    </w:p>
    <w:p w14:paraId="30EEEA74" w14:textId="77777777" w:rsidR="000C457B" w:rsidRDefault="000C457B" w:rsidP="004F26C3">
      <w:pPr>
        <w:rPr>
          <w:rFonts w:eastAsia="Times New Roman" w:cs="Times New Roman"/>
          <w:kern w:val="0"/>
          <w:lang w:eastAsia="en-GB"/>
          <w14:ligatures w14:val="none"/>
        </w:rPr>
      </w:pPr>
    </w:p>
    <w:tbl>
      <w:tblPr>
        <w:tblStyle w:val="TableGrid"/>
        <w:tblW w:w="0" w:type="auto"/>
        <w:tblLook w:val="04A0" w:firstRow="1" w:lastRow="0" w:firstColumn="1" w:lastColumn="0" w:noHBand="0" w:noVBand="1"/>
      </w:tblPr>
      <w:tblGrid>
        <w:gridCol w:w="4508"/>
        <w:gridCol w:w="4508"/>
      </w:tblGrid>
      <w:tr w:rsidR="000C457B" w14:paraId="79FE445D" w14:textId="77777777" w:rsidTr="000C457B">
        <w:tc>
          <w:tcPr>
            <w:tcW w:w="4508" w:type="dxa"/>
          </w:tcPr>
          <w:p w14:paraId="0464534C" w14:textId="010067CA" w:rsidR="000C457B" w:rsidRDefault="009758A7" w:rsidP="004F26C3">
            <w:pPr>
              <w:rPr>
                <w:rFonts w:eastAsia="Times New Roman" w:cs="Times New Roman"/>
                <w:kern w:val="0"/>
                <w:lang w:eastAsia="en-GB"/>
                <w14:ligatures w14:val="none"/>
              </w:rPr>
            </w:pPr>
            <w:r>
              <w:rPr>
                <w:rFonts w:eastAsia="Times New Roman" w:cs="Times New Roman"/>
                <w:kern w:val="0"/>
                <w:lang w:eastAsia="en-GB"/>
                <w14:ligatures w14:val="none"/>
              </w:rPr>
              <w:t xml:space="preserve">Months </w:t>
            </w:r>
          </w:p>
        </w:tc>
        <w:tc>
          <w:tcPr>
            <w:tcW w:w="4508" w:type="dxa"/>
          </w:tcPr>
          <w:p w14:paraId="17DC5038" w14:textId="2EA76166" w:rsidR="000C457B" w:rsidRDefault="009758A7" w:rsidP="004F26C3">
            <w:pPr>
              <w:rPr>
                <w:rFonts w:eastAsia="Times New Roman" w:cs="Times New Roman"/>
                <w:kern w:val="0"/>
                <w:lang w:eastAsia="en-GB"/>
                <w14:ligatures w14:val="none"/>
              </w:rPr>
            </w:pPr>
            <w:r>
              <w:rPr>
                <w:rFonts w:eastAsia="Times New Roman" w:cs="Times New Roman"/>
                <w:kern w:val="0"/>
                <w:lang w:eastAsia="en-GB"/>
                <w14:ligatures w14:val="none"/>
              </w:rPr>
              <w:t xml:space="preserve">Major Activities </w:t>
            </w:r>
          </w:p>
        </w:tc>
      </w:tr>
      <w:tr w:rsidR="000C457B" w14:paraId="59EC4FD3" w14:textId="77777777" w:rsidTr="000C457B">
        <w:tc>
          <w:tcPr>
            <w:tcW w:w="4508" w:type="dxa"/>
          </w:tcPr>
          <w:p w14:paraId="2A91A3B0" w14:textId="22304A6D" w:rsidR="000C457B" w:rsidRDefault="009758A7" w:rsidP="004F26C3">
            <w:pPr>
              <w:rPr>
                <w:rFonts w:eastAsia="Times New Roman" w:cs="Times New Roman"/>
                <w:kern w:val="0"/>
                <w:lang w:eastAsia="en-GB"/>
                <w14:ligatures w14:val="none"/>
              </w:rPr>
            </w:pPr>
            <w:r>
              <w:rPr>
                <w:rFonts w:eastAsia="Times New Roman" w:cs="Times New Roman"/>
                <w:kern w:val="0"/>
                <w:lang w:eastAsia="en-GB"/>
                <w14:ligatures w14:val="none"/>
              </w:rPr>
              <w:t>1-3</w:t>
            </w:r>
          </w:p>
        </w:tc>
        <w:tc>
          <w:tcPr>
            <w:tcW w:w="4508" w:type="dxa"/>
          </w:tcPr>
          <w:p w14:paraId="3041732D" w14:textId="64B5CAAC" w:rsidR="000C457B" w:rsidRDefault="007318D7"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initiation, stakeholder interaction, feasibility study.</w:t>
            </w:r>
          </w:p>
        </w:tc>
      </w:tr>
      <w:tr w:rsidR="000C457B" w14:paraId="529C5DF8" w14:textId="77777777" w:rsidTr="000C457B">
        <w:tc>
          <w:tcPr>
            <w:tcW w:w="4508" w:type="dxa"/>
          </w:tcPr>
          <w:p w14:paraId="59BF409F" w14:textId="10DFBCB2" w:rsidR="000C457B" w:rsidRDefault="00AC5925" w:rsidP="004F26C3">
            <w:pPr>
              <w:rPr>
                <w:rFonts w:eastAsia="Times New Roman" w:cs="Times New Roman"/>
                <w:kern w:val="0"/>
                <w:lang w:eastAsia="en-GB"/>
                <w14:ligatures w14:val="none"/>
              </w:rPr>
            </w:pPr>
            <w:r>
              <w:rPr>
                <w:rFonts w:eastAsia="Times New Roman" w:cs="Times New Roman"/>
                <w:kern w:val="0"/>
                <w:lang w:eastAsia="en-GB"/>
                <w14:ligatures w14:val="none"/>
              </w:rPr>
              <w:t>4-6</w:t>
            </w:r>
          </w:p>
        </w:tc>
        <w:tc>
          <w:tcPr>
            <w:tcW w:w="4508" w:type="dxa"/>
          </w:tcPr>
          <w:p w14:paraId="191EEDFA" w14:textId="60A30C41" w:rsidR="000C457B" w:rsidRDefault="007318D7"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Detailed design, environmental approvals, preparation of procurement.</w:t>
            </w:r>
          </w:p>
        </w:tc>
      </w:tr>
      <w:tr w:rsidR="000C457B" w14:paraId="25917445" w14:textId="77777777" w:rsidTr="000C457B">
        <w:tc>
          <w:tcPr>
            <w:tcW w:w="4508" w:type="dxa"/>
          </w:tcPr>
          <w:p w14:paraId="53CDDE3E" w14:textId="1F24B354" w:rsidR="000C457B" w:rsidRDefault="00AC5925" w:rsidP="004F26C3">
            <w:pPr>
              <w:rPr>
                <w:rFonts w:eastAsia="Times New Roman" w:cs="Times New Roman"/>
                <w:kern w:val="0"/>
                <w:lang w:eastAsia="en-GB"/>
                <w14:ligatures w14:val="none"/>
              </w:rPr>
            </w:pPr>
            <w:r>
              <w:rPr>
                <w:rFonts w:eastAsia="Times New Roman" w:cs="Times New Roman"/>
                <w:kern w:val="0"/>
                <w:lang w:eastAsia="en-GB"/>
                <w14:ligatures w14:val="none"/>
              </w:rPr>
              <w:t>7-12</w:t>
            </w:r>
          </w:p>
        </w:tc>
        <w:tc>
          <w:tcPr>
            <w:tcW w:w="4508" w:type="dxa"/>
          </w:tcPr>
          <w:p w14:paraId="1BD3C0A0" w14:textId="501F50AE" w:rsidR="000C457B" w:rsidRDefault="007318D7"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Preparation of site, clearing up of debris, initial bridge works.</w:t>
            </w:r>
          </w:p>
        </w:tc>
      </w:tr>
      <w:tr w:rsidR="000C457B" w14:paraId="631A91A7" w14:textId="77777777" w:rsidTr="000C457B">
        <w:tc>
          <w:tcPr>
            <w:tcW w:w="4508" w:type="dxa"/>
          </w:tcPr>
          <w:p w14:paraId="5826531B" w14:textId="397AA589" w:rsidR="000C457B" w:rsidRDefault="00AC5925" w:rsidP="004F26C3">
            <w:pPr>
              <w:rPr>
                <w:rFonts w:eastAsia="Times New Roman" w:cs="Times New Roman"/>
                <w:kern w:val="0"/>
                <w:lang w:eastAsia="en-GB"/>
                <w14:ligatures w14:val="none"/>
              </w:rPr>
            </w:pPr>
            <w:r>
              <w:rPr>
                <w:rFonts w:eastAsia="Times New Roman" w:cs="Times New Roman"/>
                <w:kern w:val="0"/>
                <w:lang w:eastAsia="en-GB"/>
                <w14:ligatures w14:val="none"/>
              </w:rPr>
              <w:t>13-20</w:t>
            </w:r>
          </w:p>
        </w:tc>
        <w:tc>
          <w:tcPr>
            <w:tcW w:w="4508" w:type="dxa"/>
          </w:tcPr>
          <w:p w14:paraId="514F1D0E" w14:textId="6415B154" w:rsidR="000C457B" w:rsidRDefault="002D65EC"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Principal construction: road and drainage re-construction Bridge Inventory: 1 a Bridge construction</w:t>
            </w:r>
          </w:p>
        </w:tc>
      </w:tr>
      <w:tr w:rsidR="000C457B" w14:paraId="734CAA07" w14:textId="77777777" w:rsidTr="000C457B">
        <w:tc>
          <w:tcPr>
            <w:tcW w:w="4508" w:type="dxa"/>
          </w:tcPr>
          <w:p w14:paraId="0D529F45" w14:textId="788988FA" w:rsidR="000C457B" w:rsidRDefault="00527376" w:rsidP="004F26C3">
            <w:pPr>
              <w:rPr>
                <w:rFonts w:eastAsia="Times New Roman" w:cs="Times New Roman"/>
                <w:kern w:val="0"/>
                <w:lang w:eastAsia="en-GB"/>
                <w14:ligatures w14:val="none"/>
              </w:rPr>
            </w:pPr>
            <w:r>
              <w:rPr>
                <w:rFonts w:eastAsia="Times New Roman" w:cs="Times New Roman"/>
                <w:kern w:val="0"/>
                <w:lang w:eastAsia="en-GB"/>
                <w14:ligatures w14:val="none"/>
              </w:rPr>
              <w:t>21-22</w:t>
            </w:r>
          </w:p>
        </w:tc>
        <w:tc>
          <w:tcPr>
            <w:tcW w:w="4508" w:type="dxa"/>
          </w:tcPr>
          <w:p w14:paraId="35B4C740" w14:textId="1BDD57A7" w:rsidR="000C457B" w:rsidRDefault="002D65EC"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Quality check, safety checks, environmental check.</w:t>
            </w:r>
          </w:p>
        </w:tc>
      </w:tr>
      <w:tr w:rsidR="000C457B" w14:paraId="09BF3F0F" w14:textId="77777777" w:rsidTr="000C457B">
        <w:tc>
          <w:tcPr>
            <w:tcW w:w="4508" w:type="dxa"/>
          </w:tcPr>
          <w:p w14:paraId="5F23CF31" w14:textId="4388043D" w:rsidR="000C457B" w:rsidRDefault="00527376" w:rsidP="004F26C3">
            <w:pPr>
              <w:rPr>
                <w:rFonts w:eastAsia="Times New Roman" w:cs="Times New Roman"/>
                <w:kern w:val="0"/>
                <w:lang w:eastAsia="en-GB"/>
                <w14:ligatures w14:val="none"/>
              </w:rPr>
            </w:pPr>
            <w:r>
              <w:rPr>
                <w:rFonts w:eastAsia="Times New Roman" w:cs="Times New Roman"/>
                <w:kern w:val="0"/>
                <w:lang w:eastAsia="en-GB"/>
                <w14:ligatures w14:val="none"/>
              </w:rPr>
              <w:t xml:space="preserve">23-24 </w:t>
            </w:r>
          </w:p>
        </w:tc>
        <w:tc>
          <w:tcPr>
            <w:tcW w:w="4508" w:type="dxa"/>
          </w:tcPr>
          <w:p w14:paraId="7BD0865B" w14:textId="308EC9C5" w:rsidR="000C457B" w:rsidRDefault="002D65EC"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Commissioning, handover and project closure.</w:t>
            </w:r>
          </w:p>
        </w:tc>
      </w:tr>
    </w:tbl>
    <w:p w14:paraId="562DB905" w14:textId="77777777" w:rsidR="000C457B" w:rsidRDefault="000C457B" w:rsidP="004F26C3">
      <w:pPr>
        <w:rPr>
          <w:rFonts w:eastAsia="Times New Roman" w:cs="Times New Roman"/>
          <w:kern w:val="0"/>
          <w:lang w:eastAsia="en-GB"/>
          <w14:ligatures w14:val="none"/>
        </w:rPr>
      </w:pPr>
    </w:p>
    <w:p w14:paraId="0CC9554B" w14:textId="52738487" w:rsidR="004F26C3" w:rsidRPr="004F26C3" w:rsidRDefault="004F26C3" w:rsidP="004F26C3">
      <w:pPr>
        <w:rPr>
          <w:rFonts w:eastAsia="Times New Roman" w:cs="Times New Roman"/>
          <w:kern w:val="0"/>
          <w:lang w:eastAsia="en-GB"/>
          <w14:ligatures w14:val="none"/>
        </w:rPr>
      </w:pPr>
    </w:p>
    <w:p w14:paraId="0C3FC895"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Critical-path analysis (CPA) will be used to establish tasks that have a direct influence on the completion dates. Two-four weeks schedule buffers will be used to address delays caused by bad weather or shortages in supplies. Earned Value Management (EVM) will be used to monitor the project performance in comparison with the baseline (Fleming &amp; Koppelman, 2019).</w:t>
      </w:r>
    </w:p>
    <w:p w14:paraId="05FEBD8C" w14:textId="77777777" w:rsidR="004F26C3" w:rsidRPr="004F26C3" w:rsidRDefault="004F26C3" w:rsidP="004F26C3">
      <w:pPr>
        <w:rPr>
          <w:rFonts w:eastAsia="Times New Roman" w:cs="Times New Roman"/>
          <w:kern w:val="0"/>
          <w:lang w:eastAsia="en-GB"/>
          <w14:ligatures w14:val="none"/>
        </w:rPr>
      </w:pPr>
    </w:p>
    <w:p w14:paraId="18BA46EE" w14:textId="77777777" w:rsidR="004F26C3" w:rsidRPr="003E2A52" w:rsidRDefault="004F26C3" w:rsidP="004F26C3">
      <w:pPr>
        <w:rPr>
          <w:rFonts w:eastAsia="Times New Roman" w:cs="Times New Roman"/>
          <w:b/>
          <w:bCs/>
          <w:kern w:val="0"/>
          <w:lang w:eastAsia="en-GB"/>
          <w14:ligatures w14:val="none"/>
        </w:rPr>
      </w:pPr>
      <w:r w:rsidRPr="003E2A52">
        <w:rPr>
          <w:rFonts w:eastAsia="Times New Roman" w:cs="Times New Roman"/>
          <w:b/>
          <w:bCs/>
          <w:kern w:val="0"/>
          <w:lang w:eastAsia="en-GB"/>
          <w14:ligatures w14:val="none"/>
        </w:rPr>
        <w:t>Resource Allocation</w:t>
      </w:r>
    </w:p>
    <w:p w14:paraId="64456A40" w14:textId="77777777" w:rsidR="003E2A52" w:rsidRDefault="003E2A52" w:rsidP="004F26C3">
      <w:pPr>
        <w:rPr>
          <w:rFonts w:eastAsia="Times New Roman" w:cs="Times New Roman"/>
          <w:kern w:val="0"/>
          <w:lang w:eastAsia="en-GB"/>
          <w14:ligatures w14:val="none"/>
        </w:rPr>
      </w:pPr>
    </w:p>
    <w:p w14:paraId="3D3FCC3D" w14:textId="34B02342"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7.1 Human Resources</w:t>
      </w:r>
    </w:p>
    <w:p w14:paraId="538B0757" w14:textId="4839AAA5"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Project Manager (1)</w:t>
      </w:r>
    </w:p>
    <w:p w14:paraId="17A583E0" w14:textId="67546570"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Civil &amp; Structural Engineers (12)</w:t>
      </w:r>
    </w:p>
    <w:p w14:paraId="43C0F819" w14:textId="2BC4704D"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Environmental Specialists (6)</w:t>
      </w:r>
    </w:p>
    <w:p w14:paraId="5CFABB1C" w14:textId="2A15020E"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Health &amp; Safety Officers (4)</w:t>
      </w:r>
    </w:p>
    <w:p w14:paraId="19E90DD2" w14:textId="02FCA2E3"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Labourers and Construction Supervisors (sub. 150)</w:t>
      </w:r>
    </w:p>
    <w:p w14:paraId="1CC3F34E" w14:textId="3101A31A"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Administrative Support and Finance employees (5)</w:t>
      </w:r>
    </w:p>
    <w:p w14:paraId="57C23F63" w14:textId="77777777" w:rsidR="003E2A52" w:rsidRDefault="003E2A52" w:rsidP="004F26C3">
      <w:pPr>
        <w:rPr>
          <w:rFonts w:eastAsia="Times New Roman" w:cs="Times New Roman"/>
          <w:kern w:val="0"/>
          <w:lang w:eastAsia="en-GB"/>
          <w14:ligatures w14:val="none"/>
        </w:rPr>
      </w:pPr>
    </w:p>
    <w:p w14:paraId="2459ABCA" w14:textId="5609F9D5"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7.2 Material and Equipment</w:t>
      </w:r>
    </w:p>
    <w:p w14:paraId="1F201D8E" w14:textId="77777777"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Under major inputs are reinforced concrete, high grade steel, asphalt, erosion control fabrics and manufactured bridge components. Such equipment is crane, excavator, dump trucks, and concrete mixers.</w:t>
      </w:r>
    </w:p>
    <w:p w14:paraId="6312254C" w14:textId="77777777" w:rsidR="003E2A52" w:rsidRDefault="003E2A52" w:rsidP="004F26C3">
      <w:pPr>
        <w:rPr>
          <w:rFonts w:eastAsia="Times New Roman" w:cs="Times New Roman"/>
          <w:kern w:val="0"/>
          <w:lang w:eastAsia="en-GB"/>
          <w14:ligatures w14:val="none"/>
        </w:rPr>
      </w:pPr>
    </w:p>
    <w:p w14:paraId="2E1A9AC4" w14:textId="3C0A760D" w:rsidR="004F26C3" w:rsidRPr="004F26C3" w:rsidRDefault="00BF748C" w:rsidP="004F26C3">
      <w:pPr>
        <w:rPr>
          <w:rFonts w:eastAsia="Times New Roman" w:cs="Times New Roman"/>
          <w:kern w:val="0"/>
          <w:lang w:eastAsia="en-GB"/>
          <w14:ligatures w14:val="none"/>
        </w:rPr>
      </w:pPr>
      <w:r>
        <w:rPr>
          <w:rFonts w:eastAsia="Times New Roman" w:cs="Times New Roman"/>
          <w:noProof/>
          <w:kern w:val="0"/>
          <w:lang w:eastAsia="en-GB"/>
        </w:rPr>
        <mc:AlternateContent>
          <mc:Choice Requires="wps">
            <w:drawing>
              <wp:anchor distT="0" distB="0" distL="114300" distR="114300" simplePos="0" relativeHeight="251664384" behindDoc="0" locked="0" layoutInCell="1" allowOverlap="1" wp14:anchorId="785FB74C" wp14:editId="68E0BD2D">
                <wp:simplePos x="0" y="0"/>
                <wp:positionH relativeFrom="column">
                  <wp:posOffset>776177</wp:posOffset>
                </wp:positionH>
                <wp:positionV relativeFrom="paragraph">
                  <wp:posOffset>404997</wp:posOffset>
                </wp:positionV>
                <wp:extent cx="0" cy="340242"/>
                <wp:effectExtent l="0" t="0" r="12700" b="15875"/>
                <wp:wrapNone/>
                <wp:docPr id="1813824613" name="Straight Connector 6"/>
                <wp:cNvGraphicFramePr/>
                <a:graphic xmlns:a="http://schemas.openxmlformats.org/drawingml/2006/main">
                  <a:graphicData uri="http://schemas.microsoft.com/office/word/2010/wordprocessingShape">
                    <wps:wsp>
                      <wps:cNvCnPr/>
                      <wps:spPr>
                        <a:xfrm>
                          <a:off x="0" y="0"/>
                          <a:ext cx="0" cy="34024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9C51F6"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1.1pt,31.9pt" to="61.1pt,5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" strokecolor="#156082 [3204]" strokeweight=".5pt">
                <v:stroke joinstyle="miter"/>
              </v:line>
            </w:pict>
          </mc:Fallback>
        </mc:AlternateContent>
      </w:r>
      <w:r>
        <w:rPr>
          <w:rFonts w:eastAsia="Times New Roman" w:cs="Times New Roman"/>
          <w:noProof/>
          <w:kern w:val="0"/>
          <w:lang w:eastAsia="en-GB"/>
        </w:rPr>
        <mc:AlternateContent>
          <mc:Choice Requires="wps">
            <w:drawing>
              <wp:anchor distT="0" distB="0" distL="114300" distR="114300" simplePos="0" relativeHeight="251662336" behindDoc="0" locked="0" layoutInCell="1" allowOverlap="1" wp14:anchorId="07D4AEAC" wp14:editId="2B8FE35E">
                <wp:simplePos x="0" y="0"/>
                <wp:positionH relativeFrom="column">
                  <wp:posOffset>-95693</wp:posOffset>
                </wp:positionH>
                <wp:positionV relativeFrom="paragraph">
                  <wp:posOffset>404997</wp:posOffset>
                </wp:positionV>
                <wp:extent cx="0" cy="2466754"/>
                <wp:effectExtent l="0" t="0" r="12700" b="10160"/>
                <wp:wrapNone/>
                <wp:docPr id="1213976811" name="Straight Connector 4"/>
                <wp:cNvGraphicFramePr/>
                <a:graphic xmlns:a="http://schemas.openxmlformats.org/drawingml/2006/main">
                  <a:graphicData uri="http://schemas.microsoft.com/office/word/2010/wordprocessingShape">
                    <wps:wsp>
                      <wps:cNvCnPr/>
                      <wps:spPr>
                        <a:xfrm>
                          <a:off x="0" y="0"/>
                          <a:ext cx="0" cy="24667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1E45255" id="Straight Connector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5pt,31.9pt" to="-7.55pt,2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" strokecolor="#156082 [3204]" strokeweight=".5pt">
                <v:stroke joinstyle="miter"/>
              </v:line>
            </w:pict>
          </mc:Fallback>
        </mc:AlternateContent>
      </w:r>
      <w:r w:rsidR="00146CDF">
        <w:rPr>
          <w:rFonts w:eastAsia="Times New Roman" w:cs="Times New Roman"/>
          <w:noProof/>
          <w:kern w:val="0"/>
          <w:lang w:eastAsia="en-GB"/>
        </w:rPr>
        <mc:AlternateContent>
          <mc:Choice Requires="wps">
            <w:drawing>
              <wp:anchor distT="0" distB="0" distL="114300" distR="114300" simplePos="0" relativeHeight="251660288" behindDoc="0" locked="0" layoutInCell="1" allowOverlap="1" wp14:anchorId="7E694EA3" wp14:editId="4196AB1F">
                <wp:simplePos x="0" y="0"/>
                <wp:positionH relativeFrom="column">
                  <wp:posOffset>3413051</wp:posOffset>
                </wp:positionH>
                <wp:positionV relativeFrom="paragraph">
                  <wp:posOffset>404997</wp:posOffset>
                </wp:positionV>
                <wp:extent cx="0" cy="2466754"/>
                <wp:effectExtent l="0" t="0" r="12700" b="10160"/>
                <wp:wrapNone/>
                <wp:docPr id="272691524" name="Straight Connector 2"/>
                <wp:cNvGraphicFramePr/>
                <a:graphic xmlns:a="http://schemas.openxmlformats.org/drawingml/2006/main">
                  <a:graphicData uri="http://schemas.microsoft.com/office/word/2010/wordprocessingShape">
                    <wps:wsp>
                      <wps:cNvCnPr/>
                      <wps:spPr>
                        <a:xfrm>
                          <a:off x="0" y="0"/>
                          <a:ext cx="0" cy="24667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C7CB20"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8.75pt,31.9pt" to="268.75pt,22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" strokecolor="#156082 [3204]" strokeweight=".5pt">
                <v:stroke joinstyle="miter"/>
              </v:line>
            </w:pict>
          </mc:Fallback>
        </mc:AlternateContent>
      </w:r>
      <w:r w:rsidR="00146CDF">
        <w:rPr>
          <w:rFonts w:eastAsia="Times New Roman" w:cs="Times New Roman"/>
          <w:noProof/>
          <w:kern w:val="0"/>
          <w:lang w:eastAsia="en-GB"/>
        </w:rPr>
        <mc:AlternateContent>
          <mc:Choice Requires="wps">
            <w:drawing>
              <wp:anchor distT="0" distB="0" distL="114300" distR="114300" simplePos="0" relativeHeight="251659264" behindDoc="0" locked="0" layoutInCell="1" allowOverlap="1" wp14:anchorId="78533792" wp14:editId="36C8CBF5">
                <wp:simplePos x="0" y="0"/>
                <wp:positionH relativeFrom="column">
                  <wp:posOffset>-95693</wp:posOffset>
                </wp:positionH>
                <wp:positionV relativeFrom="paragraph">
                  <wp:posOffset>404997</wp:posOffset>
                </wp:positionV>
                <wp:extent cx="3508744" cy="0"/>
                <wp:effectExtent l="0" t="0" r="9525" b="12700"/>
                <wp:wrapNone/>
                <wp:docPr id="984670558" name="Straight Connector 1"/>
                <wp:cNvGraphicFramePr/>
                <a:graphic xmlns:a="http://schemas.openxmlformats.org/drawingml/2006/main">
                  <a:graphicData uri="http://schemas.microsoft.com/office/word/2010/wordprocessingShape">
                    <wps:wsp>
                      <wps:cNvCnPr/>
                      <wps:spPr>
                        <a:xfrm>
                          <a:off x="0" y="0"/>
                          <a:ext cx="350874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538BE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5pt,31.9pt" to="268.75pt,31.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" strokecolor="#156082 [3204]" strokeweight=".5pt">
                <v:stroke joinstyle="miter"/>
              </v:line>
            </w:pict>
          </mc:Fallback>
        </mc:AlternateContent>
      </w:r>
      <w:r w:rsidR="004F26C3" w:rsidRPr="004F26C3">
        <w:rPr>
          <w:rFonts w:eastAsia="Times New Roman" w:cs="Times New Roman"/>
          <w:kern w:val="0"/>
          <w:lang w:eastAsia="en-GB"/>
          <w14:ligatures w14:val="none"/>
        </w:rPr>
        <w:t>7.3 Financial Resources</w:t>
      </w:r>
    </w:p>
    <w:p w14:paraId="4DB0244C" w14:textId="405A2A70" w:rsidR="004F26C3" w:rsidRPr="004F26C3" w:rsidRDefault="00BF748C" w:rsidP="004F26C3">
      <w:pPr>
        <w:rPr>
          <w:rFonts w:eastAsia="Times New Roman" w:cs="Times New Roman"/>
          <w:kern w:val="0"/>
          <w:lang w:eastAsia="en-GB"/>
          <w14:ligatures w14:val="none"/>
        </w:rPr>
      </w:pPr>
      <w:r>
        <w:rPr>
          <w:rFonts w:eastAsia="Times New Roman" w:cs="Times New Roman"/>
          <w:noProof/>
          <w:kern w:val="0"/>
          <w:lang w:eastAsia="en-GB"/>
        </w:rPr>
        <mc:AlternateContent>
          <mc:Choice Requires="wps">
            <w:drawing>
              <wp:anchor distT="0" distB="0" distL="114300" distR="114300" simplePos="0" relativeHeight="251665408" behindDoc="0" locked="0" layoutInCell="1" allowOverlap="1" wp14:anchorId="5E1ADA09" wp14:editId="3EEA1315">
                <wp:simplePos x="0" y="0"/>
                <wp:positionH relativeFrom="column">
                  <wp:posOffset>1839433</wp:posOffset>
                </wp:positionH>
                <wp:positionV relativeFrom="paragraph">
                  <wp:posOffset>271529</wp:posOffset>
                </wp:positionV>
                <wp:extent cx="0" cy="2126512"/>
                <wp:effectExtent l="0" t="0" r="12700" b="7620"/>
                <wp:wrapNone/>
                <wp:docPr id="1702728412" name="Straight Connector 7"/>
                <wp:cNvGraphicFramePr/>
                <a:graphic xmlns:a="http://schemas.openxmlformats.org/drawingml/2006/main">
                  <a:graphicData uri="http://schemas.microsoft.com/office/word/2010/wordprocessingShape">
                    <wps:wsp>
                      <wps:cNvCnPr/>
                      <wps:spPr>
                        <a:xfrm>
                          <a:off x="0" y="0"/>
                          <a:ext cx="0" cy="21265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5B1705"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44.85pt,21.4pt" to="144.85pt,188.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" strokecolor="#156082 [3204]" strokeweight=".5pt">
                <v:stroke joinstyle="miter"/>
              </v:line>
            </w:pict>
          </mc:Fallback>
        </mc:AlternateContent>
      </w:r>
      <w:r>
        <w:rPr>
          <w:rFonts w:eastAsia="Times New Roman" w:cs="Times New Roman"/>
          <w:noProof/>
          <w:kern w:val="0"/>
          <w:lang w:eastAsia="en-GB"/>
        </w:rPr>
        <mc:AlternateContent>
          <mc:Choice Requires="wps">
            <w:drawing>
              <wp:anchor distT="0" distB="0" distL="114300" distR="114300" simplePos="0" relativeHeight="251663360" behindDoc="0" locked="0" layoutInCell="1" allowOverlap="1" wp14:anchorId="235BB430" wp14:editId="0A01BBEA">
                <wp:simplePos x="0" y="0"/>
                <wp:positionH relativeFrom="column">
                  <wp:posOffset>-95693</wp:posOffset>
                </wp:positionH>
                <wp:positionV relativeFrom="paragraph">
                  <wp:posOffset>271529</wp:posOffset>
                </wp:positionV>
                <wp:extent cx="3508744" cy="0"/>
                <wp:effectExtent l="0" t="0" r="9525" b="12700"/>
                <wp:wrapNone/>
                <wp:docPr id="945849962" name="Straight Connector 5"/>
                <wp:cNvGraphicFramePr/>
                <a:graphic xmlns:a="http://schemas.openxmlformats.org/drawingml/2006/main">
                  <a:graphicData uri="http://schemas.microsoft.com/office/word/2010/wordprocessingShape">
                    <wps:wsp>
                      <wps:cNvCnPr/>
                      <wps:spPr>
                        <a:xfrm>
                          <a:off x="0" y="0"/>
                          <a:ext cx="350874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36ADF6"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55pt,21.4pt" to="268.75pt,2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" strokecolor="#156082 [3204]" strokeweight=".5pt">
                <v:stroke joinstyle="miter"/>
              </v:line>
            </w:pict>
          </mc:Fallback>
        </mc:AlternateContent>
      </w:r>
      <w:r w:rsidR="004F26C3" w:rsidRPr="004F26C3">
        <w:rPr>
          <w:rFonts w:eastAsia="Times New Roman" w:cs="Times New Roman"/>
          <w:kern w:val="0"/>
          <w:lang w:eastAsia="en-GB"/>
          <w14:ligatures w14:val="none"/>
        </w:rPr>
        <w:t>Category</w:t>
      </w:r>
      <w:r w:rsidR="004F26C3" w:rsidRPr="004F26C3">
        <w:rPr>
          <w:rFonts w:eastAsia="Times New Roman" w:cs="Times New Roman"/>
          <w:kern w:val="0"/>
          <w:lang w:eastAsia="en-GB"/>
          <w14:ligatures w14:val="none"/>
        </w:rPr>
        <w:tab/>
        <w:t>Percentage to Budget allocated.</w:t>
      </w:r>
    </w:p>
    <w:p w14:paraId="796D624E" w14:textId="32996878"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Labour</w:t>
      </w:r>
      <w:r w:rsidRPr="004F26C3">
        <w:rPr>
          <w:rFonts w:eastAsia="Times New Roman" w:cs="Times New Roman"/>
          <w:kern w:val="0"/>
          <w:lang w:eastAsia="en-GB"/>
          <w14:ligatures w14:val="none"/>
        </w:rPr>
        <w:tab/>
      </w:r>
      <w:r w:rsidR="00146CDF">
        <w:rPr>
          <w:rFonts w:eastAsia="Times New Roman" w:cs="Times New Roman"/>
          <w:kern w:val="0"/>
          <w:lang w:eastAsia="en-GB"/>
          <w14:ligatures w14:val="none"/>
        </w:rPr>
        <w:t xml:space="preserve">                                              </w:t>
      </w:r>
      <w:r w:rsidRPr="004F26C3">
        <w:rPr>
          <w:rFonts w:eastAsia="Times New Roman" w:cs="Times New Roman"/>
          <w:kern w:val="0"/>
          <w:lang w:eastAsia="en-GB"/>
          <w14:ligatures w14:val="none"/>
        </w:rPr>
        <w:t>35 %</w:t>
      </w:r>
    </w:p>
    <w:p w14:paraId="74613D59" w14:textId="7023E310"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Materials &amp; Supplies</w:t>
      </w:r>
      <w:r w:rsidR="00146CDF">
        <w:rPr>
          <w:rFonts w:eastAsia="Times New Roman" w:cs="Times New Roman"/>
          <w:kern w:val="0"/>
          <w:lang w:eastAsia="en-GB"/>
          <w14:ligatures w14:val="none"/>
        </w:rPr>
        <w:t xml:space="preserve">                              </w:t>
      </w:r>
      <w:r w:rsidRPr="004F26C3">
        <w:rPr>
          <w:rFonts w:eastAsia="Times New Roman" w:cs="Times New Roman"/>
          <w:kern w:val="0"/>
          <w:lang w:eastAsia="en-GB"/>
          <w14:ligatures w14:val="none"/>
        </w:rPr>
        <w:tab/>
        <w:t>40 %</w:t>
      </w:r>
    </w:p>
    <w:p w14:paraId="517B78A4" w14:textId="0CEFBD18"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Equipment &amp; Plant</w:t>
      </w:r>
      <w:r w:rsidRPr="004F26C3">
        <w:rPr>
          <w:rFonts w:eastAsia="Times New Roman" w:cs="Times New Roman"/>
          <w:kern w:val="0"/>
          <w:lang w:eastAsia="en-GB"/>
          <w14:ligatures w14:val="none"/>
        </w:rPr>
        <w:tab/>
      </w:r>
      <w:r w:rsidR="00146CDF">
        <w:rPr>
          <w:rFonts w:eastAsia="Times New Roman" w:cs="Times New Roman"/>
          <w:kern w:val="0"/>
          <w:lang w:eastAsia="en-GB"/>
          <w14:ligatures w14:val="none"/>
        </w:rPr>
        <w:t xml:space="preserve">                                 </w:t>
      </w:r>
      <w:r w:rsidRPr="004F26C3">
        <w:rPr>
          <w:rFonts w:eastAsia="Times New Roman" w:cs="Times New Roman"/>
          <w:kern w:val="0"/>
          <w:lang w:eastAsia="en-GB"/>
          <w14:ligatures w14:val="none"/>
        </w:rPr>
        <w:t>15 %</w:t>
      </w:r>
    </w:p>
    <w:p w14:paraId="08D0086B" w14:textId="348A1012" w:rsidR="004F26C3" w:rsidRPr="004F26C3" w:rsidRDefault="00146CDF" w:rsidP="004F26C3">
      <w:pPr>
        <w:rPr>
          <w:rFonts w:eastAsia="Times New Roman" w:cs="Times New Roman"/>
          <w:kern w:val="0"/>
          <w:lang w:eastAsia="en-GB"/>
          <w14:ligatures w14:val="none"/>
        </w:rPr>
      </w:pPr>
      <w:r>
        <w:rPr>
          <w:rFonts w:eastAsia="Times New Roman" w:cs="Times New Roman"/>
          <w:noProof/>
          <w:kern w:val="0"/>
          <w:lang w:eastAsia="en-GB"/>
        </w:rPr>
        <mc:AlternateContent>
          <mc:Choice Requires="wps">
            <w:drawing>
              <wp:anchor distT="0" distB="0" distL="114300" distR="114300" simplePos="0" relativeHeight="251661312" behindDoc="0" locked="0" layoutInCell="1" allowOverlap="1" wp14:anchorId="2F975B1B" wp14:editId="1517E856">
                <wp:simplePos x="0" y="0"/>
                <wp:positionH relativeFrom="column">
                  <wp:posOffset>-95694</wp:posOffset>
                </wp:positionH>
                <wp:positionV relativeFrom="paragraph">
                  <wp:posOffset>503201</wp:posOffset>
                </wp:positionV>
                <wp:extent cx="3508744" cy="517"/>
                <wp:effectExtent l="0" t="0" r="9525" b="12700"/>
                <wp:wrapNone/>
                <wp:docPr id="415741661" name="Straight Connector 3"/>
                <wp:cNvGraphicFramePr/>
                <a:graphic xmlns:a="http://schemas.openxmlformats.org/drawingml/2006/main">
                  <a:graphicData uri="http://schemas.microsoft.com/office/word/2010/wordprocessingShape">
                    <wps:wsp>
                      <wps:cNvCnPr/>
                      <wps:spPr>
                        <a:xfrm flipH="1">
                          <a:off x="0" y="0"/>
                          <a:ext cx="3508744" cy="5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184A5C" id="Straight Connector 3"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5pt,39.6pt" to="268.75pt,39.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" strokecolor="#156082 [3204]" strokeweight=".5pt">
                <v:stroke joinstyle="miter"/>
              </v:line>
            </w:pict>
          </mc:Fallback>
        </mc:AlternateContent>
      </w:r>
      <w:r w:rsidR="004F26C3" w:rsidRPr="004F26C3">
        <w:rPr>
          <w:rFonts w:eastAsia="Times New Roman" w:cs="Times New Roman"/>
          <w:kern w:val="0"/>
          <w:lang w:eastAsia="en-GB"/>
          <w14:ligatures w14:val="none"/>
        </w:rPr>
        <w:t>Contingency Reserve</w:t>
      </w:r>
      <w:r w:rsidR="004F26C3" w:rsidRPr="004F26C3">
        <w:rPr>
          <w:rFonts w:eastAsia="Times New Roman" w:cs="Times New Roman"/>
          <w:kern w:val="0"/>
          <w:lang w:eastAsia="en-GB"/>
          <w14:ligatures w14:val="none"/>
        </w:rPr>
        <w:tab/>
      </w:r>
      <w:r>
        <w:rPr>
          <w:rFonts w:eastAsia="Times New Roman" w:cs="Times New Roman"/>
          <w:kern w:val="0"/>
          <w:lang w:eastAsia="en-GB"/>
          <w14:ligatures w14:val="none"/>
        </w:rPr>
        <w:t xml:space="preserve">                    </w:t>
      </w:r>
      <w:r w:rsidR="004F26C3" w:rsidRPr="004F26C3">
        <w:rPr>
          <w:rFonts w:eastAsia="Times New Roman" w:cs="Times New Roman"/>
          <w:kern w:val="0"/>
          <w:lang w:eastAsia="en-GB"/>
          <w14:ligatures w14:val="none"/>
        </w:rPr>
        <w:t>10 %</w:t>
      </w:r>
    </w:p>
    <w:p w14:paraId="4F17BEFE" w14:textId="77777777" w:rsidR="003322BA" w:rsidRDefault="003322BA" w:rsidP="004F26C3">
      <w:pPr>
        <w:rPr>
          <w:rFonts w:eastAsia="Times New Roman" w:cs="Times New Roman"/>
          <w:kern w:val="0"/>
          <w:lang w:eastAsia="en-GB"/>
          <w14:ligatures w14:val="none"/>
        </w:rPr>
      </w:pPr>
    </w:p>
    <w:p w14:paraId="2FDFA65F" w14:textId="060D80ED" w:rsidR="004F26C3" w:rsidRPr="004F26C3" w:rsidRDefault="004F26C3" w:rsidP="004F26C3">
      <w:pPr>
        <w:rPr>
          <w:rFonts w:eastAsia="Times New Roman" w:cs="Times New Roman"/>
          <w:kern w:val="0"/>
          <w:lang w:eastAsia="en-GB"/>
          <w14:ligatures w14:val="none"/>
        </w:rPr>
      </w:pPr>
      <w:r w:rsidRPr="004F26C3">
        <w:rPr>
          <w:rFonts w:eastAsia="Times New Roman" w:cs="Times New Roman"/>
          <w:kern w:val="0"/>
          <w:lang w:eastAsia="en-GB"/>
          <w14:ligatures w14:val="none"/>
        </w:rPr>
        <w:t>Such allocation indicates the financial intensity of big projects and maintains financial</w:t>
      </w:r>
      <w:r w:rsidR="003322BA">
        <w:rPr>
          <w:rFonts w:eastAsia="Times New Roman" w:cs="Times New Roman"/>
          <w:kern w:val="0"/>
          <w:lang w:eastAsia="en-GB"/>
          <w14:ligatures w14:val="none"/>
        </w:rPr>
        <w:t xml:space="preserve"> </w:t>
      </w:r>
      <w:r w:rsidRPr="004F26C3">
        <w:rPr>
          <w:rFonts w:eastAsia="Times New Roman" w:cs="Times New Roman"/>
          <w:kern w:val="0"/>
          <w:lang w:eastAsia="en-GB"/>
          <w14:ligatures w14:val="none"/>
        </w:rPr>
        <w:t>maneuvers.</w:t>
      </w:r>
    </w:p>
    <w:p w14:paraId="31FE5883" w14:textId="77777777" w:rsidR="004F26C3" w:rsidRPr="004F26C3" w:rsidRDefault="004F26C3" w:rsidP="004F26C3">
      <w:pPr>
        <w:rPr>
          <w:rFonts w:eastAsia="Times New Roman" w:cs="Times New Roman"/>
          <w:kern w:val="0"/>
          <w:lang w:eastAsia="en-GB"/>
          <w14:ligatures w14:val="none"/>
        </w:rPr>
      </w:pPr>
    </w:p>
    <w:p w14:paraId="059676CE" w14:textId="77777777" w:rsidR="004F26C3" w:rsidRPr="003322BA" w:rsidRDefault="004F26C3" w:rsidP="004F26C3">
      <w:pPr>
        <w:rPr>
          <w:rFonts w:eastAsia="Times New Roman" w:cs="Times New Roman"/>
          <w:b/>
          <w:bCs/>
          <w:kern w:val="0"/>
          <w:lang w:eastAsia="en-GB"/>
          <w14:ligatures w14:val="none"/>
        </w:rPr>
      </w:pPr>
      <w:r w:rsidRPr="003322BA">
        <w:rPr>
          <w:rFonts w:eastAsia="Times New Roman" w:cs="Times New Roman"/>
          <w:b/>
          <w:bCs/>
          <w:kern w:val="0"/>
          <w:lang w:eastAsia="en-GB"/>
          <w14:ligatures w14:val="none"/>
        </w:rPr>
        <w:t>Contract management and Procurement.</w:t>
      </w:r>
    </w:p>
    <w:p w14:paraId="78586ECF" w14:textId="2B125FF6" w:rsidR="004F26C3" w:rsidRPr="004F26C3" w:rsidRDefault="004F26C3" w:rsidP="008C5EFE">
      <w:pPr>
        <w:pStyle w:val="NoSpacing"/>
        <w:rPr>
          <w:lang w:eastAsia="en-GB"/>
        </w:rPr>
      </w:pPr>
      <w:r w:rsidRPr="004F26C3">
        <w:rPr>
          <w:lang w:eastAsia="en-GB"/>
        </w:rPr>
        <w:t>Competitive tendering will be used in procurement to be transparent and result in value</w:t>
      </w:r>
      <w:r w:rsidR="008C5EFE">
        <w:rPr>
          <w:lang w:eastAsia="en-GB"/>
        </w:rPr>
        <w:t xml:space="preserve"> </w:t>
      </w:r>
      <w:r w:rsidRPr="004F26C3">
        <w:rPr>
          <w:lang w:eastAsia="en-GB"/>
        </w:rPr>
        <w:t>addition (Treasury Board of Canada Secretariat, 2023). Pre-qualification of major suppliers will go through ability, safety track record and environmentally performance.</w:t>
      </w:r>
    </w:p>
    <w:p w14:paraId="73A00151" w14:textId="775C17C2" w:rsidR="004F26C3" w:rsidRPr="004F26C3" w:rsidRDefault="004F26C3" w:rsidP="008C5EFE">
      <w:pPr>
        <w:pStyle w:val="NoSpacing"/>
        <w:rPr>
          <w:lang w:eastAsia="en-GB"/>
        </w:rPr>
      </w:pPr>
      <w:r w:rsidRPr="004F26C3">
        <w:rPr>
          <w:lang w:eastAsia="en-GB"/>
        </w:rPr>
        <w:t>Contracting strategies consist of:</w:t>
      </w:r>
    </w:p>
    <w:p w14:paraId="77EA8848" w14:textId="32C280CF" w:rsidR="004F26C3" w:rsidRPr="004F26C3" w:rsidRDefault="004F26C3" w:rsidP="008C5EFE">
      <w:pPr>
        <w:pStyle w:val="NoSpacing"/>
        <w:rPr>
          <w:lang w:eastAsia="en-GB"/>
        </w:rPr>
      </w:pPr>
      <w:r w:rsidRPr="004F26C3">
        <w:rPr>
          <w:lang w:eastAsia="en-GB"/>
        </w:rPr>
        <w:t>Precise contracts with fixed prices of typical construction packages in order to restrict financial risk.Cost-reimbursable contracts where the task is uncertain like in the restoration of the environment.The performance clauses and punishment of delays or quality concerns.Key indicators of supplier performance will be adhered to: delivering on time, meeting specs, and meeting the environmentals.</w:t>
      </w:r>
    </w:p>
    <w:p w14:paraId="77043C04" w14:textId="663B9A6A" w:rsidR="00C737B7" w:rsidRDefault="00C737B7" w:rsidP="00C737B7">
      <w:pPr>
        <w:rPr>
          <w:rFonts w:ascii="Times New Roman" w:eastAsia="Times New Roman" w:hAnsi="Times New Roman" w:cs="Times New Roman"/>
          <w:kern w:val="0"/>
          <w:lang w:eastAsia="en-GB"/>
          <w14:ligatures w14:val="none"/>
        </w:rPr>
      </w:pPr>
    </w:p>
    <w:p w14:paraId="6557ADD6" w14:textId="77777777" w:rsidR="000F1417" w:rsidRDefault="000F1417" w:rsidP="00C737B7">
      <w:pPr>
        <w:rPr>
          <w:rFonts w:ascii="Times New Roman" w:eastAsia="Times New Roman" w:hAnsi="Times New Roman" w:cs="Times New Roman"/>
          <w:kern w:val="0"/>
          <w:lang w:eastAsia="en-GB"/>
          <w14:ligatures w14:val="none"/>
        </w:rPr>
      </w:pPr>
    </w:p>
    <w:p w14:paraId="082259E6" w14:textId="77777777" w:rsidR="002A775A" w:rsidRDefault="002A775A" w:rsidP="000E4889">
      <w:pPr>
        <w:pStyle w:val="NoSpacing"/>
        <w:rPr>
          <w:b/>
          <w:bCs/>
          <w:lang w:eastAsia="en-GB"/>
        </w:rPr>
      </w:pPr>
      <w:r w:rsidRPr="00E86605">
        <w:rPr>
          <w:b/>
          <w:bCs/>
          <w:lang w:eastAsia="en-GB"/>
        </w:rPr>
        <w:t>Risk Management and Contingent Planning.</w:t>
      </w:r>
    </w:p>
    <w:p w14:paraId="1D810776" w14:textId="77777777" w:rsidR="00E86605" w:rsidRPr="00E86605" w:rsidRDefault="00E86605" w:rsidP="000E4889">
      <w:pPr>
        <w:pStyle w:val="NoSpacing"/>
        <w:rPr>
          <w:b/>
          <w:bCs/>
          <w:lang w:eastAsia="en-GB"/>
        </w:rPr>
      </w:pPr>
    </w:p>
    <w:p w14:paraId="28DF9443" w14:textId="77777777" w:rsidR="002A775A" w:rsidRDefault="002A775A" w:rsidP="000E4889">
      <w:pPr>
        <w:pStyle w:val="NoSpacing"/>
        <w:rPr>
          <w:lang w:eastAsia="en-GB"/>
        </w:rPr>
      </w:pPr>
      <w:r w:rsidRPr="003C1145">
        <w:rPr>
          <w:lang w:eastAsia="en-GB"/>
        </w:rPr>
        <w:t>The risk management is done in the five steps used by PMBOK(r), which are identification, analysis, response planning, monitoring, and control.</w:t>
      </w:r>
    </w:p>
    <w:p w14:paraId="1F06452D" w14:textId="77777777" w:rsidR="00E86605" w:rsidRPr="003C1145" w:rsidRDefault="00E86605" w:rsidP="000E4889">
      <w:pPr>
        <w:pStyle w:val="NoSpacing"/>
        <w:rPr>
          <w:lang w:eastAsia="en-GB"/>
        </w:rPr>
      </w:pPr>
    </w:p>
    <w:p w14:paraId="2447A1AA" w14:textId="77777777" w:rsidR="002A775A" w:rsidRDefault="002A775A" w:rsidP="000E4889">
      <w:pPr>
        <w:pStyle w:val="NoSpacing"/>
        <w:rPr>
          <w:lang w:eastAsia="en-GB"/>
        </w:rPr>
      </w:pPr>
      <w:r w:rsidRPr="003C1145">
        <w:rPr>
          <w:lang w:eastAsia="en-GB"/>
        </w:rPr>
        <w:t>Table 2: Significant Risks and Risk Corresponding Mitigation.</w:t>
      </w:r>
    </w:p>
    <w:tbl>
      <w:tblPr>
        <w:tblStyle w:val="TableGrid"/>
        <w:tblW w:w="0" w:type="auto"/>
        <w:tblLook w:val="04A0" w:firstRow="1" w:lastRow="0" w:firstColumn="1" w:lastColumn="0" w:noHBand="0" w:noVBand="1"/>
      </w:tblPr>
      <w:tblGrid>
        <w:gridCol w:w="2254"/>
        <w:gridCol w:w="2254"/>
        <w:gridCol w:w="2254"/>
        <w:gridCol w:w="2254"/>
      </w:tblGrid>
      <w:tr w:rsidR="007A4805" w14:paraId="15EF6207" w14:textId="77777777" w:rsidTr="007A4805">
        <w:tc>
          <w:tcPr>
            <w:tcW w:w="2254" w:type="dxa"/>
          </w:tcPr>
          <w:p w14:paraId="573996FA" w14:textId="3A46780C" w:rsidR="007A4805" w:rsidRDefault="007A4805" w:rsidP="000E4889">
            <w:pPr>
              <w:pStyle w:val="NoSpacing"/>
              <w:rPr>
                <w:lang w:eastAsia="en-GB"/>
              </w:rPr>
            </w:pPr>
            <w:r w:rsidRPr="003C1145">
              <w:rPr>
                <w:lang w:eastAsia="en-GB"/>
              </w:rPr>
              <w:t>Risk</w:t>
            </w:r>
          </w:p>
        </w:tc>
        <w:tc>
          <w:tcPr>
            <w:tcW w:w="2254" w:type="dxa"/>
          </w:tcPr>
          <w:p w14:paraId="5761E24A" w14:textId="036AA4C5" w:rsidR="007A4805" w:rsidRDefault="007A4805" w:rsidP="000E4889">
            <w:pPr>
              <w:pStyle w:val="NoSpacing"/>
              <w:rPr>
                <w:lang w:eastAsia="en-GB"/>
              </w:rPr>
            </w:pPr>
            <w:r w:rsidRPr="003C1145">
              <w:rPr>
                <w:lang w:eastAsia="en-GB"/>
              </w:rPr>
              <w:t>Probability</w:t>
            </w:r>
          </w:p>
        </w:tc>
        <w:tc>
          <w:tcPr>
            <w:tcW w:w="2254" w:type="dxa"/>
          </w:tcPr>
          <w:p w14:paraId="6133192E" w14:textId="42870A0F" w:rsidR="007A4805" w:rsidRDefault="007A4805" w:rsidP="000E4889">
            <w:pPr>
              <w:pStyle w:val="NoSpacing"/>
              <w:rPr>
                <w:lang w:eastAsia="en-GB"/>
              </w:rPr>
            </w:pPr>
            <w:r w:rsidRPr="003C1145">
              <w:rPr>
                <w:lang w:eastAsia="en-GB"/>
              </w:rPr>
              <w:t>Effect</w:t>
            </w:r>
            <w:r w:rsidRPr="003C1145">
              <w:rPr>
                <w:lang w:eastAsia="en-GB"/>
              </w:rPr>
              <w:tab/>
            </w:r>
          </w:p>
        </w:tc>
        <w:tc>
          <w:tcPr>
            <w:tcW w:w="2254" w:type="dxa"/>
          </w:tcPr>
          <w:p w14:paraId="0059F3EC" w14:textId="0F7EF65C" w:rsidR="007A4805" w:rsidRDefault="00A20CCF" w:rsidP="000E4889">
            <w:pPr>
              <w:pStyle w:val="NoSpacing"/>
              <w:rPr>
                <w:lang w:eastAsia="en-GB"/>
              </w:rPr>
            </w:pPr>
            <w:r w:rsidRPr="003C1145">
              <w:rPr>
                <w:lang w:eastAsia="en-GB"/>
              </w:rPr>
              <w:t>Risk Negation Plan.</w:t>
            </w:r>
          </w:p>
        </w:tc>
      </w:tr>
      <w:tr w:rsidR="007A4805" w14:paraId="1BBB3119" w14:textId="77777777" w:rsidTr="007A4805">
        <w:tc>
          <w:tcPr>
            <w:tcW w:w="2254" w:type="dxa"/>
          </w:tcPr>
          <w:p w14:paraId="1B90705A" w14:textId="69433CE3" w:rsidR="007A4805" w:rsidRDefault="00A20CCF" w:rsidP="000E4889">
            <w:pPr>
              <w:pStyle w:val="NoSpacing"/>
              <w:rPr>
                <w:lang w:eastAsia="en-GB"/>
              </w:rPr>
            </w:pPr>
            <w:r w:rsidRPr="003C1145">
              <w:rPr>
                <w:lang w:eastAsia="en-GB"/>
              </w:rPr>
              <w:t>Reoccurrence of floods</w:t>
            </w:r>
          </w:p>
        </w:tc>
        <w:tc>
          <w:tcPr>
            <w:tcW w:w="2254" w:type="dxa"/>
          </w:tcPr>
          <w:p w14:paraId="0F32EB52" w14:textId="2770645A" w:rsidR="007A4805" w:rsidRDefault="00A20CCF" w:rsidP="000E4889">
            <w:pPr>
              <w:pStyle w:val="NoSpacing"/>
              <w:rPr>
                <w:lang w:eastAsia="en-GB"/>
              </w:rPr>
            </w:pPr>
            <w:r w:rsidRPr="003C1145">
              <w:rPr>
                <w:lang w:eastAsia="en-GB"/>
              </w:rPr>
              <w:t>Medium</w:t>
            </w:r>
          </w:p>
        </w:tc>
        <w:tc>
          <w:tcPr>
            <w:tcW w:w="2254" w:type="dxa"/>
          </w:tcPr>
          <w:p w14:paraId="2F7A5E70" w14:textId="208F9CA4" w:rsidR="007A4805" w:rsidRDefault="00A20CCF" w:rsidP="000E4889">
            <w:pPr>
              <w:pStyle w:val="NoSpacing"/>
              <w:rPr>
                <w:lang w:eastAsia="en-GB"/>
              </w:rPr>
            </w:pPr>
            <w:r w:rsidRPr="003C1145">
              <w:rPr>
                <w:lang w:eastAsia="en-GB"/>
              </w:rPr>
              <w:t>High</w:t>
            </w:r>
          </w:p>
        </w:tc>
        <w:tc>
          <w:tcPr>
            <w:tcW w:w="2254" w:type="dxa"/>
          </w:tcPr>
          <w:p w14:paraId="0485CAA1" w14:textId="620976FE" w:rsidR="007A4805" w:rsidRDefault="00A20CCF" w:rsidP="000E4889">
            <w:pPr>
              <w:pStyle w:val="NoSpacing"/>
              <w:rPr>
                <w:lang w:eastAsia="en-GB"/>
              </w:rPr>
            </w:pPr>
            <w:r w:rsidRPr="003C1145">
              <w:rPr>
                <w:lang w:eastAsia="en-GB"/>
              </w:rPr>
              <w:t>Floods of high bank, strengthened culverts, hydrologic real-time surveilance.</w:t>
            </w:r>
          </w:p>
        </w:tc>
      </w:tr>
      <w:tr w:rsidR="007A4805" w14:paraId="083951C2" w14:textId="77777777" w:rsidTr="007A4805">
        <w:tc>
          <w:tcPr>
            <w:tcW w:w="2254" w:type="dxa"/>
          </w:tcPr>
          <w:p w14:paraId="77573ECE" w14:textId="7A94C181" w:rsidR="007A4805" w:rsidRDefault="005F06E5" w:rsidP="000E4889">
            <w:pPr>
              <w:pStyle w:val="NoSpacing"/>
              <w:rPr>
                <w:lang w:eastAsia="en-GB"/>
              </w:rPr>
            </w:pPr>
            <w:r w:rsidRPr="003C1145">
              <w:rPr>
                <w:lang w:eastAsia="en-GB"/>
              </w:rPr>
              <w:t>Landslides</w:t>
            </w:r>
          </w:p>
        </w:tc>
        <w:tc>
          <w:tcPr>
            <w:tcW w:w="2254" w:type="dxa"/>
          </w:tcPr>
          <w:p w14:paraId="691163EA" w14:textId="0095B22E" w:rsidR="007A4805" w:rsidRDefault="005F06E5" w:rsidP="000E4889">
            <w:pPr>
              <w:pStyle w:val="NoSpacing"/>
              <w:rPr>
                <w:lang w:eastAsia="en-GB"/>
              </w:rPr>
            </w:pPr>
            <w:r w:rsidRPr="003C1145">
              <w:rPr>
                <w:lang w:eastAsia="en-GB"/>
              </w:rPr>
              <w:t>Medium</w:t>
            </w:r>
          </w:p>
        </w:tc>
        <w:tc>
          <w:tcPr>
            <w:tcW w:w="2254" w:type="dxa"/>
          </w:tcPr>
          <w:p w14:paraId="5B32E43E" w14:textId="75BE8066" w:rsidR="007A4805" w:rsidRDefault="005F06E5" w:rsidP="000E4889">
            <w:pPr>
              <w:pStyle w:val="NoSpacing"/>
              <w:rPr>
                <w:lang w:eastAsia="en-GB"/>
              </w:rPr>
            </w:pPr>
            <w:r w:rsidRPr="003C1145">
              <w:rPr>
                <w:lang w:eastAsia="en-GB"/>
              </w:rPr>
              <w:t>High</w:t>
            </w:r>
          </w:p>
        </w:tc>
        <w:tc>
          <w:tcPr>
            <w:tcW w:w="2254" w:type="dxa"/>
          </w:tcPr>
          <w:p w14:paraId="4A6B0F5D" w14:textId="6892AEC4" w:rsidR="007A4805" w:rsidRDefault="00C311C2" w:rsidP="000E4889">
            <w:pPr>
              <w:pStyle w:val="NoSpacing"/>
              <w:rPr>
                <w:lang w:eastAsia="en-GB"/>
              </w:rPr>
            </w:pPr>
            <w:r w:rsidRPr="003C1145">
              <w:rPr>
                <w:lang w:eastAsia="en-GB"/>
              </w:rPr>
              <w:t>Stabilisation of slope, retaining walls, replanting of vegetation.</w:t>
            </w:r>
          </w:p>
        </w:tc>
      </w:tr>
      <w:tr w:rsidR="007A4805" w14:paraId="184448C0" w14:textId="77777777" w:rsidTr="007A4805">
        <w:tc>
          <w:tcPr>
            <w:tcW w:w="2254" w:type="dxa"/>
          </w:tcPr>
          <w:p w14:paraId="1A023354" w14:textId="1134A01B" w:rsidR="007A4805" w:rsidRDefault="00054C0F" w:rsidP="000E4889">
            <w:pPr>
              <w:pStyle w:val="NoSpacing"/>
              <w:rPr>
                <w:lang w:eastAsia="en-GB"/>
              </w:rPr>
            </w:pPr>
            <w:r w:rsidRPr="003C1145">
              <w:rPr>
                <w:lang w:eastAsia="en-GB"/>
              </w:rPr>
              <w:t>Delay of supply chain</w:t>
            </w:r>
          </w:p>
        </w:tc>
        <w:tc>
          <w:tcPr>
            <w:tcW w:w="2254" w:type="dxa"/>
          </w:tcPr>
          <w:p w14:paraId="6177EBAA" w14:textId="52AEC055" w:rsidR="007A4805" w:rsidRDefault="00054C0F" w:rsidP="000E4889">
            <w:pPr>
              <w:pStyle w:val="NoSpacing"/>
              <w:rPr>
                <w:lang w:eastAsia="en-GB"/>
              </w:rPr>
            </w:pPr>
            <w:r>
              <w:rPr>
                <w:lang w:eastAsia="en-GB"/>
              </w:rPr>
              <w:t xml:space="preserve">High </w:t>
            </w:r>
          </w:p>
        </w:tc>
        <w:tc>
          <w:tcPr>
            <w:tcW w:w="2254" w:type="dxa"/>
          </w:tcPr>
          <w:p w14:paraId="5098C3E8" w14:textId="09ED8114" w:rsidR="007A4805" w:rsidRDefault="00054C0F" w:rsidP="000E4889">
            <w:pPr>
              <w:pStyle w:val="NoSpacing"/>
              <w:rPr>
                <w:lang w:eastAsia="en-GB"/>
              </w:rPr>
            </w:pPr>
            <w:r>
              <w:rPr>
                <w:lang w:eastAsia="en-GB"/>
              </w:rPr>
              <w:t xml:space="preserve">Medium </w:t>
            </w:r>
          </w:p>
        </w:tc>
        <w:tc>
          <w:tcPr>
            <w:tcW w:w="2254" w:type="dxa"/>
          </w:tcPr>
          <w:p w14:paraId="1B2F9C2C" w14:textId="77777777" w:rsidR="00054C0F" w:rsidRPr="003C1145" w:rsidRDefault="00054C0F" w:rsidP="00054C0F">
            <w:pPr>
              <w:pStyle w:val="NoSpacing"/>
              <w:rPr>
                <w:lang w:eastAsia="en-GB"/>
              </w:rPr>
            </w:pPr>
            <w:r w:rsidRPr="003C1145">
              <w:rPr>
                <w:lang w:eastAsia="en-GB"/>
              </w:rPr>
              <w:t>Multi-supplier contracts, early sourcing, domestic sourcing.</w:t>
            </w:r>
          </w:p>
          <w:p w14:paraId="0FA06B62" w14:textId="77777777" w:rsidR="007A4805" w:rsidRDefault="007A4805" w:rsidP="000E4889">
            <w:pPr>
              <w:pStyle w:val="NoSpacing"/>
              <w:rPr>
                <w:lang w:eastAsia="en-GB"/>
              </w:rPr>
            </w:pPr>
          </w:p>
        </w:tc>
      </w:tr>
      <w:tr w:rsidR="007A4805" w14:paraId="1E391432" w14:textId="77777777" w:rsidTr="007A4805">
        <w:tc>
          <w:tcPr>
            <w:tcW w:w="2254" w:type="dxa"/>
          </w:tcPr>
          <w:p w14:paraId="0EA79F6E" w14:textId="411C3186" w:rsidR="007A4805" w:rsidRDefault="00966B22" w:rsidP="000E4889">
            <w:pPr>
              <w:pStyle w:val="NoSpacing"/>
              <w:rPr>
                <w:lang w:eastAsia="en-GB"/>
              </w:rPr>
            </w:pPr>
            <w:r w:rsidRPr="003C1145">
              <w:rPr>
                <w:lang w:eastAsia="en-GB"/>
              </w:rPr>
              <w:t>Environmental non-compliance</w:t>
            </w:r>
          </w:p>
        </w:tc>
        <w:tc>
          <w:tcPr>
            <w:tcW w:w="2254" w:type="dxa"/>
          </w:tcPr>
          <w:p w14:paraId="4F9C02D8" w14:textId="1FA9C9BC" w:rsidR="007A4805" w:rsidRDefault="00555DE4" w:rsidP="000E4889">
            <w:pPr>
              <w:pStyle w:val="NoSpacing"/>
              <w:rPr>
                <w:lang w:eastAsia="en-GB"/>
              </w:rPr>
            </w:pPr>
            <w:r>
              <w:rPr>
                <w:lang w:eastAsia="en-GB"/>
              </w:rPr>
              <w:t>Low</w:t>
            </w:r>
          </w:p>
        </w:tc>
        <w:tc>
          <w:tcPr>
            <w:tcW w:w="2254" w:type="dxa"/>
          </w:tcPr>
          <w:p w14:paraId="2F26080A" w14:textId="5A99C039" w:rsidR="007A4805" w:rsidRDefault="00966B22" w:rsidP="000E4889">
            <w:pPr>
              <w:pStyle w:val="NoSpacing"/>
              <w:rPr>
                <w:lang w:eastAsia="en-GB"/>
              </w:rPr>
            </w:pPr>
            <w:r>
              <w:rPr>
                <w:lang w:eastAsia="en-GB"/>
              </w:rPr>
              <w:t>High</w:t>
            </w:r>
          </w:p>
        </w:tc>
        <w:tc>
          <w:tcPr>
            <w:tcW w:w="2254" w:type="dxa"/>
          </w:tcPr>
          <w:p w14:paraId="7A9005BC" w14:textId="77777777" w:rsidR="00555DE4" w:rsidRPr="003C1145" w:rsidRDefault="00555DE4" w:rsidP="00555DE4">
            <w:pPr>
              <w:pStyle w:val="NoSpacing"/>
              <w:rPr>
                <w:lang w:eastAsia="en-GB"/>
              </w:rPr>
            </w:pPr>
            <w:r w:rsidRPr="003C1145">
              <w:rPr>
                <w:lang w:eastAsia="en-GB"/>
              </w:rPr>
              <w:t>All-time auditing, staff training, environmental officer control.</w:t>
            </w:r>
          </w:p>
          <w:p w14:paraId="610F2CDD" w14:textId="77777777" w:rsidR="007A4805" w:rsidRDefault="007A4805" w:rsidP="000E4889">
            <w:pPr>
              <w:pStyle w:val="NoSpacing"/>
              <w:rPr>
                <w:lang w:eastAsia="en-GB"/>
              </w:rPr>
            </w:pPr>
          </w:p>
        </w:tc>
      </w:tr>
      <w:tr w:rsidR="007A4805" w14:paraId="44155296" w14:textId="77777777" w:rsidTr="007A4805">
        <w:tc>
          <w:tcPr>
            <w:tcW w:w="2254" w:type="dxa"/>
          </w:tcPr>
          <w:p w14:paraId="0EC889F3" w14:textId="0132E940" w:rsidR="007A4805" w:rsidRDefault="005F0CE2" w:rsidP="000E4889">
            <w:pPr>
              <w:pStyle w:val="NoSpacing"/>
              <w:rPr>
                <w:lang w:eastAsia="en-GB"/>
              </w:rPr>
            </w:pPr>
            <w:r w:rsidRPr="003C1145">
              <w:rPr>
                <w:lang w:eastAsia="en-GB"/>
              </w:rPr>
              <w:t>Budget overrun</w:t>
            </w:r>
          </w:p>
        </w:tc>
        <w:tc>
          <w:tcPr>
            <w:tcW w:w="2254" w:type="dxa"/>
          </w:tcPr>
          <w:p w14:paraId="3E60E334" w14:textId="301A9963" w:rsidR="007A4805" w:rsidRDefault="005F0CE2" w:rsidP="000E4889">
            <w:pPr>
              <w:pStyle w:val="NoSpacing"/>
              <w:rPr>
                <w:lang w:eastAsia="en-GB"/>
              </w:rPr>
            </w:pPr>
            <w:r w:rsidRPr="003C1145">
              <w:rPr>
                <w:lang w:eastAsia="en-GB"/>
              </w:rPr>
              <w:t>Medium</w:t>
            </w:r>
          </w:p>
        </w:tc>
        <w:tc>
          <w:tcPr>
            <w:tcW w:w="2254" w:type="dxa"/>
          </w:tcPr>
          <w:p w14:paraId="25F91703" w14:textId="3A398E23" w:rsidR="007A4805" w:rsidRDefault="005F0CE2" w:rsidP="000E4889">
            <w:pPr>
              <w:pStyle w:val="NoSpacing"/>
              <w:rPr>
                <w:lang w:eastAsia="en-GB"/>
              </w:rPr>
            </w:pPr>
            <w:r w:rsidRPr="003C1145">
              <w:rPr>
                <w:lang w:eastAsia="en-GB"/>
              </w:rPr>
              <w:t>High</w:t>
            </w:r>
            <w:r w:rsidRPr="003C1145">
              <w:rPr>
                <w:lang w:eastAsia="en-GB"/>
              </w:rPr>
              <w:tab/>
            </w:r>
          </w:p>
        </w:tc>
        <w:tc>
          <w:tcPr>
            <w:tcW w:w="2254" w:type="dxa"/>
          </w:tcPr>
          <w:p w14:paraId="3008FF93" w14:textId="77777777" w:rsidR="005F0CE2" w:rsidRPr="003C1145" w:rsidRDefault="005F0CE2" w:rsidP="005F0CE2">
            <w:pPr>
              <w:pStyle w:val="NoSpacing"/>
              <w:rPr>
                <w:lang w:eastAsia="en-GB"/>
              </w:rPr>
            </w:pPr>
            <w:r w:rsidRPr="003C1145">
              <w:rPr>
                <w:lang w:eastAsia="en-GB"/>
              </w:rPr>
              <w:t>EVM tracking, contingency reserve, scope control.</w:t>
            </w:r>
          </w:p>
          <w:p w14:paraId="5FF48EC0" w14:textId="77777777" w:rsidR="007A4805" w:rsidRDefault="007A4805" w:rsidP="000E4889">
            <w:pPr>
              <w:pStyle w:val="NoSpacing"/>
              <w:rPr>
                <w:lang w:eastAsia="en-GB"/>
              </w:rPr>
            </w:pPr>
          </w:p>
        </w:tc>
      </w:tr>
      <w:tr w:rsidR="007A4805" w14:paraId="304BD6C7" w14:textId="77777777" w:rsidTr="007A4805">
        <w:tc>
          <w:tcPr>
            <w:tcW w:w="2254" w:type="dxa"/>
          </w:tcPr>
          <w:p w14:paraId="010E217B" w14:textId="178682AF" w:rsidR="007A4805" w:rsidRDefault="00E461C8" w:rsidP="000E4889">
            <w:pPr>
              <w:pStyle w:val="NoSpacing"/>
              <w:rPr>
                <w:lang w:eastAsia="en-GB"/>
              </w:rPr>
            </w:pPr>
            <w:r w:rsidRPr="003C1145">
              <w:rPr>
                <w:lang w:eastAsia="en-GB"/>
              </w:rPr>
              <w:t>Labour shortage</w:t>
            </w:r>
          </w:p>
        </w:tc>
        <w:tc>
          <w:tcPr>
            <w:tcW w:w="2254" w:type="dxa"/>
          </w:tcPr>
          <w:p w14:paraId="16272F1F" w14:textId="51A19B87" w:rsidR="007A4805" w:rsidRDefault="00E461C8" w:rsidP="000E4889">
            <w:pPr>
              <w:pStyle w:val="NoSpacing"/>
              <w:rPr>
                <w:lang w:eastAsia="en-GB"/>
              </w:rPr>
            </w:pPr>
            <w:r w:rsidRPr="003C1145">
              <w:rPr>
                <w:lang w:eastAsia="en-GB"/>
              </w:rPr>
              <w:t>Medium</w:t>
            </w:r>
          </w:p>
        </w:tc>
        <w:tc>
          <w:tcPr>
            <w:tcW w:w="2254" w:type="dxa"/>
          </w:tcPr>
          <w:p w14:paraId="78477E05" w14:textId="1C9B9E0B" w:rsidR="007A4805" w:rsidRDefault="00E461C8" w:rsidP="000E4889">
            <w:pPr>
              <w:pStyle w:val="NoSpacing"/>
              <w:rPr>
                <w:lang w:eastAsia="en-GB"/>
              </w:rPr>
            </w:pPr>
            <w:r w:rsidRPr="003C1145">
              <w:rPr>
                <w:lang w:eastAsia="en-GB"/>
              </w:rPr>
              <w:t>Medium</w:t>
            </w:r>
          </w:p>
        </w:tc>
        <w:tc>
          <w:tcPr>
            <w:tcW w:w="2254" w:type="dxa"/>
          </w:tcPr>
          <w:p w14:paraId="752E6460" w14:textId="77777777" w:rsidR="00E461C8" w:rsidRPr="003C1145" w:rsidRDefault="00E461C8" w:rsidP="00E461C8">
            <w:pPr>
              <w:pStyle w:val="NoSpacing"/>
              <w:rPr>
                <w:lang w:eastAsia="en-GB"/>
              </w:rPr>
            </w:pPr>
            <w:r w:rsidRPr="003C1145">
              <w:rPr>
                <w:lang w:eastAsia="en-GB"/>
              </w:rPr>
              <w:t>Local workforce recruitment, training programs.</w:t>
            </w:r>
          </w:p>
          <w:p w14:paraId="69BA6F47" w14:textId="77777777" w:rsidR="007A4805" w:rsidRDefault="007A4805" w:rsidP="000E4889">
            <w:pPr>
              <w:pStyle w:val="NoSpacing"/>
              <w:rPr>
                <w:lang w:eastAsia="en-GB"/>
              </w:rPr>
            </w:pPr>
          </w:p>
        </w:tc>
      </w:tr>
      <w:tr w:rsidR="007A4805" w14:paraId="61A0814F" w14:textId="77777777" w:rsidTr="007A4805">
        <w:tc>
          <w:tcPr>
            <w:tcW w:w="2254" w:type="dxa"/>
          </w:tcPr>
          <w:p w14:paraId="687B5DEB" w14:textId="41FF6ED9" w:rsidR="007A4805" w:rsidRDefault="00E461C8" w:rsidP="000E4889">
            <w:pPr>
              <w:pStyle w:val="NoSpacing"/>
              <w:rPr>
                <w:lang w:eastAsia="en-GB"/>
              </w:rPr>
            </w:pPr>
            <w:r w:rsidRPr="003C1145">
              <w:rPr>
                <w:lang w:eastAsia="en-GB"/>
              </w:rPr>
              <w:t>Public opposition</w:t>
            </w:r>
          </w:p>
        </w:tc>
        <w:tc>
          <w:tcPr>
            <w:tcW w:w="2254" w:type="dxa"/>
          </w:tcPr>
          <w:p w14:paraId="5FCEE11A" w14:textId="0FFC0D67" w:rsidR="007A4805" w:rsidRDefault="00E461C8" w:rsidP="000E4889">
            <w:pPr>
              <w:pStyle w:val="NoSpacing"/>
              <w:rPr>
                <w:lang w:eastAsia="en-GB"/>
              </w:rPr>
            </w:pPr>
            <w:r w:rsidRPr="003C1145">
              <w:rPr>
                <w:lang w:eastAsia="en-GB"/>
              </w:rPr>
              <w:t>Low</w:t>
            </w:r>
          </w:p>
        </w:tc>
        <w:tc>
          <w:tcPr>
            <w:tcW w:w="2254" w:type="dxa"/>
          </w:tcPr>
          <w:p w14:paraId="1E9E8F65" w14:textId="35AB3AE8" w:rsidR="007A4805" w:rsidRDefault="00E461C8" w:rsidP="000E4889">
            <w:pPr>
              <w:pStyle w:val="NoSpacing"/>
              <w:rPr>
                <w:lang w:eastAsia="en-GB"/>
              </w:rPr>
            </w:pPr>
            <w:r w:rsidRPr="003C1145">
              <w:rPr>
                <w:lang w:eastAsia="en-GB"/>
              </w:rPr>
              <w:t>Medium</w:t>
            </w:r>
          </w:p>
        </w:tc>
        <w:tc>
          <w:tcPr>
            <w:tcW w:w="2254" w:type="dxa"/>
          </w:tcPr>
          <w:p w14:paraId="2E46B673" w14:textId="77777777" w:rsidR="00E461C8" w:rsidRPr="003C1145" w:rsidRDefault="00E461C8" w:rsidP="00E461C8">
            <w:pPr>
              <w:pStyle w:val="NoSpacing"/>
              <w:rPr>
                <w:lang w:eastAsia="en-GB"/>
              </w:rPr>
            </w:pPr>
            <w:r w:rsidRPr="003C1145">
              <w:rPr>
                <w:lang w:eastAsia="en-GB"/>
              </w:rPr>
              <w:t>Transparent communication, public consultation session.</w:t>
            </w:r>
          </w:p>
          <w:p w14:paraId="43EFCD37" w14:textId="77777777" w:rsidR="007A4805" w:rsidRDefault="007A4805" w:rsidP="000E4889">
            <w:pPr>
              <w:pStyle w:val="NoSpacing"/>
              <w:rPr>
                <w:lang w:eastAsia="en-GB"/>
              </w:rPr>
            </w:pPr>
          </w:p>
        </w:tc>
      </w:tr>
    </w:tbl>
    <w:p w14:paraId="4CC59FFA" w14:textId="77777777" w:rsidR="00E86605" w:rsidRDefault="00E86605" w:rsidP="000E4889">
      <w:pPr>
        <w:pStyle w:val="NoSpacing"/>
        <w:rPr>
          <w:lang w:eastAsia="en-GB"/>
        </w:rPr>
      </w:pPr>
    </w:p>
    <w:p w14:paraId="451EB1F1" w14:textId="77777777" w:rsidR="00E86605" w:rsidRPr="003C1145" w:rsidRDefault="00E86605" w:rsidP="000E4889">
      <w:pPr>
        <w:pStyle w:val="NoSpacing"/>
        <w:rPr>
          <w:lang w:eastAsia="en-GB"/>
        </w:rPr>
      </w:pPr>
    </w:p>
    <w:p w14:paraId="5BBE45C6" w14:textId="77777777" w:rsidR="002A775A" w:rsidRPr="003C1145" w:rsidRDefault="002A775A" w:rsidP="000E4889">
      <w:pPr>
        <w:pStyle w:val="NoSpacing"/>
        <w:rPr>
          <w:lang w:eastAsia="en-GB"/>
        </w:rPr>
      </w:pPr>
      <w:r w:rsidRPr="003C1145">
        <w:rPr>
          <w:lang w:eastAsia="en-GB"/>
        </w:rPr>
        <w:t>The project would have a Risk Register that will be updated on a monthly basis and discussed by the Steering Committee.</w:t>
      </w:r>
    </w:p>
    <w:p w14:paraId="2D87B03F" w14:textId="77777777" w:rsidR="002A775A" w:rsidRPr="003C1145" w:rsidRDefault="002A775A" w:rsidP="000E4889">
      <w:pPr>
        <w:pStyle w:val="NoSpacing"/>
        <w:rPr>
          <w:lang w:eastAsia="en-GB"/>
        </w:rPr>
      </w:pPr>
    </w:p>
    <w:p w14:paraId="49812944" w14:textId="77777777" w:rsidR="002A775A" w:rsidRDefault="002A775A" w:rsidP="000E4889">
      <w:pPr>
        <w:pStyle w:val="NoSpacing"/>
        <w:rPr>
          <w:b/>
          <w:bCs/>
          <w:lang w:eastAsia="en-GB"/>
        </w:rPr>
      </w:pPr>
      <w:r w:rsidRPr="00E461C8">
        <w:rPr>
          <w:b/>
          <w:bCs/>
          <w:lang w:eastAsia="en-GB"/>
        </w:rPr>
        <w:t>Safety Management Plan</w:t>
      </w:r>
    </w:p>
    <w:p w14:paraId="714A8591" w14:textId="77777777" w:rsidR="00541FE1" w:rsidRPr="00E461C8" w:rsidRDefault="00541FE1" w:rsidP="000E4889">
      <w:pPr>
        <w:pStyle w:val="NoSpacing"/>
        <w:rPr>
          <w:b/>
          <w:bCs/>
          <w:lang w:eastAsia="en-GB"/>
        </w:rPr>
      </w:pPr>
    </w:p>
    <w:p w14:paraId="7B19015F" w14:textId="77777777" w:rsidR="002A775A" w:rsidRPr="003C1145" w:rsidRDefault="002A775A" w:rsidP="000E4889">
      <w:pPr>
        <w:pStyle w:val="NoSpacing"/>
        <w:rPr>
          <w:lang w:eastAsia="en-GB"/>
        </w:rPr>
      </w:pPr>
      <w:r w:rsidRPr="003C1145">
        <w:rPr>
          <w:lang w:eastAsia="en-GB"/>
        </w:rPr>
        <w:t>All the project stages are comprised of safety. The action plan is consistent with the guidelines offered by WorkSafeBC (2022):</w:t>
      </w:r>
    </w:p>
    <w:p w14:paraId="5066708F" w14:textId="77777777" w:rsidR="00541FE1" w:rsidRDefault="00541FE1" w:rsidP="000E4889">
      <w:pPr>
        <w:pStyle w:val="NoSpacing"/>
        <w:rPr>
          <w:lang w:eastAsia="en-GB"/>
        </w:rPr>
      </w:pPr>
    </w:p>
    <w:p w14:paraId="09569A64" w14:textId="52F30728" w:rsidR="002A775A" w:rsidRPr="003C1145" w:rsidRDefault="002A775A" w:rsidP="000E4889">
      <w:pPr>
        <w:pStyle w:val="NoSpacing"/>
        <w:rPr>
          <w:lang w:eastAsia="en-GB"/>
        </w:rPr>
      </w:pPr>
      <w:r w:rsidRPr="003C1145">
        <w:rPr>
          <w:lang w:eastAsia="en-GB"/>
        </w:rPr>
        <w:t>Safety induction and refresher training of all staff members is compulsory.</w:t>
      </w:r>
    </w:p>
    <w:p w14:paraId="5A6DB1FD" w14:textId="141F27A6" w:rsidR="002A775A" w:rsidRPr="003C1145" w:rsidRDefault="002A775A" w:rsidP="000E4889">
      <w:pPr>
        <w:pStyle w:val="NoSpacing"/>
        <w:rPr>
          <w:lang w:eastAsia="en-GB"/>
        </w:rPr>
      </w:pPr>
      <w:r w:rsidRPr="003C1145">
        <w:rPr>
          <w:lang w:eastAsia="en-GB"/>
        </w:rPr>
        <w:t>Performance of PPE, signs and exclusion areas.</w:t>
      </w:r>
    </w:p>
    <w:p w14:paraId="3D521193" w14:textId="0A40C707" w:rsidR="002A775A" w:rsidRPr="003C1145" w:rsidRDefault="002A775A" w:rsidP="000E4889">
      <w:pPr>
        <w:pStyle w:val="NoSpacing"/>
        <w:rPr>
          <w:lang w:eastAsia="en-GB"/>
        </w:rPr>
      </w:pPr>
      <w:r w:rsidRPr="003C1145">
        <w:rPr>
          <w:lang w:eastAsia="en-GB"/>
        </w:rPr>
        <w:t>Frequent inspection and safety audits to site.</w:t>
      </w:r>
    </w:p>
    <w:p w14:paraId="10790601" w14:textId="72200219" w:rsidR="002A775A" w:rsidRPr="003C1145" w:rsidRDefault="002A775A" w:rsidP="000E4889">
      <w:pPr>
        <w:pStyle w:val="NoSpacing"/>
        <w:rPr>
          <w:lang w:eastAsia="en-GB"/>
        </w:rPr>
      </w:pPr>
      <w:r w:rsidRPr="003C1145">
        <w:rPr>
          <w:lang w:eastAsia="en-GB"/>
        </w:rPr>
        <w:t>Disaster preparedness in the case of an accident, floods, or landslides.</w:t>
      </w:r>
    </w:p>
    <w:p w14:paraId="0DE8006D" w14:textId="50FD7FE1" w:rsidR="002A775A" w:rsidRPr="003C1145" w:rsidRDefault="002A775A" w:rsidP="000E4889">
      <w:pPr>
        <w:pStyle w:val="NoSpacing"/>
        <w:rPr>
          <w:lang w:eastAsia="en-GB"/>
        </w:rPr>
      </w:pPr>
      <w:r w:rsidRPr="003C1145">
        <w:rPr>
          <w:lang w:eastAsia="en-GB"/>
        </w:rPr>
        <w:t>Incident-reporting and correct-action tracking.</w:t>
      </w:r>
    </w:p>
    <w:p w14:paraId="5CDF8238" w14:textId="77777777" w:rsidR="00541FE1" w:rsidRDefault="00541FE1" w:rsidP="000E4889">
      <w:pPr>
        <w:pStyle w:val="NoSpacing"/>
        <w:rPr>
          <w:lang w:eastAsia="en-GB"/>
        </w:rPr>
      </w:pPr>
    </w:p>
    <w:p w14:paraId="18650195" w14:textId="04F8EE6D" w:rsidR="002A775A" w:rsidRPr="003C1145" w:rsidRDefault="002A775A" w:rsidP="000E4889">
      <w:pPr>
        <w:pStyle w:val="NoSpacing"/>
        <w:rPr>
          <w:lang w:eastAsia="en-GB"/>
        </w:rPr>
      </w:pPr>
      <w:r w:rsidRPr="003C1145">
        <w:rPr>
          <w:lang w:eastAsia="en-GB"/>
        </w:rPr>
        <w:t>Through imparting safety culture in the management systems, the project strives to achieve zero lost-time injury.</w:t>
      </w:r>
    </w:p>
    <w:p w14:paraId="75FA7C81" w14:textId="77777777" w:rsidR="002A775A" w:rsidRPr="00541FE1" w:rsidRDefault="002A775A" w:rsidP="000E4889">
      <w:pPr>
        <w:pStyle w:val="NoSpacing"/>
        <w:rPr>
          <w:b/>
          <w:bCs/>
          <w:lang w:eastAsia="en-GB"/>
        </w:rPr>
      </w:pPr>
    </w:p>
    <w:p w14:paraId="258756BA" w14:textId="77777777" w:rsidR="002A775A" w:rsidRDefault="002A775A" w:rsidP="000E4889">
      <w:pPr>
        <w:pStyle w:val="NoSpacing"/>
        <w:rPr>
          <w:b/>
          <w:bCs/>
          <w:lang w:eastAsia="en-GB"/>
        </w:rPr>
      </w:pPr>
      <w:r w:rsidRPr="00541FE1">
        <w:rPr>
          <w:b/>
          <w:bCs/>
          <w:lang w:eastAsia="en-GB"/>
        </w:rPr>
        <w:t>Sustainability and Environment Management.</w:t>
      </w:r>
    </w:p>
    <w:p w14:paraId="07DAB934" w14:textId="77777777" w:rsidR="00541FE1" w:rsidRPr="00541FE1" w:rsidRDefault="00541FE1" w:rsidP="000E4889">
      <w:pPr>
        <w:pStyle w:val="NoSpacing"/>
        <w:rPr>
          <w:b/>
          <w:bCs/>
          <w:lang w:eastAsia="en-GB"/>
        </w:rPr>
      </w:pPr>
    </w:p>
    <w:p w14:paraId="5416ECC5" w14:textId="77777777" w:rsidR="002A775A" w:rsidRPr="003C1145" w:rsidRDefault="002A775A" w:rsidP="000E4889">
      <w:pPr>
        <w:pStyle w:val="NoSpacing"/>
        <w:rPr>
          <w:lang w:eastAsia="en-GB"/>
        </w:rPr>
      </w:pPr>
      <w:r w:rsidRPr="003C1145">
        <w:rPr>
          <w:lang w:eastAsia="en-GB"/>
        </w:rPr>
        <w:t>One of the major pillars of RPTCP is sustainability. The plan is very much about combining environmental conservation and technical effectiveness:</w:t>
      </w:r>
    </w:p>
    <w:p w14:paraId="0E861B2F" w14:textId="77777777" w:rsidR="002A775A" w:rsidRPr="003C1145" w:rsidRDefault="002A775A" w:rsidP="000E4889">
      <w:pPr>
        <w:pStyle w:val="NoSpacing"/>
        <w:rPr>
          <w:lang w:eastAsia="en-GB"/>
        </w:rPr>
      </w:pPr>
      <w:r w:rsidRPr="003C1145">
        <w:rPr>
          <w:lang w:eastAsia="en-GB"/>
        </w:rPr>
        <w:t>Sustainable Materials: Use recycled aggregates, low-carbon cement, and area sourced timber and steel to knock down transport emissions.</w:t>
      </w:r>
    </w:p>
    <w:p w14:paraId="49CD96D7" w14:textId="77777777" w:rsidR="002A775A" w:rsidRPr="003C1145" w:rsidRDefault="002A775A" w:rsidP="000E4889">
      <w:pPr>
        <w:pStyle w:val="NoSpacing"/>
        <w:rPr>
          <w:lang w:eastAsia="en-GB"/>
        </w:rPr>
      </w:pPr>
      <w:r w:rsidRPr="003C1145">
        <w:rPr>
          <w:lang w:eastAsia="en-GB"/>
        </w:rPr>
        <w:t>Erosion &amp; Sediment Control: Silt fencing, sediment traps and vegetative buffers will please the waterways against sediment runoff.</w:t>
      </w:r>
    </w:p>
    <w:p w14:paraId="6F209BDB" w14:textId="77777777" w:rsidR="002A775A" w:rsidRPr="003C1145" w:rsidRDefault="002A775A" w:rsidP="000E4889">
      <w:pPr>
        <w:pStyle w:val="NoSpacing"/>
        <w:rPr>
          <w:lang w:eastAsia="en-GB"/>
        </w:rPr>
      </w:pPr>
      <w:r w:rsidRPr="003C1145">
        <w:rPr>
          <w:lang w:eastAsia="en-GB"/>
        </w:rPr>
        <w:t>Wildlife Protection: The time of construction will not disrupt sensitive breeding years; crossing of wild animals will be put in design.</w:t>
      </w:r>
    </w:p>
    <w:p w14:paraId="51081406" w14:textId="77777777" w:rsidR="002A775A" w:rsidRPr="003C1145" w:rsidRDefault="002A775A" w:rsidP="000E4889">
      <w:pPr>
        <w:pStyle w:val="NoSpacing"/>
        <w:rPr>
          <w:lang w:eastAsia="en-GB"/>
        </w:rPr>
      </w:pPr>
      <w:r w:rsidRPr="003C1145">
        <w:rPr>
          <w:lang w:eastAsia="en-GB"/>
        </w:rPr>
        <w:t>Energy efficiency: Energy hybrid equipment and solar-powered lights at the working sites.</w:t>
      </w:r>
    </w:p>
    <w:p w14:paraId="3DF50093" w14:textId="77777777" w:rsidR="002A775A" w:rsidRPr="003C1145" w:rsidRDefault="002A775A" w:rsidP="000E4889">
      <w:pPr>
        <w:pStyle w:val="NoSpacing"/>
        <w:rPr>
          <w:lang w:eastAsia="en-GB"/>
        </w:rPr>
      </w:pPr>
      <w:r w:rsidRPr="003C1145">
        <w:rPr>
          <w:lang w:eastAsia="en-GB"/>
        </w:rPr>
        <w:t>Waste Management: Sorting and recycling of construction waste on site by referring to BC Environmental Management Act (2022).</w:t>
      </w:r>
    </w:p>
    <w:p w14:paraId="7B23CB6F" w14:textId="77777777" w:rsidR="002A775A" w:rsidRPr="003C1145" w:rsidRDefault="002A775A" w:rsidP="000E4889">
      <w:pPr>
        <w:pStyle w:val="NoSpacing"/>
        <w:rPr>
          <w:lang w:eastAsia="en-GB"/>
        </w:rPr>
      </w:pPr>
      <w:r w:rsidRPr="003C1145">
        <w:rPr>
          <w:lang w:eastAsia="en-GB"/>
        </w:rPr>
        <w:t>Environmental Auditing: Audit of independent specialists quarterly to ensure compliance.</w:t>
      </w:r>
    </w:p>
    <w:p w14:paraId="292F07B6" w14:textId="77777777" w:rsidR="00541FE1" w:rsidRDefault="00541FE1" w:rsidP="000E4889">
      <w:pPr>
        <w:pStyle w:val="NoSpacing"/>
        <w:rPr>
          <w:lang w:eastAsia="en-GB"/>
        </w:rPr>
      </w:pPr>
    </w:p>
    <w:p w14:paraId="27405ED5" w14:textId="6CFFB77C" w:rsidR="002A775A" w:rsidRPr="003C1145" w:rsidRDefault="002A775A" w:rsidP="000E4889">
      <w:pPr>
        <w:pStyle w:val="NoSpacing"/>
        <w:rPr>
          <w:lang w:eastAsia="en-GB"/>
        </w:rPr>
      </w:pPr>
      <w:r w:rsidRPr="003C1145">
        <w:rPr>
          <w:lang w:eastAsia="en-GB"/>
        </w:rPr>
        <w:t>Such actions correspond to the SDGs 9 (Industry, Innovation &amp; Infrastructure) of the UN SDGs and 13 (Climate Action) (United Nations, 2015).</w:t>
      </w:r>
    </w:p>
    <w:p w14:paraId="6B82CE71" w14:textId="77777777" w:rsidR="002A775A" w:rsidRPr="003C1145" w:rsidRDefault="002A775A" w:rsidP="000E4889">
      <w:pPr>
        <w:pStyle w:val="NoSpacing"/>
        <w:rPr>
          <w:lang w:eastAsia="en-GB"/>
        </w:rPr>
      </w:pPr>
    </w:p>
    <w:p w14:paraId="1436C6AE" w14:textId="77777777" w:rsidR="002A775A" w:rsidRPr="00AC7F28" w:rsidRDefault="002A775A" w:rsidP="000E4889">
      <w:pPr>
        <w:pStyle w:val="NoSpacing"/>
        <w:rPr>
          <w:b/>
          <w:bCs/>
          <w:lang w:eastAsia="en-GB"/>
        </w:rPr>
      </w:pPr>
      <w:r w:rsidRPr="00AC7F28">
        <w:rPr>
          <w:b/>
          <w:bCs/>
          <w:lang w:eastAsia="en-GB"/>
        </w:rPr>
        <w:t>Communication Plan</w:t>
      </w:r>
    </w:p>
    <w:p w14:paraId="5689AACB" w14:textId="77777777" w:rsidR="00AC7F28" w:rsidRPr="003C1145" w:rsidRDefault="00AC7F28" w:rsidP="000E4889">
      <w:pPr>
        <w:pStyle w:val="NoSpacing"/>
        <w:rPr>
          <w:lang w:eastAsia="en-GB"/>
        </w:rPr>
      </w:pPr>
    </w:p>
    <w:p w14:paraId="1470BDD5" w14:textId="77777777" w:rsidR="002A775A" w:rsidRPr="003C1145" w:rsidRDefault="002A775A" w:rsidP="000E4889">
      <w:pPr>
        <w:pStyle w:val="NoSpacing"/>
        <w:rPr>
          <w:lang w:eastAsia="en-GB"/>
        </w:rPr>
      </w:pPr>
      <w:r w:rsidRPr="003C1145">
        <w:rPr>
          <w:lang w:eastAsia="en-GB"/>
        </w:rPr>
        <w:t>Stakeholder confidence and alignment: This is achieved through good communication.</w:t>
      </w:r>
    </w:p>
    <w:p w14:paraId="7D4CB475" w14:textId="77777777" w:rsidR="00AC7F28" w:rsidRDefault="00AC7F28" w:rsidP="000E4889">
      <w:pPr>
        <w:pStyle w:val="NoSpacing"/>
        <w:rPr>
          <w:lang w:eastAsia="en-GB"/>
        </w:rPr>
      </w:pPr>
    </w:p>
    <w:p w14:paraId="39111CF5" w14:textId="77777777" w:rsidR="00CA367D" w:rsidRDefault="00CA367D" w:rsidP="000E4889">
      <w:pPr>
        <w:pStyle w:val="NoSpacing"/>
        <w:rPr>
          <w:lang w:eastAsia="en-GB"/>
        </w:rPr>
      </w:pPr>
    </w:p>
    <w:tbl>
      <w:tblPr>
        <w:tblStyle w:val="TableGrid"/>
        <w:tblW w:w="0" w:type="auto"/>
        <w:tblLook w:val="04A0" w:firstRow="1" w:lastRow="0" w:firstColumn="1" w:lastColumn="0" w:noHBand="0" w:noVBand="1"/>
      </w:tblPr>
      <w:tblGrid>
        <w:gridCol w:w="3005"/>
        <w:gridCol w:w="3005"/>
        <w:gridCol w:w="3006"/>
      </w:tblGrid>
      <w:tr w:rsidR="00AA6C73" w14:paraId="44F5543F" w14:textId="77777777" w:rsidTr="00AA6C73">
        <w:tc>
          <w:tcPr>
            <w:tcW w:w="3005" w:type="dxa"/>
          </w:tcPr>
          <w:p w14:paraId="0C05D075" w14:textId="0998F9FB" w:rsidR="00AA6C73" w:rsidRDefault="00AA6C73" w:rsidP="000E4889">
            <w:pPr>
              <w:pStyle w:val="NoSpacing"/>
              <w:rPr>
                <w:lang w:eastAsia="en-GB"/>
              </w:rPr>
            </w:pPr>
            <w:r w:rsidRPr="003C1145">
              <w:rPr>
                <w:lang w:eastAsia="en-GB"/>
              </w:rPr>
              <w:t xml:space="preserve">Audience </w:t>
            </w:r>
            <w:r>
              <w:rPr>
                <w:lang w:eastAsia="en-GB"/>
              </w:rPr>
              <w:t xml:space="preserve">   </w:t>
            </w:r>
          </w:p>
        </w:tc>
        <w:tc>
          <w:tcPr>
            <w:tcW w:w="3005" w:type="dxa"/>
          </w:tcPr>
          <w:p w14:paraId="561ACA68" w14:textId="43307E00" w:rsidR="00AA6C73" w:rsidRDefault="00AA6C73" w:rsidP="000E4889">
            <w:pPr>
              <w:pStyle w:val="NoSpacing"/>
              <w:rPr>
                <w:lang w:eastAsia="en-GB"/>
              </w:rPr>
            </w:pPr>
            <w:r w:rsidRPr="003C1145">
              <w:rPr>
                <w:lang w:eastAsia="en-GB"/>
              </w:rPr>
              <w:t xml:space="preserve">Method </w:t>
            </w:r>
            <w:r>
              <w:rPr>
                <w:lang w:eastAsia="en-GB"/>
              </w:rPr>
              <w:t xml:space="preserve"> </w:t>
            </w:r>
          </w:p>
        </w:tc>
        <w:tc>
          <w:tcPr>
            <w:tcW w:w="3006" w:type="dxa"/>
          </w:tcPr>
          <w:p w14:paraId="5CD3D092" w14:textId="315DC47D" w:rsidR="00AA6C73" w:rsidRDefault="00AA6C73" w:rsidP="000E4889">
            <w:pPr>
              <w:pStyle w:val="NoSpacing"/>
              <w:rPr>
                <w:lang w:eastAsia="en-GB"/>
              </w:rPr>
            </w:pPr>
            <w:r w:rsidRPr="003C1145">
              <w:rPr>
                <w:lang w:eastAsia="en-GB"/>
              </w:rPr>
              <w:t>Frequency Purpose</w:t>
            </w:r>
          </w:p>
        </w:tc>
      </w:tr>
      <w:tr w:rsidR="00AA6C73" w14:paraId="3EE02084" w14:textId="77777777" w:rsidTr="00AA6C73">
        <w:tc>
          <w:tcPr>
            <w:tcW w:w="3005" w:type="dxa"/>
          </w:tcPr>
          <w:p w14:paraId="12ADBB3F" w14:textId="34F29EB7" w:rsidR="00AA6C73" w:rsidRDefault="00B834B0" w:rsidP="000E4889">
            <w:pPr>
              <w:pStyle w:val="NoSpacing"/>
              <w:rPr>
                <w:lang w:eastAsia="en-GB"/>
              </w:rPr>
            </w:pPr>
            <w:r w:rsidRPr="003C1145">
              <w:rPr>
                <w:lang w:eastAsia="en-GB"/>
              </w:rPr>
              <w:t>Internal Teams</w:t>
            </w:r>
          </w:p>
        </w:tc>
        <w:tc>
          <w:tcPr>
            <w:tcW w:w="3005" w:type="dxa"/>
          </w:tcPr>
          <w:p w14:paraId="2DF528DE" w14:textId="28BC9968" w:rsidR="00AA6C73" w:rsidRDefault="002D7CB5" w:rsidP="000E4889">
            <w:pPr>
              <w:pStyle w:val="NoSpacing"/>
              <w:rPr>
                <w:lang w:eastAsia="en-GB"/>
              </w:rPr>
            </w:pPr>
            <w:r w:rsidRPr="003C1145">
              <w:rPr>
                <w:lang w:eastAsia="en-GB"/>
              </w:rPr>
              <w:t>Weekly coordination meetings; email updates</w:t>
            </w:r>
          </w:p>
        </w:tc>
        <w:tc>
          <w:tcPr>
            <w:tcW w:w="3006" w:type="dxa"/>
          </w:tcPr>
          <w:p w14:paraId="21F1D3E6" w14:textId="77777777" w:rsidR="001B5E1E" w:rsidRPr="003C1145" w:rsidRDefault="001B5E1E" w:rsidP="001B5E1E">
            <w:pPr>
              <w:pStyle w:val="NoSpacing"/>
              <w:pBdr>
                <w:bottom w:val="single" w:sz="4" w:space="1" w:color="auto"/>
              </w:pBdr>
              <w:jc w:val="both"/>
              <w:rPr>
                <w:lang w:eastAsia="en-GB"/>
              </w:rPr>
            </w:pPr>
            <w:r w:rsidRPr="003C1145">
              <w:rPr>
                <w:lang w:eastAsia="en-GB"/>
              </w:rPr>
              <w:t>Progress tracking, issue resolution</w:t>
            </w:r>
          </w:p>
          <w:p w14:paraId="312DA357" w14:textId="588FDBD8" w:rsidR="00AA6C73" w:rsidRDefault="00AA6C73" w:rsidP="000E4889">
            <w:pPr>
              <w:pStyle w:val="NoSpacing"/>
              <w:rPr>
                <w:lang w:eastAsia="en-GB"/>
              </w:rPr>
            </w:pPr>
          </w:p>
        </w:tc>
      </w:tr>
      <w:tr w:rsidR="00AA6C73" w14:paraId="7011E8A8" w14:textId="77777777" w:rsidTr="00AA6C73">
        <w:tc>
          <w:tcPr>
            <w:tcW w:w="3005" w:type="dxa"/>
          </w:tcPr>
          <w:p w14:paraId="374C2E9D" w14:textId="7B43E968" w:rsidR="00AA6C73" w:rsidRDefault="00B834B0" w:rsidP="000E4889">
            <w:pPr>
              <w:pStyle w:val="NoSpacing"/>
              <w:rPr>
                <w:lang w:eastAsia="en-GB"/>
              </w:rPr>
            </w:pPr>
            <w:r w:rsidRPr="003C1145">
              <w:rPr>
                <w:lang w:eastAsia="en-GB"/>
              </w:rPr>
              <w:t>Steering Committee</w:t>
            </w:r>
          </w:p>
        </w:tc>
        <w:tc>
          <w:tcPr>
            <w:tcW w:w="3005" w:type="dxa"/>
          </w:tcPr>
          <w:p w14:paraId="00A4FB88" w14:textId="4429E28F" w:rsidR="00AA6C73" w:rsidRDefault="002D7CB5" w:rsidP="000E4889">
            <w:pPr>
              <w:pStyle w:val="NoSpacing"/>
              <w:rPr>
                <w:lang w:eastAsia="en-GB"/>
              </w:rPr>
            </w:pPr>
            <w:r w:rsidRPr="003C1145">
              <w:rPr>
                <w:lang w:eastAsia="en-GB"/>
              </w:rPr>
              <w:t>Monthly reports; formal reviews</w:t>
            </w:r>
          </w:p>
        </w:tc>
        <w:tc>
          <w:tcPr>
            <w:tcW w:w="3006" w:type="dxa"/>
          </w:tcPr>
          <w:p w14:paraId="54523040" w14:textId="0854E78A" w:rsidR="00AA6C73" w:rsidRDefault="008F7539" w:rsidP="000E4889">
            <w:pPr>
              <w:pStyle w:val="NoSpacing"/>
              <w:rPr>
                <w:lang w:eastAsia="en-GB"/>
              </w:rPr>
            </w:pPr>
            <w:r>
              <w:rPr>
                <w:lang w:eastAsia="en-GB"/>
              </w:rPr>
              <w:t xml:space="preserve">Strategic Oversight </w:t>
            </w:r>
          </w:p>
        </w:tc>
      </w:tr>
      <w:tr w:rsidR="00AA6C73" w14:paraId="3CF11AB7" w14:textId="77777777" w:rsidTr="00AA6C73">
        <w:tc>
          <w:tcPr>
            <w:tcW w:w="3005" w:type="dxa"/>
          </w:tcPr>
          <w:p w14:paraId="7A175F6D" w14:textId="49E1E727" w:rsidR="00AA6C73" w:rsidRDefault="00B834B0" w:rsidP="000E4889">
            <w:pPr>
              <w:pStyle w:val="NoSpacing"/>
              <w:rPr>
                <w:lang w:eastAsia="en-GB"/>
              </w:rPr>
            </w:pPr>
            <w:r w:rsidRPr="003C1145">
              <w:rPr>
                <w:lang w:eastAsia="en-GB"/>
              </w:rPr>
              <w:t>Government Agencies</w:t>
            </w:r>
          </w:p>
        </w:tc>
        <w:tc>
          <w:tcPr>
            <w:tcW w:w="3005" w:type="dxa"/>
          </w:tcPr>
          <w:p w14:paraId="6DB4D61A" w14:textId="530D162E" w:rsidR="00AA6C73" w:rsidRDefault="002D7CB5" w:rsidP="000E4889">
            <w:pPr>
              <w:pStyle w:val="NoSpacing"/>
              <w:rPr>
                <w:lang w:eastAsia="en-GB"/>
              </w:rPr>
            </w:pPr>
            <w:r w:rsidRPr="003C1145">
              <w:rPr>
                <w:lang w:eastAsia="en-GB"/>
              </w:rPr>
              <w:t>Bi-monthly briefing; compliance submission</w:t>
            </w:r>
          </w:p>
        </w:tc>
        <w:tc>
          <w:tcPr>
            <w:tcW w:w="3006" w:type="dxa"/>
          </w:tcPr>
          <w:p w14:paraId="4DE4DC5D" w14:textId="77777777" w:rsidR="00C75813" w:rsidRPr="003C1145" w:rsidRDefault="00C75813" w:rsidP="00C75813">
            <w:pPr>
              <w:pStyle w:val="NoSpacing"/>
              <w:pBdr>
                <w:bottom w:val="single" w:sz="4" w:space="1" w:color="auto"/>
              </w:pBdr>
              <w:jc w:val="both"/>
              <w:rPr>
                <w:lang w:eastAsia="en-GB"/>
              </w:rPr>
            </w:pPr>
            <w:r w:rsidRPr="003C1145">
              <w:rPr>
                <w:lang w:eastAsia="en-GB"/>
              </w:rPr>
              <w:t>Regulatory alignment.</w:t>
            </w:r>
          </w:p>
          <w:p w14:paraId="4D8686E0" w14:textId="77777777" w:rsidR="00AA6C73" w:rsidRDefault="00AA6C73" w:rsidP="000E4889">
            <w:pPr>
              <w:pStyle w:val="NoSpacing"/>
              <w:rPr>
                <w:lang w:eastAsia="en-GB"/>
              </w:rPr>
            </w:pPr>
          </w:p>
        </w:tc>
      </w:tr>
      <w:tr w:rsidR="00AA6C73" w14:paraId="513FD8FB" w14:textId="77777777" w:rsidTr="00AA6C73">
        <w:tc>
          <w:tcPr>
            <w:tcW w:w="3005" w:type="dxa"/>
          </w:tcPr>
          <w:p w14:paraId="089AA212" w14:textId="6D4668BE" w:rsidR="00AA6C73" w:rsidRDefault="00B834B0" w:rsidP="000E4889">
            <w:pPr>
              <w:pStyle w:val="NoSpacing"/>
              <w:rPr>
                <w:lang w:eastAsia="en-GB"/>
              </w:rPr>
            </w:pPr>
            <w:r w:rsidRPr="003C1145">
              <w:rPr>
                <w:lang w:eastAsia="en-GB"/>
              </w:rPr>
              <w:t>Local Communities</w:t>
            </w:r>
          </w:p>
        </w:tc>
        <w:tc>
          <w:tcPr>
            <w:tcW w:w="3005" w:type="dxa"/>
          </w:tcPr>
          <w:p w14:paraId="2F4839DF" w14:textId="4C28F018" w:rsidR="00AA6C73" w:rsidRDefault="002D7CB5" w:rsidP="000E4889">
            <w:pPr>
              <w:pStyle w:val="NoSpacing"/>
              <w:rPr>
                <w:lang w:eastAsia="en-GB"/>
              </w:rPr>
            </w:pPr>
            <w:r w:rsidRPr="003C1145">
              <w:rPr>
                <w:lang w:eastAsia="en-GB"/>
              </w:rPr>
              <w:t>Local town-hall meetings (every 3 months); project social-media communications</w:t>
            </w:r>
          </w:p>
        </w:tc>
        <w:tc>
          <w:tcPr>
            <w:tcW w:w="3006" w:type="dxa"/>
          </w:tcPr>
          <w:p w14:paraId="00E0F5BC" w14:textId="4CA3205F" w:rsidR="00AA6C73" w:rsidRDefault="00AB33C9" w:rsidP="000E4889">
            <w:pPr>
              <w:pStyle w:val="NoSpacing"/>
              <w:rPr>
                <w:lang w:eastAsia="en-GB"/>
              </w:rPr>
            </w:pPr>
            <w:r>
              <w:rPr>
                <w:lang w:eastAsia="en-GB"/>
              </w:rPr>
              <w:t>L</w:t>
            </w:r>
            <w:r w:rsidRPr="003C1145">
              <w:rPr>
                <w:lang w:eastAsia="en-GB"/>
              </w:rPr>
              <w:t>ocal updates on project web site.</w:t>
            </w:r>
          </w:p>
        </w:tc>
      </w:tr>
      <w:tr w:rsidR="00AA6C73" w14:paraId="6B68453D" w14:textId="77777777" w:rsidTr="00AA6C73">
        <w:tc>
          <w:tcPr>
            <w:tcW w:w="3005" w:type="dxa"/>
          </w:tcPr>
          <w:p w14:paraId="1973EB0E" w14:textId="36E3173C" w:rsidR="00AA6C73" w:rsidRDefault="002D7CB5" w:rsidP="000E4889">
            <w:pPr>
              <w:pStyle w:val="NoSpacing"/>
              <w:rPr>
                <w:lang w:eastAsia="en-GB"/>
              </w:rPr>
            </w:pPr>
            <w:r w:rsidRPr="003C1145">
              <w:rPr>
                <w:lang w:eastAsia="en-GB"/>
              </w:rPr>
              <w:t>Media &amp; Public</w:t>
            </w:r>
          </w:p>
        </w:tc>
        <w:tc>
          <w:tcPr>
            <w:tcW w:w="3005" w:type="dxa"/>
          </w:tcPr>
          <w:p w14:paraId="0F0D3D2C" w14:textId="4436D70B" w:rsidR="00AA6C73" w:rsidRDefault="00F37804" w:rsidP="000E4889">
            <w:pPr>
              <w:pStyle w:val="NoSpacing"/>
              <w:rPr>
                <w:lang w:eastAsia="en-GB"/>
              </w:rPr>
            </w:pPr>
            <w:r w:rsidRPr="003C1145">
              <w:rPr>
                <w:lang w:eastAsia="en-GB"/>
              </w:rPr>
              <w:t>PKR press releases at all major milestones</w:t>
            </w:r>
          </w:p>
        </w:tc>
        <w:tc>
          <w:tcPr>
            <w:tcW w:w="3006" w:type="dxa"/>
          </w:tcPr>
          <w:p w14:paraId="73F05E18" w14:textId="77777777" w:rsidR="00AB33C9" w:rsidRPr="003C1145" w:rsidRDefault="00AB33C9" w:rsidP="00AB33C9">
            <w:pPr>
              <w:pStyle w:val="NoSpacing"/>
              <w:pBdr>
                <w:bottom w:val="single" w:sz="4" w:space="1" w:color="auto"/>
              </w:pBdr>
              <w:jc w:val="both"/>
              <w:rPr>
                <w:lang w:eastAsia="en-GB"/>
              </w:rPr>
            </w:pPr>
            <w:r w:rsidRPr="003C1145">
              <w:rPr>
                <w:lang w:eastAsia="en-GB"/>
              </w:rPr>
              <w:tab/>
              <w:t>Public awareness.</w:t>
            </w:r>
          </w:p>
          <w:p w14:paraId="09F08699" w14:textId="77777777" w:rsidR="00AA6C73" w:rsidRDefault="00AA6C73" w:rsidP="000E4889">
            <w:pPr>
              <w:pStyle w:val="NoSpacing"/>
              <w:rPr>
                <w:lang w:eastAsia="en-GB"/>
              </w:rPr>
            </w:pPr>
          </w:p>
        </w:tc>
      </w:tr>
    </w:tbl>
    <w:p w14:paraId="50F47D4F" w14:textId="77777777" w:rsidR="00AB33C9" w:rsidRDefault="00AB33C9" w:rsidP="00B31116">
      <w:pPr>
        <w:pStyle w:val="NoSpacing"/>
        <w:pBdr>
          <w:bottom w:val="single" w:sz="4" w:space="1" w:color="auto"/>
        </w:pBdr>
        <w:jc w:val="both"/>
        <w:rPr>
          <w:lang w:eastAsia="en-GB"/>
        </w:rPr>
      </w:pPr>
    </w:p>
    <w:p w14:paraId="1ED66A73" w14:textId="289ED4C2" w:rsidR="002A775A" w:rsidRDefault="002A775A" w:rsidP="00AB33C9">
      <w:pPr>
        <w:pStyle w:val="NoSpacing"/>
        <w:pBdr>
          <w:bottom w:val="single" w:sz="4" w:space="1" w:color="auto"/>
        </w:pBdr>
        <w:jc w:val="both"/>
        <w:rPr>
          <w:lang w:eastAsia="en-GB"/>
        </w:rPr>
      </w:pPr>
      <w:r w:rsidRPr="003C1145">
        <w:rPr>
          <w:lang w:eastAsia="en-GB"/>
        </w:rPr>
        <w:t>This two-way information flow will guarantee the prevention of misinformation and community ownership, as different individuals are involved in this inclusive approach</w:t>
      </w:r>
      <w:r w:rsidR="00375B0C">
        <w:rPr>
          <w:lang w:eastAsia="en-GB"/>
        </w:rPr>
        <w:t>.</w:t>
      </w:r>
    </w:p>
    <w:p w14:paraId="01A052A0" w14:textId="77777777" w:rsidR="00375B0C" w:rsidRDefault="00375B0C" w:rsidP="00AB33C9">
      <w:pPr>
        <w:pStyle w:val="NoSpacing"/>
        <w:pBdr>
          <w:bottom w:val="single" w:sz="4" w:space="1" w:color="auto"/>
        </w:pBdr>
        <w:jc w:val="both"/>
        <w:rPr>
          <w:lang w:eastAsia="en-GB"/>
        </w:rPr>
      </w:pPr>
    </w:p>
    <w:p w14:paraId="3969EDCF" w14:textId="77777777" w:rsidR="00375B0C" w:rsidRPr="003C1145" w:rsidRDefault="00375B0C" w:rsidP="00AB33C9">
      <w:pPr>
        <w:pStyle w:val="NoSpacing"/>
        <w:pBdr>
          <w:bottom w:val="single" w:sz="4" w:space="1" w:color="auto"/>
        </w:pBdr>
        <w:jc w:val="both"/>
        <w:rPr>
          <w:lang w:eastAsia="en-GB"/>
        </w:rPr>
      </w:pPr>
    </w:p>
    <w:p w14:paraId="19A69903" w14:textId="77777777" w:rsidR="00375B0C" w:rsidRPr="00C11850" w:rsidRDefault="00375B0C" w:rsidP="000E4889">
      <w:pPr>
        <w:pStyle w:val="NoSpacing"/>
        <w:rPr>
          <w:b/>
          <w:bCs/>
          <w:lang w:eastAsia="en-GB"/>
        </w:rPr>
      </w:pPr>
    </w:p>
    <w:p w14:paraId="22BE809E" w14:textId="2748CCF3" w:rsidR="002A775A" w:rsidRDefault="002A775A" w:rsidP="000E4889">
      <w:pPr>
        <w:pStyle w:val="NoSpacing"/>
        <w:rPr>
          <w:b/>
          <w:bCs/>
          <w:lang w:eastAsia="en-GB"/>
        </w:rPr>
      </w:pPr>
      <w:r w:rsidRPr="00C11850">
        <w:rPr>
          <w:b/>
          <w:bCs/>
          <w:lang w:eastAsia="en-GB"/>
        </w:rPr>
        <w:t>Monitoring, Evaluation and Control.</w:t>
      </w:r>
    </w:p>
    <w:p w14:paraId="3D8E84DE" w14:textId="77777777" w:rsidR="00C11850" w:rsidRPr="00C11850" w:rsidRDefault="00C11850" w:rsidP="000E4889">
      <w:pPr>
        <w:pStyle w:val="NoSpacing"/>
        <w:rPr>
          <w:b/>
          <w:bCs/>
          <w:lang w:eastAsia="en-GB"/>
        </w:rPr>
      </w:pPr>
    </w:p>
    <w:p w14:paraId="0158E1C7" w14:textId="77777777" w:rsidR="002A775A" w:rsidRPr="003C1145" w:rsidRDefault="002A775A" w:rsidP="000E4889">
      <w:pPr>
        <w:pStyle w:val="NoSpacing"/>
        <w:rPr>
          <w:lang w:eastAsia="en-GB"/>
        </w:rPr>
      </w:pPr>
      <w:r w:rsidRPr="003C1145">
        <w:rPr>
          <w:lang w:eastAsia="en-GB"/>
        </w:rPr>
        <w:t>The Key Performance Indicators (KPI) that will be used to monitor performance are as follows:</w:t>
      </w:r>
    </w:p>
    <w:p w14:paraId="0CA2AA76" w14:textId="77777777" w:rsidR="001F5DFF" w:rsidRPr="001F5DFF" w:rsidRDefault="001F5DFF" w:rsidP="001F5DFF">
      <w:pPr>
        <w:pStyle w:val="NormalWeb"/>
        <w:rPr>
          <w:rFonts w:asciiTheme="minorHAnsi" w:hAnsiTheme="minorHAnsi"/>
          <w:color w:val="000000"/>
        </w:rPr>
      </w:pPr>
      <w:r w:rsidRPr="001F5DFF">
        <w:rPr>
          <w:rFonts w:asciiTheme="minorHAnsi" w:hAnsiTheme="minorHAnsi"/>
          <w:color w:val="000000"/>
        </w:rPr>
        <w:t>Performance will be monitored using</w:t>
      </w:r>
      <w:r w:rsidRPr="001F5DFF">
        <w:rPr>
          <w:rStyle w:val="apple-converted-space"/>
          <w:rFonts w:asciiTheme="minorHAnsi" w:eastAsiaTheme="majorEastAsia" w:hAnsiTheme="minorHAnsi"/>
          <w:color w:val="000000"/>
        </w:rPr>
        <w:t> </w:t>
      </w:r>
      <w:r w:rsidRPr="001F5DFF">
        <w:rPr>
          <w:rStyle w:val="Strong"/>
          <w:rFonts w:asciiTheme="minorHAnsi" w:eastAsiaTheme="majorEastAsia" w:hAnsiTheme="minorHAnsi"/>
          <w:color w:val="000000"/>
        </w:rPr>
        <w:t>Key Performance Indicators (KPIs)</w:t>
      </w:r>
      <w:r w:rsidRPr="001F5DFF">
        <w:rPr>
          <w:rFonts w:asciiTheme="minorHAnsi" w:hAnsiTheme="minorHAnsi"/>
          <w:color w:val="000000"/>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05"/>
        <w:gridCol w:w="3933"/>
        <w:gridCol w:w="756"/>
      </w:tblGrid>
      <w:tr w:rsidR="001F5DFF" w14:paraId="14B85D1F" w14:textId="77777777" w:rsidTr="001F5DFF">
        <w:trPr>
          <w:tblHeader/>
          <w:tblCellSpacing w:w="15" w:type="dxa"/>
        </w:trPr>
        <w:tc>
          <w:tcPr>
            <w:tcW w:w="0" w:type="auto"/>
            <w:vAlign w:val="center"/>
            <w:hideMark/>
          </w:tcPr>
          <w:p w14:paraId="57723487" w14:textId="77777777" w:rsidR="001F5DFF" w:rsidRDefault="001F5DFF">
            <w:pPr>
              <w:jc w:val="center"/>
              <w:rPr>
                <w:b/>
                <w:bCs/>
              </w:rPr>
            </w:pPr>
            <w:r>
              <w:rPr>
                <w:rStyle w:val="Strong"/>
              </w:rPr>
              <w:t>Category</w:t>
            </w:r>
          </w:p>
        </w:tc>
        <w:tc>
          <w:tcPr>
            <w:tcW w:w="0" w:type="auto"/>
            <w:vAlign w:val="center"/>
            <w:hideMark/>
          </w:tcPr>
          <w:p w14:paraId="5355F9B5" w14:textId="77777777" w:rsidR="001F5DFF" w:rsidRDefault="001F5DFF">
            <w:pPr>
              <w:jc w:val="center"/>
              <w:rPr>
                <w:b/>
                <w:bCs/>
              </w:rPr>
            </w:pPr>
            <w:r>
              <w:rPr>
                <w:rStyle w:val="Strong"/>
              </w:rPr>
              <w:t>Indicator</w:t>
            </w:r>
          </w:p>
        </w:tc>
        <w:tc>
          <w:tcPr>
            <w:tcW w:w="0" w:type="auto"/>
            <w:vAlign w:val="center"/>
            <w:hideMark/>
          </w:tcPr>
          <w:p w14:paraId="2459665A" w14:textId="77777777" w:rsidR="001F5DFF" w:rsidRDefault="001F5DFF">
            <w:pPr>
              <w:jc w:val="center"/>
              <w:rPr>
                <w:b/>
                <w:bCs/>
              </w:rPr>
            </w:pPr>
            <w:r>
              <w:rPr>
                <w:rStyle w:val="Strong"/>
              </w:rPr>
              <w:t>Target</w:t>
            </w:r>
          </w:p>
        </w:tc>
      </w:tr>
      <w:tr w:rsidR="001F5DFF" w14:paraId="58BE3804" w14:textId="77777777" w:rsidTr="001F5DFF">
        <w:trPr>
          <w:tblCellSpacing w:w="15" w:type="dxa"/>
        </w:trPr>
        <w:tc>
          <w:tcPr>
            <w:tcW w:w="0" w:type="auto"/>
            <w:vAlign w:val="center"/>
            <w:hideMark/>
          </w:tcPr>
          <w:p w14:paraId="7FD91A3E" w14:textId="77777777" w:rsidR="001F5DFF" w:rsidRDefault="001F5DFF">
            <w:r>
              <w:t>Schedule</w:t>
            </w:r>
          </w:p>
        </w:tc>
        <w:tc>
          <w:tcPr>
            <w:tcW w:w="0" w:type="auto"/>
            <w:vAlign w:val="center"/>
            <w:hideMark/>
          </w:tcPr>
          <w:p w14:paraId="46D0AE44" w14:textId="77777777" w:rsidR="001F5DFF" w:rsidRDefault="001F5DFF">
            <w:r>
              <w:t>% of tasks completed on time</w:t>
            </w:r>
          </w:p>
        </w:tc>
        <w:tc>
          <w:tcPr>
            <w:tcW w:w="0" w:type="auto"/>
            <w:vAlign w:val="center"/>
            <w:hideMark/>
          </w:tcPr>
          <w:p w14:paraId="4EBA3634" w14:textId="77777777" w:rsidR="001F5DFF" w:rsidRDefault="001F5DFF">
            <w:r>
              <w:t>≥ 90 %</w:t>
            </w:r>
          </w:p>
        </w:tc>
      </w:tr>
      <w:tr w:rsidR="001F5DFF" w14:paraId="2989B89A" w14:textId="77777777" w:rsidTr="001F5DFF">
        <w:trPr>
          <w:tblCellSpacing w:w="15" w:type="dxa"/>
        </w:trPr>
        <w:tc>
          <w:tcPr>
            <w:tcW w:w="0" w:type="auto"/>
            <w:vAlign w:val="center"/>
            <w:hideMark/>
          </w:tcPr>
          <w:p w14:paraId="1477C41A" w14:textId="77777777" w:rsidR="001F5DFF" w:rsidRDefault="001F5DFF">
            <w:r>
              <w:t>Cost</w:t>
            </w:r>
          </w:p>
        </w:tc>
        <w:tc>
          <w:tcPr>
            <w:tcW w:w="0" w:type="auto"/>
            <w:vAlign w:val="center"/>
            <w:hideMark/>
          </w:tcPr>
          <w:p w14:paraId="51AADA55" w14:textId="77777777" w:rsidR="001F5DFF" w:rsidRDefault="001F5DFF">
            <w:r>
              <w:t>Variance from budget</w:t>
            </w:r>
          </w:p>
        </w:tc>
        <w:tc>
          <w:tcPr>
            <w:tcW w:w="0" w:type="auto"/>
            <w:vAlign w:val="center"/>
            <w:hideMark/>
          </w:tcPr>
          <w:p w14:paraId="2286D442" w14:textId="77777777" w:rsidR="001F5DFF" w:rsidRDefault="001F5DFF">
            <w:r>
              <w:t>≤ ±5 %</w:t>
            </w:r>
          </w:p>
        </w:tc>
      </w:tr>
      <w:tr w:rsidR="001F5DFF" w14:paraId="021F26F2" w14:textId="77777777" w:rsidTr="001F5DFF">
        <w:trPr>
          <w:tblCellSpacing w:w="15" w:type="dxa"/>
        </w:trPr>
        <w:tc>
          <w:tcPr>
            <w:tcW w:w="0" w:type="auto"/>
            <w:vAlign w:val="center"/>
            <w:hideMark/>
          </w:tcPr>
          <w:p w14:paraId="237BB082" w14:textId="77777777" w:rsidR="001F5DFF" w:rsidRDefault="001F5DFF">
            <w:r>
              <w:t>Quality</w:t>
            </w:r>
          </w:p>
        </w:tc>
        <w:tc>
          <w:tcPr>
            <w:tcW w:w="0" w:type="auto"/>
            <w:vAlign w:val="center"/>
            <w:hideMark/>
          </w:tcPr>
          <w:p w14:paraId="5B2F266B" w14:textId="77777777" w:rsidR="001F5DFF" w:rsidRDefault="001F5DFF">
            <w:r>
              <w:t>Inspection compliance rate</w:t>
            </w:r>
          </w:p>
        </w:tc>
        <w:tc>
          <w:tcPr>
            <w:tcW w:w="0" w:type="auto"/>
            <w:vAlign w:val="center"/>
            <w:hideMark/>
          </w:tcPr>
          <w:p w14:paraId="3AE1C3BE" w14:textId="77777777" w:rsidR="001F5DFF" w:rsidRDefault="001F5DFF">
            <w:r>
              <w:t>≥ 95 %</w:t>
            </w:r>
          </w:p>
        </w:tc>
      </w:tr>
      <w:tr w:rsidR="001F5DFF" w14:paraId="48AED968" w14:textId="77777777" w:rsidTr="001F5DFF">
        <w:trPr>
          <w:tblCellSpacing w:w="15" w:type="dxa"/>
        </w:trPr>
        <w:tc>
          <w:tcPr>
            <w:tcW w:w="0" w:type="auto"/>
            <w:vAlign w:val="center"/>
            <w:hideMark/>
          </w:tcPr>
          <w:p w14:paraId="0025BA01" w14:textId="77777777" w:rsidR="001F5DFF" w:rsidRDefault="001F5DFF">
            <w:r>
              <w:t>Safety</w:t>
            </w:r>
          </w:p>
        </w:tc>
        <w:tc>
          <w:tcPr>
            <w:tcW w:w="0" w:type="auto"/>
            <w:vAlign w:val="center"/>
            <w:hideMark/>
          </w:tcPr>
          <w:p w14:paraId="425D72A9" w14:textId="77777777" w:rsidR="001F5DFF" w:rsidRDefault="001F5DFF">
            <w:r>
              <w:t>Lost-time injuries per 100 000 hours</w:t>
            </w:r>
          </w:p>
        </w:tc>
        <w:tc>
          <w:tcPr>
            <w:tcW w:w="0" w:type="auto"/>
            <w:vAlign w:val="center"/>
            <w:hideMark/>
          </w:tcPr>
          <w:p w14:paraId="16049402" w14:textId="77777777" w:rsidR="001F5DFF" w:rsidRDefault="001F5DFF">
            <w:r>
              <w:t>0</w:t>
            </w:r>
          </w:p>
        </w:tc>
      </w:tr>
      <w:tr w:rsidR="001F5DFF" w14:paraId="1C417E94" w14:textId="77777777" w:rsidTr="001F5DFF">
        <w:trPr>
          <w:tblCellSpacing w:w="15" w:type="dxa"/>
        </w:trPr>
        <w:tc>
          <w:tcPr>
            <w:tcW w:w="0" w:type="auto"/>
            <w:vAlign w:val="center"/>
            <w:hideMark/>
          </w:tcPr>
          <w:p w14:paraId="76D74BF6" w14:textId="77777777" w:rsidR="001F5DFF" w:rsidRDefault="001F5DFF">
            <w:r>
              <w:t>Environment</w:t>
            </w:r>
          </w:p>
        </w:tc>
        <w:tc>
          <w:tcPr>
            <w:tcW w:w="0" w:type="auto"/>
            <w:vAlign w:val="center"/>
            <w:hideMark/>
          </w:tcPr>
          <w:p w14:paraId="3C8A0CC3" w14:textId="77777777" w:rsidR="001F5DFF" w:rsidRDefault="001F5DFF">
            <w:r>
              <w:t>Number of non-compliance incidents</w:t>
            </w:r>
          </w:p>
        </w:tc>
        <w:tc>
          <w:tcPr>
            <w:tcW w:w="0" w:type="auto"/>
            <w:vAlign w:val="center"/>
            <w:hideMark/>
          </w:tcPr>
          <w:p w14:paraId="17185A00" w14:textId="77777777" w:rsidR="001F5DFF" w:rsidRDefault="001F5DFF">
            <w:r>
              <w:t>0</w:t>
            </w:r>
          </w:p>
        </w:tc>
      </w:tr>
      <w:tr w:rsidR="001F5DFF" w14:paraId="0A4611EB" w14:textId="77777777" w:rsidTr="001F5DFF">
        <w:trPr>
          <w:tblCellSpacing w:w="15" w:type="dxa"/>
        </w:trPr>
        <w:tc>
          <w:tcPr>
            <w:tcW w:w="0" w:type="auto"/>
            <w:vAlign w:val="center"/>
            <w:hideMark/>
          </w:tcPr>
          <w:p w14:paraId="17A1BFAC" w14:textId="77777777" w:rsidR="001F5DFF" w:rsidRDefault="001F5DFF">
            <w:r>
              <w:t>Stakeholder Satisfaction</w:t>
            </w:r>
          </w:p>
        </w:tc>
        <w:tc>
          <w:tcPr>
            <w:tcW w:w="0" w:type="auto"/>
            <w:vAlign w:val="center"/>
            <w:hideMark/>
          </w:tcPr>
          <w:p w14:paraId="3342DD09" w14:textId="77777777" w:rsidR="001F5DFF" w:rsidRDefault="001F5DFF">
            <w:r>
              <w:t>Positive feedback from consultations</w:t>
            </w:r>
          </w:p>
        </w:tc>
        <w:tc>
          <w:tcPr>
            <w:tcW w:w="0" w:type="auto"/>
            <w:vAlign w:val="center"/>
            <w:hideMark/>
          </w:tcPr>
          <w:p w14:paraId="27267AE9" w14:textId="77777777" w:rsidR="001F5DFF" w:rsidRDefault="001F5DFF">
            <w:r>
              <w:t>≥ 80 %</w:t>
            </w:r>
          </w:p>
        </w:tc>
      </w:tr>
      <w:tr w:rsidR="001F5DFF" w14:paraId="52ED3248" w14:textId="77777777" w:rsidTr="001F5DFF">
        <w:trPr>
          <w:tblCellSpacing w:w="15" w:type="dxa"/>
        </w:trPr>
        <w:tc>
          <w:tcPr>
            <w:tcW w:w="0" w:type="auto"/>
            <w:vAlign w:val="center"/>
          </w:tcPr>
          <w:p w14:paraId="1CE80E43" w14:textId="77777777" w:rsidR="001F5DFF" w:rsidRDefault="001F5DFF"/>
        </w:tc>
        <w:tc>
          <w:tcPr>
            <w:tcW w:w="0" w:type="auto"/>
            <w:vAlign w:val="center"/>
          </w:tcPr>
          <w:p w14:paraId="0D77D2EB" w14:textId="77777777" w:rsidR="001F5DFF" w:rsidRDefault="001F5DFF"/>
        </w:tc>
        <w:tc>
          <w:tcPr>
            <w:tcW w:w="0" w:type="auto"/>
            <w:vAlign w:val="center"/>
          </w:tcPr>
          <w:p w14:paraId="48E34C26" w14:textId="77777777" w:rsidR="001F5DFF" w:rsidRDefault="001F5DFF"/>
        </w:tc>
      </w:tr>
    </w:tbl>
    <w:p w14:paraId="6370A227" w14:textId="77777777" w:rsidR="001F5DFF" w:rsidRDefault="001F5DFF" w:rsidP="000E4889">
      <w:pPr>
        <w:pStyle w:val="NoSpacing"/>
        <w:rPr>
          <w:lang w:eastAsia="en-GB"/>
        </w:rPr>
      </w:pPr>
    </w:p>
    <w:p w14:paraId="7C05F38E" w14:textId="6D3D5B9E" w:rsidR="002A775A" w:rsidRPr="003C1145" w:rsidRDefault="002A775A" w:rsidP="000E4889">
      <w:pPr>
        <w:pStyle w:val="NoSpacing"/>
        <w:rPr>
          <w:lang w:eastAsia="en-GB"/>
        </w:rPr>
      </w:pPr>
      <w:r w:rsidRPr="003C1145">
        <w:rPr>
          <w:lang w:eastAsia="en-GB"/>
        </w:rPr>
        <w:t>The monthly performance reviews will be incorporated in the purposes of corrective-action plans, which will provide emergent issues to be discussed prior to impacting the project outcomes.</w:t>
      </w:r>
    </w:p>
    <w:p w14:paraId="0B5D8F64" w14:textId="77777777" w:rsidR="002A775A" w:rsidRPr="003C1145" w:rsidRDefault="002A775A" w:rsidP="000E4889">
      <w:pPr>
        <w:pStyle w:val="NoSpacing"/>
        <w:rPr>
          <w:lang w:eastAsia="en-GB"/>
        </w:rPr>
      </w:pPr>
    </w:p>
    <w:p w14:paraId="1F52AC19" w14:textId="77777777" w:rsidR="002A775A" w:rsidRPr="00870380" w:rsidRDefault="002A775A" w:rsidP="000E4889">
      <w:pPr>
        <w:pStyle w:val="NoSpacing"/>
        <w:rPr>
          <w:b/>
          <w:bCs/>
          <w:lang w:eastAsia="en-GB"/>
        </w:rPr>
      </w:pPr>
      <w:r w:rsidRPr="00870380">
        <w:rPr>
          <w:b/>
          <w:bCs/>
          <w:lang w:eastAsia="en-GB"/>
        </w:rPr>
        <w:t>Change Management</w:t>
      </w:r>
    </w:p>
    <w:p w14:paraId="41A0FA79" w14:textId="77777777" w:rsidR="002A775A" w:rsidRPr="003C1145" w:rsidRDefault="002A775A" w:rsidP="000E4889">
      <w:pPr>
        <w:pStyle w:val="NoSpacing"/>
        <w:rPr>
          <w:lang w:eastAsia="en-GB"/>
        </w:rPr>
      </w:pPr>
      <w:r w:rsidRPr="003C1145">
        <w:rPr>
          <w:lang w:eastAsia="en-GB"/>
        </w:rPr>
        <w:t>Any changes in the scope, budget or schedule will be through a formalised change-control process:</w:t>
      </w:r>
    </w:p>
    <w:p w14:paraId="57B5C10F" w14:textId="77777777" w:rsidR="002A775A" w:rsidRPr="003C1145" w:rsidRDefault="002A775A" w:rsidP="000E4889">
      <w:pPr>
        <w:pStyle w:val="NoSpacing"/>
        <w:rPr>
          <w:lang w:eastAsia="en-GB"/>
        </w:rPr>
      </w:pPr>
      <w:r w:rsidRPr="003C1145">
        <w:rPr>
          <w:lang w:eastAsia="en-GB"/>
        </w:rPr>
        <w:t>Change Request Form by the responsible manager.</w:t>
      </w:r>
    </w:p>
    <w:p w14:paraId="72BC32C4" w14:textId="77777777" w:rsidR="002A775A" w:rsidRPr="003C1145" w:rsidRDefault="002A775A" w:rsidP="000E4889">
      <w:pPr>
        <w:pStyle w:val="NoSpacing"/>
        <w:rPr>
          <w:lang w:eastAsia="en-GB"/>
        </w:rPr>
      </w:pPr>
      <w:r w:rsidRPr="003C1145">
        <w:rPr>
          <w:lang w:eastAsia="en-GB"/>
        </w:rPr>
        <w:t>Cost, Time, Quality Impact Assessment.</w:t>
      </w:r>
    </w:p>
    <w:p w14:paraId="38F46CA2" w14:textId="77777777" w:rsidR="002A775A" w:rsidRPr="003C1145" w:rsidRDefault="002A775A" w:rsidP="000E4889">
      <w:pPr>
        <w:pStyle w:val="NoSpacing"/>
        <w:rPr>
          <w:lang w:eastAsia="en-GB"/>
        </w:rPr>
      </w:pPr>
      <w:r w:rsidRPr="003C1145">
        <w:rPr>
          <w:lang w:eastAsia="en-GB"/>
        </w:rPr>
        <w:t>Steering Committee Review and Approval.</w:t>
      </w:r>
    </w:p>
    <w:p w14:paraId="13F85E31" w14:textId="77777777" w:rsidR="002A775A" w:rsidRPr="003C1145" w:rsidRDefault="002A775A" w:rsidP="000E4889">
      <w:pPr>
        <w:pStyle w:val="NoSpacing"/>
        <w:rPr>
          <w:lang w:eastAsia="en-GB"/>
        </w:rPr>
      </w:pPr>
      <w:r w:rsidRPr="003C1145">
        <w:rPr>
          <w:lang w:eastAsia="en-GB"/>
        </w:rPr>
        <w:t>Modification of project documentation and baselines.</w:t>
      </w:r>
    </w:p>
    <w:p w14:paraId="3A424163" w14:textId="77777777" w:rsidR="002A775A" w:rsidRPr="003C1145" w:rsidRDefault="002A775A" w:rsidP="000E4889">
      <w:pPr>
        <w:pStyle w:val="NoSpacing"/>
        <w:rPr>
          <w:lang w:eastAsia="en-GB"/>
        </w:rPr>
      </w:pPr>
      <w:r w:rsidRPr="003C1145">
        <w:rPr>
          <w:lang w:eastAsia="en-GB"/>
        </w:rPr>
        <w:t>This process also keeps track of it and eliminates uncontrolled variations to ensure the decisions are transparent and justifiable (Burke, 2018).</w:t>
      </w:r>
    </w:p>
    <w:p w14:paraId="1AD346AA" w14:textId="77777777" w:rsidR="002A775A" w:rsidRPr="003C1145" w:rsidRDefault="002A775A" w:rsidP="000E4889">
      <w:pPr>
        <w:pStyle w:val="NoSpacing"/>
        <w:rPr>
          <w:lang w:eastAsia="en-GB"/>
        </w:rPr>
      </w:pPr>
    </w:p>
    <w:p w14:paraId="364A971D" w14:textId="77777777" w:rsidR="002A775A" w:rsidRPr="000C405A" w:rsidRDefault="002A775A" w:rsidP="000E4889">
      <w:pPr>
        <w:pStyle w:val="NoSpacing"/>
        <w:rPr>
          <w:b/>
          <w:bCs/>
          <w:lang w:eastAsia="en-GB"/>
        </w:rPr>
      </w:pPr>
      <w:r w:rsidRPr="000C405A">
        <w:rPr>
          <w:b/>
          <w:bCs/>
          <w:lang w:eastAsia="en-GB"/>
        </w:rPr>
        <w:t>Lessons learned and Closure of the project.</w:t>
      </w:r>
    </w:p>
    <w:p w14:paraId="66940594" w14:textId="77777777" w:rsidR="002A775A" w:rsidRPr="003C1145" w:rsidRDefault="002A775A" w:rsidP="000E4889">
      <w:pPr>
        <w:pStyle w:val="NoSpacing"/>
        <w:rPr>
          <w:lang w:eastAsia="en-GB"/>
        </w:rPr>
      </w:pPr>
      <w:r w:rsidRPr="003C1145">
        <w:rPr>
          <w:lang w:eastAsia="en-GB"/>
        </w:rPr>
        <w:t>Closure activities ensure fine-tuning to operations:</w:t>
      </w:r>
    </w:p>
    <w:p w14:paraId="57A6FAFF" w14:textId="281FABE3" w:rsidR="002A775A" w:rsidRPr="003C1145" w:rsidRDefault="002A775A" w:rsidP="000E4889">
      <w:pPr>
        <w:pStyle w:val="NoSpacing"/>
        <w:rPr>
          <w:lang w:eastAsia="en-GB"/>
        </w:rPr>
      </w:pPr>
      <w:r w:rsidRPr="003C1145">
        <w:rPr>
          <w:lang w:eastAsia="en-GB"/>
        </w:rPr>
        <w:t>All structures finally tested and certified.</w:t>
      </w:r>
    </w:p>
    <w:p w14:paraId="3BF7E89F" w14:textId="6211F270" w:rsidR="002A775A" w:rsidRPr="003C1145" w:rsidRDefault="002A775A" w:rsidP="000E4889">
      <w:pPr>
        <w:pStyle w:val="NoSpacing"/>
        <w:rPr>
          <w:lang w:eastAsia="en-GB"/>
        </w:rPr>
      </w:pPr>
      <w:r w:rsidRPr="003C1145">
        <w:rPr>
          <w:lang w:eastAsia="en-GB"/>
        </w:rPr>
        <w:t>Preparation of handover manuals, as-built drawings and maintenance manuals.</w:t>
      </w:r>
    </w:p>
    <w:p w14:paraId="30A3E964" w14:textId="658E9DC2" w:rsidR="002A775A" w:rsidRPr="003C1145" w:rsidRDefault="002A775A" w:rsidP="000E4889">
      <w:pPr>
        <w:pStyle w:val="NoSpacing"/>
        <w:rPr>
          <w:lang w:eastAsia="en-GB"/>
        </w:rPr>
      </w:pPr>
      <w:r w:rsidRPr="003C1145">
        <w:rPr>
          <w:lang w:eastAsia="en-GB"/>
        </w:rPr>
        <w:t>Economic closure that all accounts were checked.</w:t>
      </w:r>
    </w:p>
    <w:p w14:paraId="1B3D5BB3" w14:textId="77777777" w:rsidR="002A775A" w:rsidRPr="003C1145" w:rsidRDefault="002A775A" w:rsidP="000E4889">
      <w:pPr>
        <w:pStyle w:val="NoSpacing"/>
        <w:rPr>
          <w:lang w:eastAsia="en-GB"/>
        </w:rPr>
      </w:pPr>
      <w:r w:rsidRPr="003C1145">
        <w:rPr>
          <w:lang w:eastAsia="en-GB"/>
        </w:rPr>
        <w:t>Lessons learned Post project evaluation workshop.</w:t>
      </w:r>
    </w:p>
    <w:p w14:paraId="1BF3A89D" w14:textId="77777777" w:rsidR="002A775A" w:rsidRPr="003C1145" w:rsidRDefault="002A775A" w:rsidP="000E4889">
      <w:pPr>
        <w:pStyle w:val="NoSpacing"/>
        <w:rPr>
          <w:lang w:eastAsia="en-GB"/>
        </w:rPr>
      </w:pPr>
      <w:r w:rsidRPr="003C1145">
        <w:rPr>
          <w:lang w:eastAsia="en-GB"/>
        </w:rPr>
        <w:t>Cases will be recorded to guide the future provincial infrastructure projects, allowing the continuity of improvement (Kerzner, 2022).</w:t>
      </w:r>
    </w:p>
    <w:p w14:paraId="6D98468E" w14:textId="77777777" w:rsidR="002A775A" w:rsidRPr="003C1145" w:rsidRDefault="002A775A" w:rsidP="000E4889">
      <w:pPr>
        <w:pStyle w:val="NoSpacing"/>
        <w:rPr>
          <w:lang w:eastAsia="en-GB"/>
        </w:rPr>
      </w:pPr>
    </w:p>
    <w:p w14:paraId="05D7A648" w14:textId="77777777" w:rsidR="002A775A" w:rsidRPr="000C405A" w:rsidRDefault="002A775A" w:rsidP="000E4889">
      <w:pPr>
        <w:pStyle w:val="NoSpacing"/>
        <w:rPr>
          <w:b/>
          <w:bCs/>
          <w:lang w:eastAsia="en-GB"/>
        </w:rPr>
      </w:pPr>
      <w:r w:rsidRPr="000C405A">
        <w:rPr>
          <w:b/>
          <w:bCs/>
          <w:lang w:eastAsia="en-GB"/>
        </w:rPr>
        <w:t>Conclusion</w:t>
      </w:r>
    </w:p>
    <w:p w14:paraId="3D12D2D3" w14:textId="77777777" w:rsidR="002A775A" w:rsidRPr="003C1145" w:rsidRDefault="002A775A" w:rsidP="000E4889">
      <w:pPr>
        <w:pStyle w:val="NoSpacing"/>
        <w:rPr>
          <w:lang w:eastAsia="en-GB"/>
        </w:rPr>
      </w:pPr>
      <w:r w:rsidRPr="003C1145">
        <w:rPr>
          <w:lang w:eastAsia="en-GB"/>
        </w:rPr>
        <w:t>The Rebuilding the Principal Transportation Corridor Project is also an element of the climate-resilient infrastructure strategy of BC. The project will enhance important connectivity by applying robust governance, risk proliferation, and environmental sustainability by adhering to the systematic application of PMBOK(r) to future disasters, thereby protecting future communities.</w:t>
      </w:r>
    </w:p>
    <w:p w14:paraId="225C8A2B" w14:textId="162ECB1C" w:rsidR="000F1417" w:rsidRPr="003C1145" w:rsidRDefault="002A775A" w:rsidP="000E4889">
      <w:pPr>
        <w:pStyle w:val="NoSpacing"/>
        <w:rPr>
          <w:lang w:eastAsia="en-GB"/>
        </w:rPr>
      </w:pPr>
      <w:r w:rsidRPr="003C1145">
        <w:rPr>
          <w:lang w:eastAsia="en-GB"/>
        </w:rPr>
        <w:t>In addition to reconstruction, it provides a standard of sustainable infrastructure provision in Canada, that environmentally responsible actions and economic development do not have to be at odds. The combined attention to resilience, cooperation with the stakeholders, and quality assurance of the project is guaranteed to make the transportation network of BC a steady base of the social and economical wellbeing in the coming decades.</w:t>
      </w:r>
    </w:p>
    <w:p w14:paraId="12F5E30D" w14:textId="5E866E20" w:rsidR="00C737B7" w:rsidRPr="003C1145" w:rsidRDefault="00C737B7" w:rsidP="000E4889">
      <w:pPr>
        <w:pStyle w:val="NoSpacing"/>
        <w:rPr>
          <w:lang w:eastAsia="en-GB"/>
        </w:rPr>
      </w:pPr>
    </w:p>
    <w:p w14:paraId="7E1413AE" w14:textId="77777777" w:rsidR="00C737B7" w:rsidRPr="003C1145" w:rsidRDefault="00C737B7" w:rsidP="000E4889">
      <w:pPr>
        <w:pStyle w:val="NoSpacing"/>
        <w:rPr>
          <w:b/>
          <w:bCs/>
          <w:color w:val="000000"/>
          <w:sz w:val="36"/>
          <w:szCs w:val="36"/>
          <w:lang w:eastAsia="en-GB"/>
        </w:rPr>
      </w:pPr>
      <w:r w:rsidRPr="003C1145">
        <w:rPr>
          <w:b/>
          <w:bCs/>
          <w:color w:val="000000"/>
          <w:sz w:val="36"/>
          <w:szCs w:val="36"/>
          <w:lang w:eastAsia="en-GB"/>
        </w:rPr>
        <w:t>References</w:t>
      </w:r>
    </w:p>
    <w:p w14:paraId="6343EF9F" w14:textId="77777777" w:rsidR="00C737B7" w:rsidRPr="003C1145" w:rsidRDefault="00C737B7" w:rsidP="000E4889">
      <w:pPr>
        <w:pStyle w:val="NoSpacing"/>
        <w:rPr>
          <w:color w:val="000000"/>
          <w:lang w:eastAsia="en-GB"/>
        </w:rPr>
      </w:pPr>
      <w:r w:rsidRPr="003C1145">
        <w:rPr>
          <w:color w:val="000000"/>
          <w:lang w:eastAsia="en-GB"/>
        </w:rPr>
        <w:t>Burke, R. (2018) </w:t>
      </w:r>
      <w:r w:rsidRPr="003C1145">
        <w:rPr>
          <w:i/>
          <w:iCs/>
          <w:color w:val="000000"/>
          <w:lang w:eastAsia="en-GB"/>
        </w:rPr>
        <w:t>Project Management: Planning and Control Techniques.</w:t>
      </w:r>
      <w:r w:rsidRPr="003C1145">
        <w:rPr>
          <w:color w:val="000000"/>
          <w:lang w:eastAsia="en-GB"/>
        </w:rPr>
        <w:t> 6th ed. Wiley, Hoboken.</w:t>
      </w:r>
      <w:r w:rsidRPr="003C1145">
        <w:rPr>
          <w:color w:val="000000"/>
          <w:lang w:eastAsia="en-GB"/>
        </w:rPr>
        <w:br/>
        <w:t>Fleming, Q.W. and Koppelman, J.M. (2019) </w:t>
      </w:r>
      <w:r w:rsidRPr="003C1145">
        <w:rPr>
          <w:i/>
          <w:iCs/>
          <w:color w:val="000000"/>
          <w:lang w:eastAsia="en-GB"/>
        </w:rPr>
        <w:t>Earned Value Project Management.</w:t>
      </w:r>
      <w:r w:rsidRPr="003C1145">
        <w:rPr>
          <w:color w:val="000000"/>
          <w:lang w:eastAsia="en-GB"/>
        </w:rPr>
        <w:t> 5th ed. Project Management Institute, Newtown Square, PA.</w:t>
      </w:r>
      <w:r w:rsidRPr="003C1145">
        <w:rPr>
          <w:color w:val="000000"/>
          <w:lang w:eastAsia="en-GB"/>
        </w:rPr>
        <w:br/>
        <w:t>Government of British Columbia (2023) </w:t>
      </w:r>
      <w:r w:rsidRPr="003C1145">
        <w:rPr>
          <w:i/>
          <w:iCs/>
          <w:color w:val="000000"/>
          <w:lang w:eastAsia="en-GB"/>
        </w:rPr>
        <w:t>Flood Recovery and Infrastructure Resilience Program.</w:t>
      </w:r>
      <w:r w:rsidRPr="003C1145">
        <w:rPr>
          <w:color w:val="000000"/>
          <w:lang w:eastAsia="en-GB"/>
        </w:rPr>
        <w:t> Victoria: BC Ministry of Transportation and Infrastructure.</w:t>
      </w:r>
      <w:r w:rsidRPr="003C1145">
        <w:rPr>
          <w:color w:val="000000"/>
          <w:lang w:eastAsia="en-GB"/>
        </w:rPr>
        <w:br/>
        <w:t>Infrastructure Canada (2023) </w:t>
      </w:r>
      <w:r w:rsidRPr="003C1145">
        <w:rPr>
          <w:i/>
          <w:iCs/>
          <w:color w:val="000000"/>
          <w:lang w:eastAsia="en-GB"/>
        </w:rPr>
        <w:t>Sustainable Infrastructure Guidelines.</w:t>
      </w:r>
      <w:r w:rsidRPr="003C1145">
        <w:rPr>
          <w:color w:val="000000"/>
          <w:lang w:eastAsia="en-GB"/>
        </w:rPr>
        <w:t> Ottawa: Government of Canada.</w:t>
      </w:r>
      <w:r w:rsidRPr="003C1145">
        <w:rPr>
          <w:color w:val="000000"/>
          <w:lang w:eastAsia="en-GB"/>
        </w:rPr>
        <w:br/>
        <w:t>Kerzner, H. (2022) </w:t>
      </w:r>
      <w:r w:rsidRPr="003C1145">
        <w:rPr>
          <w:i/>
          <w:iCs/>
          <w:color w:val="000000"/>
          <w:lang w:eastAsia="en-GB"/>
        </w:rPr>
        <w:t>Project Management: A Systems Approach to Planning, Scheduling, and Controlling.</w:t>
      </w:r>
      <w:r w:rsidRPr="003C1145">
        <w:rPr>
          <w:color w:val="000000"/>
          <w:lang w:eastAsia="en-GB"/>
        </w:rPr>
        <w:t> 13th ed. Wiley, Hoboken.</w:t>
      </w:r>
      <w:r w:rsidRPr="003C1145">
        <w:rPr>
          <w:color w:val="000000"/>
          <w:lang w:eastAsia="en-GB"/>
        </w:rPr>
        <w:br/>
        <w:t>Project Management Institute (PMI) (2021) </w:t>
      </w:r>
      <w:r w:rsidRPr="003C1145">
        <w:rPr>
          <w:i/>
          <w:iCs/>
          <w:color w:val="000000"/>
          <w:lang w:eastAsia="en-GB"/>
        </w:rPr>
        <w:t>A Guide to the Project Management Body of Knowledge (PMBOK® Guide).</w:t>
      </w:r>
      <w:r w:rsidRPr="003C1145">
        <w:rPr>
          <w:color w:val="000000"/>
          <w:lang w:eastAsia="en-GB"/>
        </w:rPr>
        <w:t>7th ed. PMI, Newtown Square, PA.</w:t>
      </w:r>
      <w:r w:rsidRPr="003C1145">
        <w:rPr>
          <w:color w:val="000000"/>
          <w:lang w:eastAsia="en-GB"/>
        </w:rPr>
        <w:br/>
        <w:t>Public Safety Canada (2023) </w:t>
      </w:r>
      <w:r w:rsidRPr="003C1145">
        <w:rPr>
          <w:i/>
          <w:iCs/>
          <w:color w:val="000000"/>
          <w:lang w:eastAsia="en-GB"/>
        </w:rPr>
        <w:t>National Disaster Mitigation Program Annual Report 2022–23.</w:t>
      </w:r>
      <w:r w:rsidRPr="003C1145">
        <w:rPr>
          <w:color w:val="000000"/>
          <w:lang w:eastAsia="en-GB"/>
        </w:rPr>
        <w:t> Ottawa: Government of Canada.</w:t>
      </w:r>
      <w:r w:rsidRPr="003C1145">
        <w:rPr>
          <w:color w:val="000000"/>
          <w:lang w:eastAsia="en-GB"/>
        </w:rPr>
        <w:br/>
        <w:t>Treasury Board of Canada Secretariat (2023) </w:t>
      </w:r>
      <w:r w:rsidRPr="003C1145">
        <w:rPr>
          <w:i/>
          <w:iCs/>
          <w:color w:val="000000"/>
          <w:lang w:eastAsia="en-GB"/>
        </w:rPr>
        <w:t>Contract Management Framework for Public Projects.</w:t>
      </w:r>
      <w:r w:rsidRPr="003C1145">
        <w:rPr>
          <w:color w:val="000000"/>
          <w:lang w:eastAsia="en-GB"/>
        </w:rPr>
        <w:t> Ottawa: Government of Canada.</w:t>
      </w:r>
      <w:r w:rsidRPr="003C1145">
        <w:rPr>
          <w:color w:val="000000"/>
          <w:lang w:eastAsia="en-GB"/>
        </w:rPr>
        <w:br/>
        <w:t>United Nations (2015) </w:t>
      </w:r>
      <w:r w:rsidRPr="003C1145">
        <w:rPr>
          <w:i/>
          <w:iCs/>
          <w:color w:val="000000"/>
          <w:lang w:eastAsia="en-GB"/>
        </w:rPr>
        <w:t>Transforming Our World: the 2030 Agenda for Sustainable Development.</w:t>
      </w:r>
      <w:r w:rsidRPr="003C1145">
        <w:rPr>
          <w:color w:val="000000"/>
          <w:lang w:eastAsia="en-GB"/>
        </w:rPr>
        <w:t> New York: UN.</w:t>
      </w:r>
      <w:r w:rsidRPr="003C1145">
        <w:rPr>
          <w:color w:val="000000"/>
          <w:lang w:eastAsia="en-GB"/>
        </w:rPr>
        <w:br/>
        <w:t>WorkSafeBC (2022) </w:t>
      </w:r>
      <w:r w:rsidRPr="003C1145">
        <w:rPr>
          <w:i/>
          <w:iCs/>
          <w:color w:val="000000"/>
          <w:lang w:eastAsia="en-GB"/>
        </w:rPr>
        <w:t>Occupational Health and Safety Regulation.</w:t>
      </w:r>
      <w:r w:rsidRPr="003C1145">
        <w:rPr>
          <w:color w:val="000000"/>
          <w:lang w:eastAsia="en-GB"/>
        </w:rPr>
        <w:t> Richmond: WorkSafeBC.</w:t>
      </w:r>
    </w:p>
    <w:p w14:paraId="404C98E1" w14:textId="33E8E0DB" w:rsidR="00C737B7" w:rsidRPr="003C1145" w:rsidRDefault="00C737B7" w:rsidP="000E4889">
      <w:pPr>
        <w:pStyle w:val="NoSpacing"/>
        <w:rPr>
          <w:lang w:eastAsia="en-GB"/>
        </w:rPr>
      </w:pPr>
    </w:p>
    <w:p w14:paraId="195933E8" w14:textId="77777777" w:rsidR="00D429C3" w:rsidRPr="003C1145" w:rsidRDefault="00D429C3" w:rsidP="000E4889">
      <w:pPr>
        <w:pStyle w:val="NoSpacing"/>
        <w:rPr>
          <w:lang w:eastAsia="en-GB"/>
        </w:rPr>
      </w:pPr>
    </w:p>
    <w:p w14:paraId="4A95F02B" w14:textId="033C1B1D" w:rsidR="00D16AE8" w:rsidRPr="003C1145" w:rsidRDefault="00D16AE8" w:rsidP="000E4889">
      <w:pPr>
        <w:pStyle w:val="NoSpacing"/>
        <w:rPr>
          <w:lang w:eastAsia="en-GB"/>
        </w:rPr>
      </w:pPr>
    </w:p>
    <w:p w14:paraId="127BAFB4" w14:textId="77777777" w:rsidR="0050694C" w:rsidRPr="003C1145" w:rsidRDefault="0050694C" w:rsidP="000E4889">
      <w:pPr>
        <w:pStyle w:val="NoSpacing"/>
      </w:pPr>
    </w:p>
    <w:sectPr w:rsidR="0050694C" w:rsidRPr="003C11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11764"/>
    <w:multiLevelType w:val="multilevel"/>
    <w:tmpl w:val="F81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55E24"/>
    <w:multiLevelType w:val="multilevel"/>
    <w:tmpl w:val="B394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016FB"/>
    <w:multiLevelType w:val="multilevel"/>
    <w:tmpl w:val="9E18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746187"/>
    <w:multiLevelType w:val="multilevel"/>
    <w:tmpl w:val="84A2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B5A04"/>
    <w:multiLevelType w:val="multilevel"/>
    <w:tmpl w:val="32A8C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D0200E"/>
    <w:multiLevelType w:val="multilevel"/>
    <w:tmpl w:val="E61E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771920"/>
    <w:multiLevelType w:val="multilevel"/>
    <w:tmpl w:val="0F661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DA6D89"/>
    <w:multiLevelType w:val="multilevel"/>
    <w:tmpl w:val="02921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FE28C5"/>
    <w:multiLevelType w:val="multilevel"/>
    <w:tmpl w:val="9EFC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570D4"/>
    <w:multiLevelType w:val="multilevel"/>
    <w:tmpl w:val="71F6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2760E8"/>
    <w:multiLevelType w:val="multilevel"/>
    <w:tmpl w:val="EAAC6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FA60E8"/>
    <w:multiLevelType w:val="multilevel"/>
    <w:tmpl w:val="F7A05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45265A"/>
    <w:multiLevelType w:val="multilevel"/>
    <w:tmpl w:val="E740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5C6BBA"/>
    <w:multiLevelType w:val="multilevel"/>
    <w:tmpl w:val="FFD8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1D4F93"/>
    <w:multiLevelType w:val="multilevel"/>
    <w:tmpl w:val="072C7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7F6E25"/>
    <w:multiLevelType w:val="multilevel"/>
    <w:tmpl w:val="86BA0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CC041B"/>
    <w:multiLevelType w:val="multilevel"/>
    <w:tmpl w:val="6550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A93824"/>
    <w:multiLevelType w:val="multilevel"/>
    <w:tmpl w:val="E418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054ABD"/>
    <w:multiLevelType w:val="multilevel"/>
    <w:tmpl w:val="E05E1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C00E09"/>
    <w:multiLevelType w:val="multilevel"/>
    <w:tmpl w:val="215C4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11E224B"/>
    <w:multiLevelType w:val="multilevel"/>
    <w:tmpl w:val="9FB2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236422"/>
    <w:multiLevelType w:val="multilevel"/>
    <w:tmpl w:val="74AA2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7B466C"/>
    <w:multiLevelType w:val="multilevel"/>
    <w:tmpl w:val="C844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E638CF"/>
    <w:multiLevelType w:val="multilevel"/>
    <w:tmpl w:val="4BBCF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5DA6187"/>
    <w:multiLevelType w:val="multilevel"/>
    <w:tmpl w:val="AB22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FC4583"/>
    <w:multiLevelType w:val="multilevel"/>
    <w:tmpl w:val="CBE80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036947"/>
    <w:multiLevelType w:val="multilevel"/>
    <w:tmpl w:val="3AB2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CD2D89"/>
    <w:multiLevelType w:val="multilevel"/>
    <w:tmpl w:val="4C54B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EE1AC6"/>
    <w:multiLevelType w:val="multilevel"/>
    <w:tmpl w:val="BC6E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1966DB"/>
    <w:multiLevelType w:val="multilevel"/>
    <w:tmpl w:val="776A7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7908F4"/>
    <w:multiLevelType w:val="multilevel"/>
    <w:tmpl w:val="6CE8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CF4119"/>
    <w:multiLevelType w:val="multilevel"/>
    <w:tmpl w:val="4608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160ED2"/>
    <w:multiLevelType w:val="multilevel"/>
    <w:tmpl w:val="A7AE4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057F37"/>
    <w:multiLevelType w:val="multilevel"/>
    <w:tmpl w:val="7F2A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1DE50F8"/>
    <w:multiLevelType w:val="multilevel"/>
    <w:tmpl w:val="07106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E10031"/>
    <w:multiLevelType w:val="multilevel"/>
    <w:tmpl w:val="E796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657900"/>
    <w:multiLevelType w:val="multilevel"/>
    <w:tmpl w:val="7EFE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2B577C"/>
    <w:multiLevelType w:val="multilevel"/>
    <w:tmpl w:val="D966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06304E"/>
    <w:multiLevelType w:val="multilevel"/>
    <w:tmpl w:val="D16C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A74059"/>
    <w:multiLevelType w:val="multilevel"/>
    <w:tmpl w:val="8D2A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4838CE"/>
    <w:multiLevelType w:val="multilevel"/>
    <w:tmpl w:val="FD44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226663"/>
    <w:multiLevelType w:val="multilevel"/>
    <w:tmpl w:val="3DA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450771C"/>
    <w:multiLevelType w:val="multilevel"/>
    <w:tmpl w:val="8E80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46F2947"/>
    <w:multiLevelType w:val="multilevel"/>
    <w:tmpl w:val="7A08F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F103A7"/>
    <w:multiLevelType w:val="multilevel"/>
    <w:tmpl w:val="A76A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A086B66"/>
    <w:multiLevelType w:val="multilevel"/>
    <w:tmpl w:val="FFE0D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EE4E9B"/>
    <w:multiLevelType w:val="multilevel"/>
    <w:tmpl w:val="B9544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B2A53C3"/>
    <w:multiLevelType w:val="multilevel"/>
    <w:tmpl w:val="40DC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B86DAD"/>
    <w:multiLevelType w:val="multilevel"/>
    <w:tmpl w:val="99B8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D67690"/>
    <w:multiLevelType w:val="multilevel"/>
    <w:tmpl w:val="9E20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282041"/>
    <w:multiLevelType w:val="multilevel"/>
    <w:tmpl w:val="3A3A2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2030C6"/>
    <w:multiLevelType w:val="multilevel"/>
    <w:tmpl w:val="97EC9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357539"/>
    <w:multiLevelType w:val="multilevel"/>
    <w:tmpl w:val="C8D64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28782B"/>
    <w:multiLevelType w:val="multilevel"/>
    <w:tmpl w:val="9B08E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54E685A"/>
    <w:multiLevelType w:val="multilevel"/>
    <w:tmpl w:val="FF30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56849CB"/>
    <w:multiLevelType w:val="multilevel"/>
    <w:tmpl w:val="82EE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4257BC"/>
    <w:multiLevelType w:val="multilevel"/>
    <w:tmpl w:val="003A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7E7FA3"/>
    <w:multiLevelType w:val="multilevel"/>
    <w:tmpl w:val="D9484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A676508"/>
    <w:multiLevelType w:val="multilevel"/>
    <w:tmpl w:val="6550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6278CE"/>
    <w:multiLevelType w:val="multilevel"/>
    <w:tmpl w:val="71042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C4474EF"/>
    <w:multiLevelType w:val="multilevel"/>
    <w:tmpl w:val="9E886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840D74"/>
    <w:multiLevelType w:val="multilevel"/>
    <w:tmpl w:val="88DE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362B20"/>
    <w:multiLevelType w:val="multilevel"/>
    <w:tmpl w:val="282E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524543"/>
    <w:multiLevelType w:val="multilevel"/>
    <w:tmpl w:val="DC78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F6C6C8C"/>
    <w:multiLevelType w:val="multilevel"/>
    <w:tmpl w:val="12383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16216F"/>
    <w:multiLevelType w:val="multilevel"/>
    <w:tmpl w:val="A412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3A921CB"/>
    <w:multiLevelType w:val="multilevel"/>
    <w:tmpl w:val="47CA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6F16595"/>
    <w:multiLevelType w:val="multilevel"/>
    <w:tmpl w:val="9312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88E62C5"/>
    <w:multiLevelType w:val="multilevel"/>
    <w:tmpl w:val="C8B69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9E82BCA"/>
    <w:multiLevelType w:val="multilevel"/>
    <w:tmpl w:val="57DE7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ABD1279"/>
    <w:multiLevelType w:val="multilevel"/>
    <w:tmpl w:val="C8F6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C7174D5"/>
    <w:multiLevelType w:val="multilevel"/>
    <w:tmpl w:val="E304C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D744EBA"/>
    <w:multiLevelType w:val="multilevel"/>
    <w:tmpl w:val="DD92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E6E441D"/>
    <w:multiLevelType w:val="multilevel"/>
    <w:tmpl w:val="B2E6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F0269B0"/>
    <w:multiLevelType w:val="multilevel"/>
    <w:tmpl w:val="AB0C6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850994"/>
    <w:multiLevelType w:val="multilevel"/>
    <w:tmpl w:val="2220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22366FD"/>
    <w:multiLevelType w:val="multilevel"/>
    <w:tmpl w:val="9304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38A40D4"/>
    <w:multiLevelType w:val="multilevel"/>
    <w:tmpl w:val="86A2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48E4F3E"/>
    <w:multiLevelType w:val="multilevel"/>
    <w:tmpl w:val="95127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6E0467B"/>
    <w:multiLevelType w:val="multilevel"/>
    <w:tmpl w:val="57A4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CA22FA5"/>
    <w:multiLevelType w:val="multilevel"/>
    <w:tmpl w:val="26EE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DBF49F7"/>
    <w:multiLevelType w:val="multilevel"/>
    <w:tmpl w:val="AA9E2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FF22E1E"/>
    <w:multiLevelType w:val="multilevel"/>
    <w:tmpl w:val="DE00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858016">
    <w:abstractNumId w:val="40"/>
  </w:num>
  <w:num w:numId="2" w16cid:durableId="1131556218">
    <w:abstractNumId w:val="10"/>
  </w:num>
  <w:num w:numId="3" w16cid:durableId="235827628">
    <w:abstractNumId w:val="69"/>
  </w:num>
  <w:num w:numId="4" w16cid:durableId="2060325451">
    <w:abstractNumId w:val="25"/>
  </w:num>
  <w:num w:numId="5" w16cid:durableId="545681882">
    <w:abstractNumId w:val="75"/>
  </w:num>
  <w:num w:numId="6" w16cid:durableId="1403409146">
    <w:abstractNumId w:val="79"/>
  </w:num>
  <w:num w:numId="7" w16cid:durableId="1132867942">
    <w:abstractNumId w:val="82"/>
  </w:num>
  <w:num w:numId="8" w16cid:durableId="1946307323">
    <w:abstractNumId w:val="49"/>
  </w:num>
  <w:num w:numId="9" w16cid:durableId="1218398662">
    <w:abstractNumId w:val="34"/>
  </w:num>
  <w:num w:numId="10" w16cid:durableId="611519083">
    <w:abstractNumId w:val="80"/>
  </w:num>
  <w:num w:numId="11" w16cid:durableId="179007110">
    <w:abstractNumId w:val="48"/>
  </w:num>
  <w:num w:numId="12" w16cid:durableId="1368986683">
    <w:abstractNumId w:val="67"/>
  </w:num>
  <w:num w:numId="13" w16cid:durableId="11886139">
    <w:abstractNumId w:val="47"/>
  </w:num>
  <w:num w:numId="14" w16cid:durableId="1458334761">
    <w:abstractNumId w:val="16"/>
  </w:num>
  <w:num w:numId="15" w16cid:durableId="759179845">
    <w:abstractNumId w:val="24"/>
  </w:num>
  <w:num w:numId="16" w16cid:durableId="147551892">
    <w:abstractNumId w:val="63"/>
  </w:num>
  <w:num w:numId="17" w16cid:durableId="281572413">
    <w:abstractNumId w:val="55"/>
  </w:num>
  <w:num w:numId="18" w16cid:durableId="2095392376">
    <w:abstractNumId w:val="18"/>
  </w:num>
  <w:num w:numId="19" w16cid:durableId="1528562022">
    <w:abstractNumId w:val="77"/>
  </w:num>
  <w:num w:numId="20" w16cid:durableId="1462917605">
    <w:abstractNumId w:val="51"/>
  </w:num>
  <w:num w:numId="21" w16cid:durableId="1474520138">
    <w:abstractNumId w:val="71"/>
  </w:num>
  <w:num w:numId="22" w16cid:durableId="1332489582">
    <w:abstractNumId w:val="39"/>
  </w:num>
  <w:num w:numId="23" w16cid:durableId="148788122">
    <w:abstractNumId w:val="7"/>
  </w:num>
  <w:num w:numId="24" w16cid:durableId="380176029">
    <w:abstractNumId w:val="0"/>
  </w:num>
  <w:num w:numId="25" w16cid:durableId="80491736">
    <w:abstractNumId w:val="72"/>
  </w:num>
  <w:num w:numId="26" w16cid:durableId="1544563501">
    <w:abstractNumId w:val="73"/>
  </w:num>
  <w:num w:numId="27" w16cid:durableId="1391610209">
    <w:abstractNumId w:val="4"/>
  </w:num>
  <w:num w:numId="28" w16cid:durableId="329793046">
    <w:abstractNumId w:val="43"/>
  </w:num>
  <w:num w:numId="29" w16cid:durableId="383993137">
    <w:abstractNumId w:val="13"/>
  </w:num>
  <w:num w:numId="30" w16cid:durableId="967125026">
    <w:abstractNumId w:val="31"/>
  </w:num>
  <w:num w:numId="31" w16cid:durableId="1246185704">
    <w:abstractNumId w:val="45"/>
  </w:num>
  <w:num w:numId="32" w16cid:durableId="549802351">
    <w:abstractNumId w:val="29"/>
  </w:num>
  <w:num w:numId="33" w16cid:durableId="1149135160">
    <w:abstractNumId w:val="30"/>
  </w:num>
  <w:num w:numId="34" w16cid:durableId="1445149827">
    <w:abstractNumId w:val="62"/>
  </w:num>
  <w:num w:numId="35" w16cid:durableId="2108845976">
    <w:abstractNumId w:val="17"/>
  </w:num>
  <w:num w:numId="36" w16cid:durableId="1321230096">
    <w:abstractNumId w:val="52"/>
  </w:num>
  <w:num w:numId="37" w16cid:durableId="664627246">
    <w:abstractNumId w:val="36"/>
  </w:num>
  <w:num w:numId="38" w16cid:durableId="513232253">
    <w:abstractNumId w:val="1"/>
  </w:num>
  <w:num w:numId="39" w16cid:durableId="1885942539">
    <w:abstractNumId w:val="2"/>
  </w:num>
  <w:num w:numId="40" w16cid:durableId="1731079328">
    <w:abstractNumId w:val="66"/>
  </w:num>
  <w:num w:numId="41" w16cid:durableId="677849187">
    <w:abstractNumId w:val="41"/>
  </w:num>
  <w:num w:numId="42" w16cid:durableId="1112283012">
    <w:abstractNumId w:val="6"/>
  </w:num>
  <w:num w:numId="43" w16cid:durableId="577785585">
    <w:abstractNumId w:val="46"/>
  </w:num>
  <w:num w:numId="44" w16cid:durableId="755132743">
    <w:abstractNumId w:val="38"/>
  </w:num>
  <w:num w:numId="45" w16cid:durableId="838351151">
    <w:abstractNumId w:val="57"/>
  </w:num>
  <w:num w:numId="46" w16cid:durableId="795681583">
    <w:abstractNumId w:val="5"/>
  </w:num>
  <w:num w:numId="47" w16cid:durableId="2087917291">
    <w:abstractNumId w:val="74"/>
  </w:num>
  <w:num w:numId="48" w16cid:durableId="296450320">
    <w:abstractNumId w:val="70"/>
  </w:num>
  <w:num w:numId="49" w16cid:durableId="1399282166">
    <w:abstractNumId w:val="35"/>
  </w:num>
  <w:num w:numId="50" w16cid:durableId="1691224249">
    <w:abstractNumId w:val="76"/>
  </w:num>
  <w:num w:numId="51" w16cid:durableId="2079860017">
    <w:abstractNumId w:val="65"/>
  </w:num>
  <w:num w:numId="52" w16cid:durableId="1144004113">
    <w:abstractNumId w:val="3"/>
  </w:num>
  <w:num w:numId="53" w16cid:durableId="142161338">
    <w:abstractNumId w:val="15"/>
  </w:num>
  <w:num w:numId="54" w16cid:durableId="1716808957">
    <w:abstractNumId w:val="50"/>
  </w:num>
  <w:num w:numId="55" w16cid:durableId="2031250144">
    <w:abstractNumId w:val="81"/>
  </w:num>
  <w:num w:numId="56" w16cid:durableId="1257251352">
    <w:abstractNumId w:val="78"/>
  </w:num>
  <w:num w:numId="57" w16cid:durableId="1239944119">
    <w:abstractNumId w:val="28"/>
  </w:num>
  <w:num w:numId="58" w16cid:durableId="1123377587">
    <w:abstractNumId w:val="21"/>
  </w:num>
  <w:num w:numId="59" w16cid:durableId="531722848">
    <w:abstractNumId w:val="27"/>
  </w:num>
  <w:num w:numId="60" w16cid:durableId="1427340819">
    <w:abstractNumId w:val="8"/>
  </w:num>
  <w:num w:numId="61" w16cid:durableId="157967732">
    <w:abstractNumId w:val="68"/>
  </w:num>
  <w:num w:numId="62" w16cid:durableId="2113085624">
    <w:abstractNumId w:val="58"/>
  </w:num>
  <w:num w:numId="63" w16cid:durableId="1922911928">
    <w:abstractNumId w:val="59"/>
  </w:num>
  <w:num w:numId="64" w16cid:durableId="1807896398">
    <w:abstractNumId w:val="26"/>
  </w:num>
  <w:num w:numId="65" w16cid:durableId="660961476">
    <w:abstractNumId w:val="33"/>
  </w:num>
  <w:num w:numId="66" w16cid:durableId="617495389">
    <w:abstractNumId w:val="54"/>
  </w:num>
  <w:num w:numId="67" w16cid:durableId="848252244">
    <w:abstractNumId w:val="12"/>
  </w:num>
  <w:num w:numId="68" w16cid:durableId="566690139">
    <w:abstractNumId w:val="42"/>
  </w:num>
  <w:num w:numId="69" w16cid:durableId="1096948751">
    <w:abstractNumId w:val="64"/>
  </w:num>
  <w:num w:numId="70" w16cid:durableId="190386491">
    <w:abstractNumId w:val="22"/>
  </w:num>
  <w:num w:numId="71" w16cid:durableId="472602605">
    <w:abstractNumId w:val="23"/>
  </w:num>
  <w:num w:numId="72" w16cid:durableId="883172062">
    <w:abstractNumId w:val="61"/>
  </w:num>
  <w:num w:numId="73" w16cid:durableId="868297650">
    <w:abstractNumId w:val="60"/>
  </w:num>
  <w:num w:numId="74" w16cid:durableId="662468444">
    <w:abstractNumId w:val="53"/>
  </w:num>
  <w:num w:numId="75" w16cid:durableId="416097842">
    <w:abstractNumId w:val="44"/>
  </w:num>
  <w:num w:numId="76" w16cid:durableId="1830555867">
    <w:abstractNumId w:val="9"/>
  </w:num>
  <w:num w:numId="77" w16cid:durableId="755515369">
    <w:abstractNumId w:val="56"/>
  </w:num>
  <w:num w:numId="78" w16cid:durableId="1265263485">
    <w:abstractNumId w:val="37"/>
  </w:num>
  <w:num w:numId="79" w16cid:durableId="459497566">
    <w:abstractNumId w:val="14"/>
  </w:num>
  <w:num w:numId="80" w16cid:durableId="836312926">
    <w:abstractNumId w:val="32"/>
  </w:num>
  <w:num w:numId="81" w16cid:durableId="413744359">
    <w:abstractNumId w:val="19"/>
  </w:num>
  <w:num w:numId="82" w16cid:durableId="479999867">
    <w:abstractNumId w:val="11"/>
  </w:num>
  <w:num w:numId="83" w16cid:durableId="96751508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D6C"/>
    <w:rsid w:val="00035076"/>
    <w:rsid w:val="0005083E"/>
    <w:rsid w:val="00054C0F"/>
    <w:rsid w:val="000C405A"/>
    <w:rsid w:val="000C457B"/>
    <w:rsid w:val="000E4889"/>
    <w:rsid w:val="000F1417"/>
    <w:rsid w:val="000F43D9"/>
    <w:rsid w:val="00143B1D"/>
    <w:rsid w:val="00146CDF"/>
    <w:rsid w:val="001B5E1E"/>
    <w:rsid w:val="001E6BDC"/>
    <w:rsid w:val="001F5DFF"/>
    <w:rsid w:val="00262D74"/>
    <w:rsid w:val="00274928"/>
    <w:rsid w:val="0028013D"/>
    <w:rsid w:val="002919BF"/>
    <w:rsid w:val="002A6CBA"/>
    <w:rsid w:val="002A775A"/>
    <w:rsid w:val="002D65EC"/>
    <w:rsid w:val="002D7CB5"/>
    <w:rsid w:val="00330841"/>
    <w:rsid w:val="003322BA"/>
    <w:rsid w:val="00375B0C"/>
    <w:rsid w:val="003773D0"/>
    <w:rsid w:val="003A019D"/>
    <w:rsid w:val="003C1145"/>
    <w:rsid w:val="003E2A52"/>
    <w:rsid w:val="003E4586"/>
    <w:rsid w:val="004F26C3"/>
    <w:rsid w:val="004F5C4A"/>
    <w:rsid w:val="0050694C"/>
    <w:rsid w:val="00527376"/>
    <w:rsid w:val="00541FE1"/>
    <w:rsid w:val="00544DFF"/>
    <w:rsid w:val="00555DE4"/>
    <w:rsid w:val="005B4081"/>
    <w:rsid w:val="005C0F0E"/>
    <w:rsid w:val="005E70A7"/>
    <w:rsid w:val="005F06E5"/>
    <w:rsid w:val="005F0CE2"/>
    <w:rsid w:val="00646522"/>
    <w:rsid w:val="006E6D6C"/>
    <w:rsid w:val="0070241D"/>
    <w:rsid w:val="007318D7"/>
    <w:rsid w:val="007A4805"/>
    <w:rsid w:val="007B2423"/>
    <w:rsid w:val="007C6208"/>
    <w:rsid w:val="00870380"/>
    <w:rsid w:val="008C5EFE"/>
    <w:rsid w:val="008F7539"/>
    <w:rsid w:val="008F7E4A"/>
    <w:rsid w:val="009076D5"/>
    <w:rsid w:val="009227AB"/>
    <w:rsid w:val="00944125"/>
    <w:rsid w:val="0095223C"/>
    <w:rsid w:val="00966B22"/>
    <w:rsid w:val="009758A7"/>
    <w:rsid w:val="00982A87"/>
    <w:rsid w:val="009E33A6"/>
    <w:rsid w:val="009F200B"/>
    <w:rsid w:val="00A00ED3"/>
    <w:rsid w:val="00A20CCF"/>
    <w:rsid w:val="00A64E7F"/>
    <w:rsid w:val="00AA065F"/>
    <w:rsid w:val="00AA2364"/>
    <w:rsid w:val="00AA6C73"/>
    <w:rsid w:val="00AB33C9"/>
    <w:rsid w:val="00AC5925"/>
    <w:rsid w:val="00AC7F28"/>
    <w:rsid w:val="00B31116"/>
    <w:rsid w:val="00B834B0"/>
    <w:rsid w:val="00BF748C"/>
    <w:rsid w:val="00C00F3B"/>
    <w:rsid w:val="00C11850"/>
    <w:rsid w:val="00C311C2"/>
    <w:rsid w:val="00C35C64"/>
    <w:rsid w:val="00C4419E"/>
    <w:rsid w:val="00C737B7"/>
    <w:rsid w:val="00C75813"/>
    <w:rsid w:val="00C81D7C"/>
    <w:rsid w:val="00CA367D"/>
    <w:rsid w:val="00CB1489"/>
    <w:rsid w:val="00D02114"/>
    <w:rsid w:val="00D16AE8"/>
    <w:rsid w:val="00D429C3"/>
    <w:rsid w:val="00D4454D"/>
    <w:rsid w:val="00D53F8F"/>
    <w:rsid w:val="00D815A4"/>
    <w:rsid w:val="00E461C8"/>
    <w:rsid w:val="00E6110C"/>
    <w:rsid w:val="00E86605"/>
    <w:rsid w:val="00F37804"/>
    <w:rsid w:val="00F7496E"/>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6211"/>
  <w15:chartTrackingRefBased/>
  <w15:docId w15:val="{EA5D923B-33EA-5340-8935-3F1C2042A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D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6D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6D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E6D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6D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6D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6D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6D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6D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D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6D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6D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E6D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6D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6D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6D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6D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6D6C"/>
    <w:rPr>
      <w:rFonts w:eastAsiaTheme="majorEastAsia" w:cstheme="majorBidi"/>
      <w:color w:val="272727" w:themeColor="text1" w:themeTint="D8"/>
    </w:rPr>
  </w:style>
  <w:style w:type="paragraph" w:styleId="Title">
    <w:name w:val="Title"/>
    <w:basedOn w:val="Normal"/>
    <w:next w:val="Normal"/>
    <w:link w:val="TitleChar"/>
    <w:uiPriority w:val="10"/>
    <w:qFormat/>
    <w:rsid w:val="006E6D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6D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6D6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6D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6D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E6D6C"/>
    <w:rPr>
      <w:i/>
      <w:iCs/>
      <w:color w:val="404040" w:themeColor="text1" w:themeTint="BF"/>
    </w:rPr>
  </w:style>
  <w:style w:type="paragraph" w:styleId="ListParagraph">
    <w:name w:val="List Paragraph"/>
    <w:basedOn w:val="Normal"/>
    <w:uiPriority w:val="34"/>
    <w:qFormat/>
    <w:rsid w:val="006E6D6C"/>
    <w:pPr>
      <w:ind w:left="720"/>
      <w:contextualSpacing/>
    </w:pPr>
  </w:style>
  <w:style w:type="character" w:styleId="IntenseEmphasis">
    <w:name w:val="Intense Emphasis"/>
    <w:basedOn w:val="DefaultParagraphFont"/>
    <w:uiPriority w:val="21"/>
    <w:qFormat/>
    <w:rsid w:val="006E6D6C"/>
    <w:rPr>
      <w:i/>
      <w:iCs/>
      <w:color w:val="0F4761" w:themeColor="accent1" w:themeShade="BF"/>
    </w:rPr>
  </w:style>
  <w:style w:type="paragraph" w:styleId="IntenseQuote">
    <w:name w:val="Intense Quote"/>
    <w:basedOn w:val="Normal"/>
    <w:next w:val="Normal"/>
    <w:link w:val="IntenseQuoteChar"/>
    <w:uiPriority w:val="30"/>
    <w:qFormat/>
    <w:rsid w:val="006E6D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6D6C"/>
    <w:rPr>
      <w:i/>
      <w:iCs/>
      <w:color w:val="0F4761" w:themeColor="accent1" w:themeShade="BF"/>
    </w:rPr>
  </w:style>
  <w:style w:type="character" w:styleId="IntenseReference">
    <w:name w:val="Intense Reference"/>
    <w:basedOn w:val="DefaultParagraphFont"/>
    <w:uiPriority w:val="32"/>
    <w:qFormat/>
    <w:rsid w:val="006E6D6C"/>
    <w:rPr>
      <w:b/>
      <w:bCs/>
      <w:smallCaps/>
      <w:color w:val="0F4761" w:themeColor="accent1" w:themeShade="BF"/>
      <w:spacing w:val="5"/>
    </w:rPr>
  </w:style>
  <w:style w:type="character" w:styleId="Strong">
    <w:name w:val="Strong"/>
    <w:basedOn w:val="DefaultParagraphFont"/>
    <w:uiPriority w:val="22"/>
    <w:qFormat/>
    <w:rsid w:val="006E6D6C"/>
    <w:rPr>
      <w:b/>
      <w:bCs/>
    </w:rPr>
  </w:style>
  <w:style w:type="paragraph" w:styleId="NormalWeb">
    <w:name w:val="Normal (Web)"/>
    <w:basedOn w:val="Normal"/>
    <w:uiPriority w:val="99"/>
    <w:semiHidden/>
    <w:unhideWhenUsed/>
    <w:rsid w:val="006E6D6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E6D6C"/>
  </w:style>
  <w:style w:type="character" w:styleId="Emphasis">
    <w:name w:val="Emphasis"/>
    <w:basedOn w:val="DefaultParagraphFont"/>
    <w:uiPriority w:val="20"/>
    <w:qFormat/>
    <w:rsid w:val="006E6D6C"/>
    <w:rPr>
      <w:i/>
      <w:iCs/>
    </w:rPr>
  </w:style>
  <w:style w:type="table" w:styleId="TableGrid">
    <w:name w:val="Table Grid"/>
    <w:basedOn w:val="TableNormal"/>
    <w:uiPriority w:val="39"/>
    <w:rsid w:val="00AA06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C5E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46075">
      <w:bodyDiv w:val="1"/>
      <w:marLeft w:val="0"/>
      <w:marRight w:val="0"/>
      <w:marTop w:val="0"/>
      <w:marBottom w:val="0"/>
      <w:divBdr>
        <w:top w:val="none" w:sz="0" w:space="0" w:color="auto"/>
        <w:left w:val="none" w:sz="0" w:space="0" w:color="auto"/>
        <w:bottom w:val="none" w:sz="0" w:space="0" w:color="auto"/>
        <w:right w:val="none" w:sz="0" w:space="0" w:color="auto"/>
      </w:divBdr>
      <w:divsChild>
        <w:div w:id="183442744">
          <w:marLeft w:val="0"/>
          <w:marRight w:val="0"/>
          <w:marTop w:val="0"/>
          <w:marBottom w:val="0"/>
          <w:divBdr>
            <w:top w:val="none" w:sz="0" w:space="0" w:color="auto"/>
            <w:left w:val="none" w:sz="0" w:space="0" w:color="auto"/>
            <w:bottom w:val="none" w:sz="0" w:space="0" w:color="auto"/>
            <w:right w:val="none" w:sz="0" w:space="0" w:color="auto"/>
          </w:divBdr>
          <w:divsChild>
            <w:div w:id="118189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41540">
      <w:bodyDiv w:val="1"/>
      <w:marLeft w:val="0"/>
      <w:marRight w:val="0"/>
      <w:marTop w:val="0"/>
      <w:marBottom w:val="0"/>
      <w:divBdr>
        <w:top w:val="none" w:sz="0" w:space="0" w:color="auto"/>
        <w:left w:val="none" w:sz="0" w:space="0" w:color="auto"/>
        <w:bottom w:val="none" w:sz="0" w:space="0" w:color="auto"/>
        <w:right w:val="none" w:sz="0" w:space="0" w:color="auto"/>
      </w:divBdr>
      <w:divsChild>
        <w:div w:id="208223648">
          <w:marLeft w:val="0"/>
          <w:marRight w:val="0"/>
          <w:marTop w:val="0"/>
          <w:marBottom w:val="0"/>
          <w:divBdr>
            <w:top w:val="none" w:sz="0" w:space="0" w:color="auto"/>
            <w:left w:val="none" w:sz="0" w:space="0" w:color="auto"/>
            <w:bottom w:val="none" w:sz="0" w:space="0" w:color="auto"/>
            <w:right w:val="none" w:sz="0" w:space="0" w:color="auto"/>
          </w:divBdr>
          <w:divsChild>
            <w:div w:id="1786654096">
              <w:marLeft w:val="0"/>
              <w:marRight w:val="0"/>
              <w:marTop w:val="0"/>
              <w:marBottom w:val="0"/>
              <w:divBdr>
                <w:top w:val="none" w:sz="0" w:space="0" w:color="auto"/>
                <w:left w:val="none" w:sz="0" w:space="0" w:color="auto"/>
                <w:bottom w:val="none" w:sz="0" w:space="0" w:color="auto"/>
                <w:right w:val="none" w:sz="0" w:space="0" w:color="auto"/>
              </w:divBdr>
            </w:div>
          </w:divsChild>
        </w:div>
        <w:div w:id="4328564">
          <w:marLeft w:val="0"/>
          <w:marRight w:val="0"/>
          <w:marTop w:val="0"/>
          <w:marBottom w:val="0"/>
          <w:divBdr>
            <w:top w:val="none" w:sz="0" w:space="0" w:color="auto"/>
            <w:left w:val="none" w:sz="0" w:space="0" w:color="auto"/>
            <w:bottom w:val="none" w:sz="0" w:space="0" w:color="auto"/>
            <w:right w:val="none" w:sz="0" w:space="0" w:color="auto"/>
          </w:divBdr>
          <w:divsChild>
            <w:div w:id="119827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725794">
      <w:bodyDiv w:val="1"/>
      <w:marLeft w:val="0"/>
      <w:marRight w:val="0"/>
      <w:marTop w:val="0"/>
      <w:marBottom w:val="0"/>
      <w:divBdr>
        <w:top w:val="none" w:sz="0" w:space="0" w:color="auto"/>
        <w:left w:val="none" w:sz="0" w:space="0" w:color="auto"/>
        <w:bottom w:val="none" w:sz="0" w:space="0" w:color="auto"/>
        <w:right w:val="none" w:sz="0" w:space="0" w:color="auto"/>
      </w:divBdr>
      <w:divsChild>
        <w:div w:id="543761331">
          <w:marLeft w:val="0"/>
          <w:marRight w:val="0"/>
          <w:marTop w:val="0"/>
          <w:marBottom w:val="0"/>
          <w:divBdr>
            <w:top w:val="none" w:sz="0" w:space="0" w:color="auto"/>
            <w:left w:val="none" w:sz="0" w:space="0" w:color="auto"/>
            <w:bottom w:val="none" w:sz="0" w:space="0" w:color="auto"/>
            <w:right w:val="none" w:sz="0" w:space="0" w:color="auto"/>
          </w:divBdr>
          <w:divsChild>
            <w:div w:id="741412112">
              <w:marLeft w:val="0"/>
              <w:marRight w:val="0"/>
              <w:marTop w:val="0"/>
              <w:marBottom w:val="0"/>
              <w:divBdr>
                <w:top w:val="none" w:sz="0" w:space="0" w:color="auto"/>
                <w:left w:val="none" w:sz="0" w:space="0" w:color="auto"/>
                <w:bottom w:val="none" w:sz="0" w:space="0" w:color="auto"/>
                <w:right w:val="none" w:sz="0" w:space="0" w:color="auto"/>
              </w:divBdr>
            </w:div>
          </w:divsChild>
        </w:div>
        <w:div w:id="1702899154">
          <w:marLeft w:val="0"/>
          <w:marRight w:val="0"/>
          <w:marTop w:val="0"/>
          <w:marBottom w:val="0"/>
          <w:divBdr>
            <w:top w:val="none" w:sz="0" w:space="0" w:color="auto"/>
            <w:left w:val="none" w:sz="0" w:space="0" w:color="auto"/>
            <w:bottom w:val="none" w:sz="0" w:space="0" w:color="auto"/>
            <w:right w:val="none" w:sz="0" w:space="0" w:color="auto"/>
          </w:divBdr>
          <w:divsChild>
            <w:div w:id="40141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915588">
      <w:bodyDiv w:val="1"/>
      <w:marLeft w:val="0"/>
      <w:marRight w:val="0"/>
      <w:marTop w:val="0"/>
      <w:marBottom w:val="0"/>
      <w:divBdr>
        <w:top w:val="none" w:sz="0" w:space="0" w:color="auto"/>
        <w:left w:val="none" w:sz="0" w:space="0" w:color="auto"/>
        <w:bottom w:val="none" w:sz="0" w:space="0" w:color="auto"/>
        <w:right w:val="none" w:sz="0" w:space="0" w:color="auto"/>
      </w:divBdr>
      <w:divsChild>
        <w:div w:id="1843735109">
          <w:marLeft w:val="0"/>
          <w:marRight w:val="0"/>
          <w:marTop w:val="0"/>
          <w:marBottom w:val="0"/>
          <w:divBdr>
            <w:top w:val="none" w:sz="0" w:space="0" w:color="auto"/>
            <w:left w:val="none" w:sz="0" w:space="0" w:color="auto"/>
            <w:bottom w:val="none" w:sz="0" w:space="0" w:color="auto"/>
            <w:right w:val="none" w:sz="0" w:space="0" w:color="auto"/>
          </w:divBdr>
          <w:divsChild>
            <w:div w:id="2103139914">
              <w:marLeft w:val="0"/>
              <w:marRight w:val="0"/>
              <w:marTop w:val="0"/>
              <w:marBottom w:val="0"/>
              <w:divBdr>
                <w:top w:val="none" w:sz="0" w:space="0" w:color="auto"/>
                <w:left w:val="none" w:sz="0" w:space="0" w:color="auto"/>
                <w:bottom w:val="none" w:sz="0" w:space="0" w:color="auto"/>
                <w:right w:val="none" w:sz="0" w:space="0" w:color="auto"/>
              </w:divBdr>
            </w:div>
          </w:divsChild>
        </w:div>
        <w:div w:id="656614504">
          <w:marLeft w:val="0"/>
          <w:marRight w:val="0"/>
          <w:marTop w:val="0"/>
          <w:marBottom w:val="0"/>
          <w:divBdr>
            <w:top w:val="none" w:sz="0" w:space="0" w:color="auto"/>
            <w:left w:val="none" w:sz="0" w:space="0" w:color="auto"/>
            <w:bottom w:val="none" w:sz="0" w:space="0" w:color="auto"/>
            <w:right w:val="none" w:sz="0" w:space="0" w:color="auto"/>
          </w:divBdr>
          <w:divsChild>
            <w:div w:id="1632590722">
              <w:marLeft w:val="0"/>
              <w:marRight w:val="0"/>
              <w:marTop w:val="0"/>
              <w:marBottom w:val="0"/>
              <w:divBdr>
                <w:top w:val="none" w:sz="0" w:space="0" w:color="auto"/>
                <w:left w:val="none" w:sz="0" w:space="0" w:color="auto"/>
                <w:bottom w:val="none" w:sz="0" w:space="0" w:color="auto"/>
                <w:right w:val="none" w:sz="0" w:space="0" w:color="auto"/>
              </w:divBdr>
            </w:div>
          </w:divsChild>
        </w:div>
        <w:div w:id="1315379990">
          <w:marLeft w:val="0"/>
          <w:marRight w:val="0"/>
          <w:marTop w:val="0"/>
          <w:marBottom w:val="0"/>
          <w:divBdr>
            <w:top w:val="none" w:sz="0" w:space="0" w:color="auto"/>
            <w:left w:val="none" w:sz="0" w:space="0" w:color="auto"/>
            <w:bottom w:val="none" w:sz="0" w:space="0" w:color="auto"/>
            <w:right w:val="none" w:sz="0" w:space="0" w:color="auto"/>
          </w:divBdr>
          <w:divsChild>
            <w:div w:id="1941835015">
              <w:marLeft w:val="0"/>
              <w:marRight w:val="0"/>
              <w:marTop w:val="0"/>
              <w:marBottom w:val="0"/>
              <w:divBdr>
                <w:top w:val="none" w:sz="0" w:space="0" w:color="auto"/>
                <w:left w:val="none" w:sz="0" w:space="0" w:color="auto"/>
                <w:bottom w:val="none" w:sz="0" w:space="0" w:color="auto"/>
                <w:right w:val="none" w:sz="0" w:space="0" w:color="auto"/>
              </w:divBdr>
            </w:div>
          </w:divsChild>
        </w:div>
        <w:div w:id="405033090">
          <w:marLeft w:val="0"/>
          <w:marRight w:val="0"/>
          <w:marTop w:val="0"/>
          <w:marBottom w:val="0"/>
          <w:divBdr>
            <w:top w:val="none" w:sz="0" w:space="0" w:color="auto"/>
            <w:left w:val="none" w:sz="0" w:space="0" w:color="auto"/>
            <w:bottom w:val="none" w:sz="0" w:space="0" w:color="auto"/>
            <w:right w:val="none" w:sz="0" w:space="0" w:color="auto"/>
          </w:divBdr>
          <w:divsChild>
            <w:div w:id="1797792227">
              <w:marLeft w:val="0"/>
              <w:marRight w:val="0"/>
              <w:marTop w:val="0"/>
              <w:marBottom w:val="0"/>
              <w:divBdr>
                <w:top w:val="none" w:sz="0" w:space="0" w:color="auto"/>
                <w:left w:val="none" w:sz="0" w:space="0" w:color="auto"/>
                <w:bottom w:val="none" w:sz="0" w:space="0" w:color="auto"/>
                <w:right w:val="none" w:sz="0" w:space="0" w:color="auto"/>
              </w:divBdr>
            </w:div>
          </w:divsChild>
        </w:div>
        <w:div w:id="884029769">
          <w:marLeft w:val="0"/>
          <w:marRight w:val="0"/>
          <w:marTop w:val="0"/>
          <w:marBottom w:val="0"/>
          <w:divBdr>
            <w:top w:val="none" w:sz="0" w:space="0" w:color="auto"/>
            <w:left w:val="none" w:sz="0" w:space="0" w:color="auto"/>
            <w:bottom w:val="none" w:sz="0" w:space="0" w:color="auto"/>
            <w:right w:val="none" w:sz="0" w:space="0" w:color="auto"/>
          </w:divBdr>
          <w:divsChild>
            <w:div w:id="340473497">
              <w:marLeft w:val="0"/>
              <w:marRight w:val="0"/>
              <w:marTop w:val="0"/>
              <w:marBottom w:val="0"/>
              <w:divBdr>
                <w:top w:val="none" w:sz="0" w:space="0" w:color="auto"/>
                <w:left w:val="none" w:sz="0" w:space="0" w:color="auto"/>
                <w:bottom w:val="none" w:sz="0" w:space="0" w:color="auto"/>
                <w:right w:val="none" w:sz="0" w:space="0" w:color="auto"/>
              </w:divBdr>
            </w:div>
          </w:divsChild>
        </w:div>
        <w:div w:id="16280441">
          <w:marLeft w:val="0"/>
          <w:marRight w:val="0"/>
          <w:marTop w:val="0"/>
          <w:marBottom w:val="0"/>
          <w:divBdr>
            <w:top w:val="none" w:sz="0" w:space="0" w:color="auto"/>
            <w:left w:val="none" w:sz="0" w:space="0" w:color="auto"/>
            <w:bottom w:val="none" w:sz="0" w:space="0" w:color="auto"/>
            <w:right w:val="none" w:sz="0" w:space="0" w:color="auto"/>
          </w:divBdr>
          <w:divsChild>
            <w:div w:id="1068839292">
              <w:marLeft w:val="0"/>
              <w:marRight w:val="0"/>
              <w:marTop w:val="0"/>
              <w:marBottom w:val="0"/>
              <w:divBdr>
                <w:top w:val="none" w:sz="0" w:space="0" w:color="auto"/>
                <w:left w:val="none" w:sz="0" w:space="0" w:color="auto"/>
                <w:bottom w:val="none" w:sz="0" w:space="0" w:color="auto"/>
                <w:right w:val="none" w:sz="0" w:space="0" w:color="auto"/>
              </w:divBdr>
            </w:div>
          </w:divsChild>
        </w:div>
        <w:div w:id="1817796135">
          <w:marLeft w:val="0"/>
          <w:marRight w:val="0"/>
          <w:marTop w:val="0"/>
          <w:marBottom w:val="0"/>
          <w:divBdr>
            <w:top w:val="none" w:sz="0" w:space="0" w:color="auto"/>
            <w:left w:val="none" w:sz="0" w:space="0" w:color="auto"/>
            <w:bottom w:val="none" w:sz="0" w:space="0" w:color="auto"/>
            <w:right w:val="none" w:sz="0" w:space="0" w:color="auto"/>
          </w:divBdr>
          <w:divsChild>
            <w:div w:id="81313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637368">
      <w:bodyDiv w:val="1"/>
      <w:marLeft w:val="0"/>
      <w:marRight w:val="0"/>
      <w:marTop w:val="0"/>
      <w:marBottom w:val="0"/>
      <w:divBdr>
        <w:top w:val="none" w:sz="0" w:space="0" w:color="auto"/>
        <w:left w:val="none" w:sz="0" w:space="0" w:color="auto"/>
        <w:bottom w:val="none" w:sz="0" w:space="0" w:color="auto"/>
        <w:right w:val="none" w:sz="0" w:space="0" w:color="auto"/>
      </w:divBdr>
      <w:divsChild>
        <w:div w:id="1135562936">
          <w:marLeft w:val="0"/>
          <w:marRight w:val="0"/>
          <w:marTop w:val="0"/>
          <w:marBottom w:val="0"/>
          <w:divBdr>
            <w:top w:val="none" w:sz="0" w:space="0" w:color="auto"/>
            <w:left w:val="none" w:sz="0" w:space="0" w:color="auto"/>
            <w:bottom w:val="none" w:sz="0" w:space="0" w:color="auto"/>
            <w:right w:val="none" w:sz="0" w:space="0" w:color="auto"/>
          </w:divBdr>
          <w:divsChild>
            <w:div w:id="47375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549610">
      <w:bodyDiv w:val="1"/>
      <w:marLeft w:val="0"/>
      <w:marRight w:val="0"/>
      <w:marTop w:val="0"/>
      <w:marBottom w:val="0"/>
      <w:divBdr>
        <w:top w:val="none" w:sz="0" w:space="0" w:color="auto"/>
        <w:left w:val="none" w:sz="0" w:space="0" w:color="auto"/>
        <w:bottom w:val="none" w:sz="0" w:space="0" w:color="auto"/>
        <w:right w:val="none" w:sz="0" w:space="0" w:color="auto"/>
      </w:divBdr>
      <w:divsChild>
        <w:div w:id="1458571393">
          <w:marLeft w:val="0"/>
          <w:marRight w:val="0"/>
          <w:marTop w:val="0"/>
          <w:marBottom w:val="0"/>
          <w:divBdr>
            <w:top w:val="none" w:sz="0" w:space="0" w:color="auto"/>
            <w:left w:val="none" w:sz="0" w:space="0" w:color="auto"/>
            <w:bottom w:val="none" w:sz="0" w:space="0" w:color="auto"/>
            <w:right w:val="none" w:sz="0" w:space="0" w:color="auto"/>
          </w:divBdr>
          <w:divsChild>
            <w:div w:id="296104395">
              <w:marLeft w:val="0"/>
              <w:marRight w:val="0"/>
              <w:marTop w:val="0"/>
              <w:marBottom w:val="0"/>
              <w:divBdr>
                <w:top w:val="none" w:sz="0" w:space="0" w:color="auto"/>
                <w:left w:val="none" w:sz="0" w:space="0" w:color="auto"/>
                <w:bottom w:val="none" w:sz="0" w:space="0" w:color="auto"/>
                <w:right w:val="none" w:sz="0" w:space="0" w:color="auto"/>
              </w:divBdr>
            </w:div>
          </w:divsChild>
        </w:div>
        <w:div w:id="140192642">
          <w:marLeft w:val="0"/>
          <w:marRight w:val="0"/>
          <w:marTop w:val="0"/>
          <w:marBottom w:val="0"/>
          <w:divBdr>
            <w:top w:val="none" w:sz="0" w:space="0" w:color="auto"/>
            <w:left w:val="none" w:sz="0" w:space="0" w:color="auto"/>
            <w:bottom w:val="none" w:sz="0" w:space="0" w:color="auto"/>
            <w:right w:val="none" w:sz="0" w:space="0" w:color="auto"/>
          </w:divBdr>
          <w:divsChild>
            <w:div w:id="198227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88772">
      <w:bodyDiv w:val="1"/>
      <w:marLeft w:val="0"/>
      <w:marRight w:val="0"/>
      <w:marTop w:val="0"/>
      <w:marBottom w:val="0"/>
      <w:divBdr>
        <w:top w:val="none" w:sz="0" w:space="0" w:color="auto"/>
        <w:left w:val="none" w:sz="0" w:space="0" w:color="auto"/>
        <w:bottom w:val="none" w:sz="0" w:space="0" w:color="auto"/>
        <w:right w:val="none" w:sz="0" w:space="0" w:color="auto"/>
      </w:divBdr>
    </w:div>
    <w:div w:id="2144541070">
      <w:bodyDiv w:val="1"/>
      <w:marLeft w:val="0"/>
      <w:marRight w:val="0"/>
      <w:marTop w:val="0"/>
      <w:marBottom w:val="0"/>
      <w:divBdr>
        <w:top w:val="none" w:sz="0" w:space="0" w:color="auto"/>
        <w:left w:val="none" w:sz="0" w:space="0" w:color="auto"/>
        <w:bottom w:val="none" w:sz="0" w:space="0" w:color="auto"/>
        <w:right w:val="none" w:sz="0" w:space="0" w:color="auto"/>
      </w:divBdr>
      <w:divsChild>
        <w:div w:id="493766261">
          <w:marLeft w:val="0"/>
          <w:marRight w:val="0"/>
          <w:marTop w:val="0"/>
          <w:marBottom w:val="0"/>
          <w:divBdr>
            <w:top w:val="none" w:sz="0" w:space="0" w:color="auto"/>
            <w:left w:val="none" w:sz="0" w:space="0" w:color="auto"/>
            <w:bottom w:val="none" w:sz="0" w:space="0" w:color="auto"/>
            <w:right w:val="none" w:sz="0" w:space="0" w:color="auto"/>
          </w:divBdr>
          <w:divsChild>
            <w:div w:id="711030753">
              <w:marLeft w:val="0"/>
              <w:marRight w:val="0"/>
              <w:marTop w:val="0"/>
              <w:marBottom w:val="0"/>
              <w:divBdr>
                <w:top w:val="none" w:sz="0" w:space="0" w:color="auto"/>
                <w:left w:val="none" w:sz="0" w:space="0" w:color="auto"/>
                <w:bottom w:val="none" w:sz="0" w:space="0" w:color="auto"/>
                <w:right w:val="none" w:sz="0" w:space="0" w:color="auto"/>
              </w:divBdr>
            </w:div>
          </w:divsChild>
        </w:div>
        <w:div w:id="1849178930">
          <w:marLeft w:val="0"/>
          <w:marRight w:val="0"/>
          <w:marTop w:val="0"/>
          <w:marBottom w:val="0"/>
          <w:divBdr>
            <w:top w:val="none" w:sz="0" w:space="0" w:color="auto"/>
            <w:left w:val="none" w:sz="0" w:space="0" w:color="auto"/>
            <w:bottom w:val="none" w:sz="0" w:space="0" w:color="auto"/>
            <w:right w:val="none" w:sz="0" w:space="0" w:color="auto"/>
          </w:divBdr>
          <w:divsChild>
            <w:div w:id="604533921">
              <w:marLeft w:val="0"/>
              <w:marRight w:val="0"/>
              <w:marTop w:val="0"/>
              <w:marBottom w:val="0"/>
              <w:divBdr>
                <w:top w:val="none" w:sz="0" w:space="0" w:color="auto"/>
                <w:left w:val="none" w:sz="0" w:space="0" w:color="auto"/>
                <w:bottom w:val="none" w:sz="0" w:space="0" w:color="auto"/>
                <w:right w:val="none" w:sz="0" w:space="0" w:color="auto"/>
              </w:divBdr>
            </w:div>
          </w:divsChild>
        </w:div>
        <w:div w:id="1715930366">
          <w:marLeft w:val="0"/>
          <w:marRight w:val="0"/>
          <w:marTop w:val="0"/>
          <w:marBottom w:val="0"/>
          <w:divBdr>
            <w:top w:val="none" w:sz="0" w:space="0" w:color="auto"/>
            <w:left w:val="none" w:sz="0" w:space="0" w:color="auto"/>
            <w:bottom w:val="none" w:sz="0" w:space="0" w:color="auto"/>
            <w:right w:val="none" w:sz="0" w:space="0" w:color="auto"/>
          </w:divBdr>
          <w:divsChild>
            <w:div w:id="26774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3626</Words>
  <Characters>20674</Characters>
  <Application>Microsoft Office Word</Application>
  <DocSecurity>0</DocSecurity>
  <Lines>172</Lines>
  <Paragraphs>48</Paragraphs>
  <ScaleCrop>false</ScaleCrop>
  <Company/>
  <LinksUpToDate>false</LinksUpToDate>
  <CharactersWithSpaces>24252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Lup (STU235108)</dc:creator>
  <cp:keywords/>
  <dc:description/>
  <cp:lastModifiedBy>Denisa Lup (STU235108)</cp:lastModifiedBy>
  <cp:revision>2</cp:revision>
  <dcterms:created xsi:type="dcterms:W3CDTF">2025-11-25T09:56:00Z</dcterms:created>
  <dcterms:modified xsi:type="dcterms:W3CDTF">2025-11-25T09:56:00Z</dcterms:modified>
</cp:coreProperties>
</file>