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3">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4">
      <w:pPr>
        <w:spacing w:line="36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Student Name: Ayesha Bano</w:t>
      </w:r>
    </w:p>
    <w:p w:rsidR="00000000" w:rsidDel="00000000" w:rsidP="00000000" w:rsidRDefault="00000000" w:rsidRPr="00000000" w14:paraId="00000005">
      <w:pPr>
        <w:spacing w:line="36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Student Number: 2522838</w:t>
      </w:r>
    </w:p>
    <w:p w:rsidR="00000000" w:rsidDel="00000000" w:rsidP="00000000" w:rsidRDefault="00000000" w:rsidRPr="00000000" w14:paraId="00000006">
      <w:pPr>
        <w:spacing w:line="36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Lecturer Name: Hajra Mustasim</w:t>
      </w:r>
    </w:p>
    <w:p w:rsidR="00000000" w:rsidDel="00000000" w:rsidP="00000000" w:rsidRDefault="00000000" w:rsidRPr="00000000" w14:paraId="00000007">
      <w:pPr>
        <w:spacing w:line="36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LCSH4007 Component 2</w:t>
      </w:r>
    </w:p>
    <w:p w:rsidR="00000000" w:rsidDel="00000000" w:rsidP="00000000" w:rsidRDefault="00000000" w:rsidRPr="00000000" w14:paraId="00000008">
      <w:pPr>
        <w:spacing w:line="36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Staff Burnout in UK Health and Social Care</w:t>
      </w:r>
    </w:p>
    <w:p w:rsidR="00000000" w:rsidDel="00000000" w:rsidP="00000000" w:rsidRDefault="00000000" w:rsidRPr="00000000" w14:paraId="00000009">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A">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F">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0">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1">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3">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4">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7">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8">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9">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A">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Arial" w:cs="Arial" w:eastAsia="Arial" w:hAnsi="Arial"/>
          <w:b w:val="1"/>
          <w:bCs w:val="1"/>
          <w:i w:val="0"/>
          <w:iCs w:val="0"/>
          <w:smallCaps w:val="0"/>
          <w:strike w:val="0"/>
          <w:color w:val="0f4761"/>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f4761"/>
          <w:sz w:val="28"/>
          <w:szCs w:val="28"/>
          <w:u w:val="none"/>
          <w:shd w:fill="auto" w:val="clear"/>
          <w:vertAlign w:val="baseline"/>
          <w:rtl w:val="0"/>
        </w:rPr>
        <w:t xml:space="preserve">Table of Contents</w:t>
      </w:r>
    </w:p>
    <w:sdt>
      <w:sdtPr>
        <w:id w:val="1425241381"/>
        <w:docPartObj>
          <w:docPartGallery w:val="Table of Contents"/>
          <w:docPartUnique w:val="1"/>
        </w:docPartObj>
      </w:sdtPr>
      <w:sdtContent>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24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lkom8jhx2cg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24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leti2fbwcamx">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Task 1 – Selection of a Research Topic</w:t>
              <w:tab/>
              <w:t xml:space="preserve">3</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78.00000000000006" w:lineRule="auto"/>
            <w:ind w:left="2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hwrm2yafecjo">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Defining the Issue</w:t>
              <w:tab/>
              <w:t xml:space="preserve">3</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78.00000000000006" w:lineRule="auto"/>
            <w:ind w:left="2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7h92n1t2cw3g">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Who Is Affected?</w:t>
              <w:tab/>
              <w:t xml:space="preserve">3</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78.00000000000006" w:lineRule="auto"/>
            <w:ind w:left="2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cmhkkmlqppk9">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Why It Matters</w:t>
              <w:tab/>
              <w:t xml:space="preserve">4</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78.00000000000006" w:lineRule="auto"/>
            <w:ind w:left="2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oihwv2tpj2k9">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Personal Reflection</w:t>
              <w:tab/>
              <w:t xml:space="preserve">4</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24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6ged5shfzycq">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Task 2 – Evaluating Information Sources</w:t>
              <w:tab/>
              <w:t xml:space="preserve">4</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78.00000000000006" w:lineRule="auto"/>
            <w:ind w:left="2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pz0zil80983y">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Source 1: Study by Soares et al. (2023)</w:t>
              <w:tab/>
              <w:t xml:space="preserve">4</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78.00000000000006" w:lineRule="auto"/>
            <w:ind w:left="2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srbn3oy5xspv">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Source 2: NHS England (2023) NHS Staff Survey Report</w:t>
              <w:tab/>
              <w:t xml:space="preserve">4</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78.00000000000006" w:lineRule="auto"/>
            <w:ind w:left="2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4hiun0ka1xga">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Source 3: Maddock (2023)</w:t>
              <w:tab/>
              <w:t xml:space="preserve">5</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24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tb1ve8hzhuf2">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Task 3 – Research Methodologies</w:t>
              <w:tab/>
              <w:t xml:space="preserve">5</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78.00000000000006" w:lineRule="auto"/>
            <w:ind w:left="2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iu3i4rkod2wy">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Definitions</w:t>
              <w:tab/>
              <w:t xml:space="preserve">5</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78.00000000000006" w:lineRule="auto"/>
            <w:ind w:left="2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qbiyy94l9r95">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Chosen Methodology for Future Study</w:t>
              <w:tab/>
              <w:t xml:space="preserve">6</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24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s1e8s3xl6wro">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Task 4 – Data Collection</w:t>
              <w:tab/>
              <w:t xml:space="preserve">6</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78.00000000000006" w:lineRule="auto"/>
            <w:ind w:left="2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hq5kuv94ou2z">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Primary vs. Secondary Data</w:t>
              <w:tab/>
              <w:t xml:space="preserve">6</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78.00000000000006" w:lineRule="auto"/>
            <w:ind w:left="2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9zf0o7ne3zg1">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Form of Data for Proposed Research</w:t>
              <w:tab/>
              <w:t xml:space="preserve">6</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78.00000000000006" w:lineRule="auto"/>
            <w:ind w:left="2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51wdd2e1gf3">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Type of Data Chosen</w:t>
              <w:tab/>
              <w:t xml:space="preserve">6</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78.00000000000006" w:lineRule="auto"/>
            <w:ind w:left="2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oobv45hybxnw">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Advantages</w:t>
              <w:tab/>
              <w:t xml:space="preserve">7</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78.00000000000006" w:lineRule="auto"/>
            <w:ind w:left="2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zg3bpfmq6q4w">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Challenges</w:t>
              <w:tab/>
              <w:t xml:space="preserve">7</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24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xoobgswk2y1q">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240" w:line="278.0000000000000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zaj4d063nhaj">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3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4">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7">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8">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9">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A">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B">
      <w:pPr>
        <w:pStyle w:val="Heading1"/>
        <w:spacing w:line="360" w:lineRule="auto"/>
        <w:jc w:val="both"/>
        <w:rPr/>
      </w:pPr>
      <w:bookmarkStart w:colFirst="0" w:colLast="0" w:name="_heading=h.lkom8jhx2cgr" w:id="0"/>
      <w:bookmarkEnd w:id="0"/>
      <w:r w:rsidDel="00000000" w:rsidR="00000000" w:rsidRPr="00000000">
        <w:rPr>
          <w:rtl w:val="0"/>
        </w:rPr>
        <w:t xml:space="preserve">Introduction </w:t>
      </w:r>
    </w:p>
    <w:p w:rsidR="00000000" w:rsidDel="00000000" w:rsidP="00000000" w:rsidRDefault="00000000" w:rsidRPr="00000000" w14:paraId="0000003C">
      <w:pPr>
        <w:spacing w:line="360" w:lineRule="auto"/>
        <w:jc w:val="both"/>
        <w:rPr/>
      </w:pPr>
      <w:r w:rsidDel="00000000" w:rsidR="00000000" w:rsidRPr="00000000">
        <w:rPr>
          <w:rtl w:val="0"/>
        </w:rPr>
        <w:t xml:space="preserve">Staff burnout is a critical problem with burning implications on workforce wellbeing, service quality, and patient outcomes in the UK health and social care sector (Shemtob et al., 2023). This report discusses the problem of burnout among healthcare professionals in the UK, the scholarly literature and data related to it, and the ways in which a small study can be carried out to learn more about this problem. It talks about evidence source, proper research methods, and data collection methods. Lastly, the report summarises the personal and professional significance of this subject and why learning about burnout is crucial to creating effective organisational support mechanisms.</w:t>
      </w:r>
    </w:p>
    <w:p w:rsidR="00000000" w:rsidDel="00000000" w:rsidP="00000000" w:rsidRDefault="00000000" w:rsidRPr="00000000" w14:paraId="0000003D">
      <w:pPr>
        <w:pStyle w:val="Heading1"/>
        <w:spacing w:line="360" w:lineRule="auto"/>
        <w:jc w:val="both"/>
        <w:rPr/>
      </w:pPr>
      <w:bookmarkStart w:colFirst="0" w:colLast="0" w:name="_heading=h.leti2fbwcamx" w:id="1"/>
      <w:bookmarkEnd w:id="1"/>
      <w:r w:rsidDel="00000000" w:rsidR="00000000" w:rsidRPr="00000000">
        <w:rPr>
          <w:rtl w:val="0"/>
        </w:rPr>
        <w:t xml:space="preserve">Task 1 – Selection of a Research Topic </w:t>
      </w:r>
    </w:p>
    <w:p w:rsidR="00000000" w:rsidDel="00000000" w:rsidP="00000000" w:rsidRDefault="00000000" w:rsidRPr="00000000" w14:paraId="0000003E">
      <w:pPr>
        <w:pStyle w:val="Heading2"/>
        <w:spacing w:line="360" w:lineRule="auto"/>
        <w:jc w:val="both"/>
        <w:rPr/>
      </w:pPr>
      <w:bookmarkStart w:colFirst="0" w:colLast="0" w:name="_heading=h.hwrm2yafecjo" w:id="2"/>
      <w:bookmarkEnd w:id="2"/>
      <w:r w:rsidDel="00000000" w:rsidR="00000000" w:rsidRPr="00000000">
        <w:rPr>
          <w:rtl w:val="0"/>
        </w:rPr>
        <w:t xml:space="preserve">Defining the Issue</w:t>
      </w:r>
    </w:p>
    <w:p w:rsidR="00000000" w:rsidDel="00000000" w:rsidP="00000000" w:rsidRDefault="00000000" w:rsidRPr="00000000" w14:paraId="0000003F">
      <w:pPr>
        <w:spacing w:line="360" w:lineRule="auto"/>
        <w:jc w:val="both"/>
        <w:rPr/>
      </w:pPr>
      <w:r w:rsidDel="00000000" w:rsidR="00000000" w:rsidRPr="00000000">
        <w:rPr>
          <w:rtl w:val="0"/>
        </w:rPr>
        <w:t xml:space="preserve">Staff burnout is a long-term physical and emotional fatigue caused by the inability to cope with the stress at work (Khammissa et al., 2022). Burnout is a problem that affects nurses, doctors, care assistants, allied health professionals, and support staff in the UK context of health and social care in hospitals, care homes, and community services. It is defined by exhaustion, depersonalisation of patients, loss of professional effectiveness, and emotional pressure (Shemtob et al., 2023).</w:t>
      </w:r>
    </w:p>
    <w:p w:rsidR="00000000" w:rsidDel="00000000" w:rsidP="00000000" w:rsidRDefault="00000000" w:rsidRPr="00000000" w14:paraId="00000040">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Current data indicates burnout among NHS employees is high. According to a 2023 NHS Staff Survey, approximately 44 per cent of employees have experienced work related stress, with many citing burnout as one of the main factors influencing their work life and health levels of job satisfaction (NHS England, 2023). The same tendency has been traced in social care contexts: Costello et al. (2019) discovered that care workers reported high emotional exhaustion rates and turnover intentions, which were associated with workforce shortage and lack of organisational support.</w:t>
      </w:r>
    </w:p>
    <w:p w:rsidR="00000000" w:rsidDel="00000000" w:rsidP="00000000" w:rsidRDefault="00000000" w:rsidRPr="00000000" w14:paraId="00000041">
      <w:pPr>
        <w:pStyle w:val="Heading2"/>
        <w:spacing w:line="360" w:lineRule="auto"/>
        <w:jc w:val="both"/>
        <w:rPr/>
      </w:pPr>
      <w:bookmarkStart w:colFirst="0" w:colLast="0" w:name="_heading=h.7h92n1t2cw3g" w:id="3"/>
      <w:bookmarkEnd w:id="3"/>
      <w:r w:rsidDel="00000000" w:rsidR="00000000" w:rsidRPr="00000000">
        <w:rPr>
          <w:rtl w:val="0"/>
        </w:rPr>
        <w:t xml:space="preserve">Who Is Affected?</w:t>
      </w:r>
    </w:p>
    <w:p w:rsidR="00000000" w:rsidDel="00000000" w:rsidP="00000000" w:rsidRDefault="00000000" w:rsidRPr="00000000" w14:paraId="00000042">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Both clinical and non clinical workers are affected by burnout. The clinicians at the front line, emergency department staff, and intensive care nurses, are especially susceptible to the high workloads and exposures to traumatic situations. Long hours and shortage of resources also lead to burnout among social care workers in residential settings. Burnout lowers productivity, raises absenteeism, heightens the risk of medical errors, and deteriorates the quality of care provided to service users (Schmidt et al., 2024).</w:t>
      </w:r>
    </w:p>
    <w:p w:rsidR="00000000" w:rsidDel="00000000" w:rsidP="00000000" w:rsidRDefault="00000000" w:rsidRPr="00000000" w14:paraId="00000043">
      <w:pPr>
        <w:pStyle w:val="Heading2"/>
        <w:spacing w:line="360" w:lineRule="auto"/>
        <w:jc w:val="both"/>
        <w:rPr/>
      </w:pPr>
      <w:bookmarkStart w:colFirst="0" w:colLast="0" w:name="_heading=h.cmhkkmlqppk9" w:id="4"/>
      <w:bookmarkEnd w:id="4"/>
      <w:r w:rsidDel="00000000" w:rsidR="00000000" w:rsidRPr="00000000">
        <w:rPr>
          <w:rtl w:val="0"/>
        </w:rPr>
        <w:t xml:space="preserve">Why It Matters</w:t>
      </w:r>
    </w:p>
    <w:p w:rsidR="00000000" w:rsidDel="00000000" w:rsidP="00000000" w:rsidRDefault="00000000" w:rsidRPr="00000000" w14:paraId="00000044">
      <w:pPr>
        <w:spacing w:line="360" w:lineRule="auto"/>
        <w:jc w:val="both"/>
        <w:rPr/>
      </w:pPr>
      <w:r w:rsidDel="00000000" w:rsidR="00000000" w:rsidRPr="00000000">
        <w:rPr>
          <w:rtl w:val="0"/>
        </w:rPr>
        <w:t xml:space="preserve">The effects of burnout are adverse at personal, organisational, and systemic levels. It is a contributor to mental health issues in staff, negatively impacts retention, raises recruitment expenses and harms patient safety. To service users, burnout may result in decreased empathy, communication failures, and declines in the overall quality of care (Khammissa et al., 2022).</w:t>
      </w:r>
    </w:p>
    <w:p w:rsidR="00000000" w:rsidDel="00000000" w:rsidP="00000000" w:rsidRDefault="00000000" w:rsidRPr="00000000" w14:paraId="00000045">
      <w:pPr>
        <w:pStyle w:val="Heading2"/>
        <w:spacing w:line="360" w:lineRule="auto"/>
        <w:jc w:val="both"/>
        <w:rPr/>
      </w:pPr>
      <w:bookmarkStart w:colFirst="0" w:colLast="0" w:name="_heading=h.oihwv2tpj2k9" w:id="5"/>
      <w:bookmarkEnd w:id="5"/>
      <w:r w:rsidDel="00000000" w:rsidR="00000000" w:rsidRPr="00000000">
        <w:rPr>
          <w:rtl w:val="0"/>
        </w:rPr>
        <w:t xml:space="preserve">Personal Reflection</w:t>
      </w:r>
    </w:p>
    <w:p w:rsidR="00000000" w:rsidDel="00000000" w:rsidP="00000000" w:rsidRDefault="00000000" w:rsidRPr="00000000" w14:paraId="00000046">
      <w:pPr>
        <w:spacing w:line="360" w:lineRule="auto"/>
        <w:jc w:val="both"/>
        <w:rPr/>
      </w:pPr>
      <w:r w:rsidDel="00000000" w:rsidR="00000000" w:rsidRPr="00000000">
        <w:rPr>
          <w:rtl w:val="0"/>
        </w:rPr>
        <w:t xml:space="preserve">I selected this subject due to my future career in healthcare management. Workforce wellbeing directly relates to service quality and sustainable care delivery. I am interested because I have noticed the stress among colleagues, and I desire evidence based strategies that can help the health workforce. This subject also connects to my health services management and organisational behaviour studies.</w:t>
      </w:r>
    </w:p>
    <w:p w:rsidR="00000000" w:rsidDel="00000000" w:rsidP="00000000" w:rsidRDefault="00000000" w:rsidRPr="00000000" w14:paraId="00000047">
      <w:pPr>
        <w:pStyle w:val="Heading1"/>
        <w:spacing w:line="360" w:lineRule="auto"/>
        <w:jc w:val="both"/>
        <w:rPr/>
      </w:pPr>
      <w:bookmarkStart w:colFirst="0" w:colLast="0" w:name="_heading=h.6ged5shfzycq" w:id="6"/>
      <w:bookmarkEnd w:id="6"/>
      <w:r w:rsidDel="00000000" w:rsidR="00000000" w:rsidRPr="00000000">
        <w:rPr>
          <w:rtl w:val="0"/>
        </w:rPr>
        <w:t xml:space="preserve">Task 2 – Evaluating Information Sources </w:t>
      </w:r>
    </w:p>
    <w:p w:rsidR="00000000" w:rsidDel="00000000" w:rsidP="00000000" w:rsidRDefault="00000000" w:rsidRPr="00000000" w14:paraId="00000048">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To develop a strong evidential foundation, three credible sources on staff burnout were selected. These include peer-reviewed research articles and sector reports.</w:t>
      </w:r>
    </w:p>
    <w:p w:rsidR="00000000" w:rsidDel="00000000" w:rsidP="00000000" w:rsidRDefault="00000000" w:rsidRPr="00000000" w14:paraId="00000049">
      <w:pPr>
        <w:pStyle w:val="Heading2"/>
        <w:spacing w:line="360" w:lineRule="auto"/>
        <w:jc w:val="both"/>
        <w:rPr/>
      </w:pPr>
      <w:bookmarkStart w:colFirst="0" w:colLast="0" w:name="_heading=h.pz0zil80983y" w:id="7"/>
      <w:bookmarkEnd w:id="7"/>
      <w:r w:rsidDel="00000000" w:rsidR="00000000" w:rsidRPr="00000000">
        <w:rPr>
          <w:rtl w:val="0"/>
        </w:rPr>
        <w:t xml:space="preserve">Source 1: Study by Soares </w:t>
      </w:r>
      <w:r w:rsidDel="00000000" w:rsidR="00000000" w:rsidRPr="00000000">
        <w:rPr>
          <w:i w:val="1"/>
          <w:iCs w:val="1"/>
          <w:rtl w:val="0"/>
        </w:rPr>
        <w:t xml:space="preserve">et al.</w:t>
      </w:r>
      <w:r w:rsidDel="00000000" w:rsidR="00000000" w:rsidRPr="00000000">
        <w:rPr>
          <w:rtl w:val="0"/>
        </w:rPr>
        <w:t xml:space="preserve"> (2023)</w:t>
      </w:r>
    </w:p>
    <w:p w:rsidR="00000000" w:rsidDel="00000000" w:rsidP="00000000" w:rsidRDefault="00000000" w:rsidRPr="00000000" w14:paraId="0000004A">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This introductory review paper describes the nature of burnout, its psychological aspects, and Maslach Burnout Inventory (MBI), a proven measurement scale with extensive health research applications. The source offers a theoretical foundation of burnout, with its central dimensions conceptualized as emotional exhaustion, depersonalisation and diminished personal accomplishment. It helps to appreciate the conceptualisation and measurement of burnout in research. Applying the Maslach paradigm enhances the theoretical foundation of the report. It demonstrates that burnout is not an ordinary stress but a syndrome with quantifiable components. Although baseline, the article lacks UK specific data or discusses organisational mitigation strategies. The current UK picture requires recent statistics and contextual analysis.</w:t>
      </w:r>
    </w:p>
    <w:p w:rsidR="00000000" w:rsidDel="00000000" w:rsidP="00000000" w:rsidRDefault="00000000" w:rsidRPr="00000000" w14:paraId="0000004B">
      <w:pPr>
        <w:pStyle w:val="Heading2"/>
        <w:spacing w:line="360" w:lineRule="auto"/>
        <w:jc w:val="both"/>
        <w:rPr/>
      </w:pPr>
      <w:bookmarkStart w:colFirst="0" w:colLast="0" w:name="_heading=h.srbn3oy5xspv" w:id="8"/>
      <w:bookmarkEnd w:id="8"/>
      <w:r w:rsidDel="00000000" w:rsidR="00000000" w:rsidRPr="00000000">
        <w:rPr>
          <w:rtl w:val="0"/>
        </w:rPr>
        <w:t xml:space="preserve">Source 2: NHS England (2023) NHS Staff Survey Report</w:t>
      </w:r>
    </w:p>
    <w:p w:rsidR="00000000" w:rsidDel="00000000" w:rsidP="00000000" w:rsidRDefault="00000000" w:rsidRPr="00000000" w14:paraId="0000004C">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This survey is an annual survey of NHS personnel on experiences, wellbeing, workloads and organisational culture. The 2023 report reported an increase in workplace stress and burnout. Being a massive empirical dataset provided as a survey of UK healthcare workers, this source provides up-to-date quantitative data on burnout prevalence. It is very applicable in interdepartmental, inter-role, and inter-regional pattern awareness. It shows that NHS staff burnout is not limited to certain positions. This supports the importance of the problem and makes it clear that organisational research and intervention are required. The questionnaire lacks a profound study of causes or qualitative experiences of burnout. It gives statistics but minimal information about lived experiences or causes of trends (Kituno, 2026).</w:t>
      </w:r>
    </w:p>
    <w:p w:rsidR="00000000" w:rsidDel="00000000" w:rsidP="00000000" w:rsidRDefault="00000000" w:rsidRPr="00000000" w14:paraId="0000004D">
      <w:pPr>
        <w:pStyle w:val="Heading2"/>
        <w:spacing w:line="360" w:lineRule="auto"/>
        <w:jc w:val="both"/>
        <w:rPr/>
      </w:pPr>
      <w:bookmarkStart w:colFirst="0" w:colLast="0" w:name="_heading=h.4hiun0ka1xga" w:id="9"/>
      <w:bookmarkEnd w:id="9"/>
      <w:r w:rsidDel="00000000" w:rsidR="00000000" w:rsidRPr="00000000">
        <w:rPr>
          <w:rtl w:val="0"/>
        </w:rPr>
        <w:t xml:space="preserve">Source 3: Maddock (2023) </w:t>
      </w:r>
    </w:p>
    <w:p w:rsidR="00000000" w:rsidDel="00000000" w:rsidP="00000000" w:rsidRDefault="00000000" w:rsidRPr="00000000" w14:paraId="0000004E">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present cross-sectional study compared stress, burnout, anxiety, depression, and mental well-being among 121 social workers. It discovered that a significant proportion of them reported having mild to severe anxiety, depression, and diminished well-being, where perceived stress was a universal risk factor. Emotional exhaustion was a risk factor of anxiety, whereas personal accomplishment shielded against depression and enhanced positive well-being. The source is also valuable in the context of the report on workforce wellbeing because it directly correlates staff burnout with mental health and job performance. Nevertheless, the study has several limitations such as having a small sample size, no longitudinal data, and no intervention assessment of burnout as time passes.</w:t>
      </w:r>
    </w:p>
    <w:p w:rsidR="00000000" w:rsidDel="00000000" w:rsidP="00000000" w:rsidRDefault="00000000" w:rsidRPr="00000000" w14:paraId="0000004F">
      <w:pPr>
        <w:spacing w:line="360" w:lineRule="auto"/>
        <w:jc w:val="both"/>
        <w:rPr/>
      </w:pPr>
      <w:r w:rsidDel="00000000" w:rsidR="00000000" w:rsidRPr="00000000">
        <w:rPr>
          <w:rtl w:val="0"/>
        </w:rPr>
        <w:t xml:space="preserve">The chosen sources present theoretical, quantitative, and qualitative insights into burnout collectively. They show that burnout is quantifiable, common, and effective in health and social care. Nevertheless, there are shortcomings in causation explanations, intervention effectiveness, and UK wide qualitative studies. My suggested research will contribute to bridging some of these gaps through examining both prevalence and worker experiences.</w:t>
      </w:r>
    </w:p>
    <w:p w:rsidR="00000000" w:rsidDel="00000000" w:rsidP="00000000" w:rsidRDefault="00000000" w:rsidRPr="00000000" w14:paraId="00000050">
      <w:pPr>
        <w:pStyle w:val="Heading1"/>
        <w:spacing w:line="360" w:lineRule="auto"/>
        <w:jc w:val="both"/>
        <w:rPr/>
      </w:pPr>
      <w:bookmarkStart w:colFirst="0" w:colLast="0" w:name="_heading=h.tb1ve8hzhuf2" w:id="10"/>
      <w:bookmarkEnd w:id="10"/>
      <w:r w:rsidDel="00000000" w:rsidR="00000000" w:rsidRPr="00000000">
        <w:rPr>
          <w:rtl w:val="0"/>
        </w:rPr>
        <w:t xml:space="preserve">Task 3 – Research Methodologies </w:t>
      </w:r>
    </w:p>
    <w:p w:rsidR="00000000" w:rsidDel="00000000" w:rsidP="00000000" w:rsidRDefault="00000000" w:rsidRPr="00000000" w14:paraId="00000051">
      <w:pPr>
        <w:pStyle w:val="Heading2"/>
        <w:spacing w:line="360" w:lineRule="auto"/>
        <w:jc w:val="both"/>
        <w:rPr/>
      </w:pPr>
      <w:bookmarkStart w:colFirst="0" w:colLast="0" w:name="_heading=h.iu3i4rkod2wy" w:id="11"/>
      <w:bookmarkEnd w:id="11"/>
      <w:r w:rsidDel="00000000" w:rsidR="00000000" w:rsidRPr="00000000">
        <w:rPr>
          <w:rtl w:val="0"/>
        </w:rPr>
        <w:t xml:space="preserve">Definitions</w:t>
      </w:r>
    </w:p>
    <w:p w:rsidR="00000000" w:rsidDel="00000000" w:rsidP="00000000" w:rsidRDefault="00000000" w:rsidRPr="00000000" w14:paraId="00000052">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Quantitative research entails gathering of numerical information, which can be statistically assessed. It can be readily used to measure prevalence, variable relationships, and trends in large samples. These can be surveys and structured questionnaires (Saunders, Lewis and Thornhill, 2019).</w:t>
      </w:r>
    </w:p>
    <w:p w:rsidR="00000000" w:rsidDel="00000000" w:rsidP="00000000" w:rsidRDefault="00000000" w:rsidRPr="00000000" w14:paraId="00000053">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Qualitative research involves non numerical data that includes text, accounts, or facts. It looks into senses, experiences, and attitudes. Typical techniques are interviews, focus groups and thematic analysis.</w:t>
      </w:r>
    </w:p>
    <w:p w:rsidR="00000000" w:rsidDel="00000000" w:rsidP="00000000" w:rsidRDefault="00000000" w:rsidRPr="00000000" w14:paraId="00000054">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Mixed methods research uses quantitative and qualitative research methods to present a holistic view. To illustrate, a research can employ surveys to measure the level of burnout and interviews to understand personal experience (Wasti et al., 2022).</w:t>
      </w:r>
    </w:p>
    <w:p w:rsidR="00000000" w:rsidDel="00000000" w:rsidP="00000000" w:rsidRDefault="00000000" w:rsidRPr="00000000" w14:paraId="00000055">
      <w:pPr>
        <w:pStyle w:val="Heading2"/>
        <w:spacing w:line="360" w:lineRule="auto"/>
        <w:jc w:val="both"/>
        <w:rPr/>
      </w:pPr>
      <w:bookmarkStart w:colFirst="0" w:colLast="0" w:name="_heading=h.qbiyy94l9r95" w:id="12"/>
      <w:bookmarkEnd w:id="12"/>
      <w:r w:rsidDel="00000000" w:rsidR="00000000" w:rsidRPr="00000000">
        <w:rPr>
          <w:rtl w:val="0"/>
        </w:rPr>
        <w:t xml:space="preserve">Chosen Methodology for Future Study</w:t>
      </w:r>
    </w:p>
    <w:p w:rsidR="00000000" w:rsidDel="00000000" w:rsidP="00000000" w:rsidRDefault="00000000" w:rsidRPr="00000000" w14:paraId="00000056">
      <w:pPr>
        <w:spacing w:line="360" w:lineRule="auto"/>
        <w:jc w:val="both"/>
        <w:rPr/>
      </w:pPr>
      <w:r w:rsidDel="00000000" w:rsidR="00000000" w:rsidRPr="00000000">
        <w:rPr>
          <w:rtl w:val="0"/>
        </w:rPr>
        <w:t xml:space="preserve">In this research project on staff burnout, a mixed methods approach will be applied. This approach is appropriate as burnout is both measurable and experiential. Survey-collected quantitative data may be used to define the prevalence of burnout among health and social care workers in the UK, and may be used to determine relationship with other variables, including workload or job role. Semi structured interviews that produce qualitative data may help gain more in-depth insights into the lived experience of workers, their perceptions of organisational support, and contextual aspects that drive burnout (Wasti et al., 2022). Triangulation is possible under a mixed methods design, enhancing the credibility and depth of findings. Quantitative findings produce evidence that is generalisable, whereas qualitative stories present nuances and real-world encounters that cannot be expressed in numbers. This method achieves the research objective of knowing both scale and subjective effect (Saunders, Lewis and Thornhill, 2019).</w:t>
      </w:r>
    </w:p>
    <w:p w:rsidR="00000000" w:rsidDel="00000000" w:rsidP="00000000" w:rsidRDefault="00000000" w:rsidRPr="00000000" w14:paraId="00000057">
      <w:pPr>
        <w:pStyle w:val="Heading1"/>
        <w:spacing w:line="360" w:lineRule="auto"/>
        <w:jc w:val="both"/>
        <w:rPr/>
      </w:pPr>
      <w:bookmarkStart w:colFirst="0" w:colLast="0" w:name="_heading=h.s1e8s3xl6wro" w:id="13"/>
      <w:bookmarkEnd w:id="13"/>
      <w:r w:rsidDel="00000000" w:rsidR="00000000" w:rsidRPr="00000000">
        <w:rPr>
          <w:rtl w:val="0"/>
        </w:rPr>
        <w:t xml:space="preserve">Task 4 – Data Collection </w:t>
      </w:r>
    </w:p>
    <w:p w:rsidR="00000000" w:rsidDel="00000000" w:rsidP="00000000" w:rsidRDefault="00000000" w:rsidRPr="00000000" w14:paraId="00000058">
      <w:pPr>
        <w:pStyle w:val="Heading2"/>
        <w:spacing w:line="360" w:lineRule="auto"/>
        <w:jc w:val="both"/>
        <w:rPr/>
      </w:pPr>
      <w:bookmarkStart w:colFirst="0" w:colLast="0" w:name="_heading=h.hq5kuv94ou2z" w:id="14"/>
      <w:bookmarkEnd w:id="14"/>
      <w:r w:rsidDel="00000000" w:rsidR="00000000" w:rsidRPr="00000000">
        <w:rPr>
          <w:rtl w:val="0"/>
        </w:rPr>
        <w:t xml:space="preserve">Primary vs. Secondary Data</w:t>
      </w:r>
    </w:p>
    <w:p w:rsidR="00000000" w:rsidDel="00000000" w:rsidP="00000000" w:rsidRDefault="00000000" w:rsidRPr="00000000" w14:paraId="00000059">
      <w:pPr>
        <w:spacing w:after="280" w:before="280" w:line="360" w:lineRule="auto"/>
        <w:jc w:val="both"/>
        <w:rPr>
          <w:rFonts w:ascii="Arial" w:cs="Arial" w:eastAsia="Arial" w:hAnsi="Arial"/>
        </w:rPr>
      </w:pPr>
      <w:r w:rsidDel="00000000" w:rsidR="00000000" w:rsidRPr="00000000">
        <w:rPr>
          <w:rFonts w:ascii="Arial" w:cs="Arial" w:eastAsia="Arial" w:hAnsi="Arial"/>
          <w:b w:val="1"/>
          <w:bCs w:val="1"/>
          <w:rtl w:val="0"/>
        </w:rPr>
        <w:t xml:space="preserve">Primary data</w:t>
      </w:r>
      <w:r w:rsidDel="00000000" w:rsidR="00000000" w:rsidRPr="00000000">
        <w:rPr>
          <w:rFonts w:ascii="Arial" w:cs="Arial" w:eastAsia="Arial" w:hAnsi="Arial"/>
          <w:rtl w:val="0"/>
        </w:rPr>
        <w:t xml:space="preserve"> are original data collected directly by the researcher for a specific purpose—for example, surveys or interviews. </w:t>
      </w:r>
      <w:r w:rsidDel="00000000" w:rsidR="00000000" w:rsidRPr="00000000">
        <w:rPr>
          <w:rFonts w:ascii="Arial" w:cs="Arial" w:eastAsia="Arial" w:hAnsi="Arial"/>
          <w:b w:val="1"/>
          <w:bCs w:val="1"/>
          <w:rtl w:val="0"/>
        </w:rPr>
        <w:t xml:space="preserve">Secondary data</w:t>
      </w:r>
      <w:r w:rsidDel="00000000" w:rsidR="00000000" w:rsidRPr="00000000">
        <w:rPr>
          <w:rFonts w:ascii="Arial" w:cs="Arial" w:eastAsia="Arial" w:hAnsi="Arial"/>
          <w:rtl w:val="0"/>
        </w:rPr>
        <w:t xml:space="preserve"> are existing data collected by other researchers or organisations, such as published reports or datasets (Saunders, Lewis and Thornhill, 2019).</w:t>
      </w:r>
    </w:p>
    <w:p w:rsidR="00000000" w:rsidDel="00000000" w:rsidP="00000000" w:rsidRDefault="00000000" w:rsidRPr="00000000" w14:paraId="0000005A">
      <w:pPr>
        <w:pStyle w:val="Heading2"/>
        <w:spacing w:line="360" w:lineRule="auto"/>
        <w:jc w:val="both"/>
        <w:rPr/>
      </w:pPr>
      <w:bookmarkStart w:colFirst="0" w:colLast="0" w:name="_heading=h.9zf0o7ne3zg1" w:id="15"/>
      <w:bookmarkEnd w:id="15"/>
      <w:r w:rsidDel="00000000" w:rsidR="00000000" w:rsidRPr="00000000">
        <w:rPr>
          <w:rtl w:val="0"/>
        </w:rPr>
        <w:t xml:space="preserve">Form of Data for Proposed Research</w:t>
      </w:r>
    </w:p>
    <w:p w:rsidR="00000000" w:rsidDel="00000000" w:rsidP="00000000" w:rsidRDefault="00000000" w:rsidRPr="00000000" w14:paraId="0000005B">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For this study, both </w:t>
      </w:r>
      <w:r w:rsidDel="00000000" w:rsidR="00000000" w:rsidRPr="00000000">
        <w:rPr>
          <w:rFonts w:ascii="Arial" w:cs="Arial" w:eastAsia="Arial" w:hAnsi="Arial"/>
          <w:b w:val="1"/>
          <w:bCs w:val="1"/>
          <w:rtl w:val="0"/>
        </w:rPr>
        <w:t xml:space="preserve">primary and secondary data</w:t>
      </w:r>
      <w:r w:rsidDel="00000000" w:rsidR="00000000" w:rsidRPr="00000000">
        <w:rPr>
          <w:rFonts w:ascii="Arial" w:cs="Arial" w:eastAsia="Arial" w:hAnsi="Arial"/>
          <w:rtl w:val="0"/>
        </w:rPr>
        <w:t xml:space="preserve"> will be used. Secondary data will include review of NHS Staff Survey datasets and existing academic studies on burnout. Primary data will be collected through an online questionnaire and semi-structured interviews with health and social care professionals.</w:t>
      </w:r>
    </w:p>
    <w:p w:rsidR="00000000" w:rsidDel="00000000" w:rsidP="00000000" w:rsidRDefault="00000000" w:rsidRPr="00000000" w14:paraId="0000005C">
      <w:pPr>
        <w:pStyle w:val="Heading2"/>
        <w:spacing w:line="360" w:lineRule="auto"/>
        <w:jc w:val="both"/>
        <w:rPr/>
      </w:pPr>
      <w:bookmarkStart w:colFirst="0" w:colLast="0" w:name="_heading=h.51wdd2e1gf3" w:id="16"/>
      <w:bookmarkEnd w:id="16"/>
      <w:r w:rsidDel="00000000" w:rsidR="00000000" w:rsidRPr="00000000">
        <w:rPr>
          <w:rtl w:val="0"/>
        </w:rPr>
        <w:t xml:space="preserve">Type of Data Chosen</w:t>
      </w:r>
    </w:p>
    <w:p w:rsidR="00000000" w:rsidDel="00000000" w:rsidP="00000000" w:rsidRDefault="00000000" w:rsidRPr="00000000" w14:paraId="0000005D">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The main types of data will be mixed data:</w:t>
      </w:r>
    </w:p>
    <w:p w:rsidR="00000000" w:rsidDel="00000000" w:rsidP="00000000" w:rsidRDefault="00000000" w:rsidRPr="00000000" w14:paraId="0000005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Structured survey questions (quantitative (numerical)) with measurement of burnout levels based on an adapted Maslach Burnout Inventory scale.</w:t>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Qualitative (textual) data, interpersonal interviews and investigation of personal experiences and perceptions.</w:t>
      </w:r>
    </w:p>
    <w:p w:rsidR="00000000" w:rsidDel="00000000" w:rsidP="00000000" w:rsidRDefault="00000000" w:rsidRPr="00000000" w14:paraId="00000060">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Mixed data type is used in accordance with mixed methods design. Quantitative data allows statistically analyzing prevalence and correlations among variables (e.g., job role and burnout levels). Qualitative data adds to the knowledge about the experience of burnout and the perceived organisational factors most significant.</w:t>
      </w:r>
    </w:p>
    <w:p w:rsidR="00000000" w:rsidDel="00000000" w:rsidP="00000000" w:rsidRDefault="00000000" w:rsidRPr="00000000" w14:paraId="00000061">
      <w:pPr>
        <w:pStyle w:val="Heading2"/>
        <w:spacing w:line="360" w:lineRule="auto"/>
        <w:jc w:val="both"/>
        <w:rPr/>
      </w:pPr>
      <w:bookmarkStart w:colFirst="0" w:colLast="0" w:name="_heading=h.oobv45hybxnw" w:id="17"/>
      <w:bookmarkEnd w:id="17"/>
      <w:r w:rsidDel="00000000" w:rsidR="00000000" w:rsidRPr="00000000">
        <w:rPr>
          <w:rtl w:val="0"/>
        </w:rPr>
        <w:t xml:space="preserve">Advantages</w:t>
      </w:r>
    </w:p>
    <w:p w:rsidR="00000000" w:rsidDel="00000000" w:rsidP="00000000" w:rsidRDefault="00000000" w:rsidRPr="00000000" w14:paraId="000000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Breadth and depth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Combined data types provide comprehensive insights.</w:t>
      </w:r>
    </w:p>
    <w:p w:rsidR="00000000" w:rsidDel="00000000" w:rsidP="00000000" w:rsidRDefault="00000000" w:rsidRPr="00000000" w14:paraId="000000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Triangulation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Cross-validation increases credibility</w:t>
      </w:r>
    </w:p>
    <w:p w:rsidR="00000000" w:rsidDel="00000000" w:rsidP="00000000" w:rsidRDefault="00000000" w:rsidRPr="00000000" w14:paraId="000000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Participant voice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Qualitative data captures real-world context. (Saunders, Lewis and Thornhill, 2019)</w:t>
      </w:r>
    </w:p>
    <w:p w:rsidR="00000000" w:rsidDel="00000000" w:rsidP="00000000" w:rsidRDefault="00000000" w:rsidRPr="00000000" w14:paraId="00000065">
      <w:pPr>
        <w:pStyle w:val="Heading2"/>
        <w:spacing w:line="360" w:lineRule="auto"/>
        <w:jc w:val="both"/>
        <w:rPr/>
      </w:pPr>
      <w:bookmarkStart w:colFirst="0" w:colLast="0" w:name="_heading=h.zg3bpfmq6q4w" w:id="18"/>
      <w:bookmarkEnd w:id="18"/>
      <w:r w:rsidDel="00000000" w:rsidR="00000000" w:rsidRPr="00000000">
        <w:rPr>
          <w:rtl w:val="0"/>
        </w:rPr>
        <w:t xml:space="preserve">Challenges</w:t>
      </w:r>
    </w:p>
    <w:p w:rsidR="00000000" w:rsidDel="00000000" w:rsidP="00000000" w:rsidRDefault="00000000" w:rsidRPr="00000000" w14:paraId="000000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Time and resources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Collecting and analysing both data types requires more effort.</w:t>
      </w:r>
    </w:p>
    <w:p w:rsidR="00000000" w:rsidDel="00000000" w:rsidP="00000000" w:rsidRDefault="00000000" w:rsidRPr="00000000" w14:paraId="0000006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Analysis complexity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Integrating numerical and narrative data demands careful methodological planning.</w:t>
      </w:r>
    </w:p>
    <w:p w:rsidR="00000000" w:rsidDel="00000000" w:rsidP="00000000" w:rsidRDefault="00000000" w:rsidRPr="00000000" w14:paraId="000000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Recruitment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Securing participant engagement across diverse settings may be difficult (Jindal-Snape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2020)</w:t>
      </w:r>
    </w:p>
    <w:p w:rsidR="00000000" w:rsidDel="00000000" w:rsidP="00000000" w:rsidRDefault="00000000" w:rsidRPr="00000000" w14:paraId="00000069">
      <w:pPr>
        <w:spacing w:after="280" w:before="280" w:line="360" w:lineRule="auto"/>
        <w:jc w:val="both"/>
        <w:rPr>
          <w:rFonts w:ascii="Arial" w:cs="Arial" w:eastAsia="Arial" w:hAnsi="Arial"/>
        </w:rPr>
      </w:pPr>
      <w:r w:rsidDel="00000000" w:rsidR="00000000" w:rsidRPr="00000000">
        <w:rPr>
          <w:rFonts w:ascii="Arial" w:cs="Arial" w:eastAsia="Arial" w:hAnsi="Arial"/>
          <w:rtl w:val="0"/>
        </w:rPr>
        <w:t xml:space="preserve">Despite challenges, the benefits of producing robust, actionable evidence make the mixed data approach appropriate.</w:t>
      </w:r>
    </w:p>
    <w:p w:rsidR="00000000" w:rsidDel="00000000" w:rsidP="00000000" w:rsidRDefault="00000000" w:rsidRPr="00000000" w14:paraId="0000006A">
      <w:pPr>
        <w:pStyle w:val="Heading1"/>
        <w:spacing w:line="360" w:lineRule="auto"/>
        <w:jc w:val="both"/>
        <w:rPr/>
      </w:pPr>
      <w:bookmarkStart w:colFirst="0" w:colLast="0" w:name="_heading=h.xoobgswk2y1q" w:id="19"/>
      <w:bookmarkEnd w:id="19"/>
      <w:r w:rsidDel="00000000" w:rsidR="00000000" w:rsidRPr="00000000">
        <w:rPr>
          <w:rtl w:val="0"/>
        </w:rPr>
        <w:t xml:space="preserve">Conclusion </w:t>
      </w:r>
    </w:p>
    <w:p w:rsidR="00000000" w:rsidDel="00000000" w:rsidP="00000000" w:rsidRDefault="00000000" w:rsidRPr="00000000" w14:paraId="0000006B">
      <w:pPr>
        <w:spacing w:line="360" w:lineRule="auto"/>
        <w:jc w:val="both"/>
        <w:rPr>
          <w:rFonts w:ascii="Arial" w:cs="Arial" w:eastAsia="Arial" w:hAnsi="Arial"/>
        </w:rPr>
      </w:pPr>
      <w:r w:rsidDel="00000000" w:rsidR="00000000" w:rsidRPr="00000000">
        <w:rPr>
          <w:rFonts w:ascii="Arial" w:cs="Arial" w:eastAsia="Arial" w:hAnsi="Arial"/>
          <w:rtl w:val="0"/>
        </w:rPr>
        <w:t xml:space="preserve">The issue of staff burnout in the UK health and social care sector is a major contributor to the wellbeing, performance, and quality of care. This report provided the problem statement, reviewed literature and developed a mixed methods research proposal based on primary and secondary data. The proposed study is expected to add value by integrating both quantitative and qualitative data through narratives. Workforce sustainability, improved patient outcomes, and organisational resilience in the changing care environment in the UK all require comprehension and management of burnout.</w:t>
      </w:r>
    </w:p>
    <w:p w:rsidR="00000000" w:rsidDel="00000000" w:rsidP="00000000" w:rsidRDefault="00000000" w:rsidRPr="00000000" w14:paraId="0000006C">
      <w:pPr>
        <w:pStyle w:val="Heading1"/>
        <w:rPr/>
      </w:pPr>
      <w:bookmarkStart w:colFirst="0" w:colLast="0" w:name="_heading=h.zaj4d063nhaj" w:id="20"/>
      <w:bookmarkEnd w:id="20"/>
      <w:r w:rsidDel="00000000" w:rsidR="00000000" w:rsidRPr="00000000">
        <w:rPr>
          <w:rtl w:val="0"/>
        </w:rPr>
        <w:t xml:space="preserve">References</w:t>
      </w:r>
    </w:p>
    <w:p w:rsidR="00000000" w:rsidDel="00000000" w:rsidP="00000000" w:rsidRDefault="00000000" w:rsidRPr="00000000" w14:paraId="0000006D">
      <w:pPr>
        <w:spacing w:after="240" w:line="360" w:lineRule="auto"/>
        <w:jc w:val="both"/>
        <w:rPr>
          <w:rFonts w:ascii="Arial" w:cs="Arial" w:eastAsia="Arial" w:hAnsi="Arial"/>
        </w:rPr>
      </w:pPr>
      <w:r w:rsidDel="00000000" w:rsidR="00000000" w:rsidRPr="00000000">
        <w:rPr>
          <w:rFonts w:ascii="Arial" w:cs="Arial" w:eastAsia="Arial" w:hAnsi="Arial"/>
          <w:rtl w:val="0"/>
        </w:rPr>
        <w:t xml:space="preserve">Costello, H.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(2019) ‘Burnout in UK care home staff and its effect on staff turnover: MARQUE English national care home longitudinal survey’, </w:t>
      </w:r>
      <w:r w:rsidDel="00000000" w:rsidR="00000000" w:rsidRPr="00000000">
        <w:rPr>
          <w:rFonts w:ascii="Arial" w:cs="Arial" w:eastAsia="Arial" w:hAnsi="Arial"/>
          <w:i w:val="1"/>
          <w:iCs w:val="1"/>
          <w:rtl w:val="0"/>
        </w:rPr>
        <w:t xml:space="preserve">Age and Ageing</w:t>
      </w:r>
      <w:r w:rsidDel="00000000" w:rsidR="00000000" w:rsidRPr="00000000">
        <w:rPr>
          <w:rFonts w:ascii="Arial" w:cs="Arial" w:eastAsia="Arial" w:hAnsi="Arial"/>
          <w:rtl w:val="0"/>
        </w:rPr>
        <w:t xml:space="preserve">, 49(1). Available at: https://doi.org/10.1093/ageing/afz118.</w:t>
      </w:r>
    </w:p>
    <w:p w:rsidR="00000000" w:rsidDel="00000000" w:rsidP="00000000" w:rsidRDefault="00000000" w:rsidRPr="00000000" w14:paraId="0000006E">
      <w:pPr>
        <w:spacing w:after="240" w:line="360" w:lineRule="auto"/>
        <w:jc w:val="both"/>
        <w:rPr>
          <w:rFonts w:ascii="Arial" w:cs="Arial" w:eastAsia="Arial" w:hAnsi="Arial"/>
        </w:rPr>
      </w:pPr>
      <w:r w:rsidDel="00000000" w:rsidR="00000000" w:rsidRPr="00000000">
        <w:rPr>
          <w:rFonts w:ascii="Arial" w:cs="Arial" w:eastAsia="Arial" w:hAnsi="Arial"/>
          <w:rtl w:val="0"/>
        </w:rPr>
        <w:t xml:space="preserve">Jindal-Snape, D.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(2020) ‘Systematic literature review of primary-secondary transitions: International research’, </w:t>
      </w:r>
      <w:r w:rsidDel="00000000" w:rsidR="00000000" w:rsidRPr="00000000">
        <w:rPr>
          <w:rFonts w:ascii="Arial" w:cs="Arial" w:eastAsia="Arial" w:hAnsi="Arial"/>
          <w:i w:val="1"/>
          <w:iCs w:val="1"/>
          <w:rtl w:val="0"/>
        </w:rPr>
        <w:t xml:space="preserve">Review of Education</w:t>
      </w:r>
      <w:r w:rsidDel="00000000" w:rsidR="00000000" w:rsidRPr="00000000">
        <w:rPr>
          <w:rFonts w:ascii="Arial" w:cs="Arial" w:eastAsia="Arial" w:hAnsi="Arial"/>
          <w:rtl w:val="0"/>
        </w:rPr>
        <w:t xml:space="preserve">, 8(2). Available at: https://doi.org/10.1002/rev3.3197.</w:t>
      </w:r>
    </w:p>
    <w:p w:rsidR="00000000" w:rsidDel="00000000" w:rsidP="00000000" w:rsidRDefault="00000000" w:rsidRPr="00000000" w14:paraId="0000006F">
      <w:pPr>
        <w:spacing w:after="240" w:line="360" w:lineRule="auto"/>
        <w:jc w:val="both"/>
        <w:rPr>
          <w:rFonts w:ascii="Arial" w:cs="Arial" w:eastAsia="Arial" w:hAnsi="Arial"/>
        </w:rPr>
      </w:pPr>
      <w:r w:rsidDel="00000000" w:rsidR="00000000" w:rsidRPr="00000000">
        <w:rPr>
          <w:rFonts w:ascii="Arial" w:cs="Arial" w:eastAsia="Arial" w:hAnsi="Arial"/>
          <w:rtl w:val="0"/>
        </w:rPr>
        <w:t xml:space="preserve">Khammissa, R.A.G.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(2022) ‘Burnout phenomenon: neurophysiological factors, clinical features, and aspects of management’, </w:t>
      </w:r>
      <w:r w:rsidDel="00000000" w:rsidR="00000000" w:rsidRPr="00000000">
        <w:rPr>
          <w:rFonts w:ascii="Arial" w:cs="Arial" w:eastAsia="Arial" w:hAnsi="Arial"/>
          <w:i w:val="1"/>
          <w:iCs w:val="1"/>
          <w:rtl w:val="0"/>
        </w:rPr>
        <w:t xml:space="preserve">Journal of International Medical Research</w:t>
      </w:r>
      <w:r w:rsidDel="00000000" w:rsidR="00000000" w:rsidRPr="00000000">
        <w:rPr>
          <w:rFonts w:ascii="Arial" w:cs="Arial" w:eastAsia="Arial" w:hAnsi="Arial"/>
          <w:rtl w:val="0"/>
        </w:rPr>
        <w:t xml:space="preserve">, 50(9), p. 030006052211064. Available at: https://doi.org/10.1177/03000605221106428.</w:t>
      </w:r>
    </w:p>
    <w:p w:rsidR="00000000" w:rsidDel="00000000" w:rsidP="00000000" w:rsidRDefault="00000000" w:rsidRPr="00000000" w14:paraId="00000070">
      <w:pPr>
        <w:spacing w:after="240" w:line="360" w:lineRule="auto"/>
        <w:jc w:val="both"/>
        <w:rPr>
          <w:rFonts w:ascii="Arial" w:cs="Arial" w:eastAsia="Arial" w:hAnsi="Arial"/>
        </w:rPr>
      </w:pPr>
      <w:r w:rsidDel="00000000" w:rsidR="00000000" w:rsidRPr="00000000">
        <w:rPr>
          <w:rFonts w:ascii="Arial" w:cs="Arial" w:eastAsia="Arial" w:hAnsi="Arial"/>
          <w:rtl w:val="0"/>
        </w:rPr>
        <w:t xml:space="preserve">Kituno, N. (2026) </w:t>
      </w:r>
      <w:r w:rsidDel="00000000" w:rsidR="00000000" w:rsidRPr="00000000">
        <w:rPr>
          <w:rFonts w:ascii="Arial" w:cs="Arial" w:eastAsia="Arial" w:hAnsi="Arial"/>
          <w:i w:val="1"/>
          <w:iCs w:val="1"/>
          <w:rtl w:val="0"/>
        </w:rPr>
        <w:t xml:space="preserve">Staff survey results crash to five-year lows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Health Service Journal</w:t>
      </w:r>
      <w:r w:rsidDel="00000000" w:rsidR="00000000" w:rsidRPr="00000000">
        <w:rPr>
          <w:rFonts w:ascii="Arial" w:cs="Arial" w:eastAsia="Arial" w:hAnsi="Arial"/>
          <w:rtl w:val="0"/>
        </w:rPr>
        <w:t xml:space="preserve">. Available at: https://www.hsj.co.uk/workforce/staff-survey-results-crash-to-five-year-lows/7041244.article (Accessed: 23 March 2026).</w:t>
      </w:r>
    </w:p>
    <w:p w:rsidR="00000000" w:rsidDel="00000000" w:rsidP="00000000" w:rsidRDefault="00000000" w:rsidRPr="00000000" w14:paraId="00000071">
      <w:pPr>
        <w:spacing w:after="240" w:line="360" w:lineRule="auto"/>
        <w:jc w:val="both"/>
        <w:rPr>
          <w:rFonts w:ascii="Arial" w:cs="Arial" w:eastAsia="Arial" w:hAnsi="Arial"/>
        </w:rPr>
      </w:pPr>
      <w:r w:rsidDel="00000000" w:rsidR="00000000" w:rsidRPr="00000000">
        <w:rPr>
          <w:rFonts w:ascii="Arial" w:cs="Arial" w:eastAsia="Arial" w:hAnsi="Arial"/>
          <w:rtl w:val="0"/>
        </w:rPr>
        <w:t xml:space="preserve">Maddock, A. (2023) ‘The Relationships between Stress, Burnout, Mental Health and Well-Being in Social Workers’, </w:t>
      </w:r>
      <w:r w:rsidDel="00000000" w:rsidR="00000000" w:rsidRPr="00000000">
        <w:rPr>
          <w:rFonts w:ascii="Arial" w:cs="Arial" w:eastAsia="Arial" w:hAnsi="Arial"/>
          <w:i w:val="1"/>
          <w:iCs w:val="1"/>
          <w:rtl w:val="0"/>
        </w:rPr>
        <w:t xml:space="preserve">The British Journal of Social Work</w:t>
      </w:r>
      <w:r w:rsidDel="00000000" w:rsidR="00000000" w:rsidRPr="00000000">
        <w:rPr>
          <w:rFonts w:ascii="Arial" w:cs="Arial" w:eastAsia="Arial" w:hAnsi="Arial"/>
          <w:rtl w:val="0"/>
        </w:rPr>
        <w:t xml:space="preserve">, 54(2), pp. 668–686. Available at: https://doi.org/10.1093/bjsw/bcad232.</w:t>
      </w:r>
    </w:p>
    <w:p w:rsidR="00000000" w:rsidDel="00000000" w:rsidP="00000000" w:rsidRDefault="00000000" w:rsidRPr="00000000" w14:paraId="00000072">
      <w:pPr>
        <w:spacing w:after="240" w:line="360" w:lineRule="auto"/>
        <w:jc w:val="both"/>
        <w:rPr>
          <w:rFonts w:ascii="Arial" w:cs="Arial" w:eastAsia="Arial" w:hAnsi="Arial"/>
        </w:rPr>
      </w:pPr>
      <w:r w:rsidDel="00000000" w:rsidR="00000000" w:rsidRPr="00000000">
        <w:rPr>
          <w:rFonts w:ascii="Arial" w:cs="Arial" w:eastAsia="Arial" w:hAnsi="Arial"/>
          <w:rtl w:val="0"/>
        </w:rPr>
        <w:t xml:space="preserve">NHS England (2023) </w:t>
      </w:r>
      <w:r w:rsidDel="00000000" w:rsidR="00000000" w:rsidRPr="00000000">
        <w:rPr>
          <w:rFonts w:ascii="Arial" w:cs="Arial" w:eastAsia="Arial" w:hAnsi="Arial"/>
          <w:i w:val="1"/>
          <w:iCs w:val="1"/>
          <w:rtl w:val="0"/>
        </w:rPr>
        <w:t xml:space="preserve">2023 NHS National Staff Survey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GOV.UK</w:t>
      </w:r>
      <w:r w:rsidDel="00000000" w:rsidR="00000000" w:rsidRPr="00000000">
        <w:rPr>
          <w:rFonts w:ascii="Arial" w:cs="Arial" w:eastAsia="Arial" w:hAnsi="Arial"/>
          <w:rtl w:val="0"/>
        </w:rPr>
        <w:t xml:space="preserve">. Available at: https://www.gov.uk/government/statistics/2023-nhs-national-staff-survey (Accessed: 23 March 2026).</w:t>
      </w:r>
    </w:p>
    <w:p w:rsidR="00000000" w:rsidDel="00000000" w:rsidP="00000000" w:rsidRDefault="00000000" w:rsidRPr="00000000" w14:paraId="00000073">
      <w:pPr>
        <w:spacing w:after="240" w:line="360" w:lineRule="auto"/>
        <w:jc w:val="both"/>
        <w:rPr>
          <w:rFonts w:ascii="Arial" w:cs="Arial" w:eastAsia="Arial" w:hAnsi="Arial"/>
        </w:rPr>
      </w:pPr>
      <w:r w:rsidDel="00000000" w:rsidR="00000000" w:rsidRPr="00000000">
        <w:rPr>
          <w:rFonts w:ascii="Arial" w:cs="Arial" w:eastAsia="Arial" w:hAnsi="Arial"/>
          <w:rtl w:val="0"/>
        </w:rPr>
        <w:t xml:space="preserve">Saunders, M.N., Lewis, P. and Thornhill, A. (2019) ‘Understanding research philosophy and approaches to theory development’, in </w:t>
      </w:r>
      <w:r w:rsidDel="00000000" w:rsidR="00000000" w:rsidRPr="00000000">
        <w:rPr>
          <w:rFonts w:ascii="Arial" w:cs="Arial" w:eastAsia="Arial" w:hAnsi="Arial"/>
          <w:i w:val="1"/>
          <w:iCs w:val="1"/>
          <w:rtl w:val="0"/>
        </w:rPr>
        <w:t xml:space="preserve">Research Methods for Business Students</w:t>
      </w:r>
      <w:r w:rsidDel="00000000" w:rsidR="00000000" w:rsidRPr="00000000">
        <w:rPr>
          <w:rFonts w:ascii="Arial" w:cs="Arial" w:eastAsia="Arial" w:hAnsi="Arial"/>
          <w:rtl w:val="0"/>
        </w:rPr>
        <w:t xml:space="preserve">. Pearson Education, Limited, pp. 128–171.</w:t>
      </w:r>
    </w:p>
    <w:p w:rsidR="00000000" w:rsidDel="00000000" w:rsidP="00000000" w:rsidRDefault="00000000" w:rsidRPr="00000000" w14:paraId="00000074">
      <w:pPr>
        <w:spacing w:after="240" w:line="360" w:lineRule="auto"/>
        <w:jc w:val="both"/>
        <w:rPr>
          <w:rFonts w:ascii="Arial" w:cs="Arial" w:eastAsia="Arial" w:hAnsi="Arial"/>
        </w:rPr>
      </w:pPr>
      <w:r w:rsidDel="00000000" w:rsidR="00000000" w:rsidRPr="00000000">
        <w:rPr>
          <w:rFonts w:ascii="Arial" w:cs="Arial" w:eastAsia="Arial" w:hAnsi="Arial"/>
          <w:rtl w:val="0"/>
        </w:rPr>
        <w:t xml:space="preserve">Schmidt, S.L.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(2024) ‘Attention Deficits in Healthcare Workers with Non-Clinical Burnout: An Exploratory Investigation’, </w:t>
      </w:r>
      <w:r w:rsidDel="00000000" w:rsidR="00000000" w:rsidRPr="00000000">
        <w:rPr>
          <w:rFonts w:ascii="Arial" w:cs="Arial" w:eastAsia="Arial" w:hAnsi="Arial"/>
          <w:i w:val="1"/>
          <w:iCs w:val="1"/>
          <w:rtl w:val="0"/>
        </w:rPr>
        <w:t xml:space="preserve">International Journal of Environmental Research and Public Health</w:t>
      </w:r>
      <w:r w:rsidDel="00000000" w:rsidR="00000000" w:rsidRPr="00000000">
        <w:rPr>
          <w:rFonts w:ascii="Arial" w:cs="Arial" w:eastAsia="Arial" w:hAnsi="Arial"/>
          <w:rtl w:val="0"/>
        </w:rPr>
        <w:t xml:space="preserve">, 21(2), pp. 239–239. Available at: https://doi.org/10.3390/ijerph21020239.</w:t>
      </w:r>
    </w:p>
    <w:p w:rsidR="00000000" w:rsidDel="00000000" w:rsidP="00000000" w:rsidRDefault="00000000" w:rsidRPr="00000000" w14:paraId="00000075">
      <w:pPr>
        <w:spacing w:after="240" w:line="360" w:lineRule="auto"/>
        <w:jc w:val="both"/>
        <w:rPr>
          <w:rFonts w:ascii="Arial" w:cs="Arial" w:eastAsia="Arial" w:hAnsi="Arial"/>
        </w:rPr>
      </w:pPr>
      <w:r w:rsidDel="00000000" w:rsidR="00000000" w:rsidRPr="00000000">
        <w:rPr>
          <w:rFonts w:ascii="Arial" w:cs="Arial" w:eastAsia="Arial" w:hAnsi="Arial"/>
          <w:rtl w:val="0"/>
        </w:rPr>
        <w:t xml:space="preserve">Shemtob, L.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(2023) ‘What needs to be done to address staffing shortages in health and social care?’, </w:t>
      </w:r>
      <w:r w:rsidDel="00000000" w:rsidR="00000000" w:rsidRPr="00000000">
        <w:rPr>
          <w:rFonts w:ascii="Arial" w:cs="Arial" w:eastAsia="Arial" w:hAnsi="Arial"/>
          <w:i w:val="1"/>
          <w:iCs w:val="1"/>
          <w:rtl w:val="0"/>
        </w:rPr>
        <w:t xml:space="preserve">British Journal of General Practice</w:t>
      </w:r>
      <w:r w:rsidDel="00000000" w:rsidR="00000000" w:rsidRPr="00000000">
        <w:rPr>
          <w:rFonts w:ascii="Arial" w:cs="Arial" w:eastAsia="Arial" w:hAnsi="Arial"/>
          <w:rtl w:val="0"/>
        </w:rPr>
        <w:t xml:space="preserve">, 73(728), pp. 102–103. Available at: https://doi.org/10.3399/bjgp23x732045.</w:t>
      </w:r>
    </w:p>
    <w:p w:rsidR="00000000" w:rsidDel="00000000" w:rsidP="00000000" w:rsidRDefault="00000000" w:rsidRPr="00000000" w14:paraId="00000076">
      <w:pPr>
        <w:spacing w:after="240" w:line="360" w:lineRule="auto"/>
        <w:jc w:val="both"/>
        <w:rPr>
          <w:rFonts w:ascii="Arial" w:cs="Arial" w:eastAsia="Arial" w:hAnsi="Arial"/>
        </w:rPr>
      </w:pPr>
      <w:r w:rsidDel="00000000" w:rsidR="00000000" w:rsidRPr="00000000">
        <w:rPr>
          <w:rFonts w:ascii="Arial" w:cs="Arial" w:eastAsia="Arial" w:hAnsi="Arial"/>
          <w:rtl w:val="0"/>
        </w:rPr>
        <w:t xml:space="preserve">Soares, J.P.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(2023) ‘Use of the Maslach burnout inventory among public health care professionals: A scoping review (preprint)’, </w:t>
      </w:r>
      <w:r w:rsidDel="00000000" w:rsidR="00000000" w:rsidRPr="00000000">
        <w:rPr>
          <w:rFonts w:ascii="Arial" w:cs="Arial" w:eastAsia="Arial" w:hAnsi="Arial"/>
          <w:i w:val="1"/>
          <w:iCs w:val="1"/>
          <w:rtl w:val="0"/>
        </w:rPr>
        <w:t xml:space="preserve">JMIR Mental Health</w:t>
      </w:r>
      <w:r w:rsidDel="00000000" w:rsidR="00000000" w:rsidRPr="00000000">
        <w:rPr>
          <w:rFonts w:ascii="Arial" w:cs="Arial" w:eastAsia="Arial" w:hAnsi="Arial"/>
          <w:rtl w:val="0"/>
        </w:rPr>
        <w:t xml:space="preserve">, 10, pp. e44195–e44195. Available at: https://doi.org/10.2196/44195.</w:t>
      </w:r>
    </w:p>
    <w:p w:rsidR="00000000" w:rsidDel="00000000" w:rsidP="00000000" w:rsidRDefault="00000000" w:rsidRPr="00000000" w14:paraId="00000077">
      <w:pPr>
        <w:spacing w:after="240" w:line="360" w:lineRule="auto"/>
        <w:jc w:val="both"/>
        <w:rPr>
          <w:rFonts w:ascii="Arial" w:cs="Arial" w:eastAsia="Arial" w:hAnsi="Arial"/>
        </w:rPr>
      </w:pPr>
      <w:r w:rsidDel="00000000" w:rsidR="00000000" w:rsidRPr="00000000">
        <w:rPr>
          <w:rFonts w:ascii="Arial" w:cs="Arial" w:eastAsia="Arial" w:hAnsi="Arial"/>
          <w:rtl w:val="0"/>
        </w:rPr>
        <w:t xml:space="preserve">Wasti, S.P.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(2022) ‘The Growing Importance of mixed-methods Research in Health’, </w:t>
      </w:r>
      <w:r w:rsidDel="00000000" w:rsidR="00000000" w:rsidRPr="00000000">
        <w:rPr>
          <w:rFonts w:ascii="Arial" w:cs="Arial" w:eastAsia="Arial" w:hAnsi="Arial"/>
          <w:i w:val="1"/>
          <w:iCs w:val="1"/>
          <w:rtl w:val="0"/>
        </w:rPr>
        <w:t xml:space="preserve">Nepal Journal of Epidemiology</w:t>
      </w:r>
      <w:r w:rsidDel="00000000" w:rsidR="00000000" w:rsidRPr="00000000">
        <w:rPr>
          <w:rFonts w:ascii="Arial" w:cs="Arial" w:eastAsia="Arial" w:hAnsi="Arial"/>
          <w:rtl w:val="0"/>
        </w:rPr>
        <w:t xml:space="preserve">, 12(1), pp. 1175–1178.</w:t>
      </w:r>
    </w:p>
    <w:p w:rsidR="00000000" w:rsidDel="00000000" w:rsidP="00000000" w:rsidRDefault="00000000" w:rsidRPr="00000000" w14:paraId="00000078">
      <w:pPr>
        <w:spacing w:line="360" w:lineRule="auto"/>
        <w:jc w:val="both"/>
        <w:rPr>
          <w:rFonts w:ascii="Arial" w:cs="Arial" w:eastAsia="Arial" w:hAnsi="Arial"/>
          <w:b w:val="1"/>
          <w:bCs w:val="1"/>
        </w:rPr>
      </w:pPr>
      <w:r w:rsidDel="00000000" w:rsidR="00000000" w:rsidRPr="00000000">
        <w:rPr>
          <w:rtl w:val="0"/>
        </w:rPr>
      </w:r>
    </w:p>
    <w:sectPr>
      <w:footerReference r:id="rId7" w:type="default"/>
      <w:footerReference r:id="rId8"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PK"/>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bCs w:val="1"/>
      <w:color w:val="0f4761"/>
      <w:sz w:val="28"/>
      <w:szCs w:val="28"/>
    </w:rPr>
  </w:style>
  <w:style w:type="paragraph" w:styleId="Heading2">
    <w:name w:val="heading 2"/>
    <w:basedOn w:val="Normal"/>
    <w:next w:val="Normal"/>
    <w:pPr>
      <w:keepNext w:val="1"/>
      <w:keepLines w:val="1"/>
      <w:spacing w:after="80" w:before="160" w:lineRule="auto"/>
    </w:pPr>
    <w:rPr>
      <w:b w:val="1"/>
      <w:bCs w:val="1"/>
      <w:color w:val="0f4761"/>
    </w:rPr>
  </w:style>
  <w:style w:type="paragraph" w:styleId="Heading3">
    <w:name w:val="heading 3"/>
    <w:basedOn w:val="Normal"/>
    <w:next w:val="Normal"/>
    <w:pPr>
      <w:keepNext w:val="1"/>
      <w:keepLines w:val="1"/>
      <w:spacing w:after="80" w:before="160" w:lineRule="auto"/>
    </w:pPr>
    <w:rPr>
      <w:b w:val="1"/>
      <w:bCs w:val="1"/>
      <w:i w:val="1"/>
      <w:iCs w:val="1"/>
      <w:color w:val="0f4761"/>
    </w:rPr>
  </w:style>
  <w:style w:type="paragraph" w:styleId="Heading4">
    <w:name w:val="heading 4"/>
    <w:basedOn w:val="Normal"/>
    <w:next w:val="Normal"/>
    <w:pPr>
      <w:keepNext w:val="1"/>
      <w:keepLines w:val="1"/>
      <w:spacing w:after="40" w:before="80" w:lineRule="auto"/>
    </w:pPr>
    <w:rPr>
      <w:rFonts w:ascii="Aptos" w:cs="Aptos" w:eastAsia="Aptos" w:hAnsi="Aptos"/>
      <w:i w:val="1"/>
      <w:iCs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C84711"/>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C84711"/>
    <w:pPr>
      <w:keepNext w:val="1"/>
      <w:keepLines w:val="1"/>
      <w:spacing w:after="0"/>
      <w:outlineLvl w:val="7"/>
    </w:pPr>
    <w:rPr>
      <w:rFonts w:asciiTheme="minorHAnsi" w:cstheme="majorBidi" w:eastAsiaTheme="majorEastAsia"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C84711"/>
    <w:pPr>
      <w:keepNext w:val="1"/>
      <w:keepLines w:val="1"/>
      <w:spacing w:after="0"/>
      <w:outlineLvl w:val="8"/>
    </w:pPr>
    <w:rPr>
      <w:rFonts w:asciiTheme="minorHAnsi" w:cstheme="majorBidi" w:eastAsiaTheme="majorEastAsia" w:hAnsiTheme="minorHAnsi"/>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461624"/>
    <w:rPr>
      <w:rFonts w:asciiTheme="majorBidi" w:cstheme="majorBidi" w:eastAsiaTheme="majorEastAsia" w:hAnsiTheme="majorBidi"/>
      <w:b w:val="1"/>
      <w:color w:val="0f4761" w:themeColor="accent1" w:themeShade="0000BF"/>
      <w:sz w:val="28"/>
      <w:szCs w:val="40"/>
    </w:rPr>
  </w:style>
  <w:style w:type="character" w:styleId="Heading2Char" w:customStyle="1">
    <w:name w:val="Heading 2 Char"/>
    <w:basedOn w:val="DefaultParagraphFont"/>
    <w:link w:val="Heading2"/>
    <w:uiPriority w:val="9"/>
    <w:rsid w:val="00FB6C67"/>
    <w:rPr>
      <w:rFonts w:asciiTheme="majorBidi" w:cstheme="majorBidi" w:eastAsiaTheme="majorEastAsia" w:hAnsiTheme="majorBidi"/>
      <w:b w:val="1"/>
      <w:color w:val="0f4761" w:themeColor="accent1" w:themeShade="0000BF"/>
      <w:szCs w:val="32"/>
    </w:rPr>
  </w:style>
  <w:style w:type="character" w:styleId="Heading3Char" w:customStyle="1">
    <w:name w:val="Heading 3 Char"/>
    <w:basedOn w:val="DefaultParagraphFont"/>
    <w:link w:val="Heading3"/>
    <w:uiPriority w:val="9"/>
    <w:rsid w:val="00BE4882"/>
    <w:rPr>
      <w:rFonts w:asciiTheme="majorBidi" w:cstheme="majorBidi" w:eastAsiaTheme="majorEastAsia" w:hAnsiTheme="majorBidi"/>
      <w:b w:val="1"/>
      <w:i w:val="1"/>
      <w:color w:val="0f4761" w:themeColor="accent1" w:themeShade="0000BF"/>
      <w:szCs w:val="28"/>
    </w:rPr>
  </w:style>
  <w:style w:type="character" w:styleId="Heading4Char" w:customStyle="1">
    <w:name w:val="Heading 4 Char"/>
    <w:basedOn w:val="DefaultParagraphFont"/>
    <w:link w:val="Heading4"/>
    <w:uiPriority w:val="9"/>
    <w:rsid w:val="00C84711"/>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C84711"/>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C84711"/>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C84711"/>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C84711"/>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C84711"/>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C84711"/>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C84711"/>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C84711"/>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C84711"/>
    <w:rPr>
      <w:rFonts w:asciiTheme="majorBidi" w:hAnsiTheme="majorBidi"/>
      <w:i w:val="1"/>
      <w:iCs w:val="1"/>
      <w:color w:val="404040" w:themeColor="text1" w:themeTint="0000BF"/>
    </w:rPr>
  </w:style>
  <w:style w:type="paragraph" w:styleId="ListParagraph">
    <w:name w:val="List Paragraph"/>
    <w:basedOn w:val="Normal"/>
    <w:uiPriority w:val="34"/>
    <w:qFormat w:val="1"/>
    <w:rsid w:val="00C84711"/>
    <w:pPr>
      <w:ind w:left="720"/>
      <w:contextualSpacing w:val="1"/>
    </w:pPr>
  </w:style>
  <w:style w:type="character" w:styleId="IntenseEmphasis">
    <w:name w:val="Intense Emphasis"/>
    <w:basedOn w:val="DefaultParagraphFont"/>
    <w:uiPriority w:val="21"/>
    <w:qFormat w:val="1"/>
    <w:rsid w:val="00C84711"/>
    <w:rPr>
      <w:i w:val="1"/>
      <w:iCs w:val="1"/>
      <w:color w:val="0f4761" w:themeColor="accent1" w:themeShade="0000BF"/>
    </w:rPr>
  </w:style>
  <w:style w:type="paragraph" w:styleId="IntenseQuote">
    <w:name w:val="Intense Quote"/>
    <w:basedOn w:val="Normal"/>
    <w:next w:val="Normal"/>
    <w:link w:val="IntenseQuoteChar"/>
    <w:uiPriority w:val="30"/>
    <w:qFormat w:val="1"/>
    <w:rsid w:val="00C8471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C84711"/>
    <w:rPr>
      <w:rFonts w:asciiTheme="majorBidi" w:hAnsiTheme="majorBidi"/>
      <w:i w:val="1"/>
      <w:iCs w:val="1"/>
      <w:color w:val="0f4761" w:themeColor="accent1" w:themeShade="0000BF"/>
    </w:rPr>
  </w:style>
  <w:style w:type="character" w:styleId="IntenseReference">
    <w:name w:val="Intense Reference"/>
    <w:basedOn w:val="DefaultParagraphFont"/>
    <w:uiPriority w:val="32"/>
    <w:qFormat w:val="1"/>
    <w:rsid w:val="00C84711"/>
    <w:rPr>
      <w:b w:val="1"/>
      <w:bCs w:val="1"/>
      <w:smallCaps w:val="1"/>
      <w:color w:val="0f4761" w:themeColor="accent1" w:themeShade="0000BF"/>
      <w:spacing w:val="5"/>
    </w:rPr>
  </w:style>
  <w:style w:type="character" w:styleId="Strong">
    <w:name w:val="Strong"/>
    <w:basedOn w:val="DefaultParagraphFont"/>
    <w:uiPriority w:val="22"/>
    <w:qFormat w:val="1"/>
    <w:rsid w:val="006371E6"/>
    <w:rPr>
      <w:b w:val="1"/>
      <w:bCs w:val="1"/>
    </w:rPr>
  </w:style>
  <w:style w:type="paragraph" w:styleId="NormalWeb">
    <w:name w:val="Normal (Web)"/>
    <w:basedOn w:val="Normal"/>
    <w:uiPriority w:val="99"/>
    <w:semiHidden w:val="1"/>
    <w:unhideWhenUsed w:val="1"/>
    <w:rsid w:val="006371E6"/>
    <w:pPr>
      <w:spacing w:after="100" w:afterAutospacing="1" w:before="100" w:beforeAutospacing="1" w:line="240" w:lineRule="auto"/>
    </w:pPr>
    <w:rPr>
      <w:rFonts w:ascii="Times New Roman" w:cs="Times New Roman" w:eastAsia="Times New Roman" w:hAnsi="Times New Roman"/>
      <w:kern w:val="0"/>
      <w:lang w:eastAsia="en-GB"/>
    </w:rPr>
  </w:style>
  <w:style w:type="paragraph" w:styleId="Header">
    <w:name w:val="header"/>
    <w:basedOn w:val="Normal"/>
    <w:link w:val="HeaderChar"/>
    <w:uiPriority w:val="99"/>
    <w:unhideWhenUsed w:val="1"/>
    <w:rsid w:val="00285E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285E63"/>
    <w:rPr>
      <w:rFonts w:asciiTheme="minorBidi" w:hAnsiTheme="minorBidi"/>
      <w:sz w:val="22"/>
    </w:rPr>
  </w:style>
  <w:style w:type="paragraph" w:styleId="Footer">
    <w:name w:val="footer"/>
    <w:basedOn w:val="Normal"/>
    <w:link w:val="FooterChar"/>
    <w:uiPriority w:val="99"/>
    <w:unhideWhenUsed w:val="1"/>
    <w:rsid w:val="00285E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285E63"/>
    <w:rPr>
      <w:rFonts w:asciiTheme="minorBidi" w:hAnsiTheme="minorBidi"/>
      <w:sz w:val="22"/>
    </w:rPr>
  </w:style>
  <w:style w:type="character" w:styleId="PageNumber">
    <w:name w:val="page number"/>
    <w:basedOn w:val="DefaultParagraphFont"/>
    <w:uiPriority w:val="99"/>
    <w:semiHidden w:val="1"/>
    <w:unhideWhenUsed w:val="1"/>
    <w:rsid w:val="00285E63"/>
  </w:style>
  <w:style w:type="paragraph" w:styleId="TOCHeading">
    <w:name w:val="TOC Heading"/>
    <w:basedOn w:val="Heading1"/>
    <w:next w:val="Normal"/>
    <w:uiPriority w:val="39"/>
    <w:unhideWhenUsed w:val="1"/>
    <w:qFormat w:val="1"/>
    <w:rsid w:val="00285E63"/>
    <w:pPr>
      <w:spacing w:after="0" w:before="480" w:line="276" w:lineRule="auto"/>
      <w:outlineLvl w:val="9"/>
    </w:pPr>
    <w:rPr>
      <w:rFonts w:asciiTheme="majorHAnsi" w:hAnsiTheme="majorHAnsi"/>
      <w:bCs w:val="1"/>
      <w:kern w:val="0"/>
      <w:szCs w:val="28"/>
      <w:lang w:val="en-US"/>
    </w:rPr>
  </w:style>
  <w:style w:type="paragraph" w:styleId="TOC1">
    <w:name w:val="toc 1"/>
    <w:basedOn w:val="Normal"/>
    <w:next w:val="Normal"/>
    <w:autoRedefine w:val="1"/>
    <w:uiPriority w:val="39"/>
    <w:unhideWhenUsed w:val="1"/>
    <w:rsid w:val="00285E63"/>
    <w:pPr>
      <w:spacing w:after="120" w:before="240"/>
    </w:pPr>
    <w:rPr>
      <w:rFonts w:cs="Times New Roman" w:asciiTheme="minorHAnsi" w:hAnsiTheme="minorHAnsi"/>
      <w:b w:val="1"/>
      <w:bCs w:val="1"/>
      <w:sz w:val="20"/>
    </w:rPr>
  </w:style>
  <w:style w:type="paragraph" w:styleId="TOC3">
    <w:name w:val="toc 3"/>
    <w:basedOn w:val="Normal"/>
    <w:next w:val="Normal"/>
    <w:autoRedefine w:val="1"/>
    <w:uiPriority w:val="39"/>
    <w:unhideWhenUsed w:val="1"/>
    <w:rsid w:val="00285E63"/>
    <w:pPr>
      <w:spacing w:after="0"/>
      <w:ind w:left="440"/>
    </w:pPr>
    <w:rPr>
      <w:rFonts w:cs="Times New Roman" w:asciiTheme="minorHAnsi" w:hAnsiTheme="minorHAnsi"/>
      <w:sz w:val="20"/>
    </w:rPr>
  </w:style>
  <w:style w:type="paragraph" w:styleId="TOC2">
    <w:name w:val="toc 2"/>
    <w:basedOn w:val="Normal"/>
    <w:next w:val="Normal"/>
    <w:autoRedefine w:val="1"/>
    <w:uiPriority w:val="39"/>
    <w:unhideWhenUsed w:val="1"/>
    <w:rsid w:val="00285E63"/>
    <w:pPr>
      <w:spacing w:after="0" w:before="120"/>
      <w:ind w:left="220"/>
    </w:pPr>
    <w:rPr>
      <w:rFonts w:cs="Times New Roman" w:asciiTheme="minorHAnsi" w:hAnsiTheme="minorHAnsi"/>
      <w:i w:val="1"/>
      <w:iCs w:val="1"/>
      <w:sz w:val="20"/>
    </w:rPr>
  </w:style>
  <w:style w:type="character" w:styleId="Hyperlink">
    <w:name w:val="Hyperlink"/>
    <w:basedOn w:val="DefaultParagraphFont"/>
    <w:uiPriority w:val="99"/>
    <w:unhideWhenUsed w:val="1"/>
    <w:rsid w:val="00285E63"/>
    <w:rPr>
      <w:color w:val="467886" w:themeColor="hyperlink"/>
      <w:u w:val="single"/>
    </w:rPr>
  </w:style>
  <w:style w:type="paragraph" w:styleId="TOC4">
    <w:name w:val="toc 4"/>
    <w:basedOn w:val="Normal"/>
    <w:next w:val="Normal"/>
    <w:autoRedefine w:val="1"/>
    <w:uiPriority w:val="39"/>
    <w:semiHidden w:val="1"/>
    <w:unhideWhenUsed w:val="1"/>
    <w:rsid w:val="00285E63"/>
    <w:pPr>
      <w:spacing w:after="0"/>
      <w:ind w:left="660"/>
    </w:pPr>
    <w:rPr>
      <w:rFonts w:cs="Times New Roman" w:asciiTheme="minorHAnsi" w:hAnsiTheme="minorHAnsi"/>
      <w:sz w:val="20"/>
    </w:rPr>
  </w:style>
  <w:style w:type="paragraph" w:styleId="TOC5">
    <w:name w:val="toc 5"/>
    <w:basedOn w:val="Normal"/>
    <w:next w:val="Normal"/>
    <w:autoRedefine w:val="1"/>
    <w:uiPriority w:val="39"/>
    <w:semiHidden w:val="1"/>
    <w:unhideWhenUsed w:val="1"/>
    <w:rsid w:val="00285E63"/>
    <w:pPr>
      <w:spacing w:after="0"/>
      <w:ind w:left="880"/>
    </w:pPr>
    <w:rPr>
      <w:rFonts w:cs="Times New Roman" w:asciiTheme="minorHAnsi" w:hAnsiTheme="minorHAnsi"/>
      <w:sz w:val="20"/>
    </w:rPr>
  </w:style>
  <w:style w:type="paragraph" w:styleId="TOC6">
    <w:name w:val="toc 6"/>
    <w:basedOn w:val="Normal"/>
    <w:next w:val="Normal"/>
    <w:autoRedefine w:val="1"/>
    <w:uiPriority w:val="39"/>
    <w:semiHidden w:val="1"/>
    <w:unhideWhenUsed w:val="1"/>
    <w:rsid w:val="00285E63"/>
    <w:pPr>
      <w:spacing w:after="0"/>
      <w:ind w:left="1100"/>
    </w:pPr>
    <w:rPr>
      <w:rFonts w:cs="Times New Roman" w:asciiTheme="minorHAnsi" w:hAnsiTheme="minorHAnsi"/>
      <w:sz w:val="20"/>
    </w:rPr>
  </w:style>
  <w:style w:type="paragraph" w:styleId="TOC7">
    <w:name w:val="toc 7"/>
    <w:basedOn w:val="Normal"/>
    <w:next w:val="Normal"/>
    <w:autoRedefine w:val="1"/>
    <w:uiPriority w:val="39"/>
    <w:semiHidden w:val="1"/>
    <w:unhideWhenUsed w:val="1"/>
    <w:rsid w:val="00285E63"/>
    <w:pPr>
      <w:spacing w:after="0"/>
      <w:ind w:left="1320"/>
    </w:pPr>
    <w:rPr>
      <w:rFonts w:cs="Times New Roman" w:asciiTheme="minorHAnsi" w:hAnsiTheme="minorHAnsi"/>
      <w:sz w:val="20"/>
    </w:rPr>
  </w:style>
  <w:style w:type="paragraph" w:styleId="TOC8">
    <w:name w:val="toc 8"/>
    <w:basedOn w:val="Normal"/>
    <w:next w:val="Normal"/>
    <w:autoRedefine w:val="1"/>
    <w:uiPriority w:val="39"/>
    <w:semiHidden w:val="1"/>
    <w:unhideWhenUsed w:val="1"/>
    <w:rsid w:val="00285E63"/>
    <w:pPr>
      <w:spacing w:after="0"/>
      <w:ind w:left="1540"/>
    </w:pPr>
    <w:rPr>
      <w:rFonts w:cs="Times New Roman" w:asciiTheme="minorHAnsi" w:hAnsiTheme="minorHAnsi"/>
      <w:sz w:val="20"/>
    </w:rPr>
  </w:style>
  <w:style w:type="paragraph" w:styleId="TOC9">
    <w:name w:val="toc 9"/>
    <w:basedOn w:val="Normal"/>
    <w:next w:val="Normal"/>
    <w:autoRedefine w:val="1"/>
    <w:uiPriority w:val="39"/>
    <w:semiHidden w:val="1"/>
    <w:unhideWhenUsed w:val="1"/>
    <w:rsid w:val="00285E63"/>
    <w:pPr>
      <w:spacing w:after="0"/>
      <w:ind w:left="1760"/>
    </w:pPr>
    <w:rPr>
      <w:rFonts w:cs="Times New Roman" w:asciiTheme="minorHAnsi" w:hAnsiTheme="minorHAnsi"/>
      <w:sz w:val="20"/>
    </w:rPr>
  </w:style>
  <w:style w:type="paragraph" w:styleId="Subtitle">
    <w:name w:val="Subtitle"/>
    <w:basedOn w:val="Normal"/>
    <w:next w:val="Normal"/>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Yo/TfTd7DF6+neCFNZ/kANZ0zg==">CgMxLjAyDmgubGtvbThqaHgyY2dyMg5oLmxldGkyZmJ3Y2FteDIOaC5od3JtMnlhZmVjam8yDmguN2g5Mm4xdDJjdzNnMg5oLmNtaGtrbWxxcHBrOTIOaC5vaWh3djJ0cGoyazkyDmguNmdlZDVzaGZ6eWNxMg5oLnB6MHppbDgwOTgzeTIOaC5zcmJuM295NXhzcHYyDmguNGhpdW4wa2ExeGdhMg5oLnRiMXZlOGh6aHVmMjIOaC5pdTNpNHJrb2Qyd3kyDmgucWJpeXk5NGw5cjk1Mg5oLnMxZThzM3hsNndybzIOaC5ocTVrdXY5NG91MnoyDmguOXpmMG83bmUzemcxMg1oLjUxd2RkMmUxZ2YzMg5oLm9vYnY0NWh5YnhudzIOaC56ZzNicGZtcTZxNHcyDmgueG9vYmdzd2syeTFxMg5oLnphajRkMDYzbmhhajgAciExTG5YNGRyZTR1YWZlUWJmTXNqbXVWYjdpSnBscTJBdV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2026-03-23T10:18:00Z</dcterms:created>
  <dc:creator>WORD FILE</dc:creator>
</cp:coreProperties>
</file>