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B5BEB" w14:textId="44582E7E" w:rsidR="006F5EBF" w:rsidRDefault="006F5EBF">
      <w:pPr>
        <w:rPr>
          <w:noProof/>
        </w:rPr>
      </w:pPr>
      <w:r>
        <w:rPr>
          <w:noProof/>
        </w:rPr>
        <w:drawing>
          <wp:anchor distT="0" distB="0" distL="114300" distR="114300" simplePos="0" relativeHeight="251659264" behindDoc="1" locked="0" layoutInCell="1" allowOverlap="1" wp14:anchorId="266AAC19" wp14:editId="48F431EB">
            <wp:simplePos x="0" y="0"/>
            <wp:positionH relativeFrom="margin">
              <wp:posOffset>-766276</wp:posOffset>
            </wp:positionH>
            <wp:positionV relativeFrom="paragraph">
              <wp:posOffset>-487680</wp:posOffset>
            </wp:positionV>
            <wp:extent cx="7264231" cy="9540240"/>
            <wp:effectExtent l="0" t="0" r="0" b="3810"/>
            <wp:wrapNone/>
            <wp:docPr id="1832849531" name="Picture 352" descr="Anti-Smoking Print Ad: &quot;Just Like Mommy&quot;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Smoking Print Ad: &quot;Just Like Mommy&quot; on Beha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80769" cy="9561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C18E68" w14:textId="77777777" w:rsidR="006F5EBF" w:rsidRDefault="006F5EBF">
      <w:pPr>
        <w:rPr>
          <w:noProof/>
        </w:rPr>
      </w:pPr>
    </w:p>
    <w:p w14:paraId="4BB62276" w14:textId="77777777" w:rsidR="006F5EBF" w:rsidRDefault="006F5EBF">
      <w:pPr>
        <w:rPr>
          <w:noProof/>
        </w:rPr>
      </w:pPr>
    </w:p>
    <w:p w14:paraId="446A6CD9" w14:textId="77777777" w:rsidR="006F5EBF" w:rsidRDefault="006F5EBF">
      <w:pPr>
        <w:rPr>
          <w:noProof/>
        </w:rPr>
      </w:pPr>
    </w:p>
    <w:p w14:paraId="14DA9EE8" w14:textId="2859A81A" w:rsidR="006F5EBF" w:rsidRDefault="006F5EBF">
      <w:pPr>
        <w:rPr>
          <w:noProof/>
        </w:rPr>
      </w:pPr>
    </w:p>
    <w:p w14:paraId="330FE29A" w14:textId="77777777" w:rsidR="006F5EBF" w:rsidRDefault="006F5EBF">
      <w:pPr>
        <w:rPr>
          <w:noProof/>
        </w:rPr>
      </w:pPr>
    </w:p>
    <w:p w14:paraId="39B0331A" w14:textId="77777777" w:rsidR="006F5EBF" w:rsidRDefault="006F5EBF">
      <w:pPr>
        <w:rPr>
          <w:noProof/>
        </w:rPr>
      </w:pPr>
    </w:p>
    <w:p w14:paraId="5741B5D3" w14:textId="77777777" w:rsidR="006F5EBF" w:rsidRDefault="006F5EBF">
      <w:pPr>
        <w:rPr>
          <w:noProof/>
        </w:rPr>
      </w:pPr>
    </w:p>
    <w:p w14:paraId="25BC7806" w14:textId="77777777" w:rsidR="006F5EBF" w:rsidRDefault="006F5EBF">
      <w:pPr>
        <w:rPr>
          <w:noProof/>
        </w:rPr>
      </w:pPr>
    </w:p>
    <w:p w14:paraId="435B94D0" w14:textId="77777777" w:rsidR="006F5EBF" w:rsidRDefault="006F5EBF">
      <w:pPr>
        <w:rPr>
          <w:noProof/>
        </w:rPr>
      </w:pPr>
    </w:p>
    <w:p w14:paraId="6DDDE7C5" w14:textId="77777777" w:rsidR="006F5EBF" w:rsidRDefault="006F5EBF">
      <w:pPr>
        <w:rPr>
          <w:noProof/>
        </w:rPr>
      </w:pPr>
    </w:p>
    <w:p w14:paraId="35968FFA" w14:textId="77777777" w:rsidR="006F5EBF" w:rsidRDefault="006F5EBF">
      <w:pPr>
        <w:rPr>
          <w:noProof/>
        </w:rPr>
      </w:pPr>
    </w:p>
    <w:p w14:paraId="5F198772" w14:textId="77777777" w:rsidR="006F5EBF" w:rsidRDefault="006F5EBF">
      <w:pPr>
        <w:rPr>
          <w:noProof/>
        </w:rPr>
      </w:pPr>
    </w:p>
    <w:p w14:paraId="25B5C3CD" w14:textId="77777777" w:rsidR="006F5EBF" w:rsidRDefault="006F5EBF">
      <w:pPr>
        <w:rPr>
          <w:noProof/>
        </w:rPr>
      </w:pPr>
    </w:p>
    <w:p w14:paraId="386614D8" w14:textId="77777777" w:rsidR="006F5EBF" w:rsidRDefault="006F5EBF">
      <w:pPr>
        <w:rPr>
          <w:noProof/>
        </w:rPr>
      </w:pPr>
    </w:p>
    <w:p w14:paraId="3ECE9641" w14:textId="77777777" w:rsidR="006F5EBF" w:rsidRDefault="006F5EBF">
      <w:pPr>
        <w:rPr>
          <w:noProof/>
        </w:rPr>
      </w:pPr>
    </w:p>
    <w:p w14:paraId="0C724C06" w14:textId="77777777" w:rsidR="006F5EBF" w:rsidRDefault="006F5EBF">
      <w:pPr>
        <w:rPr>
          <w:noProof/>
        </w:rPr>
      </w:pPr>
    </w:p>
    <w:p w14:paraId="4DD494A7" w14:textId="77777777" w:rsidR="006F5EBF" w:rsidRDefault="006F5EBF">
      <w:pPr>
        <w:rPr>
          <w:noProof/>
        </w:rPr>
      </w:pPr>
    </w:p>
    <w:p w14:paraId="128DC709" w14:textId="77777777" w:rsidR="006F5EBF" w:rsidRDefault="006F5EBF">
      <w:pPr>
        <w:rPr>
          <w:noProof/>
        </w:rPr>
      </w:pPr>
    </w:p>
    <w:p w14:paraId="3E336A6F" w14:textId="77777777" w:rsidR="006F5EBF" w:rsidRDefault="006F5EBF">
      <w:pPr>
        <w:rPr>
          <w:noProof/>
        </w:rPr>
      </w:pPr>
    </w:p>
    <w:p w14:paraId="37279F0D" w14:textId="77777777" w:rsidR="006F5EBF" w:rsidRDefault="006F5EBF">
      <w:pPr>
        <w:rPr>
          <w:noProof/>
        </w:rPr>
      </w:pPr>
    </w:p>
    <w:p w14:paraId="4FF06881" w14:textId="77777777" w:rsidR="006F5EBF" w:rsidRDefault="006F5EBF">
      <w:pPr>
        <w:rPr>
          <w:noProof/>
        </w:rPr>
      </w:pPr>
    </w:p>
    <w:p w14:paraId="31015572" w14:textId="77777777" w:rsidR="006F5EBF" w:rsidRDefault="006F5EBF">
      <w:pPr>
        <w:rPr>
          <w:noProof/>
        </w:rPr>
      </w:pPr>
    </w:p>
    <w:p w14:paraId="3428B1E0" w14:textId="77777777" w:rsidR="00F650E5" w:rsidRDefault="00F650E5" w:rsidP="00F650E5">
      <w:pPr>
        <w:spacing w:line="360" w:lineRule="auto"/>
        <w:rPr>
          <w:noProof/>
          <w:sz w:val="24"/>
          <w:szCs w:val="24"/>
        </w:rPr>
      </w:pPr>
    </w:p>
    <w:p w14:paraId="6AD8DA25" w14:textId="77777777" w:rsidR="00F650E5" w:rsidRDefault="00F650E5" w:rsidP="00F650E5">
      <w:pPr>
        <w:spacing w:line="360" w:lineRule="auto"/>
        <w:rPr>
          <w:noProof/>
          <w:sz w:val="24"/>
          <w:szCs w:val="24"/>
        </w:rPr>
      </w:pPr>
    </w:p>
    <w:p w14:paraId="50FBFFD4" w14:textId="77777777" w:rsidR="00F650E5" w:rsidRDefault="00F650E5" w:rsidP="00F650E5">
      <w:pPr>
        <w:spacing w:line="360" w:lineRule="auto"/>
        <w:rPr>
          <w:noProof/>
          <w:sz w:val="24"/>
          <w:szCs w:val="24"/>
        </w:rPr>
      </w:pPr>
    </w:p>
    <w:p w14:paraId="7CAA5814" w14:textId="77777777" w:rsidR="00F650E5" w:rsidRDefault="00F650E5" w:rsidP="00F650E5">
      <w:pPr>
        <w:spacing w:line="360" w:lineRule="auto"/>
        <w:rPr>
          <w:noProof/>
          <w:sz w:val="24"/>
          <w:szCs w:val="24"/>
        </w:rPr>
      </w:pPr>
    </w:p>
    <w:p w14:paraId="1DC7399A" w14:textId="77777777" w:rsidR="00F650E5" w:rsidRDefault="00F650E5" w:rsidP="00F650E5">
      <w:pPr>
        <w:spacing w:line="360" w:lineRule="auto"/>
        <w:rPr>
          <w:noProof/>
          <w:sz w:val="24"/>
          <w:szCs w:val="24"/>
        </w:rPr>
      </w:pPr>
    </w:p>
    <w:p w14:paraId="08190658" w14:textId="4FC80AB4" w:rsidR="006F5EBF" w:rsidRPr="00F650E5" w:rsidRDefault="006F5EBF" w:rsidP="00F650E5">
      <w:pPr>
        <w:spacing w:line="360" w:lineRule="auto"/>
        <w:rPr>
          <w:noProof/>
          <w:sz w:val="28"/>
          <w:szCs w:val="28"/>
        </w:rPr>
      </w:pPr>
      <w:r w:rsidRPr="00F650E5">
        <w:rPr>
          <w:noProof/>
          <w:sz w:val="24"/>
          <w:szCs w:val="24"/>
        </w:rPr>
        <w:lastRenderedPageBreak/>
        <w:t>Semiotics are our combined understanding of how we can deconstruct and analyse advertisment.</w:t>
      </w:r>
      <w:r w:rsidR="004B238D" w:rsidRPr="00F650E5">
        <w:rPr>
          <w:noProof/>
          <w:sz w:val="24"/>
          <w:szCs w:val="24"/>
        </w:rPr>
        <w:t xml:space="preserve"> ‘semiology</w:t>
      </w:r>
      <w:r w:rsidR="00A306AD" w:rsidRPr="00F650E5">
        <w:rPr>
          <w:noProof/>
          <w:sz w:val="24"/>
          <w:szCs w:val="24"/>
        </w:rPr>
        <w:t xml:space="preserve"> has an elaborate analytical vocabulary for describing how signs make sense’</w:t>
      </w:r>
      <w:sdt>
        <w:sdtPr>
          <w:rPr>
            <w:noProof/>
            <w:sz w:val="24"/>
            <w:szCs w:val="24"/>
          </w:rPr>
          <w:id w:val="1057589995"/>
          <w:citation/>
        </w:sdtPr>
        <w:sdtContent>
          <w:r w:rsidR="00742C25" w:rsidRPr="00F650E5">
            <w:rPr>
              <w:noProof/>
              <w:sz w:val="24"/>
              <w:szCs w:val="24"/>
            </w:rPr>
            <w:fldChar w:fldCharType="begin"/>
          </w:r>
          <w:r w:rsidR="00742C25" w:rsidRPr="00F650E5">
            <w:rPr>
              <w:noProof/>
              <w:sz w:val="24"/>
              <w:szCs w:val="24"/>
            </w:rPr>
            <w:instrText xml:space="preserve"> CITATION Gil23 \l 2057 </w:instrText>
          </w:r>
          <w:r w:rsidR="00742C25" w:rsidRPr="00F650E5">
            <w:rPr>
              <w:noProof/>
              <w:sz w:val="24"/>
              <w:szCs w:val="24"/>
            </w:rPr>
            <w:fldChar w:fldCharType="separate"/>
          </w:r>
          <w:r w:rsidR="00742C25" w:rsidRPr="00F650E5">
            <w:rPr>
              <w:noProof/>
              <w:sz w:val="24"/>
              <w:szCs w:val="24"/>
            </w:rPr>
            <w:t xml:space="preserve"> (Rose, 2023)</w:t>
          </w:r>
          <w:r w:rsidR="00742C25" w:rsidRPr="00F650E5">
            <w:rPr>
              <w:noProof/>
              <w:sz w:val="24"/>
              <w:szCs w:val="24"/>
            </w:rPr>
            <w:fldChar w:fldCharType="end"/>
          </w:r>
        </w:sdtContent>
      </w:sdt>
      <w:r w:rsidR="00742C25" w:rsidRPr="00F650E5">
        <w:rPr>
          <w:noProof/>
          <w:sz w:val="24"/>
          <w:szCs w:val="24"/>
        </w:rPr>
        <w:t>.</w:t>
      </w:r>
      <w:r w:rsidRPr="00F650E5">
        <w:rPr>
          <w:noProof/>
          <w:sz w:val="24"/>
          <w:szCs w:val="24"/>
        </w:rPr>
        <w:t xml:space="preserve"> </w:t>
      </w:r>
      <w:r w:rsidRPr="00F650E5">
        <w:rPr>
          <w:sz w:val="24"/>
          <w:szCs w:val="24"/>
        </w:rPr>
        <w:t>This is through scrutinising polysemic and rebus symbols. It</w:t>
      </w:r>
      <w:r w:rsidR="00F650E5">
        <w:rPr>
          <w:sz w:val="24"/>
          <w:szCs w:val="24"/>
        </w:rPr>
        <w:t xml:space="preserve"> is</w:t>
      </w:r>
      <w:r w:rsidRPr="00F650E5">
        <w:rPr>
          <w:sz w:val="24"/>
          <w:szCs w:val="24"/>
        </w:rPr>
        <w:t xml:space="preserve"> how we differentiate between a sign, signifier and the signified. </w:t>
      </w:r>
      <w:r w:rsidR="00742C25" w:rsidRPr="00F650E5">
        <w:rPr>
          <w:sz w:val="24"/>
          <w:szCs w:val="24"/>
        </w:rPr>
        <w:t>‘</w:t>
      </w:r>
      <w:proofErr w:type="gramStart"/>
      <w:r w:rsidR="00742C25" w:rsidRPr="00F650E5">
        <w:rPr>
          <w:sz w:val="24"/>
          <w:szCs w:val="24"/>
        </w:rPr>
        <w:t>signs</w:t>
      </w:r>
      <w:proofErr w:type="gramEnd"/>
      <w:r w:rsidR="00742C25" w:rsidRPr="00F650E5">
        <w:rPr>
          <w:sz w:val="24"/>
          <w:szCs w:val="24"/>
        </w:rPr>
        <w:t xml:space="preserve"> take the form of words, images, sounds, gestures and objects’ </w:t>
      </w:r>
      <w:sdt>
        <w:sdtPr>
          <w:rPr>
            <w:sz w:val="24"/>
            <w:szCs w:val="24"/>
          </w:rPr>
          <w:id w:val="326645327"/>
          <w:citation/>
        </w:sdtPr>
        <w:sdtContent>
          <w:r w:rsidR="00742C25" w:rsidRPr="00F650E5">
            <w:rPr>
              <w:sz w:val="24"/>
              <w:szCs w:val="24"/>
            </w:rPr>
            <w:fldChar w:fldCharType="begin"/>
          </w:r>
          <w:r w:rsidR="00742C25" w:rsidRPr="00F650E5">
            <w:rPr>
              <w:sz w:val="24"/>
              <w:szCs w:val="24"/>
            </w:rPr>
            <w:instrText xml:space="preserve"> CITATION Dan22 \l 2057 </w:instrText>
          </w:r>
          <w:r w:rsidR="00742C25" w:rsidRPr="00F650E5">
            <w:rPr>
              <w:sz w:val="24"/>
              <w:szCs w:val="24"/>
            </w:rPr>
            <w:fldChar w:fldCharType="separate"/>
          </w:r>
          <w:r w:rsidR="00742C25" w:rsidRPr="00F650E5">
            <w:rPr>
              <w:noProof/>
              <w:sz w:val="24"/>
              <w:szCs w:val="24"/>
            </w:rPr>
            <w:t>(Chandler, 2022)</w:t>
          </w:r>
          <w:r w:rsidR="00742C25" w:rsidRPr="00F650E5">
            <w:rPr>
              <w:sz w:val="24"/>
              <w:szCs w:val="24"/>
            </w:rPr>
            <w:fldChar w:fldCharType="end"/>
          </w:r>
        </w:sdtContent>
      </w:sdt>
      <w:r w:rsidRPr="00F650E5">
        <w:rPr>
          <w:sz w:val="24"/>
          <w:szCs w:val="24"/>
        </w:rPr>
        <w:t xml:space="preserve">. </w:t>
      </w:r>
      <w:r w:rsidR="009E2BFA" w:rsidRPr="00F650E5">
        <w:rPr>
          <w:sz w:val="24"/>
          <w:szCs w:val="24"/>
        </w:rPr>
        <w:t xml:space="preserve"> </w:t>
      </w:r>
    </w:p>
    <w:p w14:paraId="1C649BE8" w14:textId="1D27C587" w:rsidR="006F5EBF" w:rsidRPr="00F650E5" w:rsidRDefault="009E2BFA" w:rsidP="00F650E5">
      <w:pPr>
        <w:spacing w:line="360" w:lineRule="auto"/>
        <w:rPr>
          <w:noProof/>
          <w:sz w:val="24"/>
          <w:szCs w:val="24"/>
        </w:rPr>
      </w:pPr>
      <w:r w:rsidRPr="00F650E5">
        <w:rPr>
          <w:noProof/>
          <w:sz w:val="24"/>
          <w:szCs w:val="24"/>
        </w:rPr>
        <w:t xml:space="preserve">Justins Hernandez’ anti-smoking campaign advertisement is linked to the relationship </w:t>
      </w:r>
      <w:r w:rsidR="00F650E5">
        <w:rPr>
          <w:noProof/>
          <w:sz w:val="24"/>
          <w:szCs w:val="24"/>
        </w:rPr>
        <w:t>of</w:t>
      </w:r>
      <w:r w:rsidRPr="00F650E5">
        <w:rPr>
          <w:noProof/>
          <w:sz w:val="24"/>
          <w:szCs w:val="24"/>
        </w:rPr>
        <w:t xml:space="preserve"> growing up around smoking and how likely this impacts them smoking in the future. His advert uses visual rhetoric’s to convay the harmful influence being around smokers at a young age can be and how </w:t>
      </w:r>
      <w:r w:rsidR="00F650E5">
        <w:rPr>
          <w:noProof/>
          <w:sz w:val="24"/>
          <w:szCs w:val="24"/>
        </w:rPr>
        <w:t>this</w:t>
      </w:r>
      <w:r w:rsidRPr="00F650E5">
        <w:rPr>
          <w:noProof/>
          <w:sz w:val="24"/>
          <w:szCs w:val="24"/>
        </w:rPr>
        <w:t xml:space="preserve"> impact their lives negatively. The aim of the advert is to persuade smokers </w:t>
      </w:r>
      <w:r w:rsidR="00D6278B" w:rsidRPr="00F650E5">
        <w:rPr>
          <w:noProof/>
          <w:sz w:val="24"/>
          <w:szCs w:val="24"/>
        </w:rPr>
        <w:t>quit or be more concious of the effect of</w:t>
      </w:r>
      <w:r w:rsidR="00F650E5">
        <w:rPr>
          <w:noProof/>
          <w:sz w:val="24"/>
          <w:szCs w:val="24"/>
        </w:rPr>
        <w:t xml:space="preserve"> household</w:t>
      </w:r>
      <w:r w:rsidR="00D6278B" w:rsidRPr="00F650E5">
        <w:rPr>
          <w:noProof/>
          <w:sz w:val="24"/>
          <w:szCs w:val="24"/>
        </w:rPr>
        <w:t xml:space="preserve"> smoking </w:t>
      </w:r>
      <w:r w:rsidR="00F650E5">
        <w:rPr>
          <w:noProof/>
          <w:sz w:val="24"/>
          <w:szCs w:val="24"/>
        </w:rPr>
        <w:t>in the presence</w:t>
      </w:r>
      <w:r w:rsidR="00D6278B" w:rsidRPr="00F650E5">
        <w:rPr>
          <w:noProof/>
          <w:sz w:val="24"/>
          <w:szCs w:val="24"/>
        </w:rPr>
        <w:t xml:space="preserve"> of children.</w:t>
      </w:r>
    </w:p>
    <w:p w14:paraId="02B7525D" w14:textId="2B63D7EB" w:rsidR="006F5EBF" w:rsidRPr="00F650E5" w:rsidRDefault="004B2048" w:rsidP="00F650E5">
      <w:pPr>
        <w:spacing w:line="360" w:lineRule="auto"/>
        <w:rPr>
          <w:sz w:val="24"/>
          <w:szCs w:val="24"/>
        </w:rPr>
      </w:pPr>
      <w:r w:rsidRPr="00F650E5">
        <w:rPr>
          <w:sz w:val="24"/>
          <w:szCs w:val="24"/>
        </w:rPr>
        <w:t>This advert depicts a cigarette box</w:t>
      </w:r>
      <w:r w:rsidR="00F650E5">
        <w:rPr>
          <w:sz w:val="24"/>
          <w:szCs w:val="24"/>
        </w:rPr>
        <w:t xml:space="preserve"> </w:t>
      </w:r>
      <w:r w:rsidRPr="00F650E5">
        <w:rPr>
          <w:sz w:val="24"/>
          <w:szCs w:val="24"/>
        </w:rPr>
        <w:t xml:space="preserve">with cigarettes wrapped in crayon paper. </w:t>
      </w:r>
      <w:r w:rsidR="00AD71E0" w:rsidRPr="00F650E5">
        <w:rPr>
          <w:sz w:val="24"/>
          <w:szCs w:val="24"/>
        </w:rPr>
        <w:t xml:space="preserve">The branding of both the cigarettes and crayons is very easy to associate with </w:t>
      </w:r>
      <w:r w:rsidR="00F650E5">
        <w:rPr>
          <w:sz w:val="24"/>
          <w:szCs w:val="24"/>
        </w:rPr>
        <w:t>both</w:t>
      </w:r>
      <w:r w:rsidR="00AD71E0" w:rsidRPr="00F650E5">
        <w:rPr>
          <w:sz w:val="24"/>
          <w:szCs w:val="24"/>
        </w:rPr>
        <w:t xml:space="preserve"> </w:t>
      </w:r>
      <w:r w:rsidR="00F650E5">
        <w:rPr>
          <w:sz w:val="24"/>
          <w:szCs w:val="24"/>
        </w:rPr>
        <w:t>well-known</w:t>
      </w:r>
      <w:r w:rsidR="00AD71E0" w:rsidRPr="00F650E5">
        <w:rPr>
          <w:sz w:val="24"/>
          <w:szCs w:val="24"/>
        </w:rPr>
        <w:t xml:space="preserve"> brands. The use of the classic ‘</w:t>
      </w:r>
      <w:r w:rsidR="00742C25" w:rsidRPr="00F650E5">
        <w:rPr>
          <w:sz w:val="24"/>
          <w:szCs w:val="24"/>
        </w:rPr>
        <w:t>Marlboro</w:t>
      </w:r>
      <w:r w:rsidR="00AD71E0" w:rsidRPr="00F650E5">
        <w:rPr>
          <w:sz w:val="24"/>
          <w:szCs w:val="24"/>
        </w:rPr>
        <w:t xml:space="preserve">’ box makes it more recognisable </w:t>
      </w:r>
      <w:r w:rsidR="008A3B15" w:rsidRPr="00F650E5">
        <w:rPr>
          <w:sz w:val="24"/>
          <w:szCs w:val="24"/>
        </w:rPr>
        <w:t>to the viewer with the stark difference of the</w:t>
      </w:r>
      <w:r w:rsidR="00697D61" w:rsidRPr="00F650E5">
        <w:rPr>
          <w:sz w:val="24"/>
          <w:szCs w:val="24"/>
        </w:rPr>
        <w:t xml:space="preserve"> childlike and playful </w:t>
      </w:r>
      <w:r w:rsidR="00742C25" w:rsidRPr="00F650E5">
        <w:rPr>
          <w:sz w:val="24"/>
          <w:szCs w:val="24"/>
        </w:rPr>
        <w:t>imagery</w:t>
      </w:r>
      <w:r w:rsidR="00F650E5">
        <w:rPr>
          <w:sz w:val="24"/>
          <w:szCs w:val="24"/>
        </w:rPr>
        <w:t xml:space="preserve"> of the</w:t>
      </w:r>
      <w:r w:rsidR="008A3B15" w:rsidRPr="00F650E5">
        <w:rPr>
          <w:sz w:val="24"/>
          <w:szCs w:val="24"/>
        </w:rPr>
        <w:t xml:space="preserve"> crayons within. The juxtaposition of the crayons filled with tobacco shows the innocence of how a child would view cigarettes versus the potential harm they can cause. The colourful crayons </w:t>
      </w:r>
      <w:r w:rsidR="00F650E5" w:rsidRPr="00F650E5">
        <w:rPr>
          <w:sz w:val="24"/>
          <w:szCs w:val="24"/>
        </w:rPr>
        <w:t>represent</w:t>
      </w:r>
      <w:r w:rsidR="008A3B15" w:rsidRPr="00F650E5">
        <w:rPr>
          <w:sz w:val="24"/>
          <w:szCs w:val="24"/>
        </w:rPr>
        <w:t xml:space="preserve"> how cigarettes can be view through </w:t>
      </w:r>
      <w:r w:rsidR="00F650E5" w:rsidRPr="00F650E5">
        <w:rPr>
          <w:sz w:val="24"/>
          <w:szCs w:val="24"/>
        </w:rPr>
        <w:t>youngster’s</w:t>
      </w:r>
      <w:r w:rsidR="008A3B15" w:rsidRPr="00F650E5">
        <w:rPr>
          <w:sz w:val="24"/>
          <w:szCs w:val="24"/>
        </w:rPr>
        <w:t xml:space="preserve"> eyes </w:t>
      </w:r>
      <w:r w:rsidR="00F650E5">
        <w:rPr>
          <w:sz w:val="24"/>
          <w:szCs w:val="24"/>
        </w:rPr>
        <w:t xml:space="preserve">and how they view them </w:t>
      </w:r>
      <w:proofErr w:type="gramStart"/>
      <w:r w:rsidR="00F650E5">
        <w:rPr>
          <w:sz w:val="24"/>
          <w:szCs w:val="24"/>
        </w:rPr>
        <w:t>similar to</w:t>
      </w:r>
      <w:proofErr w:type="gramEnd"/>
      <w:r w:rsidR="00F650E5">
        <w:rPr>
          <w:sz w:val="24"/>
          <w:szCs w:val="24"/>
        </w:rPr>
        <w:t xml:space="preserve"> a</w:t>
      </w:r>
      <w:r w:rsidR="008A3B15" w:rsidRPr="00F650E5">
        <w:rPr>
          <w:sz w:val="24"/>
          <w:szCs w:val="24"/>
        </w:rPr>
        <w:t xml:space="preserve"> toy compared to an </w:t>
      </w:r>
      <w:r w:rsidR="00F650E5" w:rsidRPr="00F650E5">
        <w:rPr>
          <w:sz w:val="24"/>
          <w:szCs w:val="24"/>
        </w:rPr>
        <w:t>adult’s</w:t>
      </w:r>
      <w:r w:rsidR="008A3B15" w:rsidRPr="00F650E5">
        <w:rPr>
          <w:sz w:val="24"/>
          <w:szCs w:val="24"/>
        </w:rPr>
        <w:t xml:space="preserve"> addiction. The connotation of this is that cigarettes will seem more appealing to </w:t>
      </w:r>
      <w:r w:rsidR="00F650E5">
        <w:rPr>
          <w:sz w:val="24"/>
          <w:szCs w:val="24"/>
        </w:rPr>
        <w:t xml:space="preserve">children as they are unaware of the risks </w:t>
      </w:r>
      <w:r w:rsidR="008A3B15" w:rsidRPr="00F650E5">
        <w:rPr>
          <w:sz w:val="24"/>
          <w:szCs w:val="24"/>
        </w:rPr>
        <w:t>and</w:t>
      </w:r>
      <w:r w:rsidR="00F650E5">
        <w:rPr>
          <w:sz w:val="24"/>
          <w:szCs w:val="24"/>
        </w:rPr>
        <w:t xml:space="preserve"> believe them to be enjoyable. Consequently,</w:t>
      </w:r>
      <w:r w:rsidR="008A3B15" w:rsidRPr="00F650E5">
        <w:rPr>
          <w:sz w:val="24"/>
          <w:szCs w:val="24"/>
        </w:rPr>
        <w:t xml:space="preserve"> they will be more influence to buy them in the future.</w:t>
      </w:r>
    </w:p>
    <w:p w14:paraId="2CF7EEBF" w14:textId="07CC59A1" w:rsidR="00825FE7" w:rsidRPr="00F650E5" w:rsidRDefault="00825FE7" w:rsidP="00F650E5">
      <w:pPr>
        <w:spacing w:line="360" w:lineRule="auto"/>
        <w:rPr>
          <w:sz w:val="24"/>
          <w:szCs w:val="24"/>
        </w:rPr>
      </w:pPr>
      <w:r>
        <w:rPr>
          <w:sz w:val="24"/>
          <w:szCs w:val="24"/>
        </w:rPr>
        <w:t>How the cigarette packet is placed tilted towards the viewer and how it is the focal point is important in the interpretation of the advertisement. The packet being open and not hidden shows how easily it is for children too see your bad habits and adopt them. The partially drawn cigarette almost teasing the viewer is demonstrating how tempting smoking is but also how easy it is to.</w:t>
      </w:r>
    </w:p>
    <w:p w14:paraId="1A67790B" w14:textId="29F5C208" w:rsidR="00D6278B" w:rsidRPr="00F650E5" w:rsidRDefault="00697D61" w:rsidP="00F650E5">
      <w:pPr>
        <w:spacing w:line="360" w:lineRule="auto"/>
        <w:rPr>
          <w:sz w:val="24"/>
          <w:szCs w:val="24"/>
        </w:rPr>
      </w:pPr>
      <w:r w:rsidRPr="00F650E5">
        <w:rPr>
          <w:sz w:val="24"/>
          <w:szCs w:val="24"/>
        </w:rPr>
        <w:t xml:space="preserve">This is linked to the text above </w:t>
      </w:r>
      <w:proofErr w:type="gramStart"/>
      <w:r w:rsidRPr="00F650E5">
        <w:rPr>
          <w:sz w:val="24"/>
          <w:szCs w:val="24"/>
        </w:rPr>
        <w:t>‘ Just</w:t>
      </w:r>
      <w:proofErr w:type="gramEnd"/>
      <w:r w:rsidRPr="00F650E5">
        <w:rPr>
          <w:sz w:val="24"/>
          <w:szCs w:val="24"/>
        </w:rPr>
        <w:t xml:space="preserve"> like mommy ’ which is also written with crayon. It is written in big scrawled childlike manner in such that a young child would write furthered by the use of </w:t>
      </w:r>
      <w:proofErr w:type="gramStart"/>
      <w:r w:rsidRPr="00F650E5">
        <w:rPr>
          <w:sz w:val="24"/>
          <w:szCs w:val="24"/>
        </w:rPr>
        <w:t>‘ mommy</w:t>
      </w:r>
      <w:proofErr w:type="gramEnd"/>
      <w:r w:rsidRPr="00F650E5">
        <w:rPr>
          <w:sz w:val="24"/>
          <w:szCs w:val="24"/>
        </w:rPr>
        <w:t xml:space="preserve"> ‘ and not mum which an older child would more often use. This denotes </w:t>
      </w:r>
      <w:r w:rsidRPr="00F650E5">
        <w:rPr>
          <w:sz w:val="24"/>
          <w:szCs w:val="24"/>
        </w:rPr>
        <w:lastRenderedPageBreak/>
        <w:t>how young children are influence</w:t>
      </w:r>
      <w:r w:rsidR="00825FE7">
        <w:rPr>
          <w:sz w:val="24"/>
          <w:szCs w:val="24"/>
        </w:rPr>
        <w:t>d</w:t>
      </w:r>
      <w:r w:rsidRPr="00F650E5">
        <w:rPr>
          <w:sz w:val="24"/>
          <w:szCs w:val="24"/>
        </w:rPr>
        <w:t xml:space="preserve"> by what they grow up with and who is around them as they look </w:t>
      </w:r>
      <w:r w:rsidR="00742C25" w:rsidRPr="00F650E5">
        <w:rPr>
          <w:sz w:val="24"/>
          <w:szCs w:val="24"/>
        </w:rPr>
        <w:t>up to</w:t>
      </w:r>
      <w:r w:rsidRPr="00F650E5">
        <w:rPr>
          <w:sz w:val="24"/>
          <w:szCs w:val="24"/>
        </w:rPr>
        <w:t xml:space="preserve"> them and want to be more like them. </w:t>
      </w:r>
    </w:p>
    <w:p w14:paraId="78494FF5" w14:textId="506B4DC8" w:rsidR="004B238D" w:rsidRPr="00F650E5" w:rsidRDefault="004B238D" w:rsidP="00F650E5">
      <w:pPr>
        <w:spacing w:line="360" w:lineRule="auto"/>
        <w:rPr>
          <w:sz w:val="24"/>
          <w:szCs w:val="24"/>
        </w:rPr>
      </w:pPr>
      <w:r w:rsidRPr="00F650E5">
        <w:rPr>
          <w:sz w:val="24"/>
          <w:szCs w:val="24"/>
        </w:rPr>
        <w:t xml:space="preserve">In contrast to this, the short sentence below explains the message in a more adult way in a grey text that almost blends with the background. This is less impactful but links to how adults know the dangerous impacts of smoking but how children are unaware. </w:t>
      </w:r>
    </w:p>
    <w:p w14:paraId="25AD91DD" w14:textId="65FCB5FB" w:rsidR="00BB1D44" w:rsidRPr="00F650E5" w:rsidRDefault="004B238D" w:rsidP="00F650E5">
      <w:pPr>
        <w:spacing w:line="360" w:lineRule="auto"/>
        <w:rPr>
          <w:sz w:val="24"/>
          <w:szCs w:val="24"/>
        </w:rPr>
      </w:pPr>
      <w:r w:rsidRPr="00F650E5">
        <w:rPr>
          <w:sz w:val="24"/>
          <w:szCs w:val="24"/>
        </w:rPr>
        <w:t xml:space="preserve">The background colour being a white/ grey makes sure the message of the advert is heard and makes the messages be more focal as it is important. It also could be deconstructed to how white is pure and </w:t>
      </w:r>
      <w:r w:rsidR="00742C25" w:rsidRPr="00F650E5">
        <w:rPr>
          <w:sz w:val="24"/>
          <w:szCs w:val="24"/>
        </w:rPr>
        <w:t>innocent</w:t>
      </w:r>
      <w:r w:rsidRPr="00F650E5">
        <w:rPr>
          <w:sz w:val="24"/>
          <w:szCs w:val="24"/>
        </w:rPr>
        <w:t xml:space="preserve"> much like a child.</w:t>
      </w:r>
    </w:p>
    <w:sdt>
      <w:sdtPr>
        <w:id w:val="1165205761"/>
        <w:docPartObj>
          <w:docPartGallery w:val="Bibliographie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0D7F9CCA" w14:textId="0691CEDF" w:rsidR="00742C25" w:rsidRDefault="00742C25">
          <w:pPr>
            <w:pStyle w:val="Heading1"/>
          </w:pPr>
          <w:r>
            <w:t>References</w:t>
          </w:r>
        </w:p>
        <w:sdt>
          <w:sdtPr>
            <w:id w:val="-573587230"/>
            <w:bibliography/>
          </w:sdtPr>
          <w:sdtContent>
            <w:p w14:paraId="7A31780F" w14:textId="77777777" w:rsidR="00742C25" w:rsidRDefault="00742C25" w:rsidP="00742C25">
              <w:pPr>
                <w:pStyle w:val="Bibliography"/>
                <w:ind w:left="720" w:hanging="720"/>
                <w:rPr>
                  <w:noProof/>
                  <w:kern w:val="0"/>
                  <w:sz w:val="24"/>
                  <w:szCs w:val="24"/>
                  <w14:ligatures w14:val="none"/>
                </w:rPr>
              </w:pPr>
              <w:r>
                <w:fldChar w:fldCharType="begin"/>
              </w:r>
              <w:r>
                <w:instrText>BIBLIOGRAPHY</w:instrText>
              </w:r>
              <w:r>
                <w:fldChar w:fldCharType="separate"/>
              </w:r>
              <w:r>
                <w:rPr>
                  <w:noProof/>
                </w:rPr>
                <w:t xml:space="preserve">Chandler, D. (2022). </w:t>
              </w:r>
              <w:r>
                <w:rPr>
                  <w:i/>
                  <w:iCs/>
                  <w:noProof/>
                </w:rPr>
                <w:t>Semiotics : the basics.</w:t>
              </w:r>
              <w:r>
                <w:rPr>
                  <w:noProof/>
                </w:rPr>
                <w:t xml:space="preserve"> Routledge.</w:t>
              </w:r>
            </w:p>
            <w:p w14:paraId="56D7D3E7" w14:textId="77777777" w:rsidR="00742C25" w:rsidRDefault="00742C25" w:rsidP="00742C25">
              <w:pPr>
                <w:pStyle w:val="Bibliography"/>
                <w:ind w:left="720" w:hanging="720"/>
                <w:rPr>
                  <w:noProof/>
                </w:rPr>
              </w:pPr>
              <w:r>
                <w:rPr>
                  <w:noProof/>
                </w:rPr>
                <w:t xml:space="preserve">Rose, G. (2023). </w:t>
              </w:r>
              <w:r>
                <w:rPr>
                  <w:i/>
                  <w:iCs/>
                  <w:noProof/>
                </w:rPr>
                <w:t>Visual Methodologies: an introduction to researching with visual materials.</w:t>
              </w:r>
              <w:r>
                <w:rPr>
                  <w:noProof/>
                </w:rPr>
                <w:t xml:space="preserve"> SAGE.</w:t>
              </w:r>
            </w:p>
            <w:p w14:paraId="73AE9AAA" w14:textId="04E2A99E" w:rsidR="00742C25" w:rsidRDefault="00742C25" w:rsidP="00742C25">
              <w:r>
                <w:rPr>
                  <w:b/>
                  <w:bCs/>
                </w:rPr>
                <w:fldChar w:fldCharType="end"/>
              </w:r>
            </w:p>
          </w:sdtContent>
        </w:sdt>
      </w:sdtContent>
    </w:sdt>
    <w:p w14:paraId="66D681A0" w14:textId="0D0B43CE" w:rsidR="00A306AD" w:rsidRPr="00742C25" w:rsidRDefault="00A306AD">
      <w:pPr>
        <w:rPr>
          <w:sz w:val="28"/>
          <w:szCs w:val="28"/>
        </w:rPr>
      </w:pPr>
      <w:r>
        <w:rPr>
          <w:sz w:val="28"/>
          <w:szCs w:val="28"/>
        </w:rPr>
        <w:t xml:space="preserve"> </w:t>
      </w:r>
    </w:p>
    <w:sectPr w:rsidR="00A306AD" w:rsidRPr="00742C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7F5"/>
    <w:rsid w:val="00035320"/>
    <w:rsid w:val="004B2048"/>
    <w:rsid w:val="004B238D"/>
    <w:rsid w:val="005057F5"/>
    <w:rsid w:val="00697D61"/>
    <w:rsid w:val="006F5EBF"/>
    <w:rsid w:val="00742C25"/>
    <w:rsid w:val="00825FE7"/>
    <w:rsid w:val="008A3B15"/>
    <w:rsid w:val="009E2BFA"/>
    <w:rsid w:val="00A306AD"/>
    <w:rsid w:val="00AD71E0"/>
    <w:rsid w:val="00BB1D44"/>
    <w:rsid w:val="00D6278B"/>
    <w:rsid w:val="00F65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4642"/>
  <w15:chartTrackingRefBased/>
  <w15:docId w15:val="{3B3D7322-3147-45A5-8883-80EC1448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C25"/>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C25"/>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742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87206">
      <w:bodyDiv w:val="1"/>
      <w:marLeft w:val="0"/>
      <w:marRight w:val="0"/>
      <w:marTop w:val="0"/>
      <w:marBottom w:val="0"/>
      <w:divBdr>
        <w:top w:val="none" w:sz="0" w:space="0" w:color="auto"/>
        <w:left w:val="none" w:sz="0" w:space="0" w:color="auto"/>
        <w:bottom w:val="none" w:sz="0" w:space="0" w:color="auto"/>
        <w:right w:val="none" w:sz="0" w:space="0" w:color="auto"/>
      </w:divBdr>
    </w:div>
    <w:div w:id="237791087">
      <w:bodyDiv w:val="1"/>
      <w:marLeft w:val="0"/>
      <w:marRight w:val="0"/>
      <w:marTop w:val="0"/>
      <w:marBottom w:val="0"/>
      <w:divBdr>
        <w:top w:val="none" w:sz="0" w:space="0" w:color="auto"/>
        <w:left w:val="none" w:sz="0" w:space="0" w:color="auto"/>
        <w:bottom w:val="none" w:sz="0" w:space="0" w:color="auto"/>
        <w:right w:val="none" w:sz="0" w:space="0" w:color="auto"/>
      </w:divBdr>
    </w:div>
    <w:div w:id="2107383746">
      <w:bodyDiv w:val="1"/>
      <w:marLeft w:val="0"/>
      <w:marRight w:val="0"/>
      <w:marTop w:val="0"/>
      <w:marBottom w:val="0"/>
      <w:divBdr>
        <w:top w:val="none" w:sz="0" w:space="0" w:color="auto"/>
        <w:left w:val="none" w:sz="0" w:space="0" w:color="auto"/>
        <w:bottom w:val="none" w:sz="0" w:space="0" w:color="auto"/>
        <w:right w:val="none" w:sz="0" w:space="0" w:color="auto"/>
      </w:divBdr>
    </w:div>
    <w:div w:id="211558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Gil23</b:Tag>
    <b:SourceType>Book</b:SourceType>
    <b:Guid>{87A63346-D652-4EA0-BA0C-3EDB8AEB21DF}</b:Guid>
    <b:Title>Visual Methodologies: an introduction to researching with visual materials</b:Title>
    <b:Year>2023</b:Year>
    <b:Author>
      <b:Author>
        <b:NameList>
          <b:Person>
            <b:Last>Rose</b:Last>
            <b:First>Gillian</b:First>
          </b:Person>
        </b:NameList>
      </b:Author>
    </b:Author>
    <b:Publisher>SAGE</b:Publisher>
    <b:RefOrder>1</b:RefOrder>
  </b:Source>
  <b:Source>
    <b:Tag>Dan22</b:Tag>
    <b:SourceType>Book</b:SourceType>
    <b:Guid>{926D95B4-24F3-4036-88BC-A656F2999ED8}</b:Guid>
    <b:Author>
      <b:Author>
        <b:NameList>
          <b:Person>
            <b:Last>Chandler</b:Last>
            <b:First>Daniel</b:First>
          </b:Person>
        </b:NameList>
      </b:Author>
    </b:Author>
    <b:Title>Semiotics : the basics</b:Title>
    <b:Year>2022</b:Year>
    <b:Publisher>Routledge</b:Publisher>
    <b:RefOrder>2</b:RefOrder>
  </b:Source>
</b:Sources>
</file>

<file path=customXml/itemProps1.xml><?xml version="1.0" encoding="utf-8"?>
<ds:datastoreItem xmlns:ds="http://schemas.openxmlformats.org/officeDocument/2006/customXml" ds:itemID="{E4CEA584-4C23-4316-BA48-0CFEE85D3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greaves</dc:creator>
  <cp:keywords/>
  <dc:description/>
  <cp:lastModifiedBy>lydia greaves</cp:lastModifiedBy>
  <cp:revision>2</cp:revision>
  <dcterms:created xsi:type="dcterms:W3CDTF">2023-11-26T22:11:00Z</dcterms:created>
  <dcterms:modified xsi:type="dcterms:W3CDTF">2023-11-26T22:11:00Z</dcterms:modified>
</cp:coreProperties>
</file>