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ED08DA" w14:textId="229BCE53" w:rsidR="00C12C86" w:rsidRDefault="00474DFB" w:rsidP="00C12C86">
      <w:pPr>
        <w:spacing w:after="240" w:line="360" w:lineRule="auto"/>
        <w:jc w:val="center"/>
        <w:rPr>
          <w:b/>
          <w:bCs/>
          <w:sz w:val="28"/>
          <w:szCs w:val="28"/>
        </w:rPr>
      </w:pPr>
      <w:r>
        <w:rPr>
          <w:b/>
          <w:bCs/>
          <w:sz w:val="28"/>
          <w:szCs w:val="28"/>
        </w:rPr>
        <w:t>Nikola Sugarova</w:t>
      </w:r>
    </w:p>
    <w:p w14:paraId="16338C86" w14:textId="3D5637AF" w:rsidR="00C12C86" w:rsidRDefault="00BB7B4E" w:rsidP="00C12C86">
      <w:pPr>
        <w:spacing w:after="240" w:line="360" w:lineRule="auto"/>
        <w:jc w:val="center"/>
        <w:rPr>
          <w:b/>
          <w:bCs/>
          <w:sz w:val="28"/>
          <w:szCs w:val="28"/>
        </w:rPr>
      </w:pPr>
      <w:r>
        <w:rPr>
          <w:b/>
          <w:bCs/>
          <w:sz w:val="28"/>
          <w:szCs w:val="28"/>
        </w:rPr>
        <w:t>Student-2219936</w:t>
      </w:r>
    </w:p>
    <w:p w14:paraId="0244C3A6" w14:textId="23127100" w:rsidR="006C62BB" w:rsidRDefault="008B60D2" w:rsidP="006C62BB">
      <w:pPr>
        <w:spacing w:after="240" w:line="360" w:lineRule="auto"/>
        <w:jc w:val="center"/>
        <w:rPr>
          <w:b/>
          <w:bCs/>
          <w:sz w:val="28"/>
          <w:szCs w:val="28"/>
        </w:rPr>
      </w:pPr>
      <w:r>
        <w:rPr>
          <w:b/>
          <w:bCs/>
          <w:sz w:val="28"/>
          <w:szCs w:val="28"/>
        </w:rPr>
        <w:t>27/07/2026</w:t>
      </w:r>
    </w:p>
    <w:p w14:paraId="575B764A" w14:textId="77777777" w:rsidR="008B60D2" w:rsidRDefault="008B60D2" w:rsidP="00C12C86">
      <w:pPr>
        <w:spacing w:after="240" w:line="360" w:lineRule="auto"/>
        <w:jc w:val="center"/>
        <w:rPr>
          <w:b/>
          <w:bCs/>
          <w:sz w:val="28"/>
          <w:szCs w:val="28"/>
        </w:rPr>
      </w:pPr>
    </w:p>
    <w:p w14:paraId="249C160F" w14:textId="0F376636" w:rsidR="00763F4A" w:rsidRDefault="00DB7D6C">
      <w:pPr>
        <w:spacing w:after="240" w:line="360" w:lineRule="auto"/>
        <w:jc w:val="center"/>
      </w:pPr>
      <w:r>
        <w:rPr>
          <w:b/>
          <w:bCs/>
          <w:sz w:val="28"/>
          <w:szCs w:val="28"/>
        </w:rPr>
        <w:t>What is Bultmann’s Demythologisation Programme, and is it a Helpful Way of Reading the New Testament Today?</w:t>
      </w:r>
    </w:p>
    <w:p w14:paraId="0864E495" w14:textId="6EABE430" w:rsidR="00763F4A" w:rsidRDefault="00DB7D6C" w:rsidP="00474DFB">
      <w:pPr>
        <w:spacing w:line="480" w:lineRule="auto"/>
        <w:jc w:val="both"/>
      </w:pPr>
      <w:r w:rsidRPr="00A16765">
        <w:t>Rudolf Bultmann’s programme of demythologisation</w:t>
      </w:r>
      <w:r w:rsidR="00605D1A">
        <w:t xml:space="preserve"> </w:t>
      </w:r>
      <w:r w:rsidR="00DF5BFE" w:rsidRPr="00DF5BFE">
        <w:t>is</w:t>
      </w:r>
      <w:r w:rsidRPr="00A16765">
        <w:t xml:space="preserve"> one of the most </w:t>
      </w:r>
      <w:r w:rsidR="00DF5BFE" w:rsidRPr="00DF5BFE">
        <w:t>influential and controversial</w:t>
      </w:r>
      <w:r w:rsidR="005A2B44">
        <w:t xml:space="preserve"> </w:t>
      </w:r>
      <w:r w:rsidR="00DF5BFE" w:rsidRPr="00DF5BFE">
        <w:t xml:space="preserve">attempts to interpret the New Testament </w:t>
      </w:r>
      <w:r w:rsidRPr="00A16765">
        <w:t xml:space="preserve">in </w:t>
      </w:r>
      <w:r w:rsidR="00DF5BFE" w:rsidRPr="00DF5BFE">
        <w:t xml:space="preserve">modern </w:t>
      </w:r>
      <w:r w:rsidRPr="00A16765">
        <w:t xml:space="preserve">theology. </w:t>
      </w:r>
      <w:r w:rsidR="00DF5BFE" w:rsidRPr="00DF5BFE">
        <w:t xml:space="preserve">It was most famously </w:t>
      </w:r>
      <w:r w:rsidR="00136182">
        <w:t xml:space="preserve">presented </w:t>
      </w:r>
      <w:r w:rsidRPr="00A16765">
        <w:t xml:space="preserve">his 1941 essay ‘New </w:t>
      </w:r>
      <w:r w:rsidR="00605D1A">
        <w:t xml:space="preserve">Testament </w:t>
      </w:r>
      <w:r w:rsidRPr="00A16765">
        <w:t xml:space="preserve">and Mythology’, </w:t>
      </w:r>
      <w:r w:rsidR="00DF5BFE" w:rsidRPr="00DF5BFE">
        <w:t xml:space="preserve">later published in </w:t>
      </w:r>
      <w:r w:rsidR="00DF5BFE" w:rsidRPr="00DF5BFE">
        <w:rPr>
          <w:i/>
          <w:iCs/>
        </w:rPr>
        <w:t>Kerygma and Myth</w:t>
      </w:r>
      <w:r w:rsidR="00DF5BFE" w:rsidRPr="00DF5BFE">
        <w:t xml:space="preserve">, </w:t>
      </w:r>
      <w:r w:rsidRPr="00A16765">
        <w:t xml:space="preserve">where </w:t>
      </w:r>
      <w:r w:rsidR="00DF5BFE" w:rsidRPr="00DF5BFE">
        <w:t>Bultmann argued</w:t>
      </w:r>
      <w:r w:rsidRPr="00A16765">
        <w:t xml:space="preserve"> that </w:t>
      </w:r>
      <w:r w:rsidR="00DF5BFE" w:rsidRPr="00DF5BFE">
        <w:t xml:space="preserve">the New Testament proclaims the gospel </w:t>
      </w:r>
      <w:r w:rsidRPr="00A16765">
        <w:t xml:space="preserve">through </w:t>
      </w:r>
      <w:r w:rsidR="00DF5BFE" w:rsidRPr="00DF5BFE">
        <w:t xml:space="preserve">the categories of </w:t>
      </w:r>
      <w:r w:rsidRPr="00A16765">
        <w:t xml:space="preserve">an ancient mythological </w:t>
      </w:r>
      <w:r w:rsidR="00ED367E" w:rsidRPr="00A16765">
        <w:t>worldview</w:t>
      </w:r>
      <w:r w:rsidR="00ED367E" w:rsidRPr="00DF5BFE">
        <w:t>. ¹</w:t>
      </w:r>
      <w:r w:rsidR="00DF5BFE" w:rsidRPr="00DF5BFE">
        <w:t xml:space="preserve"> His aim was not to discard Christianity, nor to reduce it to ordinary moral teaching. Rather, he wanted to ask how the New Testament could still be heard as the word of God by people who no longer inhabited the cosmology of the first century. In this sense, demythologisation is best understood as a hermeneutical programme: it concerns how the Christian message is interpreted, translated and communicated across the gap between the ancient world and modern readers.</w:t>
      </w:r>
      <w:r w:rsidR="00474DFB">
        <w:t xml:space="preserve"> </w:t>
      </w:r>
      <w:r w:rsidRPr="00F86D61">
        <w:t xml:space="preserve">This essay will explain the main features of Bultmann’s programme, </w:t>
      </w:r>
      <w:r w:rsidR="00176CF8" w:rsidRPr="00176CF8">
        <w:t xml:space="preserve">consider </w:t>
      </w:r>
      <w:r w:rsidRPr="00F86D61">
        <w:t xml:space="preserve">the </w:t>
      </w:r>
      <w:r w:rsidR="00176CF8" w:rsidRPr="00176CF8">
        <w:t>assumptions</w:t>
      </w:r>
      <w:r w:rsidRPr="00F86D61">
        <w:t xml:space="preserve"> behind it, and </w:t>
      </w:r>
      <w:r w:rsidR="00176CF8" w:rsidRPr="00176CF8">
        <w:t xml:space="preserve">evaluate </w:t>
      </w:r>
      <w:r w:rsidRPr="00F86D61">
        <w:t xml:space="preserve">whether it </w:t>
      </w:r>
      <w:r w:rsidR="00176CF8" w:rsidRPr="00176CF8">
        <w:t>remains</w:t>
      </w:r>
      <w:r w:rsidRPr="00F86D61">
        <w:t xml:space="preserve"> a </w:t>
      </w:r>
      <w:r w:rsidR="00176CF8" w:rsidRPr="00176CF8">
        <w:t xml:space="preserve">helpful </w:t>
      </w:r>
      <w:r w:rsidRPr="00F86D61">
        <w:t xml:space="preserve">way of reading the New Testament </w:t>
      </w:r>
      <w:r w:rsidR="00176CF8" w:rsidRPr="00176CF8">
        <w:t>today.</w:t>
      </w:r>
      <w:r w:rsidRPr="00F86D61">
        <w:t xml:space="preserve"> I will argue that </w:t>
      </w:r>
      <w:r w:rsidR="00176CF8" w:rsidRPr="00176CF8">
        <w:t xml:space="preserve">Bultmann’s approach is valuable </w:t>
      </w:r>
      <w:r w:rsidRPr="00F86D61">
        <w:t xml:space="preserve">because </w:t>
      </w:r>
      <w:r w:rsidR="00176CF8" w:rsidRPr="00176CF8">
        <w:t>it</w:t>
      </w:r>
      <w:r w:rsidRPr="00F86D61">
        <w:t xml:space="preserve"> takes seriously the </w:t>
      </w:r>
      <w:r w:rsidR="00176CF8" w:rsidRPr="00176CF8">
        <w:t>distance</w:t>
      </w:r>
      <w:r w:rsidRPr="00F86D61">
        <w:t xml:space="preserve"> between the </w:t>
      </w:r>
      <w:r w:rsidR="00176CF8" w:rsidRPr="00176CF8">
        <w:t>biblical</w:t>
      </w:r>
      <w:r w:rsidRPr="00F86D61">
        <w:t xml:space="preserve"> world and </w:t>
      </w:r>
      <w:r w:rsidR="00176CF8" w:rsidRPr="00176CF8">
        <w:t>contemporary</w:t>
      </w:r>
      <w:r w:rsidRPr="00F86D61">
        <w:t xml:space="preserve"> readers, and because </w:t>
      </w:r>
      <w:r w:rsidR="00176CF8" w:rsidRPr="00176CF8">
        <w:t>it recognises</w:t>
      </w:r>
      <w:r w:rsidRPr="00F86D61">
        <w:t xml:space="preserve"> that the New Testament is </w:t>
      </w:r>
      <w:r w:rsidR="00176CF8" w:rsidRPr="00176CF8">
        <w:t>not merely a historical document but a proclamation that addresses the hearer</w:t>
      </w:r>
      <w:r w:rsidRPr="00F86D61">
        <w:t xml:space="preserve"> personally. </w:t>
      </w:r>
      <w:r w:rsidR="00176CF8" w:rsidRPr="00176CF8">
        <w:t>However, Bultmann’s method is also limited by its narrow understanding of myth, its dependence on Heideggerian existentialism, and its tendency to separate Christian faith too sharply from historical claims. Therefore, demythologisation</w:t>
      </w:r>
      <w:r w:rsidRPr="00F86D61">
        <w:t xml:space="preserve"> is useful as a challenge to interpreters, but </w:t>
      </w:r>
      <w:r w:rsidR="00176CF8" w:rsidRPr="00176CF8">
        <w:t xml:space="preserve">it is </w:t>
      </w:r>
      <w:r w:rsidRPr="00F86D61">
        <w:t>less convincing as a complete method for reading the New Testament.</w:t>
      </w:r>
    </w:p>
    <w:p w14:paraId="192AC96F" w14:textId="77777777" w:rsidR="00763F4A" w:rsidRDefault="00DB7D6C">
      <w:pPr>
        <w:spacing w:before="240" w:after="120" w:line="480" w:lineRule="auto"/>
      </w:pPr>
      <w:r>
        <w:rPr>
          <w:b/>
          <w:bCs/>
        </w:rPr>
        <w:t>Defining Myth and the Modern Problem</w:t>
      </w:r>
    </w:p>
    <w:p w14:paraId="53A948BA" w14:textId="09AF0F50" w:rsidR="00763F4A" w:rsidRDefault="00A8212E" w:rsidP="004C094B">
      <w:pPr>
        <w:spacing w:line="480" w:lineRule="auto"/>
        <w:jc w:val="both"/>
      </w:pPr>
      <w:r w:rsidRPr="00A8212E">
        <w:t xml:space="preserve">Bultmann’s starting point is his definition of myth. For him, myth does not simply mean a false story. Myth is a way of speaking about the transcendent by using images drawn from the world of ordinary experience. It represents divine action as if it were an event within the world, and it imagines reality in spatial terms: heaven above, earth in the middle, and the underworld </w:t>
      </w:r>
      <w:r w:rsidR="00ED367E" w:rsidRPr="00A8212E">
        <w:t>below. ²</w:t>
      </w:r>
      <w:r w:rsidRPr="00A8212E">
        <w:t xml:space="preserve"> This kind of language, Bultmann argues, was natural in the ancient world, but it becomes problematic when it is taken literally by readers shaped by modern science and technology. The New Testament, in his view, assumes a universe populated by angels, demons, cosmic powers, miraculous interventions and apocalyptic expectations. It also speaks of Christ’s descent from heaven, his resurrection, ascension and future return. Bultmann believed that modern people could not honestly accept this entire picture as a literal description of reality.</w:t>
      </w:r>
      <w:r w:rsidR="004C094B">
        <w:t xml:space="preserve"> </w:t>
      </w:r>
      <w:r w:rsidR="001061D8" w:rsidRPr="001061D8">
        <w:t>The problem, therefore, is not that the New Testament is meaningless, but that its meaning is expressed in a form that can obscure the gospel for modern hearers. Bultmann thought that it would be misleading to demand that a modern person must first accept an ancient worldview before they can receive the Christian proclamation. If Christianity is presented as requiring belief in a three-storeyed universe, or in supernatural events understood as breaches of natural causality, then people may reject the gospel for reasons that are not central to the gospel itself. For Bultmann, the true offence of Christianity is the cross and the call to faith, not the cosmological framework in which the first Christians expressed their faith.</w:t>
      </w:r>
      <w:r w:rsidR="004C094B">
        <w:t xml:space="preserve"> </w:t>
      </w:r>
      <w:r w:rsidR="00EE4B8A" w:rsidRPr="00EE4B8A">
        <w:t xml:space="preserve">This concern explains why Bultmann rejected two opposite approaches. On the one hand, he rejected a conservative literalism which simply repeats the New Testament’s mythological form without interpretation. On the other hand, he also rejected a liberal attempt to remove myth and retain only timeless ethical or religious ideas. David Fergusson observes that Bultmann’s programme was intended as a middle way: it neither accepted myth literally nor discarded it as </w:t>
      </w:r>
      <w:r w:rsidR="00ED367E" w:rsidRPr="00EE4B8A">
        <w:t>worthless. ³</w:t>
      </w:r>
      <w:r w:rsidR="00EE4B8A" w:rsidRPr="00EE4B8A">
        <w:t xml:space="preserve"> Instead, Bultmann believed that myth had to be interpreted in order to disclose the existential truth it was trying to express.</w:t>
      </w:r>
    </w:p>
    <w:p w14:paraId="043BB47A" w14:textId="77777777" w:rsidR="00763F4A" w:rsidRDefault="0085621D">
      <w:pPr>
        <w:spacing w:before="240" w:after="120" w:line="480" w:lineRule="auto"/>
      </w:pPr>
      <w:r w:rsidRPr="0085621D">
        <w:rPr>
          <w:b/>
          <w:bCs/>
        </w:rPr>
        <w:t xml:space="preserve">From Diagnosis to Method: </w:t>
      </w:r>
      <w:r w:rsidR="00DB7D6C">
        <w:rPr>
          <w:b/>
          <w:bCs/>
        </w:rPr>
        <w:t>The Programme of Demythologisation</w:t>
      </w:r>
    </w:p>
    <w:p w14:paraId="6EC2A012" w14:textId="7DCBC775" w:rsidR="00763F4A" w:rsidRDefault="00D8042E" w:rsidP="00203B5C">
      <w:pPr>
        <w:spacing w:line="480" w:lineRule="auto"/>
        <w:jc w:val="both"/>
      </w:pPr>
      <w:r w:rsidRPr="00D8042E">
        <w:t xml:space="preserve">Demythologisation is therefore not deletion. It is not a process of cutting out miracles, angels or apocalyptic language until only a rational religion remains. Bultmann repeatedly insisted that the interpreter must not remove myth but interpret </w:t>
      </w:r>
      <w:r w:rsidR="00ED367E" w:rsidRPr="00D8042E">
        <w:t>it. ⁴</w:t>
      </w:r>
      <w:r w:rsidRPr="00D8042E">
        <w:t xml:space="preserve"> The point is to ask what the mythological language says about human existence before God. When the New Testament speaks of sin, death, the flesh and the world, Bultmann sees more than a description of supernatural forces. He sees a diagnosis of human life: people attempt to secure themselves through what is visible and controllable, yet remain anxious, guilty and alienated. Mythological language expresses the human condition in dramatic form.</w:t>
      </w:r>
      <w:r w:rsidR="004C094B">
        <w:t xml:space="preserve"> </w:t>
      </w:r>
      <w:r w:rsidR="003D30BA" w:rsidRPr="003D30BA">
        <w:t xml:space="preserve">The cross and resurrection are interpreted in the same existential direction. For Bultmann, the cross is not merely a past event to be inspected by the historian. It is the judgement of God upon human self-reliance. The resurrection is not chiefly a miraculous event that can be verified from outside; rather, it is encountered in the proclamation that Christ is present as the crucified and risen </w:t>
      </w:r>
      <w:r w:rsidR="00ED367E" w:rsidRPr="003D30BA">
        <w:t>one. ⁵</w:t>
      </w:r>
      <w:r w:rsidR="003D30BA" w:rsidRPr="003D30BA">
        <w:t xml:space="preserve"> This does not mean that Bultmann thought the proclamation was invented from nothing, but it does mean that he placed the decisive weight on the kerygma, the preached message, rather than on historical reconstruction. Faith arises when the hearer is addressed by the proclamation and is called into a new existence before </w:t>
      </w:r>
      <w:r w:rsidR="00203B5C">
        <w:t>g</w:t>
      </w:r>
      <w:r w:rsidR="003D30BA" w:rsidRPr="003D30BA">
        <w:t>od.</w:t>
      </w:r>
      <w:r w:rsidR="00203B5C">
        <w:t xml:space="preserve"> T</w:t>
      </w:r>
      <w:r w:rsidR="00015101" w:rsidRPr="00015101">
        <w:t>his gives Bultmann’s programme its distinctive shape. He is not asking whether modern readers can believe every supernatural element in the New Testament in a literal way. He is asking how the New Testament’s proclamation discloses the possibility of authentic existence. The task of interpretation is to translate mythological statements into existential meaning without losing the gospel’s demand for decision. In practice, this means that the interpreter reads the New Testament as a summons: the reader is called away from self-made security and towards faith, freedom and openness to God’s future.</w:t>
      </w:r>
    </w:p>
    <w:p w14:paraId="22C80278" w14:textId="77777777" w:rsidR="00763F4A" w:rsidRDefault="00266E15">
      <w:pPr>
        <w:spacing w:before="240" w:after="120" w:line="480" w:lineRule="auto"/>
      </w:pPr>
      <w:r w:rsidRPr="00266E15">
        <w:rPr>
          <w:b/>
          <w:bCs/>
        </w:rPr>
        <w:t>The Philosophical Framework: Existentialist Interpretation</w:t>
      </w:r>
    </w:p>
    <w:p w14:paraId="67095BB2" w14:textId="447503AA" w:rsidR="00763F4A" w:rsidRDefault="00DB7D6C" w:rsidP="000062B1">
      <w:pPr>
        <w:spacing w:line="480" w:lineRule="auto"/>
        <w:jc w:val="both"/>
      </w:pPr>
      <w:r w:rsidRPr="00840464">
        <w:t xml:space="preserve">Bultmann’s </w:t>
      </w:r>
      <w:r w:rsidR="005B62BF" w:rsidRPr="005B62BF">
        <w:t>interpretation</w:t>
      </w:r>
      <w:r w:rsidRPr="00840464">
        <w:t xml:space="preserve"> depends </w:t>
      </w:r>
      <w:r w:rsidR="005B62BF" w:rsidRPr="005B62BF">
        <w:t>heavily</w:t>
      </w:r>
      <w:r w:rsidRPr="00840464">
        <w:t xml:space="preserve"> on existentialist philosophy, especially the work of Martin Heidegger. Heidegger’s </w:t>
      </w:r>
      <w:r w:rsidRPr="005B62BF">
        <w:rPr>
          <w:i/>
        </w:rPr>
        <w:t>Being and Time</w:t>
      </w:r>
      <w:r w:rsidRPr="00840464">
        <w:t xml:space="preserve"> </w:t>
      </w:r>
      <w:r w:rsidR="005B62BF" w:rsidRPr="005B62BF">
        <w:t xml:space="preserve">provided </w:t>
      </w:r>
      <w:r w:rsidRPr="00840464">
        <w:t xml:space="preserve">Bultmann </w:t>
      </w:r>
      <w:r w:rsidR="005B62BF" w:rsidRPr="005B62BF">
        <w:t xml:space="preserve">with </w:t>
      </w:r>
      <w:r w:rsidRPr="00840464">
        <w:t xml:space="preserve">a </w:t>
      </w:r>
      <w:r w:rsidR="005B62BF" w:rsidRPr="005B62BF">
        <w:t>vocabulary for describing</w:t>
      </w:r>
      <w:r w:rsidRPr="00840464">
        <w:t xml:space="preserve"> anxiety, decision</w:t>
      </w:r>
      <w:r w:rsidR="005B62BF" w:rsidRPr="005B62BF">
        <w:t xml:space="preserve">, authenticity and </w:t>
      </w:r>
      <w:r w:rsidR="00ED367E" w:rsidRPr="005B62BF">
        <w:t>inauthenticity. ⁶</w:t>
      </w:r>
      <w:r w:rsidRPr="00840464">
        <w:t xml:space="preserve"> Bultmann </w:t>
      </w:r>
      <w:r w:rsidR="005B62BF" w:rsidRPr="005B62BF">
        <w:t>did not simply identify Heidegger’s philosophy with the gospel, but he believed that Heidegger gave a powerful account of human existence which could help modern readers understand the New Testament’s message. The language of authentic and inauthentic existence allowed Bultmann to explain sin and faith without relying on mythological cosmology.</w:t>
      </w:r>
      <w:r w:rsidR="009436E6">
        <w:t xml:space="preserve"> </w:t>
      </w:r>
      <w:r w:rsidRPr="00484250">
        <w:t xml:space="preserve">In Bultmann’s reading, </w:t>
      </w:r>
      <w:r>
        <w:t xml:space="preserve">inauthentic existence </w:t>
      </w:r>
      <w:r w:rsidRPr="00484250">
        <w:t xml:space="preserve">means living </w:t>
      </w:r>
      <w:r w:rsidR="001D441A" w:rsidRPr="001D441A">
        <w:t>from the world as though one’s</w:t>
      </w:r>
      <w:r w:rsidRPr="00484250">
        <w:t xml:space="preserve"> security </w:t>
      </w:r>
      <w:r w:rsidR="001D441A" w:rsidRPr="001D441A">
        <w:t>could be achieved through possessions, status, achievement or control. Authentic</w:t>
      </w:r>
      <w:r>
        <w:t xml:space="preserve"> existence </w:t>
      </w:r>
      <w:r w:rsidRPr="00484250">
        <w:t xml:space="preserve">means </w:t>
      </w:r>
      <w:r w:rsidR="001D441A" w:rsidRPr="001D441A">
        <w:t xml:space="preserve">receiving life as a gift and </w:t>
      </w:r>
      <w:r w:rsidRPr="00484250">
        <w:t>being open</w:t>
      </w:r>
      <w:r>
        <w:t xml:space="preserve"> to the future. </w:t>
      </w:r>
      <w:r w:rsidR="001D441A" w:rsidRPr="001D441A">
        <w:t>Yet</w:t>
      </w:r>
      <w:r w:rsidRPr="00484250">
        <w:t xml:space="preserve"> Bultmann gives this a theological meaning</w:t>
      </w:r>
      <w:r w:rsidR="001D441A" w:rsidRPr="001D441A">
        <w:t xml:space="preserve"> that goes beyond</w:t>
      </w:r>
      <w:r w:rsidRPr="00484250">
        <w:t xml:space="preserve"> Heidegger</w:t>
      </w:r>
      <w:r w:rsidR="001D441A" w:rsidRPr="001D441A">
        <w:t>. Authentic</w:t>
      </w:r>
      <w:r w:rsidRPr="00484250">
        <w:t xml:space="preserve"> existence is not </w:t>
      </w:r>
      <w:r w:rsidR="001D441A" w:rsidRPr="001D441A">
        <w:t xml:space="preserve">reached </w:t>
      </w:r>
      <w:r w:rsidRPr="00484250">
        <w:t xml:space="preserve">by </w:t>
      </w:r>
      <w:r w:rsidR="001D441A" w:rsidRPr="001D441A">
        <w:t xml:space="preserve">heroic self-determination. It </w:t>
      </w:r>
      <w:r w:rsidRPr="00484250">
        <w:t xml:space="preserve">becomes possible through God’s </w:t>
      </w:r>
      <w:r w:rsidR="001D441A" w:rsidRPr="001D441A">
        <w:t xml:space="preserve">act in the </w:t>
      </w:r>
      <w:r w:rsidRPr="00484250">
        <w:t xml:space="preserve">word </w:t>
      </w:r>
      <w:r w:rsidR="001D441A" w:rsidRPr="001D441A">
        <w:t xml:space="preserve">of </w:t>
      </w:r>
      <w:r w:rsidRPr="00484250">
        <w:t>proclamation</w:t>
      </w:r>
      <w:r w:rsidR="001D441A" w:rsidRPr="001D441A">
        <w:t>.</w:t>
      </w:r>
      <w:r w:rsidRPr="00484250">
        <w:t xml:space="preserve"> Faith is therefore </w:t>
      </w:r>
      <w:r w:rsidR="001D441A" w:rsidRPr="001D441A">
        <w:t>not an achievement of the human subject but a response to grace. John Macquarrie, while sympathetic to the attempt to connect existential philosophy and theology, notes that Bultmann’s use of Heidegger raises difficult questions about how far a philosophical framework can shape biblical interpretation without distorting it.⁷</w:t>
      </w:r>
      <w:r w:rsidR="000062B1">
        <w:t xml:space="preserve"> </w:t>
      </w:r>
      <w:r w:rsidR="001A2ADC" w:rsidRPr="001A2ADC">
        <w:t>This philosophical framework also explains Bultmann’s emphasis on the present moment. The New Testament is not simply a sourcebook of information about ancient religion. It is a proclamation that confronts the reader now. Interpretation therefore includes historical work, but it cannot end there. The interpreter must ask how the text addresses human existence. This is one of Bultmann’s most enduring insights: he refuses to let biblical interpretation become detached from the question of faith, decision and transformation.</w:t>
      </w:r>
    </w:p>
    <w:p w14:paraId="28198E9C" w14:textId="77777777" w:rsidR="00763F4A" w:rsidRDefault="00DB7D6C">
      <w:pPr>
        <w:spacing w:before="240" w:after="120" w:line="480" w:lineRule="auto"/>
      </w:pPr>
      <w:r>
        <w:rPr>
          <w:b/>
          <w:bCs/>
        </w:rPr>
        <w:t>Strengths of the Programme</w:t>
      </w:r>
    </w:p>
    <w:p w14:paraId="7113A8D9" w14:textId="5D8FDA3F" w:rsidR="00763F4A" w:rsidRDefault="00DB7D6C" w:rsidP="000062B1">
      <w:pPr>
        <w:spacing w:line="480" w:lineRule="auto"/>
        <w:jc w:val="both"/>
      </w:pPr>
      <w:r w:rsidRPr="009E0F5F">
        <w:t xml:space="preserve">Bultmann’s programme </w:t>
      </w:r>
      <w:r w:rsidR="00631E9B" w:rsidRPr="00631E9B">
        <w:t>has several strengths.</w:t>
      </w:r>
      <w:r w:rsidRPr="009E0F5F">
        <w:t xml:space="preserve"> First, </w:t>
      </w:r>
      <w:r w:rsidR="00631E9B" w:rsidRPr="00631E9B">
        <w:t xml:space="preserve">it recognises </w:t>
      </w:r>
      <w:r w:rsidRPr="009E0F5F">
        <w:t xml:space="preserve">the </w:t>
      </w:r>
      <w:r w:rsidR="00631E9B" w:rsidRPr="00631E9B">
        <w:t xml:space="preserve">historical and cultural </w:t>
      </w:r>
      <w:r w:rsidRPr="009E0F5F">
        <w:t xml:space="preserve">distance between the New Testament </w:t>
      </w:r>
      <w:r w:rsidR="00631E9B" w:rsidRPr="00631E9B">
        <w:t xml:space="preserve">and modern readers. The New Testament was written in a </w:t>
      </w:r>
      <w:r w:rsidRPr="009E0F5F">
        <w:t xml:space="preserve">world </w:t>
      </w:r>
      <w:r w:rsidR="00631E9B" w:rsidRPr="00631E9B">
        <w:t>very different from our own, with different assumptions about</w:t>
      </w:r>
      <w:r w:rsidRPr="009E0F5F">
        <w:t xml:space="preserve"> the </w:t>
      </w:r>
      <w:r w:rsidR="00631E9B" w:rsidRPr="00631E9B">
        <w:t xml:space="preserve">cosmos, the body, illness, spirits, politics and eschatology. Bultmann </w:t>
      </w:r>
      <w:r w:rsidRPr="009E0F5F">
        <w:t xml:space="preserve">does not </w:t>
      </w:r>
      <w:r w:rsidR="00631E9B" w:rsidRPr="00631E9B">
        <w:t>allow readers to hide this distance. He insists</w:t>
      </w:r>
      <w:r w:rsidRPr="009E0F5F">
        <w:t xml:space="preserve"> that </w:t>
      </w:r>
      <w:r w:rsidR="00631E9B" w:rsidRPr="00631E9B">
        <w:t>interpretation is necessary because the</w:t>
      </w:r>
      <w:r w:rsidRPr="009E0F5F">
        <w:t xml:space="preserve"> text </w:t>
      </w:r>
      <w:r w:rsidR="00631E9B" w:rsidRPr="00631E9B">
        <w:t>does not speak in a vacuum.</w:t>
      </w:r>
      <w:r w:rsidRPr="009E0F5F">
        <w:t xml:space="preserve"> His idea of pre-understanding is also </w:t>
      </w:r>
      <w:r w:rsidR="00631E9B" w:rsidRPr="00631E9B">
        <w:t xml:space="preserve">important: </w:t>
      </w:r>
      <w:r w:rsidRPr="009E0F5F">
        <w:t xml:space="preserve">readers always </w:t>
      </w:r>
      <w:r w:rsidR="00631E9B" w:rsidRPr="00631E9B">
        <w:t>approach</w:t>
      </w:r>
      <w:r w:rsidRPr="009E0F5F">
        <w:t xml:space="preserve"> a text with </w:t>
      </w:r>
      <w:r w:rsidR="00631E9B" w:rsidRPr="00631E9B">
        <w:t xml:space="preserve">prior </w:t>
      </w:r>
      <w:r w:rsidRPr="009E0F5F">
        <w:t xml:space="preserve">questions, experiences </w:t>
      </w:r>
      <w:r w:rsidR="00631E9B" w:rsidRPr="00631E9B">
        <w:t xml:space="preserve">and </w:t>
      </w:r>
      <w:r w:rsidR="00ED367E" w:rsidRPr="00631E9B">
        <w:t>assumptions. ⁸</w:t>
      </w:r>
      <w:r w:rsidR="00631E9B" w:rsidRPr="00631E9B">
        <w:t xml:space="preserve"> This does not make interpretation arbitrary, but it means that interpreters must be aware of the standpoint from which they read</w:t>
      </w:r>
      <w:r w:rsidRPr="009E0F5F">
        <w:t>.</w:t>
      </w:r>
      <w:r w:rsidR="000062B1">
        <w:t xml:space="preserve"> </w:t>
      </w:r>
      <w:r w:rsidR="001921CB" w:rsidRPr="001921CB">
        <w:t>Second, Bultmann is right to stress that the New Testament is proclamation rather than neutral information. The Gospels and letters do not merely describe religious ideas; they call readers to repentance, faith, obedience and hope. Bultmann’s method highlights this personal and existential dimension. It prevents the New Testament from being treated only as a historical artefact. Even readers who disagree with Bultmann’s conclusions can learn from his insistence that Scripture addresses the whole person and demands response.</w:t>
      </w:r>
      <w:r w:rsidR="000062B1">
        <w:t xml:space="preserve"> </w:t>
      </w:r>
      <w:r w:rsidRPr="00575AAD">
        <w:t xml:space="preserve">Third, </w:t>
      </w:r>
      <w:r w:rsidR="00922513" w:rsidRPr="00922513">
        <w:t xml:space="preserve">his </w:t>
      </w:r>
      <w:r w:rsidRPr="00575AAD">
        <w:t xml:space="preserve">concern to remove unnecessary obstacles to faith is </w:t>
      </w:r>
      <w:r w:rsidR="00922513" w:rsidRPr="00922513">
        <w:t>pastorally significant. Bultmann saw that some</w:t>
      </w:r>
      <w:r w:rsidRPr="00575AAD">
        <w:t xml:space="preserve"> people reject Christianity because they think it requires them to accept </w:t>
      </w:r>
      <w:r w:rsidR="00922513" w:rsidRPr="00922513">
        <w:t>a pre-scientific picture</w:t>
      </w:r>
      <w:r w:rsidRPr="00575AAD">
        <w:t xml:space="preserve"> of the universe</w:t>
      </w:r>
      <w:r w:rsidR="00922513" w:rsidRPr="00922513">
        <w:t xml:space="preserve">. He wanted to distinguish </w:t>
      </w:r>
      <w:r w:rsidRPr="00575AAD">
        <w:t xml:space="preserve">the gospel </w:t>
      </w:r>
      <w:r w:rsidR="00922513" w:rsidRPr="00922513">
        <w:t>itself from the cultural form in which it was first expressed. This remains an important issue for contemporary preaching, teaching and apologetics. The question of how ancient texts speak meaningfully in modern contexts has not disappeared. In this respect, Bultmann’s programme continues to challenge interpreters to think carefully about translation, communication and relevance.</w:t>
      </w:r>
    </w:p>
    <w:p w14:paraId="5CA0FE6A" w14:textId="77777777" w:rsidR="00763F4A" w:rsidRDefault="00DB7D6C">
      <w:pPr>
        <w:spacing w:before="240" w:after="120" w:line="480" w:lineRule="auto"/>
      </w:pPr>
      <w:r>
        <w:rPr>
          <w:b/>
          <w:bCs/>
        </w:rPr>
        <w:t>Criticisms and Difficulties</w:t>
      </w:r>
      <w:r w:rsidR="00C91473" w:rsidRPr="00C91473">
        <w:rPr>
          <w:b/>
          <w:bCs/>
        </w:rPr>
        <w:t>: History, Myth, and Reduction</w:t>
      </w:r>
    </w:p>
    <w:p w14:paraId="2504691A" w14:textId="77777777" w:rsidR="00ED40FE" w:rsidRDefault="009D1FE5" w:rsidP="000062B1">
      <w:pPr>
        <w:spacing w:line="480" w:lineRule="auto"/>
        <w:jc w:val="both"/>
      </w:pPr>
      <w:r w:rsidRPr="009D1FE5">
        <w:t>Nevertheless</w:t>
      </w:r>
      <w:r w:rsidR="00DB7D6C" w:rsidRPr="0015257E">
        <w:t xml:space="preserve">, Bultmann’s programme </w:t>
      </w:r>
      <w:r w:rsidRPr="009D1FE5">
        <w:t>faces</w:t>
      </w:r>
      <w:r w:rsidR="00DB7D6C" w:rsidRPr="0015257E">
        <w:t xml:space="preserve"> serious </w:t>
      </w:r>
      <w:r w:rsidRPr="009D1FE5">
        <w:t xml:space="preserve">criticisms. The first concerns history. </w:t>
      </w:r>
      <w:r w:rsidR="00DB7D6C" w:rsidRPr="0015257E">
        <w:t xml:space="preserve">Bultmann </w:t>
      </w:r>
      <w:r w:rsidRPr="009D1FE5">
        <w:t>distinguishes</w:t>
      </w:r>
      <w:r w:rsidR="00DB7D6C" w:rsidRPr="0015257E">
        <w:t xml:space="preserve"> between ordinary historical facts and </w:t>
      </w:r>
      <w:r w:rsidRPr="009D1FE5">
        <w:t>the existential meaning of history</w:t>
      </w:r>
      <w:r w:rsidR="00DB7D6C" w:rsidRPr="0015257E">
        <w:t xml:space="preserve"> for </w:t>
      </w:r>
      <w:r w:rsidRPr="009D1FE5">
        <w:t xml:space="preserve">the believer. As a result, he is sceptical about the possibility and theological importance of reconstructing the historical Jesus. </w:t>
      </w:r>
      <w:r w:rsidR="00DB7D6C" w:rsidRPr="0015257E">
        <w:t>The resurrection</w:t>
      </w:r>
      <w:r w:rsidR="00ED367E" w:rsidRPr="0015257E">
        <w:t xml:space="preserve"> is</w:t>
      </w:r>
      <w:r w:rsidR="00DB7D6C" w:rsidRPr="0015257E">
        <w:t xml:space="preserve"> treated </w:t>
      </w:r>
      <w:r w:rsidRPr="009D1FE5">
        <w:t>less</w:t>
      </w:r>
      <w:r w:rsidR="00DB7D6C" w:rsidRPr="0015257E">
        <w:t xml:space="preserve"> as an event that happened to Jesus</w:t>
      </w:r>
      <w:r w:rsidRPr="009D1FE5">
        <w:t xml:space="preserve"> and more</w:t>
      </w:r>
      <w:r w:rsidR="00DB7D6C" w:rsidRPr="0015257E">
        <w:t xml:space="preserve"> as the </w:t>
      </w:r>
      <w:r w:rsidRPr="009D1FE5">
        <w:t>event</w:t>
      </w:r>
      <w:r w:rsidR="00DB7D6C" w:rsidRPr="0015257E">
        <w:t xml:space="preserve"> of Easter faith </w:t>
      </w:r>
      <w:r w:rsidRPr="009D1FE5">
        <w:t>in the proclamation of the church.⁹</w:t>
      </w:r>
      <w:r w:rsidR="00DB7D6C" w:rsidRPr="0015257E">
        <w:t xml:space="preserve"> Many critics argue that this </w:t>
      </w:r>
      <w:r w:rsidRPr="009D1FE5">
        <w:t>creates a dangerous gap between faith and history. If the earliest Christian message</w:t>
      </w:r>
      <w:r w:rsidR="00DB7D6C" w:rsidRPr="0015257E">
        <w:t xml:space="preserve"> presents the resurrection as </w:t>
      </w:r>
      <w:r w:rsidRPr="009D1FE5">
        <w:t>God’s act</w:t>
      </w:r>
      <w:r w:rsidR="00DB7D6C" w:rsidRPr="0015257E">
        <w:t xml:space="preserve"> in history, then Bultmann’s interpretation </w:t>
      </w:r>
      <w:r w:rsidRPr="009D1FE5">
        <w:t>appears</w:t>
      </w:r>
      <w:r w:rsidR="00DB7D6C" w:rsidRPr="0015257E">
        <w:t xml:space="preserve"> to weaken </w:t>
      </w:r>
      <w:r w:rsidRPr="009D1FE5">
        <w:t>the basis of Christian proclamation</w:t>
      </w:r>
      <w:r w:rsidR="00DB7D6C" w:rsidRPr="0015257E">
        <w:t>.</w:t>
      </w:r>
      <w:r w:rsidR="000062B1">
        <w:t xml:space="preserve"> </w:t>
      </w:r>
      <w:r w:rsidR="00DB7D6C" w:rsidRPr="009C0872">
        <w:t xml:space="preserve">A second </w:t>
      </w:r>
      <w:r w:rsidR="00F05193" w:rsidRPr="00F05193">
        <w:t xml:space="preserve">difficulty lies in </w:t>
      </w:r>
      <w:r w:rsidR="00DB7D6C" w:rsidRPr="009C0872">
        <w:t xml:space="preserve">Bultmann’s definition of myth. He </w:t>
      </w:r>
      <w:r w:rsidR="00F05193" w:rsidRPr="00F05193">
        <w:t>places a wide range of New Testament material</w:t>
      </w:r>
      <w:r w:rsidR="00DB7D6C" w:rsidRPr="009C0872">
        <w:t xml:space="preserve"> under the category</w:t>
      </w:r>
      <w:r w:rsidR="00F05193" w:rsidRPr="00F05193">
        <w:t xml:space="preserve"> of myth</w:t>
      </w:r>
      <w:r w:rsidR="00DB7D6C" w:rsidRPr="009C0872">
        <w:t xml:space="preserve">: ancient cosmology, </w:t>
      </w:r>
      <w:r w:rsidR="00F05193" w:rsidRPr="00F05193">
        <w:t>angelology, demonology, miracle stories, apocalyptic imagery</w:t>
      </w:r>
      <w:r w:rsidR="00DB7D6C" w:rsidRPr="009C0872">
        <w:t xml:space="preserve"> and </w:t>
      </w:r>
      <w:r w:rsidR="00F05193" w:rsidRPr="00F05193">
        <w:t>even</w:t>
      </w:r>
      <w:r w:rsidR="00DB7D6C" w:rsidRPr="009C0872">
        <w:t xml:space="preserve"> resurrection</w:t>
      </w:r>
      <w:r w:rsidR="00F05193" w:rsidRPr="00F05193">
        <w:t xml:space="preserve"> language.</w:t>
      </w:r>
      <w:r w:rsidR="00DB7D6C" w:rsidRPr="009C0872">
        <w:t xml:space="preserve"> But these are not all the same kind of </w:t>
      </w:r>
      <w:r w:rsidR="00F05193" w:rsidRPr="00F05193">
        <w:t xml:space="preserve">claim. A three-storeyed universe is not identical to the claim that God raised Jesus from the dead. By treating them together, Bultmann risks deciding in advance which parts of the New Testament modern readers can accept. Karl Jaspers criticised Bultmann for conceding too much authority to the modern scientific worldview, as if that worldview could simply judge in advance what is </w:t>
      </w:r>
      <w:r w:rsidR="00ED367E" w:rsidRPr="00F05193">
        <w:t>possible. ¹</w:t>
      </w:r>
      <w:r w:rsidR="00F05193" w:rsidRPr="00F05193">
        <w:t>⁰</w:t>
      </w:r>
      <w:r w:rsidR="00ED40FE">
        <w:t xml:space="preserve">  </w:t>
      </w:r>
    </w:p>
    <w:p w14:paraId="47A78936" w14:textId="0C86A8BF" w:rsidR="00763F4A" w:rsidRDefault="00FB15FB" w:rsidP="000062B1">
      <w:pPr>
        <w:spacing w:line="480" w:lineRule="auto"/>
        <w:jc w:val="both"/>
      </w:pPr>
      <w:r w:rsidRPr="00FB15FB">
        <w:t xml:space="preserve">A related criticism is that demythologisation can become reductionist. If every statement about God is translated into a statement about human self-understanding, theology risks becoming anthropology. Fergusson notes that religious language cannot always be converted into existential concepts without </w:t>
      </w:r>
      <w:r w:rsidR="00ED367E" w:rsidRPr="00FB15FB">
        <w:t>loss. ¹</w:t>
      </w:r>
      <w:r w:rsidRPr="00FB15FB">
        <w:t xml:space="preserve">¹ Myth and symbol may carry meanings that cannot be exhausted by a single philosophical translation. Paul Ricoeur’s response is important here. Ricoeur agreed that Bultmann had identified a real hermeneutical problem, but he argued that symbol gives rise to thought rather than simply disappearing once it has been </w:t>
      </w:r>
      <w:r w:rsidR="00ED367E" w:rsidRPr="00FB15FB">
        <w:t>interpreted. ¹</w:t>
      </w:r>
      <w:r w:rsidRPr="00FB15FB">
        <w:t>² Myth should be interpreted, but it should not be flattened into one abstract meaning.</w:t>
      </w:r>
    </w:p>
    <w:p w14:paraId="014A3BF6" w14:textId="117AA49F" w:rsidR="00763F4A" w:rsidRDefault="004C08E0" w:rsidP="00ED40FE">
      <w:pPr>
        <w:spacing w:line="480" w:lineRule="auto"/>
        <w:jc w:val="both"/>
      </w:pPr>
      <w:r w:rsidRPr="004C08E0">
        <w:t xml:space="preserve">A third problem is Bultmann’s dependence on Heidegger. Existentialist categories help Bultmann explain the individual’s encounter with the gospel, but they do not always fit the full range of New Testament themes. The New Testament is not only concerned with personal authenticity; it also speaks of Israel, the church, creation, judgement, resurrection of the body and the kingdom of God. Anthony Thiselton argues that interpretation must take account of both the world of the text and the horizon of the </w:t>
      </w:r>
      <w:r w:rsidR="00ED367E" w:rsidRPr="004C08E0">
        <w:t>reader. ¹</w:t>
      </w:r>
      <w:r w:rsidRPr="004C08E0">
        <w:t>³ Bultmann’s approach sometimes allows the reader’s existential horizon to dominate the text too strongly.</w:t>
      </w:r>
      <w:r w:rsidR="00ED40FE">
        <w:t xml:space="preserve"> </w:t>
      </w:r>
      <w:r w:rsidR="00DB7D6C" w:rsidRPr="00FD1B22">
        <w:t xml:space="preserve">Finally, Bultmann’s </w:t>
      </w:r>
      <w:r w:rsidR="0002129D" w:rsidRPr="0002129D">
        <w:t>account</w:t>
      </w:r>
      <w:r w:rsidR="00DB7D6C" w:rsidRPr="00FD1B22">
        <w:t xml:space="preserve"> of the modern worldview now seems </w:t>
      </w:r>
      <w:r w:rsidR="0002129D" w:rsidRPr="0002129D">
        <w:t>too confident.</w:t>
      </w:r>
      <w:r w:rsidR="00DB7D6C" w:rsidRPr="00FD1B22">
        <w:t xml:space="preserve"> He assumed that modern people</w:t>
      </w:r>
      <w:r w:rsidR="0002129D" w:rsidRPr="0002129D">
        <w:t xml:space="preserve">, because they use electric lights and radios, cannot believe in spirits or </w:t>
      </w:r>
      <w:r w:rsidR="00ED367E" w:rsidRPr="0002129D">
        <w:t>miracles. ¹</w:t>
      </w:r>
      <w:r w:rsidR="0002129D" w:rsidRPr="0002129D">
        <w:t xml:space="preserve">⁴ Yet modernity is more complex than that. Many scientifically </w:t>
      </w:r>
      <w:r w:rsidR="00DB7D6C" w:rsidRPr="00FD1B22">
        <w:t xml:space="preserve">educated people </w:t>
      </w:r>
      <w:r w:rsidR="0002129D" w:rsidRPr="0002129D">
        <w:t>continue to</w:t>
      </w:r>
      <w:r w:rsidR="00DB7D6C" w:rsidRPr="00FD1B22">
        <w:t xml:space="preserve"> hold religious beliefs, </w:t>
      </w:r>
      <w:r w:rsidR="0002129D" w:rsidRPr="0002129D">
        <w:t xml:space="preserve">while </w:t>
      </w:r>
      <w:r w:rsidR="00DB7D6C" w:rsidRPr="00FD1B22">
        <w:t xml:space="preserve">philosophy of science </w:t>
      </w:r>
      <w:r w:rsidR="0002129D" w:rsidRPr="0002129D">
        <w:t>has become</w:t>
      </w:r>
      <w:r w:rsidR="00DB7D6C" w:rsidRPr="00FD1B22">
        <w:t xml:space="preserve"> more cautious </w:t>
      </w:r>
      <w:r w:rsidR="0002129D" w:rsidRPr="0002129D">
        <w:t>about claiming that science can rule out all forms of divine action.</w:t>
      </w:r>
      <w:r w:rsidR="00DB7D6C" w:rsidRPr="00FD1B22">
        <w:t xml:space="preserve"> N. T. Wright argues that Bultmann’s outlook is itself shaped by Enlightenment </w:t>
      </w:r>
      <w:r w:rsidR="0002129D" w:rsidRPr="0002129D">
        <w:t>assumptions</w:t>
      </w:r>
      <w:r w:rsidR="00DB7D6C" w:rsidRPr="00FD1B22">
        <w:t xml:space="preserve"> and should not be treated as </w:t>
      </w:r>
      <w:r w:rsidR="00ED367E" w:rsidRPr="00FD1B22">
        <w:t>neutral</w:t>
      </w:r>
      <w:r w:rsidR="00ED367E" w:rsidRPr="0002129D">
        <w:t>. ¹</w:t>
      </w:r>
      <w:r w:rsidR="0002129D" w:rsidRPr="0002129D">
        <w:t>⁵ If this is right, then Bultmann’s programme does not simply translate the New Testament for modern people; it also subjects the New Testament to a particular modern philosophy</w:t>
      </w:r>
      <w:r w:rsidR="00DB7D6C" w:rsidRPr="00FD1B22">
        <w:t>.</w:t>
      </w:r>
    </w:p>
    <w:p w14:paraId="7625FD28" w14:textId="77777777" w:rsidR="00763F4A" w:rsidRDefault="00DB7D6C">
      <w:pPr>
        <w:spacing w:before="240" w:after="120" w:line="480" w:lineRule="auto"/>
      </w:pPr>
      <w:r>
        <w:rPr>
          <w:b/>
          <w:bCs/>
        </w:rPr>
        <w:t>Is It a Helpful Way of Reading the New Testament Today?</w:t>
      </w:r>
    </w:p>
    <w:p w14:paraId="26B4AD64" w14:textId="7D4B152C" w:rsidR="00763F4A" w:rsidRDefault="003919CB" w:rsidP="00ED40FE">
      <w:pPr>
        <w:spacing w:line="480" w:lineRule="auto"/>
        <w:jc w:val="both"/>
      </w:pPr>
      <w:r w:rsidRPr="003919CB">
        <w:t>Whether demythologisation is helpful today depends on how it is used. As a complete programme, it is difficult to accept. It places too much emphasis on existential self-understanding, gives insufficient weight to the historical claims of the New Testament, and narrows the scope of salvation. The New Testament’s hope is not simply that individuals may live authentically before God. It includes the renewal of creation, the resurrection of the body, the defeat of death and the formation of a new community. Bultmann’s reading can make this wider hope seem secondary.</w:t>
      </w:r>
      <w:r w:rsidR="00ED40FE">
        <w:t xml:space="preserve"> </w:t>
      </w:r>
      <w:r w:rsidR="00482A86" w:rsidRPr="00482A86">
        <w:t xml:space="preserve">At the same time, Bultmann should not be dismissed. His central question remains unavoidable: how can an ancient text speak truthfully and powerfully to readers who do not share </w:t>
      </w:r>
      <w:r w:rsidR="00ED367E" w:rsidRPr="00482A86">
        <w:t>all</w:t>
      </w:r>
      <w:r w:rsidR="00482A86" w:rsidRPr="00482A86">
        <w:t xml:space="preserve"> its cultural assumptions? Any serious interpretation of the New Testament must deal with this issue. Even those who believe in the resurrection as a real historical event still </w:t>
      </w:r>
      <w:r w:rsidR="00ED367E" w:rsidRPr="00482A86">
        <w:t>must</w:t>
      </w:r>
      <w:r w:rsidR="00482A86" w:rsidRPr="00482A86">
        <w:t xml:space="preserve"> interpret apocalyptic imagery, miracle stories, demon language and symbolic speech. Bultmann forces readers to ask what these texts mean, not only what ancient people believed.</w:t>
      </w:r>
      <w:r w:rsidR="00ED40FE">
        <w:t xml:space="preserve"> </w:t>
      </w:r>
      <w:r w:rsidR="00064EBA" w:rsidRPr="00064EBA">
        <w:t>A balanced approach would therefore keep Bultmann’s hermeneutical seriousness while rejecting his reductionism. It would recognise that the New Testament uses symbolic and mythic language, but it would not assume that such language is disposable. It would take historical questions seriously, especially concerning Jesus’ death and resurrection, while also recognising that historical study alone cannot produce faith. It would allow the text to address the reader personally, but it would also attend to the communal, cosmic and eschatological dimensions of the biblical message. In this modified form, Bultmann remains helpful, not because he provides the final answer, but because he sharpens the questions that interpreters must ask.</w:t>
      </w:r>
    </w:p>
    <w:p w14:paraId="1CEF1294" w14:textId="77777777" w:rsidR="00763F4A" w:rsidRDefault="00DB7D6C">
      <w:pPr>
        <w:spacing w:before="240" w:after="120" w:line="480" w:lineRule="auto"/>
      </w:pPr>
      <w:r>
        <w:rPr>
          <w:b/>
          <w:bCs/>
        </w:rPr>
        <w:t>Conclusion</w:t>
      </w:r>
    </w:p>
    <w:p w14:paraId="08E84282" w14:textId="77777777" w:rsidR="00763F4A" w:rsidRDefault="00DB7D6C">
      <w:pPr>
        <w:spacing w:line="480" w:lineRule="auto"/>
        <w:jc w:val="both"/>
      </w:pPr>
      <w:r w:rsidRPr="00C8331D">
        <w:t xml:space="preserve">Bultmann’s demythologisation programme </w:t>
      </w:r>
      <w:r w:rsidR="00EA2D15" w:rsidRPr="00EA2D15">
        <w:t>attempts</w:t>
      </w:r>
      <w:r w:rsidRPr="00C8331D">
        <w:t xml:space="preserve"> to reinterpret the mythological language of the New Testament so that the gospel can </w:t>
      </w:r>
      <w:r w:rsidR="00EA2D15" w:rsidRPr="00EA2D15">
        <w:t>be heard by modern readers. It is grounded in the conviction that myth expresses an understanding of human existence and that the task of interpretation is to uncover this meaning through existential analysis. The strengths of the programme are clear:</w:t>
      </w:r>
      <w:r w:rsidRPr="00C8331D">
        <w:t xml:space="preserve"> it recognises the </w:t>
      </w:r>
      <w:r w:rsidR="00EA2D15" w:rsidRPr="00EA2D15">
        <w:t>distance</w:t>
      </w:r>
      <w:r w:rsidRPr="00C8331D">
        <w:t xml:space="preserve"> between </w:t>
      </w:r>
      <w:r w:rsidR="00EA2D15" w:rsidRPr="00EA2D15">
        <w:t xml:space="preserve">the </w:t>
      </w:r>
      <w:r w:rsidRPr="00C8331D">
        <w:t xml:space="preserve">ancient and modern </w:t>
      </w:r>
      <w:r w:rsidR="00EA2D15" w:rsidRPr="00EA2D15">
        <w:t>worlds</w:t>
      </w:r>
      <w:r w:rsidRPr="00C8331D">
        <w:t xml:space="preserve">, stresses the personal challenge of the </w:t>
      </w:r>
      <w:r w:rsidR="00EA2D15" w:rsidRPr="00EA2D15">
        <w:t xml:space="preserve">gospel, and seeks to distinguish the central Christian message from </w:t>
      </w:r>
      <w:r w:rsidRPr="00C8331D">
        <w:t xml:space="preserve">unnecessary </w:t>
      </w:r>
      <w:r w:rsidR="00EA2D15" w:rsidRPr="00EA2D15">
        <w:t xml:space="preserve">cultural </w:t>
      </w:r>
      <w:r w:rsidRPr="00C8331D">
        <w:t>barriers</w:t>
      </w:r>
      <w:r w:rsidR="00EA2D15" w:rsidRPr="00EA2D15">
        <w:t>. Yet its weaknesses are equally significant. It treats too many kinds of biblical language as myth, depends heavily on Heidegger, separates faith too sharply from history, and risks reducing theology to human self-understanding. Demythologisation</w:t>
      </w:r>
      <w:r w:rsidRPr="00C8331D">
        <w:t xml:space="preserve"> is </w:t>
      </w:r>
      <w:r w:rsidR="00EA2D15" w:rsidRPr="00EA2D15">
        <w:t xml:space="preserve">therefore </w:t>
      </w:r>
      <w:r w:rsidRPr="00C8331D">
        <w:t xml:space="preserve">not fully convincing as a complete </w:t>
      </w:r>
      <w:r w:rsidR="00EA2D15" w:rsidRPr="00EA2D15">
        <w:t xml:space="preserve">method for </w:t>
      </w:r>
      <w:r w:rsidRPr="00C8331D">
        <w:t xml:space="preserve">reading the New Testament today. </w:t>
      </w:r>
      <w:r w:rsidR="00EA2D15" w:rsidRPr="00EA2D15">
        <w:t>However, Bultmann remains important because he reminds interpreters that the New Testament must be interpreted, proclaimed and heard as a living address rather than merely preserved as an ancient text.</w:t>
      </w:r>
    </w:p>
    <w:p w14:paraId="0702F842" w14:textId="77777777" w:rsidR="00763F4A" w:rsidRDefault="006A407A">
      <w:pPr>
        <w:spacing w:before="480" w:after="120" w:line="480" w:lineRule="auto"/>
      </w:pPr>
      <w:r w:rsidRPr="006A407A">
        <w:rPr>
          <w:b/>
          <w:bCs/>
        </w:rPr>
        <w:t>Notes</w:t>
      </w:r>
    </w:p>
    <w:p w14:paraId="2A17FC7A" w14:textId="77777777" w:rsidR="00763F4A" w:rsidRDefault="00F66070">
      <w:pPr>
        <w:spacing w:after="120" w:line="480" w:lineRule="auto"/>
        <w:ind w:left="720" w:hanging="720"/>
      </w:pPr>
      <w:r w:rsidRPr="00F66070">
        <w:t xml:space="preserve">1. Rudolf Bultmann, ‘New Testament and Mythology: The Problem of Demythologizing the New Testament Proclamation’, in </w:t>
      </w:r>
      <w:r w:rsidRPr="00F66070">
        <w:rPr>
          <w:i/>
          <w:iCs/>
        </w:rPr>
        <w:t>Kerygma and Myth: A Theological Debate</w:t>
      </w:r>
      <w:r w:rsidRPr="00F66070">
        <w:t>, ed. by Hans Werner Bartsch, trans. by Reginald H. Fuller (London: SPCK, 1953), pp. 1–44.</w:t>
      </w:r>
    </w:p>
    <w:p w14:paraId="79E4C207" w14:textId="77777777" w:rsidR="00763F4A" w:rsidRDefault="003B743F">
      <w:pPr>
        <w:spacing w:after="120" w:line="480" w:lineRule="auto"/>
        <w:ind w:left="720" w:hanging="720"/>
      </w:pPr>
      <w:r w:rsidRPr="003B743F">
        <w:t xml:space="preserve">2. Rudolf Bultmann, </w:t>
      </w:r>
      <w:r w:rsidRPr="003B743F">
        <w:rPr>
          <w:i/>
          <w:iCs/>
        </w:rPr>
        <w:t>Jesus Christ and Mythology</w:t>
      </w:r>
      <w:r w:rsidRPr="003B743F">
        <w:t xml:space="preserve"> (New York: Charles Scribner’s Sons, 1958), pp. 15–18.</w:t>
      </w:r>
    </w:p>
    <w:p w14:paraId="4B780A7F" w14:textId="77777777" w:rsidR="00763F4A" w:rsidRDefault="00350356">
      <w:pPr>
        <w:spacing w:after="120" w:line="480" w:lineRule="auto"/>
        <w:ind w:left="720" w:hanging="720"/>
      </w:pPr>
      <w:r w:rsidRPr="00350356">
        <w:t xml:space="preserve">3. David </w:t>
      </w:r>
      <w:r w:rsidR="00DB7D6C">
        <w:t xml:space="preserve">Fergusson, </w:t>
      </w:r>
      <w:r w:rsidR="00DB7D6C" w:rsidRPr="00350356">
        <w:rPr>
          <w:i/>
        </w:rPr>
        <w:t>Bultmann</w:t>
      </w:r>
      <w:r w:rsidR="00DB7D6C">
        <w:t xml:space="preserve"> (London: Continuum, 1992</w:t>
      </w:r>
      <w:r w:rsidRPr="00350356">
        <w:t>), pp. 34–39.</w:t>
      </w:r>
    </w:p>
    <w:p w14:paraId="6BC1F9F6" w14:textId="77777777" w:rsidR="00763F4A" w:rsidRDefault="00716FDE">
      <w:pPr>
        <w:spacing w:after="120" w:line="480" w:lineRule="auto"/>
        <w:ind w:left="720" w:hanging="720"/>
      </w:pPr>
      <w:r w:rsidRPr="00716FDE">
        <w:t>4. Bultmann, ‘New Testament and Mythology’, pp. 10–12.</w:t>
      </w:r>
    </w:p>
    <w:p w14:paraId="62A7EA6A" w14:textId="77777777" w:rsidR="00763F4A" w:rsidRDefault="008D6589">
      <w:pPr>
        <w:spacing w:after="120" w:line="480" w:lineRule="auto"/>
        <w:ind w:left="720" w:hanging="720"/>
      </w:pPr>
      <w:r w:rsidRPr="008D6589">
        <w:t xml:space="preserve">5. Bultmann, </w:t>
      </w:r>
      <w:r w:rsidRPr="008D6589">
        <w:rPr>
          <w:i/>
          <w:iCs/>
        </w:rPr>
        <w:t>Jesus Christ and Mythology</w:t>
      </w:r>
      <w:r w:rsidRPr="008D6589">
        <w:t>, pp. 36–39.</w:t>
      </w:r>
    </w:p>
    <w:p w14:paraId="6D129AAF" w14:textId="77777777" w:rsidR="00763F4A" w:rsidRDefault="009F24CE">
      <w:pPr>
        <w:spacing w:after="120" w:line="480" w:lineRule="auto"/>
        <w:ind w:left="720" w:hanging="720"/>
      </w:pPr>
      <w:r w:rsidRPr="009F24CE">
        <w:t xml:space="preserve">6. Martin Heidegger, </w:t>
      </w:r>
      <w:r w:rsidRPr="009F24CE">
        <w:rPr>
          <w:i/>
          <w:iCs/>
        </w:rPr>
        <w:t>Being and Time</w:t>
      </w:r>
      <w:r w:rsidRPr="009F24CE">
        <w:t>, trans. by John Macquarrie and Edward Robinson (Oxford: Blackwell, 1962).</w:t>
      </w:r>
    </w:p>
    <w:p w14:paraId="2AA28EA0" w14:textId="77777777" w:rsidR="00763F4A" w:rsidRDefault="0003577B">
      <w:pPr>
        <w:spacing w:after="120" w:line="480" w:lineRule="auto"/>
        <w:ind w:left="720" w:hanging="720"/>
      </w:pPr>
      <w:r w:rsidRPr="0003577B">
        <w:t xml:space="preserve">7. John Macquarrie, </w:t>
      </w:r>
      <w:r w:rsidRPr="0003577B">
        <w:rPr>
          <w:i/>
          <w:iCs/>
        </w:rPr>
        <w:t>An Existentialist Theology: A Comparison of Heidegger and Bultmann</w:t>
      </w:r>
      <w:r w:rsidRPr="0003577B">
        <w:t xml:space="preserve"> (London: SCM Press, 1955), pp. 181–86.</w:t>
      </w:r>
    </w:p>
    <w:p w14:paraId="783553CE" w14:textId="77777777" w:rsidR="00763F4A" w:rsidRDefault="00A86643">
      <w:pPr>
        <w:spacing w:after="120" w:line="480" w:lineRule="auto"/>
        <w:ind w:left="720" w:hanging="720"/>
      </w:pPr>
      <w:r w:rsidRPr="00A86643">
        <w:t xml:space="preserve">8. Rudolf Bultmann, ‘Is Exegesis without Presuppositions Possible?’, in </w:t>
      </w:r>
      <w:r w:rsidRPr="00A86643">
        <w:rPr>
          <w:i/>
          <w:iCs/>
        </w:rPr>
        <w:t>New Testament and Mythology and Other Basic Writings</w:t>
      </w:r>
      <w:r w:rsidRPr="00A86643">
        <w:t>, ed. and trans. by Schubert M. Ogden (Philadelphia: Fortress Press, 1984), pp. 145–53.</w:t>
      </w:r>
    </w:p>
    <w:p w14:paraId="25EE3BD3" w14:textId="77777777" w:rsidR="00763F4A" w:rsidRDefault="00ED367E">
      <w:pPr>
        <w:spacing w:after="120" w:line="480" w:lineRule="auto"/>
        <w:ind w:left="720" w:hanging="720"/>
      </w:pPr>
      <w:r w:rsidRPr="00ED367E">
        <w:t>9. Bultmann, ‘New Testament and Mythology’, pp. 38–44.</w:t>
      </w:r>
    </w:p>
    <w:p w14:paraId="30305808" w14:textId="77777777" w:rsidR="00ED367E" w:rsidRDefault="00ED367E">
      <w:pPr>
        <w:spacing w:after="120" w:line="480" w:lineRule="auto"/>
        <w:ind w:left="720" w:hanging="720"/>
        <w:rPr>
          <w:kern w:val="2"/>
          <w14:ligatures w14:val="standardContextual"/>
        </w:rPr>
      </w:pPr>
      <w:r>
        <w:t xml:space="preserve">10. Karl Jaspers and Rudolf Bultmann, </w:t>
      </w:r>
      <w:r>
        <w:rPr>
          <w:i/>
          <w:iCs/>
        </w:rPr>
        <w:t>Myth and Christianity: An Inquiry into the Possibility of Religion without Myth</w:t>
      </w:r>
      <w:r>
        <w:t xml:space="preserve"> (New York: Noonday Press, 1958), pp. 14–20.</w:t>
      </w:r>
    </w:p>
    <w:p w14:paraId="56CFDF91" w14:textId="77777777" w:rsidR="00ED367E" w:rsidRDefault="00ED367E">
      <w:pPr>
        <w:spacing w:after="120" w:line="480" w:lineRule="auto"/>
        <w:ind w:left="720" w:hanging="720"/>
        <w:rPr>
          <w:kern w:val="2"/>
          <w14:ligatures w14:val="standardContextual"/>
        </w:rPr>
      </w:pPr>
      <w:r>
        <w:t>11. Fergusson, pp. 67–73.</w:t>
      </w:r>
    </w:p>
    <w:p w14:paraId="2A4A1B31" w14:textId="77777777" w:rsidR="00ED367E" w:rsidRDefault="00ED367E">
      <w:pPr>
        <w:spacing w:after="120" w:line="480" w:lineRule="auto"/>
        <w:ind w:left="720" w:hanging="720"/>
        <w:rPr>
          <w:kern w:val="2"/>
          <w14:ligatures w14:val="standardContextual"/>
        </w:rPr>
      </w:pPr>
      <w:r>
        <w:t xml:space="preserve">12. Paul Ricoeur, ‘Preface to Bultmann’, in </w:t>
      </w:r>
      <w:r>
        <w:rPr>
          <w:i/>
          <w:iCs/>
        </w:rPr>
        <w:t>Essays on Biblical Interpretation</w:t>
      </w:r>
      <w:r>
        <w:t>, ed. by Lewis S. Mudge (Philadelphia: Fortress Press, 1980), pp. 49–72.</w:t>
      </w:r>
    </w:p>
    <w:p w14:paraId="111255EB" w14:textId="77777777" w:rsidR="00ED367E" w:rsidRDefault="00ED367E">
      <w:pPr>
        <w:spacing w:after="120" w:line="480" w:lineRule="auto"/>
        <w:ind w:left="720" w:hanging="720"/>
        <w:rPr>
          <w:kern w:val="2"/>
          <w14:ligatures w14:val="standardContextual"/>
        </w:rPr>
      </w:pPr>
      <w:r>
        <w:t xml:space="preserve">13. Anthony C. Thiselton, </w:t>
      </w:r>
      <w:r>
        <w:rPr>
          <w:i/>
          <w:iCs/>
        </w:rPr>
        <w:t>The Two Horizons: New Testament Hermeneutics and Philosophical Description</w:t>
      </w:r>
      <w:r>
        <w:t xml:space="preserve"> (Grand Rapids, MI: Eerdmans, 1980), pp. 103–09.</w:t>
      </w:r>
    </w:p>
    <w:p w14:paraId="70F5131D" w14:textId="77777777" w:rsidR="00ED367E" w:rsidRDefault="00ED367E">
      <w:pPr>
        <w:spacing w:after="120" w:line="480" w:lineRule="auto"/>
        <w:ind w:left="720" w:hanging="720"/>
        <w:rPr>
          <w:kern w:val="2"/>
          <w14:ligatures w14:val="standardContextual"/>
        </w:rPr>
      </w:pPr>
      <w:r>
        <w:t>14. Bultmann, ‘New Testament and Mythology’, p. 5.</w:t>
      </w:r>
    </w:p>
    <w:p w14:paraId="2C0325C1" w14:textId="77777777" w:rsidR="00ED367E" w:rsidRDefault="00ED367E">
      <w:pPr>
        <w:spacing w:after="120" w:line="480" w:lineRule="auto"/>
        <w:ind w:left="720" w:hanging="720"/>
        <w:rPr>
          <w:kern w:val="2"/>
          <w14:ligatures w14:val="standardContextual"/>
        </w:rPr>
      </w:pPr>
      <w:r>
        <w:t xml:space="preserve">15. N. T. Wright, </w:t>
      </w:r>
      <w:r>
        <w:rPr>
          <w:i/>
          <w:iCs/>
        </w:rPr>
        <w:t>The New Testament and the People of God</w:t>
      </w:r>
      <w:r>
        <w:t xml:space="preserve"> (London: SPCK, 1992), pp. 17–20.</w:t>
      </w:r>
    </w:p>
    <w:p w14:paraId="5D168DFA" w14:textId="77777777" w:rsidR="00ED367E" w:rsidRDefault="00ED367E">
      <w:pPr>
        <w:spacing w:before="480" w:after="120" w:line="480" w:lineRule="auto"/>
        <w:rPr>
          <w:kern w:val="2"/>
          <w14:ligatures w14:val="standardContextual"/>
        </w:rPr>
      </w:pPr>
      <w:r>
        <w:rPr>
          <w:b/>
          <w:bCs/>
        </w:rPr>
        <w:t>Bibliography</w:t>
      </w:r>
    </w:p>
    <w:p w14:paraId="1D5D4108" w14:textId="77777777" w:rsidR="00ED367E" w:rsidRDefault="00ED367E">
      <w:pPr>
        <w:spacing w:after="120" w:line="480" w:lineRule="auto"/>
        <w:ind w:left="720" w:hanging="720"/>
        <w:rPr>
          <w:kern w:val="2"/>
          <w14:ligatures w14:val="standardContextual"/>
        </w:rPr>
      </w:pPr>
      <w:r>
        <w:t xml:space="preserve">Bultmann, Rudolf, </w:t>
      </w:r>
      <w:r>
        <w:rPr>
          <w:i/>
          <w:iCs/>
        </w:rPr>
        <w:t>Jesus Christ and Mythology</w:t>
      </w:r>
      <w:r>
        <w:t xml:space="preserve"> (New York: Charles Scribner’s Sons, 1958)</w:t>
      </w:r>
    </w:p>
    <w:p w14:paraId="4D23E764" w14:textId="6DBA086A" w:rsidR="00ED367E" w:rsidRDefault="00ED367E" w:rsidP="00ED367E">
      <w:pPr>
        <w:spacing w:after="120" w:line="480" w:lineRule="auto"/>
        <w:rPr>
          <w:kern w:val="2"/>
          <w14:ligatures w14:val="standardContextual"/>
        </w:rPr>
      </w:pPr>
      <w:r>
        <w:t xml:space="preserve">, ‘Is Exegesis without Presuppositions Possible?’, in </w:t>
      </w:r>
      <w:r>
        <w:rPr>
          <w:i/>
          <w:iCs/>
        </w:rPr>
        <w:t>New Testament and Mythology and Other Basic Writings</w:t>
      </w:r>
      <w:r>
        <w:t>, ed. and trans. by Schubert M. Ogden (Philadelphia: Fortress Press, 1984), pp. 145–53</w:t>
      </w:r>
    </w:p>
    <w:p w14:paraId="4F7772F9" w14:textId="30D7CBBB" w:rsidR="00ED367E" w:rsidRDefault="00ED367E" w:rsidP="00ED367E">
      <w:pPr>
        <w:spacing w:after="120" w:line="480" w:lineRule="auto"/>
        <w:rPr>
          <w:kern w:val="2"/>
          <w14:ligatures w14:val="standardContextual"/>
        </w:rPr>
      </w:pPr>
      <w:r>
        <w:t xml:space="preserve">, ‘New Testament and Mythology: The Problem of Demythologizing the New Testament Proclamation’, in </w:t>
      </w:r>
      <w:r>
        <w:rPr>
          <w:i/>
          <w:iCs/>
        </w:rPr>
        <w:t>Kerygma and Myth: A Theological Debate</w:t>
      </w:r>
      <w:r>
        <w:t>, ed. by Hans Werner Bartsch, trans. by Reginald H. Fuller (London: SPCK, 1953), pp. 1–44</w:t>
      </w:r>
    </w:p>
    <w:p w14:paraId="49760569" w14:textId="77777777" w:rsidR="00ED367E" w:rsidRDefault="00ED367E">
      <w:pPr>
        <w:spacing w:after="120" w:line="480" w:lineRule="auto"/>
        <w:ind w:left="720" w:hanging="720"/>
        <w:rPr>
          <w:kern w:val="2"/>
          <w14:ligatures w14:val="standardContextual"/>
        </w:rPr>
      </w:pPr>
      <w:r>
        <w:t xml:space="preserve">Fergusson, David, </w:t>
      </w:r>
      <w:r>
        <w:rPr>
          <w:i/>
          <w:iCs/>
        </w:rPr>
        <w:t>Bultmann</w:t>
      </w:r>
      <w:r>
        <w:t xml:space="preserve"> (London: Continuum, 1992)</w:t>
      </w:r>
    </w:p>
    <w:p w14:paraId="4D79E737" w14:textId="77777777" w:rsidR="00ED367E" w:rsidRDefault="00ED367E">
      <w:pPr>
        <w:spacing w:after="120" w:line="480" w:lineRule="auto"/>
        <w:ind w:left="720" w:hanging="720"/>
        <w:rPr>
          <w:kern w:val="2"/>
          <w14:ligatures w14:val="standardContextual"/>
        </w:rPr>
      </w:pPr>
      <w:r>
        <w:t xml:space="preserve">Heidegger, Martin, </w:t>
      </w:r>
      <w:r>
        <w:rPr>
          <w:i/>
          <w:iCs/>
        </w:rPr>
        <w:t>Being and Time</w:t>
      </w:r>
      <w:r>
        <w:t>, trans. by John Macquarrie and Edward Robinson (Oxford: Blackwell, 1962)</w:t>
      </w:r>
    </w:p>
    <w:p w14:paraId="3F9FB795" w14:textId="77777777" w:rsidR="00ED367E" w:rsidRDefault="00ED367E">
      <w:pPr>
        <w:spacing w:after="120" w:line="480" w:lineRule="auto"/>
        <w:ind w:left="720" w:hanging="720"/>
        <w:rPr>
          <w:kern w:val="2"/>
          <w14:ligatures w14:val="standardContextual"/>
        </w:rPr>
      </w:pPr>
      <w:r>
        <w:t xml:space="preserve">Jaspers, Karl, and Rudolf Bultmann, </w:t>
      </w:r>
      <w:r>
        <w:rPr>
          <w:i/>
          <w:iCs/>
        </w:rPr>
        <w:t>Myth and Christianity: An Inquiry into the Possibility of Religion without Myth</w:t>
      </w:r>
      <w:r>
        <w:t xml:space="preserve"> (New York: Noonday Press, 1958)</w:t>
      </w:r>
    </w:p>
    <w:p w14:paraId="74A0C6F6" w14:textId="77777777" w:rsidR="00ED367E" w:rsidRDefault="00ED367E">
      <w:pPr>
        <w:spacing w:after="120" w:line="480" w:lineRule="auto"/>
        <w:ind w:left="720" w:hanging="720"/>
        <w:rPr>
          <w:kern w:val="2"/>
          <w14:ligatures w14:val="standardContextual"/>
        </w:rPr>
      </w:pPr>
      <w:r>
        <w:t xml:space="preserve">Macquarrie, John, </w:t>
      </w:r>
      <w:r>
        <w:rPr>
          <w:i/>
          <w:iCs/>
        </w:rPr>
        <w:t>An Existentialist Theology: A Comparison of Heidegger and Bultmann</w:t>
      </w:r>
      <w:r>
        <w:t xml:space="preserve"> (London: SCM Press, 1955)</w:t>
      </w:r>
    </w:p>
    <w:p w14:paraId="57FC17E5" w14:textId="77777777" w:rsidR="00ED367E" w:rsidRDefault="00ED367E">
      <w:pPr>
        <w:spacing w:after="120" w:line="480" w:lineRule="auto"/>
        <w:ind w:left="720" w:hanging="720"/>
        <w:rPr>
          <w:kern w:val="2"/>
          <w14:ligatures w14:val="standardContextual"/>
        </w:rPr>
      </w:pPr>
      <w:r>
        <w:t xml:space="preserve">Ricoeur, Paul, ‘Preface to Bultmann’, in </w:t>
      </w:r>
      <w:r>
        <w:rPr>
          <w:i/>
          <w:iCs/>
        </w:rPr>
        <w:t>Essays on Biblical Interpretation</w:t>
      </w:r>
      <w:r>
        <w:t>, ed. by Lewis S. Mudge (Philadelphia: Fortress Press, 1980), pp. 49–72</w:t>
      </w:r>
    </w:p>
    <w:p w14:paraId="63FCF3C6" w14:textId="77777777" w:rsidR="00ED367E" w:rsidRDefault="00ED367E">
      <w:pPr>
        <w:spacing w:after="120" w:line="480" w:lineRule="auto"/>
        <w:ind w:left="720" w:hanging="720"/>
        <w:rPr>
          <w:kern w:val="2"/>
          <w14:ligatures w14:val="standardContextual"/>
        </w:rPr>
      </w:pPr>
      <w:r>
        <w:t xml:space="preserve">Thiselton, Anthony C., </w:t>
      </w:r>
      <w:r>
        <w:rPr>
          <w:i/>
          <w:iCs/>
        </w:rPr>
        <w:t>The Two Horizons: New Testament Hermeneutics and Philosophical Description</w:t>
      </w:r>
      <w:r>
        <w:t xml:space="preserve"> (Grand Rapids, MI: Eerdmans, 1980)</w:t>
      </w:r>
    </w:p>
    <w:p w14:paraId="7106E760" w14:textId="77777777" w:rsidR="00ED367E" w:rsidRDefault="00ED367E">
      <w:pPr>
        <w:spacing w:after="120" w:line="480" w:lineRule="auto"/>
        <w:ind w:left="720" w:hanging="720"/>
        <w:rPr>
          <w:kern w:val="2"/>
          <w14:ligatures w14:val="standardContextual"/>
        </w:rPr>
      </w:pPr>
      <w:r>
        <w:t xml:space="preserve">Wright, N. T., </w:t>
      </w:r>
      <w:r>
        <w:rPr>
          <w:i/>
          <w:iCs/>
        </w:rPr>
        <w:t>The New Testament and the People of God</w:t>
      </w:r>
      <w:r>
        <w:t xml:space="preserve"> (London: SPCK, 1992)</w:t>
      </w:r>
    </w:p>
    <w:p w14:paraId="543FF350" w14:textId="77777777" w:rsidR="00ED367E" w:rsidRDefault="00ED367E"/>
    <w:sectPr w:rsidR="00ED367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6D9170" w14:textId="77777777" w:rsidR="00DB7D6C" w:rsidRDefault="00DB7D6C">
      <w:r>
        <w:separator/>
      </w:r>
    </w:p>
  </w:endnote>
  <w:endnote w:type="continuationSeparator" w:id="0">
    <w:p w14:paraId="4A387D63" w14:textId="77777777" w:rsidR="00DB7D6C" w:rsidRDefault="00DB7D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C7F7FB" w14:textId="77777777" w:rsidR="00997F89" w:rsidRDefault="00997F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6948DB" w14:textId="7B1FD4F4" w:rsidR="00763F4A" w:rsidRPr="005866A6" w:rsidRDefault="00763F4A" w:rsidP="005866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B5CAA4" w14:textId="77777777" w:rsidR="00997F89" w:rsidRDefault="00997F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163DD" w14:textId="77777777" w:rsidR="00DB7D6C" w:rsidRDefault="00DB7D6C">
      <w:r>
        <w:separator/>
      </w:r>
    </w:p>
  </w:footnote>
  <w:footnote w:type="continuationSeparator" w:id="0">
    <w:p w14:paraId="3A6E80F7" w14:textId="77777777" w:rsidR="00DB7D6C" w:rsidRDefault="00DB7D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73BEDE" w14:textId="77777777" w:rsidR="00997F89" w:rsidRDefault="00997F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97B6D0" w14:textId="77777777" w:rsidR="00997F89" w:rsidRDefault="00997F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B2DC98" w14:textId="77777777" w:rsidR="00997F89" w:rsidRDefault="00997F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1A7D72"/>
    <w:multiLevelType w:val="hybridMultilevel"/>
    <w:tmpl w:val="8E166C62"/>
    <w:lvl w:ilvl="0" w:tplc="85B6FB36">
      <w:start w:val="1"/>
      <w:numFmt w:val="bullet"/>
      <w:lvlText w:val="●"/>
      <w:lvlJc w:val="left"/>
      <w:pPr>
        <w:ind w:left="720" w:hanging="360"/>
      </w:pPr>
    </w:lvl>
    <w:lvl w:ilvl="1" w:tplc="01FC77AC">
      <w:start w:val="1"/>
      <w:numFmt w:val="bullet"/>
      <w:lvlText w:val="○"/>
      <w:lvlJc w:val="left"/>
      <w:pPr>
        <w:ind w:left="1440" w:hanging="360"/>
      </w:pPr>
    </w:lvl>
    <w:lvl w:ilvl="2" w:tplc="94EE02FC">
      <w:start w:val="1"/>
      <w:numFmt w:val="bullet"/>
      <w:lvlText w:val="■"/>
      <w:lvlJc w:val="left"/>
      <w:pPr>
        <w:ind w:left="2160" w:hanging="360"/>
      </w:pPr>
    </w:lvl>
    <w:lvl w:ilvl="3" w:tplc="D76E443C">
      <w:start w:val="1"/>
      <w:numFmt w:val="bullet"/>
      <w:lvlText w:val="●"/>
      <w:lvlJc w:val="left"/>
      <w:pPr>
        <w:ind w:left="2880" w:hanging="360"/>
      </w:pPr>
    </w:lvl>
    <w:lvl w:ilvl="4" w:tplc="3E161C28">
      <w:start w:val="1"/>
      <w:numFmt w:val="bullet"/>
      <w:lvlText w:val="○"/>
      <w:lvlJc w:val="left"/>
      <w:pPr>
        <w:ind w:left="3600" w:hanging="360"/>
      </w:pPr>
    </w:lvl>
    <w:lvl w:ilvl="5" w:tplc="98B86A0E">
      <w:start w:val="1"/>
      <w:numFmt w:val="bullet"/>
      <w:lvlText w:val="■"/>
      <w:lvlJc w:val="left"/>
      <w:pPr>
        <w:ind w:left="4320" w:hanging="360"/>
      </w:pPr>
    </w:lvl>
    <w:lvl w:ilvl="6" w:tplc="10B43A68">
      <w:start w:val="1"/>
      <w:numFmt w:val="bullet"/>
      <w:lvlText w:val="●"/>
      <w:lvlJc w:val="left"/>
      <w:pPr>
        <w:ind w:left="5040" w:hanging="360"/>
      </w:pPr>
    </w:lvl>
    <w:lvl w:ilvl="7" w:tplc="399A3448">
      <w:start w:val="1"/>
      <w:numFmt w:val="bullet"/>
      <w:lvlText w:val="●"/>
      <w:lvlJc w:val="left"/>
      <w:pPr>
        <w:ind w:left="5760" w:hanging="360"/>
      </w:pPr>
    </w:lvl>
    <w:lvl w:ilvl="8" w:tplc="F5EADA84">
      <w:start w:val="1"/>
      <w:numFmt w:val="bullet"/>
      <w:lvlText w:val="●"/>
      <w:lvlJc w:val="left"/>
      <w:pPr>
        <w:ind w:left="6480" w:hanging="360"/>
      </w:pPr>
    </w:lvl>
  </w:abstractNum>
  <w:num w:numId="1" w16cid:durableId="151861961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displayBackgroundShap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F4A"/>
    <w:rsid w:val="000062B1"/>
    <w:rsid w:val="00015101"/>
    <w:rsid w:val="0002129D"/>
    <w:rsid w:val="0003577B"/>
    <w:rsid w:val="00064EBA"/>
    <w:rsid w:val="000838BC"/>
    <w:rsid w:val="000C1564"/>
    <w:rsid w:val="000D3929"/>
    <w:rsid w:val="001061D8"/>
    <w:rsid w:val="00136182"/>
    <w:rsid w:val="0015257E"/>
    <w:rsid w:val="00176CF8"/>
    <w:rsid w:val="001921CB"/>
    <w:rsid w:val="001A2ADC"/>
    <w:rsid w:val="001B155B"/>
    <w:rsid w:val="001D441A"/>
    <w:rsid w:val="00203B5C"/>
    <w:rsid w:val="002356E1"/>
    <w:rsid w:val="00266E15"/>
    <w:rsid w:val="00275678"/>
    <w:rsid w:val="002922C4"/>
    <w:rsid w:val="00350356"/>
    <w:rsid w:val="00380A21"/>
    <w:rsid w:val="003919CB"/>
    <w:rsid w:val="003B743F"/>
    <w:rsid w:val="003D30BA"/>
    <w:rsid w:val="00474DFB"/>
    <w:rsid w:val="00482A86"/>
    <w:rsid w:val="00484250"/>
    <w:rsid w:val="004A4FA0"/>
    <w:rsid w:val="004C08E0"/>
    <w:rsid w:val="004C094B"/>
    <w:rsid w:val="004D506B"/>
    <w:rsid w:val="00575AAD"/>
    <w:rsid w:val="005866A6"/>
    <w:rsid w:val="00587C3C"/>
    <w:rsid w:val="005A2B44"/>
    <w:rsid w:val="005B62BF"/>
    <w:rsid w:val="005C70F4"/>
    <w:rsid w:val="005E2515"/>
    <w:rsid w:val="00605D1A"/>
    <w:rsid w:val="00631E9B"/>
    <w:rsid w:val="00681CF1"/>
    <w:rsid w:val="006A407A"/>
    <w:rsid w:val="006C62BB"/>
    <w:rsid w:val="006E6A57"/>
    <w:rsid w:val="00716FDE"/>
    <w:rsid w:val="00763F4A"/>
    <w:rsid w:val="00806A32"/>
    <w:rsid w:val="0081715B"/>
    <w:rsid w:val="00840464"/>
    <w:rsid w:val="00855876"/>
    <w:rsid w:val="0085621D"/>
    <w:rsid w:val="008B60D2"/>
    <w:rsid w:val="008D6589"/>
    <w:rsid w:val="00922513"/>
    <w:rsid w:val="009436E6"/>
    <w:rsid w:val="00997F89"/>
    <w:rsid w:val="009C0872"/>
    <w:rsid w:val="009D1FE5"/>
    <w:rsid w:val="009E0901"/>
    <w:rsid w:val="009E0F5F"/>
    <w:rsid w:val="009F24CE"/>
    <w:rsid w:val="00A16765"/>
    <w:rsid w:val="00A8212E"/>
    <w:rsid w:val="00A86643"/>
    <w:rsid w:val="00A9429D"/>
    <w:rsid w:val="00B3237B"/>
    <w:rsid w:val="00BB7B4E"/>
    <w:rsid w:val="00C12C86"/>
    <w:rsid w:val="00C8331D"/>
    <w:rsid w:val="00C91473"/>
    <w:rsid w:val="00D8042E"/>
    <w:rsid w:val="00DB7D6C"/>
    <w:rsid w:val="00DF5BFE"/>
    <w:rsid w:val="00EA2D15"/>
    <w:rsid w:val="00ED367E"/>
    <w:rsid w:val="00ED40FE"/>
    <w:rsid w:val="00EE0DCD"/>
    <w:rsid w:val="00EE4B8A"/>
    <w:rsid w:val="00F05193"/>
    <w:rsid w:val="00F4405E"/>
    <w:rsid w:val="00F66070"/>
    <w:rsid w:val="00F86D61"/>
    <w:rsid w:val="00FB15FB"/>
    <w:rsid w:val="00FD1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19A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paragraph" w:styleId="Heading7">
    <w:name w:val="heading 7"/>
    <w:basedOn w:val="Normal"/>
    <w:next w:val="Normal"/>
    <w:link w:val="Heading7Char"/>
    <w:uiPriority w:val="9"/>
    <w:semiHidden/>
    <w:unhideWhenUsed/>
    <w:qFormat/>
    <w:rsid w:val="00997F89"/>
    <w:pPr>
      <w:keepNext/>
      <w:keepLines/>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997F89"/>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97F89"/>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997F89"/>
    <w:pPr>
      <w:tabs>
        <w:tab w:val="center" w:pos="4513"/>
        <w:tab w:val="right" w:pos="9026"/>
      </w:tabs>
    </w:pPr>
  </w:style>
  <w:style w:type="character" w:customStyle="1" w:styleId="HeaderChar">
    <w:name w:val="Header Char"/>
    <w:basedOn w:val="DefaultParagraphFont"/>
    <w:link w:val="Header"/>
    <w:uiPriority w:val="99"/>
    <w:rsid w:val="00997F89"/>
  </w:style>
  <w:style w:type="paragraph" w:styleId="Footer">
    <w:name w:val="footer"/>
    <w:basedOn w:val="Normal"/>
    <w:link w:val="FooterChar"/>
    <w:uiPriority w:val="99"/>
    <w:unhideWhenUsed/>
    <w:rsid w:val="00997F89"/>
    <w:pPr>
      <w:tabs>
        <w:tab w:val="center" w:pos="4513"/>
        <w:tab w:val="right" w:pos="9026"/>
      </w:tabs>
    </w:pPr>
  </w:style>
  <w:style w:type="character" w:customStyle="1" w:styleId="FooterChar">
    <w:name w:val="Footer Char"/>
    <w:basedOn w:val="DefaultParagraphFont"/>
    <w:link w:val="Footer"/>
    <w:uiPriority w:val="99"/>
    <w:rsid w:val="00997F89"/>
  </w:style>
  <w:style w:type="character" w:styleId="BookTitle">
    <w:name w:val="Book Title"/>
    <w:basedOn w:val="DefaultParagraphFont"/>
    <w:uiPriority w:val="33"/>
    <w:qFormat/>
    <w:rsid w:val="00997F89"/>
    <w:rPr>
      <w:b/>
      <w:bCs/>
      <w:i/>
      <w:iCs/>
      <w:spacing w:val="5"/>
    </w:rPr>
  </w:style>
  <w:style w:type="paragraph" w:styleId="Caption">
    <w:name w:val="caption"/>
    <w:basedOn w:val="Normal"/>
    <w:next w:val="Normal"/>
    <w:uiPriority w:val="35"/>
    <w:semiHidden/>
    <w:unhideWhenUsed/>
    <w:qFormat/>
    <w:rsid w:val="00997F89"/>
    <w:pPr>
      <w:spacing w:after="200"/>
    </w:pPr>
    <w:rPr>
      <w:i/>
      <w:iCs/>
      <w:color w:val="0E2841" w:themeColor="text2"/>
      <w:sz w:val="18"/>
      <w:szCs w:val="18"/>
    </w:rPr>
  </w:style>
  <w:style w:type="character" w:styleId="Emphasis">
    <w:name w:val="Emphasis"/>
    <w:basedOn w:val="DefaultParagraphFont"/>
    <w:uiPriority w:val="20"/>
    <w:qFormat/>
    <w:rsid w:val="00997F89"/>
    <w:rPr>
      <w:i/>
      <w:iCs/>
    </w:rPr>
  </w:style>
  <w:style w:type="character" w:customStyle="1" w:styleId="Heading7Char">
    <w:name w:val="Heading 7 Char"/>
    <w:basedOn w:val="DefaultParagraphFont"/>
    <w:link w:val="Heading7"/>
    <w:uiPriority w:val="9"/>
    <w:semiHidden/>
    <w:rsid w:val="00997F89"/>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997F8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97F89"/>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997F89"/>
    <w:rPr>
      <w:i/>
      <w:iCs/>
      <w:color w:val="156082" w:themeColor="accent1"/>
    </w:rPr>
  </w:style>
  <w:style w:type="paragraph" w:styleId="IntenseQuote">
    <w:name w:val="Intense Quote"/>
    <w:basedOn w:val="Normal"/>
    <w:next w:val="Normal"/>
    <w:link w:val="IntenseQuoteChar"/>
    <w:uiPriority w:val="30"/>
    <w:qFormat/>
    <w:rsid w:val="00997F89"/>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997F89"/>
    <w:rPr>
      <w:i/>
      <w:iCs/>
      <w:color w:val="156082" w:themeColor="accent1"/>
    </w:rPr>
  </w:style>
  <w:style w:type="character" w:styleId="IntenseReference">
    <w:name w:val="Intense Reference"/>
    <w:basedOn w:val="DefaultParagraphFont"/>
    <w:uiPriority w:val="32"/>
    <w:qFormat/>
    <w:rsid w:val="00997F89"/>
    <w:rPr>
      <w:b/>
      <w:bCs/>
      <w:smallCaps/>
      <w:color w:val="156082" w:themeColor="accent1"/>
      <w:spacing w:val="5"/>
    </w:rPr>
  </w:style>
  <w:style w:type="paragraph" w:styleId="NoSpacing">
    <w:name w:val="No Spacing"/>
    <w:uiPriority w:val="1"/>
    <w:qFormat/>
    <w:rsid w:val="00997F89"/>
  </w:style>
  <w:style w:type="paragraph" w:styleId="Quote">
    <w:name w:val="Quote"/>
    <w:basedOn w:val="Normal"/>
    <w:next w:val="Normal"/>
    <w:link w:val="QuoteChar"/>
    <w:uiPriority w:val="29"/>
    <w:qFormat/>
    <w:rsid w:val="00997F89"/>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997F89"/>
    <w:rPr>
      <w:i/>
      <w:iCs/>
      <w:color w:val="404040" w:themeColor="text1" w:themeTint="BF"/>
    </w:rPr>
  </w:style>
  <w:style w:type="character" w:styleId="Strong">
    <w:name w:val="Strong"/>
    <w:basedOn w:val="DefaultParagraphFont"/>
    <w:uiPriority w:val="22"/>
    <w:qFormat/>
    <w:rsid w:val="00997F89"/>
    <w:rPr>
      <w:b/>
      <w:bCs/>
    </w:rPr>
  </w:style>
  <w:style w:type="paragraph" w:styleId="Subtitle">
    <w:name w:val="Subtitle"/>
    <w:basedOn w:val="Normal"/>
    <w:next w:val="Normal"/>
    <w:link w:val="SubtitleChar"/>
    <w:uiPriority w:val="11"/>
    <w:qFormat/>
    <w:rsid w:val="00997F89"/>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997F89"/>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997F89"/>
    <w:rPr>
      <w:i/>
      <w:iCs/>
      <w:color w:val="404040" w:themeColor="text1" w:themeTint="BF"/>
    </w:rPr>
  </w:style>
  <w:style w:type="character" w:styleId="SubtleReference">
    <w:name w:val="Subtle Reference"/>
    <w:basedOn w:val="DefaultParagraphFont"/>
    <w:uiPriority w:val="31"/>
    <w:qFormat/>
    <w:rsid w:val="00997F89"/>
    <w:rPr>
      <w:smallCaps/>
      <w:color w:val="5A5A5A" w:themeColor="text1" w:themeTint="A5"/>
    </w:rPr>
  </w:style>
  <w:style w:type="paragraph" w:styleId="TOCHeading">
    <w:name w:val="TOC Heading"/>
    <w:basedOn w:val="Heading1"/>
    <w:next w:val="Normal"/>
    <w:uiPriority w:val="39"/>
    <w:semiHidden/>
    <w:unhideWhenUsed/>
    <w:qFormat/>
    <w:rsid w:val="00997F89"/>
    <w:pPr>
      <w:keepNext/>
      <w:keepLines/>
      <w:spacing w:before="240"/>
      <w:outlineLvl w:val="9"/>
    </w:pPr>
    <w:rPr>
      <w:rFonts w:asciiTheme="majorHAnsi" w:eastAsiaTheme="majorEastAsia" w:hAnsiTheme="majorHAnsi" w:cstheme="majorBidi"/>
      <w:color w:val="0F476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2941</Words>
  <Characters>16769</Characters>
  <Application>Microsoft Office Word</Application>
  <DocSecurity>0</DocSecurity>
  <Lines>139</Lines>
  <Paragraphs>39</Paragraphs>
  <ScaleCrop>false</ScaleCrop>
  <Company/>
  <LinksUpToDate>false</LinksUpToDate>
  <CharactersWithSpaces>19671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2026-07-25T11:18:00Z</dcterms:created>
  <dcterms:modified xsi:type="dcterms:W3CDTF">2026-07-25T11:18:00Z</dcterms:modified>
</cp:coreProperties>
</file>