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D7DF9F" w14:textId="22F1CF3E" w:rsidR="00D963FC" w:rsidRDefault="00D963FC" w:rsidP="00D963FC">
      <w:pPr>
        <w:pStyle w:val="Title"/>
        <w:jc w:val="center"/>
      </w:pPr>
      <w:r>
        <w:t>An Analysis of UK counter-terrorism Legislation and its Application in the Fishmonger’s Hall Attack (2019)</w:t>
      </w:r>
    </w:p>
    <w:p w14:paraId="53C40083" w14:textId="77777777" w:rsidR="00D963FC" w:rsidRDefault="00D963FC">
      <w:pPr>
        <w:rPr>
          <w:rFonts w:ascii="-webkit-standard" w:hAnsi="-webkit-standard"/>
          <w:color w:val="000000"/>
          <w:sz w:val="27"/>
          <w:szCs w:val="27"/>
        </w:rPr>
      </w:pPr>
    </w:p>
    <w:p w14:paraId="4434D86C" w14:textId="77777777" w:rsidR="00D963FC" w:rsidRDefault="00D963FC">
      <w:pPr>
        <w:rPr>
          <w:rFonts w:ascii="-webkit-standard" w:hAnsi="-webkit-standard"/>
          <w:color w:val="000000"/>
          <w:sz w:val="27"/>
          <w:szCs w:val="27"/>
        </w:rPr>
      </w:pPr>
    </w:p>
    <w:p w14:paraId="7C634D85" w14:textId="77777777" w:rsidR="00D963FC" w:rsidRDefault="00D963FC">
      <w:pPr>
        <w:rPr>
          <w:rFonts w:ascii="-webkit-standard" w:hAnsi="-webkit-standard"/>
          <w:color w:val="000000"/>
          <w:sz w:val="27"/>
          <w:szCs w:val="27"/>
        </w:rPr>
      </w:pPr>
    </w:p>
    <w:p w14:paraId="115168B6" w14:textId="77777777" w:rsidR="00C9417E" w:rsidRDefault="00C9417E" w:rsidP="00C9417E">
      <w:pPr>
        <w:jc w:val="center"/>
        <w:rPr>
          <w:color w:val="000000"/>
          <w:sz w:val="27"/>
          <w:szCs w:val="27"/>
        </w:rPr>
      </w:pPr>
    </w:p>
    <w:p w14:paraId="3331EBCE" w14:textId="77777777" w:rsidR="00C9417E" w:rsidRDefault="00C9417E" w:rsidP="00C9417E">
      <w:pPr>
        <w:jc w:val="center"/>
        <w:rPr>
          <w:color w:val="000000"/>
          <w:sz w:val="27"/>
          <w:szCs w:val="27"/>
        </w:rPr>
      </w:pPr>
    </w:p>
    <w:p w14:paraId="45D42FB8" w14:textId="28F6A6E1" w:rsidR="00D963FC" w:rsidRPr="00C9417E" w:rsidRDefault="00C9417E" w:rsidP="00C9417E">
      <w:pPr>
        <w:jc w:val="center"/>
        <w:rPr>
          <w:color w:val="000000"/>
          <w:sz w:val="27"/>
          <w:szCs w:val="27"/>
        </w:rPr>
      </w:pPr>
      <w:r w:rsidRPr="00C9417E">
        <w:rPr>
          <w:color w:val="000000"/>
          <w:sz w:val="27"/>
          <w:szCs w:val="27"/>
        </w:rPr>
        <w:t>St</w:t>
      </w:r>
      <w:r>
        <w:rPr>
          <w:color w:val="000000"/>
          <w:sz w:val="27"/>
          <w:szCs w:val="27"/>
        </w:rPr>
        <w:t>u</w:t>
      </w:r>
      <w:r w:rsidRPr="00C9417E">
        <w:rPr>
          <w:color w:val="000000"/>
          <w:sz w:val="27"/>
          <w:szCs w:val="27"/>
        </w:rPr>
        <w:t>dent name: Bianca Moldoveanu</w:t>
      </w:r>
    </w:p>
    <w:p w14:paraId="781A0AAE" w14:textId="39285D54" w:rsidR="00C9417E" w:rsidRPr="00C9417E" w:rsidRDefault="00C9417E" w:rsidP="00C9417E">
      <w:pPr>
        <w:jc w:val="center"/>
        <w:rPr>
          <w:color w:val="000000"/>
          <w:sz w:val="27"/>
          <w:szCs w:val="27"/>
        </w:rPr>
      </w:pPr>
      <w:r w:rsidRPr="00C9417E">
        <w:rPr>
          <w:color w:val="000000"/>
          <w:sz w:val="27"/>
          <w:szCs w:val="27"/>
        </w:rPr>
        <w:t>Student number: 1905825</w:t>
      </w:r>
    </w:p>
    <w:p w14:paraId="5D5AE2E0" w14:textId="74DBFAB7" w:rsidR="00C9417E" w:rsidRPr="00C9417E" w:rsidRDefault="00C9417E" w:rsidP="00C9417E">
      <w:pPr>
        <w:jc w:val="center"/>
        <w:rPr>
          <w:color w:val="000000"/>
          <w:sz w:val="27"/>
          <w:szCs w:val="27"/>
        </w:rPr>
      </w:pPr>
      <w:r w:rsidRPr="00C9417E">
        <w:rPr>
          <w:color w:val="000000"/>
          <w:sz w:val="27"/>
          <w:szCs w:val="27"/>
        </w:rPr>
        <w:t>Moodle code: BMOL6018A</w:t>
      </w:r>
    </w:p>
    <w:p w14:paraId="22E06285" w14:textId="6E0D5DFE" w:rsidR="00C9417E" w:rsidRPr="00C9417E" w:rsidRDefault="00C9417E" w:rsidP="00C9417E">
      <w:pPr>
        <w:jc w:val="center"/>
        <w:rPr>
          <w:color w:val="000000"/>
          <w:sz w:val="27"/>
          <w:szCs w:val="27"/>
        </w:rPr>
      </w:pPr>
      <w:r w:rsidRPr="00C9417E">
        <w:rPr>
          <w:color w:val="000000"/>
          <w:sz w:val="27"/>
          <w:szCs w:val="27"/>
        </w:rPr>
        <w:t>Lecturer name: Jane Davies</w:t>
      </w:r>
    </w:p>
    <w:p w14:paraId="4230364F" w14:textId="77777777" w:rsidR="00C9417E" w:rsidRPr="00C9417E" w:rsidRDefault="00C9417E" w:rsidP="00C9417E">
      <w:pPr>
        <w:jc w:val="center"/>
        <w:rPr>
          <w:color w:val="000000"/>
          <w:sz w:val="27"/>
          <w:szCs w:val="27"/>
        </w:rPr>
      </w:pPr>
    </w:p>
    <w:p w14:paraId="0460CBCB" w14:textId="77777777" w:rsidR="00D963FC" w:rsidRDefault="00D963FC">
      <w:pPr>
        <w:rPr>
          <w:rFonts w:ascii="-webkit-standard" w:hAnsi="-webkit-standard"/>
          <w:color w:val="000000"/>
          <w:sz w:val="27"/>
          <w:szCs w:val="27"/>
        </w:rPr>
      </w:pPr>
    </w:p>
    <w:p w14:paraId="3AED45BE" w14:textId="77777777" w:rsidR="00D963FC" w:rsidRDefault="00D963FC">
      <w:pPr>
        <w:rPr>
          <w:rFonts w:ascii="-webkit-standard" w:hAnsi="-webkit-standard"/>
          <w:color w:val="000000"/>
          <w:sz w:val="27"/>
          <w:szCs w:val="27"/>
        </w:rPr>
      </w:pPr>
    </w:p>
    <w:p w14:paraId="0556F572" w14:textId="77777777" w:rsidR="00D963FC" w:rsidRDefault="00D963FC">
      <w:pPr>
        <w:rPr>
          <w:rFonts w:ascii="-webkit-standard" w:hAnsi="-webkit-standard"/>
          <w:color w:val="000000"/>
          <w:sz w:val="27"/>
          <w:szCs w:val="27"/>
        </w:rPr>
      </w:pPr>
    </w:p>
    <w:p w14:paraId="0FF4C036" w14:textId="77777777" w:rsidR="00D963FC" w:rsidRDefault="00D963FC">
      <w:pPr>
        <w:rPr>
          <w:rFonts w:ascii="-webkit-standard" w:hAnsi="-webkit-standard"/>
          <w:color w:val="000000"/>
          <w:sz w:val="27"/>
          <w:szCs w:val="27"/>
        </w:rPr>
      </w:pPr>
    </w:p>
    <w:p w14:paraId="002C6F16" w14:textId="77777777" w:rsidR="00D963FC" w:rsidRDefault="00D963FC">
      <w:pPr>
        <w:rPr>
          <w:rFonts w:ascii="-webkit-standard" w:hAnsi="-webkit-standard"/>
          <w:color w:val="000000"/>
          <w:sz w:val="27"/>
          <w:szCs w:val="27"/>
        </w:rPr>
      </w:pPr>
    </w:p>
    <w:p w14:paraId="0FFAEA27" w14:textId="77777777" w:rsidR="00D963FC" w:rsidRDefault="00D963FC">
      <w:pPr>
        <w:rPr>
          <w:rFonts w:ascii="-webkit-standard" w:hAnsi="-webkit-standard"/>
          <w:color w:val="000000"/>
          <w:sz w:val="27"/>
          <w:szCs w:val="27"/>
        </w:rPr>
      </w:pPr>
    </w:p>
    <w:p w14:paraId="128CC183" w14:textId="77777777" w:rsidR="00D963FC" w:rsidRDefault="00D963FC">
      <w:pPr>
        <w:rPr>
          <w:rFonts w:ascii="-webkit-standard" w:hAnsi="-webkit-standard"/>
          <w:color w:val="000000"/>
          <w:sz w:val="27"/>
          <w:szCs w:val="27"/>
        </w:rPr>
      </w:pPr>
    </w:p>
    <w:p w14:paraId="3EC86CB1" w14:textId="77777777" w:rsidR="00D963FC" w:rsidRDefault="00D963FC">
      <w:pPr>
        <w:rPr>
          <w:rFonts w:ascii="-webkit-standard" w:hAnsi="-webkit-standard"/>
          <w:color w:val="000000"/>
          <w:sz w:val="27"/>
          <w:szCs w:val="27"/>
        </w:rPr>
      </w:pPr>
    </w:p>
    <w:p w14:paraId="24718884" w14:textId="77777777" w:rsidR="00D963FC" w:rsidRDefault="00D963FC">
      <w:pPr>
        <w:rPr>
          <w:rFonts w:ascii="-webkit-standard" w:hAnsi="-webkit-standard"/>
          <w:color w:val="000000"/>
          <w:sz w:val="27"/>
          <w:szCs w:val="27"/>
        </w:rPr>
      </w:pPr>
    </w:p>
    <w:p w14:paraId="30C2ED19" w14:textId="77777777" w:rsidR="00D963FC" w:rsidRDefault="00D963FC">
      <w:pPr>
        <w:rPr>
          <w:rFonts w:ascii="-webkit-standard" w:hAnsi="-webkit-standard"/>
          <w:color w:val="000000"/>
          <w:sz w:val="27"/>
          <w:szCs w:val="27"/>
        </w:rPr>
      </w:pPr>
    </w:p>
    <w:p w14:paraId="6890A1A6" w14:textId="77777777" w:rsidR="00D963FC" w:rsidRDefault="00D963FC">
      <w:pPr>
        <w:rPr>
          <w:rFonts w:ascii="-webkit-standard" w:hAnsi="-webkit-standard"/>
          <w:color w:val="000000"/>
          <w:sz w:val="27"/>
          <w:szCs w:val="27"/>
        </w:rPr>
      </w:pPr>
    </w:p>
    <w:p w14:paraId="1620DAD1" w14:textId="77777777" w:rsidR="00D963FC" w:rsidRDefault="00D963FC">
      <w:pPr>
        <w:rPr>
          <w:rFonts w:ascii="-webkit-standard" w:hAnsi="-webkit-standard"/>
          <w:color w:val="000000"/>
          <w:sz w:val="27"/>
          <w:szCs w:val="27"/>
        </w:rPr>
      </w:pPr>
    </w:p>
    <w:p w14:paraId="49FCB76F" w14:textId="77777777" w:rsidR="00D963FC" w:rsidRDefault="00D963FC">
      <w:pPr>
        <w:rPr>
          <w:rFonts w:ascii="-webkit-standard" w:hAnsi="-webkit-standard"/>
          <w:color w:val="000000"/>
          <w:sz w:val="27"/>
          <w:szCs w:val="27"/>
        </w:rPr>
      </w:pPr>
    </w:p>
    <w:p w14:paraId="096A0FEA" w14:textId="77777777" w:rsidR="00D963FC" w:rsidRDefault="00D963FC">
      <w:pPr>
        <w:rPr>
          <w:rFonts w:ascii="-webkit-standard" w:hAnsi="-webkit-standard"/>
          <w:color w:val="000000"/>
          <w:sz w:val="27"/>
          <w:szCs w:val="27"/>
        </w:rPr>
      </w:pPr>
    </w:p>
    <w:p w14:paraId="76CD4BFD" w14:textId="77777777" w:rsidR="00D963FC" w:rsidRDefault="00D963FC">
      <w:pPr>
        <w:rPr>
          <w:rFonts w:ascii="-webkit-standard" w:hAnsi="-webkit-standard"/>
          <w:color w:val="000000"/>
          <w:sz w:val="27"/>
          <w:szCs w:val="27"/>
        </w:rPr>
      </w:pPr>
    </w:p>
    <w:p w14:paraId="5784D329" w14:textId="77777777" w:rsidR="00D963FC" w:rsidRDefault="00D963FC">
      <w:pPr>
        <w:rPr>
          <w:rFonts w:ascii="-webkit-standard" w:hAnsi="-webkit-standard"/>
          <w:color w:val="000000"/>
          <w:sz w:val="27"/>
          <w:szCs w:val="27"/>
        </w:rPr>
      </w:pPr>
    </w:p>
    <w:p w14:paraId="7915B4F9" w14:textId="77777777" w:rsidR="00D963FC" w:rsidRDefault="00D963FC">
      <w:pPr>
        <w:rPr>
          <w:rFonts w:ascii="-webkit-standard" w:hAnsi="-webkit-standard"/>
          <w:color w:val="000000"/>
          <w:sz w:val="27"/>
          <w:szCs w:val="27"/>
        </w:rPr>
      </w:pPr>
    </w:p>
    <w:p w14:paraId="54C35107" w14:textId="77777777" w:rsidR="00D963FC" w:rsidRDefault="00D963FC">
      <w:pPr>
        <w:rPr>
          <w:rFonts w:ascii="-webkit-standard" w:hAnsi="-webkit-standard"/>
          <w:color w:val="000000"/>
          <w:sz w:val="27"/>
          <w:szCs w:val="27"/>
        </w:rPr>
      </w:pPr>
    </w:p>
    <w:p w14:paraId="4C91DB33" w14:textId="50CC9D81" w:rsidR="006E6C4A" w:rsidRPr="00C9417E" w:rsidRDefault="00D963FC" w:rsidP="00C9417E">
      <w:pPr>
        <w:spacing w:line="360" w:lineRule="auto"/>
        <w:jc w:val="both"/>
        <w:rPr>
          <w:rFonts w:cs="Arial"/>
          <w:b/>
          <w:bCs/>
          <w:color w:val="000000"/>
        </w:rPr>
      </w:pPr>
      <w:r w:rsidRPr="00C9417E">
        <w:rPr>
          <w:rFonts w:cs="Arial"/>
          <w:b/>
          <w:bCs/>
          <w:color w:val="000000"/>
        </w:rPr>
        <w:t xml:space="preserve">Introduction </w:t>
      </w:r>
    </w:p>
    <w:p w14:paraId="0EEC7991" w14:textId="64085A59" w:rsidR="006E6C4A" w:rsidRPr="00C9417E" w:rsidRDefault="00817240" w:rsidP="00C9417E">
      <w:pPr>
        <w:spacing w:line="360" w:lineRule="auto"/>
        <w:jc w:val="both"/>
        <w:rPr>
          <w:rFonts w:cs="Arial"/>
          <w:color w:val="000000"/>
        </w:rPr>
      </w:pPr>
      <w:r w:rsidRPr="00C9417E">
        <w:rPr>
          <w:rFonts w:cs="Arial"/>
          <w:color w:val="000000"/>
        </w:rPr>
        <w:t xml:space="preserve">In the UK, concrete security incidents have had a more significant impact on counter-terrorism policy than theoretical frameworks.  Usman Khan's 2019 assault on Fishmongers' Hall is a prime illustration of this.  The fact that this case occurred despite the UK possessing one of the most comprehensive counter-terrorism legislative regimes in Europe is what gives it its particular significance.  Khan had a history of terrorism convictions, was out on licence, was electronically tagged, and subject to monitoring under the Multi-Agency Public Protection Arrangements (MAPPA) when the attack occurred.  To this day, he murders two people while on the road to London for a public rehabilitation ceremony.  The question that this begs is whether stringent laws are </w:t>
      </w:r>
      <w:r w:rsidR="00D963FC" w:rsidRPr="00C9417E">
        <w:rPr>
          <w:rFonts w:cs="Arial"/>
          <w:color w:val="000000"/>
        </w:rPr>
        <w:t>effective</w:t>
      </w:r>
      <w:r w:rsidRPr="00C9417E">
        <w:rPr>
          <w:rFonts w:cs="Arial"/>
          <w:color w:val="000000"/>
        </w:rPr>
        <w:t xml:space="preserve"> in preventing terrorism or if they merely provide the impression of control while underlying problems go unchecked. There is no effort to provide a comprehensive definition of terrorism or to examine the CONTEST strategy in its entirety in this literature assessment.  Rather, it uses the Fishmongers' Hall attack as an example to show how the UK's anti-terrorism laws really work.  It delves into three important domains.  The evolution of key anti-terrorism statutes since the year 2000 should be addressed first.  Secondly, the success (or failure) of these laws' Instead of leaping to judgements about the law's efficacy, this study examines how well it is executed and questions whether laws alone can prevent ideological violence.   The case concludes that the divergence between legislation and its practical execution in offender management, rather than a lack of legal authority, may be the main </w:t>
      </w:r>
      <w:r w:rsidR="00D963FC" w:rsidRPr="00C9417E">
        <w:rPr>
          <w:rFonts w:cs="Arial"/>
          <w:color w:val="000000"/>
        </w:rPr>
        <w:t>issue. Application</w:t>
      </w:r>
      <w:r w:rsidRPr="00C9417E">
        <w:rPr>
          <w:rFonts w:cs="Arial"/>
          <w:color w:val="000000"/>
        </w:rPr>
        <w:t xml:space="preserve"> under Usman Khan's administration.  Thirdly, the significance that scholars, legislators, and official investigations ascribe to the persistent conflict that exists among public safety, rehabilitation of offenders, and civil liberties.</w:t>
      </w:r>
    </w:p>
    <w:p w14:paraId="79BCA149" w14:textId="46BFD0B4" w:rsidR="00817240" w:rsidRPr="00C9417E" w:rsidRDefault="00817240" w:rsidP="00C9417E">
      <w:pPr>
        <w:spacing w:line="360" w:lineRule="auto"/>
        <w:jc w:val="both"/>
        <w:rPr>
          <w:rFonts w:cs="Arial"/>
          <w:b/>
          <w:bCs/>
          <w:color w:val="000000"/>
        </w:rPr>
      </w:pPr>
      <w:r w:rsidRPr="00C9417E">
        <w:rPr>
          <w:rFonts w:cs="Arial"/>
          <w:b/>
          <w:bCs/>
          <w:color w:val="000000"/>
        </w:rPr>
        <w:lastRenderedPageBreak/>
        <w:t>CONTEST Strategy</w:t>
      </w:r>
    </w:p>
    <w:p w14:paraId="668CA481" w14:textId="375EF92D" w:rsidR="009525FF" w:rsidRPr="00C9417E" w:rsidRDefault="009525FF" w:rsidP="00C9417E">
      <w:pPr>
        <w:spacing w:line="360" w:lineRule="auto"/>
        <w:jc w:val="both"/>
        <w:rPr>
          <w:rFonts w:cs="Arial"/>
          <w:color w:val="000000"/>
        </w:rPr>
      </w:pPr>
      <w:r w:rsidRPr="00C9417E">
        <w:rPr>
          <w:rFonts w:cs="Arial"/>
          <w:color w:val="000000"/>
        </w:rPr>
        <w:t xml:space="preserve">The CONTEST strategy is what the UK uses to fight terrorism. It has four parts: Prevent, Pursue, Protect, and Prepare (Home Office, 2018).  These parts are meant to work with the law, not against it.  </w:t>
      </w:r>
      <w:r w:rsidR="00D963FC" w:rsidRPr="00C9417E">
        <w:rPr>
          <w:rFonts w:cs="Arial"/>
          <w:color w:val="000000"/>
        </w:rPr>
        <w:t>Prevents</w:t>
      </w:r>
      <w:r w:rsidRPr="00C9417E">
        <w:rPr>
          <w:rFonts w:cs="Arial"/>
          <w:color w:val="000000"/>
        </w:rPr>
        <w:t xml:space="preserve"> goal is to stop people from becoming terrorists or supporting extremist groups.  </w:t>
      </w:r>
      <w:r w:rsidR="00D963FC" w:rsidRPr="00C9417E">
        <w:rPr>
          <w:rFonts w:cs="Arial"/>
          <w:color w:val="000000"/>
        </w:rPr>
        <w:t>Pursuer’s</w:t>
      </w:r>
      <w:r w:rsidRPr="00C9417E">
        <w:rPr>
          <w:rFonts w:cs="Arial"/>
          <w:color w:val="000000"/>
        </w:rPr>
        <w:t xml:space="preserve"> main goal is to find and stop terrorist activity before it leads to an attack.  Protect means making public places, borders, and infrastructure stronger. Prepare means making sure that agencies can respond well if an attack happens.</w:t>
      </w:r>
    </w:p>
    <w:p w14:paraId="397CF1F4" w14:textId="3C8FDDE7" w:rsidR="00817240" w:rsidRPr="00C9417E" w:rsidRDefault="009525FF" w:rsidP="00C9417E">
      <w:pPr>
        <w:spacing w:line="360" w:lineRule="auto"/>
        <w:jc w:val="both"/>
        <w:rPr>
          <w:rFonts w:cs="Arial"/>
          <w:color w:val="000000"/>
        </w:rPr>
      </w:pPr>
      <w:r w:rsidRPr="00C9417E">
        <w:rPr>
          <w:rFonts w:cs="Arial"/>
          <w:color w:val="000000"/>
        </w:rPr>
        <w:t xml:space="preserve"> The attack on Fishmongers' Hall showed a serious problem with the divide between Prevent and Pursue.  Khan had taken part in deradicalisation and educational programs while in prison, but there isn't much evidence that he stopped believing in his ideas once he got out.  The Pursue strand is about how he was legally managed through MAPPA and monitoring methods.  The Prevent strand, which was meant to stop extremists from spreading their ideas, was inadequate or not put into action well enough.  This means that the success of CONTEST rests on more than just rules; it also depends on how well agencies comprehend and use them in real life.</w:t>
      </w:r>
    </w:p>
    <w:p w14:paraId="63C31B2C" w14:textId="035E0C68" w:rsidR="00D963FC" w:rsidRPr="00C9417E" w:rsidRDefault="00D963FC" w:rsidP="00C9417E">
      <w:pPr>
        <w:spacing w:line="360" w:lineRule="auto"/>
        <w:jc w:val="both"/>
        <w:rPr>
          <w:rFonts w:cs="Arial"/>
          <w:b/>
          <w:bCs/>
          <w:color w:val="000000"/>
        </w:rPr>
      </w:pPr>
      <w:r w:rsidRPr="00C9417E">
        <w:rPr>
          <w:rFonts w:cs="Arial"/>
          <w:b/>
          <w:bCs/>
          <w:color w:val="000000"/>
        </w:rPr>
        <w:t xml:space="preserve">Overview of UK Counter-Terrorism Legislation </w:t>
      </w:r>
    </w:p>
    <w:p w14:paraId="79FF41EB" w14:textId="77777777" w:rsidR="006E6C4A" w:rsidRPr="00C9417E" w:rsidRDefault="006E6C4A" w:rsidP="00C9417E">
      <w:pPr>
        <w:spacing w:line="360" w:lineRule="auto"/>
        <w:jc w:val="both"/>
        <w:rPr>
          <w:rFonts w:cs="Arial"/>
          <w:b/>
          <w:bCs/>
        </w:rPr>
      </w:pPr>
      <w:r w:rsidRPr="00C9417E">
        <w:rPr>
          <w:rFonts w:cs="Arial"/>
          <w:b/>
          <w:bCs/>
        </w:rPr>
        <w:t>Act 2002 Relating to Terrorism</w:t>
      </w:r>
    </w:p>
    <w:p w14:paraId="5090C5E3" w14:textId="240D3A27" w:rsidR="006E6C4A" w:rsidRPr="00C9417E" w:rsidRDefault="006E6C4A" w:rsidP="00C9417E">
      <w:pPr>
        <w:spacing w:line="360" w:lineRule="auto"/>
        <w:jc w:val="both"/>
        <w:rPr>
          <w:rFonts w:cs="Arial"/>
          <w:b/>
          <w:bCs/>
        </w:rPr>
      </w:pPr>
      <w:r w:rsidRPr="00C9417E">
        <w:rPr>
          <w:rFonts w:cs="Arial"/>
        </w:rPr>
        <w:t xml:space="preserve"> Since its passage in 2000, the Terrorism Act has laid the groundwork for contemporary counter-terrorism laws in the United Kingdom.  A broad definition of terrorism was adopted </w:t>
      </w:r>
      <w:r w:rsidR="00D963FC" w:rsidRPr="00C9417E">
        <w:rPr>
          <w:rFonts w:cs="Arial"/>
        </w:rPr>
        <w:t>because of</w:t>
      </w:r>
      <w:r w:rsidRPr="00C9417E">
        <w:rPr>
          <w:rFonts w:cs="Arial"/>
        </w:rPr>
        <w:t xml:space="preserve"> this, which includes the use of or the threat of serious violence </w:t>
      </w:r>
      <w:proofErr w:type="gramStart"/>
      <w:r w:rsidRPr="00C9417E">
        <w:rPr>
          <w:rFonts w:cs="Arial"/>
        </w:rPr>
        <w:t>in order to</w:t>
      </w:r>
      <w:proofErr w:type="gramEnd"/>
      <w:r w:rsidRPr="00C9417E">
        <w:rPr>
          <w:rFonts w:cs="Arial"/>
        </w:rPr>
        <w:t xml:space="preserve"> exert influence over the government or to intimidate the general population for the purpose of achieving political, religious, or ideological goals (Walker, 2022).  Additionally, the Act made it possible to prohibit terrorist groups, expanded the authority to search and detain individuals, and made it possible to detain individuals without charge for a period of up to seven days.</w:t>
      </w:r>
    </w:p>
    <w:p w14:paraId="5D04767F" w14:textId="77777777" w:rsidR="006E6C4A" w:rsidRPr="00C9417E" w:rsidRDefault="006E6C4A" w:rsidP="00C9417E">
      <w:pPr>
        <w:spacing w:line="360" w:lineRule="auto"/>
        <w:jc w:val="both"/>
        <w:rPr>
          <w:rFonts w:cs="Arial"/>
          <w:b/>
          <w:bCs/>
        </w:rPr>
      </w:pPr>
      <w:r w:rsidRPr="00C9417E">
        <w:rPr>
          <w:rFonts w:cs="Arial"/>
          <w:b/>
          <w:bCs/>
        </w:rPr>
        <w:t xml:space="preserve"> 2006 Act Relating to Terrorism</w:t>
      </w:r>
    </w:p>
    <w:p w14:paraId="0F42C899" w14:textId="6E3F1093" w:rsidR="006E6C4A" w:rsidRPr="00C9417E" w:rsidRDefault="006E6C4A" w:rsidP="00C9417E">
      <w:pPr>
        <w:spacing w:line="360" w:lineRule="auto"/>
        <w:jc w:val="both"/>
        <w:rPr>
          <w:rFonts w:cs="Arial"/>
        </w:rPr>
      </w:pPr>
      <w:r w:rsidRPr="00C9417E">
        <w:rPr>
          <w:rFonts w:cs="Arial"/>
        </w:rPr>
        <w:t xml:space="preserve"> The Terrorism Act of 2006, which was passed in response to the bombings that occurred on July 7, </w:t>
      </w:r>
      <w:r w:rsidR="00D963FC" w:rsidRPr="00C9417E">
        <w:rPr>
          <w:rFonts w:cs="Arial"/>
        </w:rPr>
        <w:t>2006,</w:t>
      </w:r>
      <w:r w:rsidRPr="00C9417E">
        <w:rPr>
          <w:rFonts w:cs="Arial"/>
        </w:rPr>
        <w:t xml:space="preserve"> in London, included new offences such as the facilitation of terrorist </w:t>
      </w:r>
      <w:r w:rsidRPr="00C9417E">
        <w:rPr>
          <w:rFonts w:cs="Arial"/>
        </w:rPr>
        <w:lastRenderedPageBreak/>
        <w:t>activity and the circulation of terrorist materials.  At the time, the length of detention without charge was increased to 28 days, making it the longest at the time in Europe (Innes, 2020).  Opponents contended that this was a violation of civil freedoms and that it had the potential to alienate communities (Greer, 2021).</w:t>
      </w:r>
    </w:p>
    <w:p w14:paraId="10163C9F" w14:textId="36FEF548" w:rsidR="006E6C4A" w:rsidRPr="00C9417E" w:rsidRDefault="006E6C4A" w:rsidP="00C9417E">
      <w:pPr>
        <w:spacing w:line="360" w:lineRule="auto"/>
        <w:jc w:val="both"/>
        <w:rPr>
          <w:rFonts w:cs="Arial"/>
          <w:b/>
          <w:bCs/>
        </w:rPr>
      </w:pPr>
      <w:r w:rsidRPr="00C9417E">
        <w:rPr>
          <w:rFonts w:cs="Arial"/>
        </w:rPr>
        <w:t xml:space="preserve"> </w:t>
      </w:r>
      <w:r w:rsidRPr="00C9417E">
        <w:rPr>
          <w:rFonts w:cs="Arial"/>
          <w:b/>
          <w:bCs/>
        </w:rPr>
        <w:t xml:space="preserve">Prevent Duty is a provision of the </w:t>
      </w:r>
      <w:r w:rsidR="00D963FC" w:rsidRPr="00C9417E">
        <w:rPr>
          <w:rFonts w:cs="Arial"/>
          <w:b/>
          <w:bCs/>
        </w:rPr>
        <w:t>Counterterrorism</w:t>
      </w:r>
      <w:r w:rsidRPr="00C9417E">
        <w:rPr>
          <w:rFonts w:cs="Arial"/>
          <w:b/>
          <w:bCs/>
        </w:rPr>
        <w:t xml:space="preserve"> and Security Act of 2015.</w:t>
      </w:r>
    </w:p>
    <w:p w14:paraId="61A797AA" w14:textId="0E953C9E" w:rsidR="006E6C4A" w:rsidRPr="00C9417E" w:rsidRDefault="006E6C4A" w:rsidP="00C9417E">
      <w:pPr>
        <w:spacing w:line="360" w:lineRule="auto"/>
        <w:jc w:val="both"/>
        <w:rPr>
          <w:rFonts w:cs="Arial"/>
        </w:rPr>
      </w:pPr>
      <w:r w:rsidRPr="00C9417E">
        <w:rPr>
          <w:rFonts w:cs="Arial"/>
        </w:rPr>
        <w:t xml:space="preserve"> The Prevent Duty was established by the </w:t>
      </w:r>
      <w:r w:rsidR="00D963FC" w:rsidRPr="00C9417E">
        <w:rPr>
          <w:rFonts w:cs="Arial"/>
        </w:rPr>
        <w:t>Counterterrorism</w:t>
      </w:r>
      <w:r w:rsidRPr="00C9417E">
        <w:rPr>
          <w:rFonts w:cs="Arial"/>
        </w:rPr>
        <w:t xml:space="preserve"> and Security Act of 2015, which mandated that public sector institutions, such as schools, universities, and NHS services, to identify and report individuals who are at risk of radicalisation (Home Office, 2015).  Prevent has been criticised for targeting Muslim communities disproportionately and turning teachers into "surveillance agents" (Thomas, 2022). This is </w:t>
      </w:r>
      <w:r w:rsidR="00D963FC" w:rsidRPr="00C9417E">
        <w:rPr>
          <w:rFonts w:cs="Arial"/>
        </w:rPr>
        <w:t>even though</w:t>
      </w:r>
      <w:r w:rsidRPr="00C9417E">
        <w:rPr>
          <w:rFonts w:cs="Arial"/>
        </w:rPr>
        <w:t xml:space="preserve"> the program's primary objective is to prevent extremism at an early stage.  On the other hand, proponents claim that it helps protect vulnerable persons and avoids radicalism within the population.</w:t>
      </w:r>
    </w:p>
    <w:p w14:paraId="57915F3C" w14:textId="77777777" w:rsidR="006E6C4A" w:rsidRPr="00C9417E" w:rsidRDefault="006E6C4A" w:rsidP="00C9417E">
      <w:pPr>
        <w:spacing w:line="360" w:lineRule="auto"/>
        <w:jc w:val="both"/>
        <w:rPr>
          <w:rFonts w:cs="Arial"/>
        </w:rPr>
      </w:pPr>
    </w:p>
    <w:p w14:paraId="2487396D" w14:textId="38D40E48" w:rsidR="006E6C4A" w:rsidRPr="00C9417E" w:rsidRDefault="006E6C4A" w:rsidP="00C9417E">
      <w:pPr>
        <w:spacing w:line="360" w:lineRule="auto"/>
        <w:jc w:val="both"/>
        <w:rPr>
          <w:rFonts w:cs="Arial"/>
          <w:b/>
          <w:bCs/>
          <w:color w:val="000000"/>
        </w:rPr>
      </w:pPr>
      <w:r w:rsidRPr="00C9417E">
        <w:rPr>
          <w:rFonts w:cs="Arial"/>
          <w:b/>
          <w:bCs/>
          <w:color w:val="000000"/>
        </w:rPr>
        <w:t>Counter-Terrorism and Border Security Act 2019</w:t>
      </w:r>
    </w:p>
    <w:p w14:paraId="10F33E4A" w14:textId="6DE7FAC2" w:rsidR="006E6C4A" w:rsidRPr="00C9417E" w:rsidRDefault="006E6C4A" w:rsidP="00C9417E">
      <w:pPr>
        <w:spacing w:line="360" w:lineRule="auto"/>
        <w:jc w:val="both"/>
        <w:rPr>
          <w:rFonts w:cs="Arial"/>
        </w:rPr>
      </w:pPr>
      <w:r w:rsidRPr="00C9417E">
        <w:rPr>
          <w:rFonts w:cs="Arial"/>
        </w:rPr>
        <w:t>This Act was a response to the rise of extremism on the internet and the presence of foreign fighters.  According to Innes (2021), it made it illegal to watch extremist content on the internet and gave law enforcement the authority to stop, question, and detain persons at borders without any suspicion of having committed a crime.  The argument being out by civil rights organisations was that it muddied the line between thought and illegal behaviour</w:t>
      </w:r>
      <w:r w:rsidRPr="00C9417E">
        <w:rPr>
          <w:rFonts w:cs="Arial"/>
        </w:rPr>
        <w:t>.</w:t>
      </w:r>
    </w:p>
    <w:p w14:paraId="4FC467E8" w14:textId="77777777" w:rsidR="00FF330B" w:rsidRPr="00C9417E" w:rsidRDefault="00FF330B" w:rsidP="00C9417E">
      <w:pPr>
        <w:spacing w:line="360" w:lineRule="auto"/>
        <w:jc w:val="both"/>
        <w:rPr>
          <w:rFonts w:cs="Arial"/>
          <w:b/>
          <w:bCs/>
        </w:rPr>
      </w:pPr>
    </w:p>
    <w:p w14:paraId="4C40FF6C" w14:textId="3C75F10A" w:rsidR="006E6C4A" w:rsidRPr="00C9417E" w:rsidRDefault="006E6C4A" w:rsidP="00C9417E">
      <w:pPr>
        <w:spacing w:line="360" w:lineRule="auto"/>
        <w:jc w:val="both"/>
        <w:rPr>
          <w:rFonts w:cs="Arial"/>
          <w:b/>
          <w:bCs/>
          <w:color w:val="000000"/>
        </w:rPr>
      </w:pPr>
      <w:r w:rsidRPr="00C9417E">
        <w:rPr>
          <w:rFonts w:cs="Arial"/>
          <w:b/>
          <w:bCs/>
          <w:color w:val="000000"/>
        </w:rPr>
        <w:t>Case Study: Fishmongers’ Hall Attack (2019)</w:t>
      </w:r>
    </w:p>
    <w:p w14:paraId="6C96902B" w14:textId="23C62EEA" w:rsidR="006E6C4A" w:rsidRPr="00C9417E" w:rsidRDefault="006E6C4A" w:rsidP="00C9417E">
      <w:pPr>
        <w:spacing w:line="360" w:lineRule="auto"/>
        <w:jc w:val="both"/>
        <w:rPr>
          <w:rFonts w:cs="Arial"/>
        </w:rPr>
      </w:pPr>
      <w:r w:rsidRPr="00C9417E">
        <w:rPr>
          <w:rFonts w:cs="Arial"/>
        </w:rPr>
        <w:t xml:space="preserve">During a Cambridge University prisoner rehabilitation event that took place at Fishmongers' Hall in London on November 29, 2019, Usman Khan, a convicted terrorist who was 28 years old at the time, carried out a deadly attack during the event.  Khan was found guilty in 2012 when he was found to have participated in a scheme that was intended to target the London Stock Exchange.  Initially given a sentence of indeterminate sentence for public protection (IPP), this was later changed to a sentence of sixteen years </w:t>
      </w:r>
      <w:r w:rsidRPr="00C9417E">
        <w:rPr>
          <w:rFonts w:cs="Arial"/>
        </w:rPr>
        <w:lastRenderedPageBreak/>
        <w:t>with automatic release after eight years in accordance with the Criminal Justice Act of 2003 (BBC News, 2020).</w:t>
      </w:r>
    </w:p>
    <w:p w14:paraId="504BFD3A" w14:textId="0BFB576A" w:rsidR="006E6C4A" w:rsidRPr="00C9417E" w:rsidRDefault="006E6C4A" w:rsidP="00C9417E">
      <w:pPr>
        <w:spacing w:line="360" w:lineRule="auto"/>
        <w:jc w:val="both"/>
        <w:rPr>
          <w:rFonts w:cs="Arial"/>
          <w:b/>
          <w:bCs/>
          <w:color w:val="000000"/>
        </w:rPr>
      </w:pPr>
      <w:r w:rsidRPr="00C9417E">
        <w:rPr>
          <w:rFonts w:cs="Arial"/>
          <w:b/>
          <w:bCs/>
          <w:color w:val="000000"/>
        </w:rPr>
        <w:t>Failures in Risk Assessment and Supervision</w:t>
      </w:r>
    </w:p>
    <w:p w14:paraId="63A0F14E" w14:textId="3FDD32DF" w:rsidR="007E203E" w:rsidRPr="00C9417E" w:rsidRDefault="008F4C2C" w:rsidP="00C9417E">
      <w:pPr>
        <w:spacing w:line="360" w:lineRule="auto"/>
        <w:jc w:val="both"/>
        <w:rPr>
          <w:rFonts w:cs="Arial"/>
        </w:rPr>
      </w:pPr>
      <w:r w:rsidRPr="00C9417E">
        <w:rPr>
          <w:rFonts w:cs="Arial"/>
        </w:rPr>
        <w:t>Although Khan was under MAPPA supervision and electronically tagged, the attack was not prevented. Post-incident inquiries exposed systemic shortcomings in offender management. Khan was viewed as compliant on paper, yet this compliance was superficial; he had not engaged in any meaningful deradicalisation process and continued to hold extremist views (Home Office, 2022).</w:t>
      </w:r>
      <w:r w:rsidR="007E203E" w:rsidRPr="00C9417E">
        <w:rPr>
          <w:rFonts w:cs="Arial"/>
        </w:rPr>
        <w:t xml:space="preserve"> </w:t>
      </w:r>
      <w:r w:rsidR="007E203E" w:rsidRPr="00C9417E">
        <w:rPr>
          <w:rFonts w:cs="Arial"/>
        </w:rPr>
        <w:t>There was a lack of communication between agencies. MI5 had information that showed extremist attitudes were still present, however this was not properly shared with probation services (BBC News, 2021). Too much dependence on laws and licence conditions: The authorities thought that surveillance and licence limits were enough, when they should have been focussing on ideological detachment.</w:t>
      </w:r>
    </w:p>
    <w:p w14:paraId="2B977684" w14:textId="6D524E24" w:rsidR="009525FF" w:rsidRPr="00C9417E" w:rsidRDefault="009525FF" w:rsidP="00C9417E">
      <w:pPr>
        <w:spacing w:line="360" w:lineRule="auto"/>
        <w:jc w:val="both"/>
        <w:rPr>
          <w:rFonts w:cs="Arial"/>
          <w:b/>
          <w:bCs/>
          <w:color w:val="000000"/>
        </w:rPr>
      </w:pPr>
      <w:r w:rsidRPr="00C9417E">
        <w:rPr>
          <w:rFonts w:cs="Arial"/>
          <w:b/>
          <w:bCs/>
          <w:color w:val="000000"/>
        </w:rPr>
        <w:t>MAPPA, MI5 and Inter-agency Failures</w:t>
      </w:r>
    </w:p>
    <w:p w14:paraId="75501E0A" w14:textId="1A68C1BD" w:rsidR="009525FF" w:rsidRPr="00C9417E" w:rsidRDefault="00FF330B" w:rsidP="00C9417E">
      <w:pPr>
        <w:spacing w:line="360" w:lineRule="auto"/>
        <w:jc w:val="both"/>
        <w:rPr>
          <w:rFonts w:cs="Arial"/>
        </w:rPr>
      </w:pPr>
      <w:r w:rsidRPr="00C9417E">
        <w:rPr>
          <w:rFonts w:cs="Arial"/>
        </w:rPr>
        <w:t xml:space="preserve">Multi-Agency Public Protection Arrangements (MAPPA) were established to monitor offenders who continue to present a risk upon their release from jail, including terrorists and violent criminals.  </w:t>
      </w:r>
      <w:r w:rsidRPr="00C9417E">
        <w:rPr>
          <w:rFonts w:cs="Arial"/>
        </w:rPr>
        <w:t>It</w:t>
      </w:r>
      <w:r w:rsidRPr="00C9417E">
        <w:rPr>
          <w:rFonts w:cs="Arial"/>
        </w:rPr>
        <w:t xml:space="preserve"> should unite the police, probation officials, prison services, and, if necessary, MI5 (Her Majesty’s Inspectorate of Probation, 2021).  Level 3 of the MAPPA is for people who are a real danger and need to be closely watched by many agencies.</w:t>
      </w:r>
      <w:r w:rsidR="00D963FC" w:rsidRPr="00C9417E">
        <w:rPr>
          <w:rFonts w:cs="Arial"/>
        </w:rPr>
        <w:t xml:space="preserve"> </w:t>
      </w:r>
      <w:r w:rsidRPr="00C9417E">
        <w:rPr>
          <w:rFonts w:cs="Arial"/>
        </w:rPr>
        <w:t>Most meetings didn't focus on his thoughts, actions, or ties; instead, they were about standard licensing requirements, like checking to see if he arrived home on time, if his monitoring device worked, and if he proved that he lived in the address given (BBC News, 2021).A common phrase used during the investigation was "someone else was managing the risk," which meant that not everyone was fully responsible.</w:t>
      </w:r>
      <w:r w:rsidR="00D963FC" w:rsidRPr="00C9417E">
        <w:rPr>
          <w:rFonts w:cs="Arial"/>
        </w:rPr>
        <w:t xml:space="preserve"> </w:t>
      </w:r>
      <w:r w:rsidRPr="00C9417E">
        <w:rPr>
          <w:rFonts w:cs="Arial"/>
        </w:rPr>
        <w:t>This was not only an individual mistake, but indicative of a more profound structural issue: the system presumes that cooperation occurs organically; but, in the absence of shared accountability, adequate training, or effective information-sharing technologies, agencies ultimately operate alongside one another rather than in collaboration.  According to Innes (2021), it manifests as “cooperation on paper, not in practice.”</w:t>
      </w:r>
    </w:p>
    <w:p w14:paraId="19953D23" w14:textId="6A5D7EB0" w:rsidR="007E203E" w:rsidRPr="00C9417E" w:rsidRDefault="007E203E" w:rsidP="00C9417E">
      <w:pPr>
        <w:spacing w:line="360" w:lineRule="auto"/>
        <w:jc w:val="both"/>
        <w:rPr>
          <w:rFonts w:cs="Arial"/>
          <w:b/>
          <w:bCs/>
          <w:color w:val="000000"/>
        </w:rPr>
      </w:pPr>
      <w:r w:rsidRPr="00C9417E">
        <w:rPr>
          <w:rFonts w:cs="Arial"/>
          <w:b/>
          <w:bCs/>
          <w:color w:val="000000"/>
        </w:rPr>
        <w:t>Government Response</w:t>
      </w:r>
    </w:p>
    <w:p w14:paraId="5750FB53" w14:textId="790E03AB" w:rsidR="007E203E" w:rsidRPr="00C9417E" w:rsidRDefault="007E203E" w:rsidP="00C9417E">
      <w:pPr>
        <w:spacing w:line="360" w:lineRule="auto"/>
        <w:rPr>
          <w:rFonts w:cs="Arial"/>
          <w:color w:val="000000"/>
        </w:rPr>
      </w:pPr>
      <w:r w:rsidRPr="00C9417E">
        <w:rPr>
          <w:rFonts w:cs="Arial"/>
          <w:color w:val="000000"/>
        </w:rPr>
        <w:lastRenderedPageBreak/>
        <w:t xml:space="preserve">The attack brought about the </w:t>
      </w:r>
      <w:r w:rsidR="00D963FC" w:rsidRPr="00C9417E">
        <w:rPr>
          <w:rFonts w:cs="Arial"/>
          <w:color w:val="000000"/>
        </w:rPr>
        <w:t>Counterterrorism</w:t>
      </w:r>
      <w:r w:rsidRPr="00C9417E">
        <w:rPr>
          <w:rFonts w:cs="Arial"/>
          <w:color w:val="000000"/>
        </w:rPr>
        <w:t xml:space="preserve"> and Sentencing Act 2021. This law put an end to automatic early release for people who commit terrorist crimes.</w:t>
      </w:r>
      <w:r w:rsidRPr="00C9417E">
        <w:rPr>
          <w:rFonts w:cs="Arial"/>
          <w:color w:val="000000"/>
        </w:rPr>
        <w:br/>
        <w:t>Added</w:t>
      </w:r>
      <w:r w:rsidR="00C9417E" w:rsidRPr="00C9417E">
        <w:rPr>
          <w:rFonts w:cs="Arial"/>
          <w:color w:val="000000"/>
        </w:rPr>
        <w:t xml:space="preserve"> l</w:t>
      </w:r>
      <w:r w:rsidRPr="00C9417E">
        <w:rPr>
          <w:rFonts w:cs="Arial"/>
          <w:color w:val="000000"/>
        </w:rPr>
        <w:t>onger prison terms and longer licence periods.</w:t>
      </w:r>
      <w:r w:rsidRPr="00C9417E">
        <w:rPr>
          <w:rFonts w:cs="Arial"/>
          <w:color w:val="000000"/>
        </w:rPr>
        <w:br/>
        <w:t>The Serious Terrorism Sentence was made for people who are likely to commit serious crimes(HomeOffice,2021).</w:t>
      </w:r>
      <w:r w:rsidRPr="00C9417E">
        <w:rPr>
          <w:rFonts w:cs="Arial"/>
          <w:color w:val="000000"/>
        </w:rPr>
        <w:br/>
        <w:t>The administration said these improvements made people safer, but critics said the reforms were too focused on punishment and not enough on rehabilitation (Qureshi, 2022).</w:t>
      </w:r>
    </w:p>
    <w:p w14:paraId="30990A06" w14:textId="73214241" w:rsidR="007E203E" w:rsidRPr="00C9417E" w:rsidRDefault="007E203E" w:rsidP="00C9417E">
      <w:pPr>
        <w:spacing w:line="360" w:lineRule="auto"/>
        <w:jc w:val="both"/>
        <w:rPr>
          <w:rFonts w:cs="Arial"/>
          <w:b/>
          <w:bCs/>
          <w:color w:val="000000"/>
        </w:rPr>
      </w:pPr>
      <w:r w:rsidRPr="00C9417E">
        <w:rPr>
          <w:rFonts w:cs="Arial"/>
          <w:b/>
          <w:bCs/>
          <w:color w:val="000000"/>
        </w:rPr>
        <w:t>Critical Perspectives</w:t>
      </w:r>
    </w:p>
    <w:p w14:paraId="40CAC193" w14:textId="77777777" w:rsidR="007E203E" w:rsidRPr="007E203E" w:rsidRDefault="007E203E" w:rsidP="00C9417E">
      <w:pPr>
        <w:spacing w:before="100" w:beforeAutospacing="1" w:after="100" w:afterAutospacing="1" w:line="360" w:lineRule="auto"/>
        <w:jc w:val="both"/>
        <w:outlineLvl w:val="2"/>
        <w:rPr>
          <w:rFonts w:eastAsia="Times New Roman" w:cs="Arial"/>
          <w:b/>
          <w:bCs/>
          <w:color w:val="000000"/>
          <w:kern w:val="0"/>
          <w:lang w:eastAsia="en-GB"/>
          <w14:ligatures w14:val="none"/>
        </w:rPr>
      </w:pPr>
      <w:r w:rsidRPr="007E203E">
        <w:rPr>
          <w:rFonts w:eastAsia="Times New Roman" w:cs="Arial"/>
          <w:b/>
          <w:bCs/>
          <w:color w:val="000000"/>
          <w:kern w:val="0"/>
          <w:lang w:eastAsia="en-GB"/>
          <w14:ligatures w14:val="none"/>
        </w:rPr>
        <w:t>Punishment Over Rehabilitation</w:t>
      </w:r>
    </w:p>
    <w:p w14:paraId="028D4786" w14:textId="2A79D2DA" w:rsidR="007E203E" w:rsidRPr="00C9417E" w:rsidRDefault="007E203E" w:rsidP="00C9417E">
      <w:pPr>
        <w:spacing w:line="360" w:lineRule="auto"/>
        <w:jc w:val="both"/>
        <w:rPr>
          <w:rFonts w:cs="Arial"/>
        </w:rPr>
      </w:pPr>
      <w:r w:rsidRPr="00C9417E">
        <w:rPr>
          <w:rFonts w:cs="Arial"/>
        </w:rPr>
        <w:t>Academic literature indicates that UK counter-terrorism policies are increasingly orientated towards punishment rather than rehabilitation.  Walker (2022) observes a transition towards incapacitation and control, whereas Silke (2020) contends that extremism is both ideological and psychological, asserting that imprisonment alone fails to alter beliefs.  Greer (2021) contends that Khan’s story illustrates that adherence to licensing restrictions does not equate to deradicalisation.</w:t>
      </w:r>
    </w:p>
    <w:p w14:paraId="332807E7" w14:textId="094672A8" w:rsidR="007E203E" w:rsidRPr="00C9417E" w:rsidRDefault="007E203E" w:rsidP="00C9417E">
      <w:pPr>
        <w:spacing w:line="360" w:lineRule="auto"/>
        <w:jc w:val="both"/>
        <w:rPr>
          <w:rFonts w:cs="Arial"/>
          <w:b/>
          <w:bCs/>
          <w:color w:val="000000"/>
        </w:rPr>
      </w:pPr>
      <w:r w:rsidRPr="00C9417E">
        <w:rPr>
          <w:rFonts w:cs="Arial"/>
          <w:b/>
          <w:bCs/>
          <w:color w:val="000000"/>
        </w:rPr>
        <w:t>Fragmented Multi-Agency Cooperation</w:t>
      </w:r>
    </w:p>
    <w:p w14:paraId="6E8DFB0D" w14:textId="21E3400B" w:rsidR="007E203E" w:rsidRPr="00C9417E" w:rsidRDefault="007E203E" w:rsidP="00C9417E">
      <w:pPr>
        <w:spacing w:line="360" w:lineRule="auto"/>
        <w:jc w:val="both"/>
        <w:rPr>
          <w:rFonts w:cs="Arial"/>
        </w:rPr>
      </w:pPr>
      <w:r w:rsidRPr="00C9417E">
        <w:rPr>
          <w:rFonts w:cs="Arial"/>
        </w:rPr>
        <w:t>The Fishmongers' Hall case underscored the deficiencies in communication among the police, MI5, and probation services.  Innes (2021) observes that, despite the assumption of collaborative working in legislation, agencies are typically constrained by bureaucratic structures and inadequate funding.  MAPPA was criticised for its dearth of specialised counter-terrorism expertise.</w:t>
      </w:r>
    </w:p>
    <w:p w14:paraId="35B0C0AB" w14:textId="752A3958" w:rsidR="007E203E" w:rsidRPr="00C9417E" w:rsidRDefault="007E203E" w:rsidP="00C9417E">
      <w:pPr>
        <w:spacing w:line="360" w:lineRule="auto"/>
        <w:jc w:val="both"/>
        <w:rPr>
          <w:rFonts w:cs="Arial"/>
          <w:b/>
          <w:bCs/>
          <w:color w:val="000000"/>
        </w:rPr>
      </w:pPr>
      <w:r w:rsidRPr="00C9417E">
        <w:rPr>
          <w:rFonts w:cs="Arial"/>
          <w:b/>
          <w:bCs/>
          <w:color w:val="000000"/>
        </w:rPr>
        <w:t>Civil Liberties and Community Trust</w:t>
      </w:r>
    </w:p>
    <w:p w14:paraId="0862B59E" w14:textId="226328ED" w:rsidR="007E203E" w:rsidRPr="00C9417E" w:rsidRDefault="007E203E" w:rsidP="00C9417E">
      <w:pPr>
        <w:spacing w:line="360" w:lineRule="auto"/>
        <w:jc w:val="both"/>
        <w:rPr>
          <w:rFonts w:cs="Arial"/>
        </w:rPr>
      </w:pPr>
      <w:r w:rsidRPr="00C9417E">
        <w:rPr>
          <w:rFonts w:cs="Arial"/>
        </w:rPr>
        <w:t>The Terrorism Act of 2000 and Prevent Duty have prompted concerns about human rights.  The Joint Committee on Human Rights (2022) contends that wide definitions of terrorism risk criminalising dissent.  Prevent has been connected to Muslim community mistrust and allegations of racial profiling (Thomas, 2022).  This has the potential to weaken community and government cooperation, which is critical in counter-terrorism efforts.</w:t>
      </w:r>
    </w:p>
    <w:p w14:paraId="55C0EDA6" w14:textId="172F6092" w:rsidR="00D963FC" w:rsidRPr="00C9417E" w:rsidRDefault="00D963FC" w:rsidP="00C9417E">
      <w:pPr>
        <w:spacing w:line="360" w:lineRule="auto"/>
        <w:jc w:val="both"/>
        <w:rPr>
          <w:rFonts w:cs="Arial"/>
          <w:b/>
          <w:bCs/>
          <w:color w:val="000000"/>
        </w:rPr>
      </w:pPr>
      <w:r w:rsidRPr="00C9417E">
        <w:rPr>
          <w:rFonts w:cs="Arial"/>
          <w:b/>
          <w:bCs/>
          <w:color w:val="000000"/>
        </w:rPr>
        <w:lastRenderedPageBreak/>
        <w:t>i</w:t>
      </w:r>
      <w:r w:rsidRPr="00C9417E">
        <w:rPr>
          <w:rFonts w:cs="Arial"/>
          <w:b/>
          <w:bCs/>
          <w:color w:val="000000"/>
        </w:rPr>
        <w:t>s legislation enough to prevent terrorism, or do we also need rehabilitation and community-based approaches?</w:t>
      </w:r>
    </w:p>
    <w:p w14:paraId="29F44A36" w14:textId="5B3CD5D3" w:rsidR="00D963FC" w:rsidRPr="00C9417E" w:rsidRDefault="00D963FC" w:rsidP="00C9417E">
      <w:pPr>
        <w:spacing w:line="360" w:lineRule="auto"/>
        <w:jc w:val="both"/>
        <w:rPr>
          <w:rFonts w:cs="Arial"/>
        </w:rPr>
      </w:pPr>
      <w:r w:rsidRPr="00C9417E">
        <w:rPr>
          <w:rFonts w:cs="Arial"/>
        </w:rPr>
        <w:t xml:space="preserve">An enduring debate within academia frequently resurfaces: should the state prioritise rehabilitation and community-based initiatives alongside legislation aimed at effectively preventing terrorist attacks?   The regulations in the UK tightened following the enactment of the </w:t>
      </w:r>
      <w:r w:rsidRPr="00C9417E">
        <w:rPr>
          <w:rFonts w:cs="Arial"/>
        </w:rPr>
        <w:t>Counterterrorism</w:t>
      </w:r>
      <w:r w:rsidRPr="00C9417E">
        <w:rPr>
          <w:rFonts w:cs="Arial"/>
        </w:rPr>
        <w:t xml:space="preserve"> and Sentencing Act of 2021.  This encompassed extended prison sentences and additional restrictions.   Conversely, some scholars argue that laws can only regulate actions, not beliefs.    According to Silke (2020), radical ideology can persist even when an individual is incarcerated or under surveillance.  Indeed, it can establish itself and become more resilient in environments where individuals perceive themselves as unjustly singled out or isolated.</w:t>
      </w:r>
      <w:r w:rsidRPr="00C9417E">
        <w:rPr>
          <w:rFonts w:cs="Arial"/>
        </w:rPr>
        <w:t xml:space="preserve"> </w:t>
      </w:r>
      <w:r w:rsidRPr="00C9417E">
        <w:rPr>
          <w:rFonts w:cs="Arial"/>
        </w:rPr>
        <w:t>Building trust within the community is an important part of fighting terrorism that people often forget about.  Considering that certain groups view the Prevent strategy as more of a surveillance tool than a tool to protect them, this becomes even more important (Thomas, 2022).    Individuals susceptible to radicalisation often forgo any form of support system.   So, effective counter-terrorism strategies need to include strong legislative measures to protect the public, as well as credible rehabilitation programs, long-term psychiatric care, and meaningful community engagement.   If this balance isn't kept, laws could end up being more reactive than preventive.</w:t>
      </w:r>
    </w:p>
    <w:p w14:paraId="33176AC6" w14:textId="7682CCE3" w:rsidR="007E203E" w:rsidRPr="00C9417E" w:rsidRDefault="007E203E" w:rsidP="00C9417E">
      <w:pPr>
        <w:spacing w:line="360" w:lineRule="auto"/>
        <w:jc w:val="both"/>
        <w:rPr>
          <w:rFonts w:cs="Arial"/>
          <w:b/>
          <w:bCs/>
          <w:color w:val="000000"/>
        </w:rPr>
      </w:pPr>
      <w:r w:rsidRPr="00C9417E">
        <w:rPr>
          <w:rFonts w:cs="Arial"/>
          <w:b/>
          <w:bCs/>
          <w:color w:val="000000"/>
        </w:rPr>
        <w:t>Conclusion</w:t>
      </w:r>
    </w:p>
    <w:p w14:paraId="42528124" w14:textId="77777777" w:rsidR="00817240" w:rsidRPr="00C9417E" w:rsidRDefault="00817240" w:rsidP="00C9417E">
      <w:pPr>
        <w:spacing w:line="360" w:lineRule="auto"/>
        <w:jc w:val="both"/>
        <w:rPr>
          <w:rFonts w:cs="Arial"/>
        </w:rPr>
      </w:pPr>
      <w:r w:rsidRPr="00C9417E">
        <w:rPr>
          <w:rFonts w:cs="Arial"/>
        </w:rPr>
        <w:t>The United Kingdom has established a robust legal framework to counter terrorism, underpinned by legislation aimed at preventing radicalisation, supervising criminals, and safeguarding the public.  The Fishmongers’ Hall assault exposed significant deficiencies in the implementation of legislation.  Usman Khan's story illustrated that judicial oversight devoid of rehabilitation is ineffectual. The episode highlighted three key concerns: a reliance on legal mechanisms for ideological change, insufficient collaboration among agencies, and ongoing tensions between security measures and civil liberties.</w:t>
      </w:r>
    </w:p>
    <w:p w14:paraId="4893E11C" w14:textId="7231214F" w:rsidR="007E203E" w:rsidRPr="00C9417E" w:rsidRDefault="00817240" w:rsidP="00C9417E">
      <w:pPr>
        <w:spacing w:line="360" w:lineRule="auto"/>
        <w:jc w:val="both"/>
        <w:rPr>
          <w:rFonts w:cs="Arial"/>
        </w:rPr>
      </w:pPr>
      <w:r w:rsidRPr="00C9417E">
        <w:rPr>
          <w:rFonts w:cs="Arial"/>
        </w:rPr>
        <w:t xml:space="preserve"> Legislation and oversight alone may not fully address the complexities of effective counterterrorism efforts.    It is essential to achieve a harmonious equilibrium between </w:t>
      </w:r>
      <w:r w:rsidRPr="00C9417E">
        <w:rPr>
          <w:rFonts w:cs="Arial"/>
        </w:rPr>
        <w:lastRenderedPageBreak/>
        <w:t>safeguarding human rights and ensuring public safety, while also promoting ongoing deradicalisation efforts, fostering community engagement, and improving intelligence collaboration among various agencies.</w:t>
      </w:r>
    </w:p>
    <w:p w14:paraId="12E1B3CF" w14:textId="77777777" w:rsidR="00C9417E" w:rsidRPr="00C9417E" w:rsidRDefault="00C9417E" w:rsidP="00C9417E">
      <w:pPr>
        <w:spacing w:line="360" w:lineRule="auto"/>
        <w:jc w:val="both"/>
        <w:rPr>
          <w:rFonts w:cs="Arial"/>
        </w:rPr>
      </w:pPr>
    </w:p>
    <w:p w14:paraId="29F69E33" w14:textId="77777777" w:rsidR="00C9417E" w:rsidRPr="00C9417E" w:rsidRDefault="00C9417E" w:rsidP="00C9417E">
      <w:pPr>
        <w:spacing w:before="100" w:beforeAutospacing="1" w:after="100" w:afterAutospacing="1" w:line="360" w:lineRule="auto"/>
        <w:jc w:val="both"/>
        <w:outlineLvl w:val="1"/>
        <w:rPr>
          <w:rFonts w:eastAsia="Times New Roman" w:cs="Arial"/>
          <w:b/>
          <w:bCs/>
          <w:color w:val="000000"/>
          <w:kern w:val="0"/>
          <w:lang w:eastAsia="en-GB"/>
          <w14:ligatures w14:val="none"/>
        </w:rPr>
      </w:pPr>
    </w:p>
    <w:p w14:paraId="089CD252" w14:textId="6ABE84B9" w:rsidR="00C9417E" w:rsidRPr="00C9417E" w:rsidRDefault="00C9417E" w:rsidP="00C9417E">
      <w:pPr>
        <w:spacing w:before="100" w:beforeAutospacing="1" w:after="100" w:afterAutospacing="1" w:line="360" w:lineRule="auto"/>
        <w:jc w:val="both"/>
        <w:outlineLvl w:val="1"/>
        <w:rPr>
          <w:rFonts w:eastAsia="Times New Roman" w:cs="Arial"/>
          <w:b/>
          <w:bCs/>
          <w:color w:val="000000"/>
          <w:kern w:val="0"/>
          <w:lang w:eastAsia="en-GB"/>
          <w14:ligatures w14:val="none"/>
        </w:rPr>
      </w:pPr>
      <w:r w:rsidRPr="00C9417E">
        <w:rPr>
          <w:rFonts w:eastAsia="Times New Roman" w:cs="Arial"/>
          <w:b/>
          <w:bCs/>
          <w:color w:val="000000"/>
          <w:kern w:val="0"/>
          <w:lang w:eastAsia="en-GB"/>
          <w14:ligatures w14:val="none"/>
        </w:rPr>
        <w:t xml:space="preserve">References </w:t>
      </w:r>
    </w:p>
    <w:p w14:paraId="5054F43D"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Bartlett, J. and Miller, C. (2020)</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Online Radicalisation and the Role of Social Media</w:t>
      </w:r>
      <w:r w:rsidRPr="00C9417E">
        <w:rPr>
          <w:rFonts w:asciiTheme="minorHAnsi" w:hAnsiTheme="minorHAnsi" w:cs="Arial"/>
          <w:color w:val="000000"/>
        </w:rPr>
        <w:t>. London: Institute for Strategic Dialogue.</w:t>
      </w:r>
    </w:p>
    <w:p w14:paraId="662AB268" w14:textId="0B4E565D"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 xml:space="preserve">BBC News (2020) ‘Fishmongers’ Hall attack: Timeline of </w:t>
      </w:r>
      <w:r w:rsidRPr="00C9417E">
        <w:rPr>
          <w:rFonts w:asciiTheme="minorHAnsi" w:hAnsiTheme="minorHAnsi" w:cs="Arial"/>
          <w:color w:val="000000"/>
        </w:rPr>
        <w:t>events</w:t>
      </w:r>
      <w:r w:rsidRPr="00C9417E">
        <w:rPr>
          <w:rFonts w:asciiTheme="minorHAnsi" w:hAnsiTheme="minorHAnsi" w:cs="Arial"/>
          <w:color w:val="000000"/>
        </w:rPr>
        <w:t>. Available at:</w:t>
      </w:r>
      <w:r w:rsidRPr="00C9417E">
        <w:rPr>
          <w:rStyle w:val="apple-converted-space"/>
          <w:rFonts w:asciiTheme="minorHAnsi" w:eastAsiaTheme="majorEastAsia" w:hAnsiTheme="minorHAnsi" w:cs="Arial"/>
          <w:color w:val="000000"/>
        </w:rPr>
        <w:t> </w:t>
      </w:r>
      <w:hyperlink r:id="rId4" w:tgtFrame="_new" w:history="1">
        <w:r w:rsidRPr="00C9417E">
          <w:rPr>
            <w:rStyle w:val="Hyperlink"/>
            <w:rFonts w:asciiTheme="minorHAnsi" w:eastAsiaTheme="majorEastAsia" w:hAnsiTheme="minorHAnsi" w:cs="Arial"/>
          </w:rPr>
          <w:t>https://www.bbc.co.uk/</w:t>
        </w:r>
      </w:hyperlink>
    </w:p>
    <w:p w14:paraId="0F0B2F5A"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BBC News (2021) ‘London Bridge inquest: Failures in monitoring Usman Khan’. Available at:</w:t>
      </w:r>
      <w:r w:rsidRPr="00C9417E">
        <w:rPr>
          <w:rStyle w:val="apple-converted-space"/>
          <w:rFonts w:asciiTheme="minorHAnsi" w:eastAsiaTheme="majorEastAsia" w:hAnsiTheme="minorHAnsi" w:cs="Arial"/>
          <w:color w:val="000000"/>
        </w:rPr>
        <w:t> </w:t>
      </w:r>
      <w:hyperlink r:id="rId5" w:tgtFrame="_new" w:history="1">
        <w:r w:rsidRPr="00C9417E">
          <w:rPr>
            <w:rStyle w:val="Hyperlink"/>
            <w:rFonts w:asciiTheme="minorHAnsi" w:eastAsiaTheme="majorEastAsia" w:hAnsiTheme="minorHAnsi" w:cs="Arial"/>
          </w:rPr>
          <w:t>https://www.bbc.co.uk/</w:t>
        </w:r>
      </w:hyperlink>
    </w:p>
    <w:p w14:paraId="3B2454EE"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Greer, S. (2021) ‘Counterterrorism and human rights in the UK’,</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Criminal Law Review</w:t>
      </w:r>
      <w:r w:rsidRPr="00C9417E">
        <w:rPr>
          <w:rFonts w:asciiTheme="minorHAnsi" w:hAnsiTheme="minorHAnsi" w:cs="Arial"/>
          <w:color w:val="000000"/>
        </w:rPr>
        <w:t>, 4(2), pp. 87–104.</w:t>
      </w:r>
    </w:p>
    <w:p w14:paraId="7BDB0201"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Home Office (2015)</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Prevent Duty Guidance for England and Wales</w:t>
      </w:r>
      <w:r w:rsidRPr="00C9417E">
        <w:rPr>
          <w:rFonts w:asciiTheme="minorHAnsi" w:hAnsiTheme="minorHAnsi" w:cs="Arial"/>
          <w:color w:val="000000"/>
        </w:rPr>
        <w:t>. London: Home Office.</w:t>
      </w:r>
    </w:p>
    <w:p w14:paraId="1BE8CE83"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Home Office (2021)</w:t>
      </w:r>
      <w:r w:rsidRPr="00C9417E">
        <w:rPr>
          <w:rStyle w:val="apple-converted-space"/>
          <w:rFonts w:asciiTheme="minorHAnsi" w:eastAsiaTheme="majorEastAsia" w:hAnsiTheme="minorHAnsi" w:cs="Arial"/>
          <w:color w:val="000000"/>
        </w:rPr>
        <w:t> </w:t>
      </w:r>
      <w:proofErr w:type="gramStart"/>
      <w:r w:rsidRPr="00C9417E">
        <w:rPr>
          <w:rStyle w:val="Emphasis"/>
          <w:rFonts w:asciiTheme="minorHAnsi" w:eastAsiaTheme="majorEastAsia" w:hAnsiTheme="minorHAnsi" w:cs="Arial"/>
          <w:color w:val="000000"/>
        </w:rPr>
        <w:t>Counter-Terrorism</w:t>
      </w:r>
      <w:proofErr w:type="gramEnd"/>
      <w:r w:rsidRPr="00C9417E">
        <w:rPr>
          <w:rStyle w:val="Emphasis"/>
          <w:rFonts w:asciiTheme="minorHAnsi" w:eastAsiaTheme="majorEastAsia" w:hAnsiTheme="minorHAnsi" w:cs="Arial"/>
          <w:color w:val="000000"/>
        </w:rPr>
        <w:t xml:space="preserve"> and Sentencing Act 2021: Policy Overview</w:t>
      </w:r>
      <w:r w:rsidRPr="00C9417E">
        <w:rPr>
          <w:rFonts w:asciiTheme="minorHAnsi" w:hAnsiTheme="minorHAnsi" w:cs="Arial"/>
          <w:color w:val="000000"/>
        </w:rPr>
        <w:t>. London: HMSO.</w:t>
      </w:r>
    </w:p>
    <w:p w14:paraId="4D472B84"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Home Office (2022)</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Independent Review into the Management of Terrorist Offenders</w:t>
      </w:r>
      <w:r w:rsidRPr="00C9417E">
        <w:rPr>
          <w:rFonts w:asciiTheme="minorHAnsi" w:hAnsiTheme="minorHAnsi" w:cs="Arial"/>
          <w:color w:val="000000"/>
        </w:rPr>
        <w:t>. London: Home Office.</w:t>
      </w:r>
    </w:p>
    <w:p w14:paraId="3E5D3C12"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Innes, M. (2020) ‘Counter-terrorism policing and the intelligence-led approach’,</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Policing and Society</w:t>
      </w:r>
      <w:r w:rsidRPr="00C9417E">
        <w:rPr>
          <w:rFonts w:asciiTheme="minorHAnsi" w:hAnsiTheme="minorHAnsi" w:cs="Arial"/>
          <w:color w:val="000000"/>
        </w:rPr>
        <w:t>, 30(7), pp. 811–829.</w:t>
      </w:r>
    </w:p>
    <w:p w14:paraId="19D66591"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Innes, M. (2021)</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Policing Terrorism after Fishmongers’ Hall</w:t>
      </w:r>
      <w:r w:rsidRPr="00C9417E">
        <w:rPr>
          <w:rFonts w:asciiTheme="minorHAnsi" w:hAnsiTheme="minorHAnsi" w:cs="Arial"/>
          <w:color w:val="000000"/>
        </w:rPr>
        <w:t>. Cardiff: Cardiff University Press.</w:t>
      </w:r>
    </w:p>
    <w:p w14:paraId="51033C26"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lastRenderedPageBreak/>
        <w:t>Joint Committee on Human Rights (2022)</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Legislative Scrutiny: Counterterrorism and Human Rights</w:t>
      </w:r>
      <w:r w:rsidRPr="00C9417E">
        <w:rPr>
          <w:rFonts w:asciiTheme="minorHAnsi" w:hAnsiTheme="minorHAnsi" w:cs="Arial"/>
          <w:color w:val="000000"/>
        </w:rPr>
        <w:t>. London: The Stationery Office.</w:t>
      </w:r>
    </w:p>
    <w:p w14:paraId="04275ACB"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Qureshi, Y. (2022) ‘Ethical and legal challenges in counter-terrorism policing’,</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British Journal of Criminology</w:t>
      </w:r>
      <w:r w:rsidRPr="00C9417E">
        <w:rPr>
          <w:rFonts w:asciiTheme="minorHAnsi" w:hAnsiTheme="minorHAnsi" w:cs="Arial"/>
          <w:color w:val="000000"/>
        </w:rPr>
        <w:t>, 62(4), pp. 980–998.</w:t>
      </w:r>
    </w:p>
    <w:p w14:paraId="74D2E12E"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Silke, A. (2020)</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Prisons, Terrorism and Extremism: Critical Issues in Management, Radicalisation and Reform</w:t>
      </w:r>
      <w:r w:rsidRPr="00C9417E">
        <w:rPr>
          <w:rFonts w:asciiTheme="minorHAnsi" w:hAnsiTheme="minorHAnsi" w:cs="Arial"/>
          <w:color w:val="000000"/>
        </w:rPr>
        <w:t>. Abingdon: Routledge.</w:t>
      </w:r>
    </w:p>
    <w:p w14:paraId="59158DD5"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Thomas, P. (2022) ‘Reforming Prevent and counter-terrorism policy after Fishmongers’ Hall’,</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Journal of Policing Studies</w:t>
      </w:r>
      <w:r w:rsidRPr="00C9417E">
        <w:rPr>
          <w:rFonts w:asciiTheme="minorHAnsi" w:hAnsiTheme="minorHAnsi" w:cs="Arial"/>
          <w:color w:val="000000"/>
        </w:rPr>
        <w:t>, 15(3), pp. 215–233.</w:t>
      </w:r>
    </w:p>
    <w:p w14:paraId="2AEF026A" w14:textId="77777777" w:rsidR="00C9417E" w:rsidRPr="00C9417E" w:rsidRDefault="00C9417E" w:rsidP="00C9417E">
      <w:pPr>
        <w:pStyle w:val="NormalWeb"/>
        <w:spacing w:line="360" w:lineRule="auto"/>
        <w:jc w:val="both"/>
        <w:rPr>
          <w:rFonts w:asciiTheme="minorHAnsi" w:hAnsiTheme="minorHAnsi" w:cs="Arial"/>
          <w:color w:val="000000"/>
        </w:rPr>
      </w:pPr>
      <w:r w:rsidRPr="00C9417E">
        <w:rPr>
          <w:rFonts w:asciiTheme="minorHAnsi" w:hAnsiTheme="minorHAnsi" w:cs="Arial"/>
          <w:color w:val="000000"/>
        </w:rPr>
        <w:t>Walker, C. (2022)</w:t>
      </w:r>
      <w:r w:rsidRPr="00C9417E">
        <w:rPr>
          <w:rStyle w:val="apple-converted-space"/>
          <w:rFonts w:asciiTheme="minorHAnsi" w:eastAsiaTheme="majorEastAsia" w:hAnsiTheme="minorHAnsi" w:cs="Arial"/>
          <w:color w:val="000000"/>
        </w:rPr>
        <w:t> </w:t>
      </w:r>
      <w:r w:rsidRPr="00C9417E">
        <w:rPr>
          <w:rStyle w:val="Emphasis"/>
          <w:rFonts w:asciiTheme="minorHAnsi" w:eastAsiaTheme="majorEastAsia" w:hAnsiTheme="minorHAnsi" w:cs="Arial"/>
          <w:color w:val="000000"/>
        </w:rPr>
        <w:t>Counter-Terrorism Law and Practice</w:t>
      </w:r>
      <w:r w:rsidRPr="00C9417E">
        <w:rPr>
          <w:rFonts w:asciiTheme="minorHAnsi" w:hAnsiTheme="minorHAnsi" w:cs="Arial"/>
          <w:color w:val="000000"/>
        </w:rPr>
        <w:t xml:space="preserve">. 2nd </w:t>
      </w:r>
      <w:proofErr w:type="spellStart"/>
      <w:r w:rsidRPr="00C9417E">
        <w:rPr>
          <w:rFonts w:asciiTheme="minorHAnsi" w:hAnsiTheme="minorHAnsi" w:cs="Arial"/>
          <w:color w:val="000000"/>
        </w:rPr>
        <w:t>edn</w:t>
      </w:r>
      <w:proofErr w:type="spellEnd"/>
      <w:r w:rsidRPr="00C9417E">
        <w:rPr>
          <w:rFonts w:asciiTheme="minorHAnsi" w:hAnsiTheme="minorHAnsi" w:cs="Arial"/>
          <w:color w:val="000000"/>
        </w:rPr>
        <w:t>. Oxford: Oxford University Press.</w:t>
      </w:r>
    </w:p>
    <w:p w14:paraId="785C0587" w14:textId="77777777" w:rsidR="00C9417E" w:rsidRPr="00C9417E" w:rsidRDefault="00C9417E" w:rsidP="00C9417E">
      <w:pPr>
        <w:spacing w:line="360" w:lineRule="auto"/>
        <w:jc w:val="both"/>
        <w:rPr>
          <w:rFonts w:cs="Arial"/>
        </w:rPr>
      </w:pPr>
    </w:p>
    <w:sectPr w:rsidR="00C9417E" w:rsidRPr="00C94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C4A"/>
    <w:rsid w:val="001F1573"/>
    <w:rsid w:val="00395EFC"/>
    <w:rsid w:val="004B3597"/>
    <w:rsid w:val="006E6C4A"/>
    <w:rsid w:val="007E203E"/>
    <w:rsid w:val="00817240"/>
    <w:rsid w:val="008F4C2C"/>
    <w:rsid w:val="009525FF"/>
    <w:rsid w:val="00AF7BAD"/>
    <w:rsid w:val="00C9417E"/>
    <w:rsid w:val="00D963FC"/>
    <w:rsid w:val="00F16540"/>
    <w:rsid w:val="00FF3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389C33"/>
  <w15:chartTrackingRefBased/>
  <w15:docId w15:val="{17607D5E-984C-B14C-AA77-E00C1EB1B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C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6C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6C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C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C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C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C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C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C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C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6C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6C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C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C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C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C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C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C4A"/>
    <w:rPr>
      <w:rFonts w:eastAsiaTheme="majorEastAsia" w:cstheme="majorBidi"/>
      <w:color w:val="272727" w:themeColor="text1" w:themeTint="D8"/>
    </w:rPr>
  </w:style>
  <w:style w:type="paragraph" w:styleId="Title">
    <w:name w:val="Title"/>
    <w:basedOn w:val="Normal"/>
    <w:next w:val="Normal"/>
    <w:link w:val="TitleChar"/>
    <w:uiPriority w:val="10"/>
    <w:qFormat/>
    <w:rsid w:val="006E6C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C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C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C4A"/>
    <w:pPr>
      <w:spacing w:before="160"/>
      <w:jc w:val="center"/>
    </w:pPr>
    <w:rPr>
      <w:i/>
      <w:iCs/>
      <w:color w:val="404040" w:themeColor="text1" w:themeTint="BF"/>
    </w:rPr>
  </w:style>
  <w:style w:type="character" w:customStyle="1" w:styleId="QuoteChar">
    <w:name w:val="Quote Char"/>
    <w:basedOn w:val="DefaultParagraphFont"/>
    <w:link w:val="Quote"/>
    <w:uiPriority w:val="29"/>
    <w:rsid w:val="006E6C4A"/>
    <w:rPr>
      <w:i/>
      <w:iCs/>
      <w:color w:val="404040" w:themeColor="text1" w:themeTint="BF"/>
    </w:rPr>
  </w:style>
  <w:style w:type="paragraph" w:styleId="ListParagraph">
    <w:name w:val="List Paragraph"/>
    <w:basedOn w:val="Normal"/>
    <w:uiPriority w:val="34"/>
    <w:qFormat/>
    <w:rsid w:val="006E6C4A"/>
    <w:pPr>
      <w:ind w:left="720"/>
      <w:contextualSpacing/>
    </w:pPr>
  </w:style>
  <w:style w:type="character" w:styleId="IntenseEmphasis">
    <w:name w:val="Intense Emphasis"/>
    <w:basedOn w:val="DefaultParagraphFont"/>
    <w:uiPriority w:val="21"/>
    <w:qFormat/>
    <w:rsid w:val="006E6C4A"/>
    <w:rPr>
      <w:i/>
      <w:iCs/>
      <w:color w:val="0F4761" w:themeColor="accent1" w:themeShade="BF"/>
    </w:rPr>
  </w:style>
  <w:style w:type="paragraph" w:styleId="IntenseQuote">
    <w:name w:val="Intense Quote"/>
    <w:basedOn w:val="Normal"/>
    <w:next w:val="Normal"/>
    <w:link w:val="IntenseQuoteChar"/>
    <w:uiPriority w:val="30"/>
    <w:qFormat/>
    <w:rsid w:val="006E6C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C4A"/>
    <w:rPr>
      <w:i/>
      <w:iCs/>
      <w:color w:val="0F4761" w:themeColor="accent1" w:themeShade="BF"/>
    </w:rPr>
  </w:style>
  <w:style w:type="character" w:styleId="IntenseReference">
    <w:name w:val="Intense Reference"/>
    <w:basedOn w:val="DefaultParagraphFont"/>
    <w:uiPriority w:val="32"/>
    <w:qFormat/>
    <w:rsid w:val="006E6C4A"/>
    <w:rPr>
      <w:b/>
      <w:bCs/>
      <w:smallCaps/>
      <w:color w:val="0F4761" w:themeColor="accent1" w:themeShade="BF"/>
      <w:spacing w:val="5"/>
    </w:rPr>
  </w:style>
  <w:style w:type="character" w:styleId="Strong">
    <w:name w:val="Strong"/>
    <w:basedOn w:val="DefaultParagraphFont"/>
    <w:uiPriority w:val="22"/>
    <w:qFormat/>
    <w:rsid w:val="007E203E"/>
    <w:rPr>
      <w:b/>
      <w:bCs/>
    </w:rPr>
  </w:style>
  <w:style w:type="paragraph" w:styleId="NormalWeb">
    <w:name w:val="Normal (Web)"/>
    <w:basedOn w:val="Normal"/>
    <w:uiPriority w:val="99"/>
    <w:semiHidden/>
    <w:unhideWhenUsed/>
    <w:rsid w:val="00C9417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C9417E"/>
    <w:rPr>
      <w:i/>
      <w:iCs/>
    </w:rPr>
  </w:style>
  <w:style w:type="character" w:customStyle="1" w:styleId="apple-converted-space">
    <w:name w:val="apple-converted-space"/>
    <w:basedOn w:val="DefaultParagraphFont"/>
    <w:rsid w:val="00C9417E"/>
  </w:style>
  <w:style w:type="character" w:styleId="Hyperlink">
    <w:name w:val="Hyperlink"/>
    <w:basedOn w:val="DefaultParagraphFont"/>
    <w:uiPriority w:val="99"/>
    <w:semiHidden/>
    <w:unhideWhenUsed/>
    <w:rsid w:val="00C9417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2764729">
      <w:bodyDiv w:val="1"/>
      <w:marLeft w:val="0"/>
      <w:marRight w:val="0"/>
      <w:marTop w:val="0"/>
      <w:marBottom w:val="0"/>
      <w:divBdr>
        <w:top w:val="none" w:sz="0" w:space="0" w:color="auto"/>
        <w:left w:val="none" w:sz="0" w:space="0" w:color="auto"/>
        <w:bottom w:val="none" w:sz="0" w:space="0" w:color="auto"/>
        <w:right w:val="none" w:sz="0" w:space="0" w:color="auto"/>
      </w:divBdr>
    </w:div>
    <w:div w:id="869025695">
      <w:bodyDiv w:val="1"/>
      <w:marLeft w:val="0"/>
      <w:marRight w:val="0"/>
      <w:marTop w:val="0"/>
      <w:marBottom w:val="0"/>
      <w:divBdr>
        <w:top w:val="none" w:sz="0" w:space="0" w:color="auto"/>
        <w:left w:val="none" w:sz="0" w:space="0" w:color="auto"/>
        <w:bottom w:val="none" w:sz="0" w:space="0" w:color="auto"/>
        <w:right w:val="none" w:sz="0" w:space="0" w:color="auto"/>
      </w:divBdr>
    </w:div>
    <w:div w:id="2069453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bc.co.uk/" TargetMode="External"/><Relationship Id="rId4" Type="http://schemas.openxmlformats.org/officeDocument/2006/relationships/hyperlink" Target="https://www.bb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9</Pages>
  <Words>2209</Words>
  <Characters>12592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2</cp:revision>
  <dcterms:created xsi:type="dcterms:W3CDTF">2025-11-07T22:20:00Z</dcterms:created>
  <dcterms:modified xsi:type="dcterms:W3CDTF">2025-11-08T00:08:00Z</dcterms:modified>
</cp:coreProperties>
</file>