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spacing w:line="480" w:lineRule="auto"/>
        <w:jc w:val="center"/>
        <w:rPr>
          <w:rFonts w:ascii="Times New Roman" w:cs="Times New Roman" w:hAnsi="Times New Roman" w:eastAsia="Times New Roman"/>
        </w:rPr>
      </w:pPr>
    </w:p>
    <w:tbl>
      <w:tblPr>
        <w:tblW w:w="5949" w:type="dxa"/>
        <w:jc w:val="center"/>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2122"/>
        <w:gridCol w:w="3827"/>
      </w:tblGrid>
      <w:tr>
        <w:tblPrEx>
          <w:shd w:val="clear" w:color="auto" w:fill="cdd4e9"/>
        </w:tblPrEx>
        <w:trPr>
          <w:trHeight w:val="2029" w:hRule="atLeast"/>
        </w:trPr>
        <w:tc>
          <w:tcPr>
            <w:tcW w:type="dxa" w:w="21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spacing w:after="160" w:line="259" w:lineRule="auto"/>
            </w:pPr>
            <w:r>
              <w:rPr>
                <w:rFonts w:ascii="Calibri" w:cs="Calibri" w:hAnsi="Calibri" w:eastAsia="Calibri"/>
                <w:sz w:val="22"/>
                <w:szCs w:val="22"/>
                <w:lang w:val="en-US"/>
              </w:rPr>
              <w:drawing>
                <wp:inline distT="0" distB="0" distL="0" distR="0">
                  <wp:extent cx="904875" cy="1219200"/>
                  <wp:effectExtent l="0" t="0" r="0" b="0"/>
                  <wp:docPr id="1073741825" name="officeArt object" descr="image1.png"/>
                  <wp:cNvGraphicFramePr/>
                  <a:graphic xmlns:a="http://schemas.openxmlformats.org/drawingml/2006/main">
                    <a:graphicData uri="http://schemas.openxmlformats.org/drawingml/2006/picture">
                      <pic:pic xmlns:pic="http://schemas.openxmlformats.org/drawingml/2006/picture">
                        <pic:nvPicPr>
                          <pic:cNvPr id="1073741825" name="image1.png" descr="image1.png"/>
                          <pic:cNvPicPr>
                            <a:picLocks noChangeAspect="1"/>
                          </pic:cNvPicPr>
                        </pic:nvPicPr>
                        <pic:blipFill>
                          <a:blip r:embed="rId4">
                            <a:extLst/>
                          </a:blip>
                          <a:stretch>
                            <a:fillRect/>
                          </a:stretch>
                        </pic:blipFill>
                        <pic:spPr>
                          <a:xfrm>
                            <a:off x="0" y="0"/>
                            <a:ext cx="904875" cy="1219200"/>
                          </a:xfrm>
                          <a:prstGeom prst="rect">
                            <a:avLst/>
                          </a:prstGeom>
                          <a:ln w="12700" cap="flat">
                            <a:noFill/>
                            <a:miter lim="400000"/>
                          </a:ln>
                          <a:effectLst/>
                        </pic:spPr>
                      </pic:pic>
                    </a:graphicData>
                  </a:graphic>
                </wp:inline>
              </w:drawing>
            </w:r>
          </w:p>
        </w:tc>
        <w:tc>
          <w:tcPr>
            <w:tcW w:type="dxa" w:w="38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jc w:val="center"/>
              <w:rPr>
                <w:rFonts w:ascii="Times New Roman" w:cs="Times New Roman" w:hAnsi="Times New Roman" w:eastAsia="Times New Roman"/>
                <w:b w:val="1"/>
                <w:bCs w:val="1"/>
                <w:sz w:val="40"/>
                <w:szCs w:val="40"/>
                <w:lang w:val="en-US"/>
              </w:rPr>
            </w:pPr>
          </w:p>
          <w:p>
            <w:pPr>
              <w:pStyle w:val="Default"/>
              <w:bidi w:val="0"/>
              <w:ind w:left="0" w:right="0" w:firstLine="0"/>
              <w:jc w:val="center"/>
              <w:rPr>
                <w:rFonts w:ascii="Times New Roman" w:cs="Times New Roman" w:hAnsi="Times New Roman" w:eastAsia="Times New Roman"/>
                <w:b w:val="1"/>
                <w:bCs w:val="1"/>
                <w:sz w:val="40"/>
                <w:szCs w:val="40"/>
                <w:rtl w:val="0"/>
              </w:rPr>
            </w:pPr>
            <w:r>
              <w:rPr>
                <w:rFonts w:ascii="Times New Roman" w:hAnsi="Times New Roman"/>
                <w:b w:val="1"/>
                <w:bCs w:val="1"/>
                <w:sz w:val="40"/>
                <w:szCs w:val="40"/>
                <w:rtl w:val="0"/>
                <w:lang w:val="en-US"/>
              </w:rPr>
              <w:t>University of Wales</w:t>
            </w:r>
          </w:p>
          <w:p>
            <w:pPr>
              <w:pStyle w:val="Default"/>
              <w:bidi w:val="0"/>
              <w:ind w:left="0" w:right="0" w:firstLine="0"/>
              <w:jc w:val="center"/>
              <w:rPr>
                <w:rtl w:val="0"/>
              </w:rPr>
            </w:pPr>
            <w:r>
              <w:rPr>
                <w:rFonts w:ascii="Times New Roman" w:hAnsi="Times New Roman"/>
                <w:b w:val="1"/>
                <w:bCs w:val="1"/>
                <w:sz w:val="40"/>
                <w:szCs w:val="40"/>
                <w:rtl w:val="0"/>
                <w:lang w:val="en-US"/>
              </w:rPr>
              <w:t>Trinity Saint David</w:t>
            </w:r>
          </w:p>
        </w:tc>
      </w:tr>
    </w:tbl>
    <w:p>
      <w:pPr>
        <w:pStyle w:val="Default"/>
        <w:widowControl w:val="0"/>
        <w:ind w:left="108" w:hanging="108"/>
        <w:jc w:val="center"/>
        <w:rPr>
          <w:rFonts w:ascii="Times New Roman" w:cs="Times New Roman" w:hAnsi="Times New Roman" w:eastAsia="Times New Roman"/>
        </w:rPr>
      </w:pPr>
    </w:p>
    <w:p>
      <w:pPr>
        <w:pStyle w:val="Default"/>
        <w:spacing w:line="480" w:lineRule="auto"/>
        <w:jc w:val="center"/>
        <w:rPr>
          <w:rFonts w:ascii="Times New Roman" w:cs="Times New Roman" w:hAnsi="Times New Roman" w:eastAsia="Times New Roman"/>
        </w:rPr>
      </w:pPr>
    </w:p>
    <w:p>
      <w:pPr>
        <w:pStyle w:val="Default"/>
        <w:spacing w:line="480" w:lineRule="auto"/>
        <w:jc w:val="center"/>
        <w:rPr>
          <w:rFonts w:ascii="Times New Roman" w:cs="Times New Roman" w:hAnsi="Times New Roman" w:eastAsia="Times New Roman"/>
        </w:rPr>
      </w:pPr>
    </w:p>
    <w:p>
      <w:pPr>
        <w:pStyle w:val="Default"/>
        <w:spacing w:line="480" w:lineRule="auto"/>
        <w:jc w:val="center"/>
        <w:rPr>
          <w:rFonts w:ascii="Times New Roman" w:cs="Times New Roman" w:hAnsi="Times New Roman" w:eastAsia="Times New Roman"/>
        </w:rPr>
      </w:pPr>
    </w:p>
    <w:p>
      <w:pPr>
        <w:pStyle w:val="header"/>
        <w:tabs>
          <w:tab w:val="clear" w:pos="4680"/>
          <w:tab w:val="clear" w:pos="9360"/>
        </w:tabs>
        <w:spacing w:after="160" w:line="360" w:lineRule="auto"/>
        <w:jc w:val="center"/>
        <w:rPr>
          <w:rFonts w:ascii="Times New Roman" w:cs="Times New Roman" w:hAnsi="Times New Roman" w:eastAsia="Times New Roman"/>
          <w:b w:val="1"/>
          <w:bCs w:val="1"/>
          <w:sz w:val="34"/>
          <w:szCs w:val="34"/>
          <w14:textOutline w14:w="12700" w14:cap="flat">
            <w14:noFill/>
            <w14:miter w14:lim="400000"/>
          </w14:textOutline>
        </w:rPr>
      </w:pPr>
      <w:r>
        <w:rPr>
          <w:rFonts w:ascii="Times New Roman" w:hAnsi="Times New Roman"/>
          <w:b w:val="1"/>
          <w:bCs w:val="1"/>
          <w:sz w:val="34"/>
          <w:szCs w:val="34"/>
          <w:rtl w:val="0"/>
          <w:lang w:val="en-US"/>
          <w14:textOutline w14:w="12700" w14:cap="flat">
            <w14:noFill/>
            <w14:miter w14:lim="400000"/>
          </w14:textOutline>
        </w:rPr>
        <w:t>BA Business Management</w:t>
      </w:r>
    </w:p>
    <w:p>
      <w:pPr>
        <w:pStyle w:val="header"/>
        <w:tabs>
          <w:tab w:val="clear" w:pos="4680"/>
          <w:tab w:val="clear" w:pos="9360"/>
        </w:tabs>
        <w:spacing w:after="160" w:line="360" w:lineRule="auto"/>
        <w:jc w:val="center"/>
        <w:rPr>
          <w:rFonts w:ascii="Times New Roman" w:cs="Times New Roman" w:hAnsi="Times New Roman" w:eastAsia="Times New Roman"/>
          <w:sz w:val="30"/>
          <w:szCs w:val="30"/>
          <w14:textOutline w14:w="12700" w14:cap="flat">
            <w14:noFill/>
            <w14:miter w14:lim="400000"/>
          </w14:textOutline>
        </w:rPr>
      </w:pPr>
      <w:r>
        <w:rPr>
          <w:rFonts w:ascii="Times New Roman" w:hAnsi="Times New Roman"/>
          <w:sz w:val="30"/>
          <w:szCs w:val="30"/>
          <w:rtl w:val="0"/>
          <w:lang w:val="en-US"/>
          <w14:textOutline w14:w="12700" w14:cap="flat">
            <w14:noFill/>
            <w14:miter w14:lim="400000"/>
          </w14:textOutline>
        </w:rPr>
        <w:t>MC: LCBB5004</w:t>
      </w:r>
    </w:p>
    <w:p>
      <w:pPr>
        <w:pStyle w:val="header"/>
        <w:tabs>
          <w:tab w:val="clear" w:pos="4680"/>
          <w:tab w:val="clear" w:pos="9360"/>
        </w:tabs>
        <w:spacing w:after="160" w:line="360" w:lineRule="auto"/>
        <w:jc w:val="center"/>
        <w:rPr>
          <w:rFonts w:ascii="Times New Roman" w:cs="Times New Roman" w:hAnsi="Times New Roman" w:eastAsia="Times New Roman"/>
          <w:sz w:val="30"/>
          <w:szCs w:val="30"/>
          <w14:textOutline w14:w="12700" w14:cap="flat">
            <w14:noFill/>
            <w14:miter w14:lim="400000"/>
          </w14:textOutline>
        </w:rPr>
      </w:pPr>
      <w:r>
        <w:rPr>
          <w:rFonts w:ascii="Times New Roman" w:hAnsi="Times New Roman"/>
          <w:sz w:val="30"/>
          <w:szCs w:val="30"/>
          <w:rtl w:val="0"/>
          <w:lang w:val="en-US"/>
          <w14:textOutline w14:w="12700" w14:cap="flat">
            <w14:noFill/>
            <w14:miter w14:lim="400000"/>
          </w14:textOutline>
        </w:rPr>
        <w:t>Lecturer: Dr. Olusoyi Richard Ashaye</w:t>
      </w:r>
    </w:p>
    <w:p>
      <w:pPr>
        <w:pStyle w:val="header"/>
        <w:tabs>
          <w:tab w:val="clear" w:pos="4680"/>
          <w:tab w:val="clear" w:pos="9360"/>
        </w:tabs>
        <w:spacing w:after="160"/>
        <w:jc w:val="center"/>
        <w:rPr>
          <w:rFonts w:ascii="Times New Roman" w:cs="Times New Roman" w:hAnsi="Times New Roman" w:eastAsia="Times New Roman"/>
          <w:b w:val="1"/>
          <w:bCs w:val="1"/>
          <w:sz w:val="30"/>
          <w:szCs w:val="30"/>
          <w14:textOutline w14:w="12700" w14:cap="flat">
            <w14:noFill/>
            <w14:miter w14:lim="400000"/>
          </w14:textOutline>
        </w:rPr>
      </w:pPr>
    </w:p>
    <w:p>
      <w:pPr>
        <w:pStyle w:val="header"/>
        <w:tabs>
          <w:tab w:val="clear" w:pos="4680"/>
          <w:tab w:val="clear" w:pos="9360"/>
        </w:tabs>
        <w:spacing w:after="160" w:line="360" w:lineRule="auto"/>
        <w:jc w:val="center"/>
        <w:rPr>
          <w:rFonts w:ascii="Times New Roman" w:cs="Times New Roman" w:hAnsi="Times New Roman" w:eastAsia="Times New Roman"/>
          <w:b w:val="1"/>
          <w:bCs w:val="1"/>
          <w:sz w:val="34"/>
          <w:szCs w:val="34"/>
          <w14:textOutline w14:w="12700" w14:cap="flat">
            <w14:noFill/>
            <w14:miter w14:lim="400000"/>
          </w14:textOutline>
        </w:rPr>
      </w:pPr>
      <w:r>
        <w:rPr>
          <w:rFonts w:ascii="Times New Roman" w:hAnsi="Times New Roman"/>
          <w:b w:val="1"/>
          <w:bCs w:val="1"/>
          <w:sz w:val="34"/>
          <w:szCs w:val="34"/>
          <w:rtl w:val="0"/>
          <w:lang w:val="en-US"/>
          <w14:textOutline w14:w="12700" w14:cap="flat">
            <w14:noFill/>
            <w14:miter w14:lim="400000"/>
          </w14:textOutline>
        </w:rPr>
        <w:t>Managing People</w:t>
      </w:r>
    </w:p>
    <w:p>
      <w:pPr>
        <w:pStyle w:val="header"/>
        <w:tabs>
          <w:tab w:val="clear" w:pos="4680"/>
          <w:tab w:val="clear" w:pos="9360"/>
        </w:tabs>
        <w:spacing w:after="160" w:line="360" w:lineRule="auto"/>
        <w:jc w:val="center"/>
        <w:rPr>
          <w:rFonts w:ascii="Calibri" w:cs="Calibri" w:hAnsi="Calibri" w:eastAsia="Calibri"/>
          <w:b w:val="1"/>
          <w:bCs w:val="1"/>
          <w:sz w:val="30"/>
          <w:szCs w:val="30"/>
          <w14:textOutline w14:w="12700" w14:cap="flat">
            <w14:noFill/>
            <w14:miter w14:lim="400000"/>
          </w14:textOutline>
        </w:rPr>
      </w:pPr>
      <w:r>
        <w:rPr>
          <w:rFonts w:ascii="Times New Roman" w:hAnsi="Times New Roman"/>
          <w:sz w:val="30"/>
          <w:szCs w:val="30"/>
          <w:rtl w:val="0"/>
          <w:lang w:val="en-US"/>
          <w14:textOutline w14:w="12700" w14:cap="flat">
            <w14:noFill/>
            <w14:miter w14:lim="400000"/>
          </w14:textOutline>
        </w:rPr>
        <w:t>Assignment 2</w:t>
      </w:r>
    </w:p>
    <w:p>
      <w:pPr>
        <w:pStyle w:val="header"/>
        <w:tabs>
          <w:tab w:val="clear" w:pos="4680"/>
          <w:tab w:val="clear" w:pos="9360"/>
        </w:tabs>
        <w:spacing w:after="160" w:line="360" w:lineRule="auto"/>
        <w:jc w:val="center"/>
        <w:rPr>
          <w:rFonts w:ascii="Times New Roman" w:cs="Times New Roman" w:hAnsi="Times New Roman" w:eastAsia="Times New Roman"/>
          <w:b w:val="1"/>
          <w:bCs w:val="1"/>
          <w:sz w:val="30"/>
          <w:szCs w:val="30"/>
          <w14:textOutline w14:w="12700" w14:cap="flat">
            <w14:noFill/>
            <w14:miter w14:lim="400000"/>
          </w14:textOutline>
        </w:rPr>
      </w:pPr>
      <w:r>
        <w:rPr>
          <w:rFonts w:ascii="Times New Roman" w:hAnsi="Times New Roman"/>
          <w:b w:val="1"/>
          <w:bCs w:val="1"/>
          <w:sz w:val="34"/>
          <w:szCs w:val="34"/>
          <w:rtl w:val="0"/>
          <w:lang w:val="en-US"/>
          <w14:textOutline w14:w="12700" w14:cap="flat">
            <w14:noFill/>
            <w14:miter w14:lim="400000"/>
          </w14:textOutline>
        </w:rPr>
        <w:t>Drivers and Tools to Measure Employee Engagement</w:t>
      </w:r>
    </w:p>
    <w:p>
      <w:pPr>
        <w:pStyle w:val="header"/>
        <w:tabs>
          <w:tab w:val="clear" w:pos="4680"/>
          <w:tab w:val="clear" w:pos="9360"/>
        </w:tabs>
        <w:spacing w:after="160" w:line="360" w:lineRule="auto"/>
        <w:jc w:val="center"/>
        <w:rPr>
          <w:rFonts w:ascii="Times New Roman" w:cs="Times New Roman" w:hAnsi="Times New Roman" w:eastAsia="Times New Roman"/>
          <w:sz w:val="30"/>
          <w:szCs w:val="30"/>
          <w14:textOutline w14:w="12700" w14:cap="flat">
            <w14:noFill/>
            <w14:miter w14:lim="400000"/>
          </w14:textOutline>
        </w:rPr>
      </w:pPr>
      <w:r>
        <w:rPr>
          <w:rFonts w:ascii="Times New Roman" w:hAnsi="Times New Roman"/>
          <w:sz w:val="30"/>
          <w:szCs w:val="30"/>
          <w:rtl w:val="0"/>
          <w:lang w:val="en-US"/>
          <w14:textOutline w14:w="12700" w14:cap="flat">
            <w14:noFill/>
            <w14:miter w14:lim="400000"/>
          </w14:textOutline>
        </w:rPr>
        <w:t>A work of Petya Niklenova</w:t>
      </w:r>
    </w:p>
    <w:p>
      <w:pPr>
        <w:pStyle w:val="header"/>
        <w:tabs>
          <w:tab w:val="clear" w:pos="4680"/>
          <w:tab w:val="clear" w:pos="9360"/>
        </w:tabs>
        <w:spacing w:after="160" w:line="360" w:lineRule="auto"/>
        <w:jc w:val="center"/>
        <w:rPr>
          <w:rFonts w:ascii="Times New Roman" w:cs="Times New Roman" w:hAnsi="Times New Roman" w:eastAsia="Times New Roman"/>
          <w:sz w:val="30"/>
          <w:szCs w:val="30"/>
          <w14:textOutline w14:w="12700" w14:cap="flat">
            <w14:noFill/>
            <w14:miter w14:lim="400000"/>
          </w14:textOutline>
        </w:rPr>
      </w:pPr>
      <w:r>
        <w:rPr>
          <w:rFonts w:ascii="Times New Roman" w:hAnsi="Times New Roman"/>
          <w:sz w:val="30"/>
          <w:szCs w:val="30"/>
          <w:rtl w:val="0"/>
          <w:lang w:val="en-US"/>
          <w14:textOutline w14:w="12700" w14:cap="flat">
            <w14:noFill/>
            <w14:miter w14:lim="400000"/>
          </w14:textOutline>
        </w:rPr>
        <w:t>ID:1916916</w:t>
      </w:r>
    </w:p>
    <w:p>
      <w:pPr>
        <w:pStyle w:val="header"/>
        <w:tabs>
          <w:tab w:val="clear" w:pos="4680"/>
          <w:tab w:val="clear" w:pos="9360"/>
        </w:tabs>
        <w:spacing w:after="160" w:line="360" w:lineRule="auto"/>
        <w:jc w:val="center"/>
        <w:rPr>
          <w:rFonts w:ascii="Times New Roman" w:cs="Times New Roman" w:hAnsi="Times New Roman" w:eastAsia="Times New Roman"/>
          <w:sz w:val="30"/>
          <w:szCs w:val="30"/>
          <w14:textOutline w14:w="12700" w14:cap="flat">
            <w14:noFill/>
            <w14:miter w14:lim="400000"/>
          </w14:textOutline>
        </w:rPr>
      </w:pPr>
      <w:r>
        <w:rPr>
          <w:rFonts w:ascii="Times New Roman" w:hAnsi="Times New Roman"/>
          <w:sz w:val="30"/>
          <w:szCs w:val="30"/>
          <w:rtl w:val="0"/>
          <w:lang w:val="en-US"/>
          <w14:textOutline w14:w="12700" w14:cap="flat">
            <w14:noFill/>
            <w14:miter w14:lim="400000"/>
          </w14:textOutline>
        </w:rPr>
        <w:t>Date:05/01/2022</w:t>
      </w:r>
    </w:p>
    <w:p>
      <w:pPr>
        <w:pStyle w:val="Default"/>
        <w:spacing w:line="480" w:lineRule="auto"/>
        <w:jc w:val="center"/>
        <w:rPr>
          <w:rFonts w:ascii="Times New Roman" w:cs="Times New Roman" w:hAnsi="Times New Roman" w:eastAsia="Times New Roman"/>
        </w:rPr>
      </w:pPr>
    </w:p>
    <w:p>
      <w:pPr>
        <w:pStyle w:val="Body A"/>
        <w:spacing w:line="480" w:lineRule="auto"/>
        <w:rPr>
          <w:rFonts w:ascii="Times New Roman" w:cs="Times New Roman" w:hAnsi="Times New Roman" w:eastAsia="Times New Roman"/>
          <w:sz w:val="24"/>
          <w:szCs w:val="24"/>
        </w:rPr>
      </w:pPr>
    </w:p>
    <w:p>
      <w:pPr>
        <w:pStyle w:val="Body A"/>
        <w:spacing w:line="480" w:lineRule="auto"/>
      </w:pPr>
      <w:r>
        <w:rPr>
          <w:rFonts w:ascii="Arial Unicode MS" w:cs="Arial Unicode MS" w:hAnsi="Arial Unicode MS" w:eastAsia="Arial Unicode MS"/>
          <w:b w:val="0"/>
          <w:bCs w:val="0"/>
          <w:i w:val="0"/>
          <w:iCs w:val="0"/>
          <w:sz w:val="24"/>
          <w:szCs w:val="24"/>
        </w:rPr>
        <w:br w:type="page"/>
      </w:r>
    </w:p>
    <w:p>
      <w:pPr>
        <w:pStyle w:val="Body A"/>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fr-FR"/>
        </w:rPr>
        <w:t xml:space="preserve">Introduction </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One of the most important aspects of human resource management involves gauging how satisfied employees are with their work. Employee engagement is one of the most significant indicators of whether employees are satisfied with their work, since there is a positive correlation between job satisfaction and engagement in the tasks (Sun and Bunchapattanasakda, 2019). Employers have to invest in employee engagement if they want to increase the productivity and work quality of their workforce as well as retaining their best talent. The reasoning behind this is that employees today want to be in organisations where they are involved in their work and where they can be enthusiastic about the organisation for which they work. The employer, therefore, needs to establish an environment where the employees feel the sense of belonging and being appreciated for their contribution to the company</w:t>
      </w:r>
      <w:r>
        <w:rPr>
          <w:rFonts w:ascii="Times New Roman" w:hAnsi="Times New Roman" w:hint="default"/>
          <w:sz w:val="24"/>
          <w:szCs w:val="24"/>
          <w:rtl w:val="0"/>
          <w:lang w:val="en-US"/>
        </w:rPr>
        <w:t>’</w:t>
      </w:r>
      <w:r>
        <w:rPr>
          <w:rFonts w:ascii="Times New Roman" w:hAnsi="Times New Roman"/>
          <w:sz w:val="24"/>
          <w:szCs w:val="24"/>
          <w:rtl w:val="0"/>
          <w:lang w:val="en-US"/>
        </w:rPr>
        <w:t xml:space="preserve">s outputs, and where they can be afforded flexibility around their working locations and schedules (Sun and Bunchapattanasakda, 2019). </w:t>
      </w:r>
    </w:p>
    <w:p>
      <w:pPr>
        <w:pStyle w:val="Body A"/>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The concept of employee engagement </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The concept of employee engagement in human resource management refers to the dedication and level of enthusiasm that employees feel towards their jobs. When the level of employee engagement is high, they care about their performance and tasks at the workplace since they understand that their individual jobs play a major role in the company</w:t>
      </w:r>
      <w:r>
        <w:rPr>
          <w:rFonts w:ascii="Times New Roman" w:hAnsi="Times New Roman" w:hint="default"/>
          <w:sz w:val="24"/>
          <w:szCs w:val="24"/>
          <w:rtl w:val="0"/>
          <w:lang w:val="en-US"/>
        </w:rPr>
        <w:t>’</w:t>
      </w:r>
      <w:r>
        <w:rPr>
          <w:rFonts w:ascii="Times New Roman" w:hAnsi="Times New Roman"/>
          <w:sz w:val="24"/>
          <w:szCs w:val="24"/>
          <w:rtl w:val="0"/>
          <w:lang w:val="en-US"/>
        </w:rPr>
        <w:t>s collective achievements. Companies with highly engaged employees stand to benefit in many ways, one of these being that they are able to attract and retain the best talents in the market (Osborne and Hammoud, 2017). That alone gives the company an edge over their competitors as they have the strategic objective of making the employees feel part of the company and when they go about their duties, they feel like they are doing it for themselves and not for their employers. Also, employees who are highly engaged in their jobs will have lower rates of turning over and, instead, they will be highly motivated to improve in their jobs and that gives the company an overall improved quality of output. It is for these benefits that employers continuously seek ways to have their employees highly engaged and motivated to be in their positions (Osborne and Hammoud, 2017).</w:t>
      </w:r>
    </w:p>
    <w:p>
      <w:pPr>
        <w:pStyle w:val="Body A"/>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Drivers of employee engagement </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Employees are driven by a host of factors to be highly committed to work in an organisation. Since the organisations are different in terms of organisational cultures, managerial factors, the workplace environment, and the type of business and markets in which organisations operate, there are no specific factors that can be described as universal drivers of employee engagement (Kwon and Kim, 2020). However, there are many similarities in most of these factors and while the companies and managers can apply them in ways that are best tailored for their organisations, they can loosely be described in general terms to highlight what they are and how the affect the employees in general (Kwon and Kim, 2020).</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From an overall perspective, engagement of the employees is itself the first driver that impacts how committed the workforce is to the company and how willing the employees are to be involved in constructive contribution towards the company</w:t>
      </w:r>
      <w:r>
        <w:rPr>
          <w:rFonts w:ascii="Times New Roman" w:hAnsi="Times New Roman" w:hint="default"/>
          <w:sz w:val="24"/>
          <w:szCs w:val="24"/>
          <w:rtl w:val="0"/>
          <w:lang w:val="en-US"/>
        </w:rPr>
        <w:t>’</w:t>
      </w:r>
      <w:r>
        <w:rPr>
          <w:rFonts w:ascii="Times New Roman" w:hAnsi="Times New Roman"/>
          <w:sz w:val="24"/>
          <w:szCs w:val="24"/>
          <w:rtl w:val="0"/>
          <w:lang w:val="en-US"/>
        </w:rPr>
        <w:t xml:space="preserve">s progress. In this essence, engagement encompasses the inclusion of employees in making some of the decisions, where this is applicable, which involve their jobs and working environments (Kwon and Kim, 2020). This is a factor that determines the overall feelings that employees have about their employers and how attached they are to the company. When the level of engagement is low, meaning that employees are largely uninvolved in the running of the company, this factor corresponds with a lower quality of work, low favourability towards the company, and inconducive working environments for most of, or all the employees of the organisation (Kwon and Kim, 2020). </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The company</w:t>
      </w:r>
      <w:r>
        <w:rPr>
          <w:rFonts w:ascii="Times New Roman" w:hAnsi="Times New Roman" w:hint="default"/>
          <w:sz w:val="24"/>
          <w:szCs w:val="24"/>
          <w:rtl w:val="0"/>
          <w:lang w:val="en-US"/>
        </w:rPr>
        <w:t>’</w:t>
      </w:r>
      <w:r>
        <w:rPr>
          <w:rFonts w:ascii="Times New Roman" w:hAnsi="Times New Roman"/>
          <w:sz w:val="24"/>
          <w:szCs w:val="24"/>
          <w:rtl w:val="0"/>
          <w:lang w:val="en-US"/>
        </w:rPr>
        <w:t>s performance is also a driver of employee engagement as it informs the employees on how successful they are in achieving their collective goals. In organisations where employees are highly engaged, each individual understands that they have a smaller role to play, but which is vital for the overall success of the company. For this reason, the employees will be motivated when they perceive the company to be successful as they will understand that they have played a major role in the company</w:t>
      </w:r>
      <w:r>
        <w:rPr>
          <w:rFonts w:ascii="Times New Roman" w:hAnsi="Times New Roman" w:hint="default"/>
          <w:sz w:val="24"/>
          <w:szCs w:val="24"/>
          <w:rtl w:val="0"/>
          <w:lang w:val="en-US"/>
        </w:rPr>
        <w:t>’</w:t>
      </w:r>
      <w:r>
        <w:rPr>
          <w:rFonts w:ascii="Times New Roman" w:hAnsi="Times New Roman"/>
          <w:sz w:val="24"/>
          <w:szCs w:val="24"/>
          <w:rtl w:val="0"/>
          <w:lang w:val="en-US"/>
        </w:rPr>
        <w:t>s overall success (Motyka, 2018). Employees will generally be more willing and ready to engage with their work, their colleagues, and their leaders when they perceive their organisations to be outperforming their competitors. On the other hand, a negative perception of the company</w:t>
      </w:r>
      <w:r>
        <w:rPr>
          <w:rFonts w:ascii="Times New Roman" w:hAnsi="Times New Roman" w:hint="default"/>
          <w:sz w:val="24"/>
          <w:szCs w:val="24"/>
          <w:rtl w:val="0"/>
          <w:lang w:val="en-US"/>
        </w:rPr>
        <w:t>’</w:t>
      </w:r>
      <w:r>
        <w:rPr>
          <w:rFonts w:ascii="Times New Roman" w:hAnsi="Times New Roman"/>
          <w:sz w:val="24"/>
          <w:szCs w:val="24"/>
          <w:rtl w:val="0"/>
          <w:lang w:val="en-US"/>
        </w:rPr>
        <w:t>s performance, regardless of whether it is a true reflection of the company</w:t>
      </w:r>
      <w:r>
        <w:rPr>
          <w:rFonts w:ascii="Times New Roman" w:hAnsi="Times New Roman" w:hint="default"/>
          <w:sz w:val="24"/>
          <w:szCs w:val="24"/>
          <w:rtl w:val="0"/>
          <w:lang w:val="en-US"/>
        </w:rPr>
        <w:t>’</w:t>
      </w:r>
      <w:r>
        <w:rPr>
          <w:rFonts w:ascii="Times New Roman" w:hAnsi="Times New Roman"/>
          <w:sz w:val="24"/>
          <w:szCs w:val="24"/>
          <w:rtl w:val="0"/>
          <w:lang w:val="en-US"/>
        </w:rPr>
        <w:t>s actual performance, will dent their willingness and ability to commit to their jobs and engage with their colleagues and leaders. In this regard, the company</w:t>
      </w:r>
      <w:r>
        <w:rPr>
          <w:rFonts w:ascii="Times New Roman" w:hAnsi="Times New Roman" w:hint="default"/>
          <w:sz w:val="24"/>
          <w:szCs w:val="24"/>
          <w:rtl w:val="0"/>
          <w:lang w:val="en-US"/>
        </w:rPr>
        <w:t>’</w:t>
      </w:r>
      <w:r>
        <w:rPr>
          <w:rFonts w:ascii="Times New Roman" w:hAnsi="Times New Roman"/>
          <w:sz w:val="24"/>
          <w:szCs w:val="24"/>
          <w:rtl w:val="0"/>
          <w:lang w:val="en-US"/>
        </w:rPr>
        <w:t>s performance is a source of motivation for more engagement while failure is a demotivating factor (Motyka, 2018).</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The leadership of an organisation plays a major role in the overall success of the firm irrespective of the type of company, the nature of the market in which it operates, and the number of employees it has. Employees will be highly engaged with their work, their colleagues, and the company</w:t>
      </w:r>
      <w:r>
        <w:rPr>
          <w:rFonts w:ascii="Times New Roman" w:hAnsi="Times New Roman" w:hint="default"/>
          <w:sz w:val="24"/>
          <w:szCs w:val="24"/>
          <w:rtl w:val="0"/>
          <w:lang w:val="en-US"/>
        </w:rPr>
        <w:t>’</w:t>
      </w:r>
      <w:r>
        <w:rPr>
          <w:rFonts w:ascii="Times New Roman" w:hAnsi="Times New Roman"/>
          <w:sz w:val="24"/>
          <w:szCs w:val="24"/>
          <w:rtl w:val="0"/>
          <w:lang w:val="en-US"/>
        </w:rPr>
        <w:t xml:space="preserve">s leadership if they are confident in their leaders (Lee, Rocco and Shuck, 2020). Such confidence gives them the perception that their managers will make health and well-informed decisions concerning the organisation. With such a perception, employees will generally develop a positive attitude towards their work because they expect their manager to successfully lead them towards their goals. Leadership acts as the centerpiece around which the overall performance and success of the company is based (Lee, Rocco and Shuck, 2020). </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Management is different from leadership in the sense that management is focused primarily on the employees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experience and relationship with their leaders. It is essential that managers develop and maintain positive relationships with their employees as it ensures that work at the company gets done according to the required standards and, at the same time, the employees are thriving and growing in their roles (Lee, Rocco and Shuck, 2020). Managers have a major impact on the levels of employee engagement in the company because aside from their colleagues, employees have their most interactions with their managers. Thus, management is a driver of employee engagement by virtue of painting a picture in the minds of the employees regarding how the organisation perceives and values them (Lee, Rocco and Shuck, 2020). </w:t>
      </w:r>
    </w:p>
    <w:p>
      <w:pPr>
        <w:pStyle w:val="Body A"/>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Tools to measure employee engagement </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Given how important a factor of success employee engagement is in human resource management, it is paramount that organisational managers have the right tools in their organisations to measure how engaged their employees are. The most effective tools for managers to use involve collecting feedback from the employees about their commitment to their jobs and the factors that could be preventing them from being more engaged with their jobs and the organisation at large (Motyka, 2018). One of these tools encompasses employee interviews. The interviews can be done on a regular basis or they can also be done randomly. However, the most effective interviews can be done when there are employees who are seeking to leave the organisations</w:t>
      </w:r>
      <w:r>
        <w:rPr>
          <w:rFonts w:ascii="Times New Roman" w:hAnsi="Times New Roman"/>
          <w:sz w:val="24"/>
          <w:szCs w:val="24"/>
          <w:rtl w:val="0"/>
        </w:rPr>
        <w:t xml:space="preserve"> (Motyka, 2018). </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Employee turnover is caused by many factors which could range from the employee</w:t>
      </w:r>
      <w:r>
        <w:rPr>
          <w:rFonts w:ascii="Times New Roman" w:hAnsi="Times New Roman" w:hint="default"/>
          <w:sz w:val="24"/>
          <w:szCs w:val="24"/>
          <w:rtl w:val="0"/>
          <w:lang w:val="en-US"/>
        </w:rPr>
        <w:t>’</w:t>
      </w:r>
      <w:r>
        <w:rPr>
          <w:rFonts w:ascii="Times New Roman" w:hAnsi="Times New Roman"/>
          <w:sz w:val="24"/>
          <w:szCs w:val="24"/>
          <w:rtl w:val="0"/>
          <w:lang w:val="en-US"/>
        </w:rPr>
        <w:t>s decision to quit the industry and seek opportunities elsewhere, to their decision to leave the company and work for competitors who could possibly be offering them a better job proposition. At the time when they are leaving, these employees are more willing to be open about the issues that caused them to exit the organisation, and the management should be interested in finding out these factors and work on improving them so that they can reduce the rate of employee turnover. Contrary to exit interviews, stay interviews focus on what the employees feel needs to be changed and those factors which should be upheld at the workplace. The employers should ask questions regarding the things that employees like most about their jobs and also collect ideas about improving the workplace (Lee, Rocco and Shuck, 2020).</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Focus groups can also be used as a tool for measuring how engaged an organisation</w:t>
      </w:r>
      <w:r>
        <w:rPr>
          <w:rFonts w:ascii="Times New Roman" w:hAnsi="Times New Roman" w:hint="default"/>
          <w:sz w:val="24"/>
          <w:szCs w:val="24"/>
          <w:rtl w:val="0"/>
          <w:lang w:val="en-US"/>
        </w:rPr>
        <w:t>’</w:t>
      </w:r>
      <w:r>
        <w:rPr>
          <w:rFonts w:ascii="Times New Roman" w:hAnsi="Times New Roman"/>
          <w:sz w:val="24"/>
          <w:szCs w:val="24"/>
          <w:rtl w:val="0"/>
          <w:lang w:val="en-US"/>
        </w:rPr>
        <w:t xml:space="preserve">s employees are with their work. This is a tool that is especially useful for large organisations which have a large number of employees. The size of the workforce makes it such that managers cannot effectively use one-on-one interviews, exit and stay interviews, and even questionnaires. Making small focus groups solves this challenge by bringing members of the same team together and the questions can then be distributed to such groups and that makes it easier to collect representative feedback from the focus groups on behalf of the whole workforce (Lee, Rocco and Shuck, 2020). </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Another tool that managers can use to measure employee engagement involves measuring the company</w:t>
      </w:r>
      <w:r>
        <w:rPr>
          <w:rFonts w:ascii="Times New Roman" w:hAnsi="Times New Roman" w:hint="default"/>
          <w:sz w:val="24"/>
          <w:szCs w:val="24"/>
          <w:rtl w:val="0"/>
          <w:lang w:val="en-US"/>
        </w:rPr>
        <w:t>’</w:t>
      </w:r>
      <w:r>
        <w:rPr>
          <w:rFonts w:ascii="Times New Roman" w:hAnsi="Times New Roman"/>
          <w:sz w:val="24"/>
          <w:szCs w:val="24"/>
          <w:rtl w:val="0"/>
          <w:lang w:val="en-US"/>
        </w:rPr>
        <w:t>s productivity metrics and the rate at which it retains its employees. Employee turnover is a major challenge for companies because it takes them steps back in their quest to achieve their set goals. When employees leave the organisation, the whole process of selecting, recruiting, and equipping the new workers to replace them take time and financial resources that would otherwise be directed towards the company</w:t>
      </w:r>
      <w:r>
        <w:rPr>
          <w:rFonts w:ascii="Times New Roman" w:hAnsi="Times New Roman" w:hint="default"/>
          <w:sz w:val="24"/>
          <w:szCs w:val="24"/>
          <w:rtl w:val="0"/>
          <w:lang w:val="en-US"/>
        </w:rPr>
        <w:t>’</w:t>
      </w:r>
      <w:r>
        <w:rPr>
          <w:rFonts w:ascii="Times New Roman" w:hAnsi="Times New Roman"/>
          <w:sz w:val="24"/>
          <w:szCs w:val="24"/>
          <w:rtl w:val="0"/>
          <w:lang w:val="en-US"/>
        </w:rPr>
        <w:t>s overall direction towards its set goals (Motyka, 2018). Managers can focus on these metrics as they would help them draw an informative picture of how employees feel at the company and if the employees are adequately engaged with the organisation, the productivity metrics will indicate the company to be healthy and productive in all its sectors while the employee turnover rates would be low. Other tools that can be used for the same purposes include regular surveying, which could include a few straightforward questions distributed to all employees during specific times of the month or week. The questions need to be straightforward because easier questions would motivate the employees to answer truthfully (Motyka, 2018).</w:t>
      </w:r>
    </w:p>
    <w:p>
      <w:pPr>
        <w:pStyle w:val="Body A"/>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Employee Value Proposition </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As an employer, it is important to understand how to communicate with employees. It is crucial, especially, to know how to convince the employees that it is worth working with your company instead of the competing entities in the market. This is the reason served by an employee value proposition, which is a set of benefits that the employee can expect to gain from the organisation when they work there. These benefits can be made in multiple formats, including both monetary and non-financial gains that the company can provide to its employees when they take part it its success (Arasanmi and Krishna, 2019).</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Non-financial benefits that an employee can be attracted to include the promise of a fair chance to further their careers and increase their skillsets and knowledge. The employee value proposition of an organisation that wants to attract and retain the best talents should incorporate the opportunity for employees to further their skills and careers through training and higher learning, which the organisation can offer to fully pay for, or subsidise the fees that the employee incurs while furthering their education (Veldsman and Pauw, 2018). Also, employees want to grow in an organisation from the lower ranks with a fair shot at the higher levels of the company</w:t>
      </w:r>
      <w:r>
        <w:rPr>
          <w:rFonts w:ascii="Times New Roman" w:hAnsi="Times New Roman" w:hint="default"/>
          <w:sz w:val="24"/>
          <w:szCs w:val="24"/>
          <w:rtl w:val="0"/>
          <w:lang w:val="en-US"/>
        </w:rPr>
        <w:t>’</w:t>
      </w:r>
      <w:r>
        <w:rPr>
          <w:rFonts w:ascii="Times New Roman" w:hAnsi="Times New Roman"/>
          <w:sz w:val="24"/>
          <w:szCs w:val="24"/>
          <w:rtl w:val="0"/>
          <w:lang w:val="en-US"/>
        </w:rPr>
        <w:t>s management and leadership. The employers should therefore ensure that the employees have this provision in their employee value proposition as it would give the employees the confidence that as they acquire more skills, knowledge, and experience in the organisation, they will have a fair chance of being promoted up the ladder (Veldsman and Pauw, 2018).</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Monetary benefits, on the other hand, include bonuses that are given to employees from the profits the company makes at the end of the financial year. Bonuses can be set in varying formats such that the company does not require having a uniform amount for all employees but rather this should be tied to their performance. Salary increments, paid leaves and vacation, among other such benefits where the company gives monetary value for the employees</w:t>
      </w:r>
      <w:r>
        <w:rPr>
          <w:rFonts w:ascii="Times New Roman" w:hAnsi="Times New Roman" w:hint="default"/>
          <w:sz w:val="24"/>
          <w:szCs w:val="24"/>
          <w:rtl w:val="0"/>
          <w:lang w:val="en-US"/>
        </w:rPr>
        <w:t xml:space="preserve">’ </w:t>
      </w:r>
      <w:r>
        <w:rPr>
          <w:rFonts w:ascii="Times New Roman" w:hAnsi="Times New Roman"/>
          <w:sz w:val="24"/>
          <w:szCs w:val="24"/>
          <w:rtl w:val="0"/>
          <w:lang w:val="en-US"/>
        </w:rPr>
        <w:t>contribution towards its success also attract and motivate employees to work for the organisation</w:t>
      </w:r>
      <w:r>
        <w:rPr>
          <w:rFonts w:ascii="Times New Roman" w:hAnsi="Times New Roman"/>
          <w:sz w:val="24"/>
          <w:szCs w:val="24"/>
          <w:rtl w:val="0"/>
          <w:lang w:val="pt-PT"/>
        </w:rPr>
        <w:t xml:space="preserve"> (Mascarenhas, 2019). </w:t>
      </w:r>
    </w:p>
    <w:p>
      <w:pPr>
        <w:pStyle w:val="Body A"/>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fr-FR"/>
        </w:rPr>
        <w:t xml:space="preserve">Conclusion </w:t>
      </w:r>
    </w:p>
    <w:p>
      <w:pPr>
        <w:pStyle w:val="Body A"/>
        <w:spacing w:line="480" w:lineRule="auto"/>
        <w:ind w:firstLine="720"/>
        <w:rPr>
          <w:rFonts w:ascii="Times New Roman" w:cs="Times New Roman" w:hAnsi="Times New Roman" w:eastAsia="Times New Roman"/>
          <w:sz w:val="24"/>
          <w:szCs w:val="24"/>
        </w:rPr>
      </w:pPr>
      <w:r>
        <w:rPr>
          <w:rFonts w:ascii="Times New Roman" w:hAnsi="Times New Roman"/>
          <w:sz w:val="24"/>
          <w:szCs w:val="24"/>
          <w:rtl w:val="0"/>
          <w:lang w:val="en-US"/>
        </w:rPr>
        <w:t xml:space="preserve">Employee engagement is a factor of organisational success in that it impacts the productivity of individual employees and, collectively, that of the organisation as a whole. Managers need to understand the nature of their organisations, markets, and industries in order to highlight the factors that affect employee engagement within their firms. After finding out these factors, the also need to devise tools for their organisations to measure the engagement of their employees with their jobs, their colleagues, and their management. Such tools could include surveys, interviews, and focus groups, and these could be vital for the HR departments while formulating their employee value propositions with an aim to attract and retain the best employees. </w:t>
      </w:r>
    </w:p>
    <w:p>
      <w:pPr>
        <w:pStyle w:val="Body A"/>
        <w:spacing w:line="480" w:lineRule="auto"/>
      </w:pPr>
      <w:r>
        <w:rPr>
          <w:rFonts w:ascii="Arial Unicode MS" w:cs="Arial Unicode MS" w:hAnsi="Arial Unicode MS" w:eastAsia="Arial Unicode MS"/>
          <w:b w:val="0"/>
          <w:bCs w:val="0"/>
          <w:i w:val="0"/>
          <w:iCs w:val="0"/>
          <w:sz w:val="24"/>
          <w:szCs w:val="24"/>
        </w:rPr>
        <w:br w:type="page"/>
      </w:r>
    </w:p>
    <w:p>
      <w:pPr>
        <w:pStyle w:val="Body A"/>
        <w:spacing w:line="48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fr-FR"/>
        </w:rPr>
        <w:t>References</w:t>
      </w:r>
    </w:p>
    <w:p>
      <w:pPr>
        <w:pStyle w:val="Body A"/>
        <w:tabs>
          <w:tab w:val="left" w:pos="90"/>
        </w:tabs>
        <w:spacing w:after="0"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 xml:space="preserve">Albrecht, S., Breidahl, E. and Marty, A., 2018. Organizational resources, organizational engagement climate, and employee engagement. </w:t>
      </w:r>
      <w:r>
        <w:rPr>
          <w:rFonts w:ascii="Times New Roman" w:hAnsi="Times New Roman"/>
          <w:i w:val="1"/>
          <w:iCs w:val="1"/>
          <w:sz w:val="24"/>
          <w:szCs w:val="24"/>
          <w:rtl w:val="0"/>
          <w:lang w:val="en-US"/>
        </w:rPr>
        <w:t>Career Development International</w:t>
      </w:r>
      <w:r>
        <w:rPr>
          <w:rFonts w:ascii="Times New Roman" w:hAnsi="Times New Roman"/>
          <w:sz w:val="24"/>
          <w:szCs w:val="24"/>
          <w:rtl w:val="0"/>
        </w:rPr>
        <w:t>.</w:t>
      </w:r>
    </w:p>
    <w:p>
      <w:pPr>
        <w:pStyle w:val="Body A"/>
        <w:tabs>
          <w:tab w:val="left" w:pos="90"/>
        </w:tabs>
        <w:spacing w:after="0"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 xml:space="preserve">Arasanmi, C.N. and Krishna, A., 2019. Linking the employee value proposition (EVP) to employee behavioural outcomes. </w:t>
      </w:r>
      <w:r>
        <w:rPr>
          <w:rFonts w:ascii="Times New Roman" w:hAnsi="Times New Roman"/>
          <w:i w:val="1"/>
          <w:iCs w:val="1"/>
          <w:sz w:val="24"/>
          <w:szCs w:val="24"/>
          <w:rtl w:val="0"/>
          <w:lang w:val="en-US"/>
        </w:rPr>
        <w:t>Industrial and Commercial Training</w:t>
      </w:r>
      <w:r>
        <w:rPr>
          <w:rFonts w:ascii="Times New Roman" w:hAnsi="Times New Roman"/>
          <w:sz w:val="24"/>
          <w:szCs w:val="24"/>
          <w:rtl w:val="0"/>
        </w:rPr>
        <w:t>.</w:t>
      </w:r>
    </w:p>
    <w:p>
      <w:pPr>
        <w:pStyle w:val="Body A"/>
        <w:tabs>
          <w:tab w:val="left" w:pos="90"/>
        </w:tabs>
        <w:spacing w:after="0"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 xml:space="preserve">Kwon, K. and Kim, T., 2020. An integrative literature review of employee engagement and innovative behavior: Revisiting the JD-R model. </w:t>
      </w:r>
      <w:r>
        <w:rPr>
          <w:rFonts w:ascii="Times New Roman" w:hAnsi="Times New Roman"/>
          <w:i w:val="1"/>
          <w:iCs w:val="1"/>
          <w:sz w:val="24"/>
          <w:szCs w:val="24"/>
          <w:rtl w:val="0"/>
          <w:lang w:val="en-US"/>
        </w:rPr>
        <w:t>Human Resource Management Review</w:t>
      </w:r>
      <w:r>
        <w:rPr>
          <w:rFonts w:ascii="Times New Roman" w:hAnsi="Times New Roman"/>
          <w:sz w:val="24"/>
          <w:szCs w:val="24"/>
          <w:rtl w:val="0"/>
        </w:rPr>
        <w:t xml:space="preserve">, </w:t>
      </w:r>
      <w:r>
        <w:rPr>
          <w:rFonts w:ascii="Times New Roman" w:hAnsi="Times New Roman"/>
          <w:i w:val="1"/>
          <w:iCs w:val="1"/>
          <w:sz w:val="24"/>
          <w:szCs w:val="24"/>
          <w:rtl w:val="0"/>
        </w:rPr>
        <w:t>30</w:t>
      </w:r>
      <w:r>
        <w:rPr>
          <w:rFonts w:ascii="Times New Roman" w:hAnsi="Times New Roman"/>
          <w:sz w:val="24"/>
          <w:szCs w:val="24"/>
          <w:rtl w:val="0"/>
        </w:rPr>
        <w:t>(2), p.100704.</w:t>
      </w:r>
    </w:p>
    <w:p>
      <w:pPr>
        <w:pStyle w:val="Body A"/>
        <w:tabs>
          <w:tab w:val="left" w:pos="90"/>
        </w:tabs>
        <w:spacing w:after="0"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 xml:space="preserve">Lee, J.Y., Rocco, T.S. and Shuck, B., 2020. What is a resource: Toward a taxonomy of resources for employee engagement. </w:t>
      </w:r>
      <w:r>
        <w:rPr>
          <w:rFonts w:ascii="Times New Roman" w:hAnsi="Times New Roman"/>
          <w:i w:val="1"/>
          <w:iCs w:val="1"/>
          <w:sz w:val="24"/>
          <w:szCs w:val="24"/>
          <w:rtl w:val="0"/>
          <w:lang w:val="en-US"/>
        </w:rPr>
        <w:t>Human Resource Development Review</w:t>
      </w:r>
      <w:r>
        <w:rPr>
          <w:rFonts w:ascii="Times New Roman" w:hAnsi="Times New Roman"/>
          <w:sz w:val="24"/>
          <w:szCs w:val="24"/>
          <w:rtl w:val="0"/>
        </w:rPr>
        <w:t xml:space="preserve">, </w:t>
      </w:r>
      <w:r>
        <w:rPr>
          <w:rFonts w:ascii="Times New Roman" w:hAnsi="Times New Roman"/>
          <w:i w:val="1"/>
          <w:iCs w:val="1"/>
          <w:sz w:val="24"/>
          <w:szCs w:val="24"/>
          <w:rtl w:val="0"/>
        </w:rPr>
        <w:t>19</w:t>
      </w:r>
      <w:r>
        <w:rPr>
          <w:rFonts w:ascii="Times New Roman" w:hAnsi="Times New Roman"/>
          <w:sz w:val="24"/>
          <w:szCs w:val="24"/>
          <w:rtl w:val="0"/>
        </w:rPr>
        <w:t>(1), pp.5-38.</w:t>
      </w:r>
    </w:p>
    <w:p>
      <w:pPr>
        <w:pStyle w:val="Body A"/>
        <w:tabs>
          <w:tab w:val="left" w:pos="90"/>
        </w:tabs>
        <w:spacing w:after="0"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 xml:space="preserve">Mascarenhas, B.G., 2019. Employer branding, employee value proposition, and employee experience: New approaches for people management in organizations. In </w:t>
      </w:r>
      <w:r>
        <w:rPr>
          <w:rFonts w:ascii="Times New Roman" w:hAnsi="Times New Roman"/>
          <w:i w:val="1"/>
          <w:iCs w:val="1"/>
          <w:sz w:val="24"/>
          <w:szCs w:val="24"/>
          <w:rtl w:val="0"/>
          <w:lang w:val="en-US"/>
        </w:rPr>
        <w:t>Strategic Employee Communication</w:t>
      </w:r>
      <w:r>
        <w:rPr>
          <w:rFonts w:ascii="Times New Roman" w:hAnsi="Times New Roman"/>
          <w:sz w:val="24"/>
          <w:szCs w:val="24"/>
          <w:rtl w:val="0"/>
          <w:lang w:val="it-IT"/>
        </w:rPr>
        <w:t xml:space="preserve"> (pp. 97-103). Palgrave Macmillan, Cham.</w:t>
      </w:r>
    </w:p>
    <w:p>
      <w:pPr>
        <w:pStyle w:val="Body A"/>
        <w:tabs>
          <w:tab w:val="left" w:pos="90"/>
        </w:tabs>
        <w:spacing w:after="0"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 xml:space="preserve">Motyka, B., 2018. Employee engagement and performance: a systematic literature review. </w:t>
      </w:r>
      <w:r>
        <w:rPr>
          <w:rFonts w:ascii="Times New Roman" w:hAnsi="Times New Roman"/>
          <w:i w:val="1"/>
          <w:iCs w:val="1"/>
          <w:sz w:val="24"/>
          <w:szCs w:val="24"/>
          <w:rtl w:val="0"/>
          <w:lang w:val="en-US"/>
        </w:rPr>
        <w:t>International Journal of Management and Economics</w:t>
      </w:r>
      <w:r>
        <w:rPr>
          <w:rFonts w:ascii="Times New Roman" w:hAnsi="Times New Roman"/>
          <w:sz w:val="24"/>
          <w:szCs w:val="24"/>
          <w:rtl w:val="0"/>
        </w:rPr>
        <w:t xml:space="preserve">, </w:t>
      </w:r>
      <w:r>
        <w:rPr>
          <w:rFonts w:ascii="Times New Roman" w:hAnsi="Times New Roman"/>
          <w:i w:val="1"/>
          <w:iCs w:val="1"/>
          <w:sz w:val="24"/>
          <w:szCs w:val="24"/>
          <w:rtl w:val="0"/>
        </w:rPr>
        <w:t>54</w:t>
      </w:r>
      <w:r>
        <w:rPr>
          <w:rFonts w:ascii="Times New Roman" w:hAnsi="Times New Roman"/>
          <w:sz w:val="24"/>
          <w:szCs w:val="24"/>
          <w:rtl w:val="0"/>
        </w:rPr>
        <w:t>(3), pp.227-244.</w:t>
      </w:r>
    </w:p>
    <w:p>
      <w:pPr>
        <w:pStyle w:val="Body A"/>
        <w:tabs>
          <w:tab w:val="left" w:pos="90"/>
        </w:tabs>
        <w:spacing w:after="0"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 xml:space="preserve">Osborne, S. and Hammoud, M.S., 2017. Effective employee engagement in the workplace. </w:t>
      </w:r>
      <w:r>
        <w:rPr>
          <w:rFonts w:ascii="Times New Roman" w:hAnsi="Times New Roman"/>
          <w:i w:val="1"/>
          <w:iCs w:val="1"/>
          <w:sz w:val="24"/>
          <w:szCs w:val="24"/>
          <w:rtl w:val="0"/>
          <w:lang w:val="en-US"/>
        </w:rPr>
        <w:t>International Journal of Applied Management and Technology</w:t>
      </w:r>
      <w:r>
        <w:rPr>
          <w:rFonts w:ascii="Times New Roman" w:hAnsi="Times New Roman"/>
          <w:sz w:val="24"/>
          <w:szCs w:val="24"/>
          <w:rtl w:val="0"/>
        </w:rPr>
        <w:t xml:space="preserve">, </w:t>
      </w:r>
      <w:r>
        <w:rPr>
          <w:rFonts w:ascii="Times New Roman" w:hAnsi="Times New Roman"/>
          <w:i w:val="1"/>
          <w:iCs w:val="1"/>
          <w:sz w:val="24"/>
          <w:szCs w:val="24"/>
          <w:rtl w:val="0"/>
        </w:rPr>
        <w:t>16</w:t>
      </w:r>
      <w:r>
        <w:rPr>
          <w:rFonts w:ascii="Times New Roman" w:hAnsi="Times New Roman"/>
          <w:sz w:val="24"/>
          <w:szCs w:val="24"/>
          <w:rtl w:val="0"/>
        </w:rPr>
        <w:t>(1), p.4.</w:t>
      </w:r>
    </w:p>
    <w:p>
      <w:pPr>
        <w:pStyle w:val="Body A"/>
        <w:tabs>
          <w:tab w:val="left" w:pos="90"/>
        </w:tabs>
        <w:spacing w:after="0"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 xml:space="preserve">Sun, L. and Bunchapattanasakda, C., 2019. Employee engagement: A literature review. </w:t>
      </w:r>
      <w:r>
        <w:rPr>
          <w:rFonts w:ascii="Times New Roman" w:hAnsi="Times New Roman"/>
          <w:i w:val="1"/>
          <w:iCs w:val="1"/>
          <w:sz w:val="24"/>
          <w:szCs w:val="24"/>
          <w:rtl w:val="0"/>
          <w:lang w:val="en-US"/>
        </w:rPr>
        <w:t>International Journal of Human Resource Studies</w:t>
      </w:r>
      <w:r>
        <w:rPr>
          <w:rFonts w:ascii="Times New Roman" w:hAnsi="Times New Roman"/>
          <w:sz w:val="24"/>
          <w:szCs w:val="24"/>
          <w:rtl w:val="0"/>
        </w:rPr>
        <w:t xml:space="preserve">, </w:t>
      </w:r>
      <w:r>
        <w:rPr>
          <w:rFonts w:ascii="Times New Roman" w:hAnsi="Times New Roman"/>
          <w:i w:val="1"/>
          <w:iCs w:val="1"/>
          <w:sz w:val="24"/>
          <w:szCs w:val="24"/>
          <w:rtl w:val="0"/>
        </w:rPr>
        <w:t>9</w:t>
      </w:r>
      <w:r>
        <w:rPr>
          <w:rFonts w:ascii="Times New Roman" w:hAnsi="Times New Roman"/>
          <w:sz w:val="24"/>
          <w:szCs w:val="24"/>
          <w:rtl w:val="0"/>
        </w:rPr>
        <w:t>(1), pp.63-80.</w:t>
      </w:r>
    </w:p>
    <w:p>
      <w:pPr>
        <w:pStyle w:val="Body A"/>
        <w:tabs>
          <w:tab w:val="left" w:pos="90"/>
        </w:tabs>
        <w:spacing w:after="0" w:line="480" w:lineRule="auto"/>
        <w:ind w:left="720" w:hanging="720"/>
      </w:pPr>
      <w:r>
        <w:rPr>
          <w:rFonts w:ascii="Times New Roman" w:hAnsi="Times New Roman"/>
          <w:sz w:val="24"/>
          <w:szCs w:val="24"/>
          <w:rtl w:val="0"/>
          <w:lang w:val="en-US"/>
        </w:rPr>
        <w:t xml:space="preserve">Veldsman, D. and Pauw, D., 2018. The relevance of the employee value proposition for retention in the VUCA world of work. In </w:t>
      </w:r>
      <w:r>
        <w:rPr>
          <w:rFonts w:ascii="Times New Roman" w:hAnsi="Times New Roman"/>
          <w:i w:val="1"/>
          <w:iCs w:val="1"/>
          <w:sz w:val="24"/>
          <w:szCs w:val="24"/>
          <w:rtl w:val="0"/>
          <w:lang w:val="en-US"/>
        </w:rPr>
        <w:t>Psychology of Retention</w:t>
      </w:r>
      <w:r>
        <w:rPr>
          <w:rFonts w:ascii="Times New Roman" w:hAnsi="Times New Roman"/>
          <w:sz w:val="24"/>
          <w:szCs w:val="24"/>
          <w:rtl w:val="0"/>
        </w:rPr>
        <w:t xml:space="preserve"> (pp. 75-89). Springer, Cham.</w:t>
      </w:r>
    </w:p>
    <w:sectPr>
      <w:headerReference w:type="default" r:id="rId5"/>
      <w:footerReference w:type="default" r:id="rId6"/>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340"/>
        <w:tab w:val="clear" w:pos="9360"/>
      </w:tabs>
      <w:jc w:val="right"/>
    </w:pPr>
    <w:r>
      <w:rPr>
        <w:rFonts w:ascii="Times New Roman" w:hAnsi="Times New Roman"/>
        <w:sz w:val="24"/>
        <w:szCs w:val="24"/>
        <w:rtl w:val="0"/>
        <w:lang w:val="en-US"/>
      </w:rPr>
      <w:t xml:space="preserve">DRIVERS AND TOOLS TO MEASURE EMPLOYEE ENGAGEMENT  </w:t>
    </w:r>
    <w:r>
      <w:rPr>
        <w:rFonts w:ascii="Times New Roman" w:cs="Times New Roman" w:hAnsi="Times New Roman" w:eastAsia="Times New Roman"/>
        <w:sz w:val="24"/>
        <w:szCs w:val="24"/>
        <w:rtl w:val="0"/>
      </w:rPr>
      <w:fldChar w:fldCharType="begin" w:fldLock="0"/>
    </w:r>
    <w:r>
      <w:rPr>
        <w:rFonts w:ascii="Times New Roman" w:cs="Times New Roman" w:hAnsi="Times New Roman" w:eastAsia="Times New Roman"/>
        <w:sz w:val="24"/>
        <w:szCs w:val="24"/>
        <w:rtl w:val="0"/>
      </w:rPr>
      <w:instrText xml:space="preserve"> PAGE </w:instrText>
    </w:r>
    <w:r>
      <w:rPr>
        <w:rFonts w:ascii="Times New Roman" w:cs="Times New Roman" w:hAnsi="Times New Roman" w:eastAsia="Times New Roman"/>
        <w:sz w:val="24"/>
        <w:szCs w:val="24"/>
        <w:rtl w:val="0"/>
      </w:rPr>
      <w:fldChar w:fldCharType="separate" w:fldLock="0"/>
    </w:r>
    <w:r>
      <w:rPr>
        <w:rFonts w:ascii="Times New Roman" w:cs="Times New Roman" w:hAnsi="Times New Roman" w:eastAsia="Times New Roman"/>
        <w:sz w:val="24"/>
        <w:szCs w:val="24"/>
        <w:rtl w:val="0"/>
      </w:rPr>
      <w:t>1</w:t>
    </w:r>
    <w:r>
      <w:rPr>
        <w:rFonts w:ascii="Times New Roman" w:cs="Times New Roman" w:hAnsi="Times New Roman" w:eastAsia="Times New Roman"/>
        <w:sz w:val="24"/>
        <w:szCs w:val="24"/>
        <w:rtl w:val="0"/>
      </w:rPr>
      <w:fldChar w:fldCharType="end" w:fldLock="0"/>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14:textFill>
        <w14:solidFill>
          <w14:srgbClr w14:val="000000"/>
        </w14:solidFill>
      </w14:textFill>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vertAlign w:val="baseline"/>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4"/>
      <w:szCs w:val="24"/>
      <w:u w:val="none" w:color="000000"/>
      <w:vertAlign w:val="baseline"/>
      <w:lang w:val="en-US"/>
      <w14:textOutline w14:w="12700" w14:cap="flat">
        <w14:noFill/>
        <w14:miter w14:lim="400000"/>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14:textOutline w14:w="12700" w14:cap="flat">
        <w14:noFill/>
        <w14:miter w14:lim="400000"/>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