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10.svg" ContentType="image/svg+xml"/>
  <Override PartName="/word/media/image12.svg" ContentType="image/svg+xml"/>
  <Override PartName="/word/media/image14.svg" ContentType="image/svg+xml"/>
  <Override PartName="/word/media/image16.svg" ContentType="image/svg+xml"/>
  <Override PartName="/word/media/image18.svg" ContentType="image/svg+xml"/>
  <Override PartName="/word/media/image2.svg" ContentType="image/svg+xml"/>
  <Override PartName="/word/media/image20.svg" ContentType="image/svg+xml"/>
  <Override PartName="/word/media/image4.svg" ContentType="image/svg+xml"/>
  <Override PartName="/word/media/image6.svg" ContentType="image/svg+xml"/>
  <Override PartName="/word/media/image8.svg" ContentType="image/sv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BEA71">
      <w:pPr>
        <w:jc w:val="center"/>
        <w:rPr>
          <w:rFonts w:hint="default"/>
          <w:b/>
          <w:bCs/>
          <w:sz w:val="28"/>
          <w:szCs w:val="28"/>
          <w:lang w:val="ro-RO"/>
        </w:rPr>
      </w:pPr>
    </w:p>
    <w:p w14:paraId="57DB99F0">
      <w:pPr>
        <w:jc w:val="center"/>
        <w:rPr>
          <w:rFonts w:hint="default"/>
          <w:b/>
          <w:bCs/>
          <w:sz w:val="28"/>
          <w:szCs w:val="28"/>
          <w:lang w:val="ro-RO"/>
        </w:rPr>
      </w:pPr>
    </w:p>
    <w:p w14:paraId="401864D7">
      <w:pPr>
        <w:jc w:val="both"/>
        <w:rPr>
          <w:rFonts w:hint="default"/>
          <w:b/>
          <w:bCs/>
          <w:sz w:val="28"/>
          <w:szCs w:val="28"/>
          <w:lang w:val="ro-RO"/>
        </w:rPr>
      </w:pPr>
    </w:p>
    <w:p w14:paraId="4EC77A09">
      <w:pPr>
        <w:jc w:val="center"/>
        <w:rPr>
          <w:rFonts w:hint="default"/>
          <w:b/>
          <w:bCs/>
          <w:sz w:val="28"/>
          <w:szCs w:val="28"/>
          <w:lang w:val="ro-RO"/>
        </w:rPr>
      </w:pPr>
      <w:r>
        <w:rPr>
          <w:rFonts w:hint="default"/>
          <w:b/>
          <w:bCs/>
          <w:sz w:val="28"/>
          <w:szCs w:val="28"/>
          <w:lang w:val="ro-RO"/>
        </w:rPr>
        <w:t>International  Meetings Management for the Hotel Industry</w:t>
      </w:r>
    </w:p>
    <w:p w14:paraId="59F6A994">
      <w:pPr>
        <w:jc w:val="center"/>
        <w:rPr>
          <w:rFonts w:hint="default"/>
          <w:b/>
          <w:bCs/>
          <w:sz w:val="28"/>
          <w:szCs w:val="28"/>
          <w:lang w:val="ro-RO"/>
        </w:rPr>
      </w:pPr>
    </w:p>
    <w:p w14:paraId="735DD75D">
      <w:pPr>
        <w:jc w:val="center"/>
        <w:rPr>
          <w:rFonts w:hint="default"/>
          <w:b/>
          <w:bCs/>
          <w:sz w:val="28"/>
          <w:szCs w:val="28"/>
          <w:lang w:val="ro-RO"/>
        </w:rPr>
      </w:pPr>
      <w:r>
        <w:rPr>
          <w:rFonts w:hint="default"/>
          <w:b/>
          <w:bCs/>
          <w:sz w:val="28"/>
          <w:szCs w:val="28"/>
          <w:lang w:val="ro-RO"/>
        </w:rPr>
        <w:t>BMIH6007</w:t>
      </w:r>
    </w:p>
    <w:p w14:paraId="29733185">
      <w:pPr>
        <w:jc w:val="center"/>
        <w:rPr>
          <w:rFonts w:hint="default"/>
          <w:b/>
          <w:bCs/>
          <w:sz w:val="28"/>
          <w:szCs w:val="28"/>
          <w:lang w:val="ro-RO"/>
        </w:rPr>
      </w:pPr>
    </w:p>
    <w:p w14:paraId="1F93DE40">
      <w:pPr>
        <w:jc w:val="left"/>
        <w:rPr>
          <w:rFonts w:hint="default"/>
          <w:b/>
          <w:bCs/>
          <w:sz w:val="28"/>
          <w:szCs w:val="28"/>
          <w:lang w:val="ro-RO"/>
        </w:rPr>
      </w:pPr>
    </w:p>
    <w:p w14:paraId="268D1EC5">
      <w:pPr>
        <w:jc w:val="left"/>
        <w:rPr>
          <w:rFonts w:hint="default"/>
          <w:b/>
          <w:bCs/>
          <w:sz w:val="28"/>
          <w:szCs w:val="28"/>
          <w:lang w:val="ro-RO"/>
        </w:rPr>
      </w:pPr>
    </w:p>
    <w:p w14:paraId="24419F1C">
      <w:pPr>
        <w:jc w:val="left"/>
        <w:rPr>
          <w:rFonts w:hint="default"/>
          <w:b/>
          <w:bCs/>
          <w:sz w:val="28"/>
          <w:szCs w:val="28"/>
          <w:lang w:val="ro-RO"/>
        </w:rPr>
      </w:pPr>
    </w:p>
    <w:p w14:paraId="5F0E1C2C">
      <w:pPr>
        <w:jc w:val="left"/>
        <w:rPr>
          <w:rFonts w:hint="default"/>
          <w:b/>
          <w:bCs/>
          <w:sz w:val="28"/>
          <w:szCs w:val="28"/>
          <w:lang w:val="ro-RO"/>
        </w:rPr>
      </w:pPr>
    </w:p>
    <w:p w14:paraId="7FFB52D9">
      <w:pPr>
        <w:jc w:val="left"/>
        <w:rPr>
          <w:rFonts w:hint="default"/>
          <w:b/>
          <w:bCs/>
          <w:sz w:val="28"/>
          <w:szCs w:val="28"/>
          <w:lang w:val="ro-RO"/>
        </w:rPr>
      </w:pPr>
    </w:p>
    <w:p w14:paraId="6066142C">
      <w:pPr>
        <w:jc w:val="left"/>
        <w:rPr>
          <w:rFonts w:hint="default"/>
          <w:b/>
          <w:bCs/>
          <w:sz w:val="28"/>
          <w:szCs w:val="28"/>
          <w:lang w:val="ro-RO"/>
        </w:rPr>
      </w:pPr>
    </w:p>
    <w:p w14:paraId="3170CC27">
      <w:pPr>
        <w:jc w:val="left"/>
        <w:rPr>
          <w:rFonts w:hint="default"/>
          <w:b/>
          <w:bCs/>
          <w:sz w:val="28"/>
          <w:szCs w:val="28"/>
          <w:lang w:val="ro-RO"/>
        </w:rPr>
      </w:pPr>
      <w:r>
        <w:rPr>
          <w:rFonts w:hint="default"/>
          <w:b/>
          <w:bCs/>
          <w:sz w:val="28"/>
          <w:szCs w:val="28"/>
          <w:lang w:val="ro-RO"/>
        </w:rPr>
        <w:t>Presentation: Voices of Inclusion Storytelling Festival</w:t>
      </w:r>
    </w:p>
    <w:p w14:paraId="221C1714">
      <w:pPr>
        <w:jc w:val="left"/>
        <w:rPr>
          <w:rFonts w:hint="default"/>
          <w:b/>
          <w:bCs/>
          <w:sz w:val="28"/>
          <w:szCs w:val="28"/>
          <w:lang w:val="ro-RO"/>
        </w:rPr>
      </w:pPr>
    </w:p>
    <w:p w14:paraId="2AA6B275">
      <w:pPr>
        <w:jc w:val="left"/>
        <w:rPr>
          <w:rFonts w:hint="default"/>
          <w:b/>
          <w:bCs/>
          <w:sz w:val="28"/>
          <w:szCs w:val="28"/>
          <w:lang w:val="ro-RO"/>
        </w:rPr>
      </w:pPr>
    </w:p>
    <w:p w14:paraId="208363E6">
      <w:pPr>
        <w:jc w:val="left"/>
        <w:rPr>
          <w:rFonts w:hint="default"/>
          <w:b/>
          <w:bCs/>
          <w:sz w:val="28"/>
          <w:szCs w:val="28"/>
          <w:lang w:val="ro-RO"/>
        </w:rPr>
      </w:pPr>
    </w:p>
    <w:p w14:paraId="46505679">
      <w:pPr>
        <w:jc w:val="right"/>
        <w:rPr>
          <w:rFonts w:hint="default"/>
          <w:b/>
          <w:bCs/>
          <w:sz w:val="28"/>
          <w:szCs w:val="28"/>
          <w:lang w:val="ro-RO"/>
        </w:rPr>
      </w:pPr>
      <w:r>
        <w:rPr>
          <w:rFonts w:hint="default"/>
          <w:b/>
          <w:bCs/>
          <w:sz w:val="28"/>
          <w:szCs w:val="28"/>
          <w:lang w:val="ro-RO"/>
        </w:rPr>
        <w:t>Lecturer: Chris Wilkin</w:t>
      </w:r>
    </w:p>
    <w:p w14:paraId="32F429FA">
      <w:pPr>
        <w:jc w:val="right"/>
        <w:rPr>
          <w:rFonts w:hint="default"/>
          <w:b/>
          <w:bCs/>
          <w:sz w:val="28"/>
          <w:szCs w:val="28"/>
          <w:lang w:val="ro-RO"/>
        </w:rPr>
      </w:pPr>
    </w:p>
    <w:p w14:paraId="29078F5E">
      <w:pPr>
        <w:jc w:val="left"/>
        <w:rPr>
          <w:rFonts w:hint="default"/>
          <w:b/>
          <w:bCs/>
          <w:sz w:val="28"/>
          <w:szCs w:val="28"/>
          <w:lang w:val="ro-RO"/>
        </w:rPr>
      </w:pPr>
    </w:p>
    <w:p w14:paraId="5587ED90">
      <w:pPr>
        <w:jc w:val="left"/>
        <w:rPr>
          <w:rFonts w:hint="default"/>
          <w:b/>
          <w:bCs/>
          <w:sz w:val="28"/>
          <w:szCs w:val="28"/>
          <w:lang w:val="ro-RO"/>
        </w:rPr>
      </w:pPr>
    </w:p>
    <w:p w14:paraId="3DDB78F5">
      <w:pPr>
        <w:jc w:val="left"/>
        <w:rPr>
          <w:rFonts w:hint="default"/>
          <w:b/>
          <w:bCs/>
          <w:sz w:val="28"/>
          <w:szCs w:val="28"/>
          <w:lang w:val="ro-RO"/>
        </w:rPr>
      </w:pPr>
      <w:r>
        <w:rPr>
          <w:rFonts w:hint="default"/>
          <w:b/>
          <w:bCs/>
          <w:sz w:val="28"/>
          <w:szCs w:val="28"/>
          <w:lang w:val="ro-RO"/>
        </w:rPr>
        <w:t xml:space="preserve">Student name: </w:t>
      </w:r>
    </w:p>
    <w:p w14:paraId="516892B7">
      <w:pPr>
        <w:jc w:val="left"/>
        <w:rPr>
          <w:rFonts w:hint="default"/>
          <w:b/>
          <w:bCs/>
          <w:sz w:val="28"/>
          <w:szCs w:val="28"/>
          <w:lang w:val="ro-RO"/>
        </w:rPr>
      </w:pPr>
      <w:r>
        <w:rPr>
          <w:rFonts w:hint="default"/>
          <w:b/>
          <w:bCs/>
          <w:sz w:val="28"/>
          <w:szCs w:val="28"/>
          <w:lang w:val="ro-RO"/>
        </w:rPr>
        <w:t>Lucian Stefan Mihaita</w:t>
      </w:r>
    </w:p>
    <w:p w14:paraId="5536AA9B">
      <w:pPr>
        <w:jc w:val="left"/>
        <w:rPr>
          <w:rFonts w:hint="default"/>
          <w:b/>
          <w:bCs/>
          <w:sz w:val="28"/>
          <w:szCs w:val="28"/>
          <w:lang w:val="ro-RO"/>
        </w:rPr>
      </w:pPr>
      <w:r>
        <w:rPr>
          <w:rFonts w:hint="default"/>
          <w:b/>
          <w:bCs/>
          <w:sz w:val="28"/>
          <w:szCs w:val="28"/>
          <w:lang w:val="ro-RO"/>
        </w:rPr>
        <w:t>2234126</w:t>
      </w:r>
    </w:p>
    <w:p w14:paraId="17EC68EB">
      <w:pPr>
        <w:jc w:val="left"/>
        <w:rPr>
          <w:rFonts w:hint="default"/>
          <w:b/>
          <w:bCs/>
          <w:sz w:val="28"/>
          <w:szCs w:val="28"/>
          <w:lang w:val="ro-RO"/>
        </w:rPr>
      </w:pPr>
    </w:p>
    <w:p w14:paraId="66224008">
      <w:pPr>
        <w:jc w:val="left"/>
        <w:rPr>
          <w:rFonts w:hint="default"/>
          <w:b/>
          <w:bCs/>
          <w:sz w:val="28"/>
          <w:szCs w:val="28"/>
          <w:lang w:val="ro-RO"/>
        </w:rPr>
      </w:pPr>
    </w:p>
    <w:p w14:paraId="67FBEDC7">
      <w:pPr>
        <w:jc w:val="left"/>
        <w:rPr>
          <w:rFonts w:hint="default"/>
          <w:b/>
          <w:bCs/>
          <w:sz w:val="28"/>
          <w:szCs w:val="28"/>
          <w:lang w:val="ro-RO"/>
        </w:rPr>
      </w:pPr>
    </w:p>
    <w:p w14:paraId="164F652C">
      <w:pPr>
        <w:jc w:val="left"/>
        <w:rPr>
          <w:rFonts w:hint="default"/>
          <w:b/>
          <w:bCs/>
          <w:sz w:val="28"/>
          <w:szCs w:val="28"/>
          <w:lang w:val="ro-RO"/>
        </w:rPr>
      </w:pPr>
    </w:p>
    <w:p w14:paraId="28CF4621">
      <w:pPr>
        <w:jc w:val="left"/>
        <w:rPr>
          <w:rFonts w:hint="default"/>
          <w:b/>
          <w:bCs/>
          <w:sz w:val="28"/>
          <w:szCs w:val="28"/>
          <w:lang w:val="ro-RO"/>
        </w:rPr>
      </w:pPr>
    </w:p>
    <w:p w14:paraId="2E6B7B99">
      <w:pPr>
        <w:jc w:val="left"/>
        <w:rPr>
          <w:rFonts w:hint="default"/>
          <w:b/>
          <w:bCs/>
          <w:sz w:val="28"/>
          <w:szCs w:val="28"/>
          <w:lang w:val="ro-RO"/>
        </w:rPr>
      </w:pPr>
    </w:p>
    <w:p w14:paraId="12B74262">
      <w:pPr>
        <w:jc w:val="left"/>
        <w:rPr>
          <w:rFonts w:hint="default"/>
          <w:b/>
          <w:bCs/>
          <w:sz w:val="28"/>
          <w:szCs w:val="28"/>
          <w:lang w:val="ro-RO"/>
        </w:rPr>
      </w:pPr>
    </w:p>
    <w:p w14:paraId="3290FA3C">
      <w:pPr>
        <w:jc w:val="left"/>
        <w:rPr>
          <w:rFonts w:hint="default"/>
          <w:b/>
          <w:bCs/>
          <w:sz w:val="28"/>
          <w:szCs w:val="28"/>
          <w:lang w:val="ro-RO"/>
        </w:rPr>
      </w:pPr>
    </w:p>
    <w:p w14:paraId="2E4C0B36">
      <w:pPr>
        <w:jc w:val="left"/>
        <w:rPr>
          <w:rFonts w:hint="default"/>
          <w:b/>
          <w:bCs/>
          <w:sz w:val="28"/>
          <w:szCs w:val="28"/>
          <w:lang w:val="ro-RO"/>
        </w:rPr>
      </w:pPr>
    </w:p>
    <w:p w14:paraId="3C8D0E99">
      <w:pPr>
        <w:jc w:val="left"/>
        <w:rPr>
          <w:rFonts w:hint="default"/>
          <w:b/>
          <w:bCs/>
          <w:sz w:val="28"/>
          <w:szCs w:val="28"/>
          <w:lang w:val="ro-RO"/>
        </w:rPr>
      </w:pPr>
    </w:p>
    <w:p w14:paraId="02DC102E">
      <w:pPr>
        <w:jc w:val="left"/>
        <w:rPr>
          <w:rFonts w:hint="default"/>
          <w:b/>
          <w:bCs/>
          <w:sz w:val="28"/>
          <w:szCs w:val="28"/>
          <w:lang w:val="ro-RO"/>
        </w:rPr>
      </w:pPr>
    </w:p>
    <w:p w14:paraId="079F19B3">
      <w:pPr>
        <w:jc w:val="left"/>
        <w:rPr>
          <w:rFonts w:hint="default"/>
          <w:b/>
          <w:bCs/>
          <w:sz w:val="28"/>
          <w:szCs w:val="28"/>
          <w:lang w:val="ro-RO"/>
        </w:rPr>
      </w:pPr>
    </w:p>
    <w:p w14:paraId="014E0092">
      <w:pPr>
        <w:jc w:val="left"/>
        <w:rPr>
          <w:rFonts w:hint="default"/>
          <w:b/>
          <w:bCs/>
          <w:sz w:val="28"/>
          <w:szCs w:val="28"/>
          <w:lang w:val="ro-RO"/>
        </w:rPr>
      </w:pPr>
    </w:p>
    <w:p w14:paraId="3C8DC02B">
      <w:pPr>
        <w:jc w:val="left"/>
        <w:rPr>
          <w:rFonts w:hint="default"/>
          <w:b/>
          <w:bCs/>
          <w:sz w:val="28"/>
          <w:szCs w:val="28"/>
          <w:lang w:val="ro-RO"/>
        </w:rPr>
      </w:pPr>
    </w:p>
    <w:p w14:paraId="61C99992">
      <w:pPr>
        <w:jc w:val="left"/>
        <w:rPr>
          <w:rFonts w:hint="default"/>
          <w:b/>
          <w:bCs/>
          <w:sz w:val="28"/>
          <w:szCs w:val="28"/>
          <w:lang w:val="ro-RO"/>
        </w:rPr>
      </w:pPr>
    </w:p>
    <w:p w14:paraId="25130243">
      <w:pPr>
        <w:jc w:val="left"/>
        <w:rPr>
          <w:rFonts w:hint="default"/>
          <w:b/>
          <w:bCs/>
          <w:sz w:val="28"/>
          <w:szCs w:val="28"/>
          <w:lang w:val="ro-RO"/>
        </w:rPr>
      </w:pPr>
    </w:p>
    <w:p w14:paraId="464256AE">
      <w:r>
        <w:drawing>
          <wp:inline distT="0" distB="0" distL="0" distR="0">
            <wp:extent cx="5966460" cy="3535680"/>
            <wp:effectExtent l="0" t="0" r="762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4">
                      <a:extLst>
                        <a:ext uri="{96DAC541-7B7A-43D3-8B79-37D633B846F1}">
                          <asvg:svgBlip xmlns:asvg="http://schemas.microsoft.com/office/drawing/2016/SVG/main" r:embed="rId5"/>
                        </a:ext>
                      </a:extLst>
                    </a:blip>
                    <a:stretch>
                      <a:fillRect/>
                    </a:stretch>
                  </pic:blipFill>
                  <pic:spPr>
                    <a:xfrm>
                      <a:off x="0" y="0"/>
                      <a:ext cx="5966460" cy="3535680"/>
                    </a:xfrm>
                    <a:prstGeom prst="rect">
                      <a:avLst/>
                    </a:prstGeom>
                  </pic:spPr>
                </pic:pic>
              </a:graphicData>
            </a:graphic>
          </wp:inline>
        </w:drawing>
      </w:r>
    </w:p>
    <w:p w14:paraId="21E8E4F2">
      <w:r>
        <w:drawing>
          <wp:inline distT="0" distB="0" distL="0" distR="0">
            <wp:extent cx="5715000" cy="3219450"/>
            <wp:effectExtent l="0" t="0" r="0" b="1143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5715000" cy="3219450"/>
                    </a:xfrm>
                    <a:prstGeom prst="rect">
                      <a:avLst/>
                    </a:prstGeom>
                  </pic:spPr>
                </pic:pic>
              </a:graphicData>
            </a:graphic>
          </wp:inline>
        </w:drawing>
      </w:r>
    </w:p>
    <w:p w14:paraId="2D1E80FC">
      <w:r>
        <w:drawing>
          <wp:inline distT="0" distB="0" distL="0" distR="0">
            <wp:extent cx="5715000" cy="3219450"/>
            <wp:effectExtent l="0" t="0" r="0" b="1143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3219450"/>
                    </a:xfrm>
                    <a:prstGeom prst="rect">
                      <a:avLst/>
                    </a:prstGeom>
                  </pic:spPr>
                </pic:pic>
              </a:graphicData>
            </a:graphic>
          </wp:inline>
        </w:drawing>
      </w:r>
    </w:p>
    <w:p w14:paraId="295D6707">
      <w:r>
        <w:drawing>
          <wp:inline distT="0" distB="0" distL="0" distR="0">
            <wp:extent cx="5715000" cy="3219450"/>
            <wp:effectExtent l="0" t="0" r="0" b="1143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3219450"/>
                    </a:xfrm>
                    <a:prstGeom prst="rect">
                      <a:avLst/>
                    </a:prstGeom>
                  </pic:spPr>
                </pic:pic>
              </a:graphicData>
            </a:graphic>
          </wp:inline>
        </w:drawing>
      </w:r>
    </w:p>
    <w:p w14:paraId="4380492A"/>
    <w:p w14:paraId="1E0A73F5">
      <w:r>
        <w:drawing>
          <wp:inline distT="0" distB="0" distL="0" distR="0">
            <wp:extent cx="5715000" cy="3219450"/>
            <wp:effectExtent l="0" t="0" r="0" b="1143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17773E0C">
      <w:r>
        <w:drawing>
          <wp:inline distT="0" distB="0" distL="0" distR="0">
            <wp:extent cx="5715000" cy="3219450"/>
            <wp:effectExtent l="0" t="0" r="0" b="1143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77BDAED8">
      <w:r>
        <w:drawing>
          <wp:inline distT="0" distB="0" distL="0" distR="0">
            <wp:extent cx="5715000" cy="3219450"/>
            <wp:effectExtent l="0" t="0" r="0" b="1143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65D98203">
      <w:r>
        <w:drawing>
          <wp:inline distT="0" distB="0" distL="0" distR="0">
            <wp:extent cx="5715000" cy="3219450"/>
            <wp:effectExtent l="0" t="0" r="0" b="1143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1CBE7780">
      <w:r>
        <w:drawing>
          <wp:inline distT="0" distB="0" distL="0" distR="0">
            <wp:extent cx="5715000" cy="3219450"/>
            <wp:effectExtent l="0" t="0" r="0" b="1143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a:picLocks noChangeAspect="1"/>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2C9C0A17">
      <w:r>
        <w:drawing>
          <wp:inline distT="0" distB="0" distL="0" distR="0">
            <wp:extent cx="5715000" cy="3219450"/>
            <wp:effectExtent l="0" t="0" r="0" b="1143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pic:cNvPicPr>
                      <a:picLocks noChangeAspect="1"/>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7B449113"/>
    <w:p w14:paraId="4DB3C865"/>
    <w:p w14:paraId="1309D0D4"/>
    <w:p w14:paraId="31A6886E"/>
    <w:p w14:paraId="6EB6A1E4"/>
    <w:p w14:paraId="65804677"/>
    <w:p w14:paraId="468CA3EA"/>
    <w:p w14:paraId="3BAA1C7B"/>
    <w:p w14:paraId="23348CF2"/>
    <w:p w14:paraId="4990DFC0"/>
    <w:p w14:paraId="6B5DAB76"/>
    <w:p w14:paraId="10F020D8"/>
    <w:p w14:paraId="38B5DA71">
      <w:pPr>
        <w:ind w:firstLine="100" w:firstLineChars="50"/>
      </w:pPr>
    </w:p>
    <w:p w14:paraId="245BBBD8">
      <w:pPr>
        <w:ind w:firstLine="100" w:firstLineChars="50"/>
      </w:pPr>
    </w:p>
    <w:p w14:paraId="0D99B24C">
      <w:pPr>
        <w:ind w:firstLine="100" w:firstLineChars="50"/>
      </w:pPr>
    </w:p>
    <w:p w14:paraId="0BBE8FAE">
      <w:pPr>
        <w:ind w:firstLine="100" w:firstLineChars="50"/>
      </w:pPr>
    </w:p>
    <w:p w14:paraId="38CF5C76">
      <w:pPr>
        <w:ind w:firstLine="100" w:firstLineChars="50"/>
      </w:pPr>
    </w:p>
    <w:p w14:paraId="280B7B98">
      <w:pPr>
        <w:ind w:firstLine="120" w:firstLineChars="50"/>
        <w:jc w:val="center"/>
        <w:rPr>
          <w:b/>
          <w:bCs/>
          <w:sz w:val="24"/>
          <w:szCs w:val="24"/>
        </w:rPr>
      </w:pPr>
      <w:r>
        <w:rPr>
          <w:rFonts w:hint="default"/>
          <w:b/>
          <w:bCs/>
          <w:sz w:val="24"/>
          <w:szCs w:val="24"/>
          <w:lang w:val="ro-RO"/>
        </w:rPr>
        <w:t>Reference</w:t>
      </w:r>
    </w:p>
    <w:p w14:paraId="145F9C58">
      <w:pPr>
        <w:ind w:firstLine="120" w:firstLineChars="50"/>
        <w:jc w:val="center"/>
        <w:rPr>
          <w:b/>
          <w:bCs/>
          <w:sz w:val="24"/>
          <w:szCs w:val="24"/>
        </w:rPr>
      </w:pPr>
    </w:p>
    <w:p w14:paraId="56F2B497">
      <w:pPr>
        <w:ind w:firstLine="100" w:firstLineChars="50"/>
      </w:pPr>
    </w:p>
    <w:p w14:paraId="4801F0D1">
      <w:pPr>
        <w:ind w:firstLine="100" w:firstLineChars="50"/>
      </w:pPr>
    </w:p>
    <w:p w14:paraId="233B2604">
      <w:pPr>
        <w:ind w:firstLine="120" w:firstLineChars="50"/>
        <w:rPr>
          <w:sz w:val="24"/>
          <w:szCs w:val="24"/>
        </w:rPr>
      </w:pPr>
      <w:r>
        <w:rPr>
          <w:sz w:val="24"/>
          <w:szCs w:val="24"/>
        </w:rPr>
        <w:t xml:space="preserve">Akyar, Ö.Y., Demirhan, G., Oyelere, S., Flores, M. and Costas Jáuregui, V., 2020. Digital storytelling in teacher education for inclusion. </w:t>
      </w:r>
      <w:r>
        <w:rPr>
          <w:sz w:val="24"/>
          <w:szCs w:val="24"/>
        </w:rPr>
        <w:fldChar w:fldCharType="begin"/>
      </w:r>
      <w:r>
        <w:rPr>
          <w:sz w:val="24"/>
          <w:szCs w:val="24"/>
        </w:rPr>
        <w:instrText xml:space="preserve"> HYPERLINK "https://www.proquest.com/scholarly-journals/special-education-teachers-professional/docview/2642951397/se-2?accountid=130472" </w:instrText>
      </w:r>
      <w:r>
        <w:rPr>
          <w:sz w:val="24"/>
          <w:szCs w:val="24"/>
        </w:rPr>
        <w:fldChar w:fldCharType="separate"/>
      </w:r>
      <w:r>
        <w:rPr>
          <w:rStyle w:val="4"/>
          <w:sz w:val="24"/>
          <w:szCs w:val="24"/>
        </w:rPr>
        <w:t>https://www.proquest.com/scholarly-journals/special-education-teachers-professional/docview/2642951397/se-2?accountid=130472</w:t>
      </w:r>
      <w:r>
        <w:rPr>
          <w:rStyle w:val="4"/>
          <w:sz w:val="24"/>
          <w:szCs w:val="24"/>
        </w:rPr>
        <w:fldChar w:fldCharType="end"/>
      </w:r>
      <w:r>
        <w:rPr>
          <w:sz w:val="24"/>
          <w:szCs w:val="24"/>
        </w:rPr>
        <w:t xml:space="preserve"> </w:t>
      </w:r>
    </w:p>
    <w:p w14:paraId="2F2E35FB">
      <w:pPr>
        <w:rPr>
          <w:sz w:val="24"/>
          <w:szCs w:val="24"/>
        </w:rPr>
      </w:pPr>
      <w:r>
        <w:rPr>
          <w:sz w:val="24"/>
          <w:szCs w:val="24"/>
        </w:rPr>
        <w:t xml:space="preserve">Álvarez, D.C., Rodríguez, A.L. and Dono, J.A.M., 2018. Risk management and design of mitigation plans through discrete events simulation. </w:t>
      </w:r>
      <w:r>
        <w:rPr>
          <w:sz w:val="24"/>
          <w:szCs w:val="24"/>
        </w:rPr>
        <w:fldChar w:fldCharType="begin"/>
      </w:r>
      <w:r>
        <w:rPr>
          <w:sz w:val="24"/>
          <w:szCs w:val="24"/>
        </w:rPr>
        <w:instrText xml:space="preserve"> HYPERLINK "https://www.academia.edu/download/100034591/ijscom.2018.09945620230319-1-q1f3re.pdf" </w:instrText>
      </w:r>
      <w:r>
        <w:rPr>
          <w:sz w:val="24"/>
          <w:szCs w:val="24"/>
        </w:rPr>
        <w:fldChar w:fldCharType="separate"/>
      </w:r>
      <w:r>
        <w:rPr>
          <w:rStyle w:val="4"/>
          <w:sz w:val="24"/>
          <w:szCs w:val="24"/>
        </w:rPr>
        <w:t>https://www.academia.edu/download/100034591/ijscom.2018.09945620230319-1-q1f3re.pdf</w:t>
      </w:r>
      <w:r>
        <w:rPr>
          <w:rStyle w:val="4"/>
          <w:sz w:val="24"/>
          <w:szCs w:val="24"/>
        </w:rPr>
        <w:fldChar w:fldCharType="end"/>
      </w:r>
      <w:r>
        <w:rPr>
          <w:sz w:val="24"/>
          <w:szCs w:val="24"/>
        </w:rPr>
        <w:t xml:space="preserve"> </w:t>
      </w:r>
    </w:p>
    <w:p w14:paraId="1AD99F73">
      <w:pPr>
        <w:rPr>
          <w:sz w:val="24"/>
          <w:szCs w:val="24"/>
        </w:rPr>
      </w:pPr>
      <w:r>
        <w:rPr>
          <w:sz w:val="24"/>
          <w:szCs w:val="24"/>
        </w:rPr>
        <w:t xml:space="preserve">Nadda, V., Arnott, I. and Sealy, W., 2020 Risk Managment in Events Management’, in Legal, Safety, and Environmental Challenges for Event Management. United States: IGI Global, pp. 1–20. Available at: </w:t>
      </w:r>
      <w:r>
        <w:rPr>
          <w:sz w:val="24"/>
          <w:szCs w:val="24"/>
        </w:rPr>
        <w:fldChar w:fldCharType="begin"/>
      </w:r>
      <w:r>
        <w:rPr>
          <w:sz w:val="24"/>
          <w:szCs w:val="24"/>
        </w:rPr>
        <w:instrText xml:space="preserve"> HYPERLINK "https://doi.org/10.4018/978-1-7998-3230-0.ch001" </w:instrText>
      </w:r>
      <w:r>
        <w:rPr>
          <w:sz w:val="24"/>
          <w:szCs w:val="24"/>
        </w:rPr>
        <w:fldChar w:fldCharType="separate"/>
      </w:r>
      <w:r>
        <w:rPr>
          <w:rStyle w:val="4"/>
          <w:sz w:val="24"/>
          <w:szCs w:val="24"/>
        </w:rPr>
        <w:t>https://doi.org/10.4018/978-1-7998-3230-0.ch001</w:t>
      </w:r>
      <w:r>
        <w:rPr>
          <w:rStyle w:val="4"/>
          <w:sz w:val="24"/>
          <w:szCs w:val="24"/>
        </w:rPr>
        <w:fldChar w:fldCharType="end"/>
      </w:r>
      <w:r>
        <w:rPr>
          <w:sz w:val="24"/>
          <w:szCs w:val="24"/>
        </w:rPr>
        <w:t xml:space="preserve">. </w:t>
      </w:r>
    </w:p>
    <w:p w14:paraId="29C6BA46">
      <w:pPr>
        <w:rPr>
          <w:sz w:val="24"/>
          <w:szCs w:val="24"/>
        </w:rPr>
      </w:pPr>
      <w:r>
        <w:rPr>
          <w:sz w:val="24"/>
          <w:szCs w:val="24"/>
        </w:rPr>
        <w:t>Batat, W., 2022. Why is the traditional marketing mix dead? Towards the “experiential marketing mix” (7E), a strategic framework for business experience design in the phygital age. Journal of Strategic Marketing, 32, pp. 101 - 113. </w:t>
      </w:r>
      <w:r>
        <w:rPr>
          <w:sz w:val="24"/>
          <w:szCs w:val="24"/>
        </w:rPr>
        <w:fldChar w:fldCharType="begin"/>
      </w:r>
      <w:r>
        <w:rPr>
          <w:sz w:val="24"/>
          <w:szCs w:val="24"/>
        </w:rPr>
        <w:instrText xml:space="preserve"> HYPERLINK "https://doi.org/10.1080/0965254X.2022.2129745" </w:instrText>
      </w:r>
      <w:r>
        <w:rPr>
          <w:sz w:val="24"/>
          <w:szCs w:val="24"/>
        </w:rPr>
        <w:fldChar w:fldCharType="separate"/>
      </w:r>
      <w:r>
        <w:rPr>
          <w:rStyle w:val="4"/>
          <w:sz w:val="24"/>
          <w:szCs w:val="24"/>
        </w:rPr>
        <w:t>https://doi.org/10.1080/0965254X.2022.2129745</w:t>
      </w:r>
      <w:r>
        <w:rPr>
          <w:rStyle w:val="4"/>
          <w:sz w:val="24"/>
          <w:szCs w:val="24"/>
        </w:rPr>
        <w:fldChar w:fldCharType="end"/>
      </w:r>
      <w:r>
        <w:rPr>
          <w:sz w:val="24"/>
          <w:szCs w:val="24"/>
        </w:rPr>
        <w:t>.</w:t>
      </w:r>
    </w:p>
    <w:p w14:paraId="47E4CB72">
      <w:pPr>
        <w:rPr>
          <w:sz w:val="24"/>
          <w:szCs w:val="24"/>
        </w:rPr>
      </w:pPr>
      <w:r>
        <w:rPr>
          <w:sz w:val="24"/>
          <w:szCs w:val="24"/>
          <w:lang w:val="de-DE"/>
        </w:rPr>
        <w:t xml:space="preserve">Bowdin, G., Allen, J., Harris, R., 2011. </w:t>
      </w:r>
      <w:r>
        <w:rPr>
          <w:sz w:val="24"/>
          <w:szCs w:val="24"/>
        </w:rPr>
        <w:t xml:space="preserve">Events Management. [online] Available at: </w:t>
      </w:r>
      <w:r>
        <w:rPr>
          <w:sz w:val="24"/>
          <w:szCs w:val="24"/>
        </w:rPr>
        <w:fldChar w:fldCharType="begin"/>
      </w:r>
      <w:r>
        <w:rPr>
          <w:sz w:val="24"/>
          <w:szCs w:val="24"/>
        </w:rPr>
        <w:instrText xml:space="preserve"> HYPERLINK "https://research-ebsco-com.ezproxy.uwtsd.ac.uk/linkprocessor/plink?id=0713b2d6-c559-3133-a063-9c460741a170" </w:instrText>
      </w:r>
      <w:r>
        <w:rPr>
          <w:sz w:val="24"/>
          <w:szCs w:val="24"/>
        </w:rPr>
        <w:fldChar w:fldCharType="separate"/>
      </w:r>
      <w:r>
        <w:rPr>
          <w:rStyle w:val="4"/>
          <w:sz w:val="24"/>
          <w:szCs w:val="24"/>
        </w:rPr>
        <w:t>https://research-ebsco-com.ezproxy.uwtsd.ac.uk/linkprocessor/plink?id=0713b2d6-c559-3133-a063-9c460741a170</w:t>
      </w:r>
      <w:r>
        <w:rPr>
          <w:rStyle w:val="4"/>
          <w:sz w:val="24"/>
          <w:szCs w:val="24"/>
        </w:rPr>
        <w:fldChar w:fldCharType="end"/>
      </w:r>
      <w:r>
        <w:rPr>
          <w:sz w:val="24"/>
          <w:szCs w:val="24"/>
        </w:rPr>
        <w:t xml:space="preserve"> </w:t>
      </w:r>
    </w:p>
    <w:p w14:paraId="2F5DC136">
      <w:pPr>
        <w:rPr>
          <w:sz w:val="24"/>
          <w:szCs w:val="24"/>
        </w:rPr>
      </w:pPr>
      <w:r>
        <w:rPr>
          <w:sz w:val="24"/>
          <w:szCs w:val="24"/>
        </w:rPr>
        <w:t xml:space="preserve">Bratitsis, T., and Ziannas, P., 2015. From Early Childhood to Special Education: Interactive Digital Storytelling as a Coaching Approach for Fostering Social Empathy. , pp. 231-240. </w:t>
      </w:r>
      <w:r>
        <w:rPr>
          <w:sz w:val="24"/>
          <w:szCs w:val="24"/>
        </w:rPr>
        <w:fldChar w:fldCharType="begin"/>
      </w:r>
      <w:r>
        <w:rPr>
          <w:sz w:val="24"/>
          <w:szCs w:val="24"/>
        </w:rPr>
        <w:instrText xml:space="preserve"> HYPERLINK "https://doi.org/10.1016/j.procs.2015.09.267" </w:instrText>
      </w:r>
      <w:r>
        <w:rPr>
          <w:sz w:val="24"/>
          <w:szCs w:val="24"/>
        </w:rPr>
        <w:fldChar w:fldCharType="separate"/>
      </w:r>
      <w:r>
        <w:rPr>
          <w:rStyle w:val="4"/>
          <w:sz w:val="24"/>
          <w:szCs w:val="24"/>
        </w:rPr>
        <w:t>https://doi.org/10.1016/j.procs.2015.09.267</w:t>
      </w:r>
      <w:r>
        <w:rPr>
          <w:rStyle w:val="4"/>
          <w:sz w:val="24"/>
          <w:szCs w:val="24"/>
        </w:rPr>
        <w:fldChar w:fldCharType="end"/>
      </w:r>
      <w:r>
        <w:rPr>
          <w:sz w:val="24"/>
          <w:szCs w:val="24"/>
        </w:rPr>
        <w:t xml:space="preserve">. </w:t>
      </w:r>
    </w:p>
    <w:p w14:paraId="3ACA0491">
      <w:pPr>
        <w:rPr>
          <w:sz w:val="24"/>
          <w:szCs w:val="24"/>
        </w:rPr>
      </w:pPr>
      <w:r>
        <w:rPr>
          <w:sz w:val="24"/>
          <w:szCs w:val="24"/>
        </w:rPr>
        <w:t xml:space="preserve">Chirieleison, C., and Montrone, A., 2013. Evaluating local government costs and revenues: The case of an Italian privately owned for-profit event. Tourism Management Perspectives, 8, pp. 90-97. </w:t>
      </w:r>
      <w:r>
        <w:rPr>
          <w:sz w:val="24"/>
          <w:szCs w:val="24"/>
        </w:rPr>
        <w:fldChar w:fldCharType="begin"/>
      </w:r>
      <w:r>
        <w:rPr>
          <w:sz w:val="24"/>
          <w:szCs w:val="24"/>
        </w:rPr>
        <w:instrText xml:space="preserve"> HYPERLINK "https://doi.org/10.1016/J.TMP.2013.08.001" </w:instrText>
      </w:r>
      <w:r>
        <w:rPr>
          <w:sz w:val="24"/>
          <w:szCs w:val="24"/>
        </w:rPr>
        <w:fldChar w:fldCharType="separate"/>
      </w:r>
      <w:r>
        <w:rPr>
          <w:rStyle w:val="4"/>
          <w:sz w:val="24"/>
          <w:szCs w:val="24"/>
        </w:rPr>
        <w:t>https://doi.org/10.1016/J.TMP.2013.08.001</w:t>
      </w:r>
      <w:r>
        <w:rPr>
          <w:rStyle w:val="4"/>
          <w:sz w:val="24"/>
          <w:szCs w:val="24"/>
        </w:rPr>
        <w:fldChar w:fldCharType="end"/>
      </w:r>
      <w:r>
        <w:rPr>
          <w:sz w:val="24"/>
          <w:szCs w:val="24"/>
        </w:rPr>
        <w:t xml:space="preserve">. </w:t>
      </w:r>
    </w:p>
    <w:p w14:paraId="731E013E">
      <w:pPr>
        <w:rPr>
          <w:sz w:val="24"/>
          <w:szCs w:val="24"/>
        </w:rPr>
      </w:pPr>
      <w:r>
        <w:rPr>
          <w:sz w:val="24"/>
          <w:szCs w:val="24"/>
        </w:rPr>
        <w:t xml:space="preserve">Coulot, M., Pellerin, R., Yahia, E. and Harris, S., 2024. Predictive Methods for Event Revenues and Expenses to Support Convention Center Portfolio Management. Proceedings of the 12th IPMA Research Conference “Project Management in the Age of Artificial Intelligence”. </w:t>
      </w:r>
      <w:r>
        <w:rPr>
          <w:sz w:val="24"/>
          <w:szCs w:val="24"/>
        </w:rPr>
        <w:fldChar w:fldCharType="begin"/>
      </w:r>
      <w:r>
        <w:rPr>
          <w:sz w:val="24"/>
          <w:szCs w:val="24"/>
        </w:rPr>
        <w:instrText xml:space="preserve"> HYPERLINK "https://doi.org/10.56889/drzt2050" </w:instrText>
      </w:r>
      <w:r>
        <w:rPr>
          <w:sz w:val="24"/>
          <w:szCs w:val="24"/>
        </w:rPr>
        <w:fldChar w:fldCharType="separate"/>
      </w:r>
      <w:r>
        <w:rPr>
          <w:rStyle w:val="4"/>
          <w:sz w:val="24"/>
          <w:szCs w:val="24"/>
        </w:rPr>
        <w:t>https://doi.org/10.56889/drzt2050</w:t>
      </w:r>
      <w:r>
        <w:rPr>
          <w:rStyle w:val="4"/>
          <w:sz w:val="24"/>
          <w:szCs w:val="24"/>
        </w:rPr>
        <w:fldChar w:fldCharType="end"/>
      </w:r>
      <w:r>
        <w:rPr>
          <w:sz w:val="24"/>
          <w:szCs w:val="24"/>
        </w:rPr>
        <w:t xml:space="preserve">. </w:t>
      </w:r>
    </w:p>
    <w:p w14:paraId="6122AE2B">
      <w:pPr>
        <w:rPr>
          <w:sz w:val="24"/>
          <w:szCs w:val="24"/>
        </w:rPr>
      </w:pPr>
      <w:r>
        <w:rPr>
          <w:sz w:val="24"/>
          <w:szCs w:val="24"/>
        </w:rPr>
        <w:t xml:space="preserve">Cvent, 2024. Event Planning for Accessibility: Tips and Best Practices. [online] Available at: </w:t>
      </w:r>
      <w:r>
        <w:rPr>
          <w:sz w:val="24"/>
          <w:szCs w:val="24"/>
        </w:rPr>
        <w:fldChar w:fldCharType="begin"/>
      </w:r>
      <w:r>
        <w:rPr>
          <w:sz w:val="24"/>
          <w:szCs w:val="24"/>
        </w:rPr>
        <w:instrText xml:space="preserve"> HYPERLINK "https://www.cvent.com/en/blog/events/event-planning-accessibility-tips-and-best-practices" </w:instrText>
      </w:r>
      <w:r>
        <w:rPr>
          <w:sz w:val="24"/>
          <w:szCs w:val="24"/>
        </w:rPr>
        <w:fldChar w:fldCharType="separate"/>
      </w:r>
      <w:r>
        <w:rPr>
          <w:rStyle w:val="4"/>
          <w:sz w:val="24"/>
          <w:szCs w:val="24"/>
        </w:rPr>
        <w:t>https://www.cvent.com/en/blog/events/event-planning-accessibility-tips-and-best-practices</w:t>
      </w:r>
      <w:r>
        <w:rPr>
          <w:rStyle w:val="4"/>
          <w:sz w:val="24"/>
          <w:szCs w:val="24"/>
        </w:rPr>
        <w:fldChar w:fldCharType="end"/>
      </w:r>
      <w:r>
        <w:rPr>
          <w:sz w:val="24"/>
          <w:szCs w:val="24"/>
        </w:rPr>
        <w:t xml:space="preserve">   </w:t>
      </w:r>
    </w:p>
    <w:p w14:paraId="0A809133">
      <w:pPr>
        <w:rPr>
          <w:sz w:val="24"/>
          <w:szCs w:val="24"/>
        </w:rPr>
      </w:pPr>
      <w:r>
        <w:rPr>
          <w:sz w:val="24"/>
          <w:szCs w:val="24"/>
        </w:rPr>
        <w:t xml:space="preserve">Dai, H. and Soonthonsmai, V., 2024. The Effect of 7P Marketing Strategy and Lifestyle on Customer Loyalty at Shanghai Disneyland, China. KnE Social Sciences. </w:t>
      </w:r>
      <w:r>
        <w:rPr>
          <w:sz w:val="24"/>
          <w:szCs w:val="24"/>
        </w:rPr>
        <w:fldChar w:fldCharType="begin"/>
      </w:r>
      <w:r>
        <w:rPr>
          <w:sz w:val="24"/>
          <w:szCs w:val="24"/>
        </w:rPr>
        <w:instrText xml:space="preserve"> HYPERLINK "https://doi.org/10.18502/kss.v9i29.17269" </w:instrText>
      </w:r>
      <w:r>
        <w:rPr>
          <w:sz w:val="24"/>
          <w:szCs w:val="24"/>
        </w:rPr>
        <w:fldChar w:fldCharType="separate"/>
      </w:r>
      <w:r>
        <w:rPr>
          <w:rStyle w:val="4"/>
          <w:sz w:val="24"/>
          <w:szCs w:val="24"/>
        </w:rPr>
        <w:t>https://doi.org/10.18502/kss.v9i29.17269</w:t>
      </w:r>
      <w:r>
        <w:rPr>
          <w:rStyle w:val="4"/>
          <w:sz w:val="24"/>
          <w:szCs w:val="24"/>
        </w:rPr>
        <w:fldChar w:fldCharType="end"/>
      </w:r>
      <w:r>
        <w:rPr>
          <w:sz w:val="24"/>
          <w:szCs w:val="24"/>
        </w:rPr>
        <w:t xml:space="preserve">. </w:t>
      </w:r>
    </w:p>
    <w:p w14:paraId="014F0262">
      <w:pPr>
        <w:rPr>
          <w:sz w:val="24"/>
          <w:szCs w:val="24"/>
        </w:rPr>
      </w:pPr>
      <w:r>
        <w:rPr>
          <w:sz w:val="24"/>
          <w:szCs w:val="24"/>
        </w:rPr>
        <w:t xml:space="preserve">DuHadway, S., Carnovale, S. and Hazen, B., 2019. Understanding risk management for intentional supply chain disruptions: risk detection, risk mitigation, and risk recovery. Annals of Operations Research, pp. 1-20. </w:t>
      </w:r>
      <w:r>
        <w:rPr>
          <w:sz w:val="24"/>
          <w:szCs w:val="24"/>
        </w:rPr>
        <w:fldChar w:fldCharType="begin"/>
      </w:r>
      <w:r>
        <w:rPr>
          <w:sz w:val="24"/>
          <w:szCs w:val="24"/>
        </w:rPr>
        <w:instrText xml:space="preserve"> HYPERLINK "https://doi.org/10.1007/S10479-017-2452-0" </w:instrText>
      </w:r>
      <w:r>
        <w:rPr>
          <w:sz w:val="24"/>
          <w:szCs w:val="24"/>
        </w:rPr>
        <w:fldChar w:fldCharType="separate"/>
      </w:r>
      <w:r>
        <w:rPr>
          <w:rStyle w:val="4"/>
          <w:sz w:val="24"/>
          <w:szCs w:val="24"/>
        </w:rPr>
        <w:t>https://doi.org/10.1007/S10479-017-2452-0</w:t>
      </w:r>
      <w:r>
        <w:rPr>
          <w:rStyle w:val="4"/>
          <w:sz w:val="24"/>
          <w:szCs w:val="24"/>
        </w:rPr>
        <w:fldChar w:fldCharType="end"/>
      </w:r>
      <w:r>
        <w:rPr>
          <w:sz w:val="24"/>
          <w:szCs w:val="24"/>
        </w:rPr>
        <w:t xml:space="preserve">. </w:t>
      </w:r>
    </w:p>
    <w:p w14:paraId="4F1B2D90">
      <w:pPr>
        <w:rPr>
          <w:sz w:val="24"/>
          <w:szCs w:val="24"/>
        </w:rPr>
      </w:pPr>
      <w:r>
        <w:rPr>
          <w:sz w:val="24"/>
          <w:szCs w:val="24"/>
        </w:rPr>
        <w:t>Getz, D. and Page, S., 2024. Event Studies: Theory and Management for Planned Events. 5th ed. London: Routledge.</w:t>
      </w:r>
      <w:r>
        <w:rPr>
          <w:sz w:val="24"/>
          <w:szCs w:val="24"/>
        </w:rPr>
        <w:fldChar w:fldCharType="begin"/>
      </w:r>
      <w:r>
        <w:rPr>
          <w:sz w:val="24"/>
          <w:szCs w:val="24"/>
        </w:rPr>
        <w:instrText xml:space="preserve"> HYPERLINK "https://librarysearch.uwtsd.ac.uk/permalink/44WHELF_UWTSD/upgrip/alma99100647735602421" </w:instrText>
      </w:r>
      <w:r>
        <w:rPr>
          <w:sz w:val="24"/>
          <w:szCs w:val="24"/>
        </w:rPr>
        <w:fldChar w:fldCharType="separate"/>
      </w:r>
      <w:r>
        <w:rPr>
          <w:rStyle w:val="4"/>
          <w:sz w:val="24"/>
          <w:szCs w:val="24"/>
        </w:rPr>
        <w:t>https</w:t>
      </w:r>
      <w:r>
        <w:rPr>
          <w:rStyle w:val="4"/>
          <w:sz w:val="24"/>
          <w:szCs w:val="24"/>
        </w:rPr>
        <w:fldChar w:fldCharType="end"/>
      </w:r>
      <w:r>
        <w:rPr>
          <w:sz w:val="24"/>
          <w:szCs w:val="24"/>
        </w:rPr>
        <w:fldChar w:fldCharType="begin"/>
      </w:r>
      <w:r>
        <w:rPr>
          <w:sz w:val="24"/>
          <w:szCs w:val="24"/>
        </w:rPr>
        <w:instrText xml:space="preserve"> HYPERLINK "https://librarysearch.uwtsd.ac.uk/permalink/44WHELF_UWTSD/upgrip/alma99100647735602421" </w:instrText>
      </w:r>
      <w:r>
        <w:rPr>
          <w:sz w:val="24"/>
          <w:szCs w:val="24"/>
        </w:rPr>
        <w:fldChar w:fldCharType="separate"/>
      </w:r>
      <w:r>
        <w:rPr>
          <w:rStyle w:val="4"/>
          <w:sz w:val="24"/>
          <w:szCs w:val="24"/>
        </w:rPr>
        <w:t>://librarysearch.uwtsd.ac.uk/permalink/44WHELF_UWTSD/</w:t>
      </w:r>
      <w:r>
        <w:rPr>
          <w:rStyle w:val="4"/>
          <w:sz w:val="24"/>
          <w:szCs w:val="24"/>
        </w:rPr>
        <w:fldChar w:fldCharType="end"/>
      </w:r>
      <w:r>
        <w:rPr>
          <w:sz w:val="24"/>
          <w:szCs w:val="24"/>
        </w:rPr>
        <w:fldChar w:fldCharType="begin"/>
      </w:r>
      <w:r>
        <w:rPr>
          <w:sz w:val="24"/>
          <w:szCs w:val="24"/>
        </w:rPr>
        <w:instrText xml:space="preserve"> HYPERLINK "https://librarysearch.uwtsd.ac.uk/permalink/44WHELF_UWTSD/upgrip/alma99100647735602421" </w:instrText>
      </w:r>
      <w:r>
        <w:rPr>
          <w:sz w:val="24"/>
          <w:szCs w:val="24"/>
        </w:rPr>
        <w:fldChar w:fldCharType="separate"/>
      </w:r>
      <w:r>
        <w:rPr>
          <w:rStyle w:val="4"/>
          <w:sz w:val="24"/>
          <w:szCs w:val="24"/>
        </w:rPr>
        <w:t>upgrip</w:t>
      </w:r>
      <w:r>
        <w:rPr>
          <w:rStyle w:val="4"/>
          <w:sz w:val="24"/>
          <w:szCs w:val="24"/>
        </w:rPr>
        <w:fldChar w:fldCharType="end"/>
      </w:r>
      <w:r>
        <w:rPr>
          <w:sz w:val="24"/>
          <w:szCs w:val="24"/>
        </w:rPr>
        <w:fldChar w:fldCharType="begin"/>
      </w:r>
      <w:r>
        <w:rPr>
          <w:sz w:val="24"/>
          <w:szCs w:val="24"/>
        </w:rPr>
        <w:instrText xml:space="preserve"> HYPERLINK "https://librarysearch.uwtsd.ac.uk/permalink/44WHELF_UWTSD/upgrip/alma99100647735602421" </w:instrText>
      </w:r>
      <w:r>
        <w:rPr>
          <w:sz w:val="24"/>
          <w:szCs w:val="24"/>
        </w:rPr>
        <w:fldChar w:fldCharType="separate"/>
      </w:r>
      <w:r>
        <w:rPr>
          <w:rStyle w:val="4"/>
          <w:sz w:val="24"/>
          <w:szCs w:val="24"/>
        </w:rPr>
        <w:t>/alma99100647735602421</w:t>
      </w:r>
      <w:r>
        <w:rPr>
          <w:rStyle w:val="4"/>
          <w:sz w:val="24"/>
          <w:szCs w:val="24"/>
        </w:rPr>
        <w:fldChar w:fldCharType="end"/>
      </w:r>
      <w:r>
        <w:rPr>
          <w:sz w:val="24"/>
          <w:szCs w:val="24"/>
        </w:rPr>
        <w:t xml:space="preserve"> </w:t>
      </w:r>
    </w:p>
    <w:p w14:paraId="60AFBD7C">
      <w:pPr>
        <w:rPr>
          <w:sz w:val="24"/>
          <w:szCs w:val="24"/>
        </w:rPr>
      </w:pPr>
      <w:r>
        <w:rPr>
          <w:sz w:val="24"/>
          <w:szCs w:val="24"/>
          <w:lang w:val="de-DE"/>
        </w:rPr>
        <w:t xml:space="preserve">Hazira, M., Alagas, E., Amin, M., Zamzuri, N. and Zairul, M., 2021. </w:t>
      </w:r>
      <w:r>
        <w:rPr>
          <w:sz w:val="24"/>
          <w:szCs w:val="24"/>
        </w:rPr>
        <w:t xml:space="preserve">The best practice of marketing strategies for the Malaysian business event industry from experts' perspective. Journal of Hospitality and Tourism Insights. </w:t>
      </w:r>
      <w:r>
        <w:rPr>
          <w:sz w:val="24"/>
          <w:szCs w:val="24"/>
        </w:rPr>
        <w:fldChar w:fldCharType="begin"/>
      </w:r>
      <w:r>
        <w:rPr>
          <w:sz w:val="24"/>
          <w:szCs w:val="24"/>
        </w:rPr>
        <w:instrText xml:space="preserve"> HYPERLINK "https://www.proquest.com/scholarly-journals/best-practice-marketing-strategies-malaysian/docview/2646686874/se-2?accountid=130472" </w:instrText>
      </w:r>
      <w:r>
        <w:rPr>
          <w:sz w:val="24"/>
          <w:szCs w:val="24"/>
        </w:rPr>
        <w:fldChar w:fldCharType="separate"/>
      </w:r>
      <w:r>
        <w:rPr>
          <w:rStyle w:val="4"/>
          <w:sz w:val="24"/>
          <w:szCs w:val="24"/>
        </w:rPr>
        <w:t>https://www.proquest.com/scholarly-journals/best-practice-marketing-strategies-malaysian/docview/2646686874/se-2?accountid=130472</w:t>
      </w:r>
      <w:r>
        <w:rPr>
          <w:rStyle w:val="4"/>
          <w:sz w:val="24"/>
          <w:szCs w:val="24"/>
        </w:rPr>
        <w:fldChar w:fldCharType="end"/>
      </w:r>
    </w:p>
    <w:p w14:paraId="510530FC">
      <w:pPr>
        <w:rPr>
          <w:sz w:val="24"/>
          <w:szCs w:val="24"/>
        </w:rPr>
      </w:pPr>
      <w:r>
        <w:rPr>
          <w:sz w:val="24"/>
          <w:szCs w:val="24"/>
        </w:rPr>
        <w:t xml:space="preserve">Ahmed, R., 2017. Risk mitigation strategies in innovative projects. In Key Issues for Management of Innovative Projects. IntechOpen. </w:t>
      </w:r>
      <w:r>
        <w:rPr>
          <w:sz w:val="24"/>
          <w:szCs w:val="24"/>
        </w:rPr>
        <w:fldChar w:fldCharType="begin"/>
      </w:r>
      <w:r>
        <w:rPr>
          <w:sz w:val="24"/>
          <w:szCs w:val="24"/>
        </w:rPr>
        <w:instrText xml:space="preserve"> HYPERLINK "https://papers.ssrn.com/sol3/Delivery.cfm?abstractid=3884687" </w:instrText>
      </w:r>
      <w:r>
        <w:rPr>
          <w:sz w:val="24"/>
          <w:szCs w:val="24"/>
        </w:rPr>
        <w:fldChar w:fldCharType="separate"/>
      </w:r>
      <w:r>
        <w:rPr>
          <w:rStyle w:val="4"/>
          <w:sz w:val="24"/>
          <w:szCs w:val="24"/>
        </w:rPr>
        <w:t>https://papers.ssrn.com/sol3/Delivery.cfm?abstractid=3884687</w:t>
      </w:r>
      <w:r>
        <w:rPr>
          <w:rStyle w:val="4"/>
          <w:sz w:val="24"/>
          <w:szCs w:val="24"/>
        </w:rPr>
        <w:fldChar w:fldCharType="end"/>
      </w:r>
      <w:r>
        <w:rPr>
          <w:sz w:val="24"/>
          <w:szCs w:val="24"/>
        </w:rPr>
        <w:t xml:space="preserve"> </w:t>
      </w:r>
    </w:p>
    <w:p w14:paraId="4F3525D0">
      <w:pPr>
        <w:rPr>
          <w:sz w:val="24"/>
          <w:szCs w:val="24"/>
        </w:rPr>
      </w:pPr>
      <w:r>
        <w:rPr>
          <w:sz w:val="24"/>
          <w:szCs w:val="24"/>
        </w:rPr>
        <w:t xml:space="preserve">Kristiana, S., Oktavia, C., Magdalena, R. and Lilajati, M., 2020. Risk Mitigation Strategies on Supply Chain PT. X. IOP Conference Series: Materials Science and Engineering, 847. </w:t>
      </w:r>
      <w:r>
        <w:rPr>
          <w:sz w:val="24"/>
          <w:szCs w:val="24"/>
        </w:rPr>
        <w:fldChar w:fldCharType="begin"/>
      </w:r>
      <w:r>
        <w:rPr>
          <w:sz w:val="24"/>
          <w:szCs w:val="24"/>
        </w:rPr>
        <w:instrText xml:space="preserve"> HYPERLINK "https://doi.org/10.1088/1757-899X/847/1/012052" </w:instrText>
      </w:r>
      <w:r>
        <w:rPr>
          <w:sz w:val="24"/>
          <w:szCs w:val="24"/>
        </w:rPr>
        <w:fldChar w:fldCharType="separate"/>
      </w:r>
      <w:r>
        <w:rPr>
          <w:rStyle w:val="4"/>
          <w:sz w:val="24"/>
          <w:szCs w:val="24"/>
        </w:rPr>
        <w:t>https://doi.org/10.1088/1757-899X/847/1/012052</w:t>
      </w:r>
      <w:r>
        <w:rPr>
          <w:rStyle w:val="4"/>
          <w:sz w:val="24"/>
          <w:szCs w:val="24"/>
        </w:rPr>
        <w:fldChar w:fldCharType="end"/>
      </w:r>
      <w:r>
        <w:rPr>
          <w:sz w:val="24"/>
          <w:szCs w:val="24"/>
        </w:rPr>
        <w:t xml:space="preserve">. </w:t>
      </w:r>
    </w:p>
    <w:p w14:paraId="44F8767A">
      <w:pPr>
        <w:rPr>
          <w:sz w:val="24"/>
          <w:szCs w:val="24"/>
        </w:rPr>
      </w:pPr>
      <w:r>
        <w:rPr>
          <w:sz w:val="24"/>
          <w:szCs w:val="24"/>
        </w:rPr>
        <w:t xml:space="preserve">Lacey, R., Close, A., &amp; Finney, Z., 2010. The Pivotal Roles of Product Knowledge and Corporate Social Responsibility in Event Sponsorship Effectiveness. Journal of Business Research. </w:t>
      </w:r>
      <w:r>
        <w:rPr>
          <w:sz w:val="24"/>
          <w:szCs w:val="24"/>
        </w:rPr>
        <w:fldChar w:fldCharType="begin"/>
      </w:r>
      <w:r>
        <w:rPr>
          <w:sz w:val="24"/>
          <w:szCs w:val="24"/>
        </w:rPr>
        <w:instrText xml:space="preserve"> HYPERLINK "https://doi.org/10.1016/J.JBUSRES.2009.11.001" </w:instrText>
      </w:r>
      <w:r>
        <w:rPr>
          <w:sz w:val="24"/>
          <w:szCs w:val="24"/>
        </w:rPr>
        <w:fldChar w:fldCharType="separate"/>
      </w:r>
      <w:r>
        <w:rPr>
          <w:rStyle w:val="4"/>
          <w:sz w:val="24"/>
          <w:szCs w:val="24"/>
        </w:rPr>
        <w:t>https://doi.org/10.1016/J.JBUSRES.2009.11.001</w:t>
      </w:r>
      <w:r>
        <w:rPr>
          <w:rStyle w:val="4"/>
          <w:sz w:val="24"/>
          <w:szCs w:val="24"/>
        </w:rPr>
        <w:fldChar w:fldCharType="end"/>
      </w:r>
      <w:r>
        <w:rPr>
          <w:sz w:val="24"/>
          <w:szCs w:val="24"/>
        </w:rPr>
        <w:t xml:space="preserve">. </w:t>
      </w:r>
    </w:p>
    <w:p w14:paraId="0AE5FEF7">
      <w:pPr>
        <w:rPr>
          <w:sz w:val="24"/>
          <w:szCs w:val="24"/>
        </w:rPr>
      </w:pPr>
      <w:r>
        <w:rPr>
          <w:sz w:val="24"/>
          <w:szCs w:val="24"/>
        </w:rPr>
        <w:t xml:space="preserve">Lockstone-Binney, L., Hanlon, C. and Jago, L., 2020. Staffing for successful events. The Routledge Handbook of Events. </w:t>
      </w:r>
      <w:r>
        <w:rPr>
          <w:sz w:val="24"/>
          <w:szCs w:val="24"/>
        </w:rPr>
        <w:fldChar w:fldCharType="begin"/>
      </w:r>
      <w:r>
        <w:rPr>
          <w:sz w:val="24"/>
          <w:szCs w:val="24"/>
        </w:rPr>
        <w:instrText xml:space="preserve"> HYPERLINK "https://doi.org/10.4324/9780429280993-27" </w:instrText>
      </w:r>
      <w:r>
        <w:rPr>
          <w:sz w:val="24"/>
          <w:szCs w:val="24"/>
        </w:rPr>
        <w:fldChar w:fldCharType="separate"/>
      </w:r>
      <w:r>
        <w:rPr>
          <w:rStyle w:val="4"/>
          <w:sz w:val="24"/>
          <w:szCs w:val="24"/>
        </w:rPr>
        <w:t>https://doi.org/10.4324/9780429280993-27</w:t>
      </w:r>
      <w:r>
        <w:rPr>
          <w:rStyle w:val="4"/>
          <w:sz w:val="24"/>
          <w:szCs w:val="24"/>
        </w:rPr>
        <w:fldChar w:fldCharType="end"/>
      </w:r>
      <w:r>
        <w:rPr>
          <w:sz w:val="24"/>
          <w:szCs w:val="24"/>
        </w:rPr>
        <w:t xml:space="preserve">. </w:t>
      </w:r>
    </w:p>
    <w:p w14:paraId="3472F8A3">
      <w:pPr>
        <w:rPr>
          <w:sz w:val="24"/>
          <w:szCs w:val="24"/>
        </w:rPr>
      </w:pPr>
      <w:r>
        <w:rPr>
          <w:sz w:val="24"/>
          <w:szCs w:val="24"/>
        </w:rPr>
        <w:t xml:space="preserve">Michopoulou, E., Azara, I. and Russell, A., 2020. Investigating the triangular relationship between temporary event workforce, event employment businesses and event organisers. International Journal of Contemporary Hospitality Management, 32, pp. 1247-1273. </w:t>
      </w:r>
      <w:r>
        <w:rPr>
          <w:sz w:val="24"/>
          <w:szCs w:val="24"/>
        </w:rPr>
        <w:fldChar w:fldCharType="begin"/>
      </w:r>
      <w:r>
        <w:rPr>
          <w:sz w:val="24"/>
          <w:szCs w:val="24"/>
        </w:rPr>
        <w:instrText xml:space="preserve"> HYPERLINK "https://www.proquest.com/scholarly-journals/investigating-triangular-relationship-between/docview/2498996211/se-2?accountid=130472" </w:instrText>
      </w:r>
      <w:r>
        <w:rPr>
          <w:sz w:val="24"/>
          <w:szCs w:val="24"/>
        </w:rPr>
        <w:fldChar w:fldCharType="separate"/>
      </w:r>
      <w:r>
        <w:rPr>
          <w:rStyle w:val="4"/>
          <w:sz w:val="24"/>
          <w:szCs w:val="24"/>
        </w:rPr>
        <w:t>https://www.proquest.com/scholarly-journals/investigating-triangular-relationship-between/docview/2498996211/se-2?accountid=130472</w:t>
      </w:r>
      <w:r>
        <w:rPr>
          <w:rStyle w:val="4"/>
          <w:sz w:val="24"/>
          <w:szCs w:val="24"/>
        </w:rPr>
        <w:fldChar w:fldCharType="end"/>
      </w:r>
      <w:r>
        <w:rPr>
          <w:sz w:val="24"/>
          <w:szCs w:val="24"/>
        </w:rPr>
        <w:t xml:space="preserve"> </w:t>
      </w:r>
    </w:p>
    <w:p w14:paraId="39B953D1">
      <w:pPr>
        <w:rPr>
          <w:sz w:val="24"/>
          <w:szCs w:val="24"/>
        </w:rPr>
      </w:pPr>
      <w:r>
        <w:rPr>
          <w:sz w:val="24"/>
          <w:szCs w:val="24"/>
        </w:rPr>
        <w:t xml:space="preserve">Morgan, A., Taylor, T., &amp; Adair, D., 2020. Sport event sponsorship management from the sponsee’s perspective. Sport Management Review. </w:t>
      </w:r>
      <w:r>
        <w:rPr>
          <w:sz w:val="24"/>
          <w:szCs w:val="24"/>
        </w:rPr>
        <w:fldChar w:fldCharType="begin"/>
      </w:r>
      <w:r>
        <w:rPr>
          <w:sz w:val="24"/>
          <w:szCs w:val="24"/>
        </w:rPr>
        <w:instrText xml:space="preserve"> HYPERLINK "https://doi.org/10.1016/j.smr.2020.04.006" </w:instrText>
      </w:r>
      <w:r>
        <w:rPr>
          <w:sz w:val="24"/>
          <w:szCs w:val="24"/>
        </w:rPr>
        <w:fldChar w:fldCharType="separate"/>
      </w:r>
      <w:r>
        <w:rPr>
          <w:rStyle w:val="4"/>
          <w:sz w:val="24"/>
          <w:szCs w:val="24"/>
        </w:rPr>
        <w:t>https://doi.org/10.1016/j.smr.2020.04.006</w:t>
      </w:r>
      <w:r>
        <w:rPr>
          <w:rStyle w:val="4"/>
          <w:sz w:val="24"/>
          <w:szCs w:val="24"/>
        </w:rPr>
        <w:fldChar w:fldCharType="end"/>
      </w:r>
      <w:r>
        <w:rPr>
          <w:sz w:val="24"/>
          <w:szCs w:val="24"/>
        </w:rPr>
        <w:t xml:space="preserve">.  </w:t>
      </w:r>
    </w:p>
    <w:p w14:paraId="14E8AA7F">
      <w:pPr>
        <w:rPr>
          <w:sz w:val="24"/>
          <w:szCs w:val="24"/>
        </w:rPr>
      </w:pPr>
      <w:r>
        <w:rPr>
          <w:sz w:val="24"/>
          <w:szCs w:val="24"/>
        </w:rPr>
        <w:t xml:space="preserve">Moutafidou, A., &amp; Bratitsis, T., 2018. Digital storytelling: giving voice to socially excluded people in various contexts. Proceedings of the 8th International Conference on Software Development and Technologies for Enhancing Accessibility and Fighting Info-exclusion. </w:t>
      </w:r>
      <w:r>
        <w:rPr>
          <w:sz w:val="24"/>
          <w:szCs w:val="24"/>
        </w:rPr>
        <w:fldChar w:fldCharType="begin"/>
      </w:r>
      <w:r>
        <w:rPr>
          <w:sz w:val="24"/>
          <w:szCs w:val="24"/>
        </w:rPr>
        <w:instrText xml:space="preserve"> HYPERLINK "https://doi.org/10.1145/3218585.3218684" </w:instrText>
      </w:r>
      <w:r>
        <w:rPr>
          <w:sz w:val="24"/>
          <w:szCs w:val="24"/>
        </w:rPr>
        <w:fldChar w:fldCharType="separate"/>
      </w:r>
      <w:r>
        <w:rPr>
          <w:rStyle w:val="4"/>
          <w:sz w:val="24"/>
          <w:szCs w:val="24"/>
        </w:rPr>
        <w:t>https://doi.org/10.1145/3218585.3218684</w:t>
      </w:r>
      <w:r>
        <w:rPr>
          <w:rStyle w:val="4"/>
          <w:sz w:val="24"/>
          <w:szCs w:val="24"/>
        </w:rPr>
        <w:fldChar w:fldCharType="end"/>
      </w:r>
      <w:r>
        <w:rPr>
          <w:sz w:val="24"/>
          <w:szCs w:val="24"/>
        </w:rPr>
        <w:t xml:space="preserve">. </w:t>
      </w:r>
    </w:p>
    <w:p w14:paraId="3CE18182">
      <w:pPr>
        <w:rPr>
          <w:sz w:val="24"/>
          <w:szCs w:val="24"/>
        </w:rPr>
      </w:pPr>
      <w:r>
        <w:rPr>
          <w:sz w:val="24"/>
          <w:szCs w:val="24"/>
        </w:rPr>
        <w:t xml:space="preserve">Moyle, B., Kennelly, M. and Lamont, M., 2014. Risk management and contingency planning in events: Participants’ reactions to the cancellation of Ironman New Zealand 2012. International Journal of Event Management Research, 8(1), pp.94-106. </w:t>
      </w:r>
      <w:r>
        <w:rPr>
          <w:sz w:val="24"/>
          <w:szCs w:val="24"/>
        </w:rPr>
        <w:fldChar w:fldCharType="begin"/>
      </w:r>
      <w:r>
        <w:rPr>
          <w:sz w:val="24"/>
          <w:szCs w:val="24"/>
        </w:rPr>
        <w:instrText xml:space="preserve"> HYPERLINK "https://citeseerx.ist.psu.edu/document?repid=rep1&amp;type=pdf&amp;doi=2817eb1b745aaebc3e07b563cc2e7a72e90029b0" </w:instrText>
      </w:r>
      <w:r>
        <w:rPr>
          <w:sz w:val="24"/>
          <w:szCs w:val="24"/>
        </w:rPr>
        <w:fldChar w:fldCharType="separate"/>
      </w:r>
      <w:r>
        <w:rPr>
          <w:rStyle w:val="4"/>
          <w:sz w:val="24"/>
          <w:szCs w:val="24"/>
        </w:rPr>
        <w:t>https://citeseerx.ist.psu.edu/document?repid=rep1&amp;type=pdf&amp;doi=2817eb1b745aaebc3e07b563cc2e7a72e90029b0</w:t>
      </w:r>
      <w:r>
        <w:rPr>
          <w:rStyle w:val="4"/>
          <w:sz w:val="24"/>
          <w:szCs w:val="24"/>
        </w:rPr>
        <w:fldChar w:fldCharType="end"/>
      </w:r>
      <w:r>
        <w:rPr>
          <w:sz w:val="24"/>
          <w:szCs w:val="24"/>
        </w:rPr>
        <w:t xml:space="preserve"> </w:t>
      </w:r>
    </w:p>
    <w:p w14:paraId="32323AFC">
      <w:pPr>
        <w:rPr>
          <w:sz w:val="24"/>
          <w:szCs w:val="24"/>
        </w:rPr>
      </w:pPr>
      <w:r>
        <w:rPr>
          <w:sz w:val="24"/>
          <w:szCs w:val="24"/>
        </w:rPr>
        <w:t>Muskat, B. and Mair, J., 2019. Knowledge Sharing and Power in the Event Workforce. </w:t>
      </w:r>
      <w:r>
        <w:rPr>
          <w:sz w:val="24"/>
          <w:szCs w:val="24"/>
        </w:rPr>
        <w:fldChar w:fldCharType="begin"/>
      </w:r>
      <w:r>
        <w:rPr>
          <w:sz w:val="24"/>
          <w:szCs w:val="24"/>
        </w:rPr>
        <w:instrText xml:space="preserve"> HYPERLINK "https://www.proquest.com/scholarly-journals/knowledge-sharing-power-event-workforce/docview/2779511486/se-2?accountid=130472" </w:instrText>
      </w:r>
      <w:r>
        <w:rPr>
          <w:sz w:val="24"/>
          <w:szCs w:val="24"/>
        </w:rPr>
        <w:fldChar w:fldCharType="separate"/>
      </w:r>
      <w:r>
        <w:rPr>
          <w:rStyle w:val="4"/>
          <w:sz w:val="24"/>
          <w:szCs w:val="24"/>
        </w:rPr>
        <w:t>https://www.proquest.com/scholarly-journals/knowledge-sharing-power-event-workforce/docview/2779511486/se-2?accountid=130472</w:t>
      </w:r>
      <w:r>
        <w:rPr>
          <w:rStyle w:val="4"/>
          <w:sz w:val="24"/>
          <w:szCs w:val="24"/>
        </w:rPr>
        <w:fldChar w:fldCharType="end"/>
      </w:r>
      <w:r>
        <w:rPr>
          <w:sz w:val="24"/>
          <w:szCs w:val="24"/>
        </w:rPr>
        <w:t xml:space="preserve"> </w:t>
      </w:r>
    </w:p>
    <w:p w14:paraId="4C0D9875">
      <w:pPr>
        <w:rPr>
          <w:sz w:val="24"/>
          <w:szCs w:val="24"/>
        </w:rPr>
      </w:pPr>
      <w:r>
        <w:rPr>
          <w:sz w:val="24"/>
          <w:szCs w:val="24"/>
        </w:rPr>
        <w:t xml:space="preserve">Nam, C., 2017. The effects of digital storytelling on student achievement, social presence, and attitude in online collaborative learning environments. Interactive Learning Environments, 25, pp. 412 - 427. </w:t>
      </w:r>
      <w:r>
        <w:rPr>
          <w:sz w:val="24"/>
          <w:szCs w:val="24"/>
        </w:rPr>
        <w:fldChar w:fldCharType="begin"/>
      </w:r>
      <w:r>
        <w:rPr>
          <w:sz w:val="24"/>
          <w:szCs w:val="24"/>
        </w:rPr>
        <w:instrText xml:space="preserve"> HYPERLINK "https://doi.org/10.1080/10494820.2015.1135173" </w:instrText>
      </w:r>
      <w:r>
        <w:rPr>
          <w:sz w:val="24"/>
          <w:szCs w:val="24"/>
        </w:rPr>
        <w:fldChar w:fldCharType="separate"/>
      </w:r>
      <w:r>
        <w:rPr>
          <w:rStyle w:val="4"/>
          <w:sz w:val="24"/>
          <w:szCs w:val="24"/>
        </w:rPr>
        <w:t>https://doi.org/10.1080/10494820.2015.1135173</w:t>
      </w:r>
      <w:r>
        <w:rPr>
          <w:rStyle w:val="4"/>
          <w:sz w:val="24"/>
          <w:szCs w:val="24"/>
        </w:rPr>
        <w:fldChar w:fldCharType="end"/>
      </w:r>
      <w:r>
        <w:rPr>
          <w:sz w:val="24"/>
          <w:szCs w:val="24"/>
        </w:rPr>
        <w:t xml:space="preserve">. </w:t>
      </w:r>
    </w:p>
    <w:p w14:paraId="409EA236">
      <w:pPr>
        <w:rPr>
          <w:sz w:val="24"/>
          <w:szCs w:val="24"/>
        </w:rPr>
      </w:pPr>
      <w:r>
        <w:rPr>
          <w:sz w:val="24"/>
          <w:szCs w:val="24"/>
        </w:rPr>
        <w:t xml:space="preserve">Quinn, B., 2013. Key Concepts in Event Management. London: SAGE Publications. </w:t>
      </w:r>
      <w:r>
        <w:rPr>
          <w:sz w:val="24"/>
          <w:szCs w:val="24"/>
        </w:rPr>
        <w:fldChar w:fldCharType="begin"/>
      </w:r>
      <w:r>
        <w:rPr>
          <w:sz w:val="24"/>
          <w:szCs w:val="24"/>
        </w:rPr>
        <w:instrText xml:space="preserve"> HYPERLINK "https://sk.sagepub.com/books/key-concepts-in-event-management" </w:instrText>
      </w:r>
      <w:r>
        <w:rPr>
          <w:sz w:val="24"/>
          <w:szCs w:val="24"/>
        </w:rPr>
        <w:fldChar w:fldCharType="separate"/>
      </w:r>
      <w:r>
        <w:rPr>
          <w:rStyle w:val="4"/>
          <w:sz w:val="24"/>
          <w:szCs w:val="24"/>
        </w:rPr>
        <w:t>https://sk.sagepub.com/books/key-concepts-in-event-management</w:t>
      </w:r>
      <w:r>
        <w:rPr>
          <w:rStyle w:val="4"/>
          <w:sz w:val="24"/>
          <w:szCs w:val="24"/>
        </w:rPr>
        <w:fldChar w:fldCharType="end"/>
      </w:r>
      <w:r>
        <w:rPr>
          <w:sz w:val="24"/>
          <w:szCs w:val="24"/>
        </w:rPr>
        <w:t xml:space="preserve"> </w:t>
      </w:r>
    </w:p>
    <w:p w14:paraId="20C1C610">
      <w:pPr>
        <w:rPr>
          <w:sz w:val="24"/>
          <w:szCs w:val="24"/>
        </w:rPr>
      </w:pPr>
      <w:r>
        <w:rPr>
          <w:sz w:val="24"/>
          <w:szCs w:val="24"/>
        </w:rPr>
        <w:t xml:space="preserve">Reid, S. and Ritchie, B., 2011. Risk Management: Event Managers' Attitudes, Beliefs, and Perceived Constraints. Event Management, 15(4), pp.329–341. </w:t>
      </w:r>
      <w:r>
        <w:rPr>
          <w:sz w:val="24"/>
          <w:szCs w:val="24"/>
        </w:rPr>
        <w:fldChar w:fldCharType="begin"/>
      </w:r>
      <w:r>
        <w:rPr>
          <w:sz w:val="24"/>
          <w:szCs w:val="24"/>
        </w:rPr>
        <w:instrText xml:space="preserve"> HYPERLINK "https://www.proquest.com/scholarly-journals/risk-management-event-managers-attitudes-beliefs/docview/2779415463/se-2?accountid=130472" </w:instrText>
      </w:r>
      <w:r>
        <w:rPr>
          <w:sz w:val="24"/>
          <w:szCs w:val="24"/>
        </w:rPr>
        <w:fldChar w:fldCharType="separate"/>
      </w:r>
      <w:r>
        <w:rPr>
          <w:rStyle w:val="4"/>
          <w:sz w:val="24"/>
          <w:szCs w:val="24"/>
        </w:rPr>
        <w:t>https://www.proquest.com/scholarly-journals/risk-management-event-managers-attitudes-beliefs/docview/2779415463/se-2?accountid=130472</w:t>
      </w:r>
      <w:r>
        <w:rPr>
          <w:rStyle w:val="4"/>
          <w:sz w:val="24"/>
          <w:szCs w:val="24"/>
        </w:rPr>
        <w:fldChar w:fldCharType="end"/>
      </w:r>
      <w:r>
        <w:rPr>
          <w:sz w:val="24"/>
          <w:szCs w:val="24"/>
        </w:rPr>
        <w:t xml:space="preserve"> </w:t>
      </w:r>
    </w:p>
    <w:p w14:paraId="44D8227D">
      <w:pPr>
        <w:rPr>
          <w:sz w:val="24"/>
          <w:szCs w:val="24"/>
        </w:rPr>
      </w:pPr>
      <w:r>
        <w:rPr>
          <w:sz w:val="24"/>
          <w:szCs w:val="24"/>
        </w:rPr>
        <w:t xml:space="preserve">Rice, C., &amp; Mündel, I., 2019. Multimedia Storytelling Methodology: Notes on Access and Inclusion in Neoliberal Times. Canadian Journal of Disability Studies. </w:t>
      </w:r>
      <w:r>
        <w:rPr>
          <w:sz w:val="24"/>
          <w:szCs w:val="24"/>
        </w:rPr>
        <w:fldChar w:fldCharType="begin"/>
      </w:r>
      <w:r>
        <w:rPr>
          <w:sz w:val="24"/>
          <w:szCs w:val="24"/>
        </w:rPr>
        <w:instrText xml:space="preserve"> HYPERLINK "https://doi.org/10.15353/CJDS.V8I1.473" </w:instrText>
      </w:r>
      <w:r>
        <w:rPr>
          <w:sz w:val="24"/>
          <w:szCs w:val="24"/>
        </w:rPr>
        <w:fldChar w:fldCharType="separate"/>
      </w:r>
      <w:r>
        <w:rPr>
          <w:rStyle w:val="4"/>
          <w:sz w:val="24"/>
          <w:szCs w:val="24"/>
        </w:rPr>
        <w:t>https://doi.org/10.15353/CJDS.V8I1.473</w:t>
      </w:r>
      <w:r>
        <w:rPr>
          <w:rStyle w:val="4"/>
          <w:sz w:val="24"/>
          <w:szCs w:val="24"/>
        </w:rPr>
        <w:fldChar w:fldCharType="end"/>
      </w:r>
      <w:r>
        <w:rPr>
          <w:sz w:val="24"/>
          <w:szCs w:val="24"/>
        </w:rPr>
        <w:t xml:space="preserve">.  </w:t>
      </w:r>
    </w:p>
    <w:p w14:paraId="32AFE49C">
      <w:pPr>
        <w:rPr>
          <w:sz w:val="24"/>
          <w:szCs w:val="24"/>
        </w:rPr>
      </w:pPr>
      <w:r>
        <w:rPr>
          <w:sz w:val="24"/>
          <w:szCs w:val="24"/>
        </w:rPr>
        <w:t xml:space="preserve">Saavedra, J., Pérez, E., Crawford, P., &amp; Arias, S., 2018. Recovery and creative practices in people with severe mental illness: evaluating well-being and social inclusion. Disability and Rehabilitation, 40, pp. 905 - 911. </w:t>
      </w:r>
      <w:r>
        <w:rPr>
          <w:sz w:val="24"/>
          <w:szCs w:val="24"/>
        </w:rPr>
        <w:fldChar w:fldCharType="begin"/>
      </w:r>
      <w:r>
        <w:rPr>
          <w:sz w:val="24"/>
          <w:szCs w:val="24"/>
        </w:rPr>
        <w:instrText xml:space="preserve"> HYPERLINK "https://doi.org/10.1080/09638288.2017.1278797" </w:instrText>
      </w:r>
      <w:r>
        <w:rPr>
          <w:sz w:val="24"/>
          <w:szCs w:val="24"/>
        </w:rPr>
        <w:fldChar w:fldCharType="separate"/>
      </w:r>
      <w:r>
        <w:rPr>
          <w:rStyle w:val="4"/>
          <w:sz w:val="24"/>
          <w:szCs w:val="24"/>
        </w:rPr>
        <w:t>https://doi.org/10.1080/09638288.2017.1278797</w:t>
      </w:r>
      <w:r>
        <w:rPr>
          <w:rStyle w:val="4"/>
          <w:sz w:val="24"/>
          <w:szCs w:val="24"/>
        </w:rPr>
        <w:fldChar w:fldCharType="end"/>
      </w:r>
      <w:r>
        <w:rPr>
          <w:sz w:val="24"/>
          <w:szCs w:val="24"/>
        </w:rPr>
        <w:t xml:space="preserve">.  </w:t>
      </w:r>
    </w:p>
    <w:p w14:paraId="20E20E4A">
      <w:pPr>
        <w:rPr>
          <w:sz w:val="24"/>
          <w:szCs w:val="24"/>
        </w:rPr>
      </w:pPr>
      <w:r>
        <w:rPr>
          <w:sz w:val="24"/>
          <w:szCs w:val="24"/>
        </w:rPr>
        <w:t xml:space="preserve">Sched, 2024. Event Venue Selection: 8 Factors to Consider &amp; How to Choose. </w:t>
      </w:r>
      <w:r>
        <w:rPr>
          <w:sz w:val="24"/>
          <w:szCs w:val="24"/>
        </w:rPr>
        <w:fldChar w:fldCharType="begin"/>
      </w:r>
      <w:r>
        <w:rPr>
          <w:sz w:val="24"/>
          <w:szCs w:val="24"/>
        </w:rPr>
        <w:instrText xml:space="preserve"> HYPERLINK "https://sched.com/blog/venue-selection/" </w:instrText>
      </w:r>
      <w:r>
        <w:rPr>
          <w:sz w:val="24"/>
          <w:szCs w:val="24"/>
        </w:rPr>
        <w:fldChar w:fldCharType="separate"/>
      </w:r>
      <w:r>
        <w:rPr>
          <w:rStyle w:val="4"/>
          <w:sz w:val="24"/>
          <w:szCs w:val="24"/>
        </w:rPr>
        <w:t>https://sched.com/blog/venue-selection/</w:t>
      </w:r>
      <w:r>
        <w:rPr>
          <w:rStyle w:val="4"/>
          <w:sz w:val="24"/>
          <w:szCs w:val="24"/>
        </w:rPr>
        <w:fldChar w:fldCharType="end"/>
      </w:r>
      <w:r>
        <w:rPr>
          <w:sz w:val="24"/>
          <w:szCs w:val="24"/>
        </w:rPr>
        <w:t xml:space="preserve">    </w:t>
      </w:r>
    </w:p>
    <w:p w14:paraId="1B4AE9A7">
      <w:pPr>
        <w:rPr>
          <w:sz w:val="24"/>
          <w:szCs w:val="24"/>
        </w:rPr>
      </w:pPr>
      <w:r>
        <w:rPr>
          <w:sz w:val="24"/>
          <w:szCs w:val="24"/>
        </w:rPr>
        <w:t xml:space="preserve">Siriwatthanatrakarn, C., &amp; Kidrakarn, K., 2024. The Development of Integrated Marketing Communication Strategies for Organizing International Running Events. Studies in Media and Communication. </w:t>
      </w:r>
      <w:r>
        <w:rPr>
          <w:sz w:val="24"/>
          <w:szCs w:val="24"/>
        </w:rPr>
        <w:fldChar w:fldCharType="begin"/>
      </w:r>
      <w:r>
        <w:rPr>
          <w:sz w:val="24"/>
          <w:szCs w:val="24"/>
        </w:rPr>
        <w:instrText xml:space="preserve"> HYPERLINK "https://doi.org/10.11114/smc.v12i4.7009" </w:instrText>
      </w:r>
      <w:r>
        <w:rPr>
          <w:sz w:val="24"/>
          <w:szCs w:val="24"/>
        </w:rPr>
        <w:fldChar w:fldCharType="separate"/>
      </w:r>
      <w:r>
        <w:rPr>
          <w:rStyle w:val="4"/>
          <w:sz w:val="24"/>
          <w:szCs w:val="24"/>
        </w:rPr>
        <w:t>https://doi.org/10.11114/smc.v12i4.7009</w:t>
      </w:r>
      <w:r>
        <w:rPr>
          <w:rStyle w:val="4"/>
          <w:sz w:val="24"/>
          <w:szCs w:val="24"/>
        </w:rPr>
        <w:fldChar w:fldCharType="end"/>
      </w:r>
      <w:r>
        <w:rPr>
          <w:sz w:val="24"/>
          <w:szCs w:val="24"/>
        </w:rPr>
        <w:t xml:space="preserve">. </w:t>
      </w:r>
    </w:p>
    <w:p w14:paraId="23F26B0F">
      <w:pPr>
        <w:rPr>
          <w:sz w:val="24"/>
          <w:szCs w:val="24"/>
        </w:rPr>
      </w:pPr>
      <w:r>
        <w:rPr>
          <w:sz w:val="24"/>
          <w:szCs w:val="24"/>
        </w:rPr>
        <w:t xml:space="preserve">Sivasankaran, V., , B., Mahadik, S., Khair, M., Goel, O., &amp; Jain, A., 2023. Effective Risk Mitigation Strategies in Digital Project Management. Innovative Research Thoughts. </w:t>
      </w:r>
      <w:r>
        <w:rPr>
          <w:sz w:val="24"/>
          <w:szCs w:val="24"/>
        </w:rPr>
        <w:fldChar w:fldCharType="begin"/>
      </w:r>
      <w:r>
        <w:rPr>
          <w:sz w:val="24"/>
          <w:szCs w:val="24"/>
        </w:rPr>
        <w:instrText xml:space="preserve"> HYPERLINK "https://doi.org/10.36676/irt.v9.i1.1500" </w:instrText>
      </w:r>
      <w:r>
        <w:rPr>
          <w:sz w:val="24"/>
          <w:szCs w:val="24"/>
        </w:rPr>
        <w:fldChar w:fldCharType="separate"/>
      </w:r>
      <w:r>
        <w:rPr>
          <w:rStyle w:val="4"/>
          <w:sz w:val="24"/>
          <w:szCs w:val="24"/>
        </w:rPr>
        <w:t>https://doi.org/10.36676/irt.v9.i1.1500</w:t>
      </w:r>
      <w:r>
        <w:rPr>
          <w:rStyle w:val="4"/>
          <w:sz w:val="24"/>
          <w:szCs w:val="24"/>
        </w:rPr>
        <w:fldChar w:fldCharType="end"/>
      </w:r>
      <w:r>
        <w:rPr>
          <w:sz w:val="24"/>
          <w:szCs w:val="24"/>
        </w:rPr>
        <w:t xml:space="preserve">. </w:t>
      </w:r>
    </w:p>
    <w:p w14:paraId="2601EB8D">
      <w:pPr>
        <w:rPr>
          <w:sz w:val="24"/>
          <w:szCs w:val="24"/>
        </w:rPr>
      </w:pPr>
      <w:r>
        <w:rPr>
          <w:sz w:val="24"/>
          <w:szCs w:val="24"/>
        </w:rPr>
        <w:t xml:space="preserve">Sofică, A., &amp; Cosma, S., 2018. Extended Marketing Mix (7Ps) and HRM Recruiting. How to Sell a Job. Studia Universitatis Babeș-Bolyai Negotia. </w:t>
      </w:r>
      <w:r>
        <w:rPr>
          <w:sz w:val="24"/>
          <w:szCs w:val="24"/>
        </w:rPr>
        <w:fldChar w:fldCharType="begin"/>
      </w:r>
      <w:r>
        <w:rPr>
          <w:sz w:val="24"/>
          <w:szCs w:val="24"/>
        </w:rPr>
        <w:instrText xml:space="preserve"> HYPERLINK "https://doi.org/10.24193/SUBBNEGOTIA.2018.3.01" </w:instrText>
      </w:r>
      <w:r>
        <w:rPr>
          <w:sz w:val="24"/>
          <w:szCs w:val="24"/>
        </w:rPr>
        <w:fldChar w:fldCharType="separate"/>
      </w:r>
      <w:r>
        <w:rPr>
          <w:rStyle w:val="4"/>
          <w:sz w:val="24"/>
          <w:szCs w:val="24"/>
        </w:rPr>
        <w:t>https://doi.org/10.24193/SUBBNEGOTIA.2018.3.01</w:t>
      </w:r>
      <w:r>
        <w:rPr>
          <w:rStyle w:val="4"/>
          <w:sz w:val="24"/>
          <w:szCs w:val="24"/>
        </w:rPr>
        <w:fldChar w:fldCharType="end"/>
      </w:r>
      <w:r>
        <w:rPr>
          <w:sz w:val="24"/>
          <w:szCs w:val="24"/>
        </w:rPr>
        <w:t xml:space="preserve">.  </w:t>
      </w:r>
    </w:p>
    <w:p w14:paraId="32B6568B">
      <w:pPr>
        <w:rPr>
          <w:sz w:val="24"/>
          <w:szCs w:val="24"/>
        </w:rPr>
      </w:pPr>
      <w:r>
        <w:rPr>
          <w:sz w:val="24"/>
          <w:szCs w:val="24"/>
        </w:rPr>
        <w:t xml:space="preserve">Testa, M.R. and Metter, M., 2017. Assessing economic impact as a means for event efficacy: A proposed model and case study. Event Management, 21, pp.61-70. </w:t>
      </w:r>
      <w:r>
        <w:rPr>
          <w:sz w:val="24"/>
          <w:szCs w:val="24"/>
        </w:rPr>
        <w:fldChar w:fldCharType="begin"/>
      </w:r>
      <w:r>
        <w:rPr>
          <w:sz w:val="24"/>
          <w:szCs w:val="24"/>
        </w:rPr>
        <w:instrText xml:space="preserve"> HYPERLINK "https://www.proquest.com/scholarly-journals/assessing-economic-impact-as-means-event-efficacy/docview/2779500131/se-2?accountid=130472" </w:instrText>
      </w:r>
      <w:r>
        <w:rPr>
          <w:sz w:val="24"/>
          <w:szCs w:val="24"/>
        </w:rPr>
        <w:fldChar w:fldCharType="separate"/>
      </w:r>
      <w:r>
        <w:rPr>
          <w:rStyle w:val="4"/>
          <w:sz w:val="24"/>
          <w:szCs w:val="24"/>
        </w:rPr>
        <w:t>https://www.proquest.com/scholarly-journals/assessing-economic-impact-as-means-event-efficacy/docview/2779500131/se-2?accountid=130472</w:t>
      </w:r>
      <w:r>
        <w:rPr>
          <w:rStyle w:val="4"/>
          <w:sz w:val="24"/>
          <w:szCs w:val="24"/>
        </w:rPr>
        <w:fldChar w:fldCharType="end"/>
      </w:r>
      <w:r>
        <w:rPr>
          <w:sz w:val="24"/>
          <w:szCs w:val="24"/>
        </w:rPr>
        <w:t xml:space="preserve"> </w:t>
      </w:r>
    </w:p>
    <w:p w14:paraId="1822CF91">
      <w:pPr>
        <w:rPr>
          <w:sz w:val="24"/>
          <w:szCs w:val="24"/>
        </w:rPr>
      </w:pPr>
      <w:r>
        <w:rPr>
          <w:sz w:val="24"/>
          <w:szCs w:val="24"/>
        </w:rPr>
        <w:t xml:space="preserve">Wirantari, K., Aryana, N., Sutama, K., Mudana, G., Ruki, M., &amp; Mataram, G., 2022. Implementation of Marketing Mix to Increase Meeting Events. International Journal of Travel, Hospitality and Events. </w:t>
      </w:r>
      <w:r>
        <w:rPr>
          <w:sz w:val="24"/>
          <w:szCs w:val="24"/>
        </w:rPr>
        <w:fldChar w:fldCharType="begin"/>
      </w:r>
      <w:r>
        <w:rPr>
          <w:sz w:val="24"/>
          <w:szCs w:val="24"/>
        </w:rPr>
        <w:instrText xml:space="preserve"> HYPERLINK "https://doi.org/10.56743/ijothe.v1i2.18" </w:instrText>
      </w:r>
      <w:r>
        <w:rPr>
          <w:sz w:val="24"/>
          <w:szCs w:val="24"/>
        </w:rPr>
        <w:fldChar w:fldCharType="separate"/>
      </w:r>
      <w:r>
        <w:rPr>
          <w:rStyle w:val="4"/>
          <w:sz w:val="24"/>
          <w:szCs w:val="24"/>
        </w:rPr>
        <w:t>https://doi.org/10.56743/ijothe.v1i2.18</w:t>
      </w:r>
      <w:r>
        <w:rPr>
          <w:rStyle w:val="4"/>
          <w:sz w:val="24"/>
          <w:szCs w:val="24"/>
        </w:rPr>
        <w:fldChar w:fldCharType="end"/>
      </w:r>
      <w:r>
        <w:rPr>
          <w:sz w:val="24"/>
          <w:szCs w:val="24"/>
        </w:rPr>
        <w:t xml:space="preserve">. </w:t>
      </w:r>
    </w:p>
    <w:p w14:paraId="0A81A294">
      <w:pPr>
        <w:rPr>
          <w:sz w:val="24"/>
          <w:szCs w:val="24"/>
        </w:rPr>
      </w:pPr>
      <w:r>
        <w:rPr>
          <w:sz w:val="24"/>
          <w:szCs w:val="24"/>
        </w:rPr>
        <w:t xml:space="preserve">Wrathall, J., &amp; Steriopoulos, E., 2022. Event budgeting and financial health. Reimagining and Reshaping Events. </w:t>
      </w:r>
      <w:r>
        <w:rPr>
          <w:sz w:val="24"/>
          <w:szCs w:val="24"/>
        </w:rPr>
        <w:fldChar w:fldCharType="begin"/>
      </w:r>
      <w:r>
        <w:rPr>
          <w:sz w:val="24"/>
          <w:szCs w:val="24"/>
        </w:rPr>
        <w:instrText xml:space="preserve"> HYPERLINK "https://doi.org/10.23912/9781911635871-4963" </w:instrText>
      </w:r>
      <w:r>
        <w:rPr>
          <w:sz w:val="24"/>
          <w:szCs w:val="24"/>
        </w:rPr>
        <w:fldChar w:fldCharType="separate"/>
      </w:r>
      <w:r>
        <w:rPr>
          <w:rStyle w:val="4"/>
          <w:sz w:val="24"/>
          <w:szCs w:val="24"/>
        </w:rPr>
        <w:t>https://doi.org/10.23912/9781911635871-4963</w:t>
      </w:r>
      <w:r>
        <w:rPr>
          <w:rStyle w:val="4"/>
          <w:sz w:val="24"/>
          <w:szCs w:val="24"/>
        </w:rPr>
        <w:fldChar w:fldCharType="end"/>
      </w:r>
      <w:r>
        <w:rPr>
          <w:sz w:val="24"/>
          <w:szCs w:val="24"/>
        </w:rPr>
        <w:t xml:space="preserve">. </w:t>
      </w:r>
    </w:p>
    <w:p w14:paraId="2A46C462">
      <w:pPr>
        <w:rPr>
          <w:sz w:val="24"/>
          <w:szCs w:val="24"/>
        </w:rPr>
      </w:pPr>
      <w:r>
        <w:rPr>
          <w:sz w:val="24"/>
          <w:szCs w:val="24"/>
          <w:lang w:val="de-DE"/>
        </w:rPr>
        <w:t xml:space="preserve">Zeitz MOCAA, 2024. Zeitz Museum Event Hosting. </w:t>
      </w:r>
      <w:r>
        <w:rPr>
          <w:sz w:val="24"/>
          <w:szCs w:val="24"/>
        </w:rPr>
        <w:t xml:space="preserve">[online] Available at: </w:t>
      </w:r>
      <w:r>
        <w:rPr>
          <w:sz w:val="24"/>
          <w:szCs w:val="24"/>
        </w:rPr>
        <w:fldChar w:fldCharType="begin"/>
      </w:r>
      <w:r>
        <w:rPr>
          <w:sz w:val="24"/>
          <w:szCs w:val="24"/>
        </w:rPr>
        <w:instrText xml:space="preserve"> HYPERLINK "https://zeitzmocaa.museum/" </w:instrText>
      </w:r>
      <w:r>
        <w:rPr>
          <w:sz w:val="24"/>
          <w:szCs w:val="24"/>
        </w:rPr>
        <w:fldChar w:fldCharType="separate"/>
      </w:r>
      <w:r>
        <w:rPr>
          <w:rStyle w:val="4"/>
          <w:sz w:val="24"/>
          <w:szCs w:val="24"/>
        </w:rPr>
        <w:t>https://zeitzmocaa.museum/</w:t>
      </w:r>
      <w:r>
        <w:rPr>
          <w:rStyle w:val="4"/>
          <w:sz w:val="24"/>
          <w:szCs w:val="24"/>
        </w:rPr>
        <w:fldChar w:fldCharType="end"/>
      </w:r>
      <w:r>
        <w:rPr>
          <w:sz w:val="24"/>
          <w:szCs w:val="24"/>
        </w:rPr>
        <w:t xml:space="preserve"> </w:t>
      </w:r>
    </w:p>
    <w:p w14:paraId="77E8BB6A">
      <w:pPr>
        <w:rPr>
          <w:sz w:val="24"/>
          <w:szCs w:val="24"/>
        </w:rPr>
      </w:pPr>
      <w:r>
        <w:rPr>
          <w:sz w:val="24"/>
          <w:szCs w:val="24"/>
        </w:rPr>
        <w:t xml:space="preserve">National Restaurant Association, 2022. Diversity, Equity, and Inclusion in the Restaurant Industry.  </w:t>
      </w:r>
      <w:r>
        <w:rPr>
          <w:sz w:val="24"/>
          <w:szCs w:val="24"/>
        </w:rPr>
        <w:fldChar w:fldCharType="begin"/>
      </w:r>
      <w:r>
        <w:rPr>
          <w:sz w:val="24"/>
          <w:szCs w:val="24"/>
        </w:rPr>
        <w:instrText xml:space="preserve"> HYPERLINK "https://restaurant.org/research-and-media/research/research-reports/dei/" </w:instrText>
      </w:r>
      <w:r>
        <w:rPr>
          <w:sz w:val="24"/>
          <w:szCs w:val="24"/>
        </w:rPr>
        <w:fldChar w:fldCharType="separate"/>
      </w:r>
      <w:r>
        <w:rPr>
          <w:rStyle w:val="4"/>
          <w:sz w:val="24"/>
          <w:szCs w:val="24"/>
        </w:rPr>
        <w:t>https://restaurant.org/research-and-media/research/research-reports/dei/</w:t>
      </w:r>
      <w:r>
        <w:rPr>
          <w:rStyle w:val="4"/>
          <w:sz w:val="24"/>
          <w:szCs w:val="24"/>
        </w:rPr>
        <w:fldChar w:fldCharType="end"/>
      </w:r>
    </w:p>
    <w:p w14:paraId="366ACD37">
      <w:pPr>
        <w:rPr>
          <w:sz w:val="24"/>
          <w:szCs w:val="24"/>
        </w:rPr>
      </w:pPr>
      <w:r>
        <w:rPr>
          <w:sz w:val="24"/>
          <w:szCs w:val="24"/>
        </w:rPr>
        <w:t xml:space="preserve">Hcareers (2020) ‘Survey Results: Diversity and Hospitality Upper Management’, Hcareers. Available at: </w:t>
      </w:r>
      <w:r>
        <w:rPr>
          <w:sz w:val="24"/>
          <w:szCs w:val="24"/>
        </w:rPr>
        <w:fldChar w:fldCharType="begin"/>
      </w:r>
      <w:r>
        <w:rPr>
          <w:sz w:val="24"/>
          <w:szCs w:val="24"/>
        </w:rPr>
        <w:instrText xml:space="preserve"> HYPERLINK "https://www.hcareers.com/article/employer-articles/survey-results-diversity-and-hospitality-upper-management" </w:instrText>
      </w:r>
      <w:r>
        <w:rPr>
          <w:sz w:val="24"/>
          <w:szCs w:val="24"/>
        </w:rPr>
        <w:fldChar w:fldCharType="separate"/>
      </w:r>
      <w:r>
        <w:rPr>
          <w:rStyle w:val="4"/>
          <w:sz w:val="24"/>
          <w:szCs w:val="24"/>
        </w:rPr>
        <w:t>https://www.hcareers.com/article/employer-articles/survey-results-diversity-and-hospitality-upper-management</w:t>
      </w:r>
      <w:r>
        <w:rPr>
          <w:rStyle w:val="4"/>
          <w:sz w:val="24"/>
          <w:szCs w:val="24"/>
        </w:rPr>
        <w:fldChar w:fldCharType="end"/>
      </w:r>
      <w:r>
        <w:rPr>
          <w:sz w:val="24"/>
          <w:szCs w:val="24"/>
        </w:rPr>
        <w:t xml:space="preserve"> </w:t>
      </w:r>
    </w:p>
    <w:p w14:paraId="3A4F8CA0">
      <w:pPr>
        <w:rPr>
          <w:sz w:val="24"/>
          <w:szCs w:val="24"/>
        </w:rPr>
      </w:pPr>
      <w:r>
        <w:rPr>
          <w:sz w:val="24"/>
          <w:szCs w:val="24"/>
        </w:rPr>
        <w:t xml:space="preserve">Pennsylvania State University (PSU) (2023) ‘Hotel Industry Board Diversity Report 2023’, School of Hospitality Management, PSU. Available at: </w:t>
      </w:r>
      <w:r>
        <w:rPr>
          <w:sz w:val="24"/>
          <w:szCs w:val="24"/>
        </w:rPr>
        <w:fldChar w:fldCharType="begin"/>
      </w:r>
      <w:r>
        <w:rPr>
          <w:sz w:val="24"/>
          <w:szCs w:val="24"/>
        </w:rPr>
        <w:instrText xml:space="preserve"> HYPERLINK "https://hhd.psu.edu/sites/default/files/hospitality-management-hm/shm/hospitality-management-hmshm-hotel-industry-board-diversity-report-2023.pdf" </w:instrText>
      </w:r>
      <w:r>
        <w:rPr>
          <w:sz w:val="24"/>
          <w:szCs w:val="24"/>
        </w:rPr>
        <w:fldChar w:fldCharType="separate"/>
      </w:r>
      <w:r>
        <w:rPr>
          <w:rStyle w:val="4"/>
          <w:sz w:val="24"/>
          <w:szCs w:val="24"/>
        </w:rPr>
        <w:t>https://hhd.psu.edu/sites/default/files/hospitality-management-hm/shm/hospitality-management-hmshm-hotel-industry-board-diversity-report-2023.pdf</w:t>
      </w:r>
      <w:r>
        <w:rPr>
          <w:rStyle w:val="4"/>
          <w:sz w:val="24"/>
          <w:szCs w:val="24"/>
        </w:rPr>
        <w:fldChar w:fldCharType="end"/>
      </w:r>
      <w:r>
        <w:rPr>
          <w:sz w:val="24"/>
          <w:szCs w:val="24"/>
        </w:rPr>
        <w:t xml:space="preserve"> </w:t>
      </w:r>
    </w:p>
    <w:p w14:paraId="0F2AD69A">
      <w:pPr>
        <w:rPr>
          <w:sz w:val="24"/>
          <w:szCs w:val="24"/>
        </w:rPr>
      </w:pPr>
      <w:r>
        <w:rPr>
          <w:sz w:val="24"/>
          <w:szCs w:val="24"/>
        </w:rPr>
        <w:t xml:space="preserve">Reuters (2024) ‘Migrants are making their mark in Italy’s restaurant kitchens’, Reuters, 10 October. Available at: </w:t>
      </w:r>
      <w:r>
        <w:rPr>
          <w:sz w:val="24"/>
          <w:szCs w:val="24"/>
        </w:rPr>
        <w:fldChar w:fldCharType="begin"/>
      </w:r>
      <w:r>
        <w:rPr>
          <w:sz w:val="24"/>
          <w:szCs w:val="24"/>
        </w:rPr>
        <w:instrText xml:space="preserve"> HYPERLINK "https://www.reuters.com/world/europe/migrants-are-making-their-mark-italys-restaurant-kitchens-2024-10-10/" </w:instrText>
      </w:r>
      <w:r>
        <w:rPr>
          <w:sz w:val="24"/>
          <w:szCs w:val="24"/>
        </w:rPr>
        <w:fldChar w:fldCharType="separate"/>
      </w:r>
      <w:r>
        <w:rPr>
          <w:rStyle w:val="4"/>
          <w:sz w:val="24"/>
          <w:szCs w:val="24"/>
        </w:rPr>
        <w:t>https://www.reuters.com/world/europe/migrants-are-making-their-mark-italys-restaurant-kitchens-2024-10-10/</w:t>
      </w:r>
      <w:r>
        <w:rPr>
          <w:rStyle w:val="4"/>
          <w:sz w:val="24"/>
          <w:szCs w:val="24"/>
        </w:rPr>
        <w:fldChar w:fldCharType="end"/>
      </w:r>
    </w:p>
    <w:p w14:paraId="36516452">
      <w:pPr>
        <w:jc w:val="left"/>
        <w:rPr>
          <w:sz w:val="24"/>
          <w:szCs w:val="24"/>
        </w:rPr>
      </w:pPr>
    </w:p>
    <w:p w14:paraId="7E0421A6">
      <w:pPr>
        <w:jc w:val="left"/>
        <w:rPr>
          <w:sz w:val="24"/>
          <w:szCs w:val="24"/>
        </w:rPr>
      </w:pPr>
    </w:p>
    <w:p w14:paraId="1CF5748F">
      <w:pPr>
        <w:jc w:val="left"/>
        <w:rPr>
          <w:rFonts w:hint="default"/>
          <w:sz w:val="24"/>
          <w:szCs w:val="24"/>
          <w:lang w:val="ro-RO"/>
        </w:rPr>
      </w:pPr>
    </w:p>
    <w:p w14:paraId="033D643E">
      <w:pPr>
        <w:jc w:val="left"/>
        <w:rPr>
          <w:rFonts w:hint="default"/>
          <w:sz w:val="24"/>
          <w:szCs w:val="24"/>
          <w:lang w:val="ro-RO"/>
        </w:rPr>
      </w:pPr>
    </w:p>
    <w:p w14:paraId="3634BD78">
      <w:pPr>
        <w:jc w:val="left"/>
        <w:rPr>
          <w:rFonts w:hint="default"/>
          <w:sz w:val="24"/>
          <w:szCs w:val="24"/>
          <w:lang w:val="ro-RO"/>
        </w:rPr>
      </w:pPr>
    </w:p>
    <w:p w14:paraId="7F7F0513">
      <w:pPr>
        <w:jc w:val="left"/>
        <w:rPr>
          <w:rFonts w:hint="default"/>
          <w:sz w:val="24"/>
          <w:szCs w:val="24"/>
          <w:lang w:val="ro-RO"/>
        </w:rPr>
      </w:pPr>
    </w:p>
    <w:p w14:paraId="429DA5FA">
      <w:pPr>
        <w:jc w:val="left"/>
        <w:rPr>
          <w:rFonts w:hint="default"/>
          <w:sz w:val="24"/>
          <w:szCs w:val="24"/>
          <w:lang w:val="ro-RO"/>
        </w:rPr>
      </w:pPr>
    </w:p>
    <w:p w14:paraId="6D816DD1">
      <w:pPr>
        <w:jc w:val="left"/>
        <w:rPr>
          <w:rFonts w:hint="default"/>
          <w:sz w:val="24"/>
          <w:szCs w:val="24"/>
          <w:lang w:val="ro-RO"/>
        </w:rPr>
      </w:pPr>
    </w:p>
    <w:p w14:paraId="6E8431B2">
      <w:pPr>
        <w:jc w:val="left"/>
        <w:rPr>
          <w:rFonts w:hint="default"/>
          <w:sz w:val="24"/>
          <w:szCs w:val="24"/>
          <w:lang w:val="ro-RO"/>
        </w:rPr>
      </w:pPr>
      <w:r>
        <w:rPr>
          <w:rFonts w:hint="default"/>
          <w:sz w:val="24"/>
          <w:szCs w:val="24"/>
          <w:lang w:val="ro-RO"/>
        </w:rPr>
        <w:t>I acknowledge the use of Grammarly App and Microsoft Word Editor on 07</w:t>
      </w:r>
      <w:r>
        <w:rPr>
          <w:rFonts w:hint="default"/>
          <w:sz w:val="24"/>
          <w:szCs w:val="24"/>
          <w:vertAlign w:val="superscript"/>
          <w:lang w:val="ro-RO"/>
        </w:rPr>
        <w:t>th</w:t>
      </w:r>
      <w:r>
        <w:rPr>
          <w:rFonts w:hint="default"/>
          <w:sz w:val="24"/>
          <w:szCs w:val="24"/>
          <w:lang w:val="ro-RO"/>
        </w:rPr>
        <w:t xml:space="preserve">  February 2025 to check my grammar syntax.</w:t>
      </w:r>
    </w:p>
    <w:p w14:paraId="374C0B6D">
      <w:pPr>
        <w:jc w:val="left"/>
        <w:rPr>
          <w:rFonts w:hint="default"/>
          <w:sz w:val="24"/>
          <w:szCs w:val="24"/>
          <w:lang w:val="ro-RO"/>
        </w:rPr>
      </w:pPr>
    </w:p>
    <w:p w14:paraId="45F1DA5B">
      <w:pPr>
        <w:jc w:val="left"/>
        <w:rPr>
          <w:rFonts w:hint="default"/>
          <w:sz w:val="24"/>
          <w:szCs w:val="24"/>
          <w:lang w:val="ro-RO"/>
        </w:rPr>
      </w:pPr>
      <w:r>
        <w:rPr>
          <w:rFonts w:hint="default"/>
          <w:sz w:val="24"/>
          <w:szCs w:val="24"/>
          <w:lang w:val="ro-RO"/>
        </w:rPr>
        <w:t>I confirm that I have not presented an AI generated text as my own work.</w:t>
      </w:r>
    </w:p>
    <w:p w14:paraId="06AFC630">
      <w:pPr>
        <w:jc w:val="left"/>
        <w:rPr>
          <w:rFonts w:hint="default"/>
          <w:sz w:val="24"/>
          <w:szCs w:val="24"/>
          <w:lang w:val="ro-RO"/>
        </w:rPr>
      </w:pPr>
    </w:p>
    <w:p w14:paraId="4D7F3226">
      <w:pPr>
        <w:jc w:val="left"/>
        <w:rPr>
          <w:rFonts w:hint="default"/>
          <w:sz w:val="24"/>
          <w:szCs w:val="24"/>
          <w:lang w:val="ro-RO"/>
        </w:rPr>
      </w:pPr>
      <w:r>
        <w:rPr>
          <w:rFonts w:hint="default"/>
          <w:sz w:val="24"/>
          <w:szCs w:val="24"/>
          <w:lang w:val="ro-RO"/>
        </w:rPr>
        <w:t>I confirm I have copies of my draft, notes and other resources I used before and after the use of AI tools which I may be asked to provide in evidence.</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E5E17"/>
    <w:rsid w:val="13726120"/>
    <w:rsid w:val="4FA87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svg"/><Relationship Id="rId8" Type="http://schemas.openxmlformats.org/officeDocument/2006/relationships/image" Target="media/image5.png"/><Relationship Id="rId7" Type="http://schemas.openxmlformats.org/officeDocument/2006/relationships/image" Target="media/image4.svg"/><Relationship Id="rId6" Type="http://schemas.openxmlformats.org/officeDocument/2006/relationships/image" Target="media/image3.png"/><Relationship Id="rId5" Type="http://schemas.openxmlformats.org/officeDocument/2006/relationships/image" Target="media/image2.sv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image" Target="media/image20.svg"/><Relationship Id="rId22" Type="http://schemas.openxmlformats.org/officeDocument/2006/relationships/image" Target="media/image19.png"/><Relationship Id="rId21" Type="http://schemas.openxmlformats.org/officeDocument/2006/relationships/image" Target="media/image18.sv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svg"/><Relationship Id="rId18" Type="http://schemas.openxmlformats.org/officeDocument/2006/relationships/image" Target="media/image15.png"/><Relationship Id="rId17" Type="http://schemas.openxmlformats.org/officeDocument/2006/relationships/image" Target="media/image14.svg"/><Relationship Id="rId16" Type="http://schemas.openxmlformats.org/officeDocument/2006/relationships/image" Target="media/image13.png"/><Relationship Id="rId15" Type="http://schemas.openxmlformats.org/officeDocument/2006/relationships/image" Target="media/image12.svg"/><Relationship Id="rId14" Type="http://schemas.openxmlformats.org/officeDocument/2006/relationships/image" Target="media/image11.png"/><Relationship Id="rId13" Type="http://schemas.openxmlformats.org/officeDocument/2006/relationships/image" Target="media/image10.svg"/><Relationship Id="rId12" Type="http://schemas.openxmlformats.org/officeDocument/2006/relationships/image" Target="media/image9.png"/><Relationship Id="rId11" Type="http://schemas.openxmlformats.org/officeDocument/2006/relationships/image" Target="media/image8.sv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8</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2025-02-07T11:47:14Z</dcterms:created>
  <dc:creator>HP Probook 650 G2</dc:creator>
  <cp:lastModifiedBy>HP Probook 650 G2</cp:lastModifiedBy>
  <dcterms:modified xsi:type="dcterms:W3CDTF">2025-02-07T12:15:48Z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22ACC8B2D9E94F57BC2B3BA40B825665_12</vt:lpwstr>
  </property>
</Properties>
</file>