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mc:AlternateContent>
          <mc:Choice Requires="wps">
            <w:drawing>
              <wp:anchor distT="45720" distB="45720" distL="114300" distR="114300" simplePos="0" relativeHeight="251663360" behindDoc="0" locked="0" layoutInCell="1" allowOverlap="1">
                <wp:simplePos x="0" y="0"/>
                <wp:positionH relativeFrom="page">
                  <wp:align>right</wp:align>
                </wp:positionH>
                <wp:positionV relativeFrom="paragraph">
                  <wp:posOffset>2336800</wp:posOffset>
                </wp:positionV>
                <wp:extent cx="4089400" cy="1435100"/>
                <wp:effectExtent l="95250" t="38100" r="44450" b="88900"/>
                <wp:wrapSquare wrapText="bothSides"/>
                <wp:docPr id="14" name="文本框 14"/>
                <wp:cNvGraphicFramePr/>
                <a:graphic xmlns:a="http://schemas.openxmlformats.org/drawingml/2006/main">
                  <a:graphicData uri="http://schemas.microsoft.com/office/word/2010/wordprocessingShape">
                    <wps:wsp>
                      <wps:cNvSpPr txBox="1">
                        <a:spLocks noChangeArrowheads="1"/>
                      </wps:cNvSpPr>
                      <wps:spPr bwMode="auto">
                        <a:xfrm>
                          <a:off x="0" y="0"/>
                          <a:ext cx="4089400" cy="1435100"/>
                        </a:xfrm>
                        <a:prstGeom prst="rect">
                          <a:avLst/>
                        </a:prstGeom>
                        <a:solidFill>
                          <a:schemeClr val="tx1">
                            <a:lumMod val="65000"/>
                            <a:lumOff val="35000"/>
                            <a:alpha val="84706"/>
                          </a:schemeClr>
                        </a:solidFill>
                        <a:ln w="9525">
                          <a:noFill/>
                          <a:miter lim="800000"/>
                        </a:ln>
                        <a:effectLst>
                          <a:outerShdw blurRad="50800" dist="38100" dir="8100000" algn="tr" rotWithShape="0">
                            <a:prstClr val="black">
                              <a:alpha val="40000"/>
                            </a:prstClr>
                          </a:outerShdw>
                        </a:effectLst>
                      </wps:spPr>
                      <wps:txbx>
                        <w:txbxContent>
                          <w:p>
                            <w:pPr>
                              <w:rPr>
                                <w:rFonts w:ascii="Bahnschrift Light Condensed" w:hAnsi="Bahnschrift Light Condensed"/>
                                <w:color w:val="F2F2F2" w:themeColor="background1" w:themeShade="F2"/>
                                <w:sz w:val="52"/>
                              </w:rPr>
                            </w:pPr>
                            <w:r>
                              <w:rPr>
                                <w:rFonts w:ascii="Bahnschrift Light Condensed" w:hAnsi="Bahnschrift Light Condensed"/>
                                <w:color w:val="F2F2F2" w:themeColor="background1" w:themeShade="F2"/>
                                <w:sz w:val="52"/>
                              </w:rPr>
                              <w:t xml:space="preserve">Water Privatization </w:t>
                            </w:r>
                          </w:p>
                          <w:p>
                            <w:pPr>
                              <w:rPr>
                                <w:rFonts w:ascii="Product Sans" w:hAnsi="Product Sans"/>
                                <w:color w:val="F2F2F2" w:themeColor="background1" w:themeShade="F2"/>
                                <w:sz w:val="44"/>
                              </w:rPr>
                            </w:pPr>
                            <w:r>
                              <w:rPr>
                                <w:rFonts w:ascii="Bahnschrift Light Condensed" w:hAnsi="Bahnschrift Light Condensed"/>
                                <w:color w:val="F2F2F2" w:themeColor="background1" w:themeShade="F2"/>
                                <w:sz w:val="52"/>
                              </w:rPr>
                              <w:t>and Corporate Social Responsibility</w:t>
                            </w:r>
                            <w:r>
                              <w:rPr>
                                <w:rFonts w:ascii="Product Sans" w:hAnsi="Product Sans"/>
                                <w:color w:val="F2F2F2" w:themeColor="background1" w:themeShade="F2"/>
                                <w:sz w:val="44"/>
                              </w:rPr>
                              <w:t xml:space="preserve"> </w:t>
                            </w:r>
                          </w:p>
                        </w:txbxContent>
                      </wps:txbx>
                      <wps:bodyPr rot="0" vert="horz" wrap="square" lIns="91440" tIns="45720" rIns="91440" bIns="45720" anchor="t" anchorCtr="0">
                        <a:noAutofit/>
                      </wps:bodyPr>
                    </wps:wsp>
                  </a:graphicData>
                </a:graphic>
              </wp:anchor>
            </w:drawing>
          </mc:Choice>
          <mc:Fallback>
            <w:pict>
              <v:shape id="_x0000_s1026" o:spid="_x0000_s1026" o:spt="202" type="#_x0000_t202" style="position:absolute;left:0pt;margin-top:184pt;height:113pt;width:322pt;mso-position-horizontal:right;mso-position-horizontal-relative:page;mso-wrap-distance-bottom:3.6pt;mso-wrap-distance-left:9pt;mso-wrap-distance-right:9pt;mso-wrap-distance-top:3.6pt;z-index:251663360;mso-width-relative:page;mso-height-relative:page;" fillcolor="#595959 [2109]" filled="t" stroked="f" coordsize="21600,21600" o:gfxdata="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">
                <v:fill on="t" opacity="55512f" focussize="0,0"/>
                <v:stroke on="f" miterlimit="8" joinstyle="miter"/>
                <v:imagedata o:title=""/>
                <o:lock v:ext="edit" aspectratio="f"/>
                <v:shadow on="t" color="#000000" opacity="26214f" offset="-2.12133858267717pt,2.12133858267717pt" origin="32768f,-32768f" matrix="65536f,0f,0f,65536f"/>
                <v:textbox>
                  <w:txbxContent>
                    <w:p>
                      <w:pPr>
                        <w:rPr>
                          <w:rFonts w:ascii="Bahnschrift Light Condensed" w:hAnsi="Bahnschrift Light Condensed"/>
                          <w:color w:val="F2F2F2" w:themeColor="background1" w:themeShade="F2"/>
                          <w:sz w:val="52"/>
                        </w:rPr>
                      </w:pPr>
                      <w:r>
                        <w:rPr>
                          <w:rFonts w:ascii="Bahnschrift Light Condensed" w:hAnsi="Bahnschrift Light Condensed"/>
                          <w:color w:val="F2F2F2" w:themeColor="background1" w:themeShade="F2"/>
                          <w:sz w:val="52"/>
                        </w:rPr>
                        <w:t xml:space="preserve">Water Privatization </w:t>
                      </w:r>
                    </w:p>
                    <w:p>
                      <w:pPr>
                        <w:rPr>
                          <w:rFonts w:ascii="Product Sans" w:hAnsi="Product Sans"/>
                          <w:color w:val="F2F2F2" w:themeColor="background1" w:themeShade="F2"/>
                          <w:sz w:val="44"/>
                        </w:rPr>
                      </w:pPr>
                      <w:r>
                        <w:rPr>
                          <w:rFonts w:ascii="Bahnschrift Light Condensed" w:hAnsi="Bahnschrift Light Condensed"/>
                          <w:color w:val="F2F2F2" w:themeColor="background1" w:themeShade="F2"/>
                          <w:sz w:val="52"/>
                        </w:rPr>
                        <w:t>and Corporate Social Responsibility</w:t>
                      </w:r>
                      <w:r>
                        <w:rPr>
                          <w:rFonts w:ascii="Product Sans" w:hAnsi="Product Sans"/>
                          <w:color w:val="F2F2F2" w:themeColor="background1" w:themeShade="F2"/>
                          <w:sz w:val="44"/>
                        </w:rPr>
                        <w:t xml:space="preserve"> </w:t>
                      </w:r>
                    </w:p>
                  </w:txbxContent>
                </v:textbox>
                <w10:wrap type="square"/>
              </v:shape>
            </w:pict>
          </mc:Fallback>
        </mc:AlternateContent>
      </w:r>
      <w:bookmarkStart w:id="7" w:name="_GoBack"/>
      <w:bookmarkEnd w:id="7"/>
      <w:r>
        <mc:AlternateContent>
          <mc:Choice Requires="wps">
            <w:drawing>
              <wp:anchor distT="45720" distB="45720" distL="114300" distR="114300" simplePos="0" relativeHeight="251664384" behindDoc="0" locked="0" layoutInCell="1" allowOverlap="1">
                <wp:simplePos x="0" y="0"/>
                <wp:positionH relativeFrom="page">
                  <wp:posOffset>114300</wp:posOffset>
                </wp:positionH>
                <wp:positionV relativeFrom="paragraph">
                  <wp:posOffset>6553200</wp:posOffset>
                </wp:positionV>
                <wp:extent cx="3911600" cy="939800"/>
                <wp:effectExtent l="19050" t="57150" r="88900" b="50800"/>
                <wp:wrapSquare wrapText="bothSides"/>
                <wp:docPr id="13" name="文本框 13"/>
                <wp:cNvGraphicFramePr/>
                <a:graphic xmlns:a="http://schemas.openxmlformats.org/drawingml/2006/main">
                  <a:graphicData uri="http://schemas.microsoft.com/office/word/2010/wordprocessingShape">
                    <wps:wsp>
                      <wps:cNvSpPr txBox="1">
                        <a:spLocks noChangeArrowheads="1"/>
                      </wps:cNvSpPr>
                      <wps:spPr bwMode="auto">
                        <a:xfrm>
                          <a:off x="0" y="0"/>
                          <a:ext cx="3911600" cy="939800"/>
                        </a:xfrm>
                        <a:prstGeom prst="rect">
                          <a:avLst/>
                        </a:prstGeom>
                        <a:solidFill>
                          <a:schemeClr val="bg1">
                            <a:lumMod val="95000"/>
                            <a:alpha val="84706"/>
                          </a:schemeClr>
                        </a:solidFill>
                        <a:ln w="9525">
                          <a:noFill/>
                          <a:miter lim="800000"/>
                        </a:ln>
                        <a:effectLst>
                          <a:outerShdw blurRad="50800" dist="38100" algn="l" rotWithShape="0">
                            <a:prstClr val="black">
                              <a:alpha val="40000"/>
                            </a:prstClr>
                          </a:outerShdw>
                        </a:effectLst>
                      </wps:spPr>
                      <wps:txbx>
                        <w:txbxContent>
                          <w:p>
                            <w:pPr>
                              <w:rPr>
                                <w:rFonts w:hint="default" w:ascii="Bahnschrift Light Condensed" w:hAnsi="Bahnschrift Light Condensed" w:eastAsiaTheme="minorEastAsia"/>
                                <w:color w:val="000000" w:themeColor="text1"/>
                                <w:sz w:val="36"/>
                                <w:lang w:val="en-US" w:eastAsia="zh-CN"/>
                                <w14:textFill>
                                  <w14:solidFill>
                                    <w14:schemeClr w14:val="tx1"/>
                                  </w14:solidFill>
                                </w14:textFill>
                              </w:rPr>
                            </w:pPr>
                            <w:r>
                              <w:rPr>
                                <w:rFonts w:ascii="Bahnschrift Light Condensed" w:hAnsi="Bahnschrift Light Condensed"/>
                                <w:color w:val="000000" w:themeColor="text1"/>
                                <w:sz w:val="36"/>
                                <w14:textFill>
                                  <w14:solidFill>
                                    <w14:schemeClr w14:val="tx1"/>
                                  </w14:solidFill>
                                </w14:textFill>
                              </w:rPr>
                              <w:t>Student Name:</w:t>
                            </w:r>
                            <w:r>
                              <w:rPr>
                                <w:rFonts w:hint="eastAsia" w:ascii="Bahnschrift Light Condensed" w:hAnsi="Bahnschrift Light Condensed"/>
                                <w:color w:val="000000" w:themeColor="text1"/>
                                <w:sz w:val="36"/>
                                <w:lang w:val="en-US" w:eastAsia="zh-CN"/>
                                <w14:textFill>
                                  <w14:solidFill>
                                    <w14:schemeClr w14:val="tx1"/>
                                  </w14:solidFill>
                                </w14:textFill>
                              </w:rPr>
                              <w:t>Siyan He</w:t>
                            </w:r>
                          </w:p>
                          <w:p>
                            <w:pPr>
                              <w:rPr>
                                <w:rFonts w:hint="default" w:ascii="Bahnschrift Light Condensed" w:hAnsi="Bahnschrift Light Condensed" w:eastAsiaTheme="minorEastAsia"/>
                                <w:color w:val="000000" w:themeColor="text1"/>
                                <w:sz w:val="52"/>
                                <w:lang w:val="en-US" w:eastAsia="zh-CN"/>
                                <w14:textFill>
                                  <w14:solidFill>
                                    <w14:schemeClr w14:val="tx1"/>
                                  </w14:solidFill>
                                </w14:textFill>
                              </w:rPr>
                            </w:pPr>
                            <w:r>
                              <w:rPr>
                                <w:rFonts w:ascii="Bahnschrift Light Condensed" w:hAnsi="Bahnschrift Light Condensed"/>
                                <w:color w:val="000000" w:themeColor="text1"/>
                                <w:sz w:val="36"/>
                                <w14:textFill>
                                  <w14:solidFill>
                                    <w14:schemeClr w14:val="tx1"/>
                                  </w14:solidFill>
                                </w14:textFill>
                              </w:rPr>
                              <w:t xml:space="preserve">Student No.: </w:t>
                            </w:r>
                            <w:r>
                              <w:rPr>
                                <w:rFonts w:ascii="Bahnschrift Light Condensed" w:hAnsi="Bahnschrift Light Condensed"/>
                                <w:color w:val="000000" w:themeColor="text1"/>
                                <w:sz w:val="52"/>
                                <w14:textFill>
                                  <w14:solidFill>
                                    <w14:schemeClr w14:val="tx1"/>
                                  </w14:solidFill>
                                </w14:textFill>
                              </w:rPr>
                              <w:t xml:space="preserve"> </w:t>
                            </w:r>
                            <w:r>
                              <w:rPr>
                                <w:rFonts w:hint="eastAsia" w:ascii="Bahnschrift Light Condensed" w:hAnsi="Bahnschrift Light Condensed"/>
                                <w:color w:val="000000" w:themeColor="text1"/>
                                <w:sz w:val="52"/>
                                <w:lang w:val="en-US" w:eastAsia="zh-CN"/>
                                <w14:textFill>
                                  <w14:solidFill>
                                    <w14:schemeClr w14:val="tx1"/>
                                  </w14:solidFill>
                                </w14:textFill>
                              </w:rPr>
                              <w:t>1806648</w:t>
                            </w:r>
                          </w:p>
                        </w:txbxContent>
                      </wps:txbx>
                      <wps:bodyPr rot="0" vert="horz" wrap="square" lIns="91440" tIns="45720" rIns="91440" bIns="45720" anchor="t" anchorCtr="0">
                        <a:noAutofit/>
                      </wps:bodyPr>
                    </wps:wsp>
                  </a:graphicData>
                </a:graphic>
              </wp:anchor>
            </w:drawing>
          </mc:Choice>
          <mc:Fallback>
            <w:pict>
              <v:shape id="_x0000_s1026" o:spid="_x0000_s1026" o:spt="202" type="#_x0000_t202" style="position:absolute;left:0pt;margin-left:9pt;margin-top:516pt;height:74pt;width:308pt;mso-position-horizontal-relative:page;mso-wrap-distance-bottom:3.6pt;mso-wrap-distance-left:9pt;mso-wrap-distance-right:9pt;mso-wrap-distance-top:3.6pt;z-index:251664384;mso-width-relative:page;mso-height-relative:page;" fillcolor="#F2F2F2 [3052]" filled="t" stroked="f" coordsize="21600,21600" o:gfxdata="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">
                <v:fill on="t" opacity="55512f" focussize="0,0"/>
                <v:stroke on="f" miterlimit="8" joinstyle="miter"/>
                <v:imagedata o:title=""/>
                <o:lock v:ext="edit" aspectratio="f"/>
                <v:shadow on="t" color="#000000" opacity="26214f" offset="3pt,0pt" origin="-32768f,0f" matrix="65536f,0f,0f,65536f"/>
                <v:textbox>
                  <w:txbxContent>
                    <w:p>
                      <w:pPr>
                        <w:rPr>
                          <w:rFonts w:hint="default" w:ascii="Bahnschrift Light Condensed" w:hAnsi="Bahnschrift Light Condensed" w:eastAsiaTheme="minorEastAsia"/>
                          <w:color w:val="000000" w:themeColor="text1"/>
                          <w:sz w:val="36"/>
                          <w:lang w:val="en-US" w:eastAsia="zh-CN"/>
                          <w14:textFill>
                            <w14:solidFill>
                              <w14:schemeClr w14:val="tx1"/>
                            </w14:solidFill>
                          </w14:textFill>
                        </w:rPr>
                      </w:pPr>
                      <w:r>
                        <w:rPr>
                          <w:rFonts w:ascii="Bahnschrift Light Condensed" w:hAnsi="Bahnschrift Light Condensed"/>
                          <w:color w:val="000000" w:themeColor="text1"/>
                          <w:sz w:val="36"/>
                          <w14:textFill>
                            <w14:solidFill>
                              <w14:schemeClr w14:val="tx1"/>
                            </w14:solidFill>
                          </w14:textFill>
                        </w:rPr>
                        <w:t>Student Name:</w:t>
                      </w:r>
                      <w:r>
                        <w:rPr>
                          <w:rFonts w:hint="eastAsia" w:ascii="Bahnschrift Light Condensed" w:hAnsi="Bahnschrift Light Condensed"/>
                          <w:color w:val="000000" w:themeColor="text1"/>
                          <w:sz w:val="36"/>
                          <w:lang w:val="en-US" w:eastAsia="zh-CN"/>
                          <w14:textFill>
                            <w14:solidFill>
                              <w14:schemeClr w14:val="tx1"/>
                            </w14:solidFill>
                          </w14:textFill>
                        </w:rPr>
                        <w:t>Siyan He</w:t>
                      </w:r>
                    </w:p>
                    <w:p>
                      <w:pPr>
                        <w:rPr>
                          <w:rFonts w:hint="default" w:ascii="Bahnschrift Light Condensed" w:hAnsi="Bahnschrift Light Condensed" w:eastAsiaTheme="minorEastAsia"/>
                          <w:color w:val="000000" w:themeColor="text1"/>
                          <w:sz w:val="52"/>
                          <w:lang w:val="en-US" w:eastAsia="zh-CN"/>
                          <w14:textFill>
                            <w14:solidFill>
                              <w14:schemeClr w14:val="tx1"/>
                            </w14:solidFill>
                          </w14:textFill>
                        </w:rPr>
                      </w:pPr>
                      <w:r>
                        <w:rPr>
                          <w:rFonts w:ascii="Bahnschrift Light Condensed" w:hAnsi="Bahnschrift Light Condensed"/>
                          <w:color w:val="000000" w:themeColor="text1"/>
                          <w:sz w:val="36"/>
                          <w14:textFill>
                            <w14:solidFill>
                              <w14:schemeClr w14:val="tx1"/>
                            </w14:solidFill>
                          </w14:textFill>
                        </w:rPr>
                        <w:t xml:space="preserve">Student No.: </w:t>
                      </w:r>
                      <w:r>
                        <w:rPr>
                          <w:rFonts w:ascii="Bahnschrift Light Condensed" w:hAnsi="Bahnschrift Light Condensed"/>
                          <w:color w:val="000000" w:themeColor="text1"/>
                          <w:sz w:val="52"/>
                          <w14:textFill>
                            <w14:solidFill>
                              <w14:schemeClr w14:val="tx1"/>
                            </w14:solidFill>
                          </w14:textFill>
                        </w:rPr>
                        <w:t xml:space="preserve"> </w:t>
                      </w:r>
                      <w:r>
                        <w:rPr>
                          <w:rFonts w:hint="eastAsia" w:ascii="Bahnschrift Light Condensed" w:hAnsi="Bahnschrift Light Condensed"/>
                          <w:color w:val="000000" w:themeColor="text1"/>
                          <w:sz w:val="52"/>
                          <w:lang w:val="en-US" w:eastAsia="zh-CN"/>
                          <w14:textFill>
                            <w14:solidFill>
                              <w14:schemeClr w14:val="tx1"/>
                            </w14:solidFill>
                          </w14:textFill>
                        </w:rPr>
                        <w:t>1806648</w:t>
                      </w:r>
                    </w:p>
                  </w:txbxContent>
                </v:textbox>
                <w10:wrap type="square"/>
              </v:shape>
            </w:pict>
          </mc:Fallback>
        </mc:AlternateContent>
      </w:r>
      <w:r>
        <mc:AlternateContent>
          <mc:Choice Requires="wps">
            <w:drawing>
              <wp:anchor distT="0" distB="0" distL="114300" distR="114300" simplePos="0" relativeHeight="251660288" behindDoc="0" locked="0" layoutInCell="1" allowOverlap="1">
                <wp:simplePos x="0" y="0"/>
                <wp:positionH relativeFrom="page">
                  <wp:align>left</wp:align>
                </wp:positionH>
                <wp:positionV relativeFrom="paragraph">
                  <wp:posOffset>-914400</wp:posOffset>
                </wp:positionV>
                <wp:extent cx="3604260" cy="10660380"/>
                <wp:effectExtent l="0" t="0" r="0" b="7620"/>
                <wp:wrapNone/>
                <wp:docPr id="12" name="矩形 12"/>
                <wp:cNvGraphicFramePr/>
                <a:graphic xmlns:a="http://schemas.openxmlformats.org/drawingml/2006/main">
                  <a:graphicData uri="http://schemas.microsoft.com/office/word/2010/wordprocessingShape">
                    <wps:wsp>
                      <wps:cNvSpPr/>
                      <wps:spPr>
                        <a:xfrm>
                          <a:off x="0" y="0"/>
                          <a:ext cx="3604260" cy="10660380"/>
                        </a:xfrm>
                        <a:prstGeom prst="rect">
                          <a:avLst/>
                        </a:prstGeom>
                        <a:gradFill>
                          <a:gsLst>
                            <a:gs pos="0">
                              <a:schemeClr val="accent1">
                                <a:lumMod val="5000"/>
                                <a:lumOff val="95000"/>
                                <a:alpha val="0"/>
                              </a:schemeClr>
                            </a:gs>
                            <a:gs pos="100000">
                              <a:schemeClr val="tx1">
                                <a:lumMod val="65000"/>
                                <a:lumOff val="35000"/>
                                <a:alpha val="30000"/>
                              </a:schemeClr>
                            </a:gs>
                          </a:gsLst>
                          <a:lin ang="108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top:-72pt;height:839.4pt;width:283.8pt;mso-position-horizontal:left;mso-position-horizontal-relative:page;z-index:251660288;v-text-anchor:middle;mso-width-relative:page;mso-height-relative:page;" fillcolor="#F6F8FC [180]" filled="t" stroked="f" coordsize="21600,21600" o:gfxdata="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">
                <v:fill type="gradient" on="t" color2="#595959 [2109]" opacity="0f" o:opacity2="19660f" angle="270" focus="100%" focussize="0,0" rotate="t">
                  <o:fill type="gradientUnscaled" v:ext="backwardCompatible"/>
                </v:fill>
                <v:stroke on="f" weight="1pt" miterlimit="8" joinstyle="miter"/>
                <v:imagedata o:title=""/>
                <o:lock v:ext="edit" aspectratio="f"/>
              </v:rect>
            </w:pict>
          </mc:Fallback>
        </mc:AlternateContent>
      </w:r>
      <w:r>
        <mc:AlternateContent>
          <mc:Choice Requires="wps">
            <w:drawing>
              <wp:anchor distT="0" distB="0" distL="114300" distR="114300" simplePos="0" relativeHeight="251661312" behindDoc="0" locked="0" layoutInCell="1" allowOverlap="1">
                <wp:simplePos x="0" y="0"/>
                <wp:positionH relativeFrom="page">
                  <wp:posOffset>4328160</wp:posOffset>
                </wp:positionH>
                <wp:positionV relativeFrom="paragraph">
                  <wp:posOffset>-914400</wp:posOffset>
                </wp:positionV>
                <wp:extent cx="3589020" cy="10873740"/>
                <wp:effectExtent l="0" t="0" r="0" b="3810"/>
                <wp:wrapNone/>
                <wp:docPr id="11" name="矩形 11"/>
                <wp:cNvGraphicFramePr/>
                <a:graphic xmlns:a="http://schemas.openxmlformats.org/drawingml/2006/main">
                  <a:graphicData uri="http://schemas.microsoft.com/office/word/2010/wordprocessingShape">
                    <wps:wsp>
                      <wps:cNvSpPr/>
                      <wps:spPr>
                        <a:xfrm>
                          <a:off x="0" y="0"/>
                          <a:ext cx="3589020" cy="10873740"/>
                        </a:xfrm>
                        <a:prstGeom prst="rect">
                          <a:avLst/>
                        </a:prstGeom>
                        <a:solidFill>
                          <a:schemeClr val="bg2">
                            <a:lumMod val="10000"/>
                            <a:alpha val="3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340.8pt;margin-top:-72pt;height:856.2pt;width:282.6pt;mso-position-horizontal-relative:page;z-index:251661312;v-text-anchor:middle;mso-width-relative:page;mso-height-relative:page;" fillcolor="#181717 [334]" filled="t" stroked="f" coordsize="21600,21600" o:gfxdata="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">
                <v:fill on="t" opacity="19660f" focussize="0,0"/>
                <v:stroke on="f" weight="1pt" miterlimit="8" joinstyle="miter"/>
                <v:imagedata o:title=""/>
                <o:lock v:ext="edit" aspectratio="f"/>
              </v:rect>
            </w:pict>
          </mc:Fallback>
        </mc:AlternateContent>
      </w:r>
      <w:r>
        <mc:AlternateContent>
          <mc:Choice Requires="wps">
            <w:drawing>
              <wp:anchor distT="0" distB="0" distL="114300" distR="114300" simplePos="0" relativeHeight="251662336" behindDoc="0" locked="0" layoutInCell="1" allowOverlap="1">
                <wp:simplePos x="0" y="0"/>
                <wp:positionH relativeFrom="page">
                  <wp:align>left</wp:align>
                </wp:positionH>
                <wp:positionV relativeFrom="paragraph">
                  <wp:posOffset>-914400</wp:posOffset>
                </wp:positionV>
                <wp:extent cx="7556500" cy="10680700"/>
                <wp:effectExtent l="0" t="0" r="6350" b="6350"/>
                <wp:wrapNone/>
                <wp:docPr id="10" name="矩形 10"/>
                <wp:cNvGraphicFramePr/>
                <a:graphic xmlns:a="http://schemas.openxmlformats.org/drawingml/2006/main">
                  <a:graphicData uri="http://schemas.microsoft.com/office/word/2010/wordprocessingShape">
                    <wps:wsp>
                      <wps:cNvSpPr/>
                      <wps:spPr>
                        <a:xfrm>
                          <a:off x="0" y="0"/>
                          <a:ext cx="7556500" cy="10680700"/>
                        </a:xfrm>
                        <a:prstGeom prst="rect">
                          <a:avLst/>
                        </a:prstGeom>
                        <a:solidFill>
                          <a:schemeClr val="bg1">
                            <a:lumMod val="75000"/>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top:-72pt;height:841pt;width:595pt;mso-position-horizontal:left;mso-position-horizontal-relative:page;z-index:251662336;v-text-anchor:middle;mso-width-relative:page;mso-height-relative:page;" fillcolor="#BFBFBF [2412]" filled="t" stroked="f" coordsize="21600,21600" o:gfxdata="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">
                <v:fill on="t" opacity="52428f" focussize="0,0"/>
                <v:stroke on="f" weight="1pt" miterlimit="8" joinstyle="miter"/>
                <v:imagedata o:title=""/>
                <o:lock v:ext="edit" aspectratio="f"/>
                <v:textbox>
                  <w:txbxContent>
                    <w:p>
                      <w:pPr>
                        <w:jc w:val="center"/>
                      </w:pPr>
                    </w:p>
                  </w:txbxContent>
                </v:textbox>
              </v:rect>
            </w:pict>
          </mc:Fallback>
        </mc:AlternateContent>
      </w:r>
      <w:r>
        <w:drawing>
          <wp:anchor distT="0" distB="0" distL="114300" distR="114300" simplePos="0" relativeHeight="251659264" behindDoc="1" locked="0" layoutInCell="1" allowOverlap="1">
            <wp:simplePos x="0" y="0"/>
            <wp:positionH relativeFrom="page">
              <wp:align>left</wp:align>
            </wp:positionH>
            <wp:positionV relativeFrom="paragraph">
              <wp:posOffset>-914400</wp:posOffset>
            </wp:positionV>
            <wp:extent cx="7934960" cy="10721340"/>
            <wp:effectExtent l="0" t="0" r="8890" b="3810"/>
            <wp:wrapNone/>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7934960" cy="10721340"/>
                    </a:xfrm>
                    <a:prstGeom prst="rect">
                      <a:avLst/>
                    </a:prstGeom>
                    <a:noFill/>
                  </pic:spPr>
                </pic:pic>
              </a:graphicData>
            </a:graphic>
          </wp:anchor>
        </w:drawing>
      </w:r>
      <w:r>
        <w:rPr>
          <w:rFonts w:hint="eastAsia"/>
        </w:rPr>
        <w:br w:type="page"/>
      </w:r>
    </w:p>
    <w:sdt>
      <w:sdtPr>
        <w:rPr>
          <w:rFonts w:ascii="Bahnschrift Light Condensed" w:hAnsi="Bahnschrift Light Condensed" w:eastAsiaTheme="minorEastAsia" w:cstheme="minorBidi"/>
          <w:color w:val="000000" w:themeColor="text1"/>
          <w:kern w:val="2"/>
          <w:sz w:val="21"/>
          <w:szCs w:val="22"/>
          <w:lang w:val="zh-CN"/>
          <w14:textFill>
            <w14:solidFill>
              <w14:schemeClr w14:val="tx1"/>
            </w14:solidFill>
          </w14:textFill>
        </w:rPr>
        <w:id w:val="-2012366935"/>
        <w:docPartObj>
          <w:docPartGallery w:val="Table of Contents"/>
          <w:docPartUnique/>
        </w:docPartObj>
      </w:sdtPr>
      <w:sdtEndPr>
        <w:rPr>
          <w:rFonts w:asciiTheme="minorHAnsi" w:hAnsiTheme="minorHAnsi" w:eastAsiaTheme="minorEastAsia" w:cstheme="minorBidi"/>
          <w:b/>
          <w:bCs/>
          <w:color w:val="auto"/>
          <w:kern w:val="2"/>
          <w:sz w:val="21"/>
          <w:szCs w:val="22"/>
          <w:lang w:val="zh-CN"/>
        </w:rPr>
      </w:sdtEndPr>
      <w:sdtContent>
        <w:p>
          <w:pPr>
            <w:pStyle w:val="13"/>
            <w:jc w:val="center"/>
            <w:rPr>
              <w:rFonts w:ascii="Bahnschrift Light Condensed" w:hAnsi="Bahnschrift Light Condensed"/>
              <w:color w:val="000000" w:themeColor="text1"/>
              <w14:textFill>
                <w14:solidFill>
                  <w14:schemeClr w14:val="tx1"/>
                </w14:solidFill>
              </w14:textFill>
            </w:rPr>
          </w:pPr>
          <w:r>
            <w:rPr>
              <w:rFonts w:ascii="Bahnschrift Light Condensed" w:hAnsi="Bahnschrift Light Condensed"/>
              <w:color w:val="000000" w:themeColor="text1"/>
              <w:lang w:val="zh-CN"/>
              <w14:textFill>
                <w14:solidFill>
                  <w14:schemeClr w14:val="tx1"/>
                </w14:solidFill>
              </w14:textFill>
            </w:rPr>
            <w:t>Table of Contents</w:t>
          </w:r>
        </w:p>
        <w:p>
          <w:pPr>
            <w:pStyle w:val="5"/>
            <w:tabs>
              <w:tab w:val="left" w:pos="420"/>
              <w:tab w:val="right" w:leader="dot" w:pos="8296"/>
            </w:tabs>
            <w:rPr>
              <w:sz w:val="24"/>
            </w:rPr>
          </w:pPr>
          <w:r>
            <w:rPr>
              <w:b/>
              <w:bCs/>
              <w:sz w:val="24"/>
              <w:lang w:val="zh-CN"/>
            </w:rPr>
            <w:fldChar w:fldCharType="begin"/>
          </w:r>
          <w:r>
            <w:rPr>
              <w:b/>
              <w:bCs/>
              <w:sz w:val="24"/>
              <w:lang w:val="zh-CN"/>
            </w:rPr>
            <w:instrText xml:space="preserve"> TOC \o "1-3" \h \z \u </w:instrText>
          </w:r>
          <w:r>
            <w:rPr>
              <w:b/>
              <w:bCs/>
              <w:sz w:val="24"/>
              <w:lang w:val="zh-CN"/>
            </w:rPr>
            <w:fldChar w:fldCharType="separate"/>
          </w:r>
          <w:r>
            <w:fldChar w:fldCharType="begin"/>
          </w:r>
          <w:r>
            <w:instrText xml:space="preserve"> HYPERLINK \l "_Toc7090016" </w:instrText>
          </w:r>
          <w:r>
            <w:fldChar w:fldCharType="separate"/>
          </w:r>
          <w:r>
            <w:rPr>
              <w:rStyle w:val="8"/>
              <w:rFonts w:ascii="Bahnschrift Light Condensed" w:hAnsi="Bahnschrift Light Condensed"/>
              <w:sz w:val="24"/>
            </w:rPr>
            <w:t>1.</w:t>
          </w:r>
          <w:r>
            <w:rPr>
              <w:sz w:val="24"/>
            </w:rPr>
            <w:tab/>
          </w:r>
          <w:r>
            <w:rPr>
              <w:rStyle w:val="8"/>
              <w:rFonts w:ascii="Bahnschrift Light Condensed" w:hAnsi="Bahnschrift Light Condensed"/>
              <w:sz w:val="24"/>
            </w:rPr>
            <w:t>Introduction</w:t>
          </w:r>
          <w:r>
            <w:rPr>
              <w:sz w:val="24"/>
            </w:rPr>
            <w:tab/>
          </w:r>
          <w:r>
            <w:rPr>
              <w:sz w:val="24"/>
            </w:rPr>
            <w:fldChar w:fldCharType="begin"/>
          </w:r>
          <w:r>
            <w:rPr>
              <w:sz w:val="24"/>
            </w:rPr>
            <w:instrText xml:space="preserve"> PAGEREF _Toc7090016 \h </w:instrText>
          </w:r>
          <w:r>
            <w:rPr>
              <w:sz w:val="24"/>
            </w:rPr>
            <w:fldChar w:fldCharType="separate"/>
          </w:r>
          <w:r>
            <w:rPr>
              <w:sz w:val="24"/>
            </w:rPr>
            <w:t>1</w:t>
          </w:r>
          <w:r>
            <w:rPr>
              <w:sz w:val="24"/>
            </w:rPr>
            <w:fldChar w:fldCharType="end"/>
          </w:r>
          <w:r>
            <w:rPr>
              <w:sz w:val="24"/>
            </w:rPr>
            <w:fldChar w:fldCharType="end"/>
          </w:r>
        </w:p>
        <w:p>
          <w:pPr>
            <w:pStyle w:val="5"/>
            <w:tabs>
              <w:tab w:val="left" w:pos="420"/>
              <w:tab w:val="right" w:leader="dot" w:pos="8296"/>
            </w:tabs>
            <w:rPr>
              <w:sz w:val="24"/>
            </w:rPr>
          </w:pPr>
          <w:r>
            <w:fldChar w:fldCharType="begin"/>
          </w:r>
          <w:r>
            <w:instrText xml:space="preserve"> HYPERLINK \l "_Toc7090017" </w:instrText>
          </w:r>
          <w:r>
            <w:fldChar w:fldCharType="separate"/>
          </w:r>
          <w:r>
            <w:rPr>
              <w:rStyle w:val="8"/>
              <w:rFonts w:ascii="Bahnschrift Light Condensed" w:hAnsi="Bahnschrift Light Condensed"/>
              <w:sz w:val="24"/>
            </w:rPr>
            <w:t>2.</w:t>
          </w:r>
          <w:r>
            <w:rPr>
              <w:sz w:val="24"/>
            </w:rPr>
            <w:tab/>
          </w:r>
          <w:r>
            <w:rPr>
              <w:rStyle w:val="8"/>
              <w:rFonts w:ascii="Bahnschrift Light Condensed" w:hAnsi="Bahnschrift Light Condensed"/>
              <w:sz w:val="24"/>
            </w:rPr>
            <w:t>CSR analysis of privatized water companies</w:t>
          </w:r>
          <w:r>
            <w:rPr>
              <w:sz w:val="24"/>
            </w:rPr>
            <w:tab/>
          </w:r>
          <w:r>
            <w:rPr>
              <w:sz w:val="24"/>
            </w:rPr>
            <w:fldChar w:fldCharType="begin"/>
          </w:r>
          <w:r>
            <w:rPr>
              <w:sz w:val="24"/>
            </w:rPr>
            <w:instrText xml:space="preserve"> PAGEREF _Toc7090017 \h </w:instrText>
          </w:r>
          <w:r>
            <w:rPr>
              <w:sz w:val="24"/>
            </w:rPr>
            <w:fldChar w:fldCharType="separate"/>
          </w:r>
          <w:r>
            <w:rPr>
              <w:sz w:val="24"/>
            </w:rPr>
            <w:t>2</w:t>
          </w:r>
          <w:r>
            <w:rPr>
              <w:sz w:val="24"/>
            </w:rPr>
            <w:fldChar w:fldCharType="end"/>
          </w:r>
          <w:r>
            <w:rPr>
              <w:sz w:val="24"/>
            </w:rPr>
            <w:fldChar w:fldCharType="end"/>
          </w:r>
        </w:p>
        <w:p>
          <w:pPr>
            <w:pStyle w:val="5"/>
            <w:tabs>
              <w:tab w:val="left" w:pos="420"/>
              <w:tab w:val="right" w:leader="dot" w:pos="8296"/>
            </w:tabs>
            <w:rPr>
              <w:sz w:val="24"/>
            </w:rPr>
          </w:pPr>
          <w:r>
            <w:fldChar w:fldCharType="begin"/>
          </w:r>
          <w:r>
            <w:instrText xml:space="preserve"> HYPERLINK \l "_Toc7090018" </w:instrText>
          </w:r>
          <w:r>
            <w:fldChar w:fldCharType="separate"/>
          </w:r>
          <w:r>
            <w:rPr>
              <w:rStyle w:val="8"/>
              <w:rFonts w:ascii="Bahnschrift Light Condensed" w:hAnsi="Bahnschrift Light Condensed"/>
              <w:sz w:val="24"/>
            </w:rPr>
            <w:t>3.</w:t>
          </w:r>
          <w:r>
            <w:rPr>
              <w:sz w:val="24"/>
            </w:rPr>
            <w:tab/>
          </w:r>
          <w:r>
            <w:rPr>
              <w:rStyle w:val="8"/>
              <w:rFonts w:ascii="Bahnschrift Light Condensed" w:hAnsi="Bahnschrift Light Condensed"/>
              <w:sz w:val="24"/>
            </w:rPr>
            <w:t>Provision of water services from public sector</w:t>
          </w:r>
          <w:r>
            <w:rPr>
              <w:sz w:val="24"/>
            </w:rPr>
            <w:tab/>
          </w:r>
          <w:r>
            <w:rPr>
              <w:sz w:val="24"/>
            </w:rPr>
            <w:fldChar w:fldCharType="begin"/>
          </w:r>
          <w:r>
            <w:rPr>
              <w:sz w:val="24"/>
            </w:rPr>
            <w:instrText xml:space="preserve"> PAGEREF _Toc7090018 \h </w:instrText>
          </w:r>
          <w:r>
            <w:rPr>
              <w:sz w:val="24"/>
            </w:rPr>
            <w:fldChar w:fldCharType="separate"/>
          </w:r>
          <w:r>
            <w:rPr>
              <w:sz w:val="24"/>
            </w:rPr>
            <w:t>6</w:t>
          </w:r>
          <w:r>
            <w:rPr>
              <w:sz w:val="24"/>
            </w:rPr>
            <w:fldChar w:fldCharType="end"/>
          </w:r>
          <w:r>
            <w:rPr>
              <w:sz w:val="24"/>
            </w:rPr>
            <w:fldChar w:fldCharType="end"/>
          </w:r>
        </w:p>
        <w:p>
          <w:pPr>
            <w:pStyle w:val="5"/>
            <w:tabs>
              <w:tab w:val="left" w:pos="420"/>
              <w:tab w:val="right" w:leader="dot" w:pos="8296"/>
            </w:tabs>
            <w:rPr>
              <w:sz w:val="24"/>
            </w:rPr>
          </w:pPr>
          <w:r>
            <w:fldChar w:fldCharType="begin"/>
          </w:r>
          <w:r>
            <w:instrText xml:space="preserve"> HYPERLINK \l "_Toc7090019" </w:instrText>
          </w:r>
          <w:r>
            <w:fldChar w:fldCharType="separate"/>
          </w:r>
          <w:r>
            <w:rPr>
              <w:rStyle w:val="8"/>
              <w:rFonts w:ascii="Bahnschrift Light Condensed" w:hAnsi="Bahnschrift Light Condensed"/>
              <w:sz w:val="24"/>
            </w:rPr>
            <w:t>4.</w:t>
          </w:r>
          <w:r>
            <w:rPr>
              <w:sz w:val="24"/>
            </w:rPr>
            <w:tab/>
          </w:r>
          <w:r>
            <w:rPr>
              <w:rStyle w:val="8"/>
              <w:rFonts w:ascii="Bahnschrift Light Condensed" w:hAnsi="Bahnschrift Light Condensed"/>
              <w:sz w:val="24"/>
            </w:rPr>
            <w:t>Sustainability issues of water resources</w:t>
          </w:r>
          <w:r>
            <w:rPr>
              <w:sz w:val="24"/>
            </w:rPr>
            <w:tab/>
          </w:r>
          <w:r>
            <w:rPr>
              <w:sz w:val="24"/>
            </w:rPr>
            <w:fldChar w:fldCharType="begin"/>
          </w:r>
          <w:r>
            <w:rPr>
              <w:sz w:val="24"/>
            </w:rPr>
            <w:instrText xml:space="preserve"> PAGEREF _Toc7090019 \h </w:instrText>
          </w:r>
          <w:r>
            <w:rPr>
              <w:sz w:val="24"/>
            </w:rPr>
            <w:fldChar w:fldCharType="separate"/>
          </w:r>
          <w:r>
            <w:rPr>
              <w:sz w:val="24"/>
            </w:rPr>
            <w:t>6</w:t>
          </w:r>
          <w:r>
            <w:rPr>
              <w:sz w:val="24"/>
            </w:rPr>
            <w:fldChar w:fldCharType="end"/>
          </w:r>
          <w:r>
            <w:rPr>
              <w:sz w:val="24"/>
            </w:rPr>
            <w:fldChar w:fldCharType="end"/>
          </w:r>
        </w:p>
        <w:p>
          <w:pPr>
            <w:pStyle w:val="5"/>
            <w:tabs>
              <w:tab w:val="left" w:pos="420"/>
              <w:tab w:val="right" w:leader="dot" w:pos="8296"/>
            </w:tabs>
            <w:rPr>
              <w:sz w:val="24"/>
            </w:rPr>
          </w:pPr>
          <w:r>
            <w:fldChar w:fldCharType="begin"/>
          </w:r>
          <w:r>
            <w:instrText xml:space="preserve"> HYPERLINK \l "_Toc7090020" </w:instrText>
          </w:r>
          <w:r>
            <w:fldChar w:fldCharType="separate"/>
          </w:r>
          <w:r>
            <w:rPr>
              <w:rStyle w:val="8"/>
              <w:rFonts w:ascii="Bahnschrift Light Condensed" w:hAnsi="Bahnschrift Light Condensed"/>
              <w:sz w:val="24"/>
            </w:rPr>
            <w:t>5.</w:t>
          </w:r>
          <w:r>
            <w:rPr>
              <w:sz w:val="24"/>
            </w:rPr>
            <w:tab/>
          </w:r>
          <w:r>
            <w:rPr>
              <w:rStyle w:val="8"/>
              <w:rFonts w:ascii="Bahnschrift Light Condensed" w:hAnsi="Bahnschrift Light Condensed"/>
              <w:sz w:val="24"/>
            </w:rPr>
            <w:t>Shining examples in sustainable water resource utilization</w:t>
          </w:r>
          <w:r>
            <w:rPr>
              <w:sz w:val="24"/>
            </w:rPr>
            <w:tab/>
          </w:r>
          <w:r>
            <w:rPr>
              <w:sz w:val="24"/>
            </w:rPr>
            <w:fldChar w:fldCharType="begin"/>
          </w:r>
          <w:r>
            <w:rPr>
              <w:sz w:val="24"/>
            </w:rPr>
            <w:instrText xml:space="preserve"> PAGEREF _Toc7090020 \h </w:instrText>
          </w:r>
          <w:r>
            <w:rPr>
              <w:sz w:val="24"/>
            </w:rPr>
            <w:fldChar w:fldCharType="separate"/>
          </w:r>
          <w:r>
            <w:rPr>
              <w:sz w:val="24"/>
            </w:rPr>
            <w:t>7</w:t>
          </w:r>
          <w:r>
            <w:rPr>
              <w:sz w:val="24"/>
            </w:rPr>
            <w:fldChar w:fldCharType="end"/>
          </w:r>
          <w:r>
            <w:rPr>
              <w:sz w:val="24"/>
            </w:rPr>
            <w:fldChar w:fldCharType="end"/>
          </w:r>
        </w:p>
        <w:p>
          <w:pPr>
            <w:pStyle w:val="5"/>
            <w:tabs>
              <w:tab w:val="left" w:pos="420"/>
              <w:tab w:val="right" w:leader="dot" w:pos="8296"/>
            </w:tabs>
            <w:rPr>
              <w:sz w:val="24"/>
            </w:rPr>
          </w:pPr>
          <w:r>
            <w:fldChar w:fldCharType="begin"/>
          </w:r>
          <w:r>
            <w:instrText xml:space="preserve"> HYPERLINK \l "_Toc7090021" </w:instrText>
          </w:r>
          <w:r>
            <w:fldChar w:fldCharType="separate"/>
          </w:r>
          <w:r>
            <w:rPr>
              <w:rStyle w:val="8"/>
              <w:rFonts w:ascii="Bahnschrift Light Condensed" w:hAnsi="Bahnschrift Light Condensed"/>
              <w:sz w:val="24"/>
            </w:rPr>
            <w:t>6.</w:t>
          </w:r>
          <w:r>
            <w:rPr>
              <w:sz w:val="24"/>
            </w:rPr>
            <w:tab/>
          </w:r>
          <w:r>
            <w:rPr>
              <w:rStyle w:val="8"/>
              <w:rFonts w:ascii="Bahnschrift Light Condensed" w:hAnsi="Bahnschrift Light Condensed"/>
              <w:sz w:val="24"/>
            </w:rPr>
            <w:t>Conclusion</w:t>
          </w:r>
          <w:r>
            <w:rPr>
              <w:sz w:val="24"/>
            </w:rPr>
            <w:tab/>
          </w:r>
          <w:r>
            <w:rPr>
              <w:sz w:val="24"/>
            </w:rPr>
            <w:fldChar w:fldCharType="begin"/>
          </w:r>
          <w:r>
            <w:rPr>
              <w:sz w:val="24"/>
            </w:rPr>
            <w:instrText xml:space="preserve"> PAGEREF _Toc7090021 \h </w:instrText>
          </w:r>
          <w:r>
            <w:rPr>
              <w:sz w:val="24"/>
            </w:rPr>
            <w:fldChar w:fldCharType="separate"/>
          </w:r>
          <w:r>
            <w:rPr>
              <w:sz w:val="24"/>
            </w:rPr>
            <w:t>8</w:t>
          </w:r>
          <w:r>
            <w:rPr>
              <w:sz w:val="24"/>
            </w:rPr>
            <w:fldChar w:fldCharType="end"/>
          </w:r>
          <w:r>
            <w:rPr>
              <w:sz w:val="24"/>
            </w:rPr>
            <w:fldChar w:fldCharType="end"/>
          </w:r>
        </w:p>
        <w:p>
          <w:pPr>
            <w:pStyle w:val="5"/>
            <w:tabs>
              <w:tab w:val="right" w:leader="dot" w:pos="8296"/>
            </w:tabs>
            <w:rPr>
              <w:sz w:val="24"/>
            </w:rPr>
          </w:pPr>
          <w:r>
            <w:fldChar w:fldCharType="begin"/>
          </w:r>
          <w:r>
            <w:instrText xml:space="preserve"> HYPERLINK \l "_Toc7090022" </w:instrText>
          </w:r>
          <w:r>
            <w:fldChar w:fldCharType="separate"/>
          </w:r>
          <w:r>
            <w:rPr>
              <w:rStyle w:val="8"/>
              <w:rFonts w:ascii="Bahnschrift Light Condensed" w:hAnsi="Bahnschrift Light Condensed"/>
              <w:sz w:val="24"/>
            </w:rPr>
            <w:t>Reference list</w:t>
          </w:r>
          <w:r>
            <w:rPr>
              <w:sz w:val="24"/>
            </w:rPr>
            <w:tab/>
          </w:r>
          <w:r>
            <w:rPr>
              <w:sz w:val="24"/>
            </w:rPr>
            <w:fldChar w:fldCharType="begin"/>
          </w:r>
          <w:r>
            <w:rPr>
              <w:sz w:val="24"/>
            </w:rPr>
            <w:instrText xml:space="preserve"> PAGEREF _Toc7090022 \h </w:instrText>
          </w:r>
          <w:r>
            <w:rPr>
              <w:sz w:val="24"/>
            </w:rPr>
            <w:fldChar w:fldCharType="separate"/>
          </w:r>
          <w:r>
            <w:rPr>
              <w:sz w:val="24"/>
            </w:rPr>
            <w:t>10</w:t>
          </w:r>
          <w:r>
            <w:rPr>
              <w:sz w:val="24"/>
            </w:rPr>
            <w:fldChar w:fldCharType="end"/>
          </w:r>
          <w:r>
            <w:rPr>
              <w:sz w:val="24"/>
            </w:rPr>
            <w:fldChar w:fldCharType="end"/>
          </w:r>
        </w:p>
        <w:p>
          <w:r>
            <w:rPr>
              <w:b/>
              <w:bCs/>
              <w:sz w:val="24"/>
              <w:lang w:val="zh-CN"/>
            </w:rPr>
            <w:fldChar w:fldCharType="end"/>
          </w:r>
        </w:p>
      </w:sdtContent>
    </w:sdt>
    <w:p/>
    <w:p>
      <w:pPr>
        <w:sectPr>
          <w:footerReference r:id="rId3" w:type="default"/>
          <w:pgSz w:w="11906" w:h="16838"/>
          <w:pgMar w:top="1440" w:right="1800" w:bottom="1440" w:left="1800" w:header="851" w:footer="992" w:gutter="0"/>
          <w:cols w:space="425" w:num="1"/>
          <w:docGrid w:type="lines" w:linePitch="312" w:charSpace="0"/>
        </w:sectPr>
      </w:pPr>
    </w:p>
    <w:p>
      <w:pPr>
        <w:pStyle w:val="11"/>
        <w:numPr>
          <w:ilvl w:val="0"/>
          <w:numId w:val="1"/>
        </w:numPr>
        <w:ind w:left="357" w:hanging="357" w:firstLineChars="0"/>
        <w:outlineLvl w:val="0"/>
        <w:rPr>
          <w:rFonts w:ascii="Bahnschrift Light Condensed" w:hAnsi="Bahnschrift Light Condensed"/>
          <w:color w:val="203864" w:themeColor="accent1" w:themeShade="80"/>
          <w:sz w:val="32"/>
          <w:szCs w:val="32"/>
        </w:rPr>
      </w:pPr>
      <w:bookmarkStart w:id="0" w:name="_Toc7090016"/>
      <w:r>
        <w:rPr>
          <w:rFonts w:ascii="Bahnschrift Light Condensed" w:hAnsi="Bahnschrift Light Condensed"/>
          <w:color w:val="203864" w:themeColor="accent1" w:themeShade="80"/>
          <w:sz w:val="32"/>
          <w:szCs w:val="32"/>
        </w:rPr>
        <w:t>Introduction</w:t>
      </w:r>
      <w:bookmarkEnd w:id="0"/>
      <w:r>
        <w:rPr>
          <w:rFonts w:ascii="Bahnschrift Light Condensed" w:hAnsi="Bahnschrift Light Condensed"/>
          <w:color w:val="203864" w:themeColor="accent1" w:themeShade="80"/>
          <w:sz w:val="32"/>
          <w:szCs w:val="32"/>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Almost all countries face a shortage of water resources to varying degrees, but the problems are manifested in different forms and degrees, and the ways of solving them vary from country to country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{"citationItems":[{"id":"ITEM-1","itemData":{"ISSN":"0250-8060","author":[{"dropping-particle":"","family":"Biswas","given":"Asit K","non-dropping-particle":"","parse-names":false,"suffix":""}],"container-title":"Water international","id":"ITEM-1","issue":"2","issued":{"date-parts":[["2004"]]},"page":"248-256","publisher":"Taylor &amp; Francis","title":"Integrated water resources management: a reassessment: a water forum contribution","type":"article-journal","volume":"29"},"uris":["http://www.mendeley.com/documents/?uuid=656e5eda-665f-40c3-aa2b-896b4ca770d8"]}],"mendeley":{"formattedCitation":"(Biswas, 2004)","plainTextFormattedCitation":"(Biswas, 2004)","previouslyFormattedCitation":"(Biswas, 2004)"},"properties":{"noteIndex":0},"schema":"https://github.com/citation-style-language/schema/raw/master/csl-citation.json"}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(Biswas, 2004)</w:t>
      </w:r>
      <w:r>
        <w:rPr>
          <w:rFonts w:ascii="Times New Roman" w:hAnsi="Times New Roman" w:cs="Times New Roman"/>
          <w:sz w:val="24"/>
          <w:szCs w:val="24"/>
        </w:rPr>
        <w:fldChar w:fldCharType="end"/>
      </w:r>
      <w:r>
        <w:rPr>
          <w:rFonts w:ascii="Times New Roman" w:hAnsi="Times New Roman" w:cs="Times New Roman"/>
          <w:sz w:val="24"/>
          <w:szCs w:val="24"/>
        </w:rPr>
        <w:t xml:space="preserve">. In the face of many problems with water resources, countries have been trying to find solutions over the past few decades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{"citationItems":[{"id":"ITEM-1","itemData":{"ISSN":"0959-6526","author":[{"dropping-particle":"","family":"Olawumi","given":"Timothy O","non-dropping-particle":"","parse-names":false,"suffix":""},{"dropping-particle":"","family":"Chan","given":"Daniel W M","non-dropping-particle":"","parse-names":false,"suffix":""}],"container-title":"Journal of Cleaner Production","id":"ITEM-1","issued":{"date-parts":[["2018"]]},"page":"231-250","publisher":"Elsevier","title":"A scientometric review of global research on sustainability and sustainable development","type":"article-journal","volume":"183"},"uris":["http://www.mendeley.com/documents/?uuid=89c22582-5778-4177-b494-d59dd4023f4c"]}],"mendeley":{"formattedCitation":"(Olawumi and Chan, 2018)","plainTextFormattedCitation":"(Olawumi and Chan, 2018)","previouslyFormattedCitation":"(Olawumi and Chan,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(Olawumi and Chan, 2018)</w:t>
      </w:r>
      <w:r>
        <w:rPr>
          <w:rFonts w:ascii="Times New Roman" w:hAnsi="Times New Roman" w:cs="Times New Roman"/>
          <w:sz w:val="24"/>
          <w:szCs w:val="24"/>
        </w:rPr>
        <w:fldChar w:fldCharType="end"/>
      </w:r>
      <w:r>
        <w:rPr>
          <w:rFonts w:ascii="Times New Roman" w:hAnsi="Times New Roman" w:cs="Times New Roman"/>
          <w:sz w:val="24"/>
          <w:szCs w:val="24"/>
        </w:rPr>
        <w:t xml:space="preserve">, including: (1) shifting from traditional sector water resource administration to integrated water resources administration; (2) developing new legal and institutional frameworks; (3) increasing the leverage from market instruments ; (4) invest and adopt new technologies; (5) encouraging private sector to participate in water resources management.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Privatisation of water supply is one vital tool to enhance efficiency and ease the pressure from limited financial budget and environmental protection regulation. However, as resources such as water and energy have intrinsic externality, the privatisation often leads to issues concerning corporate social responsibility (CSR)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BN":"135194844X","author":[{"dropping-particle":"","family":"Cooper","given":"Stuart","non-dropping-particle":"","parse-names":false,"suffix":""}],"id":"ITEM-1","issued":{"date-parts":[["2017"]]},"publisher":"Routledge","title":"Corporate social performance: A stakeholder approach","type":"book"},"uris":["http://www.mendeley.com/documents/?uuid=8d3d35a7-2a3e-4a1e-91c9-47683d38b4fb"]}],"mendeley":{"formattedCitation":"(Cooper, 2017)","plainTextFormattedCitation":"(Cooper, 2017)","previouslyFormattedCitation":"(Cooper, 2017)"},"properties":{"noteIndex":0},"schema":"https://github.com/citation-style-language/schema/raw/master/csl-citation.json"}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(Cooper, 2017)</w:t>
      </w:r>
      <w:r>
        <w:rPr>
          <w:rFonts w:ascii="Times New Roman" w:hAnsi="Times New Roman" w:cs="Times New Roman"/>
          <w:sz w:val="24"/>
          <w:szCs w:val="24"/>
        </w:rPr>
        <w:fldChar w:fldCharType="end"/>
      </w:r>
      <w:r>
        <w:rPr>
          <w:rFonts w:ascii="Times New Roman" w:hAnsi="Times New Roman" w:cs="Times New Roman"/>
          <w:sz w:val="24"/>
          <w:szCs w:val="24"/>
        </w:rPr>
        <w:t xml:space="preserve">. Thus, this essay is to discuss the role of privatised companies in terms of CSR. The analysis is based on Carroll’s Pyramid model. </w:t>
      </w:r>
    </w:p>
    <w:p>
      <w:pPr>
        <w:rPr>
          <w:rFonts w:ascii="Times New Roman" w:hAnsi="Times New Roman" w:cs="Times New Roman"/>
          <w:sz w:val="24"/>
          <w:szCs w:val="24"/>
        </w:rPr>
      </w:pPr>
      <w:r>
        <w:rPr>
          <w:rFonts w:ascii="Times New Roman" w:hAnsi="Times New Roman" w:cs="Times New Roman"/>
          <w:sz w:val="24"/>
          <w:szCs w:val="24"/>
        </w:rPr>
        <w:br w:type="page"/>
      </w:r>
    </w:p>
    <w:p>
      <w:pPr>
        <w:pStyle w:val="11"/>
        <w:numPr>
          <w:ilvl w:val="0"/>
          <w:numId w:val="1"/>
        </w:numPr>
        <w:ind w:left="357" w:hanging="357" w:firstLineChars="0"/>
        <w:outlineLvl w:val="0"/>
        <w:rPr>
          <w:rFonts w:ascii="Bahnschrift Light Condensed" w:hAnsi="Bahnschrift Light Condensed"/>
          <w:color w:val="203864" w:themeColor="accent1" w:themeShade="80"/>
          <w:sz w:val="32"/>
          <w:szCs w:val="32"/>
        </w:rPr>
      </w:pPr>
      <w:bookmarkStart w:id="1" w:name="_Toc7090017"/>
      <w:r>
        <w:rPr>
          <w:rFonts w:ascii="Bahnschrift Light Condensed" w:hAnsi="Bahnschrift Light Condensed"/>
          <w:color w:val="203864" w:themeColor="accent1" w:themeShade="80"/>
          <w:sz w:val="32"/>
          <w:szCs w:val="32"/>
        </w:rPr>
        <w:t>CSR analysis of privatised water companies</w:t>
      </w:r>
      <w:bookmarkEnd w:id="1"/>
      <w:r>
        <w:rPr>
          <w:rFonts w:ascii="Bahnschrift Light Condensed" w:hAnsi="Bahnschrift Light Condensed"/>
          <w:color w:val="203864" w:themeColor="accent1" w:themeShade="80"/>
          <w:sz w:val="32"/>
          <w:szCs w:val="32"/>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A widely adopted model in CSR research and practice is the pyramid model proposed by Carroll. This model consists of four social responsibilities: the economy (profitability), the law (compliance with the law), Ethics and Philanthropic (becoming a good citizen)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{"citationItems":[{"id":"ITEM-1","itemData":{"ISSN":"2366-0074","author":[{"dropping-particle":"","family":"Carroll","given":"Archie B","non-dropping-particle":"","parse-names":false,"suffix":""}],"container-title":"International journal of corporate social responsibility","id":"ITEM-1","issue":"1","issued":{"date-parts":[["2016"]]},"page":"3","publisher":"Nature Publishing Group","title":"Carroll’s pyramid of CSR: taking another look","type":"article-journal","volume":"1"},"uris":["http://www.mendeley.com/documents/?uuid=f0d7080b-a5ae-4581-92f3-4f9ca7ec4892"]}],"mendeley":{"formattedCitation":"(Carroll, 2016)","plainTextFormattedCitation":"(Carroll, 2016)","previouslyFormattedCitation":"(Carroll, 2016)"},"properties":{"noteIndex":0},"schema":"https://github.com/citation-style-language/schema/raw/master/csl-citation.json"}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(Carroll, 2016)</w:t>
      </w:r>
      <w:r>
        <w:rPr>
          <w:rFonts w:ascii="Times New Roman" w:hAnsi="Times New Roman" w:cs="Times New Roman"/>
          <w:sz w:val="24"/>
          <w:szCs w:val="24"/>
        </w:rPr>
        <w:fldChar w:fldCharType="end"/>
      </w:r>
      <w:r>
        <w:rPr>
          <w:rFonts w:ascii="Times New Roman" w:hAnsi="Times New Roman" w:cs="Times New Roman"/>
          <w:sz w:val="24"/>
          <w:szCs w:val="24"/>
        </w:rPr>
        <w:t xml:space="preserve">. This model, arranged hierarchically, is designed to show the importance of various social responsibilities, the most basic of which is financial responsibility, and other social responsibilities are based on economic responsibility. Pyramid model sees CSR as an external regulator and constraint for an enterprise, rather than maximising its goals. In the pyramid model, companies strive to achieve goals that satisfy the expectations from stakeholders rather than striving for excellence. </w:t>
      </w:r>
    </w:p>
    <w:p>
      <w:pPr>
        <w:pStyle w:val="11"/>
        <w:numPr>
          <w:ilvl w:val="0"/>
          <w:numId w:val="2"/>
        </w:numPr>
        <w:spacing w:before="156" w:beforeLines="50" w:after="156" w:afterLines="50" w:line="480" w:lineRule="auto"/>
        <w:ind w:firstLineChars="0"/>
        <w:rPr>
          <w:rFonts w:ascii="Bahnschrift Light Condensed" w:hAnsi="Bahnschrift Light Condensed" w:cs="Times New Roman"/>
          <w:color w:val="203864" w:themeColor="accent1" w:themeShade="80"/>
          <w:sz w:val="28"/>
          <w:szCs w:val="28"/>
        </w:rPr>
      </w:pPr>
      <w:r>
        <w:rPr>
          <w:rFonts w:ascii="Bahnschrift Light Condensed" w:hAnsi="Bahnschrift Light Condensed" w:cs="Times New Roman"/>
          <w:color w:val="203864" w:themeColor="accent1" w:themeShade="80"/>
          <w:sz w:val="28"/>
          <w:szCs w:val="28"/>
        </w:rPr>
        <w:t xml:space="preserve">Economic responsibility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Take the UK as an example; the first driving force of privatisation of the water industry was based on economic concerns. Public water supply has created problems such as inefficient management, overstaffing, excessive financial subsidies, ageing facilities without proper maintenance, serious leakage and rising costs. The declining service level and increasing cost for both the government and the public stagnated the development of public water companies for a long time. The privatisation was supposed to lower the cost of water supply and enhance the efficiency in the sector. However, it turned out typical that privatised water companies focus entirely on the economic outcome of the company, and the economic outcome they should bring to the society is neglected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uthor":[{"dropping-particle":"","family":"Brisman","given":"Avi","non-dropping-particle":"","parse-names":false,"suffix":""},{"dropping-particle":"","family":"McClanahan","given":"Bill","non-dropping-particle":"","parse-names":false,"suffix":""},{"dropping-particle":"","family":"South","given":"Nigel","non-dropping-particle":"","parse-names":false,"suffix":""},{"dropping-particle":"","family":"Walters","given":"Reece","non-dropping-particle":"","parse-names":false,"suffix":""}],"container-title":"Water, Crime and Security in the Twenty-First Century","id":"ITEM-1","issued":{"date-parts":[["2018"]]},"page":"113-147","publisher":"Springer","title":"Too Costly: Water and Privatization","type":"chapter"},"uris":["http://www.mendeley.com/documents/?uuid=b4d57267-2cf4-49e2-bec4-df08782ae268"]}],"mendeley":{"formattedCitation":"(Brisman &lt;i&gt;et al.&lt;/i&gt;, 2018)","plainTextFormattedCitation":"(Brisman et al., 2018)","previouslyFormattedCitation":"(Brisman &lt;i&gt;et al.&lt;/i&gt;,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(Brisman </w:t>
      </w:r>
      <w:r>
        <w:rPr>
          <w:rFonts w:ascii="Times New Roman" w:hAnsi="Times New Roman" w:cs="Times New Roman"/>
          <w:i/>
          <w:sz w:val="24"/>
          <w:szCs w:val="24"/>
        </w:rPr>
        <w:t>et al.</w:t>
      </w:r>
      <w:r>
        <w:rPr>
          <w:rFonts w:ascii="Times New Roman" w:hAnsi="Times New Roman" w:cs="Times New Roman"/>
          <w:sz w:val="24"/>
          <w:szCs w:val="24"/>
        </w:rPr>
        <w:t>, 2018)</w:t>
      </w:r>
      <w:r>
        <w:rPr>
          <w:rFonts w:ascii="Times New Roman" w:hAnsi="Times New Roman" w:cs="Times New Roman"/>
          <w:sz w:val="24"/>
          <w:szCs w:val="24"/>
        </w:rPr>
        <w:fldChar w:fldCharType="end"/>
      </w:r>
      <w:r>
        <w:rPr>
          <w:rFonts w:ascii="Times New Roman" w:hAnsi="Times New Roman" w:cs="Times New Roman"/>
          <w:sz w:val="24"/>
          <w:szCs w:val="24"/>
        </w:rPr>
        <w:t xml:space="preserve">. For example, in many empirical studies studying the efficiency of UK private water companies, the results clearly show that the privatised water companies do not outrank public water companies on efficiency and cost reduction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{"citationItems":[{"id":"ITEM-1","itemData":{"ISSN":"0972-4907","author":[{"dropping-particle":"","family":"Saal","given":"David S","non-dropping-particle":"","parse-names":false,"suffix":""},{"dropping-particle":"","family":"Parker","given":"David","non-dropping-particle":"","parse-names":false,"suffix":""}],"container-title":"International Journal of Regulation and Governance","id":"ITEM-1","issue":"2","issued":{"date-parts":[["2004"]]},"page":"139-170","publisher":"IOS Press","title":"The comparative impact of privatization and regulation on productivity growth in the English and Welsh water and sewerage industry, 1985–99","type":"article-journal","volume":"4"},"uris":["http://www.mendeley.com/documents/?uuid=f6474ad7-7a86-4558-ab29-05af076b98ba"]},{"id":"ITEM-2","itemData":{"ISSN":"0921-3449","author":[{"dropping-particle":"","family":"Bel","given":"Germà","non-dropping-particle":"","parse-names":false,"suffix":""},{"dropping-particle":"","family":"Warner","given":"Mildred","non-dropping-particle":"","parse-names":false,"suffix":""}],"container-title":"Resources, Conservation and Recycling","id":"ITEM-2","issue":"12","issued":{"date-parts":[["2008"]]},"page":"1337-1348","publisher":"Elsevier","title":"Does Privatization of solid waste and water services reduce costs","type":"article-journal","volume":"52"},"uris":["http://www.mendeley.com/documents/?uuid=b2098803-87c2-4713-909a-9039f303ee50"]}],"mendeley":{"formattedCitation":"(Saal and Parker, 2004; Bel and Warner, 2008)","plainTextFormattedCitation":"(Saal and Parker, 2004; Bel and Warner, 2008)","previouslyFormattedCitation":"(Saal and Parker, 2004; Bel and Warner, 2008)"},"properties":{"noteIndex":0},"schema":"https://github.com/citation-style-language/schema/raw/master/csl-citation.json"}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(Saal and Parker, 2004; Bel and Warner, 2008)</w:t>
      </w:r>
      <w:r>
        <w:rPr>
          <w:rFonts w:ascii="Times New Roman" w:hAnsi="Times New Roman" w:cs="Times New Roman"/>
          <w:sz w:val="24"/>
          <w:szCs w:val="24"/>
        </w:rPr>
        <w:fldChar w:fldCharType="end"/>
      </w:r>
      <w:r>
        <w:rPr>
          <w:rFonts w:ascii="Times New Roman" w:hAnsi="Times New Roman" w:cs="Times New Roman"/>
          <w:sz w:val="24"/>
          <w:szCs w:val="24"/>
        </w:rPr>
        <w:t xml:space="preserve">. Examples are abundant in terms of the privatised water companies being too focused on their economic responsibilities to society. For example, in Paris, an audit led by the city council found out that privatised water company charged 25-30% more than economically legitimate price. In Atlanta US, a privatised water company United Water was charged on providing unclean water with the yearly increasing price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{"citationItems":[{"id":"ITEM-1","itemData":{"ISBN":"1623170729","author":[{"dropping-particle":"","family":"Shiva","given":"Vandana","non-dropping-particle":"","parse-names":false,"suffix":""}],"id":"ITEM-1","issued":{"date-parts":[["2016"]]},"publisher":"North Atlantic Books","title":"Water wars: Privatization, pollution, and profit","type":"book"},"uris":["http://www.mendeley.com/documents/?uuid=0453b20f-a6e9-4430-9804-34c748f7db24"]}],"mendeley":{"formattedCitation":"(Shiva, 2016)","plainTextFormattedCitation":"(Shiva, 2016)","previouslyFormattedCitation":"(Shiva, 2016)"},"properties":{"noteIndex":0},"schema":"https://github.com/citation-style-language/schema/raw/master/csl-citation.json"}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(Shiva, 2016)</w:t>
      </w:r>
      <w:r>
        <w:rPr>
          <w:rFonts w:ascii="Times New Roman" w:hAnsi="Times New Roman" w:cs="Times New Roman"/>
          <w:sz w:val="24"/>
          <w:szCs w:val="24"/>
        </w:rPr>
        <w:fldChar w:fldCharType="end"/>
      </w:r>
      <w:r>
        <w:rPr>
          <w:rFonts w:ascii="Times New Roman" w:hAnsi="Times New Roman" w:cs="Times New Roman"/>
          <w:sz w:val="24"/>
          <w:szCs w:val="24"/>
        </w:rPr>
        <w:t xml:space="preserve">. The privatisation of the water industry was supposed to establish economies of scale and provide better water supply service to the public. However, empirical studies show that they typically fail in doing so. </w:t>
      </w:r>
    </w:p>
    <w:p>
      <w:pPr>
        <w:pStyle w:val="11"/>
        <w:numPr>
          <w:ilvl w:val="0"/>
          <w:numId w:val="2"/>
        </w:numPr>
        <w:spacing w:before="156" w:beforeLines="50" w:after="156" w:afterLines="50" w:line="480" w:lineRule="auto"/>
        <w:ind w:firstLineChars="0"/>
        <w:rPr>
          <w:rFonts w:ascii="Bahnschrift Light Condensed" w:hAnsi="Bahnschrift Light Condensed" w:cs="Times New Roman"/>
          <w:color w:val="203864" w:themeColor="accent1" w:themeShade="80"/>
          <w:sz w:val="28"/>
          <w:szCs w:val="28"/>
        </w:rPr>
      </w:pPr>
      <w:r>
        <w:rPr>
          <w:rFonts w:ascii="Bahnschrift Light Condensed" w:hAnsi="Bahnschrift Light Condensed" w:cs="Times New Roman"/>
          <w:color w:val="203864" w:themeColor="accent1" w:themeShade="80"/>
          <w:sz w:val="28"/>
          <w:szCs w:val="28"/>
        </w:rPr>
        <w:t xml:space="preserve">Legal responsibility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Legal liability refers to the obligation of an enterprise to exercise economic responsibility within the scope of legal requirements. As water supply and treatment are directly related to public life and health, the legal responsibilities in the privatized water company are overwhelming. However, even with regulations getting stricter, some privatised water companies still failed to perform their legal responsibilities. For example, in the Lanzhou (China) tap water pollution incident, the privatised water supplier failed to regularly maintain the pipelines and examine any toxicants in the tap water supply system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SN":"1606-9749","author":[{"dropping-particle":"","family":"Wu","given":"Gaojie","non-dropping-particle":"","parse-names":false,"suffix":""},{"dropping-particle":"","family":"Cao","given":"Wenzhi","non-dropping-particle":"","parse-names":false,"suffix":""},{"dropping-particle":"","family":"Liu","given":"Lusan","non-dropping-particle":"","parse-names":false,"suffix":""},{"dropping-particle":"","family":"Wang","given":"Feifei","non-dropping-particle":"","parse-names":false,"suffix":""}],"container-title":"Water Science and Technology: Water Supply","id":"ITEM-1","issue":"2","issued":{"date-parts":[["2018"]]},"page":"603-611","publisher":"IWA Publishing","title":"Water pollution management in China: recent incidents and proposed improvements","type":"article-journal","volume":"18"},"uris":["http://www.mendeley.com/documents/?uuid=bdd5dfc8-5914-4612-bf94-937e610906cc"]}],"mendeley":{"formattedCitation":"(Wu &lt;i&gt;et al.&lt;/i&gt;, 2018)","plainTextFormattedCitation":"(Wu et al., 2018)","previouslyFormattedCitation":"(Wu &lt;i&gt;et al.&lt;/i&gt;,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(Wu </w:t>
      </w:r>
      <w:r>
        <w:rPr>
          <w:rFonts w:ascii="Times New Roman" w:hAnsi="Times New Roman" w:cs="Times New Roman"/>
          <w:i/>
          <w:sz w:val="24"/>
          <w:szCs w:val="24"/>
        </w:rPr>
        <w:t>et al.</w:t>
      </w:r>
      <w:r>
        <w:rPr>
          <w:rFonts w:ascii="Times New Roman" w:hAnsi="Times New Roman" w:cs="Times New Roman"/>
          <w:sz w:val="24"/>
          <w:szCs w:val="24"/>
        </w:rPr>
        <w:t>, 2018)</w:t>
      </w:r>
      <w:r>
        <w:rPr>
          <w:rFonts w:ascii="Times New Roman" w:hAnsi="Times New Roman" w:cs="Times New Roman"/>
          <w:sz w:val="24"/>
          <w:szCs w:val="24"/>
        </w:rPr>
        <w:fldChar w:fldCharType="end"/>
      </w:r>
      <w:r>
        <w:rPr>
          <w:rFonts w:ascii="Times New Roman" w:hAnsi="Times New Roman" w:cs="Times New Roman"/>
          <w:sz w:val="24"/>
          <w:szCs w:val="24"/>
        </w:rPr>
        <w:t xml:space="preserve">. Veolia claimed that the direct cause of the unqualified water quality is the leakage of the petrochemical pipeline, the oil pollution mainly comes from 2 explosion accidents in Lanzhou petrochemical in 1987 and 2002. Later investigations found out that the company, for the sake of reducing maintenance cost, deliberately reduce the water quality check frequency. </w:t>
      </w:r>
    </w:p>
    <w:p>
      <w:pPr>
        <w:pStyle w:val="11"/>
        <w:numPr>
          <w:ilvl w:val="0"/>
          <w:numId w:val="2"/>
        </w:numPr>
        <w:spacing w:before="156" w:beforeLines="50" w:after="156" w:afterLines="50" w:line="480" w:lineRule="auto"/>
        <w:ind w:firstLineChars="0"/>
        <w:rPr>
          <w:rFonts w:ascii="Bahnschrift Light Condensed" w:hAnsi="Bahnschrift Light Condensed" w:cs="Times New Roman"/>
          <w:color w:val="203864" w:themeColor="accent1" w:themeShade="80"/>
          <w:sz w:val="28"/>
          <w:szCs w:val="28"/>
        </w:rPr>
      </w:pPr>
      <w:r>
        <w:rPr>
          <w:rFonts w:ascii="Bahnschrift Light Condensed" w:hAnsi="Bahnschrift Light Condensed" w:cs="Times New Roman"/>
          <w:color w:val="203864" w:themeColor="accent1" w:themeShade="80"/>
          <w:sz w:val="28"/>
          <w:szCs w:val="28"/>
        </w:rPr>
        <w:t xml:space="preserve">Ethical responsibility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There are some ethical norms implied in the economic and legal responsibility of enterprises, and the public society still expects enterprises to follow the ethical norms that have not yet become law but are recognised by society. As the companies providing life necessities, privatised water companies are obligated to stricter ethical responsibilities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{"citationItems":[{"id":"ITEM-1","itemData":{"author":[{"dropping-particle":"","family":"Mahoney","given":"Musa","non-dropping-particle":"","parse-names":false,"suffix":""}],"id":"ITEM-1","issued":{"date-parts":[["2018"]]},"title":"The latest fashion trend: water sustainability and social ethics","type":"article"},"uris":["http://www.mendeley.com/documents/?uuid=06215ae4-7a6a-4b0b-9779-f34abb20b52d"]}],"mendeley":{"formattedCitation":"(Mahoney, 2018)","plainTextFormattedCitation":"(Mahoney, 2018)","previouslyFormattedCitation":"(Mahoney,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(Mahoney, 2018)</w:t>
      </w:r>
      <w:r>
        <w:rPr>
          <w:rFonts w:ascii="Times New Roman" w:hAnsi="Times New Roman" w:cs="Times New Roman"/>
          <w:sz w:val="24"/>
          <w:szCs w:val="24"/>
        </w:rPr>
        <w:fldChar w:fldCharType="end"/>
      </w:r>
      <w:r>
        <w:rPr>
          <w:rFonts w:ascii="Times New Roman" w:hAnsi="Times New Roman" w:cs="Times New Roman"/>
          <w:sz w:val="24"/>
          <w:szCs w:val="24"/>
        </w:rPr>
        <w:t xml:space="preserve">. However, the externality of water industry defines that privatised water companies tend to maximise profit and minimise their effort in abiding with ethical responsibility. For example, in the case of Veolia in charge of water supply in Indianapolis (US), the company conducted a series of legal actions without considering the ethical outcome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{"citationItems":[{"id":"ITEM-1","itemData":{"author":[{"dropping-particle":"","family":"Ramos","given":"Elana","non-dropping-particle":"","parse-names":false,"suffix":""}],"container-title":"Earth Jurisprudence &amp; Envtl. Just. J.","id":"ITEM-1","issued":{"date-parts":[["2017"]]},"page":"188","publisher":"HeinOnline","title":"The Dangers Of Water Privatization: An Exploration Of The Discriminatory Practices Of Private Water Companies","type":"article-journal","volume":"7"},"uris":["http://www.mendeley.com/documents/?uuid=0a8f2588-6f22-4ef8-b55f-4dfe00021e59"]}],"mendeley":{"formattedCitation":"(Ramos, 2017)","plainTextFormattedCitation":"(Ramos, 2017)","previouslyFormattedCitation":"(Ramos, 2017)"},"properties":{"noteIndex":0},"schema":"https://github.com/citation-style-language/schema/raw/master/csl-citation.json"}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(Ramos, 2017)</w:t>
      </w:r>
      <w:r>
        <w:rPr>
          <w:rFonts w:ascii="Times New Roman" w:hAnsi="Times New Roman" w:cs="Times New Roman"/>
          <w:sz w:val="24"/>
          <w:szCs w:val="24"/>
        </w:rPr>
        <w:fldChar w:fldCharType="end"/>
      </w:r>
      <w:r>
        <w:rPr>
          <w:rFonts w:ascii="Times New Roman" w:hAnsi="Times New Roman" w:cs="Times New Roman"/>
          <w:sz w:val="24"/>
          <w:szCs w:val="24"/>
        </w:rPr>
        <w:t>. In 2002, Veolia's misdeeds included sending warnings to millions of people that tap water is to be boiled before being consumed due to the lack of adequate safeguards, causing schools to be suspended for several days. The company also showed minimal ethical responsibility to its employees. In terms of the ethical responsibility to the government, Veolia threatened to withdraw funding by forcing the city government to pay an extra $1.9 million a year to make up for the loss of profits. Also, without notifying the regulatory bodies, Veolia calculated water fees based on summer water consumption, thereby systematically overcharging residents’ water bills. Eventually, the city government had to pay Veolia 2.9 million USD in breach of contract before terminating the 20-year contract more than ten years earlier.</w:t>
      </w:r>
    </w:p>
    <w:p>
      <w:pPr>
        <w:pStyle w:val="11"/>
        <w:numPr>
          <w:ilvl w:val="0"/>
          <w:numId w:val="2"/>
        </w:numPr>
        <w:spacing w:before="156" w:beforeLines="50" w:after="156" w:afterLines="50" w:line="480" w:lineRule="auto"/>
        <w:ind w:firstLineChars="0"/>
        <w:rPr>
          <w:rFonts w:ascii="Bahnschrift Light Condensed" w:hAnsi="Bahnschrift Light Condensed" w:cs="Times New Roman"/>
          <w:color w:val="203864" w:themeColor="accent1" w:themeShade="80"/>
          <w:sz w:val="28"/>
          <w:szCs w:val="28"/>
        </w:rPr>
      </w:pPr>
      <w:r>
        <w:rPr>
          <w:rFonts w:ascii="Bahnschrift Light Condensed" w:hAnsi="Bahnschrift Light Condensed" w:cs="Times New Roman"/>
          <w:color w:val="203864" w:themeColor="accent1" w:themeShade="80"/>
          <w:sz w:val="28"/>
          <w:szCs w:val="28"/>
        </w:rPr>
        <w:t>Philanthropic responsibility</w:t>
      </w:r>
    </w:p>
    <w:p>
      <w:pPr>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Philanthropic liability includes a series of activities expected by society to become a good corporate citizen. It is voluntary for the enterprise. The difference between philanthropic responsibility and ethical responsibility lies in that even the philanthropic responsibility is not performed; the enterprises will not be judged within the scope of business ethics and social norms. In practice, the privatised water companies, as other companies are not required to take philanthropic responsibilities. However, it has been suggested by many empirical studies that long-term strategic philanthropic activities can enhance the profitability of the company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{"citationItems":[{"id":"ITEM-1","itemData":{"ISSN":"0007-6503","author":[{"dropping-particle":"","family":"Gardberg","given":"Naomi A","non-dropping-particle":"","parse-names":false,"suffix":""},{"dropping-particle":"","family":"Zyglidopoulos","given":"Stelios C","non-dropping-particle":"","parse-names":false,"suffix":""},{"dropping-particle":"","family":"Symeou","given":"Pavlos C","non-dropping-particle":"","parse-names":false,"suffix":""},{"dropping-particle":"","family":"Schepers","given":"Donald H","non-dropping-particle":"","parse-names":false,"suffix":""}],"container-title":"Business &amp; society","id":"ITEM-1","issued":{"date-parts":[["2017"]]},"page":"0007650317694856","publisher":"SAGE Publications Sage CA: Los Angeles, CA","title":"The impact of corporate philanthropy on reputation for corporate social performance","type":"article-journal"},"uris":["http://www.mendeley.com/documents/?uuid=f7535d08-97f4-4061-b919-1ee2f4ae28e6"]},{"id":"ITEM-2","itemData":{"author":[{"dropping-particle":"","family":"Kim","given":"Min-Seong","non-dropping-particle":"","parse-names":false,"suffix":""},{"dropping-particle":"","family":"Thapa","given":"Brijesh","non-dropping-particle":"","parse-names":false,"suffix":""}],"container-title":"Sustainability","id":"ITEM-2","issue":"2","issued":{"date-parts":[["2018"]]},"page":"447","publisher":"Multidisciplinary Digital Publishing Institute","title":"Relationship of ethical leadership, corporate social responsibility and organizational performance","type":"article-journal","volume":"10"},"uris":["http://www.mendeley.com/documents/?uuid=5c010633-9fa3-426d-9031-04f3bef5129c"]}],"mendeley":{"formattedCitation":"(Gardberg &lt;i&gt;et al.&lt;/i&gt;, 2017; Kim and Thapa, 2018)","plainTextFormattedCitation":"(Gardberg et al., 2017; Kim and Thapa, 2018)","previouslyFormattedCitation":"(Gardberg &lt;i&gt;et al.&lt;/i&gt;, 2017; Kim and Thapa, 2018)"},"properties":{"noteIndex":0},"schema":"https://github.com/citation-style-language/schema/raw/master/csl-citation.json"}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 xml:space="preserve">(Gardberg </w:t>
      </w:r>
      <w:r>
        <w:rPr>
          <w:rFonts w:ascii="Times New Roman" w:hAnsi="Times New Roman" w:cs="Times New Roman"/>
          <w:i/>
          <w:sz w:val="24"/>
          <w:szCs w:val="24"/>
          <w:lang w:val="en-US"/>
        </w:rPr>
        <w:t>et al.</w:t>
      </w:r>
      <w:r>
        <w:rPr>
          <w:rFonts w:ascii="Times New Roman" w:hAnsi="Times New Roman" w:cs="Times New Roman"/>
          <w:sz w:val="24"/>
          <w:szCs w:val="24"/>
          <w:lang w:val="en-US"/>
        </w:rPr>
        <w:t>, 2017; Kim and Thapa, 2018)</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For the water companies, philanthropic activities can not only help establish the reputation of a good social citizen of the companies but can also help the company to promote a series of visions such as environmental protection and saving water for the planet. </w:t>
      </w:r>
    </w:p>
    <w:p>
      <w:pPr>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However, in the process of searching for such information using various databases, the author has found a few cases that the privatised water companies who have been actively devoted to philanthropic activities. For those with records, most philanthropic activities were focused on donation during natural disasters and donation to poor communities. This again reflects the fact that it is typical for the privatised water companies to lower the priority of social responsibilities. </w:t>
      </w:r>
    </w:p>
    <w:p>
      <w:pPr>
        <w:rPr>
          <w:rFonts w:ascii="Times New Roman" w:hAnsi="Times New Roman" w:cs="Times New Roman"/>
          <w:sz w:val="24"/>
          <w:szCs w:val="24"/>
          <w:lang w:val="en-US"/>
        </w:rPr>
      </w:pPr>
      <w:r>
        <w:rPr>
          <w:rFonts w:ascii="Times New Roman" w:hAnsi="Times New Roman" w:cs="Times New Roman"/>
          <w:sz w:val="24"/>
          <w:szCs w:val="24"/>
          <w:lang w:val="en-US"/>
        </w:rPr>
        <w:br w:type="page"/>
      </w:r>
    </w:p>
    <w:p>
      <w:pPr>
        <w:pStyle w:val="11"/>
        <w:numPr>
          <w:ilvl w:val="0"/>
          <w:numId w:val="1"/>
        </w:numPr>
        <w:ind w:left="357" w:hanging="357" w:firstLineChars="0"/>
        <w:outlineLvl w:val="0"/>
        <w:rPr>
          <w:rFonts w:ascii="Bahnschrift Light Condensed" w:hAnsi="Bahnschrift Light Condensed"/>
          <w:color w:val="203864" w:themeColor="accent1" w:themeShade="80"/>
          <w:sz w:val="32"/>
          <w:szCs w:val="32"/>
        </w:rPr>
      </w:pPr>
      <w:bookmarkStart w:id="2" w:name="_Toc7090018"/>
      <w:r>
        <w:rPr>
          <w:rFonts w:ascii="Bahnschrift Light Condensed" w:hAnsi="Bahnschrift Light Condensed"/>
          <w:color w:val="203864" w:themeColor="accent1" w:themeShade="80"/>
          <w:sz w:val="32"/>
          <w:szCs w:val="32"/>
        </w:rPr>
        <w:t>Provision of water services from the public sector</w:t>
      </w:r>
      <w:bookmarkEnd w:id="2"/>
      <w:r>
        <w:rPr>
          <w:rFonts w:ascii="Bahnschrift Light Condensed" w:hAnsi="Bahnschrift Light Condensed"/>
          <w:color w:val="203864" w:themeColor="accent1" w:themeShade="80"/>
          <w:sz w:val="32"/>
          <w:szCs w:val="32"/>
        </w:rPr>
        <w:t xml:space="preserve"> </w:t>
      </w:r>
    </w:p>
    <w:p>
      <w:pPr>
        <w:pStyle w:val="11"/>
        <w:spacing w:before="156" w:beforeLines="50" w:after="156" w:afterLines="50" w:line="480" w:lineRule="auto"/>
        <w:ind w:left="360" w:firstLine="0" w:firstLineChars="0"/>
        <w:rPr>
          <w:rFonts w:ascii="Times New Roman" w:hAnsi="Times New Roman" w:cs="Times New Roman"/>
          <w:sz w:val="24"/>
          <w:szCs w:val="24"/>
          <w:lang w:val="en-US"/>
        </w:rPr>
      </w:pPr>
      <w:r>
        <w:rPr>
          <w:rFonts w:ascii="Bahnschrift Light Condensed" w:hAnsi="Bahnschrift Light Condensed"/>
          <w:color w:val="203864" w:themeColor="accent1" w:themeShade="80"/>
          <w:sz w:val="32"/>
          <w:szCs w:val="32"/>
        </w:rPr>
        <w:t xml:space="preserve">&amp; </w:t>
      </w:r>
      <w:r>
        <w:rPr>
          <w:rFonts w:hint="eastAsia" w:ascii="Bahnschrift Light Condensed" w:hAnsi="Bahnschrift Light Condensed"/>
          <w:color w:val="203864" w:themeColor="accent1" w:themeShade="80"/>
          <w:sz w:val="32"/>
          <w:szCs w:val="32"/>
        </w:rPr>
        <w:t>M</w:t>
      </w:r>
      <w:r>
        <w:rPr>
          <w:rFonts w:ascii="Bahnschrift Light Condensed" w:hAnsi="Bahnschrift Light Condensed"/>
          <w:color w:val="203864" w:themeColor="accent1" w:themeShade="80"/>
          <w:sz w:val="32"/>
          <w:szCs w:val="32"/>
        </w:rPr>
        <w:t>otivation for water privatisation</w:t>
      </w:r>
      <w:r>
        <w:rPr>
          <w:rFonts w:ascii="Times New Roman" w:hAnsi="Times New Roman" w:cs="Times New Roman"/>
          <w:sz w:val="24"/>
          <w:szCs w:val="24"/>
          <w:lang w:val="en-US"/>
        </w:rPr>
        <w:t xml:space="preserve"> </w:t>
      </w:r>
    </w:p>
    <w:p>
      <w:pPr>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provision of water-related services from the public sector was established around the second world war when the urbanization process was peaked. From the end of World War two to the 1960s, the economic and social development of Western Europe and the United States was rapid, but it also paid the price of a serious deterioration in the quality of the environment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{"citationItems":[{"id":"ITEM-1","itemData":{"ISBN":"9781137446404","author":[{"dropping-particle":"","family":"O'Hara","given":"G","non-dropping-particle":"","parse-names":false,"suffix":""}],"id":"ITEM-1","issued":{"date-parts":[["2017"]]},"publisher":"Palgrave Macmillan UK","title":"The Politics of Water in Post-War Britain","type":"book"},"uris":["http://www.mendeley.com/documents/?uuid=5a80e72b-a066-47fb-b304-83ad56c25dbc"]}],"mendeley":{"formattedCitation":"(O’Hara, 2017)","plainTextFormattedCitation":"(O’Hara, 2017)","previouslyFormattedCitation":"(O’Hara, 2017)"},"properties":{"noteIndex":0},"schema":"https://github.com/citation-style-language/schema/raw/master/csl-citation.json"}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(O’Hara, 2017)</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The scarcity of water resources and the decline in water quality have become one of the most pressing environmental problems, threatening the economic development of countries and public health. In the face of the enormous pressure of increasing scarcity of water resources, the industrialised countries began to find solutions since 1970. One of the most striking aspects is the transformation of the water resources management model. The trend of water privatisation started in the 1970s and was pioneered by the UK. The original motivation, as mentioned in the previous part of this part, was to enhance the efficiency of the water industry </w:t>
      </w:r>
      <w:r>
        <w:rPr>
          <w:rFonts w:ascii="Times New Roman" w:hAnsi="Times New Roman" w:cs="Times New Roman"/>
          <w:sz w:val="24"/>
          <w:szCs w:val="24"/>
          <w:lang w:val="en-US"/>
        </w:rPr>
        <w:fldChar w:fldCharType="begin" w:fldLock="1"/>
      </w:r>
      <w:r>
        <w:rPr>
          <w:rFonts w:ascii="Times New Roman" w:hAnsi="Times New Roman" w:cs="Times New Roman"/>
          <w:sz w:val="24"/>
          <w:szCs w:val="24"/>
          <w:lang w:val="en-US"/>
        </w:rPr>
        <w:instrText xml:space="preserve">ADDIN CSL_CITATION {"citationItems":[{"id":"ITEM-1","itemData":{"ISBN":"9781315356310","author":[{"dropping-particle":"","family":"Chen","given":"D H","non-dropping-particle":"","parse-names":false,"suffix":""}],"collection-title":"Green Chemistry and Chemical Engineering","id":"ITEM-1","issued":{"date-parts":[["2016"]]},"publisher":"CRC Press","title":"Sustainable Water Management","type":"book"},"uris":["http://www.mendeley.com/documents/?uuid=8a974db5-892d-4955-81c0-3c3d53b047e1"]}],"mendeley":{"formattedCitation":"(Chen, 2016)","plainTextFormattedCitation":"(Chen, 2016)","previouslyFormattedCitation":"(Chen, 2016)"},"properties":{"noteIndex":0},"schema":"https://github.com/citation-style-language/schema/raw/master/csl-citation.json"}</w:instrText>
      </w:r>
      <w:r>
        <w:rPr>
          <w:rFonts w:ascii="Times New Roman" w:hAnsi="Times New Roman" w:cs="Times New Roman"/>
          <w:sz w:val="24"/>
          <w:szCs w:val="24"/>
          <w:lang w:val="en-US"/>
        </w:rPr>
        <w:fldChar w:fldCharType="separate"/>
      </w:r>
      <w:r>
        <w:rPr>
          <w:rFonts w:ascii="Times New Roman" w:hAnsi="Times New Roman" w:cs="Times New Roman"/>
          <w:sz w:val="24"/>
          <w:szCs w:val="24"/>
          <w:lang w:val="en-US"/>
        </w:rPr>
        <w:t>(Chen, 2016)</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The public sector, though being able to provide an adequate level of water resource, was criticized for being inefficient and wasting public budget. </w:t>
      </w:r>
    </w:p>
    <w:p>
      <w:pPr>
        <w:pStyle w:val="11"/>
        <w:numPr>
          <w:ilvl w:val="0"/>
          <w:numId w:val="1"/>
        </w:numPr>
        <w:ind w:left="357" w:hanging="357" w:firstLineChars="0"/>
        <w:outlineLvl w:val="0"/>
        <w:rPr>
          <w:rFonts w:ascii="Bahnschrift Light Condensed" w:hAnsi="Bahnschrift Light Condensed"/>
          <w:color w:val="203864" w:themeColor="accent1" w:themeShade="80"/>
          <w:sz w:val="32"/>
          <w:szCs w:val="32"/>
        </w:rPr>
      </w:pPr>
      <w:bookmarkStart w:id="3" w:name="_Toc7090019"/>
      <w:r>
        <w:rPr>
          <w:rFonts w:ascii="Bahnschrift Light Condensed" w:hAnsi="Bahnschrift Light Condensed"/>
          <w:color w:val="203864" w:themeColor="accent1" w:themeShade="80"/>
          <w:sz w:val="32"/>
          <w:szCs w:val="32"/>
        </w:rPr>
        <w:t>Sustainability issues of water resources</w:t>
      </w:r>
      <w:bookmarkEnd w:id="3"/>
      <w:r>
        <w:rPr>
          <w:rFonts w:ascii="Bahnschrift Light Condensed" w:hAnsi="Bahnschrift Light Condensed"/>
          <w:color w:val="203864" w:themeColor="accent1" w:themeShade="80"/>
          <w:sz w:val="32"/>
          <w:szCs w:val="32"/>
        </w:rPr>
        <w:t xml:space="preserve"> </w:t>
      </w:r>
    </w:p>
    <w:p>
      <w:pPr>
        <w:spacing w:before="156" w:beforeLines="50" w:after="156" w:afterLines="5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Water is a scarce and unique resource. The scarcity of water as a natural resource lies in that 96.5% of the water on earth is on the oceans, seas and bays, while fresh water only contributes to 2.5% of global water reservoir. According to the World Bank, the global food system will need to increase water resources by 40% to 50% over the next 30 years </w:t>
      </w:r>
      <w:r>
        <w:rPr>
          <w:rFonts w:ascii="Times New Roman" w:hAnsi="Times New Roman" w:cs="Times New Roman"/>
          <w:kern w:val="0"/>
          <w:sz w:val="24"/>
          <w:szCs w:val="24"/>
        </w:rPr>
        <w:fldChar w:fldCharType="begin" w:fldLock="1"/>
      </w:r>
      <w:r>
        <w:rPr>
          <w:rFonts w:ascii="Times New Roman" w:hAnsi="Times New Roman" w:cs="Times New Roman"/>
          <w:kern w:val="0"/>
          <w:sz w:val="24"/>
          <w:szCs w:val="24"/>
        </w:rPr>
        <w:instrText xml:space="preserve">ADDIN CSL_CITATION {"citationItems":[{"id":"ITEM-1","itemData":{"author":[{"dropping-particle":"","family":"UN","given":"","non-dropping-particle":"","parse-names":false,"suffix":""}],"id":"ITEM-1","issued":{"date-parts":[["2017"]]},"title":"UN-Water Annual Report 2017","type":"report"},"uris":["http://www.mendeley.com/documents/?uuid=aa4dc30e-76c7-4851-ae76-26cf7ff46be9"]}],"mendeley":{"formattedCitation":"(UN, 2017)","plainTextFormattedCitation":"(UN, 2017)","previouslyFormattedCitation":"(UN, 2017)"},"properties":{"noteIndex":0},"schema":"https://github.com/citation-style-language/schema/raw/master/csl-citation.json"}</w:instrText>
      </w:r>
      <w:r>
        <w:rPr>
          <w:rFonts w:ascii="Times New Roman" w:hAnsi="Times New Roman" w:cs="Times New Roman"/>
          <w:kern w:val="0"/>
          <w:sz w:val="24"/>
          <w:szCs w:val="24"/>
        </w:rPr>
        <w:fldChar w:fldCharType="separate"/>
      </w:r>
      <w:r>
        <w:rPr>
          <w:rFonts w:ascii="Times New Roman" w:hAnsi="Times New Roman" w:cs="Times New Roman"/>
          <w:kern w:val="0"/>
          <w:sz w:val="24"/>
          <w:szCs w:val="24"/>
        </w:rPr>
        <w:t>(UN, 2017)</w:t>
      </w:r>
      <w:r>
        <w:rPr>
          <w:rFonts w:ascii="Times New Roman" w:hAnsi="Times New Roman" w:cs="Times New Roman"/>
          <w:kern w:val="0"/>
          <w:sz w:val="24"/>
          <w:szCs w:val="24"/>
        </w:rPr>
        <w:fldChar w:fldCharType="end"/>
      </w:r>
      <w:r>
        <w:rPr>
          <w:rFonts w:ascii="Times New Roman" w:hAnsi="Times New Roman" w:cs="Times New Roman"/>
          <w:kern w:val="0"/>
          <w:sz w:val="24"/>
          <w:szCs w:val="24"/>
        </w:rPr>
        <w:t xml:space="preserve">. Municipal and industrial water demand will increase 50-70%, while demand for water resources in the energy sector is growing by as much as 85% </w:t>
      </w:r>
      <w:r>
        <w:rPr>
          <w:rFonts w:ascii="Times New Roman" w:hAnsi="Times New Roman" w:cs="Times New Roman"/>
          <w:kern w:val="0"/>
          <w:sz w:val="24"/>
          <w:szCs w:val="24"/>
        </w:rPr>
        <w:fldChar w:fldCharType="begin" w:fldLock="1"/>
      </w:r>
      <w:r>
        <w:rPr>
          <w:rFonts w:ascii="Times New Roman" w:hAnsi="Times New Roman" w:cs="Times New Roman"/>
          <w:kern w:val="0"/>
          <w:sz w:val="24"/>
          <w:szCs w:val="24"/>
        </w:rPr>
        <w:instrText xml:space="preserve">ADDIN CSL_CITATION {"citationItems":[{"id":"ITEM-1","itemData":{"ISBN":"9781317398288","author":[{"dropping-particle":"","family":"Bell","given":"S","non-dropping-particle":"","parse-names":false,"suffix":""}],"collection-title":"Earthscan Studies in Water Resource Management","id":"ITEM-1","issued":{"date-parts":[["2017"]]},"publisher":"Taylor &amp; Francis","title":"Urban Water Sustainability: Constructing Infrastructure for Cities and Nature","type":"book"},"uris":["http://www.mendeley.com/documents/?uuid=0c7562f6-38c0-4132-a143-ff273f1a64db"]}],"mendeley":{"formattedCitation":"(Bell, 2017)","plainTextFormattedCitation":"(Bell, 2017)","previouslyFormattedCitation":"(Bell, 2017)"},"properties":{"noteIndex":0},"schema":"https://github.com/citation-style-language/schema/raw/master/csl-citation.json"}</w:instrText>
      </w:r>
      <w:r>
        <w:rPr>
          <w:rFonts w:ascii="Times New Roman" w:hAnsi="Times New Roman" w:cs="Times New Roman"/>
          <w:kern w:val="0"/>
          <w:sz w:val="24"/>
          <w:szCs w:val="24"/>
        </w:rPr>
        <w:fldChar w:fldCharType="separate"/>
      </w:r>
      <w:r>
        <w:rPr>
          <w:rFonts w:ascii="Times New Roman" w:hAnsi="Times New Roman" w:cs="Times New Roman"/>
          <w:kern w:val="0"/>
          <w:sz w:val="24"/>
          <w:szCs w:val="24"/>
        </w:rPr>
        <w:t>(Bell, 2017)</w:t>
      </w:r>
      <w:r>
        <w:rPr>
          <w:rFonts w:ascii="Times New Roman" w:hAnsi="Times New Roman" w:cs="Times New Roman"/>
          <w:kern w:val="0"/>
          <w:sz w:val="24"/>
          <w:szCs w:val="24"/>
        </w:rPr>
        <w:fldChar w:fldCharType="end"/>
      </w:r>
      <w:r>
        <w:rPr>
          <w:rFonts w:ascii="Times New Roman" w:hAnsi="Times New Roman" w:cs="Times New Roman"/>
          <w:kern w:val="0"/>
          <w:sz w:val="24"/>
          <w:szCs w:val="24"/>
        </w:rPr>
        <w:t xml:space="preserve">. The risk of shortage of water resource supply is clear and imminent. In many places, the demand for water has outpaced supply capacity. At present, the freshwater crisis in some areas has become one of the major threats to the global economy. For example, a drought in Brazil directly led to the rising of food prices in the European region. Currently, more than 2 billion of the world's population do not enjoy access to safe drinking water, while more than 4 billion of the population does not have access to safe sanitation </w:t>
      </w:r>
      <w:r>
        <w:rPr>
          <w:rFonts w:ascii="Times New Roman" w:hAnsi="Times New Roman" w:cs="Times New Roman"/>
          <w:kern w:val="0"/>
          <w:sz w:val="24"/>
          <w:szCs w:val="24"/>
        </w:rPr>
        <w:fldChar w:fldCharType="begin" w:fldLock="1"/>
      </w:r>
      <w:r>
        <w:rPr>
          <w:rFonts w:ascii="Times New Roman" w:hAnsi="Times New Roman" w:cs="Times New Roman"/>
          <w:kern w:val="0"/>
          <w:sz w:val="24"/>
          <w:szCs w:val="24"/>
        </w:rPr>
        <w:instrText xml:space="preserve">ADDIN CSL_CITATION {"citationItems":[{"id":"ITEM-1","itemData":{"ISSN":"2328-4277","author":[{"dropping-particle":"","family":"Liu","given":"Junguo","non-dropping-particle":"","parse-names":false,"suffix":""},{"dropping-particle":"","family":"Yang","given":"Hong","non-dropping-particle":"","parse-names":false,"suffix":""},{"dropping-particle":"","family":"Gosling","given":"Simon N","non-dropping-particle":"","parse-names":false,"suffix":""},{"dropping-particle":"","family":"Kummu","given":"Matti","non-dropping-particle":"","parse-names":false,"suffix":""},{"dropping-particle":"","family":"Flörke","given":"Martina","non-dropping-particle":"","parse-names":false,"suffix":""},{"dropping-particle":"","family":"Pfister","given":"Stephan","non-dropping-particle":"","parse-names":false,"suffix":""},{"dropping-particle":"","family":"Hanasaki","given":"Naota","non-dropping-particle":"","parse-names":false,"suffix":""},{"dropping-particle":"","family":"Wada","given":"Yoshihide","non-dropping-particle":"","parse-names":false,"suffix":""},{"dropping-particle":"","family":"Zhang","given":"Xinxin","non-dropping-particle":"","parse-names":false,"suffix":""},{"dropping-particle":"","family":"Zheng","given":"Chunmiao","non-dropping-particle":"","parse-names":false,"suffix":""}],"container-title":"Earth's future","id":"ITEM-1","issue":"6","issued":{"date-parts":[["2017"]]},"page":"545-559","publisher":"Wiley Online Library","title":"Water scarcity assessments in the past, present, and future","type":"article-journal","volume":"5"},"uris":["http://www.mendeley.com/documents/?uuid=b641d43c-7cc3-4e80-acf3-47b5c1ab9276"]}],"mendeley":{"formattedCitation":"(Liu &lt;i&gt;et al.&lt;/i&gt;, 2017)","plainTextFormattedCitation":"(Liu et al., 2017)","previouslyFormattedCitation":"(Liu &lt;i&gt;et al.&lt;/i&gt;, 2017)"},"properties":{"noteIndex":0},"schema":"https://github.com/citation-style-language/schema/raw/master/csl-citation.json"}</w:instrText>
      </w:r>
      <w:r>
        <w:rPr>
          <w:rFonts w:ascii="Times New Roman" w:hAnsi="Times New Roman" w:cs="Times New Roman"/>
          <w:kern w:val="0"/>
          <w:sz w:val="24"/>
          <w:szCs w:val="24"/>
        </w:rPr>
        <w:fldChar w:fldCharType="separate"/>
      </w:r>
      <w:r>
        <w:rPr>
          <w:rFonts w:ascii="Times New Roman" w:hAnsi="Times New Roman" w:cs="Times New Roman"/>
          <w:kern w:val="0"/>
          <w:sz w:val="24"/>
          <w:szCs w:val="24"/>
        </w:rPr>
        <w:t xml:space="preserve">(Liu </w:t>
      </w:r>
      <w:r>
        <w:rPr>
          <w:rFonts w:ascii="Times New Roman" w:hAnsi="Times New Roman" w:cs="Times New Roman"/>
          <w:i/>
          <w:kern w:val="0"/>
          <w:sz w:val="24"/>
          <w:szCs w:val="24"/>
        </w:rPr>
        <w:t>et al.</w:t>
      </w:r>
      <w:r>
        <w:rPr>
          <w:rFonts w:ascii="Times New Roman" w:hAnsi="Times New Roman" w:cs="Times New Roman"/>
          <w:kern w:val="0"/>
          <w:sz w:val="24"/>
          <w:szCs w:val="24"/>
        </w:rPr>
        <w:t>, 2017)</w:t>
      </w:r>
      <w:r>
        <w:rPr>
          <w:rFonts w:ascii="Times New Roman" w:hAnsi="Times New Roman" w:cs="Times New Roman"/>
          <w:kern w:val="0"/>
          <w:sz w:val="24"/>
          <w:szCs w:val="24"/>
        </w:rPr>
        <w:fldChar w:fldCharType="end"/>
      </w:r>
      <w:r>
        <w:rPr>
          <w:rFonts w:ascii="Times New Roman" w:hAnsi="Times New Roman" w:cs="Times New Roman"/>
          <w:kern w:val="0"/>
          <w:sz w:val="24"/>
          <w:szCs w:val="24"/>
        </w:rPr>
        <w:t>. Globally, 80% of municipal wastewater is discharged without treatment. Wastewater from industry and agriculture are a serious threat to water bodies. Underground water levels are declining, and nearly two-thirds of the world's largest aquifers are being depleted.</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sustainability issues of the water resources are among the most severe for natural resources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{"citationItems":[{"id":"ITEM-1","itemData":{"ISSN":"1748-9326","author":[{"dropping-particle":"","family":"Veldkamp","given":"T I E","non-dropping-particle":"","parse-names":false,"suffix":""},{"dropping-particle":"","family":"Wada","given":"Y","non-dropping-particle":"","parse-names":false,"suffix":""},{"dropping-particle":"","family":"Aerts","given":"JCJH","non-dropping-particle":"","parse-names":false,"suffix":""},{"dropping-particle":"","family":"Ward","given":"P J","non-dropping-particle":"","parse-names":false,"suffix":""}],"container-title":"Environmental research letters","id":"ITEM-1","issue":"2","issued":{"date-parts":[["2016"]]},"page":"24006","publisher":"IOP Publishing","title":"Towards a global water scarcity risk assessment framework: incorporation of probability distributions and hydro-climatic variability","type":"article-journal","volume":"11"},"uris":["http://www.mendeley.com/documents/?uuid=88a390db-3cd3-49aa-964b-8ca5aa0bd470"]}],"mendeley":{"formattedCitation":"(Veldkamp &lt;i&gt;et al.&lt;/i&gt;, 2016)","plainTextFormattedCitation":"(Veldkamp et al., 2016)","previouslyFormattedCitation":"(Veldkamp &lt;i&gt;et al.&lt;/i&gt;, 2016)"},"properties":{"noteIndex":0},"schema":"https://github.com/citation-style-language/schema/raw/master/csl-citation.json"}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 xml:space="preserve">(Veldkamp </w:t>
      </w:r>
      <w:r>
        <w:rPr>
          <w:rFonts w:ascii="Times New Roman" w:hAnsi="Times New Roman" w:cs="Times New Roman"/>
          <w:i/>
          <w:sz w:val="24"/>
          <w:szCs w:val="24"/>
        </w:rPr>
        <w:t>et al.</w:t>
      </w:r>
      <w:r>
        <w:rPr>
          <w:rFonts w:ascii="Times New Roman" w:hAnsi="Times New Roman" w:cs="Times New Roman"/>
          <w:sz w:val="24"/>
          <w:szCs w:val="24"/>
        </w:rPr>
        <w:t>, 2016)</w:t>
      </w:r>
      <w:r>
        <w:rPr>
          <w:rFonts w:ascii="Times New Roman" w:hAnsi="Times New Roman" w:cs="Times New Roman"/>
          <w:sz w:val="24"/>
          <w:szCs w:val="24"/>
        </w:rPr>
        <w:fldChar w:fldCharType="end"/>
      </w:r>
      <w:r>
        <w:rPr>
          <w:rFonts w:ascii="Times New Roman" w:hAnsi="Times New Roman" w:cs="Times New Roman"/>
          <w:sz w:val="24"/>
          <w:szCs w:val="24"/>
        </w:rPr>
        <w:t>. The demand from increasing population and economic development is enormous, with relatively few freshwater available and cannot be replaced by other resources. Inadequate and low standards of water supply lead to the worsening of the issues. The current water management systems are mostly not in line with the requirements of sustainable development and need to be vigorously reformed and rebuilt.</w:t>
      </w:r>
    </w:p>
    <w:p>
      <w:pPr>
        <w:pStyle w:val="11"/>
        <w:numPr>
          <w:ilvl w:val="0"/>
          <w:numId w:val="1"/>
        </w:numPr>
        <w:ind w:left="357" w:hanging="357" w:firstLineChars="0"/>
        <w:outlineLvl w:val="0"/>
        <w:rPr>
          <w:rFonts w:ascii="Bahnschrift Light Condensed" w:hAnsi="Bahnschrift Light Condensed"/>
          <w:color w:val="203864" w:themeColor="accent1" w:themeShade="80"/>
          <w:sz w:val="32"/>
          <w:szCs w:val="32"/>
        </w:rPr>
      </w:pPr>
      <w:bookmarkStart w:id="4" w:name="_Toc7090020"/>
      <w:r>
        <w:rPr>
          <w:rFonts w:ascii="Bahnschrift Light Condensed" w:hAnsi="Bahnschrift Light Condensed"/>
          <w:color w:val="203864" w:themeColor="accent1" w:themeShade="80"/>
          <w:sz w:val="32"/>
          <w:szCs w:val="32"/>
        </w:rPr>
        <w:t>Shining examples in sustainable water resource utilisation</w:t>
      </w:r>
      <w:bookmarkEnd w:id="4"/>
      <w:r>
        <w:rPr>
          <w:rFonts w:ascii="Bahnschrift Light Condensed" w:hAnsi="Bahnschrift Light Condensed"/>
          <w:color w:val="203864" w:themeColor="accent1" w:themeShade="80"/>
          <w:sz w:val="32"/>
          <w:szCs w:val="32"/>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In the Middle East, where water resources are scarce, Israel relies on several measures and technologies to reduce cost and enhance water sector efficiency. The Israelis can not only protect the country's water supply but also be able to transport water to neighbouring countries and regions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{"citationItems":[{"id":"ITEM-1","itemData":{"ISBN":"9781466885448","author":[{"dropping-particle":"","family":"Siegel","given":"S M","non-dropping-particle":"","parse-names":false,"suffix":""}],"id":"ITEM-1","issued":{"date-parts":[["2015"]]},"publisher":"St. Martin's Press","title":"Let There Be Water: Israel's Solution for a Water-Starved World","type":"book"},"uris":["http://www.mendeley.com/documents/?uuid=2d6a65a6-4163-490e-856e-81305abcccc3"]}],"mendeley":{"formattedCitation":"(Siegel, 2015)","plainTextFormattedCitation":"(Siegel, 2015)","previouslyFormattedCitation":"(Siegel, 2015)"},"properties":{"noteIndex":0},"schema":"https://github.com/citation-style-language/schema/raw/master/csl-citation.json"}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(Siegel, 2015)</w:t>
      </w:r>
      <w:r>
        <w:rPr>
          <w:rFonts w:ascii="Times New Roman" w:hAnsi="Times New Roman" w:cs="Times New Roman"/>
          <w:sz w:val="24"/>
          <w:szCs w:val="24"/>
        </w:rPr>
        <w:fldChar w:fldCharType="end"/>
      </w:r>
      <w:r>
        <w:rPr>
          <w:rFonts w:ascii="Times New Roman" w:hAnsi="Times New Roman" w:cs="Times New Roman"/>
          <w:sz w:val="24"/>
          <w:szCs w:val="24"/>
        </w:rPr>
        <w:t xml:space="preserve">. Israel's methods of efficient use of water resources include drip irrigation technology, water supply pipeline monitoring, water-saving crop cultivation and so on. In the case of pipeline testing, global leakage due to ruptured water pipelines or valve damage is relatively common, with the average amount of water lost in developing and developed countries being 35% and 15% of total production. The water supply pipeline managed by Mekorot is less than 3%, setting a world record. </w:t>
      </w:r>
    </w:p>
    <w:p>
      <w:pPr>
        <w:pStyle w:val="11"/>
        <w:numPr>
          <w:ilvl w:val="0"/>
          <w:numId w:val="1"/>
        </w:numPr>
        <w:ind w:left="357" w:hanging="357" w:firstLineChars="0"/>
        <w:outlineLvl w:val="0"/>
        <w:rPr>
          <w:rFonts w:ascii="Bahnschrift Light Condensed" w:hAnsi="Bahnschrift Light Condensed"/>
          <w:color w:val="203864" w:themeColor="accent1" w:themeShade="80"/>
          <w:sz w:val="32"/>
          <w:szCs w:val="32"/>
        </w:rPr>
      </w:pPr>
      <w:bookmarkStart w:id="5" w:name="_Toc7090021"/>
      <w:r>
        <w:rPr>
          <w:rFonts w:ascii="Bahnschrift Light Condensed" w:hAnsi="Bahnschrift Light Condensed"/>
          <w:color w:val="203864" w:themeColor="accent1" w:themeShade="80"/>
          <w:sz w:val="32"/>
          <w:szCs w:val="32"/>
        </w:rPr>
        <w:t>Conclusion</w:t>
      </w:r>
      <w:bookmarkEnd w:id="5"/>
      <w:r>
        <w:rPr>
          <w:rFonts w:ascii="Bahnschrift Light Condensed" w:hAnsi="Bahnschrift Light Condensed"/>
          <w:color w:val="203864" w:themeColor="accent1" w:themeShade="80"/>
          <w:sz w:val="32"/>
          <w:szCs w:val="32"/>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Scarcity of water resources remains to be the problem for sustainable development in the decades to come. Though various technologies have been prototyped or practically adopted to enhance the efficiency of the water industry, the core issue still lies in the management of water supply. The privatisation of water supply was peaked during the beginning of the 21st century when most water treatment and supply systems in the world were facing the issues of being inefficient and lacking funds for a facility upgrade. However, after decades of practice, the CSR issues in privatised water companies have fostered the idea that public intervention in water resource management is more than necessary. The CSR scandals of various privatised water companies are initiating a trend of the re-publicization process of the water industry. Even this report has been focusing on the failures of privatised water companies in CSR performance; history has already shown the deficiency of the public water supply systems. The sustainable future of the water industry lies in the close corporation between the public and private sector. Moreover, most importantly, it lies in the active involvement of the privatized company in CSR activities. </w:t>
      </w:r>
    </w:p>
    <w:p>
      <w:pPr>
        <w:rPr>
          <w:rFonts w:ascii="Times New Roman" w:hAnsi="Times New Roman" w:cs="Times New Roman"/>
          <w:sz w:val="24"/>
          <w:szCs w:val="24"/>
        </w:rPr>
      </w:pPr>
      <w:r>
        <w:rPr>
          <w:rFonts w:ascii="Times New Roman" w:hAnsi="Times New Roman" w:cs="Times New Roman"/>
          <w:sz w:val="24"/>
          <w:szCs w:val="24"/>
        </w:rPr>
        <w:br w:type="page"/>
      </w:r>
    </w:p>
    <w:p>
      <w:pPr>
        <w:outlineLvl w:val="0"/>
        <w:rPr>
          <w:rFonts w:ascii="Bahnschrift Light Condensed" w:hAnsi="Bahnschrift Light Condensed"/>
          <w:color w:val="203864" w:themeColor="accent1" w:themeShade="80"/>
          <w:sz w:val="32"/>
          <w:szCs w:val="32"/>
        </w:rPr>
      </w:pPr>
      <w:bookmarkStart w:id="6" w:name="_Toc7090022"/>
      <w:r>
        <w:rPr>
          <w:rFonts w:hint="eastAsia" w:ascii="Bahnschrift Light Condensed" w:hAnsi="Bahnschrift Light Condensed"/>
          <w:color w:val="203864" w:themeColor="accent1" w:themeShade="80"/>
          <w:sz w:val="32"/>
          <w:szCs w:val="32"/>
        </w:rPr>
        <w:t>R</w:t>
      </w:r>
      <w:r>
        <w:rPr>
          <w:rFonts w:ascii="Bahnschrift Light Condensed" w:hAnsi="Bahnschrift Light Condensed"/>
          <w:color w:val="203864" w:themeColor="accent1" w:themeShade="80"/>
          <w:sz w:val="32"/>
          <w:szCs w:val="32"/>
        </w:rPr>
        <w:t>eference list</w:t>
      </w:r>
      <w:bookmarkEnd w:id="6"/>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sz w:val="22"/>
        </w:rPr>
        <w:fldChar w:fldCharType="begin" w:fldLock="1"/>
      </w:r>
      <w:r>
        <w:rPr>
          <w:rFonts w:ascii="Times New Roman" w:hAnsi="Times New Roman" w:cs="Times New Roman"/>
          <w:sz w:val="22"/>
        </w:rPr>
        <w:instrText xml:space="preserve">ADDIN Mendeley Bibliography CSL_BIBLIOGRAPHY </w:instrText>
      </w:r>
      <w:r>
        <w:rPr>
          <w:rFonts w:ascii="Times New Roman" w:hAnsi="Times New Roman" w:cs="Times New Roman"/>
          <w:sz w:val="22"/>
        </w:rPr>
        <w:fldChar w:fldCharType="separate"/>
      </w:r>
      <w:r>
        <w:rPr>
          <w:rFonts w:ascii="Times New Roman" w:hAnsi="Times New Roman" w:cs="Times New Roman"/>
          <w:kern w:val="0"/>
          <w:sz w:val="22"/>
          <w:szCs w:val="24"/>
        </w:rPr>
        <w:t xml:space="preserve">Bel, G. and Warner, M. (2008) ‘Does Privatization of solid waste and water services reduce costs’, </w:t>
      </w:r>
      <w:r>
        <w:rPr>
          <w:rFonts w:ascii="Times New Roman" w:hAnsi="Times New Roman" w:cs="Times New Roman"/>
          <w:i/>
          <w:iCs/>
          <w:kern w:val="0"/>
          <w:sz w:val="22"/>
          <w:szCs w:val="24"/>
        </w:rPr>
        <w:t>Resources, Conservation and Recycling</w:t>
      </w:r>
      <w:r>
        <w:rPr>
          <w:rFonts w:ascii="Times New Roman" w:hAnsi="Times New Roman" w:cs="Times New Roman"/>
          <w:kern w:val="0"/>
          <w:sz w:val="22"/>
          <w:szCs w:val="24"/>
        </w:rPr>
        <w:t>. Elsevier, 52(12), pp. 1337–1348.</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Bell, S. (2017) </w:t>
      </w:r>
      <w:r>
        <w:rPr>
          <w:rFonts w:ascii="Times New Roman" w:hAnsi="Times New Roman" w:cs="Times New Roman"/>
          <w:i/>
          <w:iCs/>
          <w:kern w:val="0"/>
          <w:sz w:val="22"/>
          <w:szCs w:val="24"/>
        </w:rPr>
        <w:t>Urban Water Sustainability: Constructing Infrastructure for Cities and Nature</w:t>
      </w:r>
      <w:r>
        <w:rPr>
          <w:rFonts w:ascii="Times New Roman" w:hAnsi="Times New Roman" w:cs="Times New Roman"/>
          <w:kern w:val="0"/>
          <w:sz w:val="22"/>
          <w:szCs w:val="24"/>
        </w:rPr>
        <w:t>. Taylor &amp; Francis (Earthscan Studies in Water Resource Management).</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Biswas, A. K. (2004) ‘Integrated water resources management: a reassessment: a water forum contribution’, </w:t>
      </w:r>
      <w:r>
        <w:rPr>
          <w:rFonts w:ascii="Times New Roman" w:hAnsi="Times New Roman" w:cs="Times New Roman"/>
          <w:i/>
          <w:iCs/>
          <w:kern w:val="0"/>
          <w:sz w:val="22"/>
          <w:szCs w:val="24"/>
        </w:rPr>
        <w:t>Water international</w:t>
      </w:r>
      <w:r>
        <w:rPr>
          <w:rFonts w:ascii="Times New Roman" w:hAnsi="Times New Roman" w:cs="Times New Roman"/>
          <w:kern w:val="0"/>
          <w:sz w:val="22"/>
          <w:szCs w:val="24"/>
        </w:rPr>
        <w:t>. Taylor &amp; Francis, 29(2), pp. 248–256.</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Brisman, A. </w:t>
      </w:r>
      <w:r>
        <w:rPr>
          <w:rFonts w:ascii="Times New Roman" w:hAnsi="Times New Roman" w:cs="Times New Roman"/>
          <w:i/>
          <w:iCs/>
          <w:kern w:val="0"/>
          <w:sz w:val="22"/>
          <w:szCs w:val="24"/>
        </w:rPr>
        <w:t>et al.</w:t>
      </w:r>
      <w:r>
        <w:rPr>
          <w:rFonts w:ascii="Times New Roman" w:hAnsi="Times New Roman" w:cs="Times New Roman"/>
          <w:kern w:val="0"/>
          <w:sz w:val="22"/>
          <w:szCs w:val="24"/>
        </w:rPr>
        <w:t xml:space="preserve"> (2018) ‘Too Costly: Water and Privatization’, in </w:t>
      </w:r>
      <w:r>
        <w:rPr>
          <w:rFonts w:ascii="Times New Roman" w:hAnsi="Times New Roman" w:cs="Times New Roman"/>
          <w:i/>
          <w:iCs/>
          <w:kern w:val="0"/>
          <w:sz w:val="22"/>
          <w:szCs w:val="24"/>
        </w:rPr>
        <w:t>Water, Crime and Security in the Twenty-First Century</w:t>
      </w:r>
      <w:r>
        <w:rPr>
          <w:rFonts w:ascii="Times New Roman" w:hAnsi="Times New Roman" w:cs="Times New Roman"/>
          <w:kern w:val="0"/>
          <w:sz w:val="22"/>
          <w:szCs w:val="24"/>
        </w:rPr>
        <w:t>. Springer, pp. 113–147.</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Carroll, A. B. (2016) ‘Carroll’s pyramid of CSR: taking another look’, </w:t>
      </w:r>
      <w:r>
        <w:rPr>
          <w:rFonts w:ascii="Times New Roman" w:hAnsi="Times New Roman" w:cs="Times New Roman"/>
          <w:i/>
          <w:iCs/>
          <w:kern w:val="0"/>
          <w:sz w:val="22"/>
          <w:szCs w:val="24"/>
        </w:rPr>
        <w:t>International journal of corporate social responsibility</w:t>
      </w:r>
      <w:r>
        <w:rPr>
          <w:rFonts w:ascii="Times New Roman" w:hAnsi="Times New Roman" w:cs="Times New Roman"/>
          <w:kern w:val="0"/>
          <w:sz w:val="22"/>
          <w:szCs w:val="24"/>
        </w:rPr>
        <w:t>. Nature Publishing Group, 1(1), p. 3.</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Chen, D. H. (2016) </w:t>
      </w:r>
      <w:r>
        <w:rPr>
          <w:rFonts w:ascii="Times New Roman" w:hAnsi="Times New Roman" w:cs="Times New Roman"/>
          <w:i/>
          <w:iCs/>
          <w:kern w:val="0"/>
          <w:sz w:val="22"/>
          <w:szCs w:val="24"/>
        </w:rPr>
        <w:t>Sustainable Water Management</w:t>
      </w:r>
      <w:r>
        <w:rPr>
          <w:rFonts w:ascii="Times New Roman" w:hAnsi="Times New Roman" w:cs="Times New Roman"/>
          <w:kern w:val="0"/>
          <w:sz w:val="22"/>
          <w:szCs w:val="24"/>
        </w:rPr>
        <w:t>. CRC Press (Green Chemistry and Chemical Engineering).</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Cooper, S. (2017) </w:t>
      </w:r>
      <w:r>
        <w:rPr>
          <w:rFonts w:ascii="Times New Roman" w:hAnsi="Times New Roman" w:cs="Times New Roman"/>
          <w:i/>
          <w:iCs/>
          <w:kern w:val="0"/>
          <w:sz w:val="22"/>
          <w:szCs w:val="24"/>
        </w:rPr>
        <w:t>Corporate social performance: A stakeholder approach</w:t>
      </w:r>
      <w:r>
        <w:rPr>
          <w:rFonts w:ascii="Times New Roman" w:hAnsi="Times New Roman" w:cs="Times New Roman"/>
          <w:kern w:val="0"/>
          <w:sz w:val="22"/>
          <w:szCs w:val="24"/>
        </w:rPr>
        <w:t>. Routledge.</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Gardberg, N. A. </w:t>
      </w:r>
      <w:r>
        <w:rPr>
          <w:rFonts w:ascii="Times New Roman" w:hAnsi="Times New Roman" w:cs="Times New Roman"/>
          <w:i/>
          <w:iCs/>
          <w:kern w:val="0"/>
          <w:sz w:val="22"/>
          <w:szCs w:val="24"/>
        </w:rPr>
        <w:t>et al.</w:t>
      </w:r>
      <w:r>
        <w:rPr>
          <w:rFonts w:ascii="Times New Roman" w:hAnsi="Times New Roman" w:cs="Times New Roman"/>
          <w:kern w:val="0"/>
          <w:sz w:val="22"/>
          <w:szCs w:val="24"/>
        </w:rPr>
        <w:t xml:space="preserve"> (2017) ‘The impact of corporate philanthropy on reputation for corporate social performance’, </w:t>
      </w:r>
      <w:r>
        <w:rPr>
          <w:rFonts w:ascii="Times New Roman" w:hAnsi="Times New Roman" w:cs="Times New Roman"/>
          <w:i/>
          <w:iCs/>
          <w:kern w:val="0"/>
          <w:sz w:val="22"/>
          <w:szCs w:val="24"/>
        </w:rPr>
        <w:t>Business &amp; society</w:t>
      </w:r>
      <w:r>
        <w:rPr>
          <w:rFonts w:ascii="Times New Roman" w:hAnsi="Times New Roman" w:cs="Times New Roman"/>
          <w:kern w:val="0"/>
          <w:sz w:val="22"/>
          <w:szCs w:val="24"/>
        </w:rPr>
        <w:t>. SAGE Publications Sage CA: Los Angeles, CA, p. 0007650317694856.</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Kim, M.-S. and Thapa, B. (2018) ‘Relationship of ethical leadership, corporate social responsibility and organizational performance’, </w:t>
      </w:r>
      <w:r>
        <w:rPr>
          <w:rFonts w:ascii="Times New Roman" w:hAnsi="Times New Roman" w:cs="Times New Roman"/>
          <w:i/>
          <w:iCs/>
          <w:kern w:val="0"/>
          <w:sz w:val="22"/>
          <w:szCs w:val="24"/>
        </w:rPr>
        <w:t>Sustainability</w:t>
      </w:r>
      <w:r>
        <w:rPr>
          <w:rFonts w:ascii="Times New Roman" w:hAnsi="Times New Roman" w:cs="Times New Roman"/>
          <w:kern w:val="0"/>
          <w:sz w:val="22"/>
          <w:szCs w:val="24"/>
        </w:rPr>
        <w:t>. Multidisciplinary Digital Publishing Institute, 10(2), p. 447.</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Liu, J. </w:t>
      </w:r>
      <w:r>
        <w:rPr>
          <w:rFonts w:ascii="Times New Roman" w:hAnsi="Times New Roman" w:cs="Times New Roman"/>
          <w:i/>
          <w:iCs/>
          <w:kern w:val="0"/>
          <w:sz w:val="22"/>
          <w:szCs w:val="24"/>
        </w:rPr>
        <w:t>et al.</w:t>
      </w:r>
      <w:r>
        <w:rPr>
          <w:rFonts w:ascii="Times New Roman" w:hAnsi="Times New Roman" w:cs="Times New Roman"/>
          <w:kern w:val="0"/>
          <w:sz w:val="22"/>
          <w:szCs w:val="24"/>
        </w:rPr>
        <w:t xml:space="preserve"> (2017) ‘Water scarcity assessments in the past, present, and future’, </w:t>
      </w:r>
      <w:r>
        <w:rPr>
          <w:rFonts w:ascii="Times New Roman" w:hAnsi="Times New Roman" w:cs="Times New Roman"/>
          <w:i/>
          <w:iCs/>
          <w:kern w:val="0"/>
          <w:sz w:val="22"/>
          <w:szCs w:val="24"/>
        </w:rPr>
        <w:t>Earth’s future</w:t>
      </w:r>
      <w:r>
        <w:rPr>
          <w:rFonts w:ascii="Times New Roman" w:hAnsi="Times New Roman" w:cs="Times New Roman"/>
          <w:kern w:val="0"/>
          <w:sz w:val="22"/>
          <w:szCs w:val="24"/>
        </w:rPr>
        <w:t>. Wiley Online Library, 5(6), pp. 545–559.</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Mahoney, M. (2018) ‘The latest fashion trend: water sustainability and social ethics’.</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O’Hara, G. (2017) </w:t>
      </w:r>
      <w:r>
        <w:rPr>
          <w:rFonts w:ascii="Times New Roman" w:hAnsi="Times New Roman" w:cs="Times New Roman"/>
          <w:i/>
          <w:iCs/>
          <w:kern w:val="0"/>
          <w:sz w:val="22"/>
          <w:szCs w:val="24"/>
        </w:rPr>
        <w:t>The Politics of Water in Post-War Britain</w:t>
      </w:r>
      <w:r>
        <w:rPr>
          <w:rFonts w:ascii="Times New Roman" w:hAnsi="Times New Roman" w:cs="Times New Roman"/>
          <w:kern w:val="0"/>
          <w:sz w:val="22"/>
          <w:szCs w:val="24"/>
        </w:rPr>
        <w:t>. Palgrave Macmillan UK.</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Olawumi, T. O. and Chan, D. W. M. (2018) ‘A scientometric review of global research on sustainability and sustainable development’, </w:t>
      </w:r>
      <w:r>
        <w:rPr>
          <w:rFonts w:ascii="Times New Roman" w:hAnsi="Times New Roman" w:cs="Times New Roman"/>
          <w:i/>
          <w:iCs/>
          <w:kern w:val="0"/>
          <w:sz w:val="22"/>
          <w:szCs w:val="24"/>
        </w:rPr>
        <w:t>Journal of Cleaner Production</w:t>
      </w:r>
      <w:r>
        <w:rPr>
          <w:rFonts w:ascii="Times New Roman" w:hAnsi="Times New Roman" w:cs="Times New Roman"/>
          <w:kern w:val="0"/>
          <w:sz w:val="22"/>
          <w:szCs w:val="24"/>
        </w:rPr>
        <w:t>. Elsevier, 183, pp. 231–250.</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Ramos, E. (2017) ‘The Dangers Of Water Privatization: An Exploration Of The Discriminatory Practices Of Private Water Companies’, </w:t>
      </w:r>
      <w:r>
        <w:rPr>
          <w:rFonts w:ascii="Times New Roman" w:hAnsi="Times New Roman" w:cs="Times New Roman"/>
          <w:i/>
          <w:iCs/>
          <w:kern w:val="0"/>
          <w:sz w:val="22"/>
          <w:szCs w:val="24"/>
        </w:rPr>
        <w:t>Earth Jurisprudence &amp; Envtl. Just. J.</w:t>
      </w:r>
      <w:r>
        <w:rPr>
          <w:rFonts w:ascii="Times New Roman" w:hAnsi="Times New Roman" w:cs="Times New Roman"/>
          <w:kern w:val="0"/>
          <w:sz w:val="22"/>
          <w:szCs w:val="24"/>
        </w:rPr>
        <w:t xml:space="preserve"> HeinOnline, 7, p. 188.</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Saal, D. S. and Parker, D. (2004) ‘The comparative impact of privatization and regulation on productivity growth in the English and Welsh water and sewerage industry, 1985–99’, </w:t>
      </w:r>
      <w:r>
        <w:rPr>
          <w:rFonts w:ascii="Times New Roman" w:hAnsi="Times New Roman" w:cs="Times New Roman"/>
          <w:i/>
          <w:iCs/>
          <w:kern w:val="0"/>
          <w:sz w:val="22"/>
          <w:szCs w:val="24"/>
        </w:rPr>
        <w:t>International Journal of Regulation and Governance</w:t>
      </w:r>
      <w:r>
        <w:rPr>
          <w:rFonts w:ascii="Times New Roman" w:hAnsi="Times New Roman" w:cs="Times New Roman"/>
          <w:kern w:val="0"/>
          <w:sz w:val="22"/>
          <w:szCs w:val="24"/>
        </w:rPr>
        <w:t>. IOS Press, 4(2), pp. 139–170.</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Shiva, V. (2016) </w:t>
      </w:r>
      <w:r>
        <w:rPr>
          <w:rFonts w:ascii="Times New Roman" w:hAnsi="Times New Roman" w:cs="Times New Roman"/>
          <w:i/>
          <w:iCs/>
          <w:kern w:val="0"/>
          <w:sz w:val="22"/>
          <w:szCs w:val="24"/>
        </w:rPr>
        <w:t>Water wars: Privatization, pollution, and profit</w:t>
      </w:r>
      <w:r>
        <w:rPr>
          <w:rFonts w:ascii="Times New Roman" w:hAnsi="Times New Roman" w:cs="Times New Roman"/>
          <w:kern w:val="0"/>
          <w:sz w:val="22"/>
          <w:szCs w:val="24"/>
        </w:rPr>
        <w:t>. North Atlantic Books.</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Siegel, S. M. (2015) </w:t>
      </w:r>
      <w:r>
        <w:rPr>
          <w:rFonts w:ascii="Times New Roman" w:hAnsi="Times New Roman" w:cs="Times New Roman"/>
          <w:i/>
          <w:iCs/>
          <w:kern w:val="0"/>
          <w:sz w:val="22"/>
          <w:szCs w:val="24"/>
        </w:rPr>
        <w:t>Let There Be Water: Israel’s Solution for a Water-Starved World</w:t>
      </w:r>
      <w:r>
        <w:rPr>
          <w:rFonts w:ascii="Times New Roman" w:hAnsi="Times New Roman" w:cs="Times New Roman"/>
          <w:kern w:val="0"/>
          <w:sz w:val="22"/>
          <w:szCs w:val="24"/>
        </w:rPr>
        <w:t>. St. Martin’s Press.</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UN (2017) </w:t>
      </w:r>
      <w:r>
        <w:rPr>
          <w:rFonts w:ascii="Times New Roman" w:hAnsi="Times New Roman" w:cs="Times New Roman"/>
          <w:i/>
          <w:iCs/>
          <w:kern w:val="0"/>
          <w:sz w:val="22"/>
          <w:szCs w:val="24"/>
        </w:rPr>
        <w:t>UN-Water Annual Report 2017</w:t>
      </w:r>
      <w:r>
        <w:rPr>
          <w:rFonts w:ascii="Times New Roman" w:hAnsi="Times New Roman" w:cs="Times New Roman"/>
          <w:kern w:val="0"/>
          <w:sz w:val="22"/>
          <w:szCs w:val="24"/>
        </w:rPr>
        <w:t>.</w:t>
      </w:r>
    </w:p>
    <w:p>
      <w:pPr>
        <w:autoSpaceDE w:val="0"/>
        <w:autoSpaceDN w:val="0"/>
        <w:adjustRightInd w:val="0"/>
        <w:spacing w:before="160" w:after="160"/>
        <w:jc w:val="left"/>
        <w:rPr>
          <w:rFonts w:ascii="Times New Roman" w:hAnsi="Times New Roman" w:cs="Times New Roman"/>
          <w:kern w:val="0"/>
          <w:sz w:val="22"/>
          <w:szCs w:val="24"/>
        </w:rPr>
      </w:pPr>
      <w:r>
        <w:rPr>
          <w:rFonts w:ascii="Times New Roman" w:hAnsi="Times New Roman" w:cs="Times New Roman"/>
          <w:kern w:val="0"/>
          <w:sz w:val="22"/>
          <w:szCs w:val="24"/>
        </w:rPr>
        <w:t xml:space="preserve">Veldkamp, T. I. E. </w:t>
      </w:r>
      <w:r>
        <w:rPr>
          <w:rFonts w:ascii="Times New Roman" w:hAnsi="Times New Roman" w:cs="Times New Roman"/>
          <w:i/>
          <w:iCs/>
          <w:kern w:val="0"/>
          <w:sz w:val="22"/>
          <w:szCs w:val="24"/>
        </w:rPr>
        <w:t>et al.</w:t>
      </w:r>
      <w:r>
        <w:rPr>
          <w:rFonts w:ascii="Times New Roman" w:hAnsi="Times New Roman" w:cs="Times New Roman"/>
          <w:kern w:val="0"/>
          <w:sz w:val="22"/>
          <w:szCs w:val="24"/>
        </w:rPr>
        <w:t xml:space="preserve"> (2016) ‘Towards a global water scarcity risk assessment framework: incorporation of probability distributions and hydro-climatic variability’, </w:t>
      </w:r>
      <w:r>
        <w:rPr>
          <w:rFonts w:ascii="Times New Roman" w:hAnsi="Times New Roman" w:cs="Times New Roman"/>
          <w:i/>
          <w:iCs/>
          <w:kern w:val="0"/>
          <w:sz w:val="22"/>
          <w:szCs w:val="24"/>
        </w:rPr>
        <w:t>Environmental research letters</w:t>
      </w:r>
      <w:r>
        <w:rPr>
          <w:rFonts w:ascii="Times New Roman" w:hAnsi="Times New Roman" w:cs="Times New Roman"/>
          <w:kern w:val="0"/>
          <w:sz w:val="22"/>
          <w:szCs w:val="24"/>
        </w:rPr>
        <w:t>. IOP Publishing, 11(2), p. 24006.</w:t>
      </w:r>
    </w:p>
    <w:p>
      <w:pPr>
        <w:autoSpaceDE w:val="0"/>
        <w:autoSpaceDN w:val="0"/>
        <w:adjustRightInd w:val="0"/>
        <w:spacing w:before="160" w:after="160"/>
        <w:jc w:val="left"/>
        <w:rPr>
          <w:rFonts w:ascii="Times New Roman" w:hAnsi="Times New Roman" w:cs="Times New Roman"/>
          <w:sz w:val="22"/>
        </w:rPr>
      </w:pPr>
      <w:r>
        <w:rPr>
          <w:rFonts w:ascii="Times New Roman" w:hAnsi="Times New Roman" w:cs="Times New Roman"/>
          <w:kern w:val="0"/>
          <w:sz w:val="22"/>
          <w:szCs w:val="24"/>
        </w:rPr>
        <w:t xml:space="preserve">Wu, G. </w:t>
      </w:r>
      <w:r>
        <w:rPr>
          <w:rFonts w:ascii="Times New Roman" w:hAnsi="Times New Roman" w:cs="Times New Roman"/>
          <w:i/>
          <w:iCs/>
          <w:kern w:val="0"/>
          <w:sz w:val="22"/>
          <w:szCs w:val="24"/>
        </w:rPr>
        <w:t>et al.</w:t>
      </w:r>
      <w:r>
        <w:rPr>
          <w:rFonts w:ascii="Times New Roman" w:hAnsi="Times New Roman" w:cs="Times New Roman"/>
          <w:kern w:val="0"/>
          <w:sz w:val="22"/>
          <w:szCs w:val="24"/>
        </w:rPr>
        <w:t xml:space="preserve"> (2018) ‘Water pollution management in China: recent incidents and proposed improvements’, </w:t>
      </w:r>
      <w:r>
        <w:rPr>
          <w:rFonts w:ascii="Times New Roman" w:hAnsi="Times New Roman" w:cs="Times New Roman"/>
          <w:i/>
          <w:iCs/>
          <w:kern w:val="0"/>
          <w:sz w:val="22"/>
          <w:szCs w:val="24"/>
        </w:rPr>
        <w:t>Water Science and Technology: Water Supply</w:t>
      </w:r>
      <w:r>
        <w:rPr>
          <w:rFonts w:ascii="Times New Roman" w:hAnsi="Times New Roman" w:cs="Times New Roman"/>
          <w:kern w:val="0"/>
          <w:sz w:val="22"/>
          <w:szCs w:val="24"/>
        </w:rPr>
        <w:t>. IWA Publishing, 18(2), pp. 603–611.</w:t>
      </w:r>
    </w:p>
    <w:p>
      <w:pPr>
        <w:spacing w:before="156" w:beforeLines="50" w:after="156" w:afterLines="50"/>
        <w:rPr>
          <w:rFonts w:ascii="Times New Roman" w:hAnsi="Times New Roman" w:cs="Times New Roman"/>
          <w:sz w:val="22"/>
        </w:rPr>
      </w:pPr>
      <w:r>
        <w:rPr>
          <w:rFonts w:ascii="Times New Roman" w:hAnsi="Times New Roman" w:cs="Times New Roman"/>
          <w:sz w:val="22"/>
        </w:rPr>
        <w:fldChar w:fldCharType="end"/>
      </w:r>
    </w:p>
    <w:p>
      <w:pPr>
        <w:spacing w:before="156" w:beforeLines="50" w:after="156" w:afterLines="50"/>
      </w:pPr>
    </w:p>
    <w:p>
      <w:pPr>
        <w:spacing w:before="156" w:beforeLines="50" w:after="156" w:afterLines="50"/>
      </w:pPr>
    </w:p>
    <w:sectPr>
      <w:footerReference r:id="rId4"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Arial">
    <w:panose1 w:val="020B0604020202020204"/>
    <w:charset w:val="00"/>
    <w:family w:val="swiss"/>
    <w:pitch w:val="default"/>
    <w:sig w:usb0="E0002EFF" w:usb1="C0007843" w:usb2="00000009" w:usb3="00000000" w:csb0="400001FF" w:csb1="FFFF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Bahnschrift Light Condensed">
    <w:altName w:val="Segoe UI Symbol"/>
    <w:panose1 w:val="020B0502040204020203"/>
    <w:charset w:val="00"/>
    <w:family w:val="swiss"/>
    <w:pitch w:val="default"/>
    <w:sig w:usb0="00000000" w:usb1="00000000" w:usb2="00000000" w:usb3="00000000" w:csb0="0000019F" w:csb1="00000000"/>
  </w:font>
  <w:font w:name="Product Sans">
    <w:altName w:val="Yu Gothic UI Semilight"/>
    <w:panose1 w:val="020B0403030502040203"/>
    <w:charset w:val="00"/>
    <w:family w:val="swiss"/>
    <w:pitch w:val="default"/>
    <w:sig w:usb0="00000000" w:usb1="00000000" w:usb2="00000000" w:usb3="00000000" w:csb0="0000019F" w:csb1="00000000"/>
  </w:font>
  <w:font w:name="Segoe UI Symbol">
    <w:panose1 w:val="020B0502040204020203"/>
    <w:charset w:val="00"/>
    <w:family w:val="auto"/>
    <w:pitch w:val="default"/>
    <w:sig w:usb0="800001E3" w:usb1="1200FFEF" w:usb2="00040000" w:usb3="04000000" w:csb0="00000001" w:csb1="40000000"/>
  </w:font>
  <w:font w:name="Yu Gothic UI Semilight">
    <w:panose1 w:val="020B0400000000000000"/>
    <w:charset w:val="80"/>
    <w:family w:val="auto"/>
    <w:pitch w:val="default"/>
    <w:sig w:usb0="E00002FF" w:usb1="2AC7FDFF" w:usb2="00000016" w:usb3="00000000" w:csb0="2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rPr>
        <w:rFonts w:ascii="Bahnschrift Light Condensed" w:hAnsi="Bahnschrift Light Condensed"/>
        <w:b/>
        <w:sz w:val="20"/>
      </w:rPr>
    </w:pPr>
  </w:p>
  <w:p>
    <w:pPr>
      <w:pStyle w:val="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Bahnschrift Light Condensed" w:hAnsi="Bahnschrift Light Condensed"/>
        <w:b/>
        <w:sz w:val="20"/>
      </w:rPr>
      <w:id w:val="339123649"/>
      <w:docPartObj>
        <w:docPartGallery w:val="AutoText"/>
      </w:docPartObj>
    </w:sdtPr>
    <w:sdtEndPr>
      <w:rPr>
        <w:rFonts w:ascii="Bahnschrift Light Condensed" w:hAnsi="Bahnschrift Light Condensed"/>
        <w:b/>
        <w:sz w:val="20"/>
      </w:rPr>
    </w:sdtEndPr>
    <w:sdtContent>
      <w:p>
        <w:pPr>
          <w:pStyle w:val="3"/>
          <w:jc w:val="center"/>
          <w:rPr>
            <w:rFonts w:ascii="Bahnschrift Light Condensed" w:hAnsi="Bahnschrift Light Condensed"/>
            <w:b/>
            <w:sz w:val="20"/>
          </w:rPr>
        </w:pPr>
        <w:r>
          <w:rPr>
            <w:rFonts w:ascii="Bahnschrift Light Condensed" w:hAnsi="Bahnschrift Light Condensed"/>
            <w:b/>
            <w:sz w:val="20"/>
          </w:rPr>
          <w:fldChar w:fldCharType="begin"/>
        </w:r>
        <w:r>
          <w:rPr>
            <w:rFonts w:ascii="Bahnschrift Light Condensed" w:hAnsi="Bahnschrift Light Condensed"/>
            <w:b/>
            <w:sz w:val="20"/>
          </w:rPr>
          <w:instrText xml:space="preserve">PAGE   \* MERGEFORMAT</w:instrText>
        </w:r>
        <w:r>
          <w:rPr>
            <w:rFonts w:ascii="Bahnschrift Light Condensed" w:hAnsi="Bahnschrift Light Condensed"/>
            <w:b/>
            <w:sz w:val="20"/>
          </w:rPr>
          <w:fldChar w:fldCharType="separate"/>
        </w:r>
        <w:r>
          <w:rPr>
            <w:rFonts w:ascii="Bahnschrift Light Condensed" w:hAnsi="Bahnschrift Light Condensed"/>
            <w:b/>
            <w:sz w:val="20"/>
            <w:lang w:val="zh-CN"/>
          </w:rPr>
          <w:t>2</w:t>
        </w:r>
        <w:r>
          <w:rPr>
            <w:rFonts w:ascii="Bahnschrift Light Condensed" w:hAnsi="Bahnschrift Light Condensed"/>
            <w:b/>
            <w:sz w:val="20"/>
          </w:rPr>
          <w:fldChar w:fldCharType="end"/>
        </w:r>
      </w:p>
    </w:sdtContent>
  </w:sdt>
  <w:p>
    <w:pPr>
      <w:pStyle w:val="3"/>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2F7973"/>
    <w:multiLevelType w:val="multilevel"/>
    <w:tmpl w:val="1F2F7973"/>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1">
    <w:nsid w:val="414417B8"/>
    <w:multiLevelType w:val="multilevel"/>
    <w:tmpl w:val="414417B8"/>
    <w:lvl w:ilvl="0" w:tentative="0">
      <w:start w:val="1"/>
      <w:numFmt w:val="decimal"/>
      <w:lvlText w:val="%1."/>
      <w:lvlJc w:val="left"/>
      <w:pPr>
        <w:ind w:left="360" w:hanging="360"/>
      </w:p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hideSpellingErrors/>
  <w:hideGrammaticalErrors/>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A1t7AwMDAzNzE2MzFQ0lEKTi0uzszPAykwrgUAMjGJ/SwAAAA="/>
  </w:docVars>
  <w:rsids>
    <w:rsidRoot w:val="00864105"/>
    <w:rsid w:val="00021C28"/>
    <w:rsid w:val="00075211"/>
    <w:rsid w:val="000B7355"/>
    <w:rsid w:val="000F4A36"/>
    <w:rsid w:val="00124783"/>
    <w:rsid w:val="00147E49"/>
    <w:rsid w:val="00163679"/>
    <w:rsid w:val="00176B44"/>
    <w:rsid w:val="001F0439"/>
    <w:rsid w:val="00204DCE"/>
    <w:rsid w:val="002138F5"/>
    <w:rsid w:val="00214B9F"/>
    <w:rsid w:val="002568B1"/>
    <w:rsid w:val="002A6B4F"/>
    <w:rsid w:val="002B4CA6"/>
    <w:rsid w:val="002D084E"/>
    <w:rsid w:val="002D3D6D"/>
    <w:rsid w:val="003128D8"/>
    <w:rsid w:val="00403EE5"/>
    <w:rsid w:val="00481EBC"/>
    <w:rsid w:val="00487F29"/>
    <w:rsid w:val="00492840"/>
    <w:rsid w:val="004B083E"/>
    <w:rsid w:val="004B3764"/>
    <w:rsid w:val="004C2C31"/>
    <w:rsid w:val="004E0BF3"/>
    <w:rsid w:val="00574480"/>
    <w:rsid w:val="00590937"/>
    <w:rsid w:val="005A63E3"/>
    <w:rsid w:val="006438D8"/>
    <w:rsid w:val="00691331"/>
    <w:rsid w:val="006960B8"/>
    <w:rsid w:val="00705DC1"/>
    <w:rsid w:val="0073559F"/>
    <w:rsid w:val="00762762"/>
    <w:rsid w:val="00764F09"/>
    <w:rsid w:val="00793AAB"/>
    <w:rsid w:val="007A2D93"/>
    <w:rsid w:val="007B029E"/>
    <w:rsid w:val="007F75A7"/>
    <w:rsid w:val="00812B08"/>
    <w:rsid w:val="0083576A"/>
    <w:rsid w:val="008454DE"/>
    <w:rsid w:val="008627FA"/>
    <w:rsid w:val="00864105"/>
    <w:rsid w:val="00873892"/>
    <w:rsid w:val="0091634E"/>
    <w:rsid w:val="00950BB7"/>
    <w:rsid w:val="00950C10"/>
    <w:rsid w:val="00A222B1"/>
    <w:rsid w:val="00A61A6E"/>
    <w:rsid w:val="00A70303"/>
    <w:rsid w:val="00AD092E"/>
    <w:rsid w:val="00AE52BB"/>
    <w:rsid w:val="00B138EE"/>
    <w:rsid w:val="00B831CE"/>
    <w:rsid w:val="00BD058C"/>
    <w:rsid w:val="00C00958"/>
    <w:rsid w:val="00C4040C"/>
    <w:rsid w:val="00C835E3"/>
    <w:rsid w:val="00C86F21"/>
    <w:rsid w:val="00CA4598"/>
    <w:rsid w:val="00CC2C51"/>
    <w:rsid w:val="00CC5A48"/>
    <w:rsid w:val="00CE76AD"/>
    <w:rsid w:val="00D11275"/>
    <w:rsid w:val="00D240F8"/>
    <w:rsid w:val="00DD2233"/>
    <w:rsid w:val="00E2690B"/>
    <w:rsid w:val="00E710DF"/>
    <w:rsid w:val="00E90581"/>
    <w:rsid w:val="00F139C8"/>
    <w:rsid w:val="00F51D52"/>
    <w:rsid w:val="00F8635C"/>
    <w:rsid w:val="00F8750D"/>
    <w:rsid w:val="10D3510B"/>
    <w:rsid w:val="2B2E7AA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GB" w:eastAsia="zh-CN" w:bidi="ar-SA"/>
    </w:rPr>
  </w:style>
  <w:style w:type="paragraph" w:styleId="2">
    <w:name w:val="heading 1"/>
    <w:basedOn w:val="1"/>
    <w:next w:val="1"/>
    <w:link w:val="12"/>
    <w:qFormat/>
    <w:uiPriority w:val="9"/>
    <w:pPr>
      <w:keepNext/>
      <w:keepLines/>
      <w:spacing w:before="340" w:after="330" w:line="578" w:lineRule="auto"/>
      <w:outlineLvl w:val="0"/>
    </w:pPr>
    <w:rPr>
      <w:b/>
      <w:bCs/>
      <w:kern w:val="44"/>
      <w:sz w:val="44"/>
      <w:szCs w:val="44"/>
    </w:rPr>
  </w:style>
  <w:style w:type="character" w:default="1" w:styleId="7">
    <w:name w:val="Default Paragraph Font"/>
    <w:semiHidden/>
    <w:unhideWhenUsed/>
    <w:uiPriority w:val="1"/>
  </w:style>
  <w:style w:type="table" w:default="1" w:styleId="6">
    <w:name w:val="Normal Table"/>
    <w:semiHidden/>
    <w:unhideWhenUsed/>
    <w:qFormat/>
    <w:uiPriority w:val="99"/>
    <w:tblPr>
      <w:tblLayout w:type="fixed"/>
      <w:tblCellMar>
        <w:top w:w="0" w:type="dxa"/>
        <w:left w:w="108" w:type="dxa"/>
        <w:bottom w:w="0" w:type="dxa"/>
        <w:right w:w="108" w:type="dxa"/>
      </w:tblCellMar>
    </w:tblPr>
  </w:style>
  <w:style w:type="paragraph" w:styleId="3">
    <w:name w:val="footer"/>
    <w:basedOn w:val="1"/>
    <w:link w:val="10"/>
    <w:unhideWhenUsed/>
    <w:qFormat/>
    <w:uiPriority w:val="99"/>
    <w:pPr>
      <w:tabs>
        <w:tab w:val="center" w:pos="4153"/>
        <w:tab w:val="right" w:pos="8306"/>
      </w:tabs>
      <w:snapToGrid w:val="0"/>
      <w:jc w:val="left"/>
    </w:pPr>
    <w:rPr>
      <w:sz w:val="18"/>
      <w:szCs w:val="18"/>
    </w:rPr>
  </w:style>
  <w:style w:type="paragraph" w:styleId="4">
    <w:name w:val="header"/>
    <w:basedOn w:val="1"/>
    <w:link w:val="9"/>
    <w:unhideWhenUsed/>
    <w:qFormat/>
    <w:uiPriority w:val="99"/>
    <w:pPr>
      <w:pBdr>
        <w:bottom w:val="single" w:color="auto" w:sz="6" w:space="1"/>
      </w:pBdr>
      <w:tabs>
        <w:tab w:val="center" w:pos="4153"/>
        <w:tab w:val="right" w:pos="8306"/>
      </w:tabs>
      <w:snapToGrid w:val="0"/>
      <w:jc w:val="center"/>
    </w:pPr>
    <w:rPr>
      <w:sz w:val="18"/>
      <w:szCs w:val="18"/>
    </w:rPr>
  </w:style>
  <w:style w:type="paragraph" w:styleId="5">
    <w:name w:val="toc 1"/>
    <w:basedOn w:val="1"/>
    <w:next w:val="1"/>
    <w:unhideWhenUsed/>
    <w:qFormat/>
    <w:uiPriority w:val="39"/>
  </w:style>
  <w:style w:type="character" w:styleId="8">
    <w:name w:val="Hyperlink"/>
    <w:basedOn w:val="7"/>
    <w:unhideWhenUsed/>
    <w:qFormat/>
    <w:uiPriority w:val="99"/>
    <w:rPr>
      <w:color w:val="0563C1" w:themeColor="hyperlink"/>
      <w:u w:val="single"/>
      <w14:textFill>
        <w14:solidFill>
          <w14:schemeClr w14:val="hlink"/>
        </w14:solidFill>
      </w14:textFill>
    </w:rPr>
  </w:style>
  <w:style w:type="character" w:customStyle="1" w:styleId="9">
    <w:name w:val="页眉 字符"/>
    <w:basedOn w:val="7"/>
    <w:link w:val="4"/>
    <w:qFormat/>
    <w:uiPriority w:val="99"/>
    <w:rPr>
      <w:sz w:val="18"/>
      <w:szCs w:val="18"/>
      <w:lang w:val="en-GB"/>
    </w:rPr>
  </w:style>
  <w:style w:type="character" w:customStyle="1" w:styleId="10">
    <w:name w:val="页脚 字符"/>
    <w:basedOn w:val="7"/>
    <w:link w:val="3"/>
    <w:qFormat/>
    <w:uiPriority w:val="99"/>
    <w:rPr>
      <w:sz w:val="18"/>
      <w:szCs w:val="18"/>
      <w:lang w:val="en-GB"/>
    </w:rPr>
  </w:style>
  <w:style w:type="paragraph" w:styleId="11">
    <w:name w:val="List Paragraph"/>
    <w:basedOn w:val="1"/>
    <w:qFormat/>
    <w:uiPriority w:val="34"/>
    <w:pPr>
      <w:ind w:firstLine="420" w:firstLineChars="200"/>
    </w:pPr>
  </w:style>
  <w:style w:type="character" w:customStyle="1" w:styleId="12">
    <w:name w:val="标题 1 字符"/>
    <w:basedOn w:val="7"/>
    <w:link w:val="2"/>
    <w:qFormat/>
    <w:uiPriority w:val="9"/>
    <w:rPr>
      <w:b/>
      <w:bCs/>
      <w:kern w:val="44"/>
      <w:sz w:val="44"/>
      <w:szCs w:val="44"/>
      <w:lang w:val="en-GB"/>
    </w:rPr>
  </w:style>
  <w:style w:type="paragraph" w:customStyle="1" w:styleId="13">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0925AF7-0CF6-4AF4-9EF1-138B48233DA1}">
  <ds:schemaRefs/>
</ds:datastoreItem>
</file>

<file path=docProps/app.xml><?xml version="1.0" encoding="utf-8"?>
<Properties xmlns="http://schemas.openxmlformats.org/officeDocument/2006/extended-properties" xmlns:vt="http://schemas.openxmlformats.org/officeDocument/2006/docPropsVTypes">
  <Template>Normal.dotm</Template>
  <Pages>13</Pages>
  <Words>5327</Words>
  <Characters>30370</Characters>
  <Lines>253</Lines>
  <Paragraphs>71</Paragraphs>
  <TotalTime>160</TotalTime>
  <ScaleCrop>false</ScaleCrop>
  <LinksUpToDate>false</LinksUpToDate>
  <CharactersWithSpaces>35626</CharactersWithSpaces>
  <Application>WPS Office_11.1.0.8597_F1E327BC-269C-435d-A152-05C5408002CA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2019-04-24T11:26:00Z</dcterms:created>
  <dc:creator>he lan</dc:creator>
  <cp:lastModifiedBy>Krisien</cp:lastModifiedBy>
  <dcterms:modified xsi:type="dcterms:W3CDTF">2019-04-28T21:19:12Z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072aee80-d7c5-3866-b96b-d829895a52cf</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6th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http://www.zotero.org/styles/harvard-cite-them-right</vt:lpwstr>
  </property>
  <property fmtid="{D5CDD505-2E9C-101B-9397-08002B2CF9AE}" pid="12" name="Mendeley Recent Style Name 3_1">
    <vt:lpwstr>Cite Them Right 10th edition - Harvard</vt:lpwstr>
  </property>
  <property fmtid="{D5CDD505-2E9C-101B-9397-08002B2CF9AE}" pid="13" name="Mendeley Recent Style Id 4_1">
    <vt:lpwstr>http://www.zotero.org/styles/harvard-coventry-university</vt:lpwstr>
  </property>
  <property fmtid="{D5CDD505-2E9C-101B-9397-08002B2CF9AE}" pid="14" name="Mendeley Recent Style Name 4_1">
    <vt:lpwstr>Coventry University - Harvard</vt:lpwstr>
  </property>
  <property fmtid="{D5CDD505-2E9C-101B-9397-08002B2CF9AE}" pid="15" name="Mendeley Recent Style Id 5_1">
    <vt:lpwstr>http://csl.mendeley.com/styles/19284421/harvard-coventry-university</vt:lpwstr>
  </property>
  <property fmtid="{D5CDD505-2E9C-101B-9397-08002B2CF9AE}" pid="16" name="Mendeley Recent Style Name 5_1">
    <vt:lpwstr>Harvard - Coventry University (for Mendeley)</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KSOProductBuildVer">
    <vt:lpwstr>2052-11.1.0.8597</vt:lpwstr>
  </property>
</Properties>
</file>