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A2745" w14:textId="7569E43B" w:rsidR="00FE1B6C" w:rsidRDefault="0058571C" w:rsidP="0058571C">
      <w:pPr>
        <w:jc w:val="center"/>
        <w:rPr>
          <w:rFonts w:ascii="Arial" w:hAnsi="Arial" w:cs="Arial"/>
          <w:b/>
          <w:bCs/>
          <w:i/>
          <w:iCs/>
          <w:sz w:val="96"/>
          <w:szCs w:val="96"/>
          <w:u w:val="single"/>
        </w:rPr>
      </w:pPr>
      <w:r w:rsidRPr="0058571C">
        <w:rPr>
          <w:rFonts w:ascii="Arial" w:hAnsi="Arial" w:cs="Arial"/>
          <w:b/>
          <w:bCs/>
          <w:i/>
          <w:iCs/>
          <w:sz w:val="96"/>
          <w:szCs w:val="96"/>
          <w:u w:val="single"/>
        </w:rPr>
        <w:t>European Law</w:t>
      </w:r>
    </w:p>
    <w:p w14:paraId="7A659DC5" w14:textId="276295F7" w:rsidR="0058571C" w:rsidRDefault="0058571C" w:rsidP="0058571C">
      <w:pPr>
        <w:jc w:val="center"/>
        <w:rPr>
          <w:rFonts w:ascii="Arial" w:hAnsi="Arial" w:cs="Arial"/>
          <w:b/>
          <w:bCs/>
          <w:i/>
          <w:iCs/>
          <w:sz w:val="96"/>
          <w:szCs w:val="96"/>
          <w:u w:val="single"/>
        </w:rPr>
      </w:pPr>
    </w:p>
    <w:p w14:paraId="0C1FE0E7" w14:textId="77777777" w:rsidR="0058571C" w:rsidRPr="0058571C" w:rsidRDefault="0058571C" w:rsidP="0058571C">
      <w:pPr>
        <w:jc w:val="center"/>
        <w:rPr>
          <w:rFonts w:ascii="Arial" w:hAnsi="Arial" w:cs="Arial"/>
          <w:b/>
          <w:bCs/>
          <w:i/>
          <w:iCs/>
          <w:sz w:val="96"/>
          <w:szCs w:val="96"/>
          <w:u w:val="single"/>
        </w:rPr>
      </w:pPr>
    </w:p>
    <w:p w14:paraId="0A269C76" w14:textId="3E03ABED" w:rsidR="0058571C" w:rsidRDefault="0058571C" w:rsidP="0058571C">
      <w:pPr>
        <w:jc w:val="center"/>
        <w:rPr>
          <w:rFonts w:ascii="Arial" w:hAnsi="Arial" w:cs="Arial"/>
          <w:b/>
          <w:bCs/>
          <w:i/>
          <w:iCs/>
          <w:sz w:val="96"/>
          <w:szCs w:val="96"/>
          <w:u w:val="single"/>
        </w:rPr>
      </w:pPr>
      <w:r w:rsidRPr="0058571C">
        <w:rPr>
          <w:rFonts w:ascii="Arial" w:hAnsi="Arial" w:cs="Arial"/>
          <w:b/>
          <w:bCs/>
          <w:i/>
          <w:iCs/>
          <w:sz w:val="96"/>
          <w:szCs w:val="96"/>
          <w:u w:val="single"/>
        </w:rPr>
        <w:t>Assignment 2</w:t>
      </w:r>
    </w:p>
    <w:p w14:paraId="2DE76ACE" w14:textId="21F93429" w:rsidR="0058571C" w:rsidRDefault="0058571C" w:rsidP="0058571C">
      <w:pPr>
        <w:jc w:val="center"/>
        <w:rPr>
          <w:rFonts w:ascii="Arial" w:hAnsi="Arial" w:cs="Arial"/>
          <w:b/>
          <w:bCs/>
          <w:i/>
          <w:iCs/>
          <w:sz w:val="96"/>
          <w:szCs w:val="96"/>
          <w:u w:val="single"/>
        </w:rPr>
      </w:pPr>
    </w:p>
    <w:p w14:paraId="7052BBC5" w14:textId="77777777" w:rsidR="0058571C" w:rsidRPr="0058571C" w:rsidRDefault="0058571C" w:rsidP="0058571C">
      <w:pPr>
        <w:jc w:val="center"/>
        <w:rPr>
          <w:rFonts w:ascii="Arial" w:hAnsi="Arial" w:cs="Arial"/>
          <w:b/>
          <w:bCs/>
          <w:i/>
          <w:iCs/>
          <w:sz w:val="96"/>
          <w:szCs w:val="96"/>
          <w:u w:val="single"/>
        </w:rPr>
      </w:pPr>
    </w:p>
    <w:p w14:paraId="1AE8C09D" w14:textId="14D9948A" w:rsidR="0058571C" w:rsidRDefault="0058571C" w:rsidP="0058571C">
      <w:pPr>
        <w:jc w:val="center"/>
        <w:rPr>
          <w:rFonts w:ascii="Arial" w:hAnsi="Arial" w:cs="Arial"/>
          <w:b/>
          <w:bCs/>
          <w:i/>
          <w:iCs/>
          <w:sz w:val="96"/>
          <w:szCs w:val="96"/>
          <w:u w:val="single"/>
        </w:rPr>
      </w:pPr>
      <w:r w:rsidRPr="0058571C">
        <w:rPr>
          <w:rFonts w:ascii="Arial" w:hAnsi="Arial" w:cs="Arial"/>
          <w:b/>
          <w:bCs/>
          <w:i/>
          <w:iCs/>
          <w:sz w:val="96"/>
          <w:szCs w:val="96"/>
          <w:u w:val="single"/>
        </w:rPr>
        <w:t>Chloe Reynolds</w:t>
      </w:r>
    </w:p>
    <w:p w14:paraId="7A243737" w14:textId="5A6724F3" w:rsidR="0058571C" w:rsidRDefault="0058571C" w:rsidP="0058571C">
      <w:pPr>
        <w:jc w:val="center"/>
        <w:rPr>
          <w:rFonts w:ascii="Arial" w:hAnsi="Arial" w:cs="Arial"/>
          <w:b/>
          <w:bCs/>
          <w:i/>
          <w:iCs/>
          <w:sz w:val="96"/>
          <w:szCs w:val="96"/>
          <w:u w:val="single"/>
        </w:rPr>
      </w:pPr>
    </w:p>
    <w:p w14:paraId="420174BD" w14:textId="4CE8572B" w:rsidR="0058571C" w:rsidRDefault="0058571C" w:rsidP="0058571C">
      <w:pPr>
        <w:jc w:val="center"/>
        <w:rPr>
          <w:rFonts w:ascii="Arial" w:hAnsi="Arial" w:cs="Arial"/>
          <w:b/>
          <w:bCs/>
          <w:i/>
          <w:iCs/>
          <w:sz w:val="96"/>
          <w:szCs w:val="96"/>
          <w:u w:val="single"/>
        </w:rPr>
      </w:pPr>
    </w:p>
    <w:p w14:paraId="03F63BAA" w14:textId="77777777" w:rsidR="00E87AC7" w:rsidRDefault="00E87AC7" w:rsidP="00550BED">
      <w:pPr>
        <w:jc w:val="both"/>
        <w:rPr>
          <w:rFonts w:ascii="Arial" w:hAnsi="Arial" w:cs="Arial"/>
          <w:b/>
          <w:bCs/>
          <w:i/>
          <w:iCs/>
          <w:sz w:val="96"/>
          <w:szCs w:val="96"/>
          <w:u w:val="single"/>
        </w:rPr>
      </w:pPr>
    </w:p>
    <w:p w14:paraId="74590546" w14:textId="77777777" w:rsidR="007B7989" w:rsidRDefault="007B7989" w:rsidP="00550BED">
      <w:pPr>
        <w:rPr>
          <w:rFonts w:ascii="Arial" w:hAnsi="Arial" w:cs="Arial"/>
        </w:rPr>
      </w:pPr>
    </w:p>
    <w:p w14:paraId="3BFCB82B" w14:textId="566B36B6" w:rsidR="007B7989" w:rsidRPr="008911AC" w:rsidRDefault="007B7989" w:rsidP="00550BED">
      <w:pPr>
        <w:rPr>
          <w:rFonts w:ascii="Arial" w:hAnsi="Arial" w:cs="Arial"/>
          <w:sz w:val="24"/>
          <w:szCs w:val="24"/>
        </w:rPr>
      </w:pPr>
      <w:r w:rsidRPr="008911AC">
        <w:rPr>
          <w:rFonts w:ascii="Arial" w:hAnsi="Arial" w:cs="Arial"/>
          <w:sz w:val="24"/>
          <w:szCs w:val="24"/>
        </w:rPr>
        <w:lastRenderedPageBreak/>
        <w:t xml:space="preserve">Question 1. </w:t>
      </w:r>
    </w:p>
    <w:p w14:paraId="757F5056" w14:textId="032B7753" w:rsidR="00CA6551" w:rsidRPr="008911AC" w:rsidRDefault="003362E8" w:rsidP="00550BED">
      <w:pPr>
        <w:rPr>
          <w:rFonts w:ascii="Arial" w:hAnsi="Arial" w:cs="Arial"/>
          <w:sz w:val="24"/>
          <w:szCs w:val="24"/>
        </w:rPr>
      </w:pPr>
      <w:r w:rsidRPr="008911AC">
        <w:rPr>
          <w:rFonts w:ascii="Arial" w:hAnsi="Arial" w:cs="Arial"/>
          <w:sz w:val="24"/>
          <w:szCs w:val="24"/>
        </w:rPr>
        <w:t xml:space="preserve">Article </w:t>
      </w:r>
      <w:r w:rsidR="0081735F" w:rsidRPr="008911AC">
        <w:rPr>
          <w:rFonts w:ascii="Arial" w:hAnsi="Arial" w:cs="Arial"/>
          <w:sz w:val="24"/>
          <w:szCs w:val="24"/>
        </w:rPr>
        <w:t xml:space="preserve">102 of the TFEU </w:t>
      </w:r>
      <w:r w:rsidR="00F15469" w:rsidRPr="008911AC">
        <w:rPr>
          <w:rFonts w:ascii="Arial" w:hAnsi="Arial" w:cs="Arial"/>
          <w:sz w:val="24"/>
          <w:szCs w:val="24"/>
        </w:rPr>
        <w:t>prohibits</w:t>
      </w:r>
      <w:r w:rsidR="0081735F" w:rsidRPr="008911AC">
        <w:rPr>
          <w:rFonts w:ascii="Arial" w:hAnsi="Arial" w:cs="Arial"/>
          <w:sz w:val="24"/>
          <w:szCs w:val="24"/>
        </w:rPr>
        <w:t xml:space="preserve"> abusive conduct from occurring by undertakings that </w:t>
      </w:r>
      <w:r w:rsidR="00536EED" w:rsidRPr="008911AC">
        <w:rPr>
          <w:rFonts w:ascii="Arial" w:hAnsi="Arial" w:cs="Arial"/>
          <w:sz w:val="24"/>
          <w:szCs w:val="24"/>
        </w:rPr>
        <w:t xml:space="preserve">have a dominant position in the market. </w:t>
      </w:r>
      <w:r w:rsidR="000B5F93" w:rsidRPr="008911AC">
        <w:rPr>
          <w:rFonts w:ascii="Arial" w:hAnsi="Arial" w:cs="Arial"/>
          <w:sz w:val="24"/>
          <w:szCs w:val="24"/>
        </w:rPr>
        <w:t>Although, 102 TFEU does not have a problem with there being a dominant position at the mark</w:t>
      </w:r>
      <w:r w:rsidR="00B1303A" w:rsidRPr="008911AC">
        <w:rPr>
          <w:rFonts w:ascii="Arial" w:hAnsi="Arial" w:cs="Arial"/>
          <w:sz w:val="24"/>
          <w:szCs w:val="24"/>
        </w:rPr>
        <w:t>et</w:t>
      </w:r>
      <w:r w:rsidR="00336D75" w:rsidRPr="008911AC">
        <w:rPr>
          <w:rFonts w:ascii="Arial" w:hAnsi="Arial" w:cs="Arial"/>
          <w:sz w:val="24"/>
          <w:szCs w:val="24"/>
        </w:rPr>
        <w:t xml:space="preserve"> (Collins,2021)</w:t>
      </w:r>
      <w:r w:rsidR="00B1303A" w:rsidRPr="008911AC">
        <w:rPr>
          <w:rFonts w:ascii="Arial" w:hAnsi="Arial" w:cs="Arial"/>
          <w:sz w:val="24"/>
          <w:szCs w:val="24"/>
        </w:rPr>
        <w:t xml:space="preserve">. </w:t>
      </w:r>
      <w:r w:rsidR="00763E37" w:rsidRPr="008911AC">
        <w:rPr>
          <w:rFonts w:ascii="Arial" w:hAnsi="Arial" w:cs="Arial"/>
          <w:sz w:val="24"/>
          <w:szCs w:val="24"/>
        </w:rPr>
        <w:t>However, it does realise that a dominant position come</w:t>
      </w:r>
      <w:r w:rsidR="00336D75" w:rsidRPr="008911AC">
        <w:rPr>
          <w:rFonts w:ascii="Arial" w:hAnsi="Arial" w:cs="Arial"/>
          <w:sz w:val="24"/>
          <w:szCs w:val="24"/>
        </w:rPr>
        <w:t>s</w:t>
      </w:r>
      <w:r w:rsidR="00763E37" w:rsidRPr="008911AC">
        <w:rPr>
          <w:rFonts w:ascii="Arial" w:hAnsi="Arial" w:cs="Arial"/>
          <w:sz w:val="24"/>
          <w:szCs w:val="24"/>
        </w:rPr>
        <w:t xml:space="preserve"> with responsibilities t</w:t>
      </w:r>
      <w:r w:rsidR="00D404AC" w:rsidRPr="008911AC">
        <w:rPr>
          <w:rFonts w:ascii="Arial" w:hAnsi="Arial" w:cs="Arial"/>
          <w:sz w:val="24"/>
          <w:szCs w:val="24"/>
        </w:rPr>
        <w:t xml:space="preserve">his is because a dominant position is seen </w:t>
      </w:r>
      <w:r w:rsidR="00D61585" w:rsidRPr="008911AC">
        <w:rPr>
          <w:rFonts w:ascii="Arial" w:hAnsi="Arial" w:cs="Arial"/>
          <w:sz w:val="24"/>
          <w:szCs w:val="24"/>
        </w:rPr>
        <w:t xml:space="preserve">as the restriction of competition which could potentially harm consumers or other undertakings. </w:t>
      </w:r>
      <w:r w:rsidR="00851807" w:rsidRPr="008911AC">
        <w:rPr>
          <w:rFonts w:ascii="Arial" w:hAnsi="Arial" w:cs="Arial"/>
          <w:sz w:val="24"/>
          <w:szCs w:val="24"/>
        </w:rPr>
        <w:t xml:space="preserve">This being a factor means </w:t>
      </w:r>
      <w:r w:rsidR="00A346B7" w:rsidRPr="008911AC">
        <w:rPr>
          <w:rFonts w:ascii="Arial" w:hAnsi="Arial" w:cs="Arial"/>
          <w:sz w:val="24"/>
          <w:szCs w:val="24"/>
        </w:rPr>
        <w:t>that</w:t>
      </w:r>
      <w:r w:rsidR="00851807" w:rsidRPr="008911AC">
        <w:rPr>
          <w:rFonts w:ascii="Arial" w:hAnsi="Arial" w:cs="Arial"/>
          <w:sz w:val="24"/>
          <w:szCs w:val="24"/>
        </w:rPr>
        <w:t xml:space="preserve"> a </w:t>
      </w:r>
      <w:r w:rsidR="00A346B7" w:rsidRPr="008911AC">
        <w:rPr>
          <w:rFonts w:ascii="Arial" w:hAnsi="Arial" w:cs="Arial"/>
          <w:sz w:val="24"/>
          <w:szCs w:val="24"/>
        </w:rPr>
        <w:t>dominant</w:t>
      </w:r>
      <w:r w:rsidR="00851807" w:rsidRPr="008911AC">
        <w:rPr>
          <w:rFonts w:ascii="Arial" w:hAnsi="Arial" w:cs="Arial"/>
          <w:sz w:val="24"/>
          <w:szCs w:val="24"/>
        </w:rPr>
        <w:t xml:space="preserve"> </w:t>
      </w:r>
      <w:r w:rsidR="00E43446" w:rsidRPr="008911AC">
        <w:rPr>
          <w:rFonts w:ascii="Arial" w:hAnsi="Arial" w:cs="Arial"/>
          <w:sz w:val="24"/>
          <w:szCs w:val="24"/>
        </w:rPr>
        <w:t xml:space="preserve">undertaking has a strict </w:t>
      </w:r>
      <w:r w:rsidR="00A346B7" w:rsidRPr="008911AC">
        <w:rPr>
          <w:rFonts w:ascii="Arial" w:hAnsi="Arial" w:cs="Arial"/>
          <w:sz w:val="24"/>
          <w:szCs w:val="24"/>
        </w:rPr>
        <w:t>responsibility</w:t>
      </w:r>
      <w:r w:rsidR="00E43446" w:rsidRPr="008911AC">
        <w:rPr>
          <w:rFonts w:ascii="Arial" w:hAnsi="Arial" w:cs="Arial"/>
          <w:sz w:val="24"/>
          <w:szCs w:val="24"/>
        </w:rPr>
        <w:t xml:space="preserve"> to avoid conduct that could restrict </w:t>
      </w:r>
      <w:r w:rsidR="00A346B7" w:rsidRPr="008911AC">
        <w:rPr>
          <w:rFonts w:ascii="Arial" w:hAnsi="Arial" w:cs="Arial"/>
          <w:sz w:val="24"/>
          <w:szCs w:val="24"/>
        </w:rPr>
        <w:t>competition</w:t>
      </w:r>
      <w:r w:rsidR="00E43446" w:rsidRPr="008911AC">
        <w:rPr>
          <w:rFonts w:ascii="Arial" w:hAnsi="Arial" w:cs="Arial"/>
          <w:sz w:val="24"/>
          <w:szCs w:val="24"/>
        </w:rPr>
        <w:t xml:space="preserve"> from occurring.</w:t>
      </w:r>
      <w:r w:rsidR="003F0D8A" w:rsidRPr="008911AC">
        <w:rPr>
          <w:rFonts w:ascii="Arial" w:hAnsi="Arial" w:cs="Arial"/>
          <w:sz w:val="24"/>
          <w:szCs w:val="24"/>
        </w:rPr>
        <w:t xml:space="preserve"> </w:t>
      </w:r>
    </w:p>
    <w:p w14:paraId="6088EC45" w14:textId="413784C0" w:rsidR="000C42F2" w:rsidRPr="008911AC" w:rsidRDefault="009412FE" w:rsidP="00550BED">
      <w:pPr>
        <w:rPr>
          <w:rFonts w:ascii="Arial" w:hAnsi="Arial" w:cs="Arial"/>
          <w:sz w:val="24"/>
          <w:szCs w:val="24"/>
        </w:rPr>
      </w:pPr>
      <w:r w:rsidRPr="008911AC">
        <w:rPr>
          <w:rFonts w:ascii="Arial" w:hAnsi="Arial" w:cs="Arial"/>
          <w:sz w:val="24"/>
          <w:szCs w:val="24"/>
        </w:rPr>
        <w:t>F</w:t>
      </w:r>
      <w:r w:rsidR="003F0D8A" w:rsidRPr="008911AC">
        <w:rPr>
          <w:rFonts w:ascii="Arial" w:hAnsi="Arial" w:cs="Arial"/>
          <w:sz w:val="24"/>
          <w:szCs w:val="24"/>
        </w:rPr>
        <w:t>or</w:t>
      </w:r>
      <w:r w:rsidRPr="008911AC">
        <w:rPr>
          <w:rFonts w:ascii="Arial" w:hAnsi="Arial" w:cs="Arial"/>
          <w:sz w:val="24"/>
          <w:szCs w:val="24"/>
        </w:rPr>
        <w:t xml:space="preserve"> a breach of Art 102 to occur an undertaking must be in a dominant position. </w:t>
      </w:r>
      <w:r w:rsidR="00C41FDF" w:rsidRPr="008911AC">
        <w:rPr>
          <w:rFonts w:ascii="Arial" w:hAnsi="Arial" w:cs="Arial"/>
          <w:sz w:val="24"/>
          <w:szCs w:val="24"/>
        </w:rPr>
        <w:t xml:space="preserve"> </w:t>
      </w:r>
      <w:r w:rsidR="002B3350" w:rsidRPr="008911AC">
        <w:rPr>
          <w:rFonts w:ascii="Arial" w:hAnsi="Arial" w:cs="Arial"/>
          <w:sz w:val="24"/>
          <w:szCs w:val="24"/>
        </w:rPr>
        <w:t xml:space="preserve">The treaty did not have a </w:t>
      </w:r>
      <w:r w:rsidR="00CA6551" w:rsidRPr="008911AC">
        <w:rPr>
          <w:rFonts w:ascii="Arial" w:hAnsi="Arial" w:cs="Arial"/>
          <w:sz w:val="24"/>
          <w:szCs w:val="24"/>
        </w:rPr>
        <w:t>definition</w:t>
      </w:r>
      <w:r w:rsidR="002B3350" w:rsidRPr="008911AC">
        <w:rPr>
          <w:rFonts w:ascii="Arial" w:hAnsi="Arial" w:cs="Arial"/>
          <w:sz w:val="24"/>
          <w:szCs w:val="24"/>
        </w:rPr>
        <w:t xml:space="preserve"> for this so the court of </w:t>
      </w:r>
      <w:r w:rsidR="00CA6551" w:rsidRPr="008911AC">
        <w:rPr>
          <w:rFonts w:ascii="Arial" w:hAnsi="Arial" w:cs="Arial"/>
          <w:sz w:val="24"/>
          <w:szCs w:val="24"/>
        </w:rPr>
        <w:t>justice</w:t>
      </w:r>
      <w:r w:rsidR="002B3350" w:rsidRPr="008911AC">
        <w:rPr>
          <w:rFonts w:ascii="Arial" w:hAnsi="Arial" w:cs="Arial"/>
          <w:sz w:val="24"/>
          <w:szCs w:val="24"/>
        </w:rPr>
        <w:t xml:space="preserve"> defined it in the case 27/76 </w:t>
      </w:r>
      <w:r w:rsidR="00CA6551" w:rsidRPr="008911AC">
        <w:rPr>
          <w:rFonts w:ascii="Arial" w:hAnsi="Arial" w:cs="Arial"/>
          <w:sz w:val="24"/>
          <w:szCs w:val="24"/>
        </w:rPr>
        <w:t>U</w:t>
      </w:r>
      <w:r w:rsidR="002B3350" w:rsidRPr="008911AC">
        <w:rPr>
          <w:rFonts w:ascii="Arial" w:hAnsi="Arial" w:cs="Arial"/>
          <w:sz w:val="24"/>
          <w:szCs w:val="24"/>
        </w:rPr>
        <w:t>nited Brands</w:t>
      </w:r>
      <w:r w:rsidR="003C72FA" w:rsidRPr="008911AC">
        <w:rPr>
          <w:rFonts w:ascii="Arial" w:hAnsi="Arial" w:cs="Arial"/>
          <w:sz w:val="24"/>
          <w:szCs w:val="24"/>
        </w:rPr>
        <w:t xml:space="preserve"> v Commission [1978] </w:t>
      </w:r>
      <w:r w:rsidR="00424E15" w:rsidRPr="008911AC">
        <w:rPr>
          <w:rFonts w:ascii="Arial" w:hAnsi="Arial" w:cs="Arial"/>
          <w:sz w:val="24"/>
          <w:szCs w:val="24"/>
        </w:rPr>
        <w:t xml:space="preserve">where it was defined as a position of economic strength that will enable an </w:t>
      </w:r>
      <w:r w:rsidR="00D9444D" w:rsidRPr="008911AC">
        <w:rPr>
          <w:rFonts w:ascii="Arial" w:hAnsi="Arial" w:cs="Arial"/>
          <w:sz w:val="24"/>
          <w:szCs w:val="24"/>
        </w:rPr>
        <w:t>undertaking</w:t>
      </w:r>
      <w:r w:rsidR="00424E15" w:rsidRPr="008911AC">
        <w:rPr>
          <w:rFonts w:ascii="Arial" w:hAnsi="Arial" w:cs="Arial"/>
          <w:sz w:val="24"/>
          <w:szCs w:val="24"/>
        </w:rPr>
        <w:t xml:space="preserve"> to prevent effective competition being maintained on the relevant market b</w:t>
      </w:r>
      <w:r w:rsidR="0091571C" w:rsidRPr="008911AC">
        <w:rPr>
          <w:rFonts w:ascii="Arial" w:hAnsi="Arial" w:cs="Arial"/>
          <w:sz w:val="24"/>
          <w:szCs w:val="24"/>
        </w:rPr>
        <w:t>u</w:t>
      </w:r>
      <w:r w:rsidR="00424E15" w:rsidRPr="008911AC">
        <w:rPr>
          <w:rFonts w:ascii="Arial" w:hAnsi="Arial" w:cs="Arial"/>
          <w:sz w:val="24"/>
          <w:szCs w:val="24"/>
        </w:rPr>
        <w:t xml:space="preserve">t giving it the power to behave </w:t>
      </w:r>
      <w:r w:rsidR="00530A42" w:rsidRPr="008911AC">
        <w:rPr>
          <w:rFonts w:ascii="Arial" w:hAnsi="Arial" w:cs="Arial"/>
          <w:sz w:val="24"/>
          <w:szCs w:val="24"/>
        </w:rPr>
        <w:t xml:space="preserve">to an </w:t>
      </w:r>
      <w:r w:rsidR="00D9444D" w:rsidRPr="008911AC">
        <w:rPr>
          <w:rFonts w:ascii="Arial" w:hAnsi="Arial" w:cs="Arial"/>
          <w:sz w:val="24"/>
          <w:szCs w:val="24"/>
        </w:rPr>
        <w:t>appreciable</w:t>
      </w:r>
      <w:r w:rsidR="00530A42" w:rsidRPr="008911AC">
        <w:rPr>
          <w:rFonts w:ascii="Arial" w:hAnsi="Arial" w:cs="Arial"/>
          <w:sz w:val="24"/>
          <w:szCs w:val="24"/>
        </w:rPr>
        <w:t xml:space="preserve"> extent </w:t>
      </w:r>
      <w:r w:rsidR="009E2926" w:rsidRPr="008911AC">
        <w:rPr>
          <w:rFonts w:ascii="Arial" w:hAnsi="Arial" w:cs="Arial"/>
          <w:sz w:val="24"/>
          <w:szCs w:val="24"/>
        </w:rPr>
        <w:t>independently of its competition, customer and its consumer (</w:t>
      </w:r>
      <w:r w:rsidR="000C42F2" w:rsidRPr="008911AC">
        <w:rPr>
          <w:rFonts w:ascii="Arial" w:hAnsi="Arial" w:cs="Arial"/>
          <w:sz w:val="24"/>
          <w:szCs w:val="24"/>
        </w:rPr>
        <w:t>Sufrin,2012)</w:t>
      </w:r>
      <w:r w:rsidR="0012523A" w:rsidRPr="008911AC">
        <w:rPr>
          <w:rFonts w:ascii="Arial" w:hAnsi="Arial" w:cs="Arial"/>
          <w:sz w:val="24"/>
          <w:szCs w:val="24"/>
        </w:rPr>
        <w:t xml:space="preserve"> Therefore</w:t>
      </w:r>
      <w:r w:rsidR="0096502E" w:rsidRPr="008911AC">
        <w:rPr>
          <w:rFonts w:ascii="Arial" w:hAnsi="Arial" w:cs="Arial"/>
          <w:sz w:val="24"/>
          <w:szCs w:val="24"/>
        </w:rPr>
        <w:t xml:space="preserve">, this </w:t>
      </w:r>
      <w:r w:rsidR="00387527" w:rsidRPr="008911AC">
        <w:rPr>
          <w:rFonts w:ascii="Arial" w:hAnsi="Arial" w:cs="Arial"/>
          <w:sz w:val="24"/>
          <w:szCs w:val="24"/>
        </w:rPr>
        <w:t xml:space="preserve">allows the market power to set trends in the </w:t>
      </w:r>
      <w:r w:rsidR="00253EEE" w:rsidRPr="008911AC">
        <w:rPr>
          <w:rFonts w:ascii="Arial" w:hAnsi="Arial" w:cs="Arial"/>
          <w:sz w:val="24"/>
          <w:szCs w:val="24"/>
        </w:rPr>
        <w:t>relevant</w:t>
      </w:r>
      <w:r w:rsidR="00387527" w:rsidRPr="008911AC">
        <w:rPr>
          <w:rFonts w:ascii="Arial" w:hAnsi="Arial" w:cs="Arial"/>
          <w:sz w:val="24"/>
          <w:szCs w:val="24"/>
        </w:rPr>
        <w:t xml:space="preserve"> market and allows it to act independently of the pressures of the competition. </w:t>
      </w:r>
      <w:r w:rsidR="00C30610" w:rsidRPr="008911AC">
        <w:rPr>
          <w:rFonts w:ascii="Arial" w:hAnsi="Arial" w:cs="Arial"/>
          <w:sz w:val="24"/>
          <w:szCs w:val="24"/>
        </w:rPr>
        <w:t xml:space="preserve">It is not necessary to </w:t>
      </w:r>
      <w:r w:rsidR="00F6745C" w:rsidRPr="008911AC">
        <w:rPr>
          <w:rFonts w:ascii="Arial" w:hAnsi="Arial" w:cs="Arial"/>
          <w:sz w:val="24"/>
          <w:szCs w:val="24"/>
        </w:rPr>
        <w:t xml:space="preserve">be the only undertaking in the market and there can be some competition. </w:t>
      </w:r>
      <w:r w:rsidR="007D7A7A" w:rsidRPr="008911AC">
        <w:rPr>
          <w:rFonts w:ascii="Arial" w:hAnsi="Arial" w:cs="Arial"/>
          <w:sz w:val="24"/>
          <w:szCs w:val="24"/>
        </w:rPr>
        <w:t>Working out of the relevant market it can be possible to identify the market share of the undertaking which can be an important factor in the overall assessment of dominance</w:t>
      </w:r>
      <w:r w:rsidR="00626176" w:rsidRPr="008911AC">
        <w:rPr>
          <w:rFonts w:ascii="Arial" w:hAnsi="Arial" w:cs="Arial"/>
          <w:sz w:val="24"/>
          <w:szCs w:val="24"/>
        </w:rPr>
        <w:t xml:space="preserve"> (</w:t>
      </w:r>
      <w:r w:rsidR="006802FF" w:rsidRPr="008911AC">
        <w:rPr>
          <w:rFonts w:ascii="Arial" w:hAnsi="Arial" w:cs="Arial"/>
          <w:sz w:val="24"/>
          <w:szCs w:val="24"/>
        </w:rPr>
        <w:t>GOV,</w:t>
      </w:r>
      <w:r w:rsidR="00526C97" w:rsidRPr="008911AC">
        <w:rPr>
          <w:rFonts w:ascii="Arial" w:hAnsi="Arial" w:cs="Arial"/>
          <w:sz w:val="24"/>
          <w:szCs w:val="24"/>
        </w:rPr>
        <w:t>2015</w:t>
      </w:r>
      <w:r w:rsidR="00626176" w:rsidRPr="008911AC">
        <w:rPr>
          <w:rFonts w:ascii="Arial" w:hAnsi="Arial" w:cs="Arial"/>
          <w:sz w:val="24"/>
          <w:szCs w:val="24"/>
        </w:rPr>
        <w:t>)</w:t>
      </w:r>
      <w:r w:rsidR="007D7A7A" w:rsidRPr="008911AC">
        <w:rPr>
          <w:rFonts w:ascii="Arial" w:hAnsi="Arial" w:cs="Arial"/>
          <w:sz w:val="24"/>
          <w:szCs w:val="24"/>
        </w:rPr>
        <w:t xml:space="preserve">. </w:t>
      </w:r>
    </w:p>
    <w:p w14:paraId="4B41D22B" w14:textId="1F59480F" w:rsidR="007D7A7A" w:rsidRPr="008911AC" w:rsidRDefault="007D7A7A" w:rsidP="00550BED">
      <w:pPr>
        <w:rPr>
          <w:rFonts w:ascii="Arial" w:hAnsi="Arial" w:cs="Arial"/>
          <w:sz w:val="24"/>
          <w:szCs w:val="24"/>
        </w:rPr>
      </w:pPr>
      <w:r w:rsidRPr="008911AC">
        <w:rPr>
          <w:rFonts w:ascii="Arial" w:hAnsi="Arial" w:cs="Arial"/>
          <w:sz w:val="24"/>
          <w:szCs w:val="24"/>
        </w:rPr>
        <w:t xml:space="preserve">The relevant </w:t>
      </w:r>
      <w:r w:rsidR="00820A82" w:rsidRPr="008911AC">
        <w:rPr>
          <w:rFonts w:ascii="Arial" w:hAnsi="Arial" w:cs="Arial"/>
          <w:sz w:val="24"/>
          <w:szCs w:val="24"/>
        </w:rPr>
        <w:t xml:space="preserve">market </w:t>
      </w:r>
      <w:r w:rsidR="004436B9" w:rsidRPr="008911AC">
        <w:rPr>
          <w:rFonts w:ascii="Arial" w:hAnsi="Arial" w:cs="Arial"/>
          <w:sz w:val="24"/>
          <w:szCs w:val="24"/>
        </w:rPr>
        <w:t xml:space="preserve">is </w:t>
      </w:r>
      <w:r w:rsidR="00626176" w:rsidRPr="008911AC">
        <w:rPr>
          <w:rFonts w:ascii="Arial" w:hAnsi="Arial" w:cs="Arial"/>
          <w:sz w:val="24"/>
          <w:szCs w:val="24"/>
        </w:rPr>
        <w:t>critical</w:t>
      </w:r>
      <w:r w:rsidR="00BC5986" w:rsidRPr="008911AC">
        <w:rPr>
          <w:rFonts w:ascii="Arial" w:hAnsi="Arial" w:cs="Arial"/>
          <w:sz w:val="24"/>
          <w:szCs w:val="24"/>
        </w:rPr>
        <w:t xml:space="preserve"> in the operat</w:t>
      </w:r>
      <w:r w:rsidR="00336D75" w:rsidRPr="008911AC">
        <w:rPr>
          <w:rFonts w:ascii="Arial" w:hAnsi="Arial" w:cs="Arial"/>
          <w:sz w:val="24"/>
          <w:szCs w:val="24"/>
        </w:rPr>
        <w:t>ion of</w:t>
      </w:r>
      <w:r w:rsidR="00BC5986" w:rsidRPr="008911AC">
        <w:rPr>
          <w:rFonts w:ascii="Arial" w:hAnsi="Arial" w:cs="Arial"/>
          <w:sz w:val="24"/>
          <w:szCs w:val="24"/>
        </w:rPr>
        <w:t xml:space="preserve"> the </w:t>
      </w:r>
      <w:r w:rsidR="00626176" w:rsidRPr="008911AC">
        <w:rPr>
          <w:rFonts w:ascii="Arial" w:hAnsi="Arial" w:cs="Arial"/>
          <w:sz w:val="24"/>
          <w:szCs w:val="24"/>
        </w:rPr>
        <w:t>undertakings</w:t>
      </w:r>
      <w:r w:rsidR="00BC5986" w:rsidRPr="008911AC">
        <w:rPr>
          <w:rFonts w:ascii="Arial" w:hAnsi="Arial" w:cs="Arial"/>
          <w:sz w:val="24"/>
          <w:szCs w:val="24"/>
        </w:rPr>
        <w:t xml:space="preserve">. This is because </w:t>
      </w:r>
      <w:r w:rsidR="005C1D5C" w:rsidRPr="008911AC">
        <w:rPr>
          <w:rFonts w:ascii="Arial" w:hAnsi="Arial" w:cs="Arial"/>
          <w:sz w:val="24"/>
          <w:szCs w:val="24"/>
        </w:rPr>
        <w:t>the undertakings argues that it operates on a wide market whereas commi</w:t>
      </w:r>
      <w:r w:rsidR="00626176" w:rsidRPr="008911AC">
        <w:rPr>
          <w:rFonts w:ascii="Arial" w:hAnsi="Arial" w:cs="Arial"/>
          <w:sz w:val="24"/>
          <w:szCs w:val="24"/>
        </w:rPr>
        <w:t>ssion favours a narrow market making the undertaking a large operator in that relevant market (</w:t>
      </w:r>
      <w:r w:rsidR="00336D75" w:rsidRPr="008911AC">
        <w:rPr>
          <w:rFonts w:ascii="Arial" w:hAnsi="Arial" w:cs="Arial"/>
          <w:sz w:val="24"/>
          <w:szCs w:val="24"/>
        </w:rPr>
        <w:t>Chneiweiss, Goeteyn, Levy, Tardif, 2020</w:t>
      </w:r>
      <w:r w:rsidR="00626176" w:rsidRPr="008911AC">
        <w:rPr>
          <w:rFonts w:ascii="Arial" w:hAnsi="Arial" w:cs="Arial"/>
          <w:sz w:val="24"/>
          <w:szCs w:val="24"/>
        </w:rPr>
        <w:t xml:space="preserve">). </w:t>
      </w:r>
      <w:r w:rsidR="005E6ABE" w:rsidRPr="008911AC">
        <w:rPr>
          <w:rFonts w:ascii="Arial" w:hAnsi="Arial" w:cs="Arial"/>
          <w:sz w:val="24"/>
          <w:szCs w:val="24"/>
        </w:rPr>
        <w:t>This is the reason why the commission and the court of justice developed test to work out the relevant market</w:t>
      </w:r>
      <w:r w:rsidR="00F23F4E" w:rsidRPr="008911AC">
        <w:rPr>
          <w:rFonts w:ascii="Arial" w:hAnsi="Arial" w:cs="Arial"/>
          <w:sz w:val="24"/>
          <w:szCs w:val="24"/>
        </w:rPr>
        <w:t xml:space="preserve">. </w:t>
      </w:r>
      <w:r w:rsidR="00730DE6" w:rsidRPr="008911AC">
        <w:rPr>
          <w:rFonts w:ascii="Arial" w:hAnsi="Arial" w:cs="Arial"/>
          <w:sz w:val="24"/>
          <w:szCs w:val="24"/>
        </w:rPr>
        <w:t xml:space="preserve">The </w:t>
      </w:r>
      <w:r w:rsidR="00E94AA2" w:rsidRPr="008911AC">
        <w:rPr>
          <w:rFonts w:ascii="Arial" w:hAnsi="Arial" w:cs="Arial"/>
          <w:sz w:val="24"/>
          <w:szCs w:val="24"/>
        </w:rPr>
        <w:t>Commission</w:t>
      </w:r>
      <w:r w:rsidR="00730DE6" w:rsidRPr="008911AC">
        <w:rPr>
          <w:rFonts w:ascii="Arial" w:hAnsi="Arial" w:cs="Arial"/>
          <w:sz w:val="24"/>
          <w:szCs w:val="24"/>
        </w:rPr>
        <w:t xml:space="preserve"> Notice (1997) although not legally binding</w:t>
      </w:r>
      <w:r w:rsidR="00E93DE7" w:rsidRPr="008911AC">
        <w:rPr>
          <w:rFonts w:ascii="Arial" w:hAnsi="Arial" w:cs="Arial"/>
          <w:sz w:val="24"/>
          <w:szCs w:val="24"/>
        </w:rPr>
        <w:t xml:space="preserve">, often referred to as soft law. Have divided the relevant market into 2 main components. The first one being the Relevant product market (RPM) and the second being the relevant </w:t>
      </w:r>
      <w:r w:rsidR="00E94AA2" w:rsidRPr="008911AC">
        <w:rPr>
          <w:rFonts w:ascii="Arial" w:hAnsi="Arial" w:cs="Arial"/>
          <w:sz w:val="24"/>
          <w:szCs w:val="24"/>
        </w:rPr>
        <w:t>geographical</w:t>
      </w:r>
      <w:r w:rsidR="00E93DE7" w:rsidRPr="008911AC">
        <w:rPr>
          <w:rFonts w:ascii="Arial" w:hAnsi="Arial" w:cs="Arial"/>
          <w:sz w:val="24"/>
          <w:szCs w:val="24"/>
        </w:rPr>
        <w:t xml:space="preserve"> market (RGM)</w:t>
      </w:r>
      <w:r w:rsidR="00E94AA2" w:rsidRPr="008911AC">
        <w:rPr>
          <w:rFonts w:ascii="Arial" w:hAnsi="Arial" w:cs="Arial"/>
          <w:sz w:val="24"/>
          <w:szCs w:val="24"/>
        </w:rPr>
        <w:t xml:space="preserve">. </w:t>
      </w:r>
    </w:p>
    <w:p w14:paraId="16BAA191" w14:textId="5BF19A8B" w:rsidR="002472A4" w:rsidRPr="008911AC" w:rsidRDefault="00BD0646" w:rsidP="00550BED">
      <w:pPr>
        <w:rPr>
          <w:rFonts w:ascii="Arial" w:hAnsi="Arial" w:cs="Arial"/>
          <w:sz w:val="24"/>
          <w:szCs w:val="24"/>
        </w:rPr>
      </w:pPr>
      <w:r w:rsidRPr="008911AC">
        <w:rPr>
          <w:rFonts w:ascii="Arial" w:hAnsi="Arial" w:cs="Arial"/>
          <w:sz w:val="24"/>
          <w:szCs w:val="24"/>
        </w:rPr>
        <w:t xml:space="preserve">The </w:t>
      </w:r>
      <w:r w:rsidR="0012638A" w:rsidRPr="008911AC">
        <w:rPr>
          <w:rFonts w:ascii="Arial" w:hAnsi="Arial" w:cs="Arial"/>
          <w:sz w:val="24"/>
          <w:szCs w:val="24"/>
        </w:rPr>
        <w:t>relevant product market has two confirmed tes</w:t>
      </w:r>
      <w:r w:rsidR="00A446F4" w:rsidRPr="008911AC">
        <w:rPr>
          <w:rFonts w:ascii="Arial" w:hAnsi="Arial" w:cs="Arial"/>
          <w:sz w:val="24"/>
          <w:szCs w:val="24"/>
        </w:rPr>
        <w:t>t, one based on the demand substitutability and the other on the suppl</w:t>
      </w:r>
      <w:r w:rsidR="005427D7" w:rsidRPr="008911AC">
        <w:rPr>
          <w:rFonts w:ascii="Arial" w:hAnsi="Arial" w:cs="Arial"/>
          <w:sz w:val="24"/>
          <w:szCs w:val="24"/>
        </w:rPr>
        <w:t>y</w:t>
      </w:r>
      <w:r w:rsidR="00A446F4" w:rsidRPr="008911AC">
        <w:rPr>
          <w:rFonts w:ascii="Arial" w:hAnsi="Arial" w:cs="Arial"/>
          <w:sz w:val="24"/>
          <w:szCs w:val="24"/>
        </w:rPr>
        <w:t xml:space="preserve"> substitutability. </w:t>
      </w:r>
      <w:r w:rsidR="0057637B" w:rsidRPr="008911AC">
        <w:rPr>
          <w:rFonts w:ascii="Arial" w:hAnsi="Arial" w:cs="Arial"/>
          <w:sz w:val="24"/>
          <w:szCs w:val="24"/>
        </w:rPr>
        <w:t xml:space="preserve">The demand substitutability is based on whether the consumer would switch from the </w:t>
      </w:r>
      <w:r w:rsidR="006F7540" w:rsidRPr="008911AC">
        <w:rPr>
          <w:rFonts w:ascii="Arial" w:hAnsi="Arial" w:cs="Arial"/>
          <w:sz w:val="24"/>
          <w:szCs w:val="24"/>
        </w:rPr>
        <w:t>target</w:t>
      </w:r>
      <w:r w:rsidR="0057637B" w:rsidRPr="008911AC">
        <w:rPr>
          <w:rFonts w:ascii="Arial" w:hAnsi="Arial" w:cs="Arial"/>
          <w:sz w:val="24"/>
          <w:szCs w:val="24"/>
        </w:rPr>
        <w:t xml:space="preserve"> product </w:t>
      </w:r>
      <w:r w:rsidR="0044622D" w:rsidRPr="008911AC">
        <w:rPr>
          <w:rFonts w:ascii="Arial" w:hAnsi="Arial" w:cs="Arial"/>
          <w:sz w:val="24"/>
          <w:szCs w:val="24"/>
        </w:rPr>
        <w:t xml:space="preserve">to a different one; based on the increase in the price. If the consumer </w:t>
      </w:r>
      <w:r w:rsidR="00090590" w:rsidRPr="008911AC">
        <w:rPr>
          <w:rFonts w:ascii="Arial" w:hAnsi="Arial" w:cs="Arial"/>
          <w:sz w:val="24"/>
          <w:szCs w:val="24"/>
        </w:rPr>
        <w:t xml:space="preserve">switched it meant that the RPM is wider and </w:t>
      </w:r>
      <w:r w:rsidR="004E4C0C" w:rsidRPr="008911AC">
        <w:rPr>
          <w:rFonts w:ascii="Arial" w:hAnsi="Arial" w:cs="Arial"/>
          <w:sz w:val="24"/>
          <w:szCs w:val="24"/>
        </w:rPr>
        <w:t>consists</w:t>
      </w:r>
      <w:r w:rsidR="002472A4" w:rsidRPr="008911AC">
        <w:rPr>
          <w:rFonts w:ascii="Arial" w:hAnsi="Arial" w:cs="Arial"/>
          <w:sz w:val="24"/>
          <w:szCs w:val="24"/>
        </w:rPr>
        <w:t xml:space="preserve"> of the target product. The Commission Notice (1997) </w:t>
      </w:r>
      <w:r w:rsidR="00BE22C7" w:rsidRPr="008911AC">
        <w:rPr>
          <w:rFonts w:ascii="Arial" w:hAnsi="Arial" w:cs="Arial"/>
          <w:sz w:val="24"/>
          <w:szCs w:val="24"/>
        </w:rPr>
        <w:t xml:space="preserve">refers to the non-transitory increase in the price which can range from 5-10%. This is also known as the SSNIP test. </w:t>
      </w:r>
      <w:r w:rsidR="004E4C0C" w:rsidRPr="008911AC">
        <w:rPr>
          <w:rFonts w:ascii="Arial" w:hAnsi="Arial" w:cs="Arial"/>
          <w:sz w:val="24"/>
          <w:szCs w:val="24"/>
        </w:rPr>
        <w:t>(</w:t>
      </w:r>
      <w:r w:rsidR="001C6F6A" w:rsidRPr="008911AC">
        <w:rPr>
          <w:rFonts w:ascii="Arial" w:hAnsi="Arial" w:cs="Arial"/>
          <w:sz w:val="24"/>
          <w:szCs w:val="24"/>
        </w:rPr>
        <w:t>S</w:t>
      </w:r>
      <w:r w:rsidR="00A91417" w:rsidRPr="008911AC">
        <w:rPr>
          <w:rFonts w:ascii="Arial" w:hAnsi="Arial" w:cs="Arial"/>
          <w:sz w:val="24"/>
          <w:szCs w:val="24"/>
        </w:rPr>
        <w:t>orgard,</w:t>
      </w:r>
      <w:r w:rsidR="00F42988" w:rsidRPr="008911AC">
        <w:rPr>
          <w:rFonts w:ascii="Arial" w:hAnsi="Arial" w:cs="Arial"/>
          <w:sz w:val="24"/>
          <w:szCs w:val="24"/>
        </w:rPr>
        <w:t xml:space="preserve"> </w:t>
      </w:r>
      <w:r w:rsidR="00A91417" w:rsidRPr="008911AC">
        <w:rPr>
          <w:rFonts w:ascii="Arial" w:hAnsi="Arial" w:cs="Arial"/>
          <w:sz w:val="24"/>
          <w:szCs w:val="24"/>
        </w:rPr>
        <w:t>2008</w:t>
      </w:r>
      <w:r w:rsidR="004E4C0C" w:rsidRPr="008911AC">
        <w:rPr>
          <w:rFonts w:ascii="Arial" w:hAnsi="Arial" w:cs="Arial"/>
          <w:sz w:val="24"/>
          <w:szCs w:val="24"/>
        </w:rPr>
        <w:t>)</w:t>
      </w:r>
      <w:r w:rsidR="00342401" w:rsidRPr="008911AC">
        <w:rPr>
          <w:rFonts w:ascii="Arial" w:hAnsi="Arial" w:cs="Arial"/>
          <w:sz w:val="24"/>
          <w:szCs w:val="24"/>
        </w:rPr>
        <w:t xml:space="preserve"> this SSNIP test is then applied</w:t>
      </w:r>
      <w:r w:rsidR="00403919" w:rsidRPr="008911AC">
        <w:rPr>
          <w:rFonts w:ascii="Arial" w:hAnsi="Arial" w:cs="Arial"/>
          <w:sz w:val="24"/>
          <w:szCs w:val="24"/>
        </w:rPr>
        <w:t xml:space="preserve"> as relevant data, on the characteristics of the product, price</w:t>
      </w:r>
      <w:r w:rsidR="007E55F3" w:rsidRPr="008911AC">
        <w:rPr>
          <w:rFonts w:ascii="Arial" w:hAnsi="Arial" w:cs="Arial"/>
          <w:sz w:val="24"/>
          <w:szCs w:val="24"/>
        </w:rPr>
        <w:t>, how the product is used and how is perceived by the consumer.</w:t>
      </w:r>
      <w:r w:rsidR="009B1546" w:rsidRPr="008911AC">
        <w:rPr>
          <w:rFonts w:ascii="Arial" w:hAnsi="Arial" w:cs="Arial"/>
          <w:sz w:val="24"/>
          <w:szCs w:val="24"/>
        </w:rPr>
        <w:t xml:space="preserve"> This test was used in the United Brands case</w:t>
      </w:r>
      <w:r w:rsidR="00994DB8" w:rsidRPr="008911AC">
        <w:rPr>
          <w:rFonts w:ascii="Arial" w:hAnsi="Arial" w:cs="Arial"/>
          <w:sz w:val="24"/>
          <w:szCs w:val="24"/>
        </w:rPr>
        <w:t>. It was used in this case as they had engaged in highly abusive cond</w:t>
      </w:r>
      <w:r w:rsidR="00B168E3" w:rsidRPr="008911AC">
        <w:rPr>
          <w:rFonts w:ascii="Arial" w:hAnsi="Arial" w:cs="Arial"/>
          <w:sz w:val="24"/>
          <w:szCs w:val="24"/>
        </w:rPr>
        <w:t>uct and for the Art 102 to be effective. The market that they were operating in had to be measured</w:t>
      </w:r>
      <w:r w:rsidR="00837706" w:rsidRPr="008911AC">
        <w:rPr>
          <w:rFonts w:ascii="Arial" w:hAnsi="Arial" w:cs="Arial"/>
          <w:sz w:val="24"/>
          <w:szCs w:val="24"/>
        </w:rPr>
        <w:t xml:space="preserve"> (Evans,</w:t>
      </w:r>
      <w:r w:rsidR="00F42988" w:rsidRPr="008911AC">
        <w:rPr>
          <w:rFonts w:ascii="Arial" w:hAnsi="Arial" w:cs="Arial"/>
          <w:sz w:val="24"/>
          <w:szCs w:val="24"/>
        </w:rPr>
        <w:t xml:space="preserve"> </w:t>
      </w:r>
      <w:r w:rsidR="00837706" w:rsidRPr="008911AC">
        <w:rPr>
          <w:rFonts w:ascii="Arial" w:hAnsi="Arial" w:cs="Arial"/>
          <w:sz w:val="24"/>
          <w:szCs w:val="24"/>
        </w:rPr>
        <w:t>2011)</w:t>
      </w:r>
      <w:r w:rsidR="00B168E3" w:rsidRPr="008911AC">
        <w:rPr>
          <w:rFonts w:ascii="Arial" w:hAnsi="Arial" w:cs="Arial"/>
          <w:sz w:val="24"/>
          <w:szCs w:val="24"/>
        </w:rPr>
        <w:t xml:space="preserve">. </w:t>
      </w:r>
      <w:r w:rsidR="00D155D2" w:rsidRPr="008911AC">
        <w:rPr>
          <w:rFonts w:ascii="Arial" w:hAnsi="Arial" w:cs="Arial"/>
          <w:sz w:val="24"/>
          <w:szCs w:val="24"/>
        </w:rPr>
        <w:t xml:space="preserve">Supply substitutability is another test used to </w:t>
      </w:r>
      <w:r w:rsidR="005604E6" w:rsidRPr="008911AC">
        <w:rPr>
          <w:rFonts w:ascii="Arial" w:hAnsi="Arial" w:cs="Arial"/>
          <w:sz w:val="24"/>
          <w:szCs w:val="24"/>
        </w:rPr>
        <w:t>define</w:t>
      </w:r>
      <w:r w:rsidR="00D155D2" w:rsidRPr="008911AC">
        <w:rPr>
          <w:rFonts w:ascii="Arial" w:hAnsi="Arial" w:cs="Arial"/>
          <w:sz w:val="24"/>
          <w:szCs w:val="24"/>
        </w:rPr>
        <w:t xml:space="preserve"> the </w:t>
      </w:r>
      <w:r w:rsidR="00396740" w:rsidRPr="008911AC">
        <w:rPr>
          <w:rFonts w:ascii="Arial" w:hAnsi="Arial" w:cs="Arial"/>
          <w:sz w:val="24"/>
          <w:szCs w:val="24"/>
        </w:rPr>
        <w:t>RPM;</w:t>
      </w:r>
      <w:r w:rsidR="007B77BF" w:rsidRPr="008911AC">
        <w:rPr>
          <w:rFonts w:ascii="Arial" w:hAnsi="Arial" w:cs="Arial"/>
          <w:sz w:val="24"/>
          <w:szCs w:val="24"/>
        </w:rPr>
        <w:t xml:space="preserve"> this one </w:t>
      </w:r>
      <w:r w:rsidR="0063132C" w:rsidRPr="008911AC">
        <w:rPr>
          <w:rFonts w:ascii="Arial" w:hAnsi="Arial" w:cs="Arial"/>
          <w:sz w:val="24"/>
          <w:szCs w:val="24"/>
        </w:rPr>
        <w:t>sees</w:t>
      </w:r>
      <w:r w:rsidR="007B77BF" w:rsidRPr="008911AC">
        <w:rPr>
          <w:rFonts w:ascii="Arial" w:hAnsi="Arial" w:cs="Arial"/>
          <w:sz w:val="24"/>
          <w:szCs w:val="24"/>
        </w:rPr>
        <w:t xml:space="preserve"> where other </w:t>
      </w:r>
      <w:r w:rsidR="005604E6" w:rsidRPr="008911AC">
        <w:rPr>
          <w:rFonts w:ascii="Arial" w:hAnsi="Arial" w:cs="Arial"/>
          <w:sz w:val="24"/>
          <w:szCs w:val="24"/>
        </w:rPr>
        <w:t xml:space="preserve">producer </w:t>
      </w:r>
      <w:r w:rsidR="007B77BF" w:rsidRPr="008911AC">
        <w:rPr>
          <w:rFonts w:ascii="Arial" w:hAnsi="Arial" w:cs="Arial"/>
          <w:sz w:val="24"/>
          <w:szCs w:val="24"/>
        </w:rPr>
        <w:t xml:space="preserve">could switch to production of the target product. </w:t>
      </w:r>
      <w:r w:rsidR="005604E6" w:rsidRPr="008911AC">
        <w:rPr>
          <w:rFonts w:ascii="Arial" w:hAnsi="Arial" w:cs="Arial"/>
          <w:sz w:val="24"/>
          <w:szCs w:val="24"/>
        </w:rPr>
        <w:t xml:space="preserve">If they do make the switch the RPM will consist of </w:t>
      </w:r>
      <w:r w:rsidR="005604E6" w:rsidRPr="008911AC">
        <w:rPr>
          <w:rFonts w:ascii="Arial" w:hAnsi="Arial" w:cs="Arial"/>
          <w:sz w:val="24"/>
          <w:szCs w:val="24"/>
        </w:rPr>
        <w:lastRenderedPageBreak/>
        <w:t xml:space="preserve">both types of product. </w:t>
      </w:r>
      <w:r w:rsidR="007E5F77" w:rsidRPr="008911AC">
        <w:rPr>
          <w:rFonts w:ascii="Arial" w:hAnsi="Arial" w:cs="Arial"/>
          <w:sz w:val="24"/>
          <w:szCs w:val="24"/>
        </w:rPr>
        <w:t>The commission notice (1997) uses paper production as an example</w:t>
      </w:r>
      <w:r w:rsidR="00F17960" w:rsidRPr="008911AC">
        <w:rPr>
          <w:rFonts w:ascii="Arial" w:hAnsi="Arial" w:cs="Arial"/>
          <w:sz w:val="24"/>
          <w:szCs w:val="24"/>
        </w:rPr>
        <w:t xml:space="preserve">, </w:t>
      </w:r>
      <w:r w:rsidR="00B120F8" w:rsidRPr="008911AC">
        <w:rPr>
          <w:rFonts w:ascii="Arial" w:hAnsi="Arial" w:cs="Arial"/>
          <w:sz w:val="24"/>
          <w:szCs w:val="24"/>
        </w:rPr>
        <w:t xml:space="preserve">this is because paper production can easily be switched. As a </w:t>
      </w:r>
      <w:r w:rsidR="00E02534" w:rsidRPr="008911AC">
        <w:rPr>
          <w:rFonts w:ascii="Arial" w:hAnsi="Arial" w:cs="Arial"/>
          <w:sz w:val="24"/>
          <w:szCs w:val="24"/>
        </w:rPr>
        <w:t>result,</w:t>
      </w:r>
      <w:r w:rsidR="00B120F8" w:rsidRPr="008911AC">
        <w:rPr>
          <w:rFonts w:ascii="Arial" w:hAnsi="Arial" w:cs="Arial"/>
          <w:sz w:val="24"/>
          <w:szCs w:val="24"/>
        </w:rPr>
        <w:t xml:space="preserve"> the RPM will be</w:t>
      </w:r>
      <w:r w:rsidR="00874649" w:rsidRPr="008911AC">
        <w:rPr>
          <w:rFonts w:ascii="Arial" w:hAnsi="Arial" w:cs="Arial"/>
          <w:sz w:val="24"/>
          <w:szCs w:val="24"/>
        </w:rPr>
        <w:t xml:space="preserve"> based around the general market rather than based on the grades of paper</w:t>
      </w:r>
      <w:r w:rsidR="005427D7" w:rsidRPr="008911AC">
        <w:rPr>
          <w:rFonts w:ascii="Arial" w:hAnsi="Arial" w:cs="Arial"/>
          <w:sz w:val="24"/>
          <w:szCs w:val="24"/>
        </w:rPr>
        <w:t xml:space="preserve"> (</w:t>
      </w:r>
      <w:r w:rsidR="002A10B1" w:rsidRPr="008911AC">
        <w:rPr>
          <w:rFonts w:ascii="Arial" w:hAnsi="Arial" w:cs="Arial"/>
          <w:sz w:val="24"/>
          <w:szCs w:val="24"/>
        </w:rPr>
        <w:t xml:space="preserve">European Commission,2020) </w:t>
      </w:r>
    </w:p>
    <w:p w14:paraId="1A652816" w14:textId="03A2D6A1" w:rsidR="009C7CD3" w:rsidRPr="008911AC" w:rsidRDefault="00EA0007" w:rsidP="00550BED">
      <w:pPr>
        <w:rPr>
          <w:rFonts w:ascii="Arial" w:hAnsi="Arial" w:cs="Arial"/>
          <w:sz w:val="24"/>
          <w:szCs w:val="24"/>
        </w:rPr>
      </w:pPr>
      <w:r w:rsidRPr="008911AC">
        <w:rPr>
          <w:rFonts w:ascii="Arial" w:hAnsi="Arial" w:cs="Arial"/>
          <w:sz w:val="24"/>
          <w:szCs w:val="24"/>
        </w:rPr>
        <w:t xml:space="preserve">The relevant geographical market </w:t>
      </w:r>
      <w:r w:rsidR="00EE6F60" w:rsidRPr="008911AC">
        <w:rPr>
          <w:rFonts w:ascii="Arial" w:hAnsi="Arial" w:cs="Arial"/>
          <w:sz w:val="24"/>
          <w:szCs w:val="24"/>
        </w:rPr>
        <w:t>is also a major part in the</w:t>
      </w:r>
      <w:r w:rsidR="008C6E28" w:rsidRPr="008911AC">
        <w:rPr>
          <w:rFonts w:ascii="Arial" w:hAnsi="Arial" w:cs="Arial"/>
          <w:sz w:val="24"/>
          <w:szCs w:val="24"/>
        </w:rPr>
        <w:t xml:space="preserve"> abuse of dominant position. In article 102 it states that the undertaking must be dominant within the common market or at least a substantial part of it. If this is not the case it become a matter of the national law, if is it the case then the conduct is an issue for the EU law (</w:t>
      </w:r>
      <w:r w:rsidR="002A10B1" w:rsidRPr="008911AC">
        <w:rPr>
          <w:rFonts w:ascii="Arial" w:hAnsi="Arial" w:cs="Arial"/>
          <w:sz w:val="24"/>
          <w:szCs w:val="24"/>
        </w:rPr>
        <w:t>Lorenz, 2013</w:t>
      </w:r>
      <w:r w:rsidR="008C6E28" w:rsidRPr="008911AC">
        <w:rPr>
          <w:rFonts w:ascii="Arial" w:hAnsi="Arial" w:cs="Arial"/>
          <w:sz w:val="24"/>
          <w:szCs w:val="24"/>
        </w:rPr>
        <w:t xml:space="preserve">).  An undertakings geographical market can be narrowed, and dominance will be assessed in a narrow context if the undertaking is only operating in certain member states. The RGM has two main components, the first one being the area where the suppliers can sell their products and the second being the consumer access. The area where the supplier </w:t>
      </w:r>
      <w:r w:rsidR="009C7CD3" w:rsidRPr="008911AC">
        <w:rPr>
          <w:rFonts w:ascii="Arial" w:hAnsi="Arial" w:cs="Arial"/>
          <w:sz w:val="24"/>
          <w:szCs w:val="24"/>
        </w:rPr>
        <w:t>c</w:t>
      </w:r>
      <w:r w:rsidR="008C6E28" w:rsidRPr="008911AC">
        <w:rPr>
          <w:rFonts w:ascii="Arial" w:hAnsi="Arial" w:cs="Arial"/>
          <w:sz w:val="24"/>
          <w:szCs w:val="24"/>
        </w:rPr>
        <w:t>an sell their products is defined in the commission notice (1997</w:t>
      </w:r>
      <w:r w:rsidR="009C7CD3" w:rsidRPr="008911AC">
        <w:rPr>
          <w:rFonts w:ascii="Arial" w:hAnsi="Arial" w:cs="Arial"/>
          <w:sz w:val="24"/>
          <w:szCs w:val="24"/>
        </w:rPr>
        <w:t xml:space="preserve">) </w:t>
      </w:r>
      <w:r w:rsidR="008C6E28" w:rsidRPr="008911AC">
        <w:rPr>
          <w:rFonts w:ascii="Arial" w:hAnsi="Arial" w:cs="Arial"/>
          <w:sz w:val="24"/>
          <w:szCs w:val="24"/>
        </w:rPr>
        <w:t xml:space="preserve">as the cost and feasibility </w:t>
      </w:r>
      <w:r w:rsidR="009C7CD3" w:rsidRPr="008911AC">
        <w:rPr>
          <w:rFonts w:ascii="Arial" w:hAnsi="Arial" w:cs="Arial"/>
          <w:sz w:val="24"/>
          <w:szCs w:val="24"/>
        </w:rPr>
        <w:t>of the transport</w:t>
      </w:r>
      <w:r w:rsidR="008C6E28" w:rsidRPr="008911AC">
        <w:rPr>
          <w:rFonts w:ascii="Arial" w:hAnsi="Arial" w:cs="Arial"/>
          <w:sz w:val="24"/>
          <w:szCs w:val="24"/>
        </w:rPr>
        <w:t xml:space="preserve">. This means that if the transport cost </w:t>
      </w:r>
      <w:r w:rsidR="009C7CD3" w:rsidRPr="008911AC">
        <w:rPr>
          <w:rFonts w:ascii="Arial" w:hAnsi="Arial" w:cs="Arial"/>
          <w:sz w:val="24"/>
          <w:szCs w:val="24"/>
        </w:rPr>
        <w:t>is</w:t>
      </w:r>
      <w:r w:rsidR="008C6E28" w:rsidRPr="008911AC">
        <w:rPr>
          <w:rFonts w:ascii="Arial" w:hAnsi="Arial" w:cs="Arial"/>
          <w:sz w:val="24"/>
          <w:szCs w:val="24"/>
        </w:rPr>
        <w:t xml:space="preserve"> low, they make a profit and transport is indeed possible then the RGM can be classed as the while if the EU</w:t>
      </w:r>
      <w:r w:rsidR="009C7CD3" w:rsidRPr="008911AC">
        <w:rPr>
          <w:rFonts w:ascii="Arial" w:hAnsi="Arial" w:cs="Arial"/>
          <w:sz w:val="24"/>
          <w:szCs w:val="24"/>
        </w:rPr>
        <w:t xml:space="preserve"> (Mondaq,2020)</w:t>
      </w:r>
      <w:r w:rsidR="008C6E28" w:rsidRPr="008911AC">
        <w:rPr>
          <w:rFonts w:ascii="Arial" w:hAnsi="Arial" w:cs="Arial"/>
          <w:sz w:val="24"/>
          <w:szCs w:val="24"/>
        </w:rPr>
        <w:t xml:space="preserve">. </w:t>
      </w:r>
      <w:r w:rsidR="009C7CD3" w:rsidRPr="008911AC">
        <w:rPr>
          <w:rFonts w:ascii="Arial" w:hAnsi="Arial" w:cs="Arial"/>
          <w:sz w:val="24"/>
          <w:szCs w:val="24"/>
        </w:rPr>
        <w:t xml:space="preserve">The Hilti v Commission (1991) is a good example that demonstrates this, this is because it shows that RGM may be limited due to legal barriers. The relevant temporal market (RTM) is also relevant to </w:t>
      </w:r>
      <w:r w:rsidR="00DE3C69" w:rsidRPr="008911AC">
        <w:rPr>
          <w:rFonts w:ascii="Arial" w:hAnsi="Arial" w:cs="Arial"/>
          <w:sz w:val="24"/>
          <w:szCs w:val="24"/>
        </w:rPr>
        <w:t>the overall evaluation of the relevant market. This is because when the market uses certain time period such as certain season because there is more demand for certain things at certain times of the year (</w:t>
      </w:r>
      <w:r w:rsidR="00250A6B" w:rsidRPr="008911AC">
        <w:rPr>
          <w:rFonts w:ascii="Arial" w:hAnsi="Arial" w:cs="Arial"/>
          <w:sz w:val="24"/>
          <w:szCs w:val="24"/>
        </w:rPr>
        <w:t>Gerasymenko,2018</w:t>
      </w:r>
      <w:r w:rsidR="00DE3C69" w:rsidRPr="008911AC">
        <w:rPr>
          <w:rFonts w:ascii="Arial" w:hAnsi="Arial" w:cs="Arial"/>
          <w:sz w:val="24"/>
          <w:szCs w:val="24"/>
        </w:rPr>
        <w:t xml:space="preserve">). </w:t>
      </w:r>
    </w:p>
    <w:p w14:paraId="62EE4B70" w14:textId="2CDDA224" w:rsidR="00DE3C69" w:rsidRPr="008911AC" w:rsidRDefault="00DE3C69" w:rsidP="00550BED">
      <w:pPr>
        <w:rPr>
          <w:rFonts w:ascii="Arial" w:hAnsi="Arial" w:cs="Arial"/>
          <w:sz w:val="24"/>
          <w:szCs w:val="24"/>
        </w:rPr>
      </w:pPr>
      <w:r w:rsidRPr="008911AC">
        <w:rPr>
          <w:rFonts w:ascii="Arial" w:hAnsi="Arial" w:cs="Arial"/>
          <w:sz w:val="24"/>
          <w:szCs w:val="24"/>
        </w:rPr>
        <w:t>To establish whether abuse of the dominant position occurred, the Art 102 TFEU provided a non-exhaustive list of abusive conduct that may occur. This states things such as any conduct that restricts competition will be consisted as abusive. This was illustrated in Hoffman La Roche (1979). In the cases of commission guidance paper on exclusionary abuse (2009) it regards abusive conduct as being either exploitative or exclusionary (</w:t>
      </w:r>
      <w:r w:rsidR="00250A6B" w:rsidRPr="008911AC">
        <w:rPr>
          <w:rFonts w:ascii="Arial" w:hAnsi="Arial" w:cs="Arial"/>
          <w:sz w:val="24"/>
          <w:szCs w:val="24"/>
        </w:rPr>
        <w:t>Cambridge University Press,2013</w:t>
      </w:r>
      <w:r w:rsidRPr="008911AC">
        <w:rPr>
          <w:rFonts w:ascii="Arial" w:hAnsi="Arial" w:cs="Arial"/>
          <w:sz w:val="24"/>
          <w:szCs w:val="24"/>
        </w:rPr>
        <w:t xml:space="preserve">). The Art 102 and </w:t>
      </w:r>
      <w:r w:rsidR="00250A6B" w:rsidRPr="008911AC">
        <w:rPr>
          <w:rFonts w:ascii="Arial" w:hAnsi="Arial" w:cs="Arial"/>
          <w:sz w:val="24"/>
          <w:szCs w:val="24"/>
        </w:rPr>
        <w:t>1</w:t>
      </w:r>
      <w:r w:rsidRPr="008911AC">
        <w:rPr>
          <w:rFonts w:ascii="Arial" w:hAnsi="Arial" w:cs="Arial"/>
          <w:sz w:val="24"/>
          <w:szCs w:val="24"/>
        </w:rPr>
        <w:t xml:space="preserve">01 TFEU was put in pace as a form of protection for member state. It was put in place to ensure that trade was fair and that </w:t>
      </w:r>
      <w:r w:rsidR="00250A6B" w:rsidRPr="008911AC">
        <w:rPr>
          <w:rFonts w:ascii="Arial" w:hAnsi="Arial" w:cs="Arial"/>
          <w:sz w:val="24"/>
          <w:szCs w:val="24"/>
        </w:rPr>
        <w:t xml:space="preserve">someone </w:t>
      </w:r>
      <w:r w:rsidRPr="008911AC">
        <w:rPr>
          <w:rFonts w:ascii="Arial" w:hAnsi="Arial" w:cs="Arial"/>
          <w:sz w:val="24"/>
          <w:szCs w:val="24"/>
        </w:rPr>
        <w:t xml:space="preserve">in a dominant position could not abuse their power by increasing prices </w:t>
      </w:r>
      <w:r w:rsidR="00250A6B" w:rsidRPr="008911AC">
        <w:rPr>
          <w:rFonts w:ascii="Arial" w:hAnsi="Arial" w:cs="Arial"/>
          <w:sz w:val="24"/>
          <w:szCs w:val="24"/>
        </w:rPr>
        <w:t>that would not be affordable to other member states</w:t>
      </w:r>
      <w:r w:rsidR="007B7989" w:rsidRPr="008911AC">
        <w:rPr>
          <w:rFonts w:ascii="Arial" w:hAnsi="Arial" w:cs="Arial"/>
          <w:sz w:val="24"/>
          <w:szCs w:val="24"/>
        </w:rPr>
        <w:t xml:space="preserve"> </w:t>
      </w:r>
      <w:r w:rsidR="002A10B1" w:rsidRPr="008911AC">
        <w:rPr>
          <w:rFonts w:ascii="Arial" w:hAnsi="Arial" w:cs="Arial"/>
          <w:sz w:val="24"/>
          <w:szCs w:val="24"/>
        </w:rPr>
        <w:t xml:space="preserve">and the citizens </w:t>
      </w:r>
      <w:r w:rsidR="007B7989" w:rsidRPr="008911AC">
        <w:rPr>
          <w:rFonts w:ascii="Arial" w:hAnsi="Arial" w:cs="Arial"/>
          <w:sz w:val="24"/>
          <w:szCs w:val="24"/>
        </w:rPr>
        <w:t>(European Commision,2012)</w:t>
      </w:r>
      <w:r w:rsidR="00250A6B" w:rsidRPr="008911AC">
        <w:rPr>
          <w:rFonts w:ascii="Arial" w:hAnsi="Arial" w:cs="Arial"/>
          <w:sz w:val="24"/>
          <w:szCs w:val="24"/>
        </w:rPr>
        <w:t xml:space="preserve"> The article 101 of TFEU is also important in this case because it also aims to protect people. It prohibits any agreements between member states that could disrupt the free competition within the relevant market (Legislation.gov, 2021). </w:t>
      </w:r>
    </w:p>
    <w:p w14:paraId="4DA20B0E" w14:textId="0A6EF8B4" w:rsidR="002A10B1" w:rsidRPr="008911AC" w:rsidRDefault="002A10B1" w:rsidP="00550BED">
      <w:pPr>
        <w:rPr>
          <w:rFonts w:ascii="Arial" w:hAnsi="Arial" w:cs="Arial"/>
          <w:sz w:val="24"/>
          <w:szCs w:val="24"/>
        </w:rPr>
      </w:pPr>
      <w:r w:rsidRPr="008911AC">
        <w:rPr>
          <w:rFonts w:ascii="Arial" w:hAnsi="Arial" w:cs="Arial"/>
          <w:sz w:val="24"/>
          <w:szCs w:val="24"/>
        </w:rPr>
        <w:t>To conclude, there are many articles and act that have been put in place to make the relevant market successful. The European union have united countries together</w:t>
      </w:r>
      <w:r w:rsidR="008911AC" w:rsidRPr="008911AC">
        <w:rPr>
          <w:rFonts w:ascii="Arial" w:hAnsi="Arial" w:cs="Arial"/>
          <w:sz w:val="24"/>
          <w:szCs w:val="24"/>
        </w:rPr>
        <w:t xml:space="preserve">, because of this there is a good fair trade occurring between these </w:t>
      </w:r>
      <w:proofErr w:type="gramStart"/>
      <w:r w:rsidR="008911AC" w:rsidRPr="008911AC">
        <w:rPr>
          <w:rFonts w:ascii="Arial" w:hAnsi="Arial" w:cs="Arial"/>
          <w:sz w:val="24"/>
          <w:szCs w:val="24"/>
        </w:rPr>
        <w:t>members</w:t>
      </w:r>
      <w:proofErr w:type="gramEnd"/>
      <w:r w:rsidR="008911AC" w:rsidRPr="008911AC">
        <w:rPr>
          <w:rFonts w:ascii="Arial" w:hAnsi="Arial" w:cs="Arial"/>
          <w:sz w:val="24"/>
          <w:szCs w:val="24"/>
        </w:rPr>
        <w:t xml:space="preserve"> state. It provides many consumers with benefits that they would not have normally receive if not for the European market. </w:t>
      </w:r>
    </w:p>
    <w:p w14:paraId="2A1E17EB" w14:textId="4CB0DE0E" w:rsidR="00550BED" w:rsidRPr="008911AC" w:rsidRDefault="000C42F2" w:rsidP="00550BED">
      <w:pPr>
        <w:rPr>
          <w:rFonts w:ascii="Arial" w:hAnsi="Arial" w:cs="Arial"/>
          <w:b/>
          <w:bCs/>
          <w:sz w:val="24"/>
          <w:szCs w:val="24"/>
          <w:u w:val="single"/>
        </w:rPr>
      </w:pPr>
      <w:r w:rsidRPr="008911AC">
        <w:rPr>
          <w:rFonts w:ascii="Arial" w:hAnsi="Arial" w:cs="Arial"/>
          <w:b/>
          <w:bCs/>
          <w:sz w:val="24"/>
          <w:szCs w:val="24"/>
          <w:u w:val="single"/>
        </w:rPr>
        <w:t>Reference</w:t>
      </w:r>
    </w:p>
    <w:p w14:paraId="121C44D5" w14:textId="56E5255C" w:rsidR="00250A6B" w:rsidRPr="008911AC" w:rsidRDefault="00250A6B" w:rsidP="00550BED">
      <w:pPr>
        <w:rPr>
          <w:rFonts w:ascii="Arial" w:hAnsi="Arial" w:cs="Arial"/>
          <w:sz w:val="24"/>
          <w:szCs w:val="24"/>
        </w:rPr>
      </w:pPr>
      <w:r w:rsidRPr="008911AC">
        <w:rPr>
          <w:rFonts w:ascii="Arial" w:hAnsi="Arial" w:cs="Arial"/>
          <w:sz w:val="24"/>
          <w:szCs w:val="24"/>
        </w:rPr>
        <w:t xml:space="preserve">Cambridge University Press (2013) Article 103 TFEU- Abuse of a dominant position. Available at URL </w:t>
      </w:r>
      <w:hyperlink r:id="rId6" w:history="1">
        <w:r w:rsidRPr="008911AC">
          <w:rPr>
            <w:rStyle w:val="Hyperlink"/>
            <w:rFonts w:ascii="Arial" w:hAnsi="Arial" w:cs="Arial"/>
            <w:sz w:val="24"/>
            <w:szCs w:val="24"/>
          </w:rPr>
          <w:t>https://www.cambridge.org/core/books/an-introduction-to-eu-</w:t>
        </w:r>
        <w:r w:rsidRPr="008911AC">
          <w:rPr>
            <w:rStyle w:val="Hyperlink"/>
            <w:rFonts w:ascii="Arial" w:hAnsi="Arial" w:cs="Arial"/>
            <w:sz w:val="24"/>
            <w:szCs w:val="24"/>
          </w:rPr>
          <w:lastRenderedPageBreak/>
          <w:t>competition-law/article-102-tfeu-abuse-of-a-dominant-position/FB90CF417C50B1ED22D7808F5E24EBE2</w:t>
        </w:r>
      </w:hyperlink>
      <w:r w:rsidRPr="008911AC">
        <w:rPr>
          <w:rFonts w:ascii="Arial" w:hAnsi="Arial" w:cs="Arial"/>
          <w:sz w:val="24"/>
          <w:szCs w:val="24"/>
        </w:rPr>
        <w:t xml:space="preserve"> [Accessed;27th April 2021]</w:t>
      </w:r>
    </w:p>
    <w:p w14:paraId="2FD72605" w14:textId="3F2E2484" w:rsidR="00336D75" w:rsidRPr="008911AC" w:rsidRDefault="00336D75" w:rsidP="00550BED">
      <w:pPr>
        <w:rPr>
          <w:rFonts w:ascii="Arial" w:hAnsi="Arial" w:cs="Arial"/>
          <w:sz w:val="24"/>
          <w:szCs w:val="24"/>
        </w:rPr>
      </w:pPr>
      <w:r w:rsidRPr="008911AC">
        <w:rPr>
          <w:rFonts w:ascii="Arial" w:hAnsi="Arial" w:cs="Arial"/>
          <w:sz w:val="24"/>
          <w:szCs w:val="24"/>
        </w:rPr>
        <w:t xml:space="preserve">Collins (2021) Dominant position. Available at URL </w:t>
      </w:r>
      <w:hyperlink r:id="rId7" w:history="1">
        <w:r w:rsidRPr="008911AC">
          <w:rPr>
            <w:rStyle w:val="Hyperlink"/>
            <w:rFonts w:ascii="Arial" w:hAnsi="Arial" w:cs="Arial"/>
            <w:sz w:val="24"/>
            <w:szCs w:val="24"/>
          </w:rPr>
          <w:t>https</w:t>
        </w:r>
        <w:r w:rsidRPr="008911AC">
          <w:rPr>
            <w:rStyle w:val="Hyperlink"/>
            <w:rFonts w:ascii="Arial" w:hAnsi="Arial" w:cs="Arial"/>
            <w:sz w:val="24"/>
            <w:szCs w:val="24"/>
          </w:rPr>
          <w:t>://www.collinsdictionary.com/dictionary/english/dominant-position</w:t>
        </w:r>
      </w:hyperlink>
      <w:r w:rsidRPr="008911AC">
        <w:rPr>
          <w:rFonts w:ascii="Arial" w:hAnsi="Arial" w:cs="Arial"/>
          <w:sz w:val="24"/>
          <w:szCs w:val="24"/>
        </w:rPr>
        <w:t xml:space="preserve"> [Accessed; 3 May 2021]</w:t>
      </w:r>
    </w:p>
    <w:p w14:paraId="683BB737" w14:textId="7508FE4D" w:rsidR="00336D75" w:rsidRPr="008911AC" w:rsidRDefault="00336D75" w:rsidP="00550BED">
      <w:pPr>
        <w:rPr>
          <w:rFonts w:ascii="Arial" w:hAnsi="Arial" w:cs="Arial"/>
          <w:sz w:val="24"/>
          <w:szCs w:val="24"/>
        </w:rPr>
      </w:pPr>
      <w:r w:rsidRPr="008911AC">
        <w:rPr>
          <w:rFonts w:ascii="Arial" w:hAnsi="Arial" w:cs="Arial"/>
          <w:sz w:val="24"/>
          <w:szCs w:val="24"/>
        </w:rPr>
        <w:t>Chneiweiss, L</w:t>
      </w:r>
      <w:r w:rsidR="005427D7" w:rsidRPr="008911AC">
        <w:rPr>
          <w:rFonts w:ascii="Arial" w:hAnsi="Arial" w:cs="Arial"/>
          <w:sz w:val="24"/>
          <w:szCs w:val="24"/>
        </w:rPr>
        <w:t xml:space="preserve">. Goeteyn, G. Levy, M. and Tardif, N (2020) towards a new definition of `relevant market` in competition law? Available at URL </w:t>
      </w:r>
      <w:hyperlink r:id="rId8" w:history="1">
        <w:r w:rsidR="005427D7" w:rsidRPr="008911AC">
          <w:rPr>
            <w:rStyle w:val="Hyperlink"/>
            <w:rFonts w:ascii="Arial" w:hAnsi="Arial" w:cs="Arial"/>
            <w:sz w:val="24"/>
            <w:szCs w:val="24"/>
          </w:rPr>
          <w:t>https</w:t>
        </w:r>
        <w:r w:rsidR="005427D7" w:rsidRPr="008911AC">
          <w:rPr>
            <w:rStyle w:val="Hyperlink"/>
            <w:rFonts w:ascii="Arial" w:hAnsi="Arial" w:cs="Arial"/>
            <w:sz w:val="24"/>
            <w:szCs w:val="24"/>
          </w:rPr>
          <w:t>://www.antitrustandcompetitionreport.com/2020/07/other-antitrust-and-competition/towards-a-new-definition-of-relevant-market-in-competition-law/</w:t>
        </w:r>
      </w:hyperlink>
      <w:r w:rsidR="005427D7" w:rsidRPr="008911AC">
        <w:rPr>
          <w:rFonts w:ascii="Arial" w:hAnsi="Arial" w:cs="Arial"/>
          <w:sz w:val="24"/>
          <w:szCs w:val="24"/>
        </w:rPr>
        <w:t xml:space="preserve"> [Accessed;3</w:t>
      </w:r>
      <w:r w:rsidR="005427D7" w:rsidRPr="008911AC">
        <w:rPr>
          <w:rFonts w:ascii="Arial" w:hAnsi="Arial" w:cs="Arial"/>
          <w:sz w:val="24"/>
          <w:szCs w:val="24"/>
          <w:vertAlign w:val="superscript"/>
        </w:rPr>
        <w:t>rd</w:t>
      </w:r>
      <w:r w:rsidR="005427D7" w:rsidRPr="008911AC">
        <w:rPr>
          <w:rFonts w:ascii="Arial" w:hAnsi="Arial" w:cs="Arial"/>
          <w:sz w:val="24"/>
          <w:szCs w:val="24"/>
        </w:rPr>
        <w:t xml:space="preserve"> May 2021]</w:t>
      </w:r>
    </w:p>
    <w:p w14:paraId="51A233A6" w14:textId="59729B9F" w:rsidR="00526C97" w:rsidRPr="008911AC" w:rsidRDefault="00837706" w:rsidP="00550BED">
      <w:pPr>
        <w:rPr>
          <w:rFonts w:ascii="Arial" w:hAnsi="Arial" w:cs="Arial"/>
          <w:sz w:val="24"/>
          <w:szCs w:val="24"/>
        </w:rPr>
      </w:pPr>
      <w:r w:rsidRPr="008911AC">
        <w:rPr>
          <w:rFonts w:ascii="Arial" w:hAnsi="Arial" w:cs="Arial"/>
          <w:sz w:val="24"/>
          <w:szCs w:val="24"/>
        </w:rPr>
        <w:t>Evans, D</w:t>
      </w:r>
      <w:r w:rsidR="00C2010F" w:rsidRPr="008911AC">
        <w:rPr>
          <w:rFonts w:ascii="Arial" w:hAnsi="Arial" w:cs="Arial"/>
          <w:sz w:val="24"/>
          <w:szCs w:val="24"/>
        </w:rPr>
        <w:t xml:space="preserve"> (2011) Hypothetical Monopoly Test. Available at URL </w:t>
      </w:r>
      <w:hyperlink r:id="rId9" w:history="1">
        <w:r w:rsidR="00FF4047" w:rsidRPr="008911AC">
          <w:rPr>
            <w:rStyle w:val="Hyperlink"/>
            <w:rFonts w:ascii="Arial" w:hAnsi="Arial" w:cs="Arial"/>
            <w:sz w:val="24"/>
            <w:szCs w:val="24"/>
          </w:rPr>
          <w:t>https://www.youtube.com/watch?v=5VE6FaCILaU</w:t>
        </w:r>
      </w:hyperlink>
      <w:r w:rsidR="00FF4047" w:rsidRPr="008911AC">
        <w:rPr>
          <w:rFonts w:ascii="Arial" w:hAnsi="Arial" w:cs="Arial"/>
          <w:sz w:val="24"/>
          <w:szCs w:val="24"/>
        </w:rPr>
        <w:t xml:space="preserve"> </w:t>
      </w:r>
      <w:r w:rsidR="00526C97" w:rsidRPr="008911AC">
        <w:rPr>
          <w:rFonts w:ascii="Arial" w:hAnsi="Arial" w:cs="Arial"/>
          <w:sz w:val="24"/>
          <w:szCs w:val="24"/>
        </w:rPr>
        <w:t>[accessed; 26</w:t>
      </w:r>
      <w:r w:rsidR="00526C97" w:rsidRPr="008911AC">
        <w:rPr>
          <w:rFonts w:ascii="Arial" w:hAnsi="Arial" w:cs="Arial"/>
          <w:sz w:val="24"/>
          <w:szCs w:val="24"/>
          <w:vertAlign w:val="superscript"/>
        </w:rPr>
        <w:t>th</w:t>
      </w:r>
      <w:r w:rsidR="00526C97" w:rsidRPr="008911AC">
        <w:rPr>
          <w:rFonts w:ascii="Arial" w:hAnsi="Arial" w:cs="Arial"/>
          <w:sz w:val="24"/>
          <w:szCs w:val="24"/>
        </w:rPr>
        <w:t xml:space="preserve"> April 2021]</w:t>
      </w:r>
    </w:p>
    <w:p w14:paraId="1CC90419" w14:textId="5EC2B012" w:rsidR="007B7989" w:rsidRPr="008911AC" w:rsidRDefault="007B7989" w:rsidP="00550BED">
      <w:pPr>
        <w:rPr>
          <w:rFonts w:ascii="Arial" w:hAnsi="Arial" w:cs="Arial"/>
          <w:sz w:val="24"/>
          <w:szCs w:val="24"/>
        </w:rPr>
      </w:pPr>
      <w:r w:rsidRPr="008911AC">
        <w:rPr>
          <w:rFonts w:ascii="Arial" w:hAnsi="Arial" w:cs="Arial"/>
          <w:sz w:val="24"/>
          <w:szCs w:val="24"/>
        </w:rPr>
        <w:t xml:space="preserve">European Commission (2012) Abuse of dominant position (Article 102 TFEU) available at URL </w:t>
      </w:r>
      <w:hyperlink r:id="rId10" w:history="1">
        <w:r w:rsidRPr="008911AC">
          <w:rPr>
            <w:rStyle w:val="Hyperlink"/>
            <w:rFonts w:ascii="Arial" w:hAnsi="Arial" w:cs="Arial"/>
            <w:sz w:val="24"/>
            <w:szCs w:val="24"/>
          </w:rPr>
          <w:t>https://ec.europa.eu/competition/antitrust/art82/</w:t>
        </w:r>
      </w:hyperlink>
      <w:r w:rsidRPr="008911AC">
        <w:rPr>
          <w:rFonts w:ascii="Arial" w:hAnsi="Arial" w:cs="Arial"/>
          <w:sz w:val="24"/>
          <w:szCs w:val="24"/>
        </w:rPr>
        <w:t xml:space="preserve"> [Accessed; 28</w:t>
      </w:r>
      <w:r w:rsidRPr="008911AC">
        <w:rPr>
          <w:rFonts w:ascii="Arial" w:hAnsi="Arial" w:cs="Arial"/>
          <w:sz w:val="24"/>
          <w:szCs w:val="24"/>
          <w:vertAlign w:val="superscript"/>
        </w:rPr>
        <w:t>th</w:t>
      </w:r>
      <w:r w:rsidRPr="008911AC">
        <w:rPr>
          <w:rFonts w:ascii="Arial" w:hAnsi="Arial" w:cs="Arial"/>
          <w:sz w:val="24"/>
          <w:szCs w:val="24"/>
        </w:rPr>
        <w:t xml:space="preserve"> April 2021]</w:t>
      </w:r>
    </w:p>
    <w:p w14:paraId="6DE979C1" w14:textId="43817F81" w:rsidR="002A10B1" w:rsidRPr="008911AC" w:rsidRDefault="002A10B1" w:rsidP="00550BED">
      <w:pPr>
        <w:rPr>
          <w:rFonts w:ascii="Arial" w:hAnsi="Arial" w:cs="Arial"/>
          <w:sz w:val="24"/>
          <w:szCs w:val="24"/>
        </w:rPr>
      </w:pPr>
      <w:r w:rsidRPr="008911AC">
        <w:rPr>
          <w:rFonts w:ascii="Arial" w:hAnsi="Arial" w:cs="Arial"/>
          <w:sz w:val="24"/>
          <w:szCs w:val="24"/>
        </w:rPr>
        <w:t xml:space="preserve">European Commission (2020) Public consultation. Available at URL </w:t>
      </w:r>
      <w:hyperlink r:id="rId11" w:history="1">
        <w:r w:rsidRPr="008911AC">
          <w:rPr>
            <w:rStyle w:val="Hyperlink"/>
            <w:rFonts w:ascii="Arial" w:hAnsi="Arial" w:cs="Arial"/>
            <w:sz w:val="24"/>
            <w:szCs w:val="24"/>
          </w:rPr>
          <w:t>https</w:t>
        </w:r>
        <w:r w:rsidRPr="008911AC">
          <w:rPr>
            <w:rStyle w:val="Hyperlink"/>
            <w:rFonts w:ascii="Arial" w:hAnsi="Arial" w:cs="Arial"/>
            <w:sz w:val="24"/>
            <w:szCs w:val="24"/>
          </w:rPr>
          <w:t>://ec.europa.eu/competition/consultations/2020_market_definition_notice/index_en.html#:~:text=The%20Commission%20Notice%20on%20the%20definition%20of%20relevant,and%20decision-making%20in%20the%20area%20of%20competition%20policy</w:t>
        </w:r>
      </w:hyperlink>
      <w:r w:rsidRPr="008911AC">
        <w:rPr>
          <w:rFonts w:ascii="Arial" w:hAnsi="Arial" w:cs="Arial"/>
          <w:sz w:val="24"/>
          <w:szCs w:val="24"/>
        </w:rPr>
        <w:t>.</w:t>
      </w:r>
      <w:r w:rsidRPr="008911AC">
        <w:rPr>
          <w:rFonts w:ascii="Arial" w:hAnsi="Arial" w:cs="Arial"/>
          <w:sz w:val="24"/>
          <w:szCs w:val="24"/>
        </w:rPr>
        <w:t xml:space="preserve"> [Accessed; 3</w:t>
      </w:r>
      <w:r w:rsidRPr="008911AC">
        <w:rPr>
          <w:rFonts w:ascii="Arial" w:hAnsi="Arial" w:cs="Arial"/>
          <w:sz w:val="24"/>
          <w:szCs w:val="24"/>
          <w:vertAlign w:val="superscript"/>
        </w:rPr>
        <w:t>rd</w:t>
      </w:r>
      <w:r w:rsidRPr="008911AC">
        <w:rPr>
          <w:rFonts w:ascii="Arial" w:hAnsi="Arial" w:cs="Arial"/>
          <w:sz w:val="24"/>
          <w:szCs w:val="24"/>
        </w:rPr>
        <w:t xml:space="preserve"> May 2021]</w:t>
      </w:r>
    </w:p>
    <w:p w14:paraId="56FDF8C4" w14:textId="73726792" w:rsidR="00526C97" w:rsidRPr="008911AC" w:rsidRDefault="00526C97" w:rsidP="00550BED">
      <w:pPr>
        <w:rPr>
          <w:rFonts w:ascii="Arial" w:hAnsi="Arial" w:cs="Arial"/>
          <w:sz w:val="24"/>
          <w:szCs w:val="24"/>
        </w:rPr>
      </w:pPr>
      <w:r w:rsidRPr="008911AC">
        <w:rPr>
          <w:rFonts w:ascii="Arial" w:hAnsi="Arial" w:cs="Arial"/>
          <w:sz w:val="24"/>
          <w:szCs w:val="24"/>
        </w:rPr>
        <w:t xml:space="preserve">Gov.uk (2015) how to comply with competition law. Available at URL </w:t>
      </w:r>
      <w:hyperlink r:id="rId12" w:history="1">
        <w:r w:rsidR="00D43F6D" w:rsidRPr="008911AC">
          <w:rPr>
            <w:rStyle w:val="Hyperlink"/>
            <w:rFonts w:ascii="Arial" w:hAnsi="Arial" w:cs="Arial"/>
            <w:sz w:val="24"/>
            <w:szCs w:val="24"/>
          </w:rPr>
          <w:t>https://www.gov.uk/government/publications/competing-fairly-in-business-at-a-glance-guide-to-competition-law/competing-fairly-in-business</w:t>
        </w:r>
      </w:hyperlink>
      <w:r w:rsidR="00D43F6D" w:rsidRPr="008911AC">
        <w:rPr>
          <w:rFonts w:ascii="Arial" w:hAnsi="Arial" w:cs="Arial"/>
          <w:sz w:val="24"/>
          <w:szCs w:val="24"/>
        </w:rPr>
        <w:t xml:space="preserve"> [Accessed;26th April 2021] </w:t>
      </w:r>
    </w:p>
    <w:p w14:paraId="4396EFA8" w14:textId="4530F6D9" w:rsidR="00250A6B" w:rsidRPr="008911AC" w:rsidRDefault="00250A6B" w:rsidP="00550BED">
      <w:pPr>
        <w:rPr>
          <w:rFonts w:ascii="Arial" w:hAnsi="Arial" w:cs="Arial"/>
          <w:sz w:val="24"/>
          <w:szCs w:val="24"/>
        </w:rPr>
      </w:pPr>
      <w:r w:rsidRPr="008911AC">
        <w:rPr>
          <w:rFonts w:ascii="Arial" w:hAnsi="Arial" w:cs="Arial"/>
          <w:sz w:val="24"/>
          <w:szCs w:val="24"/>
        </w:rPr>
        <w:t xml:space="preserve">Gerasymenko, A (2018) The Relevant temporal market definition in antitrust analysis. Available at URL </w:t>
      </w:r>
      <w:hyperlink r:id="rId13" w:history="1">
        <w:r w:rsidRPr="008911AC">
          <w:rPr>
            <w:rStyle w:val="Hyperlink"/>
            <w:rFonts w:ascii="Arial" w:hAnsi="Arial" w:cs="Arial"/>
            <w:sz w:val="24"/>
            <w:szCs w:val="24"/>
          </w:rPr>
          <w:t>https://www.researchgate.net/publication/325649329_THE_RELEVANT_TEMPORAL_MARKET_DEFINITION_IN_ANTITRUST_ANALYSIS</w:t>
        </w:r>
      </w:hyperlink>
      <w:r w:rsidRPr="008911AC">
        <w:rPr>
          <w:rFonts w:ascii="Arial" w:hAnsi="Arial" w:cs="Arial"/>
          <w:sz w:val="24"/>
          <w:szCs w:val="24"/>
        </w:rPr>
        <w:t xml:space="preserve"> [Accessed;27th </w:t>
      </w:r>
      <w:r w:rsidR="007B7989" w:rsidRPr="008911AC">
        <w:rPr>
          <w:rFonts w:ascii="Arial" w:hAnsi="Arial" w:cs="Arial"/>
          <w:sz w:val="24"/>
          <w:szCs w:val="24"/>
        </w:rPr>
        <w:t>April</w:t>
      </w:r>
      <w:r w:rsidRPr="008911AC">
        <w:rPr>
          <w:rFonts w:ascii="Arial" w:hAnsi="Arial" w:cs="Arial"/>
          <w:sz w:val="24"/>
          <w:szCs w:val="24"/>
        </w:rPr>
        <w:t xml:space="preserve"> 2021]</w:t>
      </w:r>
    </w:p>
    <w:p w14:paraId="408B2921" w14:textId="191096D6" w:rsidR="00250A6B" w:rsidRPr="008911AC" w:rsidRDefault="00250A6B" w:rsidP="00550BED">
      <w:pPr>
        <w:rPr>
          <w:rFonts w:ascii="Arial" w:hAnsi="Arial" w:cs="Arial"/>
          <w:sz w:val="24"/>
          <w:szCs w:val="24"/>
        </w:rPr>
      </w:pPr>
      <w:r w:rsidRPr="008911AC">
        <w:rPr>
          <w:rFonts w:ascii="Arial" w:hAnsi="Arial" w:cs="Arial"/>
          <w:sz w:val="24"/>
          <w:szCs w:val="24"/>
        </w:rPr>
        <w:t xml:space="preserve">Legislation.gov.uk (2021) Treaty on the Function of the European union. Available at URL </w:t>
      </w:r>
      <w:hyperlink r:id="rId14" w:history="1">
        <w:r w:rsidR="007B7989" w:rsidRPr="008911AC">
          <w:rPr>
            <w:rStyle w:val="Hyperlink"/>
            <w:rFonts w:ascii="Arial" w:hAnsi="Arial" w:cs="Arial"/>
            <w:sz w:val="24"/>
            <w:szCs w:val="24"/>
          </w:rPr>
          <w:t>https://www.legislation.gov.uk/eut/teec/contents</w:t>
        </w:r>
      </w:hyperlink>
      <w:r w:rsidR="007B7989" w:rsidRPr="008911AC">
        <w:rPr>
          <w:rFonts w:ascii="Arial" w:hAnsi="Arial" w:cs="Arial"/>
          <w:sz w:val="24"/>
          <w:szCs w:val="24"/>
        </w:rPr>
        <w:t xml:space="preserve"> </w:t>
      </w:r>
      <w:r w:rsidRPr="008911AC">
        <w:rPr>
          <w:rFonts w:ascii="Arial" w:hAnsi="Arial" w:cs="Arial"/>
          <w:sz w:val="24"/>
          <w:szCs w:val="24"/>
        </w:rPr>
        <w:t xml:space="preserve"> </w:t>
      </w:r>
      <w:r w:rsidR="007B7989" w:rsidRPr="008911AC">
        <w:rPr>
          <w:rFonts w:ascii="Arial" w:hAnsi="Arial" w:cs="Arial"/>
          <w:sz w:val="24"/>
          <w:szCs w:val="24"/>
        </w:rPr>
        <w:t>[Accessed; 27</w:t>
      </w:r>
      <w:r w:rsidR="007B7989" w:rsidRPr="008911AC">
        <w:rPr>
          <w:rFonts w:ascii="Arial" w:hAnsi="Arial" w:cs="Arial"/>
          <w:sz w:val="24"/>
          <w:szCs w:val="24"/>
          <w:vertAlign w:val="superscript"/>
        </w:rPr>
        <w:t>th</w:t>
      </w:r>
      <w:r w:rsidR="007B7989" w:rsidRPr="008911AC">
        <w:rPr>
          <w:rFonts w:ascii="Arial" w:hAnsi="Arial" w:cs="Arial"/>
          <w:sz w:val="24"/>
          <w:szCs w:val="24"/>
        </w:rPr>
        <w:t xml:space="preserve"> April 2021] </w:t>
      </w:r>
    </w:p>
    <w:p w14:paraId="2C7759FF" w14:textId="4CAE210A" w:rsidR="002A10B1" w:rsidRPr="008911AC" w:rsidRDefault="002A10B1" w:rsidP="00550BED">
      <w:pPr>
        <w:rPr>
          <w:rFonts w:ascii="Arial" w:hAnsi="Arial" w:cs="Arial"/>
          <w:sz w:val="24"/>
          <w:szCs w:val="24"/>
        </w:rPr>
      </w:pPr>
      <w:r w:rsidRPr="008911AC">
        <w:rPr>
          <w:rFonts w:ascii="Arial" w:hAnsi="Arial" w:cs="Arial"/>
          <w:sz w:val="24"/>
          <w:szCs w:val="24"/>
        </w:rPr>
        <w:t xml:space="preserve">Lorenz, M (2013) Article 102 TFE. Available at URL </w:t>
      </w:r>
      <w:hyperlink r:id="rId15" w:history="1">
        <w:r w:rsidRPr="008911AC">
          <w:rPr>
            <w:rStyle w:val="Hyperlink"/>
            <w:rFonts w:ascii="Arial" w:hAnsi="Arial" w:cs="Arial"/>
            <w:sz w:val="24"/>
            <w:szCs w:val="24"/>
          </w:rPr>
          <w:t>http</w:t>
        </w:r>
        <w:r w:rsidRPr="008911AC">
          <w:rPr>
            <w:rStyle w:val="Hyperlink"/>
            <w:rFonts w:ascii="Arial" w:hAnsi="Arial" w:cs="Arial"/>
            <w:sz w:val="24"/>
            <w:szCs w:val="24"/>
          </w:rPr>
          <w:t>s://www.cambridge.org/core/books/an-introduction-to-eu-competition-law/article-102-tfeu-abuse-of-a-dominant-position/FB90CF417C50B1ED22D7808F5E24EBE2</w:t>
        </w:r>
      </w:hyperlink>
      <w:r w:rsidRPr="008911AC">
        <w:rPr>
          <w:rFonts w:ascii="Arial" w:hAnsi="Arial" w:cs="Arial"/>
          <w:sz w:val="24"/>
          <w:szCs w:val="24"/>
        </w:rPr>
        <w:t xml:space="preserve"> [Accessed 3rd may 2021]</w:t>
      </w:r>
    </w:p>
    <w:p w14:paraId="353FDC99" w14:textId="6DB1CF82" w:rsidR="009C7CD3" w:rsidRPr="008911AC" w:rsidRDefault="009C7CD3" w:rsidP="00550BED">
      <w:pPr>
        <w:rPr>
          <w:rFonts w:ascii="Arial" w:hAnsi="Arial" w:cs="Arial"/>
          <w:sz w:val="24"/>
          <w:szCs w:val="24"/>
        </w:rPr>
      </w:pPr>
      <w:r w:rsidRPr="008911AC">
        <w:rPr>
          <w:rFonts w:ascii="Arial" w:hAnsi="Arial" w:cs="Arial"/>
          <w:sz w:val="24"/>
          <w:szCs w:val="24"/>
        </w:rPr>
        <w:t xml:space="preserve">Mondaq, A (2020) competition and </w:t>
      </w:r>
      <w:r w:rsidR="007B7989" w:rsidRPr="008911AC">
        <w:rPr>
          <w:rFonts w:ascii="Arial" w:hAnsi="Arial" w:cs="Arial"/>
          <w:sz w:val="24"/>
          <w:szCs w:val="24"/>
        </w:rPr>
        <w:t>antitrust</w:t>
      </w:r>
      <w:r w:rsidRPr="008911AC">
        <w:rPr>
          <w:rFonts w:ascii="Arial" w:hAnsi="Arial" w:cs="Arial"/>
          <w:sz w:val="24"/>
          <w:szCs w:val="24"/>
        </w:rPr>
        <w:t xml:space="preserve">. Available at URL </w:t>
      </w:r>
      <w:hyperlink r:id="rId16" w:history="1">
        <w:r w:rsidRPr="008911AC">
          <w:rPr>
            <w:rStyle w:val="Hyperlink"/>
            <w:rFonts w:ascii="Arial" w:hAnsi="Arial" w:cs="Arial"/>
            <w:sz w:val="24"/>
            <w:szCs w:val="24"/>
          </w:rPr>
          <w:t>https://www.mondaq.com/advicecentre/content/1652/Market-Definition-Relevant-Market--Relevant-Geographic-Market-Natural-Market</w:t>
        </w:r>
      </w:hyperlink>
      <w:r w:rsidRPr="008911AC">
        <w:rPr>
          <w:rFonts w:ascii="Arial" w:hAnsi="Arial" w:cs="Arial"/>
          <w:sz w:val="24"/>
          <w:szCs w:val="24"/>
        </w:rPr>
        <w:t xml:space="preserve"> [Accessed;27th April 2021]</w:t>
      </w:r>
    </w:p>
    <w:p w14:paraId="438B3384" w14:textId="402DEC81" w:rsidR="00A91417" w:rsidRPr="008911AC" w:rsidRDefault="00A91417" w:rsidP="00550BED">
      <w:pPr>
        <w:rPr>
          <w:rFonts w:ascii="Arial" w:hAnsi="Arial" w:cs="Arial"/>
          <w:sz w:val="24"/>
          <w:szCs w:val="24"/>
        </w:rPr>
      </w:pPr>
      <w:r w:rsidRPr="008911AC">
        <w:rPr>
          <w:rFonts w:ascii="Arial" w:hAnsi="Arial" w:cs="Arial"/>
          <w:sz w:val="24"/>
          <w:szCs w:val="24"/>
        </w:rPr>
        <w:t xml:space="preserve">Sorgard, L (2008) SSNIP test </w:t>
      </w:r>
      <w:r w:rsidR="00FA5A13" w:rsidRPr="008911AC">
        <w:rPr>
          <w:rFonts w:ascii="Arial" w:hAnsi="Arial" w:cs="Arial"/>
          <w:sz w:val="24"/>
          <w:szCs w:val="24"/>
        </w:rPr>
        <w:t xml:space="preserve">and </w:t>
      </w:r>
      <w:r w:rsidR="006F7540" w:rsidRPr="008911AC">
        <w:rPr>
          <w:rFonts w:ascii="Arial" w:hAnsi="Arial" w:cs="Arial"/>
          <w:sz w:val="24"/>
          <w:szCs w:val="24"/>
        </w:rPr>
        <w:t>market</w:t>
      </w:r>
      <w:r w:rsidR="00FA5A13" w:rsidRPr="008911AC">
        <w:rPr>
          <w:rFonts w:ascii="Arial" w:hAnsi="Arial" w:cs="Arial"/>
          <w:sz w:val="24"/>
          <w:szCs w:val="24"/>
        </w:rPr>
        <w:t xml:space="preserve"> definition with the aggregate diversion ration. Available at URL </w:t>
      </w:r>
      <w:hyperlink r:id="rId17" w:history="1">
        <w:r w:rsidR="00A72ACB" w:rsidRPr="008911AC">
          <w:rPr>
            <w:rStyle w:val="Hyperlink"/>
            <w:rFonts w:ascii="Arial" w:hAnsi="Arial" w:cs="Arial"/>
            <w:sz w:val="24"/>
            <w:szCs w:val="24"/>
          </w:rPr>
          <w:t>https://www.researchgate.net/publication/31289431_The_SSNIP_test_and_market_</w:t>
        </w:r>
        <w:r w:rsidR="00A72ACB" w:rsidRPr="008911AC">
          <w:rPr>
            <w:rStyle w:val="Hyperlink"/>
            <w:rFonts w:ascii="Arial" w:hAnsi="Arial" w:cs="Arial"/>
            <w:sz w:val="24"/>
            <w:szCs w:val="24"/>
          </w:rPr>
          <w:lastRenderedPageBreak/>
          <w:t>definition_with_the_aggregate_diversion_ratio_A_reply_to_katz_and_shapirom</w:t>
        </w:r>
      </w:hyperlink>
      <w:r w:rsidR="00A72ACB" w:rsidRPr="008911AC">
        <w:rPr>
          <w:rFonts w:ascii="Arial" w:hAnsi="Arial" w:cs="Arial"/>
          <w:sz w:val="24"/>
          <w:szCs w:val="24"/>
        </w:rPr>
        <w:t xml:space="preserve"> [Accessed; 26</w:t>
      </w:r>
      <w:r w:rsidR="00A72ACB" w:rsidRPr="008911AC">
        <w:rPr>
          <w:rFonts w:ascii="Arial" w:hAnsi="Arial" w:cs="Arial"/>
          <w:sz w:val="24"/>
          <w:szCs w:val="24"/>
          <w:vertAlign w:val="superscript"/>
        </w:rPr>
        <w:t>th</w:t>
      </w:r>
      <w:r w:rsidR="00A72ACB" w:rsidRPr="008911AC">
        <w:rPr>
          <w:rFonts w:ascii="Arial" w:hAnsi="Arial" w:cs="Arial"/>
          <w:sz w:val="24"/>
          <w:szCs w:val="24"/>
        </w:rPr>
        <w:t xml:space="preserve"> April 2021]</w:t>
      </w:r>
    </w:p>
    <w:p w14:paraId="3843A1C4" w14:textId="4A875633" w:rsidR="000C42F2" w:rsidRPr="008911AC" w:rsidRDefault="00470053" w:rsidP="00550BED">
      <w:pPr>
        <w:rPr>
          <w:rFonts w:ascii="Arial" w:hAnsi="Arial" w:cs="Arial"/>
          <w:sz w:val="24"/>
          <w:szCs w:val="24"/>
        </w:rPr>
      </w:pPr>
      <w:r w:rsidRPr="008911AC">
        <w:rPr>
          <w:rFonts w:ascii="Arial" w:hAnsi="Arial" w:cs="Arial"/>
          <w:sz w:val="24"/>
          <w:szCs w:val="24"/>
        </w:rPr>
        <w:t>S</w:t>
      </w:r>
      <w:r w:rsidR="000C42F2" w:rsidRPr="008911AC">
        <w:rPr>
          <w:rFonts w:ascii="Arial" w:hAnsi="Arial" w:cs="Arial"/>
          <w:sz w:val="24"/>
          <w:szCs w:val="24"/>
        </w:rPr>
        <w:t>ufri</w:t>
      </w:r>
      <w:r w:rsidRPr="008911AC">
        <w:rPr>
          <w:rFonts w:ascii="Arial" w:hAnsi="Arial" w:cs="Arial"/>
          <w:sz w:val="24"/>
          <w:szCs w:val="24"/>
        </w:rPr>
        <w:t xml:space="preserve">n, B (2012) Dominance in competition law. Available at URL </w:t>
      </w:r>
      <w:hyperlink r:id="rId18" w:history="1">
        <w:r w:rsidR="00FF4047" w:rsidRPr="008911AC">
          <w:rPr>
            <w:rStyle w:val="Hyperlink"/>
            <w:rFonts w:ascii="Arial" w:hAnsi="Arial" w:cs="Arial"/>
            <w:sz w:val="24"/>
            <w:szCs w:val="24"/>
          </w:rPr>
          <w:t>https://www.awa2013.concurrences.com/business-articles-awards/article/the-notion-of-dominance-in</w:t>
        </w:r>
      </w:hyperlink>
      <w:r w:rsidR="00FF4047" w:rsidRPr="008911AC">
        <w:rPr>
          <w:rFonts w:ascii="Arial" w:hAnsi="Arial" w:cs="Arial"/>
          <w:color w:val="0070C0"/>
          <w:sz w:val="24"/>
          <w:szCs w:val="24"/>
          <w:u w:val="single"/>
        </w:rPr>
        <w:t xml:space="preserve"> </w:t>
      </w:r>
      <w:r w:rsidR="00A72ACB" w:rsidRPr="008911AC">
        <w:rPr>
          <w:rFonts w:ascii="Arial" w:hAnsi="Arial" w:cs="Arial"/>
          <w:sz w:val="24"/>
          <w:szCs w:val="24"/>
        </w:rPr>
        <w:t>[Accessed;26</w:t>
      </w:r>
      <w:r w:rsidR="00A72ACB" w:rsidRPr="008911AC">
        <w:rPr>
          <w:rFonts w:ascii="Arial" w:hAnsi="Arial" w:cs="Arial"/>
          <w:sz w:val="24"/>
          <w:szCs w:val="24"/>
          <w:vertAlign w:val="superscript"/>
        </w:rPr>
        <w:t>th</w:t>
      </w:r>
      <w:r w:rsidR="00A72ACB" w:rsidRPr="008911AC">
        <w:rPr>
          <w:rFonts w:ascii="Arial" w:hAnsi="Arial" w:cs="Arial"/>
          <w:sz w:val="24"/>
          <w:szCs w:val="24"/>
        </w:rPr>
        <w:t xml:space="preserve"> April 201]</w:t>
      </w:r>
    </w:p>
    <w:p w14:paraId="0BE9309E" w14:textId="77777777" w:rsidR="00550BED" w:rsidRPr="008911AC" w:rsidRDefault="00550BED" w:rsidP="00550BED">
      <w:pPr>
        <w:rPr>
          <w:b/>
          <w:bCs/>
          <w:sz w:val="24"/>
          <w:szCs w:val="24"/>
        </w:rPr>
      </w:pPr>
    </w:p>
    <w:p w14:paraId="300694BB" w14:textId="77777777" w:rsidR="00550BED" w:rsidRPr="008911AC" w:rsidRDefault="00550BED" w:rsidP="00550BED">
      <w:pPr>
        <w:rPr>
          <w:b/>
          <w:bCs/>
          <w:sz w:val="24"/>
          <w:szCs w:val="24"/>
        </w:rPr>
      </w:pPr>
    </w:p>
    <w:p w14:paraId="03023D58" w14:textId="77777777" w:rsidR="00550BED" w:rsidRPr="008911AC" w:rsidRDefault="00550BED" w:rsidP="00550BED">
      <w:pPr>
        <w:rPr>
          <w:b/>
          <w:bCs/>
          <w:sz w:val="24"/>
          <w:szCs w:val="24"/>
        </w:rPr>
      </w:pPr>
    </w:p>
    <w:p w14:paraId="51026E99" w14:textId="77777777" w:rsidR="00550BED" w:rsidRPr="008911AC" w:rsidRDefault="00550BED" w:rsidP="00550BED">
      <w:pPr>
        <w:rPr>
          <w:b/>
          <w:bCs/>
          <w:sz w:val="24"/>
          <w:szCs w:val="24"/>
        </w:rPr>
      </w:pPr>
    </w:p>
    <w:p w14:paraId="3F9EC411" w14:textId="77777777" w:rsidR="00550BED" w:rsidRPr="008911AC" w:rsidRDefault="00550BED" w:rsidP="00550BED">
      <w:pPr>
        <w:rPr>
          <w:b/>
          <w:bCs/>
          <w:sz w:val="24"/>
          <w:szCs w:val="24"/>
        </w:rPr>
      </w:pPr>
    </w:p>
    <w:p w14:paraId="1DD22C63" w14:textId="77777777" w:rsidR="00550BED" w:rsidRPr="008911AC" w:rsidRDefault="00550BED" w:rsidP="00550BED">
      <w:pPr>
        <w:rPr>
          <w:b/>
          <w:bCs/>
          <w:sz w:val="24"/>
          <w:szCs w:val="24"/>
        </w:rPr>
      </w:pPr>
    </w:p>
    <w:p w14:paraId="76C665C0" w14:textId="77777777" w:rsidR="00550BED" w:rsidRPr="008911AC" w:rsidRDefault="00550BED" w:rsidP="00550BED">
      <w:pPr>
        <w:rPr>
          <w:b/>
          <w:bCs/>
          <w:sz w:val="24"/>
          <w:szCs w:val="24"/>
        </w:rPr>
      </w:pPr>
    </w:p>
    <w:p w14:paraId="3EDEA3D3" w14:textId="0ED6275D" w:rsidR="00550BED" w:rsidRDefault="00550BED" w:rsidP="00550BED">
      <w:pPr>
        <w:rPr>
          <w:b/>
          <w:bCs/>
          <w:sz w:val="24"/>
          <w:szCs w:val="24"/>
        </w:rPr>
      </w:pPr>
    </w:p>
    <w:p w14:paraId="48B0CE43" w14:textId="41E5B203" w:rsidR="008911AC" w:rsidRDefault="008911AC" w:rsidP="00550BED">
      <w:pPr>
        <w:rPr>
          <w:b/>
          <w:bCs/>
          <w:sz w:val="24"/>
          <w:szCs w:val="24"/>
        </w:rPr>
      </w:pPr>
    </w:p>
    <w:p w14:paraId="23EAF67B" w14:textId="07FE9AEA" w:rsidR="008911AC" w:rsidRDefault="008911AC" w:rsidP="00550BED">
      <w:pPr>
        <w:rPr>
          <w:b/>
          <w:bCs/>
          <w:sz w:val="24"/>
          <w:szCs w:val="24"/>
        </w:rPr>
      </w:pPr>
    </w:p>
    <w:p w14:paraId="4D89A866" w14:textId="350E1D08" w:rsidR="008911AC" w:rsidRDefault="008911AC" w:rsidP="00550BED">
      <w:pPr>
        <w:rPr>
          <w:b/>
          <w:bCs/>
          <w:sz w:val="24"/>
          <w:szCs w:val="24"/>
        </w:rPr>
      </w:pPr>
    </w:p>
    <w:p w14:paraId="797C9CC9" w14:textId="3C97C5E7" w:rsidR="008911AC" w:rsidRDefault="008911AC" w:rsidP="00550BED">
      <w:pPr>
        <w:rPr>
          <w:b/>
          <w:bCs/>
          <w:sz w:val="24"/>
          <w:szCs w:val="24"/>
        </w:rPr>
      </w:pPr>
    </w:p>
    <w:p w14:paraId="25900490" w14:textId="210BD365" w:rsidR="008911AC" w:rsidRDefault="008911AC" w:rsidP="00550BED">
      <w:pPr>
        <w:rPr>
          <w:b/>
          <w:bCs/>
          <w:sz w:val="24"/>
          <w:szCs w:val="24"/>
        </w:rPr>
      </w:pPr>
    </w:p>
    <w:p w14:paraId="5DB97D51" w14:textId="30096C09" w:rsidR="008911AC" w:rsidRDefault="008911AC" w:rsidP="00550BED">
      <w:pPr>
        <w:rPr>
          <w:b/>
          <w:bCs/>
          <w:sz w:val="24"/>
          <w:szCs w:val="24"/>
        </w:rPr>
      </w:pPr>
    </w:p>
    <w:p w14:paraId="7482666A" w14:textId="499FE5D8" w:rsidR="008911AC" w:rsidRDefault="008911AC" w:rsidP="00550BED">
      <w:pPr>
        <w:rPr>
          <w:b/>
          <w:bCs/>
          <w:sz w:val="24"/>
          <w:szCs w:val="24"/>
        </w:rPr>
      </w:pPr>
    </w:p>
    <w:p w14:paraId="16417AB2" w14:textId="690CAF5E" w:rsidR="008911AC" w:rsidRDefault="008911AC" w:rsidP="00550BED">
      <w:pPr>
        <w:rPr>
          <w:b/>
          <w:bCs/>
          <w:sz w:val="24"/>
          <w:szCs w:val="24"/>
        </w:rPr>
      </w:pPr>
    </w:p>
    <w:p w14:paraId="26B08589" w14:textId="5CFFB12F" w:rsidR="008911AC" w:rsidRDefault="008911AC" w:rsidP="00550BED">
      <w:pPr>
        <w:rPr>
          <w:b/>
          <w:bCs/>
          <w:sz w:val="24"/>
          <w:szCs w:val="24"/>
        </w:rPr>
      </w:pPr>
    </w:p>
    <w:p w14:paraId="583D3ECD" w14:textId="409F1970" w:rsidR="008911AC" w:rsidRDefault="008911AC" w:rsidP="00550BED">
      <w:pPr>
        <w:rPr>
          <w:b/>
          <w:bCs/>
          <w:sz w:val="24"/>
          <w:szCs w:val="24"/>
        </w:rPr>
      </w:pPr>
    </w:p>
    <w:p w14:paraId="329FA4CC" w14:textId="3181E80C" w:rsidR="008911AC" w:rsidRDefault="008911AC" w:rsidP="00550BED">
      <w:pPr>
        <w:rPr>
          <w:b/>
          <w:bCs/>
          <w:sz w:val="24"/>
          <w:szCs w:val="24"/>
        </w:rPr>
      </w:pPr>
    </w:p>
    <w:p w14:paraId="5FAFE834" w14:textId="7A6BF68B" w:rsidR="008911AC" w:rsidRDefault="008911AC" w:rsidP="00550BED">
      <w:pPr>
        <w:rPr>
          <w:b/>
          <w:bCs/>
          <w:sz w:val="24"/>
          <w:szCs w:val="24"/>
        </w:rPr>
      </w:pPr>
    </w:p>
    <w:p w14:paraId="1ADE22AB" w14:textId="56E4AA73" w:rsidR="008911AC" w:rsidRDefault="008911AC" w:rsidP="00550BED">
      <w:pPr>
        <w:rPr>
          <w:b/>
          <w:bCs/>
          <w:sz w:val="24"/>
          <w:szCs w:val="24"/>
        </w:rPr>
      </w:pPr>
    </w:p>
    <w:p w14:paraId="1D6BDDB0" w14:textId="4E246F98" w:rsidR="008911AC" w:rsidRDefault="008911AC" w:rsidP="00550BED">
      <w:pPr>
        <w:rPr>
          <w:b/>
          <w:bCs/>
          <w:sz w:val="24"/>
          <w:szCs w:val="24"/>
        </w:rPr>
      </w:pPr>
    </w:p>
    <w:p w14:paraId="4213C2AB" w14:textId="428B04C6" w:rsidR="008911AC" w:rsidRDefault="008911AC" w:rsidP="00550BED">
      <w:pPr>
        <w:rPr>
          <w:b/>
          <w:bCs/>
          <w:sz w:val="24"/>
          <w:szCs w:val="24"/>
        </w:rPr>
      </w:pPr>
    </w:p>
    <w:p w14:paraId="6A42E696" w14:textId="77777777" w:rsidR="008911AC" w:rsidRPr="008911AC" w:rsidRDefault="008911AC" w:rsidP="00550BED">
      <w:pPr>
        <w:rPr>
          <w:b/>
          <w:bCs/>
          <w:sz w:val="24"/>
          <w:szCs w:val="24"/>
        </w:rPr>
      </w:pPr>
    </w:p>
    <w:p w14:paraId="3368447A" w14:textId="77777777" w:rsidR="008911AC" w:rsidRPr="008911AC" w:rsidRDefault="008911AC" w:rsidP="00550BED">
      <w:pPr>
        <w:rPr>
          <w:b/>
          <w:bCs/>
          <w:sz w:val="24"/>
          <w:szCs w:val="24"/>
        </w:rPr>
      </w:pPr>
    </w:p>
    <w:p w14:paraId="2CBE5E01" w14:textId="28612F82" w:rsidR="00B007C8" w:rsidRPr="008911AC" w:rsidRDefault="00B007C8" w:rsidP="00550BED">
      <w:pPr>
        <w:rPr>
          <w:rFonts w:ascii="Arial" w:hAnsi="Arial" w:cs="Arial"/>
          <w:sz w:val="24"/>
          <w:szCs w:val="24"/>
        </w:rPr>
      </w:pPr>
      <w:r w:rsidRPr="008911AC">
        <w:rPr>
          <w:rFonts w:ascii="Arial" w:hAnsi="Arial" w:cs="Arial"/>
          <w:sz w:val="24"/>
          <w:szCs w:val="24"/>
        </w:rPr>
        <w:lastRenderedPageBreak/>
        <w:t>Question 2.</w:t>
      </w:r>
    </w:p>
    <w:p w14:paraId="2C00B8FA" w14:textId="281B5910" w:rsidR="002C25D3" w:rsidRPr="008911AC" w:rsidRDefault="00CF12D4" w:rsidP="00550BED">
      <w:pPr>
        <w:rPr>
          <w:rFonts w:ascii="Arial" w:hAnsi="Arial" w:cs="Arial"/>
          <w:sz w:val="24"/>
          <w:szCs w:val="24"/>
        </w:rPr>
      </w:pPr>
      <w:r w:rsidRPr="008911AC">
        <w:rPr>
          <w:rFonts w:ascii="Arial" w:hAnsi="Arial" w:cs="Arial"/>
          <w:sz w:val="24"/>
          <w:szCs w:val="24"/>
        </w:rPr>
        <w:t>The rights of free movement of people</w:t>
      </w:r>
      <w:r w:rsidR="008911AC">
        <w:rPr>
          <w:rFonts w:ascii="Arial" w:hAnsi="Arial" w:cs="Arial"/>
          <w:sz w:val="24"/>
          <w:szCs w:val="24"/>
        </w:rPr>
        <w:t xml:space="preserve"> but not </w:t>
      </w:r>
      <w:r w:rsidRPr="008911AC">
        <w:rPr>
          <w:rFonts w:ascii="Arial" w:hAnsi="Arial" w:cs="Arial"/>
          <w:sz w:val="24"/>
          <w:szCs w:val="24"/>
        </w:rPr>
        <w:t xml:space="preserve">workers were once restricted. This was </w:t>
      </w:r>
      <w:r w:rsidR="002C25D3" w:rsidRPr="008911AC">
        <w:rPr>
          <w:rFonts w:ascii="Arial" w:hAnsi="Arial" w:cs="Arial"/>
          <w:sz w:val="24"/>
          <w:szCs w:val="24"/>
        </w:rPr>
        <w:t>often</w:t>
      </w:r>
      <w:r w:rsidRPr="008911AC">
        <w:rPr>
          <w:rFonts w:ascii="Arial" w:hAnsi="Arial" w:cs="Arial"/>
          <w:sz w:val="24"/>
          <w:szCs w:val="24"/>
        </w:rPr>
        <w:t xml:space="preserve"> referred to as the 2+3+3 rule, commonly known as the transitional arrangement. (</w:t>
      </w:r>
      <w:r w:rsidR="0087728D" w:rsidRPr="008911AC">
        <w:rPr>
          <w:rFonts w:ascii="Arial" w:hAnsi="Arial" w:cs="Arial"/>
          <w:sz w:val="24"/>
          <w:szCs w:val="24"/>
        </w:rPr>
        <w:t>Stierl,2020</w:t>
      </w:r>
      <w:r w:rsidRPr="008911AC">
        <w:rPr>
          <w:rFonts w:ascii="Arial" w:hAnsi="Arial" w:cs="Arial"/>
          <w:sz w:val="24"/>
          <w:szCs w:val="24"/>
        </w:rPr>
        <w:t xml:space="preserve">) However, this restriction did not apply to people who were self- employed or people visiting member states under the rights given by the EU citizens.  Under this rule member states could impose restriction for 2 years; </w:t>
      </w:r>
      <w:r w:rsidR="008911AC">
        <w:rPr>
          <w:rFonts w:ascii="Arial" w:hAnsi="Arial" w:cs="Arial"/>
          <w:sz w:val="24"/>
          <w:szCs w:val="24"/>
        </w:rPr>
        <w:t xml:space="preserve">member states </w:t>
      </w:r>
      <w:r w:rsidRPr="008911AC">
        <w:rPr>
          <w:rFonts w:ascii="Arial" w:hAnsi="Arial" w:cs="Arial"/>
          <w:sz w:val="24"/>
          <w:szCs w:val="24"/>
        </w:rPr>
        <w:t xml:space="preserve">could </w:t>
      </w:r>
      <w:r w:rsidR="008911AC">
        <w:rPr>
          <w:rFonts w:ascii="Arial" w:hAnsi="Arial" w:cs="Arial"/>
          <w:sz w:val="24"/>
          <w:szCs w:val="24"/>
        </w:rPr>
        <w:t xml:space="preserve">potentially </w:t>
      </w:r>
      <w:r w:rsidRPr="008911AC">
        <w:rPr>
          <w:rFonts w:ascii="Arial" w:hAnsi="Arial" w:cs="Arial"/>
          <w:sz w:val="24"/>
          <w:szCs w:val="24"/>
        </w:rPr>
        <w:t>exten</w:t>
      </w:r>
      <w:r w:rsidR="008911AC">
        <w:rPr>
          <w:rFonts w:ascii="Arial" w:hAnsi="Arial" w:cs="Arial"/>
          <w:sz w:val="24"/>
          <w:szCs w:val="24"/>
        </w:rPr>
        <w:t xml:space="preserve">t </w:t>
      </w:r>
      <w:r w:rsidRPr="008911AC">
        <w:rPr>
          <w:rFonts w:ascii="Arial" w:hAnsi="Arial" w:cs="Arial"/>
          <w:sz w:val="24"/>
          <w:szCs w:val="24"/>
        </w:rPr>
        <w:t>t</w:t>
      </w:r>
      <w:r w:rsidR="008911AC">
        <w:rPr>
          <w:rFonts w:ascii="Arial" w:hAnsi="Arial" w:cs="Arial"/>
          <w:sz w:val="24"/>
          <w:szCs w:val="24"/>
        </w:rPr>
        <w:t>his to</w:t>
      </w:r>
      <w:r w:rsidRPr="008911AC">
        <w:rPr>
          <w:rFonts w:ascii="Arial" w:hAnsi="Arial" w:cs="Arial"/>
          <w:sz w:val="24"/>
          <w:szCs w:val="24"/>
        </w:rPr>
        <w:t xml:space="preserve"> 3 </w:t>
      </w:r>
      <w:r w:rsidR="008911AC">
        <w:rPr>
          <w:rFonts w:ascii="Arial" w:hAnsi="Arial" w:cs="Arial"/>
          <w:sz w:val="24"/>
          <w:szCs w:val="24"/>
        </w:rPr>
        <w:t xml:space="preserve">years </w:t>
      </w:r>
      <w:r w:rsidRPr="008911AC">
        <w:rPr>
          <w:rFonts w:ascii="Arial" w:hAnsi="Arial" w:cs="Arial"/>
          <w:sz w:val="24"/>
          <w:szCs w:val="24"/>
        </w:rPr>
        <w:t xml:space="preserve">if </w:t>
      </w:r>
      <w:r w:rsidR="008911AC">
        <w:rPr>
          <w:rFonts w:ascii="Arial" w:hAnsi="Arial" w:cs="Arial"/>
          <w:sz w:val="24"/>
          <w:szCs w:val="24"/>
        </w:rPr>
        <w:t>they deemed necessary</w:t>
      </w:r>
      <w:r w:rsidRPr="008911AC">
        <w:rPr>
          <w:rFonts w:ascii="Arial" w:hAnsi="Arial" w:cs="Arial"/>
          <w:sz w:val="24"/>
          <w:szCs w:val="24"/>
        </w:rPr>
        <w:t xml:space="preserve">. </w:t>
      </w:r>
    </w:p>
    <w:p w14:paraId="26CE26D6" w14:textId="084641BF" w:rsidR="00423C57" w:rsidRPr="008911AC" w:rsidRDefault="00CF12D4" w:rsidP="00550BED">
      <w:pPr>
        <w:rPr>
          <w:rFonts w:ascii="Arial" w:hAnsi="Arial" w:cs="Arial"/>
          <w:sz w:val="24"/>
          <w:szCs w:val="24"/>
        </w:rPr>
      </w:pPr>
      <w:r w:rsidRPr="008911AC">
        <w:rPr>
          <w:rFonts w:ascii="Arial" w:hAnsi="Arial" w:cs="Arial"/>
          <w:sz w:val="24"/>
          <w:szCs w:val="24"/>
        </w:rPr>
        <w:t xml:space="preserve">The TEU introduced the </w:t>
      </w:r>
      <w:r w:rsidR="002C25D3" w:rsidRPr="008911AC">
        <w:rPr>
          <w:rFonts w:ascii="Arial" w:hAnsi="Arial" w:cs="Arial"/>
          <w:sz w:val="24"/>
          <w:szCs w:val="24"/>
        </w:rPr>
        <w:t>concept</w:t>
      </w:r>
      <w:r w:rsidRPr="008911AC">
        <w:rPr>
          <w:rFonts w:ascii="Arial" w:hAnsi="Arial" w:cs="Arial"/>
          <w:sz w:val="24"/>
          <w:szCs w:val="24"/>
        </w:rPr>
        <w:t xml:space="preserve"> that if you </w:t>
      </w:r>
      <w:r w:rsidR="002C25D3" w:rsidRPr="008911AC">
        <w:rPr>
          <w:rFonts w:ascii="Arial" w:hAnsi="Arial" w:cs="Arial"/>
          <w:sz w:val="24"/>
          <w:szCs w:val="24"/>
        </w:rPr>
        <w:t>had the nationality of a member state, you are then automatically an EU citizen. This concept came about in the Article 20 TFEU. The TEU went on to introduce a range of general rights that are now articles 20-25 TFEU, these include the right to stand as a candidate in municipal; elections and European elections, the right to vote in said election and the right to complain to the EU ombudsman. In the Article 21 TFEU it states that people have the right to move and reside freely in other member sates and is subject to the conditions and limitation from the treaty and secondary legislation</w:t>
      </w:r>
      <w:r w:rsidR="0087728D" w:rsidRPr="008911AC">
        <w:rPr>
          <w:rFonts w:ascii="Arial" w:hAnsi="Arial" w:cs="Arial"/>
          <w:sz w:val="24"/>
          <w:szCs w:val="24"/>
        </w:rPr>
        <w:t xml:space="preserve"> (Crossan, 2020)</w:t>
      </w:r>
      <w:r w:rsidR="002C25D3" w:rsidRPr="008911AC">
        <w:rPr>
          <w:rFonts w:ascii="Arial" w:hAnsi="Arial" w:cs="Arial"/>
          <w:sz w:val="24"/>
          <w:szCs w:val="24"/>
        </w:rPr>
        <w:t xml:space="preserve">. These people are further protected by </w:t>
      </w:r>
      <w:r w:rsidR="00423C57" w:rsidRPr="008911AC">
        <w:rPr>
          <w:rFonts w:ascii="Arial" w:hAnsi="Arial" w:cs="Arial"/>
          <w:sz w:val="24"/>
          <w:szCs w:val="24"/>
        </w:rPr>
        <w:t>article</w:t>
      </w:r>
      <w:r w:rsidR="002C25D3" w:rsidRPr="008911AC">
        <w:rPr>
          <w:rFonts w:ascii="Arial" w:hAnsi="Arial" w:cs="Arial"/>
          <w:sz w:val="24"/>
          <w:szCs w:val="24"/>
        </w:rPr>
        <w:t xml:space="preserve"> 18 TFEU because it prohibits discrimination of nationality form occurring</w:t>
      </w:r>
      <w:r w:rsidR="00423C57" w:rsidRPr="008911AC">
        <w:rPr>
          <w:rFonts w:ascii="Arial" w:hAnsi="Arial" w:cs="Arial"/>
          <w:sz w:val="24"/>
          <w:szCs w:val="24"/>
        </w:rPr>
        <w:t>. (</w:t>
      </w:r>
      <w:r w:rsidR="0087728D" w:rsidRPr="008911AC">
        <w:rPr>
          <w:rFonts w:ascii="Arial" w:hAnsi="Arial" w:cs="Arial"/>
          <w:sz w:val="24"/>
          <w:szCs w:val="24"/>
        </w:rPr>
        <w:t>Ankersmit, 2014</w:t>
      </w:r>
      <w:r w:rsidR="00423C57" w:rsidRPr="008911AC">
        <w:rPr>
          <w:rFonts w:ascii="Arial" w:hAnsi="Arial" w:cs="Arial"/>
          <w:sz w:val="24"/>
          <w:szCs w:val="24"/>
        </w:rPr>
        <w:t>)</w:t>
      </w:r>
    </w:p>
    <w:p w14:paraId="47942FD1" w14:textId="2A7896CA" w:rsidR="002C2C0D" w:rsidRPr="008911AC" w:rsidRDefault="002C2C0D" w:rsidP="002C2C0D">
      <w:pPr>
        <w:rPr>
          <w:rFonts w:ascii="Arial" w:hAnsi="Arial" w:cs="Arial"/>
          <w:sz w:val="24"/>
          <w:szCs w:val="24"/>
        </w:rPr>
      </w:pPr>
      <w:r w:rsidRPr="008911AC">
        <w:rPr>
          <w:rFonts w:ascii="Arial" w:hAnsi="Arial" w:cs="Arial"/>
          <w:sz w:val="24"/>
          <w:szCs w:val="24"/>
        </w:rPr>
        <w:t xml:space="preserve">Under article 20 TFEU, it states that all EU </w:t>
      </w:r>
      <w:r w:rsidRPr="008911AC">
        <w:rPr>
          <w:rFonts w:ascii="Arial" w:hAnsi="Arial" w:cs="Arial"/>
          <w:sz w:val="24"/>
          <w:szCs w:val="24"/>
        </w:rPr>
        <w:t>citizens</w:t>
      </w:r>
      <w:r w:rsidRPr="008911AC">
        <w:rPr>
          <w:rFonts w:ascii="Arial" w:hAnsi="Arial" w:cs="Arial"/>
          <w:sz w:val="24"/>
          <w:szCs w:val="24"/>
        </w:rPr>
        <w:t xml:space="preserve"> are able to move and reside freely in all member states. However, this </w:t>
      </w:r>
      <w:r w:rsidR="008911AC">
        <w:rPr>
          <w:rFonts w:ascii="Arial" w:hAnsi="Arial" w:cs="Arial"/>
          <w:sz w:val="24"/>
          <w:szCs w:val="24"/>
        </w:rPr>
        <w:t xml:space="preserve">is </w:t>
      </w:r>
      <w:r w:rsidRPr="008911AC">
        <w:rPr>
          <w:rFonts w:ascii="Arial" w:hAnsi="Arial" w:cs="Arial"/>
          <w:sz w:val="24"/>
          <w:szCs w:val="24"/>
        </w:rPr>
        <w:t xml:space="preserve">only for 3 months. To be able to live freely in any member state for a </w:t>
      </w:r>
      <w:r w:rsidRPr="008911AC">
        <w:rPr>
          <w:rFonts w:ascii="Arial" w:hAnsi="Arial" w:cs="Arial"/>
          <w:sz w:val="24"/>
          <w:szCs w:val="24"/>
        </w:rPr>
        <w:t>long-term</w:t>
      </w:r>
      <w:r w:rsidRPr="008911AC">
        <w:rPr>
          <w:rFonts w:ascii="Arial" w:hAnsi="Arial" w:cs="Arial"/>
          <w:sz w:val="24"/>
          <w:szCs w:val="24"/>
        </w:rPr>
        <w:t xml:space="preserve"> period you have to be employed or </w:t>
      </w:r>
      <w:r w:rsidRPr="008911AC">
        <w:rPr>
          <w:rFonts w:ascii="Arial" w:hAnsi="Arial" w:cs="Arial"/>
          <w:sz w:val="24"/>
          <w:szCs w:val="24"/>
        </w:rPr>
        <w:t>self-employed</w:t>
      </w:r>
      <w:r w:rsidRPr="008911AC">
        <w:rPr>
          <w:rFonts w:ascii="Arial" w:hAnsi="Arial" w:cs="Arial"/>
          <w:sz w:val="24"/>
          <w:szCs w:val="24"/>
        </w:rPr>
        <w:t xml:space="preserve">. However, if this person can show that they are looking for work and has a good chance of being employed. They </w:t>
      </w:r>
      <w:r w:rsidRPr="008911AC">
        <w:rPr>
          <w:rFonts w:ascii="Arial" w:hAnsi="Arial" w:cs="Arial"/>
          <w:sz w:val="24"/>
          <w:szCs w:val="24"/>
        </w:rPr>
        <w:t>may be</w:t>
      </w:r>
      <w:r w:rsidRPr="008911AC">
        <w:rPr>
          <w:rFonts w:ascii="Arial" w:hAnsi="Arial" w:cs="Arial"/>
          <w:sz w:val="24"/>
          <w:szCs w:val="24"/>
        </w:rPr>
        <w:t xml:space="preserve"> allowed to reside for longer. This does mean that they will not be allowed to apply for financial help (</w:t>
      </w:r>
      <w:r w:rsidR="00574BC5" w:rsidRPr="008911AC">
        <w:rPr>
          <w:rFonts w:ascii="Arial" w:hAnsi="Arial" w:cs="Arial"/>
          <w:sz w:val="24"/>
          <w:szCs w:val="24"/>
        </w:rPr>
        <w:t>European Parliament, 2020</w:t>
      </w:r>
      <w:r w:rsidRPr="008911AC">
        <w:rPr>
          <w:rFonts w:ascii="Arial" w:hAnsi="Arial" w:cs="Arial"/>
          <w:sz w:val="24"/>
          <w:szCs w:val="24"/>
        </w:rPr>
        <w:t xml:space="preserve">). </w:t>
      </w:r>
      <w:r w:rsidRPr="008911AC">
        <w:rPr>
          <w:rFonts w:ascii="Arial" w:hAnsi="Arial" w:cs="Arial"/>
          <w:sz w:val="24"/>
          <w:szCs w:val="24"/>
        </w:rPr>
        <w:t>The Citizen`s right Directive 2004/38 (CRD) is the main legislation that replaced most of the secondary legislation relating to the free movement of people.</w:t>
      </w:r>
      <w:r w:rsidR="000A7962" w:rsidRPr="008911AC">
        <w:rPr>
          <w:rFonts w:ascii="Arial" w:hAnsi="Arial" w:cs="Arial"/>
          <w:sz w:val="24"/>
          <w:szCs w:val="24"/>
        </w:rPr>
        <w:t xml:space="preserve"> R</w:t>
      </w:r>
      <w:r w:rsidR="00BD3118" w:rsidRPr="008911AC">
        <w:rPr>
          <w:rFonts w:ascii="Arial" w:hAnsi="Arial" w:cs="Arial"/>
          <w:sz w:val="24"/>
          <w:szCs w:val="24"/>
        </w:rPr>
        <w:t xml:space="preserve">ecital 5 CRD is the act that applies to family members irrespective of their nationality who is accompany or joining the EU citizen. This family member defined by Art 2(2) CRD is to be this person spouse, child but not an aunt. However, under article 3(2) covers any family member that is dependent on the EU citizen due to serious health </w:t>
      </w:r>
      <w:r w:rsidR="00802407" w:rsidRPr="008911AC">
        <w:rPr>
          <w:rFonts w:ascii="Arial" w:hAnsi="Arial" w:cs="Arial"/>
          <w:sz w:val="24"/>
          <w:szCs w:val="24"/>
        </w:rPr>
        <w:t>ground</w:t>
      </w:r>
      <w:r w:rsidR="008911AC">
        <w:rPr>
          <w:rFonts w:ascii="Arial" w:hAnsi="Arial" w:cs="Arial"/>
          <w:sz w:val="24"/>
          <w:szCs w:val="24"/>
        </w:rPr>
        <w:t>s</w:t>
      </w:r>
      <w:r w:rsidR="00802407" w:rsidRPr="008911AC">
        <w:rPr>
          <w:rFonts w:ascii="Arial" w:hAnsi="Arial" w:cs="Arial"/>
          <w:sz w:val="24"/>
          <w:szCs w:val="24"/>
        </w:rPr>
        <w:t xml:space="preserve"> (</w:t>
      </w:r>
      <w:r w:rsidR="00574BC5" w:rsidRPr="008911AC">
        <w:rPr>
          <w:rFonts w:ascii="Arial" w:hAnsi="Arial" w:cs="Arial"/>
          <w:sz w:val="24"/>
          <w:szCs w:val="24"/>
        </w:rPr>
        <w:t>Legislation, 2021</w:t>
      </w:r>
      <w:r w:rsidR="00802407" w:rsidRPr="008911AC">
        <w:rPr>
          <w:rFonts w:ascii="Arial" w:hAnsi="Arial" w:cs="Arial"/>
          <w:sz w:val="24"/>
          <w:szCs w:val="24"/>
        </w:rPr>
        <w:t>).</w:t>
      </w:r>
      <w:r w:rsidR="00BD3118" w:rsidRPr="008911AC">
        <w:rPr>
          <w:rFonts w:ascii="Arial" w:hAnsi="Arial" w:cs="Arial"/>
          <w:sz w:val="24"/>
          <w:szCs w:val="24"/>
        </w:rPr>
        <w:t xml:space="preserve"> </w:t>
      </w:r>
    </w:p>
    <w:p w14:paraId="410AB198" w14:textId="313873FC" w:rsidR="001254F2" w:rsidRPr="008911AC" w:rsidRDefault="00170772" w:rsidP="002C2C0D">
      <w:pPr>
        <w:rPr>
          <w:rFonts w:ascii="Arial" w:hAnsi="Arial" w:cs="Arial"/>
          <w:sz w:val="24"/>
          <w:szCs w:val="24"/>
        </w:rPr>
      </w:pPr>
      <w:r w:rsidRPr="008911AC">
        <w:rPr>
          <w:rFonts w:ascii="Arial" w:hAnsi="Arial" w:cs="Arial"/>
          <w:sz w:val="24"/>
          <w:szCs w:val="24"/>
        </w:rPr>
        <w:t xml:space="preserve">The concept of sufficient resources is defined as having no fixed amount that is regarded as </w:t>
      </w:r>
      <w:r w:rsidR="005A07BD" w:rsidRPr="008911AC">
        <w:rPr>
          <w:rFonts w:ascii="Arial" w:hAnsi="Arial" w:cs="Arial"/>
          <w:sz w:val="24"/>
          <w:szCs w:val="24"/>
        </w:rPr>
        <w:t xml:space="preserve">sufficient resources. The situation of each and every person has to be </w:t>
      </w:r>
      <w:r w:rsidR="0087728D" w:rsidRPr="008911AC">
        <w:rPr>
          <w:rFonts w:ascii="Arial" w:hAnsi="Arial" w:cs="Arial"/>
          <w:sz w:val="24"/>
          <w:szCs w:val="24"/>
        </w:rPr>
        <w:t>considered.</w:t>
      </w:r>
      <w:r w:rsidR="00574BC5" w:rsidRPr="008911AC">
        <w:rPr>
          <w:rFonts w:ascii="Arial" w:hAnsi="Arial" w:cs="Arial"/>
          <w:sz w:val="24"/>
          <w:szCs w:val="24"/>
        </w:rPr>
        <w:t xml:space="preserve"> It must </w:t>
      </w:r>
      <w:proofErr w:type="gramStart"/>
      <w:r w:rsidR="00574BC5" w:rsidRPr="008911AC">
        <w:rPr>
          <w:rFonts w:ascii="Arial" w:hAnsi="Arial" w:cs="Arial"/>
          <w:sz w:val="24"/>
          <w:szCs w:val="24"/>
        </w:rPr>
        <w:t>take into account</w:t>
      </w:r>
      <w:proofErr w:type="gramEnd"/>
      <w:r w:rsidR="00574BC5" w:rsidRPr="008911AC">
        <w:rPr>
          <w:rFonts w:ascii="Arial" w:hAnsi="Arial" w:cs="Arial"/>
          <w:sz w:val="24"/>
          <w:szCs w:val="24"/>
        </w:rPr>
        <w:t xml:space="preserve"> the</w:t>
      </w:r>
      <w:r w:rsidR="008911AC">
        <w:rPr>
          <w:rFonts w:ascii="Arial" w:hAnsi="Arial" w:cs="Arial"/>
          <w:sz w:val="24"/>
          <w:szCs w:val="24"/>
        </w:rPr>
        <w:t xml:space="preserve"> </w:t>
      </w:r>
      <w:r w:rsidR="00574BC5" w:rsidRPr="008911AC">
        <w:rPr>
          <w:rFonts w:ascii="Arial" w:hAnsi="Arial" w:cs="Arial"/>
          <w:sz w:val="24"/>
          <w:szCs w:val="24"/>
        </w:rPr>
        <w:t>person</w:t>
      </w:r>
      <w:r w:rsidR="008911AC">
        <w:rPr>
          <w:rFonts w:ascii="Arial" w:hAnsi="Arial" w:cs="Arial"/>
          <w:sz w:val="24"/>
          <w:szCs w:val="24"/>
        </w:rPr>
        <w:t xml:space="preserve"> individual</w:t>
      </w:r>
      <w:r w:rsidR="00574BC5" w:rsidRPr="008911AC">
        <w:rPr>
          <w:rFonts w:ascii="Arial" w:hAnsi="Arial" w:cs="Arial"/>
          <w:sz w:val="24"/>
          <w:szCs w:val="24"/>
        </w:rPr>
        <w:t xml:space="preserve"> situation. It must not rise about the </w:t>
      </w:r>
      <w:r w:rsidR="00B007C8" w:rsidRPr="008911AC">
        <w:rPr>
          <w:rFonts w:ascii="Arial" w:hAnsi="Arial" w:cs="Arial"/>
          <w:sz w:val="24"/>
          <w:szCs w:val="24"/>
        </w:rPr>
        <w:t>state’s minimum social security pension. This is demonstrated in article 8 (4) CRD (Richmond,2016)</w:t>
      </w:r>
    </w:p>
    <w:p w14:paraId="32C87F30" w14:textId="4DEFB5AC" w:rsidR="00170772" w:rsidRPr="008911AC" w:rsidRDefault="001254F2" w:rsidP="002C2C0D">
      <w:pPr>
        <w:rPr>
          <w:rFonts w:ascii="Arial" w:hAnsi="Arial" w:cs="Arial"/>
          <w:sz w:val="24"/>
          <w:szCs w:val="24"/>
        </w:rPr>
      </w:pPr>
      <w:r w:rsidRPr="008911AC">
        <w:rPr>
          <w:rFonts w:ascii="Arial" w:hAnsi="Arial" w:cs="Arial"/>
          <w:sz w:val="24"/>
          <w:szCs w:val="24"/>
        </w:rPr>
        <w:t xml:space="preserve">Under Article 45(3) TFEU, </w:t>
      </w:r>
      <w:r w:rsidR="008911AC">
        <w:rPr>
          <w:rFonts w:ascii="Arial" w:hAnsi="Arial" w:cs="Arial"/>
          <w:sz w:val="24"/>
          <w:szCs w:val="24"/>
        </w:rPr>
        <w:t xml:space="preserve">it </w:t>
      </w:r>
      <w:r w:rsidRPr="008911AC">
        <w:rPr>
          <w:rFonts w:ascii="Arial" w:hAnsi="Arial" w:cs="Arial"/>
          <w:sz w:val="24"/>
          <w:szCs w:val="24"/>
        </w:rPr>
        <w:t xml:space="preserve">provides derogation </w:t>
      </w:r>
      <w:r w:rsidR="001C1108" w:rsidRPr="008911AC">
        <w:rPr>
          <w:rFonts w:ascii="Arial" w:hAnsi="Arial" w:cs="Arial"/>
          <w:sz w:val="24"/>
          <w:szCs w:val="24"/>
        </w:rPr>
        <w:t xml:space="preserve">justification on the </w:t>
      </w:r>
      <w:r w:rsidR="0087728D" w:rsidRPr="008911AC">
        <w:rPr>
          <w:rFonts w:ascii="Arial" w:hAnsi="Arial" w:cs="Arial"/>
          <w:sz w:val="24"/>
          <w:szCs w:val="24"/>
        </w:rPr>
        <w:t>grounds</w:t>
      </w:r>
      <w:r w:rsidR="001C1108" w:rsidRPr="008911AC">
        <w:rPr>
          <w:rFonts w:ascii="Arial" w:hAnsi="Arial" w:cs="Arial"/>
          <w:sz w:val="24"/>
          <w:szCs w:val="24"/>
        </w:rPr>
        <w:t xml:space="preserve"> of public policy, public security and public health. This can limit citizenships right from Art 20 and 21 TFEU if a </w:t>
      </w:r>
      <w:r w:rsidR="0087728D" w:rsidRPr="008911AC">
        <w:rPr>
          <w:rFonts w:ascii="Arial" w:hAnsi="Arial" w:cs="Arial"/>
          <w:sz w:val="24"/>
          <w:szCs w:val="24"/>
        </w:rPr>
        <w:t>citizen</w:t>
      </w:r>
      <w:r w:rsidR="001C1108" w:rsidRPr="008911AC">
        <w:rPr>
          <w:rFonts w:ascii="Arial" w:hAnsi="Arial" w:cs="Arial"/>
          <w:sz w:val="24"/>
          <w:szCs w:val="24"/>
        </w:rPr>
        <w:t xml:space="preserve"> becomes a threat. </w:t>
      </w:r>
      <w:r w:rsidR="0087728D" w:rsidRPr="008911AC">
        <w:rPr>
          <w:rFonts w:ascii="Arial" w:hAnsi="Arial" w:cs="Arial"/>
          <w:sz w:val="24"/>
          <w:szCs w:val="24"/>
        </w:rPr>
        <w:t>In order</w:t>
      </w:r>
      <w:r w:rsidR="001C1108" w:rsidRPr="008911AC">
        <w:rPr>
          <w:rFonts w:ascii="Arial" w:hAnsi="Arial" w:cs="Arial"/>
          <w:sz w:val="24"/>
          <w:szCs w:val="24"/>
        </w:rPr>
        <w:t xml:space="preserve"> to provide protective measures, derogations can be used to refuse entry and even expel someone living in a member state</w:t>
      </w:r>
      <w:r w:rsidR="00B007C8" w:rsidRPr="008911AC">
        <w:rPr>
          <w:rFonts w:ascii="Arial" w:hAnsi="Arial" w:cs="Arial"/>
          <w:sz w:val="24"/>
          <w:szCs w:val="24"/>
        </w:rPr>
        <w:t xml:space="preserve"> (Turk, 2020)</w:t>
      </w:r>
      <w:r w:rsidR="001C1108" w:rsidRPr="008911AC">
        <w:rPr>
          <w:rFonts w:ascii="Arial" w:hAnsi="Arial" w:cs="Arial"/>
          <w:sz w:val="24"/>
          <w:szCs w:val="24"/>
        </w:rPr>
        <w:t xml:space="preserve">. </w:t>
      </w:r>
      <w:r w:rsidR="005A07BD" w:rsidRPr="008911AC">
        <w:rPr>
          <w:rFonts w:ascii="Arial" w:hAnsi="Arial" w:cs="Arial"/>
          <w:sz w:val="24"/>
          <w:szCs w:val="24"/>
        </w:rPr>
        <w:t xml:space="preserve"> </w:t>
      </w:r>
    </w:p>
    <w:p w14:paraId="47C544B0" w14:textId="6EE535CC" w:rsidR="005A07BD" w:rsidRPr="008911AC" w:rsidRDefault="00802407" w:rsidP="00802407">
      <w:pPr>
        <w:rPr>
          <w:rFonts w:ascii="Arial" w:hAnsi="Arial" w:cs="Arial"/>
          <w:sz w:val="24"/>
          <w:szCs w:val="24"/>
        </w:rPr>
      </w:pPr>
      <w:r w:rsidRPr="008911AC">
        <w:rPr>
          <w:rFonts w:ascii="Arial" w:hAnsi="Arial" w:cs="Arial"/>
          <w:sz w:val="24"/>
          <w:szCs w:val="24"/>
        </w:rPr>
        <w:t xml:space="preserve">In relation to </w:t>
      </w:r>
      <w:r w:rsidR="005B0F8C" w:rsidRPr="008911AC">
        <w:rPr>
          <w:rFonts w:ascii="Arial" w:hAnsi="Arial" w:cs="Arial"/>
          <w:sz w:val="24"/>
          <w:szCs w:val="24"/>
        </w:rPr>
        <w:t xml:space="preserve">Mary, her relationship to Adrianus would not be </w:t>
      </w:r>
      <w:proofErr w:type="gramStart"/>
      <w:r w:rsidR="005B0F8C" w:rsidRPr="008911AC">
        <w:rPr>
          <w:rFonts w:ascii="Arial" w:hAnsi="Arial" w:cs="Arial"/>
          <w:sz w:val="24"/>
          <w:szCs w:val="24"/>
        </w:rPr>
        <w:t>taking into account</w:t>
      </w:r>
      <w:proofErr w:type="gramEnd"/>
      <w:r w:rsidR="005B0F8C" w:rsidRPr="008911AC">
        <w:rPr>
          <w:rFonts w:ascii="Arial" w:hAnsi="Arial" w:cs="Arial"/>
          <w:sz w:val="24"/>
          <w:szCs w:val="24"/>
        </w:rPr>
        <w:t xml:space="preserve"> because under article 2 CRD; they are not in a legal relationship such as marriage. They are only in a relationship. Also, Adrianus only works part-time which means </w:t>
      </w:r>
      <w:r w:rsidR="005B0F8C" w:rsidRPr="008911AC">
        <w:rPr>
          <w:rFonts w:ascii="Arial" w:hAnsi="Arial" w:cs="Arial"/>
          <w:sz w:val="24"/>
          <w:szCs w:val="24"/>
        </w:rPr>
        <w:lastRenderedPageBreak/>
        <w:t xml:space="preserve">that he would not have sufficient resource to keep himself and Mary. Again, as they are not in a legal relationship Mary would have to qualify separately. </w:t>
      </w:r>
      <w:r w:rsidR="000A7962" w:rsidRPr="008911AC">
        <w:rPr>
          <w:rFonts w:ascii="Arial" w:hAnsi="Arial" w:cs="Arial"/>
          <w:sz w:val="24"/>
          <w:szCs w:val="24"/>
        </w:rPr>
        <w:t xml:space="preserve">Although, </w:t>
      </w:r>
      <w:r w:rsidR="005A07BD" w:rsidRPr="008911AC">
        <w:rPr>
          <w:rFonts w:ascii="Arial" w:hAnsi="Arial" w:cs="Arial"/>
          <w:sz w:val="24"/>
          <w:szCs w:val="24"/>
        </w:rPr>
        <w:t>article</w:t>
      </w:r>
      <w:r w:rsidR="000A7962" w:rsidRPr="008911AC">
        <w:rPr>
          <w:rFonts w:ascii="Arial" w:hAnsi="Arial" w:cs="Arial"/>
          <w:sz w:val="24"/>
          <w:szCs w:val="24"/>
        </w:rPr>
        <w:t xml:space="preserve"> 3(2) </w:t>
      </w:r>
      <w:r w:rsidR="00897982" w:rsidRPr="008911AC">
        <w:rPr>
          <w:rFonts w:ascii="Arial" w:hAnsi="Arial" w:cs="Arial"/>
          <w:sz w:val="24"/>
          <w:szCs w:val="24"/>
        </w:rPr>
        <w:t>related</w:t>
      </w:r>
      <w:r w:rsidR="000A7962" w:rsidRPr="008911AC">
        <w:rPr>
          <w:rFonts w:ascii="Arial" w:hAnsi="Arial" w:cs="Arial"/>
          <w:sz w:val="24"/>
          <w:szCs w:val="24"/>
        </w:rPr>
        <w:t xml:space="preserve"> to unmarried partners, because Mary </w:t>
      </w:r>
      <w:r w:rsidR="005A07BD" w:rsidRPr="008911AC">
        <w:rPr>
          <w:rFonts w:ascii="Arial" w:hAnsi="Arial" w:cs="Arial"/>
          <w:sz w:val="24"/>
          <w:szCs w:val="24"/>
        </w:rPr>
        <w:t>has a</w:t>
      </w:r>
      <w:r w:rsidR="000A7962" w:rsidRPr="008911AC">
        <w:rPr>
          <w:rFonts w:ascii="Arial" w:hAnsi="Arial" w:cs="Arial"/>
          <w:sz w:val="24"/>
          <w:szCs w:val="24"/>
        </w:rPr>
        <w:t xml:space="preserve"> durable relationship with </w:t>
      </w:r>
      <w:r w:rsidR="00897982" w:rsidRPr="008911AC">
        <w:rPr>
          <w:rFonts w:ascii="Arial" w:hAnsi="Arial" w:cs="Arial"/>
          <w:sz w:val="24"/>
          <w:szCs w:val="24"/>
        </w:rPr>
        <w:t xml:space="preserve">Adrianus. There is an obligation to facilitate entry. If Mary </w:t>
      </w:r>
      <w:r w:rsidR="005A07BD" w:rsidRPr="008911AC">
        <w:rPr>
          <w:rFonts w:ascii="Arial" w:hAnsi="Arial" w:cs="Arial"/>
          <w:sz w:val="24"/>
          <w:szCs w:val="24"/>
        </w:rPr>
        <w:t>were</w:t>
      </w:r>
      <w:r w:rsidR="00897982" w:rsidRPr="008911AC">
        <w:rPr>
          <w:rFonts w:ascii="Arial" w:hAnsi="Arial" w:cs="Arial"/>
          <w:sz w:val="24"/>
          <w:szCs w:val="24"/>
        </w:rPr>
        <w:t xml:space="preserve"> to enter in to a fraudulent or marriage of convenience, under Art 35 the member state has the right to refuse the rights gained. Mary also has some saving she could use to support her during her studie</w:t>
      </w:r>
      <w:r w:rsidR="00170772" w:rsidRPr="008911AC">
        <w:rPr>
          <w:rFonts w:ascii="Arial" w:hAnsi="Arial" w:cs="Arial"/>
          <w:sz w:val="24"/>
          <w:szCs w:val="24"/>
        </w:rPr>
        <w:t xml:space="preserve">s but when that runs </w:t>
      </w:r>
      <w:r w:rsidR="005A07BD" w:rsidRPr="008911AC">
        <w:rPr>
          <w:rFonts w:ascii="Arial" w:hAnsi="Arial" w:cs="Arial"/>
          <w:sz w:val="24"/>
          <w:szCs w:val="24"/>
        </w:rPr>
        <w:t>out,</w:t>
      </w:r>
      <w:r w:rsidR="00170772" w:rsidRPr="008911AC">
        <w:rPr>
          <w:rFonts w:ascii="Arial" w:hAnsi="Arial" w:cs="Arial"/>
          <w:sz w:val="24"/>
          <w:szCs w:val="24"/>
        </w:rPr>
        <w:t xml:space="preserve"> she would not be able to apply for social support because this is not permitted.</w:t>
      </w:r>
      <w:r w:rsidR="005A07BD" w:rsidRPr="008911AC">
        <w:rPr>
          <w:rFonts w:ascii="Arial" w:hAnsi="Arial" w:cs="Arial"/>
          <w:sz w:val="24"/>
          <w:szCs w:val="24"/>
        </w:rPr>
        <w:t xml:space="preserve"> </w:t>
      </w:r>
      <w:r w:rsidR="008911AC">
        <w:rPr>
          <w:rFonts w:ascii="Arial" w:hAnsi="Arial" w:cs="Arial"/>
          <w:sz w:val="24"/>
          <w:szCs w:val="24"/>
        </w:rPr>
        <w:t>If Mary were to show that she was actively job-seeking she will not be expelled from the member state.</w:t>
      </w:r>
    </w:p>
    <w:p w14:paraId="61C72597" w14:textId="412074DD" w:rsidR="00550BED" w:rsidRPr="008911AC" w:rsidRDefault="005B0F8C" w:rsidP="0058571C">
      <w:pPr>
        <w:rPr>
          <w:rFonts w:ascii="Arial" w:hAnsi="Arial" w:cs="Arial"/>
          <w:sz w:val="24"/>
          <w:szCs w:val="24"/>
        </w:rPr>
      </w:pPr>
      <w:r w:rsidRPr="008911AC">
        <w:rPr>
          <w:rFonts w:ascii="Arial" w:hAnsi="Arial" w:cs="Arial"/>
          <w:sz w:val="24"/>
          <w:szCs w:val="24"/>
        </w:rPr>
        <w:t xml:space="preserve">In </w:t>
      </w:r>
      <w:r w:rsidR="00B007C8" w:rsidRPr="008911AC">
        <w:rPr>
          <w:rFonts w:ascii="Arial" w:hAnsi="Arial" w:cs="Arial"/>
          <w:sz w:val="24"/>
          <w:szCs w:val="24"/>
        </w:rPr>
        <w:t>Nancy’s</w:t>
      </w:r>
      <w:r w:rsidR="00802407" w:rsidRPr="008911AC">
        <w:rPr>
          <w:rFonts w:ascii="Arial" w:hAnsi="Arial" w:cs="Arial"/>
          <w:sz w:val="24"/>
          <w:szCs w:val="24"/>
        </w:rPr>
        <w:t xml:space="preserve"> </w:t>
      </w:r>
      <w:r w:rsidRPr="008911AC">
        <w:rPr>
          <w:rFonts w:ascii="Arial" w:hAnsi="Arial" w:cs="Arial"/>
          <w:sz w:val="24"/>
          <w:szCs w:val="24"/>
        </w:rPr>
        <w:t xml:space="preserve">case although Nancy is only an aunt of Mary, she </w:t>
      </w:r>
      <w:r w:rsidR="008911AC">
        <w:rPr>
          <w:rFonts w:ascii="Arial" w:hAnsi="Arial" w:cs="Arial"/>
          <w:sz w:val="24"/>
          <w:szCs w:val="24"/>
        </w:rPr>
        <w:t xml:space="preserve">is very </w:t>
      </w:r>
      <w:r w:rsidR="008911AC" w:rsidRPr="008911AC">
        <w:rPr>
          <w:rFonts w:ascii="Arial" w:hAnsi="Arial" w:cs="Arial"/>
          <w:sz w:val="24"/>
          <w:szCs w:val="24"/>
        </w:rPr>
        <w:t>dependent</w:t>
      </w:r>
      <w:r w:rsidRPr="008911AC">
        <w:rPr>
          <w:rFonts w:ascii="Arial" w:hAnsi="Arial" w:cs="Arial"/>
          <w:sz w:val="24"/>
          <w:szCs w:val="24"/>
        </w:rPr>
        <w:t xml:space="preserve"> on her. This is because </w:t>
      </w:r>
      <w:r w:rsidR="00802407" w:rsidRPr="008911AC">
        <w:rPr>
          <w:rFonts w:ascii="Arial" w:hAnsi="Arial" w:cs="Arial"/>
          <w:sz w:val="24"/>
          <w:szCs w:val="24"/>
        </w:rPr>
        <w:t xml:space="preserve">she relies on Mary to care for her. Mary helps her with her personal care as Nancy has serious health problems. </w:t>
      </w:r>
      <w:r w:rsidRPr="008911AC">
        <w:rPr>
          <w:rFonts w:ascii="Arial" w:hAnsi="Arial" w:cs="Arial"/>
          <w:sz w:val="24"/>
          <w:szCs w:val="24"/>
        </w:rPr>
        <w:t>Article</w:t>
      </w:r>
      <w:r w:rsidR="00802407" w:rsidRPr="008911AC">
        <w:rPr>
          <w:rFonts w:ascii="Arial" w:hAnsi="Arial" w:cs="Arial"/>
          <w:sz w:val="24"/>
          <w:szCs w:val="24"/>
        </w:rPr>
        <w:t xml:space="preserve"> 3</w:t>
      </w:r>
      <w:r w:rsidR="00897982" w:rsidRPr="008911AC">
        <w:rPr>
          <w:rFonts w:ascii="Arial" w:hAnsi="Arial" w:cs="Arial"/>
          <w:sz w:val="24"/>
          <w:szCs w:val="24"/>
        </w:rPr>
        <w:t xml:space="preserve"> </w:t>
      </w:r>
      <w:r w:rsidR="00802407" w:rsidRPr="008911AC">
        <w:rPr>
          <w:rFonts w:ascii="Arial" w:hAnsi="Arial" w:cs="Arial"/>
          <w:sz w:val="24"/>
          <w:szCs w:val="24"/>
        </w:rPr>
        <w:t>covers this because again Nancy needs Mary to care for her</w:t>
      </w:r>
      <w:r w:rsidR="008911AC">
        <w:rPr>
          <w:rFonts w:ascii="Arial" w:hAnsi="Arial" w:cs="Arial"/>
          <w:sz w:val="24"/>
          <w:szCs w:val="24"/>
        </w:rPr>
        <w:t xml:space="preserve"> </w:t>
      </w:r>
      <w:r w:rsidR="00905C85">
        <w:rPr>
          <w:rFonts w:ascii="Arial" w:hAnsi="Arial" w:cs="Arial"/>
          <w:sz w:val="24"/>
          <w:szCs w:val="24"/>
        </w:rPr>
        <w:t xml:space="preserve">and Nancy is not an immediate family member like Oscar. </w:t>
      </w:r>
      <w:r w:rsidR="000A7962" w:rsidRPr="008911AC">
        <w:rPr>
          <w:rFonts w:ascii="Arial" w:hAnsi="Arial" w:cs="Arial"/>
          <w:sz w:val="24"/>
          <w:szCs w:val="24"/>
        </w:rPr>
        <w:t>Article</w:t>
      </w:r>
      <w:r w:rsidRPr="008911AC">
        <w:rPr>
          <w:rFonts w:ascii="Arial" w:hAnsi="Arial" w:cs="Arial"/>
          <w:sz w:val="24"/>
          <w:szCs w:val="24"/>
        </w:rPr>
        <w:t xml:space="preserve"> 8(4) is relevant to Nancy because the member state cannot use a fixed amount of money</w:t>
      </w:r>
      <w:r w:rsidR="000A7962" w:rsidRPr="008911AC">
        <w:rPr>
          <w:rFonts w:ascii="Arial" w:hAnsi="Arial" w:cs="Arial"/>
          <w:sz w:val="24"/>
          <w:szCs w:val="24"/>
        </w:rPr>
        <w:t>, they have to access the personal situation. They cannot require an amount above the threshold in the state</w:t>
      </w:r>
      <w:r w:rsidR="00B007C8" w:rsidRPr="008911AC">
        <w:rPr>
          <w:rFonts w:ascii="Arial" w:hAnsi="Arial" w:cs="Arial"/>
          <w:sz w:val="24"/>
          <w:szCs w:val="24"/>
        </w:rPr>
        <w:t xml:space="preserve"> </w:t>
      </w:r>
      <w:r w:rsidR="00B007C8" w:rsidRPr="008911AC">
        <w:rPr>
          <w:rFonts w:ascii="Arial" w:hAnsi="Arial" w:cs="Arial"/>
          <w:sz w:val="24"/>
          <w:szCs w:val="24"/>
        </w:rPr>
        <w:t>(Richmond,2016)</w:t>
      </w:r>
      <w:r w:rsidR="000A7962" w:rsidRPr="008911AC">
        <w:rPr>
          <w:rFonts w:ascii="Arial" w:hAnsi="Arial" w:cs="Arial"/>
          <w:sz w:val="24"/>
          <w:szCs w:val="24"/>
        </w:rPr>
        <w:t xml:space="preserve">. It also related to Mary because the CJ has made it clear that the EU citizen does not have to possess the resources personally. This means that they would have some sufficient resources because Nancy receives a French disability pension from her husbands’ employers. </w:t>
      </w:r>
      <w:r w:rsidR="00905C85">
        <w:rPr>
          <w:rFonts w:ascii="Arial" w:hAnsi="Arial" w:cs="Arial"/>
          <w:sz w:val="24"/>
          <w:szCs w:val="24"/>
        </w:rPr>
        <w:t xml:space="preserve">Which could cover their sufficient resource when Mary saving runs out. </w:t>
      </w:r>
    </w:p>
    <w:p w14:paraId="2120EFF3" w14:textId="3A4ABFC9" w:rsidR="000A7962" w:rsidRPr="008911AC" w:rsidRDefault="000A7962" w:rsidP="0058571C">
      <w:pPr>
        <w:rPr>
          <w:rFonts w:ascii="Arial" w:hAnsi="Arial" w:cs="Arial"/>
          <w:sz w:val="24"/>
          <w:szCs w:val="24"/>
        </w:rPr>
      </w:pPr>
      <w:r w:rsidRPr="008911AC">
        <w:rPr>
          <w:rFonts w:ascii="Arial" w:hAnsi="Arial" w:cs="Arial"/>
          <w:sz w:val="24"/>
          <w:szCs w:val="24"/>
        </w:rPr>
        <w:t xml:space="preserve">Oscar has the right to join Mary in the Netherlands because under recital 5 CRD and </w:t>
      </w:r>
      <w:r w:rsidR="00897982" w:rsidRPr="008911AC">
        <w:rPr>
          <w:rFonts w:ascii="Arial" w:hAnsi="Arial" w:cs="Arial"/>
          <w:sz w:val="24"/>
          <w:szCs w:val="24"/>
        </w:rPr>
        <w:t>article</w:t>
      </w:r>
      <w:r w:rsidRPr="008911AC">
        <w:rPr>
          <w:rFonts w:ascii="Arial" w:hAnsi="Arial" w:cs="Arial"/>
          <w:sz w:val="24"/>
          <w:szCs w:val="24"/>
        </w:rPr>
        <w:t xml:space="preserve"> 2 CRD, he is </w:t>
      </w:r>
      <w:r w:rsidR="00897982" w:rsidRPr="008911AC">
        <w:rPr>
          <w:rFonts w:ascii="Arial" w:hAnsi="Arial" w:cs="Arial"/>
          <w:sz w:val="24"/>
          <w:szCs w:val="24"/>
        </w:rPr>
        <w:t>Mary’s</w:t>
      </w:r>
      <w:r w:rsidRPr="008911AC">
        <w:rPr>
          <w:rFonts w:ascii="Arial" w:hAnsi="Arial" w:cs="Arial"/>
          <w:sz w:val="24"/>
          <w:szCs w:val="24"/>
        </w:rPr>
        <w:t xml:space="preserve"> dependant. Oscar is classed as </w:t>
      </w:r>
      <w:r w:rsidR="00897982" w:rsidRPr="008911AC">
        <w:rPr>
          <w:rFonts w:ascii="Arial" w:hAnsi="Arial" w:cs="Arial"/>
          <w:sz w:val="24"/>
          <w:szCs w:val="24"/>
        </w:rPr>
        <w:t>M</w:t>
      </w:r>
      <w:r w:rsidRPr="008911AC">
        <w:rPr>
          <w:rFonts w:ascii="Arial" w:hAnsi="Arial" w:cs="Arial"/>
          <w:sz w:val="24"/>
          <w:szCs w:val="24"/>
        </w:rPr>
        <w:t>ary</w:t>
      </w:r>
      <w:r w:rsidR="00905C85">
        <w:rPr>
          <w:rFonts w:ascii="Arial" w:hAnsi="Arial" w:cs="Arial"/>
          <w:sz w:val="24"/>
          <w:szCs w:val="24"/>
        </w:rPr>
        <w:t>`s</w:t>
      </w:r>
      <w:r w:rsidRPr="008911AC">
        <w:rPr>
          <w:rFonts w:ascii="Arial" w:hAnsi="Arial" w:cs="Arial"/>
          <w:sz w:val="24"/>
          <w:szCs w:val="24"/>
        </w:rPr>
        <w:t xml:space="preserve"> dependant because he </w:t>
      </w:r>
      <w:r w:rsidR="00905C85">
        <w:rPr>
          <w:rFonts w:ascii="Arial" w:hAnsi="Arial" w:cs="Arial"/>
          <w:sz w:val="24"/>
          <w:szCs w:val="24"/>
        </w:rPr>
        <w:t xml:space="preserve">is </w:t>
      </w:r>
      <w:r w:rsidRPr="008911AC">
        <w:rPr>
          <w:rFonts w:ascii="Arial" w:hAnsi="Arial" w:cs="Arial"/>
          <w:sz w:val="24"/>
          <w:szCs w:val="24"/>
        </w:rPr>
        <w:t xml:space="preserve">under the age of 18 years old and is a </w:t>
      </w:r>
      <w:r w:rsidR="00897982" w:rsidRPr="008911AC">
        <w:rPr>
          <w:rFonts w:ascii="Arial" w:hAnsi="Arial" w:cs="Arial"/>
          <w:sz w:val="24"/>
          <w:szCs w:val="24"/>
        </w:rPr>
        <w:t xml:space="preserve">classed as a direct descendant. </w:t>
      </w:r>
      <w:r w:rsidR="001C1108" w:rsidRPr="008911AC">
        <w:rPr>
          <w:rFonts w:ascii="Arial" w:hAnsi="Arial" w:cs="Arial"/>
          <w:sz w:val="24"/>
          <w:szCs w:val="24"/>
        </w:rPr>
        <w:t xml:space="preserve">However, it could be argued that Oscar may be a risk to public policy and public security due to him setting a fire in his hospital. This is because it could be argued that Oscar causes a risk of reoffending due to his mental health. This could be </w:t>
      </w:r>
      <w:r w:rsidR="0087728D" w:rsidRPr="008911AC">
        <w:rPr>
          <w:rFonts w:ascii="Arial" w:hAnsi="Arial" w:cs="Arial"/>
          <w:sz w:val="24"/>
          <w:szCs w:val="24"/>
        </w:rPr>
        <w:t>demonstrating</w:t>
      </w:r>
      <w:r w:rsidR="001C1108" w:rsidRPr="008911AC">
        <w:rPr>
          <w:rFonts w:ascii="Arial" w:hAnsi="Arial" w:cs="Arial"/>
          <w:sz w:val="24"/>
          <w:szCs w:val="24"/>
        </w:rPr>
        <w:t xml:space="preserve"> in the case 30/77 </w:t>
      </w:r>
      <w:r w:rsidR="0087728D" w:rsidRPr="008911AC">
        <w:rPr>
          <w:rFonts w:ascii="Arial" w:hAnsi="Arial" w:cs="Arial"/>
          <w:sz w:val="24"/>
          <w:szCs w:val="24"/>
        </w:rPr>
        <w:t>Bouchereau [</w:t>
      </w:r>
      <w:r w:rsidR="001C1108" w:rsidRPr="008911AC">
        <w:rPr>
          <w:rFonts w:ascii="Arial" w:hAnsi="Arial" w:cs="Arial"/>
          <w:sz w:val="24"/>
          <w:szCs w:val="24"/>
        </w:rPr>
        <w:t xml:space="preserve">1977]. </w:t>
      </w:r>
      <w:r w:rsidR="0087728D" w:rsidRPr="008911AC">
        <w:rPr>
          <w:rFonts w:ascii="Arial" w:hAnsi="Arial" w:cs="Arial"/>
          <w:sz w:val="24"/>
          <w:szCs w:val="24"/>
        </w:rPr>
        <w:t>However,</w:t>
      </w:r>
      <w:r w:rsidR="001C1108" w:rsidRPr="008911AC">
        <w:rPr>
          <w:rFonts w:ascii="Arial" w:hAnsi="Arial" w:cs="Arial"/>
          <w:sz w:val="24"/>
          <w:szCs w:val="24"/>
        </w:rPr>
        <w:t xml:space="preserve"> under Art 28 CRD, it safeguards some </w:t>
      </w:r>
      <w:r w:rsidR="00905C85">
        <w:rPr>
          <w:rFonts w:ascii="Arial" w:hAnsi="Arial" w:cs="Arial"/>
          <w:sz w:val="24"/>
          <w:szCs w:val="24"/>
        </w:rPr>
        <w:t xml:space="preserve">people </w:t>
      </w:r>
      <w:r w:rsidR="001C1108" w:rsidRPr="008911AC">
        <w:rPr>
          <w:rFonts w:ascii="Arial" w:hAnsi="Arial" w:cs="Arial"/>
          <w:sz w:val="24"/>
          <w:szCs w:val="24"/>
        </w:rPr>
        <w:t xml:space="preserve">against expulsion on the ground of public policy and security if they suffer with </w:t>
      </w:r>
      <w:r w:rsidR="00905C85" w:rsidRPr="008911AC">
        <w:rPr>
          <w:rFonts w:ascii="Arial" w:hAnsi="Arial" w:cs="Arial"/>
          <w:sz w:val="24"/>
          <w:szCs w:val="24"/>
        </w:rPr>
        <w:t>their</w:t>
      </w:r>
      <w:r w:rsidR="001C1108" w:rsidRPr="008911AC">
        <w:rPr>
          <w:rFonts w:ascii="Arial" w:hAnsi="Arial" w:cs="Arial"/>
          <w:sz w:val="24"/>
          <w:szCs w:val="24"/>
        </w:rPr>
        <w:t xml:space="preserve"> mental health</w:t>
      </w:r>
      <w:r w:rsidR="00905C85">
        <w:rPr>
          <w:rFonts w:ascii="Arial" w:hAnsi="Arial" w:cs="Arial"/>
          <w:sz w:val="24"/>
          <w:szCs w:val="24"/>
        </w:rPr>
        <w:t xml:space="preserve"> (European Parliament</w:t>
      </w:r>
      <w:r w:rsidR="001C1108" w:rsidRPr="008911AC">
        <w:rPr>
          <w:rFonts w:ascii="Arial" w:hAnsi="Arial" w:cs="Arial"/>
          <w:sz w:val="24"/>
          <w:szCs w:val="24"/>
        </w:rPr>
        <w:t>.</w:t>
      </w:r>
      <w:r w:rsidR="00905C85">
        <w:rPr>
          <w:rFonts w:ascii="Arial" w:hAnsi="Arial" w:cs="Arial"/>
          <w:sz w:val="24"/>
          <w:szCs w:val="24"/>
        </w:rPr>
        <w:t>2021)</w:t>
      </w:r>
      <w:r w:rsidR="001C1108" w:rsidRPr="008911AC">
        <w:rPr>
          <w:rFonts w:ascii="Arial" w:hAnsi="Arial" w:cs="Arial"/>
          <w:sz w:val="24"/>
          <w:szCs w:val="24"/>
        </w:rPr>
        <w:t xml:space="preserve"> </w:t>
      </w:r>
    </w:p>
    <w:p w14:paraId="2B4D055A" w14:textId="6C6A63C0" w:rsidR="005A07BD" w:rsidRPr="008911AC" w:rsidRDefault="00897982" w:rsidP="005A07BD">
      <w:pPr>
        <w:rPr>
          <w:rFonts w:ascii="Arial" w:hAnsi="Arial" w:cs="Arial"/>
          <w:sz w:val="24"/>
          <w:szCs w:val="24"/>
        </w:rPr>
      </w:pPr>
      <w:r w:rsidRPr="008911AC">
        <w:rPr>
          <w:rFonts w:ascii="Arial" w:hAnsi="Arial" w:cs="Arial"/>
          <w:sz w:val="24"/>
          <w:szCs w:val="24"/>
        </w:rPr>
        <w:t xml:space="preserve">To conclude, Mary and Oscar are of Irish nationality meaning that because the UK was apart of the European union that they would be classed as EU citizens anyway. Also, they would be allowed to stay after the </w:t>
      </w:r>
      <w:r w:rsidR="00170772" w:rsidRPr="008911AC">
        <w:rPr>
          <w:rFonts w:ascii="Arial" w:hAnsi="Arial" w:cs="Arial"/>
          <w:sz w:val="24"/>
          <w:szCs w:val="24"/>
        </w:rPr>
        <w:t>3-month</w:t>
      </w:r>
      <w:r w:rsidRPr="008911AC">
        <w:rPr>
          <w:rFonts w:ascii="Arial" w:hAnsi="Arial" w:cs="Arial"/>
          <w:sz w:val="24"/>
          <w:szCs w:val="24"/>
        </w:rPr>
        <w:t xml:space="preserve"> period is up because Mary was </w:t>
      </w:r>
      <w:r w:rsidR="005A07BD" w:rsidRPr="008911AC">
        <w:rPr>
          <w:rFonts w:ascii="Arial" w:hAnsi="Arial" w:cs="Arial"/>
          <w:sz w:val="24"/>
          <w:szCs w:val="24"/>
        </w:rPr>
        <w:t xml:space="preserve">becoming a Student and would then be seeking employment.  </w:t>
      </w:r>
      <w:r w:rsidR="005A07BD" w:rsidRPr="008911AC">
        <w:rPr>
          <w:rFonts w:ascii="Arial" w:hAnsi="Arial" w:cs="Arial"/>
          <w:sz w:val="24"/>
          <w:szCs w:val="24"/>
        </w:rPr>
        <w:t xml:space="preserve">Therefore, Mary would be entitled to </w:t>
      </w:r>
      <w:r w:rsidR="0087728D" w:rsidRPr="008911AC">
        <w:rPr>
          <w:rFonts w:ascii="Arial" w:hAnsi="Arial" w:cs="Arial"/>
          <w:sz w:val="24"/>
          <w:szCs w:val="24"/>
        </w:rPr>
        <w:t>go to</w:t>
      </w:r>
      <w:r w:rsidR="005A07BD" w:rsidRPr="008911AC">
        <w:rPr>
          <w:rFonts w:ascii="Arial" w:hAnsi="Arial" w:cs="Arial"/>
          <w:sz w:val="24"/>
          <w:szCs w:val="24"/>
        </w:rPr>
        <w:t xml:space="preserve"> the Netherlands. </w:t>
      </w:r>
      <w:r w:rsidR="00336D75" w:rsidRPr="008911AC">
        <w:rPr>
          <w:rFonts w:ascii="Arial" w:hAnsi="Arial" w:cs="Arial"/>
          <w:sz w:val="24"/>
          <w:szCs w:val="24"/>
        </w:rPr>
        <w:t xml:space="preserve">It </w:t>
      </w:r>
      <w:r w:rsidR="00905C85">
        <w:rPr>
          <w:rFonts w:ascii="Arial" w:hAnsi="Arial" w:cs="Arial"/>
          <w:sz w:val="24"/>
          <w:szCs w:val="24"/>
        </w:rPr>
        <w:t xml:space="preserve">is </w:t>
      </w:r>
      <w:r w:rsidR="00336D75" w:rsidRPr="008911AC">
        <w:rPr>
          <w:rFonts w:ascii="Arial" w:hAnsi="Arial" w:cs="Arial"/>
          <w:sz w:val="24"/>
          <w:szCs w:val="24"/>
        </w:rPr>
        <w:t>also very interesting see that people are protected and allowed to mo</w:t>
      </w:r>
      <w:r w:rsidR="00905C85">
        <w:rPr>
          <w:rFonts w:ascii="Arial" w:hAnsi="Arial" w:cs="Arial"/>
          <w:sz w:val="24"/>
          <w:szCs w:val="24"/>
        </w:rPr>
        <w:t>v</w:t>
      </w:r>
      <w:r w:rsidR="00336D75" w:rsidRPr="008911AC">
        <w:rPr>
          <w:rFonts w:ascii="Arial" w:hAnsi="Arial" w:cs="Arial"/>
          <w:sz w:val="24"/>
          <w:szCs w:val="24"/>
        </w:rPr>
        <w:t xml:space="preserve">e freely between member states. It </w:t>
      </w:r>
      <w:r w:rsidR="00905C85">
        <w:rPr>
          <w:rFonts w:ascii="Arial" w:hAnsi="Arial" w:cs="Arial"/>
          <w:sz w:val="24"/>
          <w:szCs w:val="24"/>
        </w:rPr>
        <w:t xml:space="preserve">is </w:t>
      </w:r>
      <w:r w:rsidR="00336D75" w:rsidRPr="008911AC">
        <w:rPr>
          <w:rFonts w:ascii="Arial" w:hAnsi="Arial" w:cs="Arial"/>
          <w:sz w:val="24"/>
          <w:szCs w:val="24"/>
        </w:rPr>
        <w:t xml:space="preserve">also useful to know that a person could have resided in a member state for 3 </w:t>
      </w:r>
      <w:r w:rsidR="00905C85" w:rsidRPr="008911AC">
        <w:rPr>
          <w:rFonts w:ascii="Arial" w:hAnsi="Arial" w:cs="Arial"/>
          <w:sz w:val="24"/>
          <w:szCs w:val="24"/>
        </w:rPr>
        <w:t>months</w:t>
      </w:r>
      <w:r w:rsidR="00336D75" w:rsidRPr="008911AC">
        <w:rPr>
          <w:rFonts w:ascii="Arial" w:hAnsi="Arial" w:cs="Arial"/>
          <w:sz w:val="24"/>
          <w:szCs w:val="24"/>
        </w:rPr>
        <w:t xml:space="preserve"> without seeking employment. </w:t>
      </w:r>
    </w:p>
    <w:p w14:paraId="3D6527E7" w14:textId="7C6A124D" w:rsidR="005A07BD" w:rsidRPr="008911AC" w:rsidRDefault="005A07BD" w:rsidP="005A07BD">
      <w:pPr>
        <w:rPr>
          <w:rFonts w:ascii="Arial" w:hAnsi="Arial" w:cs="Arial"/>
          <w:sz w:val="24"/>
          <w:szCs w:val="24"/>
        </w:rPr>
      </w:pPr>
    </w:p>
    <w:p w14:paraId="03BE6D57" w14:textId="52AC6FE2" w:rsidR="005A07BD" w:rsidRPr="008911AC" w:rsidRDefault="0087728D" w:rsidP="005A07BD">
      <w:pPr>
        <w:rPr>
          <w:rFonts w:ascii="Arial" w:hAnsi="Arial" w:cs="Arial"/>
          <w:b/>
          <w:bCs/>
          <w:i/>
          <w:iCs/>
          <w:sz w:val="24"/>
          <w:szCs w:val="24"/>
          <w:u w:val="single"/>
        </w:rPr>
      </w:pPr>
      <w:r w:rsidRPr="008911AC">
        <w:rPr>
          <w:rFonts w:ascii="Arial" w:hAnsi="Arial" w:cs="Arial"/>
          <w:b/>
          <w:bCs/>
          <w:i/>
          <w:iCs/>
          <w:sz w:val="24"/>
          <w:szCs w:val="24"/>
          <w:u w:val="single"/>
        </w:rPr>
        <w:t xml:space="preserve">Reference </w:t>
      </w:r>
    </w:p>
    <w:p w14:paraId="073CB797" w14:textId="27AD85AE" w:rsidR="0087728D" w:rsidRPr="008911AC" w:rsidRDefault="0087728D" w:rsidP="005A07BD">
      <w:pPr>
        <w:rPr>
          <w:rFonts w:ascii="Arial" w:hAnsi="Arial" w:cs="Arial"/>
          <w:sz w:val="24"/>
          <w:szCs w:val="24"/>
        </w:rPr>
      </w:pPr>
      <w:r w:rsidRPr="008911AC">
        <w:rPr>
          <w:rFonts w:ascii="Arial" w:hAnsi="Arial" w:cs="Arial"/>
          <w:sz w:val="24"/>
          <w:szCs w:val="24"/>
        </w:rPr>
        <w:t xml:space="preserve">Ankersmit, L (2014) the out limits of article 18 TFEU? Available at URL </w:t>
      </w:r>
      <w:hyperlink r:id="rId19" w:history="1">
        <w:r w:rsidRPr="008911AC">
          <w:rPr>
            <w:rStyle w:val="Hyperlink"/>
            <w:rFonts w:ascii="Arial" w:hAnsi="Arial" w:cs="Arial"/>
            <w:sz w:val="24"/>
            <w:szCs w:val="24"/>
          </w:rPr>
          <w:t>https</w:t>
        </w:r>
        <w:r w:rsidRPr="008911AC">
          <w:rPr>
            <w:rStyle w:val="Hyperlink"/>
            <w:rFonts w:ascii="Arial" w:hAnsi="Arial" w:cs="Arial"/>
            <w:sz w:val="24"/>
            <w:szCs w:val="24"/>
          </w:rPr>
          <w:t>://europeanlawblog.eu/2014/03/24/the-outer-limits-of-article-18-tfeu-case-c-62811-international-jet-management</w:t>
        </w:r>
        <w:r w:rsidRPr="008911AC">
          <w:rPr>
            <w:rStyle w:val="Hyperlink"/>
            <w:rFonts w:ascii="Arial" w:hAnsi="Arial" w:cs="Arial"/>
            <w:sz w:val="24"/>
            <w:szCs w:val="24"/>
          </w:rPr>
          <w:t>/</w:t>
        </w:r>
      </w:hyperlink>
      <w:r w:rsidRPr="008911AC">
        <w:rPr>
          <w:rFonts w:ascii="Arial" w:hAnsi="Arial" w:cs="Arial"/>
          <w:sz w:val="24"/>
          <w:szCs w:val="24"/>
        </w:rPr>
        <w:t xml:space="preserve"> [Accessed;3 May 2021]</w:t>
      </w:r>
    </w:p>
    <w:p w14:paraId="085171D3" w14:textId="208EC803" w:rsidR="0087728D" w:rsidRPr="008911AC" w:rsidRDefault="0087728D" w:rsidP="005A07BD">
      <w:pPr>
        <w:rPr>
          <w:rFonts w:ascii="Arial" w:hAnsi="Arial" w:cs="Arial"/>
          <w:sz w:val="24"/>
          <w:szCs w:val="24"/>
        </w:rPr>
      </w:pPr>
      <w:r w:rsidRPr="008911AC">
        <w:rPr>
          <w:rFonts w:ascii="Arial" w:hAnsi="Arial" w:cs="Arial"/>
          <w:sz w:val="24"/>
          <w:szCs w:val="24"/>
        </w:rPr>
        <w:lastRenderedPageBreak/>
        <w:t xml:space="preserve">Crossan, S.J (2020) Article 21: TFEU. Available at URL </w:t>
      </w:r>
      <w:hyperlink r:id="rId20" w:history="1">
        <w:r w:rsidRPr="008911AC">
          <w:rPr>
            <w:rStyle w:val="Hyperlink"/>
            <w:rFonts w:ascii="Arial" w:hAnsi="Arial" w:cs="Arial"/>
            <w:sz w:val="24"/>
            <w:szCs w:val="24"/>
          </w:rPr>
          <w:t>https</w:t>
        </w:r>
        <w:r w:rsidRPr="008911AC">
          <w:rPr>
            <w:rStyle w:val="Hyperlink"/>
            <w:rFonts w:ascii="Arial" w:hAnsi="Arial" w:cs="Arial"/>
            <w:sz w:val="24"/>
            <w:szCs w:val="24"/>
          </w:rPr>
          <w:t>://seancrossansscotslaw.com/tag/article-21-tfeu/</w:t>
        </w:r>
      </w:hyperlink>
      <w:r w:rsidRPr="008911AC">
        <w:rPr>
          <w:rFonts w:ascii="Arial" w:hAnsi="Arial" w:cs="Arial"/>
          <w:sz w:val="24"/>
          <w:szCs w:val="24"/>
        </w:rPr>
        <w:t xml:space="preserve"> [Accessed; 3 May 2021]</w:t>
      </w:r>
    </w:p>
    <w:p w14:paraId="209BE6B2" w14:textId="307C797B" w:rsidR="00574BC5" w:rsidRPr="008911AC" w:rsidRDefault="00574BC5" w:rsidP="005A07BD">
      <w:pPr>
        <w:rPr>
          <w:rFonts w:ascii="Arial" w:hAnsi="Arial" w:cs="Arial"/>
          <w:sz w:val="24"/>
          <w:szCs w:val="24"/>
        </w:rPr>
      </w:pPr>
      <w:r w:rsidRPr="008911AC">
        <w:rPr>
          <w:rFonts w:ascii="Arial" w:hAnsi="Arial" w:cs="Arial"/>
          <w:sz w:val="24"/>
          <w:szCs w:val="24"/>
        </w:rPr>
        <w:t xml:space="preserve">European Parliament (2020) the citizens of the union and their rights. Available at URL </w:t>
      </w:r>
      <w:hyperlink r:id="rId21" w:history="1">
        <w:r w:rsidRPr="008911AC">
          <w:rPr>
            <w:rStyle w:val="Hyperlink"/>
            <w:rFonts w:ascii="Arial" w:hAnsi="Arial" w:cs="Arial"/>
            <w:sz w:val="24"/>
            <w:szCs w:val="24"/>
          </w:rPr>
          <w:t>https</w:t>
        </w:r>
        <w:r w:rsidRPr="008911AC">
          <w:rPr>
            <w:rStyle w:val="Hyperlink"/>
            <w:rFonts w:ascii="Arial" w:hAnsi="Arial" w:cs="Arial"/>
            <w:sz w:val="24"/>
            <w:szCs w:val="24"/>
          </w:rPr>
          <w:t>://www.europarl.europa.eu/factsheets/en/sheet/145/the-citizens-of-the-union-and-their-rights</w:t>
        </w:r>
      </w:hyperlink>
      <w:r w:rsidRPr="008911AC">
        <w:rPr>
          <w:rFonts w:ascii="Arial" w:hAnsi="Arial" w:cs="Arial"/>
          <w:sz w:val="24"/>
          <w:szCs w:val="24"/>
        </w:rPr>
        <w:t xml:space="preserve"> [Accessed; 3 May 2021]</w:t>
      </w:r>
    </w:p>
    <w:p w14:paraId="324D2446" w14:textId="32F88DA6" w:rsidR="00574BC5" w:rsidRPr="008911AC" w:rsidRDefault="00574BC5" w:rsidP="005A07BD">
      <w:pPr>
        <w:rPr>
          <w:rFonts w:ascii="Arial" w:hAnsi="Arial" w:cs="Arial"/>
          <w:sz w:val="24"/>
          <w:szCs w:val="24"/>
        </w:rPr>
      </w:pPr>
      <w:r w:rsidRPr="008911AC">
        <w:rPr>
          <w:rFonts w:ascii="Arial" w:hAnsi="Arial" w:cs="Arial"/>
          <w:sz w:val="24"/>
          <w:szCs w:val="24"/>
        </w:rPr>
        <w:t xml:space="preserve">Legislation.gov.uk (2021) Directive 2004/38 EC of the European parliament. Available at URL </w:t>
      </w:r>
      <w:hyperlink r:id="rId22" w:history="1">
        <w:r w:rsidRPr="008911AC">
          <w:rPr>
            <w:rStyle w:val="Hyperlink"/>
            <w:rFonts w:ascii="Arial" w:hAnsi="Arial" w:cs="Arial"/>
            <w:sz w:val="24"/>
            <w:szCs w:val="24"/>
          </w:rPr>
          <w:t>https</w:t>
        </w:r>
        <w:r w:rsidRPr="008911AC">
          <w:rPr>
            <w:rStyle w:val="Hyperlink"/>
            <w:rFonts w:ascii="Arial" w:hAnsi="Arial" w:cs="Arial"/>
            <w:sz w:val="24"/>
            <w:szCs w:val="24"/>
          </w:rPr>
          <w:t>://www.legislation.gov.uk/eudr/2004/38/contents</w:t>
        </w:r>
      </w:hyperlink>
      <w:r w:rsidRPr="008911AC">
        <w:rPr>
          <w:rFonts w:ascii="Arial" w:hAnsi="Arial" w:cs="Arial"/>
          <w:sz w:val="24"/>
          <w:szCs w:val="24"/>
        </w:rPr>
        <w:t xml:space="preserve"> [Accessed; 3 May 2021] </w:t>
      </w:r>
    </w:p>
    <w:p w14:paraId="045EFA44" w14:textId="43B12E8F" w:rsidR="00B007C8" w:rsidRPr="008911AC" w:rsidRDefault="00B007C8" w:rsidP="005A07BD">
      <w:pPr>
        <w:rPr>
          <w:rFonts w:ascii="Arial" w:hAnsi="Arial" w:cs="Arial"/>
          <w:sz w:val="24"/>
          <w:szCs w:val="24"/>
        </w:rPr>
      </w:pPr>
      <w:r w:rsidRPr="008911AC">
        <w:rPr>
          <w:rFonts w:ascii="Arial" w:hAnsi="Arial" w:cs="Arial"/>
          <w:sz w:val="24"/>
          <w:szCs w:val="24"/>
        </w:rPr>
        <w:t xml:space="preserve">Richmond, P (2016) Rights of residence for financially self-sufficient citizens. Available at URL </w:t>
      </w:r>
      <w:hyperlink r:id="rId23" w:history="1">
        <w:r w:rsidRPr="008911AC">
          <w:rPr>
            <w:rStyle w:val="Hyperlink"/>
            <w:rFonts w:ascii="Arial" w:hAnsi="Arial" w:cs="Arial"/>
            <w:sz w:val="24"/>
            <w:szCs w:val="24"/>
          </w:rPr>
          <w:t>https</w:t>
        </w:r>
        <w:r w:rsidRPr="008911AC">
          <w:rPr>
            <w:rStyle w:val="Hyperlink"/>
            <w:rFonts w:ascii="Arial" w:hAnsi="Arial" w:cs="Arial"/>
            <w:sz w:val="24"/>
            <w:szCs w:val="24"/>
          </w:rPr>
          <w:t>://immigrationbarrister.co.uk/rights-of-residence-for-financially-self-sufficient-eea-citizens/</w:t>
        </w:r>
      </w:hyperlink>
      <w:r w:rsidRPr="008911AC">
        <w:rPr>
          <w:rFonts w:ascii="Arial" w:hAnsi="Arial" w:cs="Arial"/>
          <w:sz w:val="24"/>
          <w:szCs w:val="24"/>
        </w:rPr>
        <w:t xml:space="preserve"> [Accessed; 3 May 2021]</w:t>
      </w:r>
    </w:p>
    <w:p w14:paraId="3C6B4F15" w14:textId="3D6E1324" w:rsidR="0087728D" w:rsidRPr="008911AC" w:rsidRDefault="0087728D" w:rsidP="005A07BD">
      <w:pPr>
        <w:rPr>
          <w:rFonts w:ascii="Arial" w:hAnsi="Arial" w:cs="Arial"/>
          <w:sz w:val="24"/>
          <w:szCs w:val="24"/>
        </w:rPr>
      </w:pPr>
      <w:proofErr w:type="spellStart"/>
      <w:proofErr w:type="gramStart"/>
      <w:r w:rsidRPr="008911AC">
        <w:rPr>
          <w:rFonts w:ascii="Arial" w:hAnsi="Arial" w:cs="Arial"/>
          <w:sz w:val="24"/>
          <w:szCs w:val="24"/>
        </w:rPr>
        <w:t>Stierl</w:t>
      </w:r>
      <w:proofErr w:type="spellEnd"/>
      <w:r w:rsidRPr="008911AC">
        <w:rPr>
          <w:rFonts w:ascii="Arial" w:hAnsi="Arial" w:cs="Arial"/>
          <w:sz w:val="24"/>
          <w:szCs w:val="24"/>
        </w:rPr>
        <w:t xml:space="preserve"> ,</w:t>
      </w:r>
      <w:proofErr w:type="gramEnd"/>
      <w:r w:rsidRPr="008911AC">
        <w:rPr>
          <w:rFonts w:ascii="Arial" w:hAnsi="Arial" w:cs="Arial"/>
          <w:sz w:val="24"/>
          <w:szCs w:val="24"/>
        </w:rPr>
        <w:t xml:space="preserve"> M (2020) Freedom of movement in a pandemic. Available at URL </w:t>
      </w:r>
      <w:hyperlink r:id="rId24" w:history="1">
        <w:r w:rsidRPr="008911AC">
          <w:rPr>
            <w:rStyle w:val="Hyperlink"/>
            <w:rFonts w:ascii="Arial" w:hAnsi="Arial" w:cs="Arial"/>
            <w:sz w:val="24"/>
            <w:szCs w:val="24"/>
          </w:rPr>
          <w:t>https:</w:t>
        </w:r>
        <w:r w:rsidRPr="008911AC">
          <w:rPr>
            <w:rStyle w:val="Hyperlink"/>
            <w:rFonts w:ascii="Arial" w:hAnsi="Arial" w:cs="Arial"/>
            <w:sz w:val="24"/>
            <w:szCs w:val="24"/>
          </w:rPr>
          <w:t>//www.opendemocracy.net/en/can-europe-make-it/what-happens-freedom-movement-during-pandemic/</w:t>
        </w:r>
      </w:hyperlink>
      <w:r w:rsidRPr="008911AC">
        <w:rPr>
          <w:rFonts w:ascii="Arial" w:hAnsi="Arial" w:cs="Arial"/>
          <w:sz w:val="24"/>
          <w:szCs w:val="24"/>
        </w:rPr>
        <w:t xml:space="preserve"> [Accessed; 27</w:t>
      </w:r>
      <w:r w:rsidRPr="008911AC">
        <w:rPr>
          <w:rFonts w:ascii="Arial" w:hAnsi="Arial" w:cs="Arial"/>
          <w:sz w:val="24"/>
          <w:szCs w:val="24"/>
          <w:vertAlign w:val="superscript"/>
        </w:rPr>
        <w:t>th</w:t>
      </w:r>
      <w:r w:rsidRPr="008911AC">
        <w:rPr>
          <w:rFonts w:ascii="Arial" w:hAnsi="Arial" w:cs="Arial"/>
          <w:sz w:val="24"/>
          <w:szCs w:val="24"/>
        </w:rPr>
        <w:t xml:space="preserve"> April 2021]</w:t>
      </w:r>
    </w:p>
    <w:p w14:paraId="737A9B0C" w14:textId="24AB5529" w:rsidR="005A07BD" w:rsidRPr="008911AC" w:rsidRDefault="00B007C8">
      <w:pPr>
        <w:rPr>
          <w:rFonts w:ascii="Arial" w:hAnsi="Arial" w:cs="Arial"/>
          <w:sz w:val="24"/>
          <w:szCs w:val="24"/>
        </w:rPr>
      </w:pPr>
      <w:r w:rsidRPr="008911AC">
        <w:rPr>
          <w:rFonts w:ascii="Arial" w:hAnsi="Arial" w:cs="Arial"/>
          <w:sz w:val="24"/>
          <w:szCs w:val="24"/>
        </w:rPr>
        <w:t xml:space="preserve">Turk, A (2020) free movement of EU </w:t>
      </w:r>
      <w:r w:rsidR="008911AC" w:rsidRPr="008911AC">
        <w:rPr>
          <w:rFonts w:ascii="Arial" w:hAnsi="Arial" w:cs="Arial"/>
          <w:sz w:val="24"/>
          <w:szCs w:val="24"/>
        </w:rPr>
        <w:t>workers</w:t>
      </w:r>
      <w:r w:rsidRPr="008911AC">
        <w:rPr>
          <w:rFonts w:ascii="Arial" w:hAnsi="Arial" w:cs="Arial"/>
          <w:sz w:val="24"/>
          <w:szCs w:val="24"/>
        </w:rPr>
        <w:t xml:space="preserve"> and citizens. Available at URL </w:t>
      </w:r>
      <w:hyperlink r:id="rId25" w:history="1">
        <w:r w:rsidR="00336D75" w:rsidRPr="008911AC">
          <w:rPr>
            <w:rStyle w:val="Hyperlink"/>
            <w:rFonts w:ascii="Arial" w:hAnsi="Arial" w:cs="Arial"/>
            <w:sz w:val="24"/>
            <w:szCs w:val="24"/>
          </w:rPr>
          <w:t>https</w:t>
        </w:r>
        <w:r w:rsidR="00336D75" w:rsidRPr="008911AC">
          <w:rPr>
            <w:rStyle w:val="Hyperlink"/>
            <w:rFonts w:ascii="Arial" w:hAnsi="Arial" w:cs="Arial"/>
            <w:sz w:val="24"/>
            <w:szCs w:val="24"/>
          </w:rPr>
          <w:t>://www.lexisnexis.co.uk/legal/guidance/free-movement-of-persons</w:t>
        </w:r>
      </w:hyperlink>
      <w:r w:rsidR="00336D75" w:rsidRPr="008911AC">
        <w:rPr>
          <w:rFonts w:ascii="Arial" w:hAnsi="Arial" w:cs="Arial"/>
          <w:sz w:val="24"/>
          <w:szCs w:val="24"/>
        </w:rPr>
        <w:t xml:space="preserve"> [Accessed; 3</w:t>
      </w:r>
      <w:r w:rsidR="00336D75" w:rsidRPr="008911AC">
        <w:rPr>
          <w:rFonts w:ascii="Arial" w:hAnsi="Arial" w:cs="Arial"/>
          <w:sz w:val="24"/>
          <w:szCs w:val="24"/>
          <w:vertAlign w:val="superscript"/>
        </w:rPr>
        <w:t>rd</w:t>
      </w:r>
      <w:r w:rsidR="00336D75" w:rsidRPr="008911AC">
        <w:rPr>
          <w:rFonts w:ascii="Arial" w:hAnsi="Arial" w:cs="Arial"/>
          <w:sz w:val="24"/>
          <w:szCs w:val="24"/>
        </w:rPr>
        <w:t xml:space="preserve"> May 2021]</w:t>
      </w:r>
    </w:p>
    <w:sectPr w:rsidR="005A07BD" w:rsidRPr="008911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66408" w14:textId="77777777" w:rsidR="002C25D3" w:rsidRDefault="002C25D3" w:rsidP="0058571C">
      <w:pPr>
        <w:spacing w:after="0" w:line="240" w:lineRule="auto"/>
      </w:pPr>
      <w:r>
        <w:separator/>
      </w:r>
    </w:p>
  </w:endnote>
  <w:endnote w:type="continuationSeparator" w:id="0">
    <w:p w14:paraId="08895756" w14:textId="77777777" w:rsidR="002C25D3" w:rsidRDefault="002C25D3" w:rsidP="00585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2A61D" w14:textId="77777777" w:rsidR="002C25D3" w:rsidRDefault="002C25D3" w:rsidP="0058571C">
      <w:pPr>
        <w:spacing w:after="0" w:line="240" w:lineRule="auto"/>
      </w:pPr>
      <w:r>
        <w:separator/>
      </w:r>
    </w:p>
  </w:footnote>
  <w:footnote w:type="continuationSeparator" w:id="0">
    <w:p w14:paraId="23F2AD1C" w14:textId="77777777" w:rsidR="002C25D3" w:rsidRDefault="002C25D3" w:rsidP="005857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71C"/>
    <w:rsid w:val="00026852"/>
    <w:rsid w:val="00073C09"/>
    <w:rsid w:val="00090590"/>
    <w:rsid w:val="000A7962"/>
    <w:rsid w:val="000B5F93"/>
    <w:rsid w:val="000C42F2"/>
    <w:rsid w:val="000D6CDF"/>
    <w:rsid w:val="0012523A"/>
    <w:rsid w:val="001254F2"/>
    <w:rsid w:val="0012638A"/>
    <w:rsid w:val="00170772"/>
    <w:rsid w:val="001C1108"/>
    <w:rsid w:val="001C6F6A"/>
    <w:rsid w:val="002472A4"/>
    <w:rsid w:val="00250A6B"/>
    <w:rsid w:val="00253EEE"/>
    <w:rsid w:val="002A10B1"/>
    <w:rsid w:val="002B3350"/>
    <w:rsid w:val="002C25D3"/>
    <w:rsid w:val="002C2C0D"/>
    <w:rsid w:val="002E1484"/>
    <w:rsid w:val="00322762"/>
    <w:rsid w:val="003362E8"/>
    <w:rsid w:val="00336D75"/>
    <w:rsid w:val="00342401"/>
    <w:rsid w:val="00387527"/>
    <w:rsid w:val="00396740"/>
    <w:rsid w:val="003B1A80"/>
    <w:rsid w:val="003C72FA"/>
    <w:rsid w:val="003F0D8A"/>
    <w:rsid w:val="00403919"/>
    <w:rsid w:val="00421086"/>
    <w:rsid w:val="00423C57"/>
    <w:rsid w:val="00424E15"/>
    <w:rsid w:val="004436B9"/>
    <w:rsid w:val="0044622D"/>
    <w:rsid w:val="00470053"/>
    <w:rsid w:val="004E4C0C"/>
    <w:rsid w:val="00500D26"/>
    <w:rsid w:val="00526C97"/>
    <w:rsid w:val="00530A42"/>
    <w:rsid w:val="00536EED"/>
    <w:rsid w:val="005427D7"/>
    <w:rsid w:val="00550BED"/>
    <w:rsid w:val="005604E6"/>
    <w:rsid w:val="00574BC5"/>
    <w:rsid w:val="0057637B"/>
    <w:rsid w:val="0058571C"/>
    <w:rsid w:val="005A07BD"/>
    <w:rsid w:val="005B0F8C"/>
    <w:rsid w:val="005C1D5C"/>
    <w:rsid w:val="005E6ABE"/>
    <w:rsid w:val="00626176"/>
    <w:rsid w:val="0063132C"/>
    <w:rsid w:val="006802FF"/>
    <w:rsid w:val="006F7540"/>
    <w:rsid w:val="00730DE6"/>
    <w:rsid w:val="00763E37"/>
    <w:rsid w:val="007770E3"/>
    <w:rsid w:val="007B77BF"/>
    <w:rsid w:val="007B7989"/>
    <w:rsid w:val="007D7A7A"/>
    <w:rsid w:val="007E55F3"/>
    <w:rsid w:val="007E5F77"/>
    <w:rsid w:val="00802407"/>
    <w:rsid w:val="0081735F"/>
    <w:rsid w:val="00820A82"/>
    <w:rsid w:val="00837706"/>
    <w:rsid w:val="00851807"/>
    <w:rsid w:val="008559A2"/>
    <w:rsid w:val="00874649"/>
    <w:rsid w:val="0087728D"/>
    <w:rsid w:val="008911AC"/>
    <w:rsid w:val="00897982"/>
    <w:rsid w:val="008A2E86"/>
    <w:rsid w:val="008B031C"/>
    <w:rsid w:val="008C6E28"/>
    <w:rsid w:val="00905C85"/>
    <w:rsid w:val="0091571C"/>
    <w:rsid w:val="009412FE"/>
    <w:rsid w:val="0096502E"/>
    <w:rsid w:val="00994DB8"/>
    <w:rsid w:val="009B1546"/>
    <w:rsid w:val="009B6725"/>
    <w:rsid w:val="009C7CD3"/>
    <w:rsid w:val="009E2926"/>
    <w:rsid w:val="00A346B7"/>
    <w:rsid w:val="00A446F4"/>
    <w:rsid w:val="00A61DC7"/>
    <w:rsid w:val="00A72ACB"/>
    <w:rsid w:val="00A91417"/>
    <w:rsid w:val="00B007C8"/>
    <w:rsid w:val="00B120F8"/>
    <w:rsid w:val="00B1303A"/>
    <w:rsid w:val="00B168E3"/>
    <w:rsid w:val="00B37A75"/>
    <w:rsid w:val="00BC5986"/>
    <w:rsid w:val="00BD0646"/>
    <w:rsid w:val="00BD3118"/>
    <w:rsid w:val="00BE22C7"/>
    <w:rsid w:val="00C2010F"/>
    <w:rsid w:val="00C30610"/>
    <w:rsid w:val="00C41FDF"/>
    <w:rsid w:val="00CA6551"/>
    <w:rsid w:val="00CD0BCB"/>
    <w:rsid w:val="00CF12D4"/>
    <w:rsid w:val="00D155D2"/>
    <w:rsid w:val="00D404AC"/>
    <w:rsid w:val="00D43F6D"/>
    <w:rsid w:val="00D61585"/>
    <w:rsid w:val="00D9444D"/>
    <w:rsid w:val="00DE3C69"/>
    <w:rsid w:val="00E02534"/>
    <w:rsid w:val="00E159A2"/>
    <w:rsid w:val="00E24955"/>
    <w:rsid w:val="00E43446"/>
    <w:rsid w:val="00E716AE"/>
    <w:rsid w:val="00E87AC7"/>
    <w:rsid w:val="00E93DE7"/>
    <w:rsid w:val="00E94AA2"/>
    <w:rsid w:val="00EA0007"/>
    <w:rsid w:val="00EE1037"/>
    <w:rsid w:val="00EE6F60"/>
    <w:rsid w:val="00F15469"/>
    <w:rsid w:val="00F17960"/>
    <w:rsid w:val="00F23F4E"/>
    <w:rsid w:val="00F42988"/>
    <w:rsid w:val="00F6745C"/>
    <w:rsid w:val="00FA5A13"/>
    <w:rsid w:val="00FC629A"/>
    <w:rsid w:val="00FD1CD0"/>
    <w:rsid w:val="00FE1B6C"/>
    <w:rsid w:val="00FF4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C11E1"/>
  <w15:chartTrackingRefBased/>
  <w15:docId w15:val="{E8EC8399-9E19-40B6-9DB0-19F468884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5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71C"/>
  </w:style>
  <w:style w:type="paragraph" w:styleId="Footer">
    <w:name w:val="footer"/>
    <w:basedOn w:val="Normal"/>
    <w:link w:val="FooterChar"/>
    <w:uiPriority w:val="99"/>
    <w:unhideWhenUsed/>
    <w:rsid w:val="005857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71C"/>
  </w:style>
  <w:style w:type="character" w:styleId="Hyperlink">
    <w:name w:val="Hyperlink"/>
    <w:basedOn w:val="DefaultParagraphFont"/>
    <w:uiPriority w:val="99"/>
    <w:unhideWhenUsed/>
    <w:rsid w:val="00322762"/>
    <w:rPr>
      <w:color w:val="0000FF"/>
      <w:u w:val="single"/>
    </w:rPr>
  </w:style>
  <w:style w:type="character" w:styleId="UnresolvedMention">
    <w:name w:val="Unresolved Mention"/>
    <w:basedOn w:val="DefaultParagraphFont"/>
    <w:uiPriority w:val="99"/>
    <w:semiHidden/>
    <w:unhideWhenUsed/>
    <w:rsid w:val="00A72A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168786">
      <w:bodyDiv w:val="1"/>
      <w:marLeft w:val="0"/>
      <w:marRight w:val="0"/>
      <w:marTop w:val="0"/>
      <w:marBottom w:val="0"/>
      <w:divBdr>
        <w:top w:val="none" w:sz="0" w:space="0" w:color="auto"/>
        <w:left w:val="none" w:sz="0" w:space="0" w:color="auto"/>
        <w:bottom w:val="none" w:sz="0" w:space="0" w:color="auto"/>
        <w:right w:val="none" w:sz="0" w:space="0" w:color="auto"/>
      </w:divBdr>
    </w:div>
    <w:div w:id="551186651">
      <w:bodyDiv w:val="1"/>
      <w:marLeft w:val="0"/>
      <w:marRight w:val="0"/>
      <w:marTop w:val="0"/>
      <w:marBottom w:val="0"/>
      <w:divBdr>
        <w:top w:val="none" w:sz="0" w:space="0" w:color="auto"/>
        <w:left w:val="none" w:sz="0" w:space="0" w:color="auto"/>
        <w:bottom w:val="none" w:sz="0" w:space="0" w:color="auto"/>
        <w:right w:val="none" w:sz="0" w:space="0" w:color="auto"/>
      </w:divBdr>
    </w:div>
    <w:div w:id="1369527540">
      <w:bodyDiv w:val="1"/>
      <w:marLeft w:val="0"/>
      <w:marRight w:val="0"/>
      <w:marTop w:val="0"/>
      <w:marBottom w:val="0"/>
      <w:divBdr>
        <w:top w:val="none" w:sz="0" w:space="0" w:color="auto"/>
        <w:left w:val="none" w:sz="0" w:space="0" w:color="auto"/>
        <w:bottom w:val="none" w:sz="0" w:space="0" w:color="auto"/>
        <w:right w:val="none" w:sz="0" w:space="0" w:color="auto"/>
      </w:divBdr>
    </w:div>
    <w:div w:id="1701777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titrustandcompetitionreport.com/2020/07/other-antitrust-and-competition/towards-a-new-definition-of-relevant-market-in-competition-law/" TargetMode="External"/><Relationship Id="rId13" Type="http://schemas.openxmlformats.org/officeDocument/2006/relationships/hyperlink" Target="https://www.researchgate.net/publication/325649329_THE_RELEVANT_TEMPORAL_MARKET_DEFINITION_IN_ANTITRUST_ANALYSIS" TargetMode="External"/><Relationship Id="rId18" Type="http://schemas.openxmlformats.org/officeDocument/2006/relationships/hyperlink" Target="https://www.awa2013.concurrences.com/business-articles-awards/article/the-notion-of-dominance-i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europarl.europa.eu/factsheets/en/sheet/145/the-citizens-of-the-union-and-their-rights" TargetMode="External"/><Relationship Id="rId7" Type="http://schemas.openxmlformats.org/officeDocument/2006/relationships/hyperlink" Target="https://www.collinsdictionary.com/dictionary/english/dominant-position" TargetMode="External"/><Relationship Id="rId12" Type="http://schemas.openxmlformats.org/officeDocument/2006/relationships/hyperlink" Target="https://www.gov.uk/government/publications/competing-fairly-in-business-at-a-glance-guide-to-competition-law/competing-fairly-in-business" TargetMode="External"/><Relationship Id="rId17" Type="http://schemas.openxmlformats.org/officeDocument/2006/relationships/hyperlink" Target="https://www.researchgate.net/publication/31289431_The_SSNIP_test_and_market_definition_with_the_aggregate_diversion_ratio_A_reply_to_katz_and_shapirom" TargetMode="External"/><Relationship Id="rId25" Type="http://schemas.openxmlformats.org/officeDocument/2006/relationships/hyperlink" Target="https://www.lexisnexis.co.uk/legal/guidance/free-movement-of-persons" TargetMode="External"/><Relationship Id="rId2" Type="http://schemas.openxmlformats.org/officeDocument/2006/relationships/settings" Target="settings.xml"/><Relationship Id="rId16" Type="http://schemas.openxmlformats.org/officeDocument/2006/relationships/hyperlink" Target="https://www.mondaq.com/advicecentre/content/1652/Market-Definition-Relevant-Market--Relevant-Geographic-Market-Natural-Market" TargetMode="External"/><Relationship Id="rId20" Type="http://schemas.openxmlformats.org/officeDocument/2006/relationships/hyperlink" Target="https://seancrossansscotslaw.com/tag/article-21-tfeu/" TargetMode="External"/><Relationship Id="rId1" Type="http://schemas.openxmlformats.org/officeDocument/2006/relationships/styles" Target="styles.xml"/><Relationship Id="rId6" Type="http://schemas.openxmlformats.org/officeDocument/2006/relationships/hyperlink" Target="https://www.cambridge.org/core/books/an-introduction-to-eu-competition-law/article-102-tfeu-abuse-of-a-dominant-position/FB90CF417C50B1ED22D7808F5E24EBE2" TargetMode="External"/><Relationship Id="rId11" Type="http://schemas.openxmlformats.org/officeDocument/2006/relationships/hyperlink" Target="https://ec.europa.eu/competition/consultations/2020_market_definition_notice/index_en.html#:~:text=The%20Commission%20Notice%20on%20the%20definition%20of%20relevant,and%20decision-making%20in%20the%20area%20of%20competition%20policy" TargetMode="External"/><Relationship Id="rId24" Type="http://schemas.openxmlformats.org/officeDocument/2006/relationships/hyperlink" Target="https://www.opendemocracy.net/en/can-europe-make-it/what-happens-freedom-movement-during-pandemic/" TargetMode="External"/><Relationship Id="rId5" Type="http://schemas.openxmlformats.org/officeDocument/2006/relationships/endnotes" Target="endnotes.xml"/><Relationship Id="rId15" Type="http://schemas.openxmlformats.org/officeDocument/2006/relationships/hyperlink" Target="https://www.cambridge.org/core/books/an-introduction-to-eu-competition-law/article-102-tfeu-abuse-of-a-dominant-position/FB90CF417C50B1ED22D7808F5E24EBE2" TargetMode="External"/><Relationship Id="rId23" Type="http://schemas.openxmlformats.org/officeDocument/2006/relationships/hyperlink" Target="https://immigrationbarrister.co.uk/rights-of-residence-for-financially-self-sufficient-eea-citizens/" TargetMode="External"/><Relationship Id="rId10" Type="http://schemas.openxmlformats.org/officeDocument/2006/relationships/hyperlink" Target="https://ec.europa.eu/competition/antitrust/art82/" TargetMode="External"/><Relationship Id="rId19" Type="http://schemas.openxmlformats.org/officeDocument/2006/relationships/hyperlink" Target="https://europeanlawblog.eu/2014/03/24/the-outer-limits-of-article-18-tfeu-case-c-62811-international-jet-management/" TargetMode="External"/><Relationship Id="rId4" Type="http://schemas.openxmlformats.org/officeDocument/2006/relationships/footnotes" Target="footnotes.xml"/><Relationship Id="rId9" Type="http://schemas.openxmlformats.org/officeDocument/2006/relationships/hyperlink" Target="https://www.youtube.com/watch?v=5VE6FaCILaU" TargetMode="External"/><Relationship Id="rId14" Type="http://schemas.openxmlformats.org/officeDocument/2006/relationships/hyperlink" Target="https://www.legislation.gov.uk/eut/teec/contents" TargetMode="External"/><Relationship Id="rId22" Type="http://schemas.openxmlformats.org/officeDocument/2006/relationships/hyperlink" Target="https://www.legislation.gov.uk/eudr/2004/38/cont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8</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x-roxy-x91@outlook.com</cp:lastModifiedBy>
  <cp:revision>6</cp:revision>
  <dcterms:created xsi:type="dcterms:W3CDTF">2021-05-04T14:42:00Z</dcterms:created>
  <dcterms:modified xsi:type="dcterms:W3CDTF">2021-05-04T20:50:00Z</dcterms:modified>
</cp:coreProperties>
</file>