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743CEF" w14:textId="68904E89" w:rsidR="001E54E1" w:rsidRPr="00786030" w:rsidRDefault="00B96521" w:rsidP="006E6310">
      <w:pPr>
        <w:rPr>
          <w:rFonts w:ascii="Arial" w:hAnsi="Arial" w:cs="Arial"/>
          <w:sz w:val="24"/>
          <w:szCs w:val="24"/>
        </w:rPr>
      </w:pPr>
      <w:r>
        <w:t xml:space="preserve">      </w:t>
      </w:r>
      <w:r w:rsidRPr="00786030">
        <w:rPr>
          <w:rFonts w:ascii="Arial" w:hAnsi="Arial" w:cs="Arial"/>
          <w:sz w:val="24"/>
          <w:szCs w:val="24"/>
        </w:rPr>
        <w:t>Name: Moldovan Alexandru</w:t>
      </w:r>
    </w:p>
    <w:p w14:paraId="6CFADBC8" w14:textId="6ECE83E3" w:rsidR="00786030" w:rsidRPr="00786030" w:rsidRDefault="00B96521" w:rsidP="00786030">
      <w:pPr>
        <w:pStyle w:val="Default"/>
      </w:pPr>
      <w:r w:rsidRPr="00786030">
        <w:t xml:space="preserve">    Module: </w:t>
      </w:r>
      <w:r w:rsidR="00786030" w:rsidRPr="00786030">
        <w:t xml:space="preserve">BMGM4002 </w:t>
      </w:r>
    </w:p>
    <w:p w14:paraId="17D702E5" w14:textId="7E55AF0E" w:rsidR="00B96521" w:rsidRDefault="00B96521" w:rsidP="006E6310"/>
    <w:p w14:paraId="0C948380" w14:textId="77777777" w:rsidR="001E54E1" w:rsidRDefault="001E54E1" w:rsidP="006E6310"/>
    <w:p w14:paraId="173E7A46" w14:textId="77777777" w:rsidR="00786030" w:rsidRDefault="00786030" w:rsidP="006E6310"/>
    <w:p w14:paraId="49CA90BB" w14:textId="77777777" w:rsidR="00786030" w:rsidRDefault="00786030" w:rsidP="006E6310"/>
    <w:p w14:paraId="74C3B1E0" w14:textId="0701375D" w:rsidR="001E54E1" w:rsidRPr="00786030" w:rsidRDefault="00786030" w:rsidP="006E6310">
      <w:pPr>
        <w:rPr>
          <w:rFonts w:ascii="Arial" w:hAnsi="Arial" w:cs="Arial"/>
          <w:b/>
          <w:bCs/>
          <w:sz w:val="28"/>
          <w:szCs w:val="28"/>
        </w:rPr>
      </w:pPr>
      <w:r>
        <w:rPr>
          <w:rFonts w:ascii="Arial" w:hAnsi="Arial" w:cs="Arial"/>
          <w:b/>
          <w:bCs/>
          <w:sz w:val="28"/>
          <w:szCs w:val="28"/>
        </w:rPr>
        <w:t xml:space="preserve">                                    </w:t>
      </w:r>
      <w:r w:rsidRPr="00786030">
        <w:rPr>
          <w:rFonts w:ascii="Arial" w:hAnsi="Arial" w:cs="Arial"/>
          <w:b/>
          <w:bCs/>
          <w:sz w:val="28"/>
          <w:szCs w:val="28"/>
        </w:rPr>
        <w:t>Reflective Portfolio</w:t>
      </w:r>
    </w:p>
    <w:p w14:paraId="3939EF30" w14:textId="77777777" w:rsidR="00CA7C7E" w:rsidRDefault="00CA7C7E" w:rsidP="006E6310"/>
    <w:p w14:paraId="58F505F2" w14:textId="77777777" w:rsidR="00786030" w:rsidRDefault="00786030" w:rsidP="006E6310"/>
    <w:p w14:paraId="4246A6E9" w14:textId="77777777" w:rsidR="00786030" w:rsidRDefault="00786030" w:rsidP="006E6310"/>
    <w:p w14:paraId="7FF73778" w14:textId="731D808D" w:rsidR="00CA7C7E" w:rsidRPr="00CA7C7E" w:rsidRDefault="00CA7C7E" w:rsidP="00CA7C7E">
      <w:pPr>
        <w:rPr>
          <w:rFonts w:ascii="Arial" w:hAnsi="Arial" w:cs="Arial"/>
          <w:b/>
          <w:bCs/>
          <w:sz w:val="24"/>
          <w:szCs w:val="24"/>
        </w:rPr>
      </w:pPr>
      <w:r w:rsidRPr="00CA7C7E">
        <w:rPr>
          <w:rFonts w:ascii="Arial" w:hAnsi="Arial" w:cs="Arial"/>
          <w:b/>
          <w:bCs/>
          <w:sz w:val="24"/>
          <w:szCs w:val="24"/>
        </w:rPr>
        <w:t xml:space="preserve">Element 1 – Introduction to </w:t>
      </w:r>
      <w:r w:rsidR="00786030">
        <w:rPr>
          <w:rFonts w:ascii="Arial" w:hAnsi="Arial" w:cs="Arial"/>
          <w:b/>
          <w:bCs/>
          <w:sz w:val="24"/>
          <w:szCs w:val="24"/>
        </w:rPr>
        <w:t>c</w:t>
      </w:r>
      <w:r w:rsidRPr="00CA7C7E">
        <w:rPr>
          <w:rFonts w:ascii="Arial" w:hAnsi="Arial" w:cs="Arial"/>
          <w:b/>
          <w:bCs/>
          <w:sz w:val="24"/>
          <w:szCs w:val="24"/>
        </w:rPr>
        <w:t xml:space="preserve">ulinary </w:t>
      </w:r>
      <w:r w:rsidR="00786030">
        <w:rPr>
          <w:rFonts w:ascii="Arial" w:hAnsi="Arial" w:cs="Arial"/>
          <w:b/>
          <w:bCs/>
          <w:sz w:val="24"/>
          <w:szCs w:val="24"/>
        </w:rPr>
        <w:t>s</w:t>
      </w:r>
      <w:r w:rsidRPr="00CA7C7E">
        <w:rPr>
          <w:rFonts w:ascii="Arial" w:hAnsi="Arial" w:cs="Arial"/>
          <w:b/>
          <w:bCs/>
          <w:sz w:val="24"/>
          <w:szCs w:val="24"/>
        </w:rPr>
        <w:t>ki</w:t>
      </w:r>
      <w:r w:rsidR="00786030">
        <w:rPr>
          <w:rFonts w:ascii="Arial" w:hAnsi="Arial" w:cs="Arial"/>
          <w:b/>
          <w:bCs/>
          <w:sz w:val="24"/>
          <w:szCs w:val="24"/>
        </w:rPr>
        <w:t>lls</w:t>
      </w:r>
    </w:p>
    <w:p w14:paraId="4A180003" w14:textId="474C4D81" w:rsidR="00CA7C7E" w:rsidRPr="00CA7C7E" w:rsidRDefault="00CA7C7E" w:rsidP="00CA7C7E">
      <w:pPr>
        <w:rPr>
          <w:rFonts w:ascii="Arial" w:hAnsi="Arial" w:cs="Arial"/>
          <w:sz w:val="24"/>
          <w:szCs w:val="24"/>
        </w:rPr>
      </w:pPr>
      <w:r w:rsidRPr="00CA7C7E">
        <w:rPr>
          <w:rFonts w:ascii="Arial" w:hAnsi="Arial" w:cs="Arial"/>
          <w:sz w:val="24"/>
          <w:szCs w:val="24"/>
        </w:rPr>
        <w:t xml:space="preserve">During my placement at Zizzi, my culinary skills developed </w:t>
      </w:r>
      <w:r w:rsidRPr="00786030">
        <w:rPr>
          <w:rFonts w:ascii="Arial" w:hAnsi="Arial" w:cs="Arial"/>
          <w:sz w:val="24"/>
          <w:szCs w:val="24"/>
        </w:rPr>
        <w:t>step by step</w:t>
      </w:r>
      <w:r w:rsidRPr="00CA7C7E">
        <w:rPr>
          <w:rFonts w:ascii="Arial" w:hAnsi="Arial" w:cs="Arial"/>
          <w:sz w:val="24"/>
          <w:szCs w:val="24"/>
        </w:rPr>
        <w:t xml:space="preserve"> through practical experience. At the beginning, I was mainly assigned to the pizza section. This helped me understand the basics of working in a professional kitchen, such as following standard recipes, portion control, and maintaining consistency. Even though pizza may appear simple, I realised that accuracy and timing are essential, especially during busy services when many orders arrive at the same time. This experience showed me how important structure and routine are in a commercial kitchen </w:t>
      </w:r>
      <w:sdt>
        <w:sdtPr>
          <w:rPr>
            <w:rFonts w:ascii="Arial" w:hAnsi="Arial" w:cs="Arial"/>
            <w:sz w:val="24"/>
            <w:szCs w:val="24"/>
          </w:rPr>
          <w:id w:val="-546752933"/>
          <w:citation/>
        </w:sdtPr>
        <w:sdtContent>
          <w:r w:rsidRPr="00786030">
            <w:rPr>
              <w:rFonts w:ascii="Arial" w:hAnsi="Arial" w:cs="Arial"/>
              <w:sz w:val="24"/>
              <w:szCs w:val="24"/>
            </w:rPr>
            <w:fldChar w:fldCharType="begin"/>
          </w:r>
          <w:r w:rsidR="00696B0A">
            <w:rPr>
              <w:rFonts w:ascii="Arial" w:hAnsi="Arial" w:cs="Arial"/>
              <w:sz w:val="24"/>
              <w:szCs w:val="24"/>
            </w:rPr>
            <w:instrText xml:space="preserve">CITATION GOD08 \l 2057 </w:instrText>
          </w:r>
          <w:r w:rsidRPr="00786030">
            <w:rPr>
              <w:rFonts w:ascii="Arial" w:hAnsi="Arial" w:cs="Arial"/>
              <w:sz w:val="24"/>
              <w:szCs w:val="24"/>
            </w:rPr>
            <w:fldChar w:fldCharType="separate"/>
          </w:r>
          <w:r w:rsidR="00925E89" w:rsidRPr="00925E89">
            <w:rPr>
              <w:rFonts w:ascii="Arial" w:hAnsi="Arial" w:cs="Arial"/>
              <w:noProof/>
              <w:sz w:val="24"/>
              <w:szCs w:val="24"/>
            </w:rPr>
            <w:t>(Ogbeide, 2008)</w:t>
          </w:r>
          <w:r w:rsidRPr="00786030">
            <w:rPr>
              <w:rFonts w:ascii="Arial" w:hAnsi="Arial" w:cs="Arial"/>
              <w:sz w:val="24"/>
              <w:szCs w:val="24"/>
            </w:rPr>
            <w:fldChar w:fldCharType="end"/>
          </w:r>
        </w:sdtContent>
      </w:sdt>
    </w:p>
    <w:p w14:paraId="15C55207" w14:textId="4DDD04E2" w:rsidR="00CA7C7E" w:rsidRPr="00CA7C7E" w:rsidRDefault="00CA7C7E" w:rsidP="00CA7C7E">
      <w:pPr>
        <w:rPr>
          <w:rFonts w:ascii="Arial" w:hAnsi="Arial" w:cs="Arial"/>
          <w:sz w:val="24"/>
          <w:szCs w:val="24"/>
        </w:rPr>
      </w:pPr>
      <w:r w:rsidRPr="00CA7C7E">
        <w:rPr>
          <w:rFonts w:ascii="Arial" w:hAnsi="Arial" w:cs="Arial"/>
          <w:sz w:val="24"/>
          <w:szCs w:val="24"/>
        </w:rPr>
        <w:t xml:space="preserve">As I gained more confidence, I was trained on the pasta section, which I found more challenging. Pasta dishes require multitasking and fast decision-making, particularly when several orders must be prepared </w:t>
      </w:r>
      <w:r w:rsidRPr="00786030">
        <w:rPr>
          <w:rFonts w:ascii="Arial" w:hAnsi="Arial" w:cs="Arial"/>
          <w:sz w:val="24"/>
          <w:szCs w:val="24"/>
        </w:rPr>
        <w:t>at the same time.</w:t>
      </w:r>
      <w:r w:rsidRPr="00CA7C7E">
        <w:rPr>
          <w:rFonts w:ascii="Arial" w:hAnsi="Arial" w:cs="Arial"/>
          <w:sz w:val="24"/>
          <w:szCs w:val="24"/>
        </w:rPr>
        <w:t xml:space="preserve"> At first, I struggled with timing and felt under pressure, especially during peak hours. However, once I understood the preparation process and how each dish fits into the flow of service, my confidence improved. Mise en place became essential, as having ingredients and sauces prepared before service reduced stress and helped me work more efficiently </w:t>
      </w:r>
      <w:sdt>
        <w:sdtPr>
          <w:rPr>
            <w:rFonts w:ascii="Arial" w:hAnsi="Arial" w:cs="Arial"/>
            <w:sz w:val="24"/>
            <w:szCs w:val="24"/>
          </w:rPr>
          <w:id w:val="-203570556"/>
          <w:citation/>
        </w:sdtPr>
        <w:sdtContent>
          <w:r w:rsidRPr="00786030">
            <w:rPr>
              <w:rFonts w:ascii="Arial" w:hAnsi="Arial" w:cs="Arial"/>
              <w:sz w:val="24"/>
              <w:szCs w:val="24"/>
            </w:rPr>
            <w:fldChar w:fldCharType="begin"/>
          </w:r>
          <w:r w:rsidRPr="00786030">
            <w:rPr>
              <w:rFonts w:ascii="Arial" w:hAnsi="Arial" w:cs="Arial"/>
              <w:sz w:val="24"/>
              <w:szCs w:val="24"/>
            </w:rPr>
            <w:instrText xml:space="preserve"> CITATION Gar90 \l 2057 </w:instrText>
          </w:r>
          <w:r w:rsidRPr="00786030">
            <w:rPr>
              <w:rFonts w:ascii="Arial" w:hAnsi="Arial" w:cs="Arial"/>
              <w:sz w:val="24"/>
              <w:szCs w:val="24"/>
            </w:rPr>
            <w:fldChar w:fldCharType="separate"/>
          </w:r>
          <w:r w:rsidR="00925E89" w:rsidRPr="00925E89">
            <w:rPr>
              <w:rFonts w:ascii="Arial" w:hAnsi="Arial" w:cs="Arial"/>
              <w:noProof/>
              <w:sz w:val="24"/>
              <w:szCs w:val="24"/>
            </w:rPr>
            <w:t>(Fine, 1990)</w:t>
          </w:r>
          <w:r w:rsidRPr="00786030">
            <w:rPr>
              <w:rFonts w:ascii="Arial" w:hAnsi="Arial" w:cs="Arial"/>
              <w:sz w:val="24"/>
              <w:szCs w:val="24"/>
            </w:rPr>
            <w:fldChar w:fldCharType="end"/>
          </w:r>
        </w:sdtContent>
      </w:sdt>
      <w:r w:rsidRPr="00CA7C7E">
        <w:rPr>
          <w:rFonts w:ascii="Arial" w:hAnsi="Arial" w:cs="Arial"/>
          <w:sz w:val="24"/>
          <w:szCs w:val="24"/>
        </w:rPr>
        <w:t>.</w:t>
      </w:r>
    </w:p>
    <w:p w14:paraId="4DE88F57" w14:textId="134FB90C" w:rsidR="00CA7C7E" w:rsidRPr="00CA7C7E" w:rsidRDefault="00CA7C7E" w:rsidP="00CA7C7E">
      <w:pPr>
        <w:rPr>
          <w:rFonts w:ascii="Arial" w:hAnsi="Arial" w:cs="Arial"/>
          <w:sz w:val="24"/>
          <w:szCs w:val="24"/>
        </w:rPr>
      </w:pPr>
      <w:r w:rsidRPr="00CA7C7E">
        <w:rPr>
          <w:rFonts w:ascii="Arial" w:hAnsi="Arial" w:cs="Arial"/>
          <w:sz w:val="24"/>
          <w:szCs w:val="24"/>
        </w:rPr>
        <w:t xml:space="preserve">Through daily repetition, I noticed a clear improvement in my skills. I became faster, more organised, and more confident using kitchen equipment. I also learned how to manage tasks better by prioritising orders and communicating with colleagues. Research supports that practical learning and repetition are key to developing kitchen skills and confidence </w:t>
      </w:r>
      <w:sdt>
        <w:sdtPr>
          <w:rPr>
            <w:rFonts w:ascii="Arial" w:hAnsi="Arial" w:cs="Arial"/>
            <w:sz w:val="24"/>
            <w:szCs w:val="24"/>
          </w:rPr>
          <w:id w:val="1969076372"/>
          <w:citation/>
        </w:sdtPr>
        <w:sdtContent>
          <w:r w:rsidRPr="00786030">
            <w:rPr>
              <w:rFonts w:ascii="Arial" w:hAnsi="Arial" w:cs="Arial"/>
              <w:sz w:val="24"/>
              <w:szCs w:val="24"/>
            </w:rPr>
            <w:fldChar w:fldCharType="begin"/>
          </w:r>
          <w:r w:rsidRPr="00786030">
            <w:rPr>
              <w:rFonts w:ascii="Arial" w:hAnsi="Arial" w:cs="Arial"/>
              <w:sz w:val="24"/>
              <w:szCs w:val="24"/>
            </w:rPr>
            <w:instrText xml:space="preserve"> CITATION DeF22 \l 2057 </w:instrText>
          </w:r>
          <w:r w:rsidRPr="00786030">
            <w:rPr>
              <w:rFonts w:ascii="Arial" w:hAnsi="Arial" w:cs="Arial"/>
              <w:sz w:val="24"/>
              <w:szCs w:val="24"/>
            </w:rPr>
            <w:fldChar w:fldCharType="separate"/>
          </w:r>
          <w:r w:rsidR="00925E89" w:rsidRPr="00925E89">
            <w:rPr>
              <w:rFonts w:ascii="Arial" w:hAnsi="Arial" w:cs="Arial"/>
              <w:noProof/>
              <w:sz w:val="24"/>
              <w:szCs w:val="24"/>
            </w:rPr>
            <w:t>(Freitas &amp; R.S.G., 2022)</w:t>
          </w:r>
          <w:r w:rsidRPr="00786030">
            <w:rPr>
              <w:rFonts w:ascii="Arial" w:hAnsi="Arial" w:cs="Arial"/>
              <w:sz w:val="24"/>
              <w:szCs w:val="24"/>
            </w:rPr>
            <w:fldChar w:fldCharType="end"/>
          </w:r>
        </w:sdtContent>
      </w:sdt>
      <w:r w:rsidRPr="00CA7C7E">
        <w:rPr>
          <w:rFonts w:ascii="Arial" w:hAnsi="Arial" w:cs="Arial"/>
          <w:sz w:val="24"/>
          <w:szCs w:val="24"/>
        </w:rPr>
        <w:t>. This was evident in my experience, as my performance improved significantly once I understood the structure of the kitchen and my responsibilities.</w:t>
      </w:r>
    </w:p>
    <w:p w14:paraId="6DCFCA4E" w14:textId="6F863C23" w:rsidR="00CA7C7E" w:rsidRPr="00CA7C7E" w:rsidRDefault="00CA7C7E" w:rsidP="00CA7C7E">
      <w:pPr>
        <w:rPr>
          <w:rFonts w:ascii="Arial" w:hAnsi="Arial" w:cs="Arial"/>
          <w:sz w:val="24"/>
          <w:szCs w:val="24"/>
        </w:rPr>
      </w:pPr>
      <w:r w:rsidRPr="00CA7C7E">
        <w:rPr>
          <w:rFonts w:ascii="Arial" w:hAnsi="Arial" w:cs="Arial"/>
          <w:sz w:val="24"/>
          <w:szCs w:val="24"/>
        </w:rPr>
        <w:t xml:space="preserve">Teamwork also played an important role in my skill development. Although each section had specific responsibilities, staff supported each other during busy periods. This helped me understand that flexibility and communication are essential in a professional kitchen. Working as part of a team allowed me to learn from others and adapt more quickly, which positively affected my performance </w:t>
      </w:r>
      <w:sdt>
        <w:sdtPr>
          <w:rPr>
            <w:rFonts w:ascii="Arial" w:hAnsi="Arial" w:cs="Arial"/>
            <w:sz w:val="24"/>
            <w:szCs w:val="24"/>
          </w:rPr>
          <w:id w:val="364879783"/>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Geo19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(Karadas &amp; Karatepe, 2019)</w:t>
          </w:r>
          <w:r w:rsidR="00B96521" w:rsidRPr="00786030">
            <w:rPr>
              <w:rFonts w:ascii="Arial" w:hAnsi="Arial" w:cs="Arial"/>
              <w:sz w:val="24"/>
              <w:szCs w:val="24"/>
            </w:rPr>
            <w:fldChar w:fldCharType="end"/>
          </w:r>
        </w:sdtContent>
      </w:sdt>
      <w:r w:rsidRPr="00CA7C7E">
        <w:rPr>
          <w:rFonts w:ascii="Arial" w:hAnsi="Arial" w:cs="Arial"/>
          <w:sz w:val="24"/>
          <w:szCs w:val="24"/>
        </w:rPr>
        <w:t>.</w:t>
      </w:r>
    </w:p>
    <w:p w14:paraId="6FD51417" w14:textId="199B1832" w:rsidR="00CA7C7E" w:rsidRDefault="00CA7C7E" w:rsidP="00CA7C7E">
      <w:pPr>
        <w:rPr>
          <w:rFonts w:ascii="Arial" w:hAnsi="Arial" w:cs="Arial"/>
          <w:sz w:val="24"/>
          <w:szCs w:val="24"/>
        </w:rPr>
      </w:pPr>
      <w:r w:rsidRPr="00CA7C7E">
        <w:rPr>
          <w:rFonts w:ascii="Arial" w:hAnsi="Arial" w:cs="Arial"/>
          <w:sz w:val="24"/>
          <w:szCs w:val="24"/>
        </w:rPr>
        <w:lastRenderedPageBreak/>
        <w:t xml:space="preserve">Reflecting on this element, I realised that my culinary skills did not develop only through technical practice, but also through understanding organisation, preparation, and teamwork. My placement helped me move from feeling overwhelmed to feeling capable and confident, showing how experiential learning supports professional </w:t>
      </w:r>
      <w:r w:rsidR="00696B0A" w:rsidRPr="00CA7C7E">
        <w:rPr>
          <w:rFonts w:ascii="Arial" w:hAnsi="Arial" w:cs="Arial"/>
          <w:sz w:val="24"/>
          <w:szCs w:val="24"/>
        </w:rPr>
        <w:t>growth.</w:t>
      </w:r>
      <w:r w:rsidR="00696B0A">
        <w:rPr>
          <w:rFonts w:ascii="Arial" w:hAnsi="Arial" w:cs="Arial"/>
          <w:sz w:val="24"/>
          <w:szCs w:val="24"/>
        </w:rPr>
        <w:t xml:space="preserve"> Now definitely </w:t>
      </w:r>
      <w:r w:rsidR="00786030" w:rsidRPr="00786030">
        <w:rPr>
          <w:rFonts w:ascii="Arial" w:hAnsi="Arial" w:cs="Arial"/>
          <w:sz w:val="24"/>
          <w:szCs w:val="24"/>
        </w:rPr>
        <w:t xml:space="preserve"> I can clearly see how much my approach to work in the kitchen has changed. At the beginning, I was focused mainly on completing tasks correctly and trying not to make mistakes. Over time, however, I started to think more about efficiency, organisation, and how my role affected the rest of the team. Learning to work under pressure helped me build resilience and confidence, especially during busy services when multiple orders needed to be handled at the same time. I also became more aware of my own learning style, realising that practical repetition helped me improve more than theoretical explanations alone. This experience showed me that culinary skills are not only about cooking techniques, but also about time management, communication, and adaptability. Reflecting on this element, I feel that the placement helped me grow professionally and prepared me better for future roles in hospitality, where pressure and high expectations are part of everyday work</w:t>
      </w:r>
      <w:r w:rsidR="00786030">
        <w:rPr>
          <w:rFonts w:ascii="Arial" w:hAnsi="Arial" w:cs="Arial"/>
          <w:sz w:val="24"/>
          <w:szCs w:val="24"/>
        </w:rPr>
        <w:t>.</w:t>
      </w:r>
    </w:p>
    <w:p w14:paraId="2D9A6C62" w14:textId="77777777" w:rsidR="00786030" w:rsidRDefault="00786030" w:rsidP="00CA7C7E">
      <w:pPr>
        <w:rPr>
          <w:rFonts w:ascii="Arial" w:hAnsi="Arial" w:cs="Arial"/>
          <w:sz w:val="24"/>
          <w:szCs w:val="24"/>
        </w:rPr>
      </w:pPr>
    </w:p>
    <w:p w14:paraId="6BD18FDA" w14:textId="77777777" w:rsidR="00786030" w:rsidRDefault="00786030" w:rsidP="00CA7C7E">
      <w:pPr>
        <w:rPr>
          <w:rFonts w:ascii="Arial" w:hAnsi="Arial" w:cs="Arial"/>
          <w:sz w:val="24"/>
          <w:szCs w:val="24"/>
        </w:rPr>
      </w:pPr>
    </w:p>
    <w:p w14:paraId="0033F760" w14:textId="77777777" w:rsidR="00786030" w:rsidRDefault="00786030" w:rsidP="00CA7C7E">
      <w:pPr>
        <w:rPr>
          <w:rFonts w:ascii="Arial" w:hAnsi="Arial" w:cs="Arial"/>
          <w:sz w:val="24"/>
          <w:szCs w:val="24"/>
        </w:rPr>
      </w:pPr>
    </w:p>
    <w:p w14:paraId="46D64CF5" w14:textId="77777777" w:rsidR="00786030" w:rsidRDefault="00786030" w:rsidP="00CA7C7E">
      <w:pPr>
        <w:rPr>
          <w:rFonts w:ascii="Arial" w:hAnsi="Arial" w:cs="Arial"/>
          <w:sz w:val="24"/>
          <w:szCs w:val="24"/>
        </w:rPr>
      </w:pPr>
    </w:p>
    <w:p w14:paraId="12D64ED6" w14:textId="77777777" w:rsidR="00786030" w:rsidRDefault="00786030" w:rsidP="00CA7C7E">
      <w:pPr>
        <w:rPr>
          <w:rFonts w:ascii="Arial" w:hAnsi="Arial" w:cs="Arial"/>
          <w:sz w:val="24"/>
          <w:szCs w:val="24"/>
        </w:rPr>
      </w:pPr>
    </w:p>
    <w:p w14:paraId="55C5EA1D" w14:textId="77777777" w:rsidR="00786030" w:rsidRDefault="00786030" w:rsidP="00CA7C7E">
      <w:pPr>
        <w:rPr>
          <w:rFonts w:ascii="Arial" w:hAnsi="Arial" w:cs="Arial"/>
          <w:sz w:val="24"/>
          <w:szCs w:val="24"/>
        </w:rPr>
      </w:pPr>
    </w:p>
    <w:p w14:paraId="0DA1ADDF" w14:textId="77777777" w:rsidR="00786030" w:rsidRDefault="00786030" w:rsidP="00CA7C7E">
      <w:pPr>
        <w:rPr>
          <w:rFonts w:ascii="Arial" w:hAnsi="Arial" w:cs="Arial"/>
          <w:sz w:val="24"/>
          <w:szCs w:val="24"/>
        </w:rPr>
      </w:pPr>
    </w:p>
    <w:p w14:paraId="7A17A463" w14:textId="77777777" w:rsidR="00786030" w:rsidRDefault="00786030" w:rsidP="00CA7C7E">
      <w:pPr>
        <w:rPr>
          <w:rFonts w:ascii="Arial" w:hAnsi="Arial" w:cs="Arial"/>
          <w:sz w:val="24"/>
          <w:szCs w:val="24"/>
        </w:rPr>
      </w:pPr>
    </w:p>
    <w:p w14:paraId="3ECC3115" w14:textId="77777777" w:rsidR="00786030" w:rsidRDefault="00786030" w:rsidP="00CA7C7E">
      <w:pPr>
        <w:rPr>
          <w:rFonts w:ascii="Arial" w:hAnsi="Arial" w:cs="Arial"/>
          <w:sz w:val="24"/>
          <w:szCs w:val="24"/>
        </w:rPr>
      </w:pPr>
    </w:p>
    <w:p w14:paraId="6A4B4BAA" w14:textId="77777777" w:rsidR="00786030" w:rsidRDefault="00786030" w:rsidP="00CA7C7E">
      <w:pPr>
        <w:rPr>
          <w:rFonts w:ascii="Arial" w:hAnsi="Arial" w:cs="Arial"/>
          <w:sz w:val="24"/>
          <w:szCs w:val="24"/>
        </w:rPr>
      </w:pPr>
    </w:p>
    <w:p w14:paraId="2C1AA402" w14:textId="77777777" w:rsidR="00786030" w:rsidRDefault="00786030" w:rsidP="00CA7C7E">
      <w:pPr>
        <w:rPr>
          <w:rFonts w:ascii="Arial" w:hAnsi="Arial" w:cs="Arial"/>
          <w:sz w:val="24"/>
          <w:szCs w:val="24"/>
        </w:rPr>
      </w:pPr>
    </w:p>
    <w:p w14:paraId="0AD6DAFD" w14:textId="77777777" w:rsidR="00786030" w:rsidRDefault="00786030" w:rsidP="00CA7C7E">
      <w:pPr>
        <w:rPr>
          <w:rFonts w:ascii="Arial" w:hAnsi="Arial" w:cs="Arial"/>
          <w:sz w:val="24"/>
          <w:szCs w:val="24"/>
        </w:rPr>
      </w:pPr>
    </w:p>
    <w:p w14:paraId="488F4DB4" w14:textId="77777777" w:rsidR="00786030" w:rsidRDefault="00786030" w:rsidP="00CA7C7E">
      <w:pPr>
        <w:rPr>
          <w:rFonts w:ascii="Arial" w:hAnsi="Arial" w:cs="Arial"/>
          <w:sz w:val="24"/>
          <w:szCs w:val="24"/>
        </w:rPr>
      </w:pPr>
    </w:p>
    <w:p w14:paraId="1AABB48E" w14:textId="77777777" w:rsidR="00786030" w:rsidRDefault="00786030" w:rsidP="00CA7C7E">
      <w:pPr>
        <w:rPr>
          <w:rFonts w:ascii="Arial" w:hAnsi="Arial" w:cs="Arial"/>
          <w:sz w:val="24"/>
          <w:szCs w:val="24"/>
        </w:rPr>
      </w:pPr>
    </w:p>
    <w:p w14:paraId="03BC6AB6" w14:textId="77777777" w:rsidR="00786030" w:rsidRDefault="00786030" w:rsidP="00CA7C7E">
      <w:pPr>
        <w:rPr>
          <w:rFonts w:ascii="Arial" w:hAnsi="Arial" w:cs="Arial"/>
          <w:sz w:val="24"/>
          <w:szCs w:val="24"/>
        </w:rPr>
      </w:pPr>
    </w:p>
    <w:p w14:paraId="0623CFA7" w14:textId="77777777" w:rsidR="00786030" w:rsidRDefault="00786030" w:rsidP="00CA7C7E">
      <w:pPr>
        <w:rPr>
          <w:rFonts w:ascii="Arial" w:hAnsi="Arial" w:cs="Arial"/>
          <w:sz w:val="24"/>
          <w:szCs w:val="24"/>
        </w:rPr>
      </w:pPr>
    </w:p>
    <w:p w14:paraId="46D75925" w14:textId="77777777" w:rsidR="00786030" w:rsidRDefault="00786030" w:rsidP="00CA7C7E">
      <w:pPr>
        <w:rPr>
          <w:rFonts w:ascii="Arial" w:hAnsi="Arial" w:cs="Arial"/>
          <w:sz w:val="24"/>
          <w:szCs w:val="24"/>
        </w:rPr>
      </w:pPr>
    </w:p>
    <w:p w14:paraId="5834F45F" w14:textId="77777777" w:rsidR="00696B0A" w:rsidRDefault="00696B0A" w:rsidP="00CA7C7E">
      <w:pPr>
        <w:rPr>
          <w:rFonts w:ascii="Arial" w:hAnsi="Arial" w:cs="Arial"/>
          <w:sz w:val="24"/>
          <w:szCs w:val="24"/>
        </w:rPr>
      </w:pPr>
    </w:p>
    <w:p w14:paraId="5FC3EDF3" w14:textId="77777777" w:rsidR="00786030" w:rsidRPr="00CA7C7E" w:rsidRDefault="00786030" w:rsidP="00CA7C7E">
      <w:pPr>
        <w:rPr>
          <w:rFonts w:ascii="Arial" w:hAnsi="Arial" w:cs="Arial"/>
          <w:sz w:val="24"/>
          <w:szCs w:val="24"/>
        </w:rPr>
      </w:pPr>
    </w:p>
    <w:p w14:paraId="5C70BAFA" w14:textId="3DDC2048" w:rsidR="00CA7C7E" w:rsidRPr="00CA7C7E" w:rsidRDefault="00CA7C7E" w:rsidP="00CA7C7E">
      <w:pPr>
        <w:rPr>
          <w:rFonts w:ascii="Arial" w:hAnsi="Arial" w:cs="Arial"/>
          <w:b/>
          <w:bCs/>
          <w:sz w:val="24"/>
          <w:szCs w:val="24"/>
        </w:rPr>
      </w:pPr>
      <w:r w:rsidRPr="00CA7C7E">
        <w:rPr>
          <w:rFonts w:ascii="Arial" w:hAnsi="Arial" w:cs="Arial"/>
          <w:b/>
          <w:bCs/>
          <w:sz w:val="24"/>
          <w:szCs w:val="24"/>
        </w:rPr>
        <w:lastRenderedPageBreak/>
        <w:t xml:space="preserve">Element 2 – Kitchen Health and Safety </w:t>
      </w:r>
    </w:p>
    <w:p w14:paraId="6BC1F623" w14:textId="539DF1FA" w:rsidR="00CA7C7E" w:rsidRPr="00CA7C7E" w:rsidRDefault="00CA7C7E" w:rsidP="00CA7C7E">
      <w:pPr>
        <w:rPr>
          <w:rFonts w:ascii="Arial" w:hAnsi="Arial" w:cs="Arial"/>
          <w:sz w:val="24"/>
          <w:szCs w:val="24"/>
        </w:rPr>
      </w:pPr>
      <w:r w:rsidRPr="00CA7C7E">
        <w:rPr>
          <w:rFonts w:ascii="Arial" w:hAnsi="Arial" w:cs="Arial"/>
          <w:sz w:val="24"/>
          <w:szCs w:val="24"/>
        </w:rPr>
        <w:t xml:space="preserve">Health and safety </w:t>
      </w:r>
      <w:r w:rsidR="00786030" w:rsidRPr="00CA7C7E">
        <w:rPr>
          <w:rFonts w:ascii="Arial" w:hAnsi="Arial" w:cs="Arial"/>
          <w:sz w:val="24"/>
          <w:szCs w:val="24"/>
        </w:rPr>
        <w:t>were</w:t>
      </w:r>
      <w:r w:rsidRPr="00CA7C7E">
        <w:rPr>
          <w:rFonts w:ascii="Arial" w:hAnsi="Arial" w:cs="Arial"/>
          <w:sz w:val="24"/>
          <w:szCs w:val="24"/>
        </w:rPr>
        <w:t xml:space="preserve"> a major focus during my placement at Zizzi. From the start, I was introduced to hygiene standards, cleaning routines, and food safety procedures. Initially, it felt difficult to remember everything, especially the different temperature requirements, cleaning schedules, and storage rules. However, with time and repetition, these tasks became part of my daily routine.</w:t>
      </w:r>
    </w:p>
    <w:p w14:paraId="0B0C9D72" w14:textId="2593FDC8" w:rsidR="00CA7C7E" w:rsidRPr="00CA7C7E" w:rsidRDefault="00CA7C7E" w:rsidP="00CA7C7E">
      <w:pPr>
        <w:rPr>
          <w:rFonts w:ascii="Arial" w:hAnsi="Arial" w:cs="Arial"/>
          <w:sz w:val="24"/>
          <w:szCs w:val="24"/>
        </w:rPr>
      </w:pPr>
      <w:r w:rsidRPr="00CA7C7E">
        <w:rPr>
          <w:rFonts w:ascii="Arial" w:hAnsi="Arial" w:cs="Arial"/>
          <w:sz w:val="24"/>
          <w:szCs w:val="24"/>
        </w:rPr>
        <w:t xml:space="preserve">One of my regular responsibilities involved cleaning workstations, utensils, and equipment. I also learned how important it is to keep fridges organised and to check and record temperatures daily. At the beginning, I struggled to remember the correct temperature ranges, but over time I understood why these checks are essential to prevent foodborne illness. Research shows that food handlers often improve compliance once they understand the importance of safety procedures </w:t>
      </w:r>
      <w:sdt>
        <w:sdtPr>
          <w:rPr>
            <w:rFonts w:ascii="Arial" w:hAnsi="Arial" w:cs="Arial"/>
            <w:sz w:val="24"/>
            <w:szCs w:val="24"/>
          </w:rPr>
          <w:id w:val="-2047825236"/>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JMS11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(Soon, et al., 2011)</w:t>
          </w:r>
          <w:r w:rsidR="00B96521" w:rsidRPr="00786030">
            <w:rPr>
              <w:rFonts w:ascii="Arial" w:hAnsi="Arial" w:cs="Arial"/>
              <w:sz w:val="24"/>
              <w:szCs w:val="24"/>
            </w:rPr>
            <w:fldChar w:fldCharType="end"/>
          </w:r>
        </w:sdtContent>
      </w:sdt>
      <w:r w:rsidRPr="00CA7C7E">
        <w:rPr>
          <w:rFonts w:ascii="Arial" w:hAnsi="Arial" w:cs="Arial"/>
          <w:sz w:val="24"/>
          <w:szCs w:val="24"/>
        </w:rPr>
        <w:t>.</w:t>
      </w:r>
    </w:p>
    <w:p w14:paraId="00DCE55E" w14:textId="6A1FE030" w:rsidR="00CA7C7E" w:rsidRPr="00CA7C7E" w:rsidRDefault="00CA7C7E" w:rsidP="00CA7C7E">
      <w:pPr>
        <w:rPr>
          <w:rFonts w:ascii="Arial" w:hAnsi="Arial" w:cs="Arial"/>
          <w:sz w:val="24"/>
          <w:szCs w:val="24"/>
        </w:rPr>
      </w:pPr>
      <w:r w:rsidRPr="00CA7C7E">
        <w:rPr>
          <w:rFonts w:ascii="Arial" w:hAnsi="Arial" w:cs="Arial"/>
          <w:sz w:val="24"/>
          <w:szCs w:val="24"/>
        </w:rPr>
        <w:t xml:space="preserve">Food safety culture within the kitchen was strongly emphasised. Staff were reminded that hygiene is everyone’s responsibility, not just a task to complete. This reflects research that highlights the importance of shared responsibility in maintaining food safety standards </w:t>
      </w:r>
      <w:sdt>
        <w:sdtPr>
          <w:rPr>
            <w:rFonts w:ascii="Arial" w:hAnsi="Arial" w:cs="Arial"/>
            <w:sz w:val="24"/>
            <w:szCs w:val="24"/>
          </w:rPr>
          <w:id w:val="1520427252"/>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Ada23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(Kramer, et al., 2023)</w:t>
          </w:r>
          <w:r w:rsidR="00B96521" w:rsidRPr="00786030">
            <w:rPr>
              <w:rFonts w:ascii="Arial" w:hAnsi="Arial" w:cs="Arial"/>
              <w:sz w:val="24"/>
              <w:szCs w:val="24"/>
            </w:rPr>
            <w:fldChar w:fldCharType="end"/>
          </w:r>
        </w:sdtContent>
      </w:sdt>
      <w:r w:rsidRPr="00CA7C7E">
        <w:rPr>
          <w:rFonts w:ascii="Arial" w:hAnsi="Arial" w:cs="Arial"/>
          <w:sz w:val="24"/>
          <w:szCs w:val="24"/>
        </w:rPr>
        <w:t xml:space="preserve">. Through this experience, I realised that food safety is not just about rules, but about protecting customers and maintaining </w:t>
      </w:r>
      <w:proofErr w:type="spellStart"/>
      <w:r w:rsidRPr="00CA7C7E">
        <w:rPr>
          <w:rFonts w:ascii="Arial" w:hAnsi="Arial" w:cs="Arial"/>
          <w:sz w:val="24"/>
          <w:szCs w:val="24"/>
        </w:rPr>
        <w:t>trust.Another</w:t>
      </w:r>
      <w:proofErr w:type="spellEnd"/>
      <w:r w:rsidRPr="00CA7C7E">
        <w:rPr>
          <w:rFonts w:ascii="Arial" w:hAnsi="Arial" w:cs="Arial"/>
          <w:sz w:val="24"/>
          <w:szCs w:val="24"/>
        </w:rPr>
        <w:t xml:space="preserve"> important area was allergen awareness. Although I did not manage allergens independently at first, I observed strict procedures being followed, such as using separate utensils and clear communication. This helped me understand the seriousness of allergen management and the consequences of mistakes. Studies suggest that pressure and lack of awareness can lead to food safety failures, which I noticed could easily happen during busy services if staff are not careful </w:t>
      </w:r>
      <w:sdt>
        <w:sdtPr>
          <w:rPr>
            <w:rFonts w:ascii="Arial" w:hAnsi="Arial" w:cs="Arial"/>
            <w:sz w:val="24"/>
            <w:szCs w:val="24"/>
          </w:rPr>
          <w:id w:val="373121295"/>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DeF22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(Freitas &amp; R.S.G., 2022)</w:t>
          </w:r>
          <w:r w:rsidR="00B96521" w:rsidRPr="00786030">
            <w:rPr>
              <w:rFonts w:ascii="Arial" w:hAnsi="Arial" w:cs="Arial"/>
              <w:sz w:val="24"/>
              <w:szCs w:val="24"/>
            </w:rPr>
            <w:fldChar w:fldCharType="end"/>
          </w:r>
        </w:sdtContent>
      </w:sdt>
      <w:r w:rsidRPr="00CA7C7E">
        <w:rPr>
          <w:rFonts w:ascii="Arial" w:hAnsi="Arial" w:cs="Arial"/>
          <w:sz w:val="24"/>
          <w:szCs w:val="24"/>
        </w:rPr>
        <w:t>.</w:t>
      </w:r>
    </w:p>
    <w:p w14:paraId="3557E98B" w14:textId="6DC6D87D" w:rsidR="00CA7C7E" w:rsidRDefault="00CA7C7E" w:rsidP="00CA7C7E">
      <w:pPr>
        <w:rPr>
          <w:rFonts w:ascii="Arial" w:hAnsi="Arial" w:cs="Arial"/>
          <w:sz w:val="24"/>
          <w:szCs w:val="24"/>
        </w:rPr>
      </w:pPr>
      <w:r w:rsidRPr="00CA7C7E">
        <w:rPr>
          <w:rFonts w:ascii="Arial" w:hAnsi="Arial" w:cs="Arial"/>
          <w:sz w:val="24"/>
          <w:szCs w:val="24"/>
        </w:rPr>
        <w:t xml:space="preserve">Reflecting on this element, my attitude towards health and safety changed. At first, I saw cleaning and checks as repetitive, but I now understand their importance in professional kitchens. Research indicates that attitudes towards food safety improve when training is reinforced through daily practice </w:t>
      </w:r>
      <w:sdt>
        <w:sdtPr>
          <w:rPr>
            <w:rFonts w:ascii="Arial" w:hAnsi="Arial" w:cs="Arial"/>
            <w:sz w:val="24"/>
            <w:szCs w:val="24"/>
          </w:rPr>
          <w:id w:val="1530134454"/>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Ian17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(Young &amp; Reimer, 2017)</w:t>
          </w:r>
          <w:r w:rsidR="00B96521" w:rsidRPr="00786030">
            <w:rPr>
              <w:rFonts w:ascii="Arial" w:hAnsi="Arial" w:cs="Arial"/>
              <w:sz w:val="24"/>
              <w:szCs w:val="24"/>
            </w:rPr>
            <w:fldChar w:fldCharType="end"/>
          </w:r>
        </w:sdtContent>
      </w:sdt>
      <w:r w:rsidRPr="00CA7C7E">
        <w:rPr>
          <w:rFonts w:ascii="Arial" w:hAnsi="Arial" w:cs="Arial"/>
          <w:sz w:val="24"/>
          <w:szCs w:val="24"/>
        </w:rPr>
        <w:t>. My placement helped me develop a more responsible and professional approach to kitchen safety.</w:t>
      </w:r>
      <w:r w:rsidR="00786030">
        <w:rPr>
          <w:rFonts w:ascii="Arial" w:hAnsi="Arial" w:cs="Arial"/>
          <w:sz w:val="24"/>
          <w:szCs w:val="24"/>
        </w:rPr>
        <w:t xml:space="preserve"> </w:t>
      </w:r>
    </w:p>
    <w:p w14:paraId="12F3A067" w14:textId="405E3368" w:rsidR="00786030" w:rsidRDefault="00786030" w:rsidP="00CA7C7E">
      <w:pPr>
        <w:rPr>
          <w:rFonts w:ascii="Arial" w:hAnsi="Arial" w:cs="Arial"/>
          <w:sz w:val="24"/>
          <w:szCs w:val="24"/>
        </w:rPr>
      </w:pPr>
      <w:r w:rsidRPr="00786030">
        <w:rPr>
          <w:rFonts w:ascii="Arial" w:hAnsi="Arial" w:cs="Arial"/>
          <w:sz w:val="24"/>
          <w:szCs w:val="24"/>
        </w:rPr>
        <w:t xml:space="preserve">Reflecting further on health and safety, I realised that my awareness and sense of responsibility increased significantly during the placement. At first, I followed procedures mainly because they were required, without fully understanding the consequences of not following them. As I gained more experience, I started to see how small mistakes, such as incorrect storage or rushed cleaning, could lead to serious risks for customers and the business. This made me more careful and attentive, even during stressful periods. I also noticed that when health and safety practices were consistently reinforced by the team, it became easier to maintain high standards. This experience helped me develop a more professional mindset, where safety and hygiene are seen as priorities rather than additional tasks. Overall, this element helped me understand that good food safety practices are essential for building trust, maintaining quality, and protecting both customers and </w:t>
      </w:r>
      <w:proofErr w:type="spellStart"/>
      <w:r w:rsidRPr="00786030">
        <w:rPr>
          <w:rFonts w:ascii="Arial" w:hAnsi="Arial" w:cs="Arial"/>
          <w:sz w:val="24"/>
          <w:szCs w:val="24"/>
        </w:rPr>
        <w:t>staf</w:t>
      </w:r>
      <w:proofErr w:type="spellEnd"/>
      <w:r>
        <w:rPr>
          <w:rFonts w:ascii="Arial" w:hAnsi="Arial" w:cs="Arial"/>
          <w:sz w:val="24"/>
          <w:szCs w:val="24"/>
        </w:rPr>
        <w:t xml:space="preserve"> </w:t>
      </w:r>
    </w:p>
    <w:p w14:paraId="4099D454" w14:textId="77777777" w:rsidR="00786030" w:rsidRDefault="00786030" w:rsidP="00CA7C7E">
      <w:pPr>
        <w:rPr>
          <w:rFonts w:ascii="Arial" w:hAnsi="Arial" w:cs="Arial"/>
          <w:sz w:val="24"/>
          <w:szCs w:val="24"/>
        </w:rPr>
      </w:pPr>
    </w:p>
    <w:p w14:paraId="2FAE1F75" w14:textId="77777777" w:rsidR="00786030" w:rsidRPr="00CA7C7E" w:rsidRDefault="00786030" w:rsidP="00CA7C7E">
      <w:pPr>
        <w:rPr>
          <w:rFonts w:ascii="Arial" w:hAnsi="Arial" w:cs="Arial"/>
          <w:sz w:val="24"/>
          <w:szCs w:val="24"/>
        </w:rPr>
      </w:pPr>
    </w:p>
    <w:p w14:paraId="129A30EF" w14:textId="1D802539" w:rsidR="00CA7C7E" w:rsidRPr="00CA7C7E" w:rsidRDefault="00CA7C7E" w:rsidP="00CA7C7E">
      <w:pPr>
        <w:rPr>
          <w:rFonts w:ascii="Arial" w:hAnsi="Arial" w:cs="Arial"/>
          <w:b/>
          <w:bCs/>
          <w:sz w:val="24"/>
          <w:szCs w:val="24"/>
        </w:rPr>
      </w:pPr>
      <w:r w:rsidRPr="00CA7C7E">
        <w:rPr>
          <w:rFonts w:ascii="Arial" w:hAnsi="Arial" w:cs="Arial"/>
          <w:b/>
          <w:bCs/>
          <w:sz w:val="24"/>
          <w:szCs w:val="24"/>
        </w:rPr>
        <w:t xml:space="preserve">Element 3 – Organisational Issues </w:t>
      </w:r>
    </w:p>
    <w:p w14:paraId="4053EEA5" w14:textId="77777777" w:rsidR="00CA7C7E" w:rsidRPr="00CA7C7E" w:rsidRDefault="00CA7C7E" w:rsidP="00CA7C7E">
      <w:pPr>
        <w:rPr>
          <w:rFonts w:ascii="Arial" w:hAnsi="Arial" w:cs="Arial"/>
          <w:sz w:val="24"/>
          <w:szCs w:val="24"/>
        </w:rPr>
      </w:pPr>
      <w:r w:rsidRPr="00CA7C7E">
        <w:rPr>
          <w:rFonts w:ascii="Arial" w:hAnsi="Arial" w:cs="Arial"/>
          <w:sz w:val="24"/>
          <w:szCs w:val="24"/>
        </w:rPr>
        <w:t>The organisational structure at Zizzi played an important role in my placement experience. The kitchen team included two head chefs, several assistant chefs, and staff assigned to sections such as pizza, pasta, salads, and desserts. This clear structure helped the kitchen operate efficiently, especially during busy services.</w:t>
      </w:r>
    </w:p>
    <w:p w14:paraId="6EF6F968" w14:textId="7B900B77" w:rsidR="00CA7C7E" w:rsidRPr="00CA7C7E" w:rsidRDefault="00CA7C7E" w:rsidP="00CA7C7E">
      <w:pPr>
        <w:rPr>
          <w:rFonts w:ascii="Arial" w:hAnsi="Arial" w:cs="Arial"/>
          <w:sz w:val="24"/>
          <w:szCs w:val="24"/>
        </w:rPr>
      </w:pPr>
      <w:r w:rsidRPr="00CA7C7E">
        <w:rPr>
          <w:rFonts w:ascii="Arial" w:hAnsi="Arial" w:cs="Arial"/>
          <w:sz w:val="24"/>
          <w:szCs w:val="24"/>
        </w:rPr>
        <w:t xml:space="preserve">One of the most important organisational aspects I observed was teamwork. When one section became overwhelmed, colleagues supported each other regardless of their assigned role. This created a supportive working environment and helped maintain service quality. Research shows that teamwork has a direct impact on performance and service quality in restaurants </w:t>
      </w:r>
      <w:sdt>
        <w:sdtPr>
          <w:rPr>
            <w:rFonts w:ascii="Arial" w:hAnsi="Arial" w:cs="Arial"/>
            <w:sz w:val="24"/>
            <w:szCs w:val="24"/>
          </w:rPr>
          <w:id w:val="-1180731937"/>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Geo19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(Karadas &amp; Karatepe, 2019)</w:t>
          </w:r>
          <w:r w:rsidR="00B96521" w:rsidRPr="00786030">
            <w:rPr>
              <w:rFonts w:ascii="Arial" w:hAnsi="Arial" w:cs="Arial"/>
              <w:sz w:val="24"/>
              <w:szCs w:val="24"/>
            </w:rPr>
            <w:fldChar w:fldCharType="end"/>
          </w:r>
        </w:sdtContent>
      </w:sdt>
    </w:p>
    <w:p w14:paraId="17032CE4" w14:textId="68D2AA58" w:rsidR="00CA7C7E" w:rsidRDefault="00CA7C7E" w:rsidP="00CA7C7E">
      <w:pPr>
        <w:rPr>
          <w:rFonts w:ascii="Arial" w:hAnsi="Arial" w:cs="Arial"/>
          <w:sz w:val="24"/>
          <w:szCs w:val="24"/>
        </w:rPr>
      </w:pPr>
      <w:r w:rsidRPr="00CA7C7E">
        <w:rPr>
          <w:rFonts w:ascii="Arial" w:hAnsi="Arial" w:cs="Arial"/>
          <w:sz w:val="24"/>
          <w:szCs w:val="24"/>
        </w:rPr>
        <w:t xml:space="preserve">Leadership also influenced how the kitchen functioned. Guidance from head chefs and senior staff helped me understand expectations and improve my skills. Effective leadership and training are linked to higher employee engagement and better performance, which I experienced when clear instructions were given </w:t>
      </w:r>
      <w:sdt>
        <w:sdtPr>
          <w:rPr>
            <w:rFonts w:ascii="Arial" w:hAnsi="Arial" w:cs="Arial"/>
            <w:sz w:val="24"/>
            <w:szCs w:val="24"/>
          </w:rPr>
          <w:id w:val="-85302672"/>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Ogb15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(Ogbeide, et al., 2015)</w:t>
          </w:r>
          <w:r w:rsidR="00B96521" w:rsidRPr="00786030">
            <w:rPr>
              <w:rFonts w:ascii="Arial" w:hAnsi="Arial" w:cs="Arial"/>
              <w:sz w:val="24"/>
              <w:szCs w:val="24"/>
            </w:rPr>
            <w:fldChar w:fldCharType="end"/>
          </w:r>
        </w:sdtContent>
      </w:sdt>
      <w:r w:rsidRPr="00CA7C7E">
        <w:rPr>
          <w:rFonts w:ascii="Arial" w:hAnsi="Arial" w:cs="Arial"/>
          <w:sz w:val="24"/>
          <w:szCs w:val="24"/>
        </w:rPr>
        <w:t xml:space="preserve">.Time pressure was another organisational challenge. Balancing speed and quality during service required focus and coordination. </w:t>
      </w:r>
      <w:sdt>
        <w:sdtPr>
          <w:rPr>
            <w:rFonts w:ascii="Arial" w:hAnsi="Arial" w:cs="Arial"/>
            <w:sz w:val="24"/>
            <w:szCs w:val="24"/>
          </w:rPr>
          <w:id w:val="-1675410613"/>
          <w:citation/>
        </w:sdtPr>
        <w:sdtContent>
          <w:r w:rsidR="00B96521" w:rsidRPr="00786030">
            <w:rPr>
              <w:rFonts w:ascii="Arial" w:hAnsi="Arial" w:cs="Arial"/>
              <w:sz w:val="24"/>
              <w:szCs w:val="24"/>
            </w:rPr>
            <w:fldChar w:fldCharType="begin"/>
          </w:r>
          <w:r w:rsidR="00B96521" w:rsidRPr="00786030">
            <w:rPr>
              <w:rFonts w:ascii="Arial" w:hAnsi="Arial" w:cs="Arial"/>
              <w:sz w:val="24"/>
              <w:szCs w:val="24"/>
            </w:rPr>
            <w:instrText xml:space="preserve"> CITATION Gar90 \l 2057 </w:instrText>
          </w:r>
          <w:r w:rsidR="00B96521" w:rsidRPr="00786030">
            <w:rPr>
              <w:rFonts w:ascii="Arial" w:hAnsi="Arial" w:cs="Arial"/>
              <w:sz w:val="24"/>
              <w:szCs w:val="24"/>
            </w:rPr>
            <w:fldChar w:fldCharType="separate"/>
          </w:r>
          <w:r w:rsidR="00925E89" w:rsidRPr="00925E89">
            <w:rPr>
              <w:rFonts w:ascii="Arial" w:hAnsi="Arial" w:cs="Arial"/>
              <w:noProof/>
              <w:sz w:val="24"/>
              <w:szCs w:val="24"/>
            </w:rPr>
            <w:t>(Fine, 1990)</w:t>
          </w:r>
          <w:r w:rsidR="00B96521" w:rsidRPr="00786030">
            <w:rPr>
              <w:rFonts w:ascii="Arial" w:hAnsi="Arial" w:cs="Arial"/>
              <w:sz w:val="24"/>
              <w:szCs w:val="24"/>
            </w:rPr>
            <w:fldChar w:fldCharType="end"/>
          </w:r>
        </w:sdtContent>
      </w:sdt>
      <w:r w:rsidRPr="00CA7C7E">
        <w:rPr>
          <w:rFonts w:ascii="Arial" w:hAnsi="Arial" w:cs="Arial"/>
          <w:sz w:val="24"/>
          <w:szCs w:val="24"/>
        </w:rPr>
        <w:t xml:space="preserve"> explains that restaurant kitchens operate under strict time demands, which matched my experience. Over time, I learned how to prioritise tasks and manage stress more </w:t>
      </w:r>
      <w:r w:rsidR="00696B0A" w:rsidRPr="00CA7C7E">
        <w:rPr>
          <w:rFonts w:ascii="Arial" w:hAnsi="Arial" w:cs="Arial"/>
          <w:sz w:val="24"/>
          <w:szCs w:val="24"/>
        </w:rPr>
        <w:t>effectively. Reflecting</w:t>
      </w:r>
      <w:r w:rsidRPr="00CA7C7E">
        <w:rPr>
          <w:rFonts w:ascii="Arial" w:hAnsi="Arial" w:cs="Arial"/>
          <w:sz w:val="24"/>
          <w:szCs w:val="24"/>
        </w:rPr>
        <w:t xml:space="preserve"> on </w:t>
      </w:r>
      <w:r w:rsidR="00696B0A">
        <w:rPr>
          <w:rFonts w:ascii="Arial" w:hAnsi="Arial" w:cs="Arial"/>
          <w:sz w:val="24"/>
          <w:szCs w:val="24"/>
        </w:rPr>
        <w:t>this</w:t>
      </w:r>
      <w:r w:rsidRPr="00CA7C7E">
        <w:rPr>
          <w:rFonts w:ascii="Arial" w:hAnsi="Arial" w:cs="Arial"/>
          <w:sz w:val="24"/>
          <w:szCs w:val="24"/>
        </w:rPr>
        <w:t>, I realised that working in a structured environment helped me develop transferable skills such as communication, adaptability, and responsibility. Understanding how kitchen operations are organised has prepared me for future roles in hospitality and reinforced the importance of teamwork and leadership in achieving high standards.</w:t>
      </w:r>
      <w:r w:rsidR="00786030">
        <w:rPr>
          <w:rFonts w:ascii="Arial" w:hAnsi="Arial" w:cs="Arial"/>
          <w:sz w:val="24"/>
          <w:szCs w:val="24"/>
        </w:rPr>
        <w:t xml:space="preserve"> </w:t>
      </w:r>
    </w:p>
    <w:p w14:paraId="1EA19F97" w14:textId="73B5D758" w:rsidR="00786030" w:rsidRPr="00786030" w:rsidRDefault="00786030" w:rsidP="00786030">
      <w:pPr>
        <w:rPr>
          <w:rFonts w:ascii="Arial" w:hAnsi="Arial" w:cs="Arial"/>
          <w:sz w:val="24"/>
          <w:szCs w:val="24"/>
        </w:rPr>
      </w:pPr>
      <w:r>
        <w:rPr>
          <w:rFonts w:ascii="Arial" w:hAnsi="Arial" w:cs="Arial"/>
          <w:sz w:val="24"/>
          <w:szCs w:val="24"/>
        </w:rPr>
        <w:t>Now that I think about</w:t>
      </w:r>
      <w:r w:rsidRPr="00786030">
        <w:rPr>
          <w:rFonts w:ascii="Arial" w:hAnsi="Arial" w:cs="Arial"/>
          <w:sz w:val="24"/>
          <w:szCs w:val="24"/>
        </w:rPr>
        <w:t xml:space="preserve"> on organisational </w:t>
      </w:r>
      <w:r w:rsidR="00696B0A" w:rsidRPr="00786030">
        <w:rPr>
          <w:rFonts w:ascii="Arial" w:hAnsi="Arial" w:cs="Arial"/>
          <w:sz w:val="24"/>
          <w:szCs w:val="24"/>
        </w:rPr>
        <w:t>issues,</w:t>
      </w:r>
      <w:r w:rsidRPr="00786030">
        <w:rPr>
          <w:rFonts w:ascii="Arial" w:hAnsi="Arial" w:cs="Arial"/>
          <w:sz w:val="24"/>
          <w:szCs w:val="24"/>
        </w:rPr>
        <w:t xml:space="preserve"> </w:t>
      </w:r>
      <w:r w:rsidR="00696B0A">
        <w:rPr>
          <w:rFonts w:ascii="Arial" w:hAnsi="Arial" w:cs="Arial"/>
          <w:sz w:val="24"/>
          <w:szCs w:val="24"/>
        </w:rPr>
        <w:t>I know</w:t>
      </w:r>
      <w:r w:rsidRPr="00786030">
        <w:rPr>
          <w:rFonts w:ascii="Arial" w:hAnsi="Arial" w:cs="Arial"/>
          <w:sz w:val="24"/>
          <w:szCs w:val="24"/>
        </w:rPr>
        <w:t xml:space="preserve"> how important structure and teamwork are in a professional kitchen. Working in an environment where roles were clearly defined helped reduce confusion and allowed service to run more smoothly. At the same time, I learned that flexibility is just as important as structure, especially when unexpected situations occur. Observing how senior staff managed pressure and supported the team influenced the way I approached my own responsibilities. I became more confident asking for help when needed and offering support to others during busy periods. This experience improved my communication skills and helped me feel more integrated into the team. Reflecting on this element, I understand that organisational success depends not only on systems and leadership, but also on mutual respect and cooperation. These lessons will be valuable in my future career, both within hospitality and in other professional settings.</w:t>
      </w:r>
    </w:p>
    <w:p w14:paraId="60BD7DB6" w14:textId="77777777" w:rsidR="00786030" w:rsidRPr="00CA7C7E" w:rsidRDefault="00786030" w:rsidP="00CA7C7E">
      <w:pPr>
        <w:rPr>
          <w:rFonts w:ascii="Arial" w:hAnsi="Arial" w:cs="Arial"/>
          <w:sz w:val="24"/>
          <w:szCs w:val="24"/>
        </w:rPr>
      </w:pPr>
    </w:p>
    <w:p w14:paraId="3B60E8A9" w14:textId="77777777" w:rsidR="001E54E1" w:rsidRPr="00786030" w:rsidRDefault="001E54E1" w:rsidP="006E6310">
      <w:pPr>
        <w:rPr>
          <w:rFonts w:ascii="Arial" w:hAnsi="Arial" w:cs="Arial"/>
          <w:sz w:val="24"/>
          <w:szCs w:val="24"/>
        </w:rPr>
      </w:pPr>
    </w:p>
    <w:p w14:paraId="568FE9CD" w14:textId="77777777" w:rsidR="00786030" w:rsidRPr="00786030" w:rsidRDefault="00786030" w:rsidP="006E6310">
      <w:pPr>
        <w:rPr>
          <w:rFonts w:ascii="Arial" w:hAnsi="Arial" w:cs="Arial"/>
          <w:sz w:val="24"/>
          <w:szCs w:val="24"/>
        </w:rPr>
      </w:pPr>
    </w:p>
    <w:p w14:paraId="6CD7E8FA" w14:textId="77777777" w:rsidR="001E54E1" w:rsidRDefault="001E54E1" w:rsidP="006E6310"/>
    <w:sdt>
      <w:sdtPr>
        <w:id w:val="1868333554"/>
        <w:docPartObj>
          <w:docPartGallery w:val="Bibliographies"/>
          <w:docPartUnique/>
        </w:docPartObj>
      </w:sdtPr>
      <w:sdtEndPr>
        <w:rPr>
          <w:rFonts w:ascii="Arial" w:eastAsiaTheme="minorHAnsi" w:hAnsi="Arial" w:cs="Arial"/>
          <w:color w:val="auto"/>
          <w:sz w:val="24"/>
          <w:szCs w:val="24"/>
        </w:rPr>
      </w:sdtEndPr>
      <w:sdtContent>
        <w:p w14:paraId="2A65C7EA" w14:textId="17ABDF9F" w:rsidR="001E54E1" w:rsidRDefault="001E54E1">
          <w:pPr>
            <w:pStyle w:val="Heading1"/>
          </w:pPr>
          <w:r>
            <w:t>References</w:t>
          </w:r>
        </w:p>
        <w:sdt>
          <w:sdtPr>
            <w:rPr>
              <w:rFonts w:ascii="Arial" w:hAnsi="Arial" w:cs="Arial"/>
              <w:sz w:val="24"/>
              <w:szCs w:val="24"/>
            </w:rPr>
            <w:id w:val="-573587230"/>
            <w:bibliography/>
          </w:sdtPr>
          <w:sdtContent>
            <w:p w14:paraId="12EC45DF" w14:textId="0A37F6C0" w:rsidR="00925E89" w:rsidRDefault="001E54E1" w:rsidP="00925E89">
              <w:pPr>
                <w:pStyle w:val="Bibliography"/>
                <w:rPr>
                  <w:noProof/>
                  <w:kern w:val="0"/>
                  <w:sz w:val="24"/>
                  <w:szCs w:val="24"/>
                  <w14:ligatures w14:val="none"/>
                </w:rPr>
              </w:pPr>
              <w:r w:rsidRPr="00786030">
                <w:rPr>
                  <w:rFonts w:ascii="Arial" w:hAnsi="Arial" w:cs="Arial"/>
                  <w:sz w:val="24"/>
                  <w:szCs w:val="24"/>
                </w:rPr>
                <w:fldChar w:fldCharType="begin"/>
              </w:r>
              <w:r w:rsidRPr="00786030">
                <w:rPr>
                  <w:rFonts w:ascii="Arial" w:hAnsi="Arial" w:cs="Arial"/>
                  <w:sz w:val="24"/>
                  <w:szCs w:val="24"/>
                </w:rPr>
                <w:instrText>BIBLIOGRAPHY</w:instrText>
              </w:r>
              <w:r w:rsidRPr="00786030">
                <w:rPr>
                  <w:rFonts w:ascii="Arial" w:hAnsi="Arial" w:cs="Arial"/>
                  <w:sz w:val="24"/>
                  <w:szCs w:val="24"/>
                </w:rPr>
                <w:fldChar w:fldCharType="separate"/>
              </w:r>
              <w:r w:rsidR="00925E89">
                <w:rPr>
                  <w:noProof/>
                </w:rPr>
                <w:t xml:space="preserve">Bulochova, V., 2024. Methods and measures in food service food safety research. </w:t>
              </w:r>
              <w:r w:rsidR="00925E89">
                <w:rPr>
                  <w:i/>
                  <w:iCs/>
                  <w:noProof/>
                </w:rPr>
                <w:t xml:space="preserve">foods, </w:t>
              </w:r>
              <w:r w:rsidR="00925E89">
                <w:rPr>
                  <w:noProof/>
                </w:rPr>
                <w:t xml:space="preserve">13(3), p. 354. Available at : </w:t>
              </w:r>
              <w:hyperlink r:id="rId8" w:history="1">
                <w:r w:rsidR="00925E89" w:rsidRPr="006D4E2E">
                  <w:rPr>
                    <w:rStyle w:val="Hyperlink"/>
                  </w:rPr>
                  <w:t>Methods and measures in food service food safety research: A review of the published literature - PMC</w:t>
                </w:r>
              </w:hyperlink>
            </w:p>
            <w:p w14:paraId="0D4144C5" w14:textId="00DBFE36" w:rsidR="00925E89" w:rsidRDefault="00925E89" w:rsidP="00925E89">
              <w:pPr>
                <w:pStyle w:val="Bibliography"/>
                <w:rPr>
                  <w:noProof/>
                </w:rPr>
              </w:pPr>
              <w:r>
                <w:rPr>
                  <w:noProof/>
                </w:rPr>
                <w:t xml:space="preserve">Clayton, M. L. et al., 2015. Listening to food workers: Factors that impact proper health and hygiene practice in food service. </w:t>
              </w:r>
              <w:r>
                <w:rPr>
                  <w:i/>
                  <w:iCs/>
                  <w:noProof/>
                </w:rPr>
                <w:t xml:space="preserve">International Journal of Occupational and Environmental Health, </w:t>
              </w:r>
              <w:r>
                <w:rPr>
                  <w:noProof/>
                </w:rPr>
                <w:t>21(4), pp. 314-327.</w:t>
              </w:r>
              <w:r w:rsidR="008A388E">
                <w:rPr>
                  <w:noProof/>
                </w:rPr>
                <w:t xml:space="preserve"> Available at : </w:t>
              </w:r>
              <w:hyperlink r:id="rId9" w:history="1">
                <w:r w:rsidR="008A388E" w:rsidRPr="00C4290B">
                  <w:rPr>
                    <w:rStyle w:val="Hyperlink"/>
                  </w:rPr>
                  <w:t>https://doi.org/10.1179/2049396715Y.0000000011</w:t>
                </w:r>
              </w:hyperlink>
            </w:p>
            <w:p w14:paraId="1BF7FB5B" w14:textId="3C883DFF" w:rsidR="00925E89" w:rsidRDefault="00925E89" w:rsidP="00925E89">
              <w:pPr>
                <w:pStyle w:val="Bibliography"/>
                <w:rPr>
                  <w:noProof/>
                </w:rPr>
              </w:pPr>
              <w:r>
                <w:rPr>
                  <w:noProof/>
                </w:rPr>
                <w:t xml:space="preserve">Fine, G. A., 1990. Organizational Time: Temporal Demands and the Experience of Work in Restaurant Kitchens. </w:t>
              </w:r>
              <w:r>
                <w:rPr>
                  <w:i/>
                  <w:iCs/>
                  <w:noProof/>
                </w:rPr>
                <w:t xml:space="preserve">Social Forces, </w:t>
              </w:r>
              <w:r>
                <w:rPr>
                  <w:noProof/>
                </w:rPr>
                <w:t xml:space="preserve">69(1), p. 95–114. Available at : </w:t>
              </w:r>
              <w:hyperlink r:id="rId10" w:history="1">
                <w:r w:rsidRPr="006E6310">
                  <w:rPr>
                    <w:rStyle w:val="Hyperlink"/>
                  </w:rPr>
                  <w:t>https://doi.org/10.1093/sf/69.1.95</w:t>
                </w:r>
              </w:hyperlink>
            </w:p>
            <w:p w14:paraId="137297F8" w14:textId="5B0A30FC" w:rsidR="00925E89" w:rsidRDefault="00925E89" w:rsidP="00925E89">
              <w:pPr>
                <w:pStyle w:val="Bibliography"/>
                <w:rPr>
                  <w:noProof/>
                </w:rPr>
              </w:pPr>
              <w:r>
                <w:rPr>
                  <w:noProof/>
                </w:rPr>
                <w:t xml:space="preserve">Freitas, D. &amp; R.S.G., 2022. Why kitchen workers do not practice what they learn about food safety. </w:t>
              </w:r>
              <w:r>
                <w:rPr>
                  <w:i/>
                  <w:iCs/>
                  <w:noProof/>
                </w:rPr>
                <w:t xml:space="preserve">Food Control, </w:t>
              </w:r>
              <w:r>
                <w:rPr>
                  <w:noProof/>
                </w:rPr>
                <w:t xml:space="preserve">Volume 138, p. 108971. Available at : </w:t>
              </w:r>
              <w:hyperlink r:id="rId11" w:history="1">
                <w:r w:rsidRPr="004E3783">
                  <w:rPr>
                    <w:rStyle w:val="Hyperlink"/>
                  </w:rPr>
                  <w:t>Why do kitchen workers not practice what they learn about food safety? - ScienceDirect</w:t>
                </w:r>
              </w:hyperlink>
            </w:p>
            <w:p w14:paraId="2E3CCAA1" w14:textId="3C7A0A49" w:rsidR="00925E89" w:rsidRDefault="00925E89" w:rsidP="00925E89">
              <w:pPr>
                <w:pStyle w:val="Bibliography"/>
                <w:rPr>
                  <w:noProof/>
                </w:rPr>
              </w:pPr>
              <w:r>
                <w:rPr>
                  <w:noProof/>
                </w:rPr>
                <w:t xml:space="preserve">Karadas, G. &amp; Karatepe, O. M., 2019. Employee Relations: The International Journal. </w:t>
              </w:r>
              <w:r>
                <w:rPr>
                  <w:i/>
                  <w:iCs/>
                  <w:noProof/>
                </w:rPr>
                <w:t xml:space="preserve">Employee Relations, </w:t>
              </w:r>
              <w:r>
                <w:rPr>
                  <w:noProof/>
                </w:rPr>
                <w:t>41(1), p. 67–83..</w:t>
              </w:r>
              <w:r w:rsidR="00AC2178">
                <w:rPr>
                  <w:noProof/>
                </w:rPr>
                <w:t xml:space="preserve"> Available at: </w:t>
              </w:r>
              <w:hyperlink r:id="rId12" w:tgtFrame="_blank" w:history="1">
                <w:r w:rsidR="00AC2178" w:rsidRPr="007E0480">
                  <w:rPr>
                    <w:rStyle w:val="Hyperlink"/>
                  </w:rPr>
                  <w:t>https://doi.org/10.1108/ER-04-</w:t>
                </w:r>
                <w:r w:rsidR="00AC2178" w:rsidRPr="007E0480">
                  <w:rPr>
                    <w:rStyle w:val="Hyperlink"/>
                  </w:rPr>
                  <w:t>2</w:t>
                </w:r>
                <w:r w:rsidR="00AC2178" w:rsidRPr="007E0480">
                  <w:rPr>
                    <w:rStyle w:val="Hyperlink"/>
                  </w:rPr>
                  <w:t>017-0084</w:t>
                </w:r>
              </w:hyperlink>
            </w:p>
            <w:p w14:paraId="6D364B8A" w14:textId="11356050" w:rsidR="00925E89" w:rsidRDefault="00925E89" w:rsidP="00925E89">
              <w:pPr>
                <w:pStyle w:val="Bibliography"/>
                <w:rPr>
                  <w:noProof/>
                </w:rPr>
              </w:pPr>
              <w:r>
                <w:rPr>
                  <w:noProof/>
                </w:rPr>
                <w:t xml:space="preserve">Kramer, A., Hoover, R. &amp; Hedeen., N., 2023. Development of an Empirically Derived Measure of Food Safety Culture in Restaurants. </w:t>
              </w:r>
              <w:r>
                <w:rPr>
                  <w:i/>
                  <w:iCs/>
                  <w:noProof/>
                </w:rPr>
                <w:t>Journal of Food Protection.</w:t>
              </w:r>
              <w:r w:rsidR="00AC2178">
                <w:rPr>
                  <w:i/>
                  <w:iCs/>
                  <w:noProof/>
                </w:rPr>
                <w:t xml:space="preserve">Available at : </w:t>
              </w:r>
              <w:hyperlink r:id="rId13" w:tgtFrame="_blank" w:tooltip="Persistent link using digital object identifier" w:history="1">
                <w:r w:rsidR="00AC2178" w:rsidRPr="00C4290B">
                  <w:rPr>
                    <w:rStyle w:val="Hyperlink"/>
                  </w:rPr>
                  <w:t>https://doi.org/10.1016/j.jfp.2023.100043</w:t>
                </w:r>
              </w:hyperlink>
            </w:p>
            <w:p w14:paraId="56FCF128" w14:textId="27AF856A" w:rsidR="00925E89" w:rsidRDefault="00925E89" w:rsidP="00925E89">
              <w:pPr>
                <w:pStyle w:val="Bibliography"/>
                <w:rPr>
                  <w:noProof/>
                </w:rPr>
              </w:pPr>
              <w:r>
                <w:rPr>
                  <w:noProof/>
                </w:rPr>
                <w:t xml:space="preserve">Ogbeide, G., 2008. A Case Study of Restaurant Training Motivations and Employee Performance. </w:t>
              </w:r>
              <w:r>
                <w:rPr>
                  <w:i/>
                  <w:iCs/>
                  <w:noProof/>
                </w:rPr>
                <w:t xml:space="preserve">Hospitality &amp; Tourism, </w:t>
              </w:r>
              <w:r>
                <w:rPr>
                  <w:noProof/>
                </w:rPr>
                <w:t xml:space="preserve">22(2), p. 172–177. Available at: </w:t>
              </w:r>
              <w:hyperlink r:id="rId14" w:history="1">
                <w:r w:rsidRPr="006E6310">
                  <w:rPr>
                    <w:rStyle w:val="Hyperlink"/>
                  </w:rPr>
                  <w:t>https://doi.org/10.1080/13032917.200</w:t>
                </w:r>
                <w:r w:rsidRPr="006E6310">
                  <w:rPr>
                    <w:rStyle w:val="Hyperlink"/>
                  </w:rPr>
                  <w:t>8</w:t>
                </w:r>
                <w:r w:rsidRPr="006E6310">
                  <w:rPr>
                    <w:rStyle w:val="Hyperlink"/>
                  </w:rPr>
                  <w:t>.9687063</w:t>
                </w:r>
              </w:hyperlink>
            </w:p>
            <w:p w14:paraId="40BC6778" w14:textId="5520F410" w:rsidR="00925E89" w:rsidRDefault="00925E89" w:rsidP="00925E89">
              <w:pPr>
                <w:pStyle w:val="Bibliography"/>
                <w:rPr>
                  <w:noProof/>
                </w:rPr>
              </w:pPr>
              <w:r>
                <w:rPr>
                  <w:noProof/>
                </w:rPr>
                <w:t xml:space="preserve">Ogbeide, G.-C., Harrington, R. &amp; Kesterson, K., 2015. Time for Change: A New Leadership Decision for Restaurant Profit Enhancement. </w:t>
              </w:r>
              <w:r>
                <w:rPr>
                  <w:i/>
                  <w:iCs/>
                  <w:noProof/>
                </w:rPr>
                <w:t xml:space="preserve">Journal of Hospitality &amp; Tourism Cases, </w:t>
              </w:r>
              <w:r>
                <w:rPr>
                  <w:noProof/>
                </w:rPr>
                <w:t xml:space="preserve">4(2), pp. 27-34. Available at : </w:t>
              </w:r>
              <w:hyperlink r:id="rId15" w:history="1">
                <w:r w:rsidRPr="001E54E1">
                  <w:rPr>
                    <w:rStyle w:val="Hyperlink"/>
                  </w:rPr>
                  <w:t>https://doi.org/10.1177/2164998715004</w:t>
                </w:r>
                <w:r w:rsidRPr="001E54E1">
                  <w:rPr>
                    <w:rStyle w:val="Hyperlink"/>
                  </w:rPr>
                  <w:t>0</w:t>
                </w:r>
                <w:r w:rsidRPr="001E54E1">
                  <w:rPr>
                    <w:rStyle w:val="Hyperlink"/>
                  </w:rPr>
                  <w:t>0204</w:t>
                </w:r>
              </w:hyperlink>
            </w:p>
            <w:p w14:paraId="16DA3B91" w14:textId="4551BC0A" w:rsidR="00925E89" w:rsidRDefault="00925E89" w:rsidP="00925E89">
              <w:pPr>
                <w:pStyle w:val="Bibliography"/>
                <w:rPr>
                  <w:noProof/>
                </w:rPr>
              </w:pPr>
              <w:r>
                <w:rPr>
                  <w:noProof/>
                </w:rPr>
                <w:t xml:space="preserve">Pai, A., Pradhanang R. &amp; Martinez, S., 2024. A comprehensive review of food safety culture. </w:t>
              </w:r>
              <w:r>
                <w:rPr>
                  <w:i/>
                  <w:iCs/>
                  <w:noProof/>
                </w:rPr>
                <w:t xml:space="preserve">foods, </w:t>
              </w:r>
              <w:r>
                <w:rPr>
                  <w:noProof/>
                </w:rPr>
                <w:t>13(24), p. 4078. Ava</w:t>
              </w:r>
              <w:r w:rsidR="00AC2178">
                <w:rPr>
                  <w:noProof/>
                </w:rPr>
                <w:t xml:space="preserve">ilable at : </w:t>
              </w:r>
              <w:hyperlink r:id="rId16" w:history="1">
                <w:r w:rsidR="00AC2178" w:rsidRPr="0075125A">
                  <w:rPr>
                    <w:rStyle w:val="Hyperlink"/>
                  </w:rPr>
                  <w:t>A Comprehensive Review of Food Safety Culture in the Food Industry: Leadership, Organizational Commitment, and Multicultural Dynamics</w:t>
                </w:r>
              </w:hyperlink>
            </w:p>
            <w:p w14:paraId="4D2BDC67" w14:textId="31718026" w:rsidR="00925E89" w:rsidRDefault="00925E89" w:rsidP="00925E89">
              <w:pPr>
                <w:pStyle w:val="Bibliography"/>
                <w:rPr>
                  <w:noProof/>
                </w:rPr>
              </w:pPr>
              <w:r>
                <w:rPr>
                  <w:noProof/>
                </w:rPr>
                <w:t xml:space="preserve">Putri, M. S. &amp; Susanna, D., 2021. Food safety knowledge, attitudes, and practices of food handlers. </w:t>
              </w:r>
              <w:r>
                <w:rPr>
                  <w:i/>
                  <w:iCs/>
                  <w:noProof/>
                </w:rPr>
                <w:t xml:space="preserve">Journal of Public Health Research, </w:t>
              </w:r>
              <w:r>
                <w:rPr>
                  <w:noProof/>
                </w:rPr>
                <w:t>10(3), p. 22799036211004388.</w:t>
              </w:r>
              <w:r w:rsidR="00AC2178">
                <w:rPr>
                  <w:noProof/>
                </w:rPr>
                <w:t xml:space="preserve"> Available at : </w:t>
              </w:r>
              <w:hyperlink r:id="rId17" w:history="1">
                <w:r w:rsidR="00AC2178" w:rsidRPr="0075125A">
                  <w:rPr>
                    <w:rStyle w:val="Hyperlink"/>
                  </w:rPr>
                  <w:t>Food safety knowledge, attitudes, and practices of food handlers at kitchen premises in the Port ‘X’ area, North Jakarta, Indonesia 2018 | Italian Journal of Food Safety</w:t>
                </w:r>
              </w:hyperlink>
              <w:r w:rsidR="00AC2178">
                <w:t xml:space="preserve">        </w:t>
              </w:r>
            </w:p>
            <w:p w14:paraId="26B33423" w14:textId="29CB6E59" w:rsidR="00925E89" w:rsidRDefault="00925E89" w:rsidP="00925E89">
              <w:pPr>
                <w:pStyle w:val="Bibliography"/>
                <w:rPr>
                  <w:noProof/>
                </w:rPr>
              </w:pPr>
              <w:r>
                <w:rPr>
                  <w:noProof/>
                </w:rPr>
                <w:t xml:space="preserve">Segbedzi, C. E., Ansah, E. W. &amp; Apaak, D., 2025. Compliance to food safety standards: determining barriers. </w:t>
              </w:r>
              <w:r>
                <w:rPr>
                  <w:i/>
                  <w:iCs/>
                  <w:noProof/>
                </w:rPr>
                <w:t xml:space="preserve">Journal of food safety, </w:t>
              </w:r>
              <w:r>
                <w:rPr>
                  <w:noProof/>
                </w:rPr>
                <w:t>45(1), p. e13087.</w:t>
              </w:r>
              <w:r w:rsidR="00AC2178">
                <w:rPr>
                  <w:noProof/>
                </w:rPr>
                <w:t xml:space="preserve"> Available at : </w:t>
              </w:r>
              <w:hyperlink r:id="rId18" w:history="1">
                <w:r w:rsidR="00AC2178" w:rsidRPr="0075125A">
                  <w:rPr>
                    <w:rStyle w:val="Hyperlink"/>
                  </w:rPr>
                  <w:t>Compliance to food safety standards: Determining the barriers within the hotel industry - PMC</w:t>
                </w:r>
              </w:hyperlink>
            </w:p>
            <w:p w14:paraId="43E3D897" w14:textId="1DA8B486" w:rsidR="00925E89" w:rsidRDefault="00925E89" w:rsidP="00925E89">
              <w:pPr>
                <w:pStyle w:val="Bibliography"/>
                <w:rPr>
                  <w:noProof/>
                </w:rPr>
              </w:pPr>
              <w:r>
                <w:rPr>
                  <w:noProof/>
                </w:rPr>
                <w:t xml:space="preserve">Sharma, I. &amp; Agga, A., 2024. Leadership Dynamics and Organizational. </w:t>
              </w:r>
              <w:r>
                <w:rPr>
                  <w:i/>
                  <w:iCs/>
                  <w:noProof/>
                </w:rPr>
                <w:t xml:space="preserve">The Open Psychology Journal, </w:t>
              </w:r>
              <w:r>
                <w:rPr>
                  <w:noProof/>
                </w:rPr>
                <w:t>Volume 17.</w:t>
              </w:r>
              <w:r w:rsidR="00AC2178">
                <w:rPr>
                  <w:noProof/>
                </w:rPr>
                <w:t xml:space="preserve"> Available at : </w:t>
              </w:r>
              <w:hyperlink r:id="rId19" w:history="1">
                <w:r w:rsidR="00AC2178" w:rsidRPr="00667B06">
                  <w:rPr>
                    <w:rStyle w:val="Hyperlink"/>
                  </w:rPr>
                  <w:t>DOI: 10.2174/0118743501315832240624055225</w:t>
                </w:r>
              </w:hyperlink>
            </w:p>
            <w:p w14:paraId="16F8E356" w14:textId="26553595" w:rsidR="00925E89" w:rsidRDefault="00925E89" w:rsidP="00925E89">
              <w:pPr>
                <w:pStyle w:val="Bibliography"/>
                <w:rPr>
                  <w:noProof/>
                </w:rPr>
              </w:pPr>
              <w:r>
                <w:rPr>
                  <w:noProof/>
                </w:rPr>
                <w:t xml:space="preserve">Soon, J., Singh, H. &amp; Baines, R., 2011. Foodborne diseases in Malaysia: A review. </w:t>
              </w:r>
              <w:r>
                <w:rPr>
                  <w:i/>
                  <w:iCs/>
                  <w:noProof/>
                </w:rPr>
                <w:t xml:space="preserve">Food Control, </w:t>
              </w:r>
              <w:r>
                <w:rPr>
                  <w:noProof/>
                </w:rPr>
                <w:t>22(6), pp. 823-830.</w:t>
              </w:r>
              <w:r w:rsidR="00AC2178">
                <w:rPr>
                  <w:noProof/>
                </w:rPr>
                <w:t xml:space="preserve"> Available at : </w:t>
              </w:r>
              <w:hyperlink r:id="rId20" w:tgtFrame="_blank" w:tooltip="Persistent link using digital object identifier" w:history="1">
                <w:r w:rsidR="00AC2178" w:rsidRPr="00C4290B">
                  <w:rPr>
                    <w:rStyle w:val="Hyperlink"/>
                  </w:rPr>
                  <w:t>https://doi.org/10.1016/j.foodcont.2010.12.011</w:t>
                </w:r>
              </w:hyperlink>
            </w:p>
            <w:p w14:paraId="653622D9" w14:textId="19490166" w:rsidR="00925E89" w:rsidRDefault="00925E89" w:rsidP="00925E89">
              <w:pPr>
                <w:pStyle w:val="Bibliography"/>
                <w:rPr>
                  <w:noProof/>
                </w:rPr>
              </w:pPr>
              <w:r>
                <w:rPr>
                  <w:noProof/>
                </w:rPr>
                <w:t xml:space="preserve">Torres, E. N. &amp;. Z. T., 2022. Customer Service Marketing: Managing the Customer Experience. </w:t>
              </w:r>
              <w:r>
                <w:rPr>
                  <w:i/>
                  <w:iCs/>
                  <w:noProof/>
                </w:rPr>
                <w:t xml:space="preserve">Customer Service Marketing, </w:t>
              </w:r>
              <w:r>
                <w:rPr>
                  <w:noProof/>
                </w:rPr>
                <w:t>p. 288.</w:t>
              </w:r>
              <w:r w:rsidR="00AC2178">
                <w:rPr>
                  <w:noProof/>
                </w:rPr>
                <w:t xml:space="preserve"> Available at : </w:t>
              </w:r>
              <w:hyperlink r:id="rId21" w:tgtFrame="_blank" w:history="1">
                <w:r w:rsidR="00AC2178" w:rsidRPr="00E14C9E">
                  <w:rPr>
                    <w:rStyle w:val="Hyperlink"/>
                  </w:rPr>
                  <w:t>https://doi.org/10.4324/9780429263965</w:t>
                </w:r>
              </w:hyperlink>
            </w:p>
            <w:p w14:paraId="68E3B90B" w14:textId="5791F5BD" w:rsidR="00925E89" w:rsidRDefault="00925E89" w:rsidP="00925E89">
              <w:pPr>
                <w:pStyle w:val="Bibliography"/>
                <w:rPr>
                  <w:noProof/>
                </w:rPr>
              </w:pPr>
              <w:r>
                <w:rPr>
                  <w:noProof/>
                </w:rPr>
                <w:lastRenderedPageBreak/>
                <w:t xml:space="preserve">Yin, X. L., Yang, Y. L., Kim, H. J. &amp; Zhang, Y., 2022. Examining the job burnout of Chinese hospitality management students in internships via the transactional model. </w:t>
              </w:r>
              <w:r>
                <w:rPr>
                  <w:i/>
                  <w:iCs/>
                  <w:noProof/>
                </w:rPr>
                <w:t xml:space="preserve">Frontiers in Psychology, </w:t>
              </w:r>
              <w:r>
                <w:rPr>
                  <w:noProof/>
                </w:rPr>
                <w:t>Volume 13.</w:t>
              </w:r>
              <w:r w:rsidR="008A388E">
                <w:rPr>
                  <w:noProof/>
                </w:rPr>
                <w:t xml:space="preserve"> Available at : </w:t>
              </w:r>
              <w:hyperlink r:id="rId22" w:history="1">
                <w:r w:rsidR="008A388E" w:rsidRPr="007E0480">
                  <w:rPr>
                    <w:rStyle w:val="Hyperlink"/>
                  </w:rPr>
                  <w:t xml:space="preserve">Frontiers | Examining the job burnout of Chinese </w:t>
                </w:r>
                <w:r w:rsidR="008A388E" w:rsidRPr="007E0480">
                  <w:rPr>
                    <w:rStyle w:val="Hyperlink"/>
                  </w:rPr>
                  <w:t>h</w:t>
                </w:r>
                <w:r w:rsidR="008A388E" w:rsidRPr="007E0480">
                  <w:rPr>
                    <w:rStyle w:val="Hyperlink"/>
                  </w:rPr>
                  <w:t>ospitality management students in internships via the transactional model</w:t>
                </w:r>
              </w:hyperlink>
            </w:p>
            <w:p w14:paraId="033ECF83" w14:textId="16FCB7BD" w:rsidR="00925E89" w:rsidRDefault="00925E89" w:rsidP="00925E89">
              <w:pPr>
                <w:pStyle w:val="Bibliography"/>
                <w:rPr>
                  <w:noProof/>
                </w:rPr>
              </w:pPr>
              <w:r>
                <w:rPr>
                  <w:noProof/>
                </w:rPr>
                <w:t xml:space="preserve">Young, I. &amp; Reimer, D., 2017. Psychosocial and health-status determinants of safe food handling among consumers: A systematic review and meta-analysis. </w:t>
              </w:r>
              <w:r>
                <w:rPr>
                  <w:i/>
                  <w:iCs/>
                  <w:noProof/>
                </w:rPr>
                <w:t xml:space="preserve">food control, </w:t>
              </w:r>
              <w:r>
                <w:rPr>
                  <w:noProof/>
                </w:rPr>
                <w:t>Volume 78, p. 401–411.</w:t>
              </w:r>
              <w:r w:rsidR="008A388E">
                <w:rPr>
                  <w:noProof/>
                </w:rPr>
                <w:t xml:space="preserve"> Available at : </w:t>
              </w:r>
              <w:hyperlink r:id="rId23" w:tgtFrame="_blank" w:tooltip="Persistent link using digital object identifier" w:history="1">
                <w:r w:rsidR="008A388E" w:rsidRPr="00863DF8">
                  <w:rPr>
                    <w:rStyle w:val="Hyperlink"/>
                  </w:rPr>
                  <w:t>https://doi.org/10.1016/j.foodcont.2017.03.013</w:t>
                </w:r>
              </w:hyperlink>
            </w:p>
            <w:p w14:paraId="1DB32B36" w14:textId="4AAE3173" w:rsidR="001E54E1" w:rsidRPr="00786030" w:rsidRDefault="001E54E1" w:rsidP="00925E89">
              <w:pPr>
                <w:rPr>
                  <w:rFonts w:ascii="Arial" w:hAnsi="Arial" w:cs="Arial"/>
                  <w:sz w:val="24"/>
                  <w:szCs w:val="24"/>
                </w:rPr>
              </w:pPr>
              <w:r w:rsidRPr="00786030">
                <w:rPr>
                  <w:rFonts w:ascii="Arial" w:hAnsi="Arial" w:cs="Arial"/>
                  <w:b/>
                  <w:bCs/>
                  <w:sz w:val="24"/>
                  <w:szCs w:val="24"/>
                </w:rPr>
                <w:fldChar w:fldCharType="end"/>
              </w:r>
            </w:p>
          </w:sdtContent>
        </w:sdt>
      </w:sdtContent>
    </w:sdt>
    <w:p w14:paraId="131F485C" w14:textId="77777777" w:rsidR="001E54E1" w:rsidRPr="006E6310" w:rsidRDefault="001E54E1" w:rsidP="006E6310"/>
    <w:p w14:paraId="2B523CA6" w14:textId="77777777" w:rsidR="00667B06" w:rsidRDefault="00667B06" w:rsidP="00C4290B"/>
    <w:p w14:paraId="1D6FE70B" w14:textId="77777777" w:rsidR="000F6132" w:rsidRDefault="000F6132" w:rsidP="00C4290B"/>
    <w:p w14:paraId="259C147E" w14:textId="77777777" w:rsidR="000F6132" w:rsidRDefault="000F6132" w:rsidP="00C4290B"/>
    <w:p w14:paraId="548177F9" w14:textId="77777777" w:rsidR="000F6132" w:rsidRDefault="000F6132" w:rsidP="00C4290B"/>
    <w:p w14:paraId="2653E32E" w14:textId="77777777" w:rsidR="000F6132" w:rsidRDefault="000F6132" w:rsidP="00C4290B"/>
    <w:p w14:paraId="3F921AF4" w14:textId="77777777" w:rsidR="000F6132" w:rsidRDefault="000F6132" w:rsidP="00C4290B"/>
    <w:p w14:paraId="7B6FD21E" w14:textId="77777777" w:rsidR="000F6132" w:rsidRDefault="000F6132" w:rsidP="00C4290B"/>
    <w:p w14:paraId="2C6726DF" w14:textId="77777777" w:rsidR="000F6132" w:rsidRDefault="000F6132" w:rsidP="00C4290B"/>
    <w:p w14:paraId="34EE8016" w14:textId="77777777" w:rsidR="000F6132" w:rsidRDefault="000F6132" w:rsidP="00C4290B"/>
    <w:p w14:paraId="78EBD251" w14:textId="77777777" w:rsidR="000F6132" w:rsidRDefault="000F6132" w:rsidP="00C4290B"/>
    <w:p w14:paraId="64FB8A11" w14:textId="77777777" w:rsidR="000F6132" w:rsidRDefault="000F6132" w:rsidP="00C4290B"/>
    <w:p w14:paraId="30F94749" w14:textId="77777777" w:rsidR="000F6132" w:rsidRDefault="000F6132" w:rsidP="00C4290B"/>
    <w:p w14:paraId="6E69386A" w14:textId="77777777" w:rsidR="000F6132" w:rsidRDefault="000F6132" w:rsidP="00C4290B"/>
    <w:p w14:paraId="625B6A24" w14:textId="77777777" w:rsidR="000F6132" w:rsidRDefault="000F6132" w:rsidP="00C4290B"/>
    <w:p w14:paraId="739F6272" w14:textId="77777777" w:rsidR="000F6132" w:rsidRDefault="000F6132" w:rsidP="00C4290B"/>
    <w:p w14:paraId="7ADC9287" w14:textId="77777777" w:rsidR="000F6132" w:rsidRDefault="000F6132" w:rsidP="00C4290B"/>
    <w:p w14:paraId="219B76F2" w14:textId="77777777" w:rsidR="000F6132" w:rsidRDefault="000F6132" w:rsidP="00C4290B"/>
    <w:p w14:paraId="6DBAA37E" w14:textId="77777777" w:rsidR="007E0480" w:rsidRDefault="007E0480" w:rsidP="00C4290B"/>
    <w:p w14:paraId="4EF4FD52" w14:textId="77777777" w:rsidR="000F6132" w:rsidRDefault="000F6132" w:rsidP="00C4290B"/>
    <w:p w14:paraId="51A46B3E" w14:textId="77777777" w:rsidR="000F6132" w:rsidRDefault="000F6132" w:rsidP="00C4290B"/>
    <w:p w14:paraId="0D7DD97F" w14:textId="77777777" w:rsidR="000F6132" w:rsidRDefault="000F6132" w:rsidP="00C4290B"/>
    <w:p w14:paraId="129172CC" w14:textId="77777777" w:rsidR="000F6132" w:rsidRDefault="000F6132" w:rsidP="00C4290B"/>
    <w:p w14:paraId="6B9246D9" w14:textId="77777777" w:rsidR="000F6132" w:rsidRDefault="000F6132" w:rsidP="00C4290B"/>
    <w:p w14:paraId="68B17F77" w14:textId="77777777" w:rsidR="000F6132" w:rsidRPr="00C4290B" w:rsidRDefault="000F6132" w:rsidP="00C4290B"/>
    <w:p w14:paraId="73B5C03B" w14:textId="1D2930B5" w:rsidR="008A388E" w:rsidRDefault="008A388E">
      <w:r>
        <w:lastRenderedPageBreak/>
        <w:t>Appendix</w:t>
      </w:r>
    </w:p>
    <w:p w14:paraId="0357B590" w14:textId="7C73DF2E" w:rsidR="008A388E" w:rsidRDefault="000F6132">
      <w:r>
        <w:rPr>
          <w:noProof/>
        </w:rPr>
        <w:drawing>
          <wp:inline distT="0" distB="0" distL="0" distR="0" wp14:anchorId="1D6EC461" wp14:editId="608AA700">
            <wp:extent cx="2883865" cy="1415415"/>
            <wp:effectExtent l="0" t="0" r="0" b="0"/>
            <wp:docPr id="1592192944" name="Picture 1" descr="A plate of food with a piece of breaded chicken and potato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92944" name="Picture 1" descr="A plate of food with a piece of breaded chicken and potatoes&#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33760" cy="1439904"/>
                    </a:xfrm>
                    <a:prstGeom prst="rect">
                      <a:avLst/>
                    </a:prstGeom>
                  </pic:spPr>
                </pic:pic>
              </a:graphicData>
            </a:graphic>
          </wp:inline>
        </w:drawing>
      </w:r>
      <w:r>
        <w:rPr>
          <w:noProof/>
        </w:rPr>
        <w:drawing>
          <wp:inline distT="0" distB="0" distL="0" distR="0" wp14:anchorId="30047458" wp14:editId="3FC415F1">
            <wp:extent cx="2847975" cy="1601946"/>
            <wp:effectExtent l="0" t="0" r="0" b="0"/>
            <wp:docPr id="880812585" name="Picture 2"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12585" name="Picture 2" descr="A plate of food on a table&#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72698" cy="1615852"/>
                    </a:xfrm>
                    <a:prstGeom prst="rect">
                      <a:avLst/>
                    </a:prstGeom>
                  </pic:spPr>
                </pic:pic>
              </a:graphicData>
            </a:graphic>
          </wp:inline>
        </w:drawing>
      </w:r>
      <w:r>
        <w:rPr>
          <w:noProof/>
        </w:rPr>
        <w:drawing>
          <wp:inline distT="0" distB="0" distL="0" distR="0" wp14:anchorId="0EF9F240" wp14:editId="54E712AB">
            <wp:extent cx="5731510" cy="3223895"/>
            <wp:effectExtent l="0" t="0" r="2540" b="0"/>
            <wp:docPr id="1070412187" name="Picture 3" descr="A pan of food on a pl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412187" name="Picture 3" descr="A pan of food on a plate&#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C6AB9BD" wp14:editId="5F68DCAF">
            <wp:extent cx="1885693" cy="2266950"/>
            <wp:effectExtent l="0" t="0" r="635" b="0"/>
            <wp:docPr id="712698083" name="Picture 5" descr="A plate of food with a cup of f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98083" name="Picture 5" descr="A plate of food with a cup of fries&#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17778" cy="2305523"/>
                    </a:xfrm>
                    <a:prstGeom prst="rect">
                      <a:avLst/>
                    </a:prstGeom>
                  </pic:spPr>
                </pic:pic>
              </a:graphicData>
            </a:graphic>
          </wp:inline>
        </w:drawing>
      </w:r>
    </w:p>
    <w:sectPr w:rsidR="008A388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28D85" w14:textId="77777777" w:rsidR="00253399" w:rsidRDefault="00253399" w:rsidP="008A388E">
      <w:pPr>
        <w:spacing w:after="0" w:line="240" w:lineRule="auto"/>
      </w:pPr>
      <w:r>
        <w:separator/>
      </w:r>
    </w:p>
  </w:endnote>
  <w:endnote w:type="continuationSeparator" w:id="0">
    <w:p w14:paraId="66C693AF" w14:textId="77777777" w:rsidR="00253399" w:rsidRDefault="00253399" w:rsidP="008A3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3034672"/>
      <w:docPartObj>
        <w:docPartGallery w:val="Page Numbers (Bottom of Page)"/>
        <w:docPartUnique/>
      </w:docPartObj>
    </w:sdtPr>
    <w:sdtContent>
      <w:p w14:paraId="73C502E4" w14:textId="33B866D9" w:rsidR="008A388E" w:rsidRDefault="008A388E">
        <w:pPr>
          <w:pStyle w:val="Footer"/>
          <w:jc w:val="center"/>
        </w:pPr>
        <w:r>
          <w:fldChar w:fldCharType="begin"/>
        </w:r>
        <w:r>
          <w:instrText>PAGE   \* MERGEFORMAT</w:instrText>
        </w:r>
        <w:r>
          <w:fldChar w:fldCharType="separate"/>
        </w:r>
        <w:r>
          <w:t>2</w:t>
        </w:r>
        <w:r>
          <w:fldChar w:fldCharType="end"/>
        </w:r>
      </w:p>
    </w:sdtContent>
  </w:sdt>
  <w:p w14:paraId="7BA9645D" w14:textId="77777777" w:rsidR="008A388E" w:rsidRDefault="008A3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A231B" w14:textId="77777777" w:rsidR="00253399" w:rsidRDefault="00253399" w:rsidP="008A388E">
      <w:pPr>
        <w:spacing w:after="0" w:line="240" w:lineRule="auto"/>
      </w:pPr>
      <w:r>
        <w:separator/>
      </w:r>
    </w:p>
  </w:footnote>
  <w:footnote w:type="continuationSeparator" w:id="0">
    <w:p w14:paraId="0C8EE7DE" w14:textId="77777777" w:rsidR="00253399" w:rsidRDefault="00253399" w:rsidP="008A38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D0724"/>
    <w:multiLevelType w:val="multilevel"/>
    <w:tmpl w:val="3098A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CC6B25"/>
    <w:multiLevelType w:val="multilevel"/>
    <w:tmpl w:val="9036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4631906">
    <w:abstractNumId w:val="0"/>
  </w:num>
  <w:num w:numId="2" w16cid:durableId="1590962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783"/>
    <w:rsid w:val="000F6132"/>
    <w:rsid w:val="001E54E1"/>
    <w:rsid w:val="00253399"/>
    <w:rsid w:val="004E3783"/>
    <w:rsid w:val="005940E1"/>
    <w:rsid w:val="005C5AB7"/>
    <w:rsid w:val="00667B06"/>
    <w:rsid w:val="00696B0A"/>
    <w:rsid w:val="006D4E2E"/>
    <w:rsid w:val="006E6310"/>
    <w:rsid w:val="0075125A"/>
    <w:rsid w:val="00786030"/>
    <w:rsid w:val="00791CE2"/>
    <w:rsid w:val="007E0480"/>
    <w:rsid w:val="00863DF8"/>
    <w:rsid w:val="008A388E"/>
    <w:rsid w:val="00925E89"/>
    <w:rsid w:val="00AC2178"/>
    <w:rsid w:val="00B96521"/>
    <w:rsid w:val="00C4290B"/>
    <w:rsid w:val="00CA7C7E"/>
    <w:rsid w:val="00E14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251F4"/>
  <w15:chartTrackingRefBased/>
  <w15:docId w15:val="{097CBA78-CCC3-44D4-9011-D15AE8FC4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7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37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37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37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37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3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7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37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37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37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37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3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783"/>
    <w:rPr>
      <w:rFonts w:eastAsiaTheme="majorEastAsia" w:cstheme="majorBidi"/>
      <w:color w:val="272727" w:themeColor="text1" w:themeTint="D8"/>
    </w:rPr>
  </w:style>
  <w:style w:type="paragraph" w:styleId="Title">
    <w:name w:val="Title"/>
    <w:basedOn w:val="Normal"/>
    <w:next w:val="Normal"/>
    <w:link w:val="TitleChar"/>
    <w:uiPriority w:val="10"/>
    <w:qFormat/>
    <w:rsid w:val="004E3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783"/>
    <w:pPr>
      <w:spacing w:before="160"/>
      <w:jc w:val="center"/>
    </w:pPr>
    <w:rPr>
      <w:i/>
      <w:iCs/>
      <w:color w:val="404040" w:themeColor="text1" w:themeTint="BF"/>
    </w:rPr>
  </w:style>
  <w:style w:type="character" w:customStyle="1" w:styleId="QuoteChar">
    <w:name w:val="Quote Char"/>
    <w:basedOn w:val="DefaultParagraphFont"/>
    <w:link w:val="Quote"/>
    <w:uiPriority w:val="29"/>
    <w:rsid w:val="004E3783"/>
    <w:rPr>
      <w:i/>
      <w:iCs/>
      <w:color w:val="404040" w:themeColor="text1" w:themeTint="BF"/>
    </w:rPr>
  </w:style>
  <w:style w:type="paragraph" w:styleId="ListParagraph">
    <w:name w:val="List Paragraph"/>
    <w:basedOn w:val="Normal"/>
    <w:uiPriority w:val="34"/>
    <w:qFormat/>
    <w:rsid w:val="004E3783"/>
    <w:pPr>
      <w:ind w:left="720"/>
      <w:contextualSpacing/>
    </w:pPr>
  </w:style>
  <w:style w:type="character" w:styleId="IntenseEmphasis">
    <w:name w:val="Intense Emphasis"/>
    <w:basedOn w:val="DefaultParagraphFont"/>
    <w:uiPriority w:val="21"/>
    <w:qFormat/>
    <w:rsid w:val="004E3783"/>
    <w:rPr>
      <w:i/>
      <w:iCs/>
      <w:color w:val="2F5496" w:themeColor="accent1" w:themeShade="BF"/>
    </w:rPr>
  </w:style>
  <w:style w:type="paragraph" w:styleId="IntenseQuote">
    <w:name w:val="Intense Quote"/>
    <w:basedOn w:val="Normal"/>
    <w:next w:val="Normal"/>
    <w:link w:val="IntenseQuoteChar"/>
    <w:uiPriority w:val="30"/>
    <w:qFormat/>
    <w:rsid w:val="004E37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3783"/>
    <w:rPr>
      <w:i/>
      <w:iCs/>
      <w:color w:val="2F5496" w:themeColor="accent1" w:themeShade="BF"/>
    </w:rPr>
  </w:style>
  <w:style w:type="character" w:styleId="IntenseReference">
    <w:name w:val="Intense Reference"/>
    <w:basedOn w:val="DefaultParagraphFont"/>
    <w:uiPriority w:val="32"/>
    <w:qFormat/>
    <w:rsid w:val="004E3783"/>
    <w:rPr>
      <w:b/>
      <w:bCs/>
      <w:smallCaps/>
      <w:color w:val="2F5496" w:themeColor="accent1" w:themeShade="BF"/>
      <w:spacing w:val="5"/>
    </w:rPr>
  </w:style>
  <w:style w:type="character" w:styleId="Hyperlink">
    <w:name w:val="Hyperlink"/>
    <w:basedOn w:val="DefaultParagraphFont"/>
    <w:uiPriority w:val="99"/>
    <w:unhideWhenUsed/>
    <w:rsid w:val="004E3783"/>
    <w:rPr>
      <w:color w:val="0563C1" w:themeColor="hyperlink"/>
      <w:u w:val="single"/>
    </w:rPr>
  </w:style>
  <w:style w:type="character" w:styleId="UnresolvedMention">
    <w:name w:val="Unresolved Mention"/>
    <w:basedOn w:val="DefaultParagraphFont"/>
    <w:uiPriority w:val="99"/>
    <w:semiHidden/>
    <w:unhideWhenUsed/>
    <w:rsid w:val="004E3783"/>
    <w:rPr>
      <w:color w:val="605E5C"/>
      <w:shd w:val="clear" w:color="auto" w:fill="E1DFDD"/>
    </w:rPr>
  </w:style>
  <w:style w:type="paragraph" w:styleId="Bibliography">
    <w:name w:val="Bibliography"/>
    <w:basedOn w:val="Normal"/>
    <w:next w:val="Normal"/>
    <w:uiPriority w:val="37"/>
    <w:unhideWhenUsed/>
    <w:rsid w:val="001E54E1"/>
  </w:style>
  <w:style w:type="paragraph" w:customStyle="1" w:styleId="Default">
    <w:name w:val="Default"/>
    <w:rsid w:val="00786030"/>
    <w:pPr>
      <w:autoSpaceDE w:val="0"/>
      <w:autoSpaceDN w:val="0"/>
      <w:adjustRightInd w:val="0"/>
      <w:spacing w:after="0" w:line="240" w:lineRule="auto"/>
    </w:pPr>
    <w:rPr>
      <w:rFonts w:ascii="Arial" w:hAnsi="Arial" w:cs="Arial"/>
      <w:color w:val="000000"/>
      <w:kern w:val="0"/>
      <w:sz w:val="24"/>
      <w:szCs w:val="24"/>
    </w:rPr>
  </w:style>
  <w:style w:type="character" w:styleId="FollowedHyperlink">
    <w:name w:val="FollowedHyperlink"/>
    <w:basedOn w:val="DefaultParagraphFont"/>
    <w:uiPriority w:val="99"/>
    <w:semiHidden/>
    <w:unhideWhenUsed/>
    <w:rsid w:val="00925E89"/>
    <w:rPr>
      <w:color w:val="954F72" w:themeColor="followedHyperlink"/>
      <w:u w:val="single"/>
    </w:rPr>
  </w:style>
  <w:style w:type="paragraph" w:styleId="Header">
    <w:name w:val="header"/>
    <w:basedOn w:val="Normal"/>
    <w:link w:val="HeaderChar"/>
    <w:uiPriority w:val="99"/>
    <w:unhideWhenUsed/>
    <w:rsid w:val="008A3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88E"/>
  </w:style>
  <w:style w:type="paragraph" w:styleId="Footer">
    <w:name w:val="footer"/>
    <w:basedOn w:val="Normal"/>
    <w:link w:val="FooterChar"/>
    <w:uiPriority w:val="99"/>
    <w:unhideWhenUsed/>
    <w:rsid w:val="008A3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12759">
      <w:bodyDiv w:val="1"/>
      <w:marLeft w:val="0"/>
      <w:marRight w:val="0"/>
      <w:marTop w:val="0"/>
      <w:marBottom w:val="0"/>
      <w:divBdr>
        <w:top w:val="none" w:sz="0" w:space="0" w:color="auto"/>
        <w:left w:val="none" w:sz="0" w:space="0" w:color="auto"/>
        <w:bottom w:val="none" w:sz="0" w:space="0" w:color="auto"/>
        <w:right w:val="none" w:sz="0" w:space="0" w:color="auto"/>
      </w:divBdr>
    </w:div>
    <w:div w:id="12850303">
      <w:bodyDiv w:val="1"/>
      <w:marLeft w:val="0"/>
      <w:marRight w:val="0"/>
      <w:marTop w:val="0"/>
      <w:marBottom w:val="0"/>
      <w:divBdr>
        <w:top w:val="none" w:sz="0" w:space="0" w:color="auto"/>
        <w:left w:val="none" w:sz="0" w:space="0" w:color="auto"/>
        <w:bottom w:val="none" w:sz="0" w:space="0" w:color="auto"/>
        <w:right w:val="none" w:sz="0" w:space="0" w:color="auto"/>
      </w:divBdr>
    </w:div>
    <w:div w:id="47194378">
      <w:bodyDiv w:val="1"/>
      <w:marLeft w:val="0"/>
      <w:marRight w:val="0"/>
      <w:marTop w:val="0"/>
      <w:marBottom w:val="0"/>
      <w:divBdr>
        <w:top w:val="none" w:sz="0" w:space="0" w:color="auto"/>
        <w:left w:val="none" w:sz="0" w:space="0" w:color="auto"/>
        <w:bottom w:val="none" w:sz="0" w:space="0" w:color="auto"/>
        <w:right w:val="none" w:sz="0" w:space="0" w:color="auto"/>
      </w:divBdr>
    </w:div>
    <w:div w:id="79060418">
      <w:bodyDiv w:val="1"/>
      <w:marLeft w:val="0"/>
      <w:marRight w:val="0"/>
      <w:marTop w:val="0"/>
      <w:marBottom w:val="0"/>
      <w:divBdr>
        <w:top w:val="none" w:sz="0" w:space="0" w:color="auto"/>
        <w:left w:val="none" w:sz="0" w:space="0" w:color="auto"/>
        <w:bottom w:val="none" w:sz="0" w:space="0" w:color="auto"/>
        <w:right w:val="none" w:sz="0" w:space="0" w:color="auto"/>
      </w:divBdr>
    </w:div>
    <w:div w:id="234782416">
      <w:bodyDiv w:val="1"/>
      <w:marLeft w:val="0"/>
      <w:marRight w:val="0"/>
      <w:marTop w:val="0"/>
      <w:marBottom w:val="0"/>
      <w:divBdr>
        <w:top w:val="none" w:sz="0" w:space="0" w:color="auto"/>
        <w:left w:val="none" w:sz="0" w:space="0" w:color="auto"/>
        <w:bottom w:val="none" w:sz="0" w:space="0" w:color="auto"/>
        <w:right w:val="none" w:sz="0" w:space="0" w:color="auto"/>
      </w:divBdr>
    </w:div>
    <w:div w:id="245849489">
      <w:bodyDiv w:val="1"/>
      <w:marLeft w:val="0"/>
      <w:marRight w:val="0"/>
      <w:marTop w:val="0"/>
      <w:marBottom w:val="0"/>
      <w:divBdr>
        <w:top w:val="none" w:sz="0" w:space="0" w:color="auto"/>
        <w:left w:val="none" w:sz="0" w:space="0" w:color="auto"/>
        <w:bottom w:val="none" w:sz="0" w:space="0" w:color="auto"/>
        <w:right w:val="none" w:sz="0" w:space="0" w:color="auto"/>
      </w:divBdr>
    </w:div>
    <w:div w:id="444664311">
      <w:bodyDiv w:val="1"/>
      <w:marLeft w:val="0"/>
      <w:marRight w:val="0"/>
      <w:marTop w:val="0"/>
      <w:marBottom w:val="0"/>
      <w:divBdr>
        <w:top w:val="none" w:sz="0" w:space="0" w:color="auto"/>
        <w:left w:val="none" w:sz="0" w:space="0" w:color="auto"/>
        <w:bottom w:val="none" w:sz="0" w:space="0" w:color="auto"/>
        <w:right w:val="none" w:sz="0" w:space="0" w:color="auto"/>
      </w:divBdr>
    </w:div>
    <w:div w:id="465438641">
      <w:bodyDiv w:val="1"/>
      <w:marLeft w:val="0"/>
      <w:marRight w:val="0"/>
      <w:marTop w:val="0"/>
      <w:marBottom w:val="0"/>
      <w:divBdr>
        <w:top w:val="none" w:sz="0" w:space="0" w:color="auto"/>
        <w:left w:val="none" w:sz="0" w:space="0" w:color="auto"/>
        <w:bottom w:val="none" w:sz="0" w:space="0" w:color="auto"/>
        <w:right w:val="none" w:sz="0" w:space="0" w:color="auto"/>
      </w:divBdr>
    </w:div>
    <w:div w:id="493187114">
      <w:bodyDiv w:val="1"/>
      <w:marLeft w:val="0"/>
      <w:marRight w:val="0"/>
      <w:marTop w:val="0"/>
      <w:marBottom w:val="0"/>
      <w:divBdr>
        <w:top w:val="none" w:sz="0" w:space="0" w:color="auto"/>
        <w:left w:val="none" w:sz="0" w:space="0" w:color="auto"/>
        <w:bottom w:val="none" w:sz="0" w:space="0" w:color="auto"/>
        <w:right w:val="none" w:sz="0" w:space="0" w:color="auto"/>
      </w:divBdr>
    </w:div>
    <w:div w:id="581254275">
      <w:bodyDiv w:val="1"/>
      <w:marLeft w:val="0"/>
      <w:marRight w:val="0"/>
      <w:marTop w:val="0"/>
      <w:marBottom w:val="0"/>
      <w:divBdr>
        <w:top w:val="none" w:sz="0" w:space="0" w:color="auto"/>
        <w:left w:val="none" w:sz="0" w:space="0" w:color="auto"/>
        <w:bottom w:val="none" w:sz="0" w:space="0" w:color="auto"/>
        <w:right w:val="none" w:sz="0" w:space="0" w:color="auto"/>
      </w:divBdr>
    </w:div>
    <w:div w:id="740754894">
      <w:bodyDiv w:val="1"/>
      <w:marLeft w:val="0"/>
      <w:marRight w:val="0"/>
      <w:marTop w:val="0"/>
      <w:marBottom w:val="0"/>
      <w:divBdr>
        <w:top w:val="none" w:sz="0" w:space="0" w:color="auto"/>
        <w:left w:val="none" w:sz="0" w:space="0" w:color="auto"/>
        <w:bottom w:val="none" w:sz="0" w:space="0" w:color="auto"/>
        <w:right w:val="none" w:sz="0" w:space="0" w:color="auto"/>
      </w:divBdr>
    </w:div>
    <w:div w:id="784084590">
      <w:bodyDiv w:val="1"/>
      <w:marLeft w:val="0"/>
      <w:marRight w:val="0"/>
      <w:marTop w:val="0"/>
      <w:marBottom w:val="0"/>
      <w:divBdr>
        <w:top w:val="none" w:sz="0" w:space="0" w:color="auto"/>
        <w:left w:val="none" w:sz="0" w:space="0" w:color="auto"/>
        <w:bottom w:val="none" w:sz="0" w:space="0" w:color="auto"/>
        <w:right w:val="none" w:sz="0" w:space="0" w:color="auto"/>
      </w:divBdr>
    </w:div>
    <w:div w:id="822038902">
      <w:bodyDiv w:val="1"/>
      <w:marLeft w:val="0"/>
      <w:marRight w:val="0"/>
      <w:marTop w:val="0"/>
      <w:marBottom w:val="0"/>
      <w:divBdr>
        <w:top w:val="none" w:sz="0" w:space="0" w:color="auto"/>
        <w:left w:val="none" w:sz="0" w:space="0" w:color="auto"/>
        <w:bottom w:val="none" w:sz="0" w:space="0" w:color="auto"/>
        <w:right w:val="none" w:sz="0" w:space="0" w:color="auto"/>
      </w:divBdr>
    </w:div>
    <w:div w:id="835996590">
      <w:bodyDiv w:val="1"/>
      <w:marLeft w:val="0"/>
      <w:marRight w:val="0"/>
      <w:marTop w:val="0"/>
      <w:marBottom w:val="0"/>
      <w:divBdr>
        <w:top w:val="none" w:sz="0" w:space="0" w:color="auto"/>
        <w:left w:val="none" w:sz="0" w:space="0" w:color="auto"/>
        <w:bottom w:val="none" w:sz="0" w:space="0" w:color="auto"/>
        <w:right w:val="none" w:sz="0" w:space="0" w:color="auto"/>
      </w:divBdr>
    </w:div>
    <w:div w:id="864252501">
      <w:bodyDiv w:val="1"/>
      <w:marLeft w:val="0"/>
      <w:marRight w:val="0"/>
      <w:marTop w:val="0"/>
      <w:marBottom w:val="0"/>
      <w:divBdr>
        <w:top w:val="none" w:sz="0" w:space="0" w:color="auto"/>
        <w:left w:val="none" w:sz="0" w:space="0" w:color="auto"/>
        <w:bottom w:val="none" w:sz="0" w:space="0" w:color="auto"/>
        <w:right w:val="none" w:sz="0" w:space="0" w:color="auto"/>
      </w:divBdr>
    </w:div>
    <w:div w:id="1029139584">
      <w:bodyDiv w:val="1"/>
      <w:marLeft w:val="0"/>
      <w:marRight w:val="0"/>
      <w:marTop w:val="0"/>
      <w:marBottom w:val="0"/>
      <w:divBdr>
        <w:top w:val="none" w:sz="0" w:space="0" w:color="auto"/>
        <w:left w:val="none" w:sz="0" w:space="0" w:color="auto"/>
        <w:bottom w:val="none" w:sz="0" w:space="0" w:color="auto"/>
        <w:right w:val="none" w:sz="0" w:space="0" w:color="auto"/>
      </w:divBdr>
    </w:div>
    <w:div w:id="1286277411">
      <w:bodyDiv w:val="1"/>
      <w:marLeft w:val="0"/>
      <w:marRight w:val="0"/>
      <w:marTop w:val="0"/>
      <w:marBottom w:val="0"/>
      <w:divBdr>
        <w:top w:val="none" w:sz="0" w:space="0" w:color="auto"/>
        <w:left w:val="none" w:sz="0" w:space="0" w:color="auto"/>
        <w:bottom w:val="none" w:sz="0" w:space="0" w:color="auto"/>
        <w:right w:val="none" w:sz="0" w:space="0" w:color="auto"/>
      </w:divBdr>
    </w:div>
    <w:div w:id="1296255902">
      <w:bodyDiv w:val="1"/>
      <w:marLeft w:val="0"/>
      <w:marRight w:val="0"/>
      <w:marTop w:val="0"/>
      <w:marBottom w:val="0"/>
      <w:divBdr>
        <w:top w:val="none" w:sz="0" w:space="0" w:color="auto"/>
        <w:left w:val="none" w:sz="0" w:space="0" w:color="auto"/>
        <w:bottom w:val="none" w:sz="0" w:space="0" w:color="auto"/>
        <w:right w:val="none" w:sz="0" w:space="0" w:color="auto"/>
      </w:divBdr>
    </w:div>
    <w:div w:id="1437100225">
      <w:bodyDiv w:val="1"/>
      <w:marLeft w:val="0"/>
      <w:marRight w:val="0"/>
      <w:marTop w:val="0"/>
      <w:marBottom w:val="0"/>
      <w:divBdr>
        <w:top w:val="none" w:sz="0" w:space="0" w:color="auto"/>
        <w:left w:val="none" w:sz="0" w:space="0" w:color="auto"/>
        <w:bottom w:val="none" w:sz="0" w:space="0" w:color="auto"/>
        <w:right w:val="none" w:sz="0" w:space="0" w:color="auto"/>
      </w:divBdr>
    </w:div>
    <w:div w:id="1457063695">
      <w:bodyDiv w:val="1"/>
      <w:marLeft w:val="0"/>
      <w:marRight w:val="0"/>
      <w:marTop w:val="0"/>
      <w:marBottom w:val="0"/>
      <w:divBdr>
        <w:top w:val="none" w:sz="0" w:space="0" w:color="auto"/>
        <w:left w:val="none" w:sz="0" w:space="0" w:color="auto"/>
        <w:bottom w:val="none" w:sz="0" w:space="0" w:color="auto"/>
        <w:right w:val="none" w:sz="0" w:space="0" w:color="auto"/>
      </w:divBdr>
    </w:div>
    <w:div w:id="1459493906">
      <w:bodyDiv w:val="1"/>
      <w:marLeft w:val="0"/>
      <w:marRight w:val="0"/>
      <w:marTop w:val="0"/>
      <w:marBottom w:val="0"/>
      <w:divBdr>
        <w:top w:val="none" w:sz="0" w:space="0" w:color="auto"/>
        <w:left w:val="none" w:sz="0" w:space="0" w:color="auto"/>
        <w:bottom w:val="none" w:sz="0" w:space="0" w:color="auto"/>
        <w:right w:val="none" w:sz="0" w:space="0" w:color="auto"/>
      </w:divBdr>
    </w:div>
    <w:div w:id="1527404174">
      <w:bodyDiv w:val="1"/>
      <w:marLeft w:val="0"/>
      <w:marRight w:val="0"/>
      <w:marTop w:val="0"/>
      <w:marBottom w:val="0"/>
      <w:divBdr>
        <w:top w:val="none" w:sz="0" w:space="0" w:color="auto"/>
        <w:left w:val="none" w:sz="0" w:space="0" w:color="auto"/>
        <w:bottom w:val="none" w:sz="0" w:space="0" w:color="auto"/>
        <w:right w:val="none" w:sz="0" w:space="0" w:color="auto"/>
      </w:divBdr>
    </w:div>
    <w:div w:id="1742095474">
      <w:bodyDiv w:val="1"/>
      <w:marLeft w:val="0"/>
      <w:marRight w:val="0"/>
      <w:marTop w:val="0"/>
      <w:marBottom w:val="0"/>
      <w:divBdr>
        <w:top w:val="none" w:sz="0" w:space="0" w:color="auto"/>
        <w:left w:val="none" w:sz="0" w:space="0" w:color="auto"/>
        <w:bottom w:val="none" w:sz="0" w:space="0" w:color="auto"/>
        <w:right w:val="none" w:sz="0" w:space="0" w:color="auto"/>
      </w:divBdr>
    </w:div>
    <w:div w:id="1809083319">
      <w:bodyDiv w:val="1"/>
      <w:marLeft w:val="0"/>
      <w:marRight w:val="0"/>
      <w:marTop w:val="0"/>
      <w:marBottom w:val="0"/>
      <w:divBdr>
        <w:top w:val="none" w:sz="0" w:space="0" w:color="auto"/>
        <w:left w:val="none" w:sz="0" w:space="0" w:color="auto"/>
        <w:bottom w:val="none" w:sz="0" w:space="0" w:color="auto"/>
        <w:right w:val="none" w:sz="0" w:space="0" w:color="auto"/>
      </w:divBdr>
    </w:div>
    <w:div w:id="1907107971">
      <w:bodyDiv w:val="1"/>
      <w:marLeft w:val="0"/>
      <w:marRight w:val="0"/>
      <w:marTop w:val="0"/>
      <w:marBottom w:val="0"/>
      <w:divBdr>
        <w:top w:val="none" w:sz="0" w:space="0" w:color="auto"/>
        <w:left w:val="none" w:sz="0" w:space="0" w:color="auto"/>
        <w:bottom w:val="none" w:sz="0" w:space="0" w:color="auto"/>
        <w:right w:val="none" w:sz="0" w:space="0" w:color="auto"/>
      </w:divBdr>
    </w:div>
    <w:div w:id="1913588062">
      <w:bodyDiv w:val="1"/>
      <w:marLeft w:val="0"/>
      <w:marRight w:val="0"/>
      <w:marTop w:val="0"/>
      <w:marBottom w:val="0"/>
      <w:divBdr>
        <w:top w:val="none" w:sz="0" w:space="0" w:color="auto"/>
        <w:left w:val="none" w:sz="0" w:space="0" w:color="auto"/>
        <w:bottom w:val="none" w:sz="0" w:space="0" w:color="auto"/>
        <w:right w:val="none" w:sz="0" w:space="0" w:color="auto"/>
      </w:divBdr>
    </w:div>
    <w:div w:id="1921403276">
      <w:bodyDiv w:val="1"/>
      <w:marLeft w:val="0"/>
      <w:marRight w:val="0"/>
      <w:marTop w:val="0"/>
      <w:marBottom w:val="0"/>
      <w:divBdr>
        <w:top w:val="none" w:sz="0" w:space="0" w:color="auto"/>
        <w:left w:val="none" w:sz="0" w:space="0" w:color="auto"/>
        <w:bottom w:val="none" w:sz="0" w:space="0" w:color="auto"/>
        <w:right w:val="none" w:sz="0" w:space="0" w:color="auto"/>
      </w:divBdr>
    </w:div>
    <w:div w:id="1922518563">
      <w:bodyDiv w:val="1"/>
      <w:marLeft w:val="0"/>
      <w:marRight w:val="0"/>
      <w:marTop w:val="0"/>
      <w:marBottom w:val="0"/>
      <w:divBdr>
        <w:top w:val="none" w:sz="0" w:space="0" w:color="auto"/>
        <w:left w:val="none" w:sz="0" w:space="0" w:color="auto"/>
        <w:bottom w:val="none" w:sz="0" w:space="0" w:color="auto"/>
        <w:right w:val="none" w:sz="0" w:space="0" w:color="auto"/>
      </w:divBdr>
    </w:div>
    <w:div w:id="2030715569">
      <w:bodyDiv w:val="1"/>
      <w:marLeft w:val="0"/>
      <w:marRight w:val="0"/>
      <w:marTop w:val="0"/>
      <w:marBottom w:val="0"/>
      <w:divBdr>
        <w:top w:val="none" w:sz="0" w:space="0" w:color="auto"/>
        <w:left w:val="none" w:sz="0" w:space="0" w:color="auto"/>
        <w:bottom w:val="none" w:sz="0" w:space="0" w:color="auto"/>
        <w:right w:val="none" w:sz="0" w:space="0" w:color="auto"/>
      </w:divBdr>
    </w:div>
    <w:div w:id="2076389140">
      <w:bodyDiv w:val="1"/>
      <w:marLeft w:val="0"/>
      <w:marRight w:val="0"/>
      <w:marTop w:val="0"/>
      <w:marBottom w:val="0"/>
      <w:divBdr>
        <w:top w:val="none" w:sz="0" w:space="0" w:color="auto"/>
        <w:left w:val="none" w:sz="0" w:space="0" w:color="auto"/>
        <w:bottom w:val="none" w:sz="0" w:space="0" w:color="auto"/>
        <w:right w:val="none" w:sz="0" w:space="0" w:color="auto"/>
      </w:divBdr>
    </w:div>
    <w:div w:id="2088064814">
      <w:bodyDiv w:val="1"/>
      <w:marLeft w:val="0"/>
      <w:marRight w:val="0"/>
      <w:marTop w:val="0"/>
      <w:marBottom w:val="0"/>
      <w:divBdr>
        <w:top w:val="none" w:sz="0" w:space="0" w:color="auto"/>
        <w:left w:val="none" w:sz="0" w:space="0" w:color="auto"/>
        <w:bottom w:val="none" w:sz="0" w:space="0" w:color="auto"/>
        <w:right w:val="none" w:sz="0" w:space="0" w:color="auto"/>
      </w:divBdr>
    </w:div>
    <w:div w:id="213779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0877249/?" TargetMode="External"/><Relationship Id="rId13" Type="http://schemas.openxmlformats.org/officeDocument/2006/relationships/hyperlink" Target="https://doi.org/10.1016/j.jfp.2023.100043" TargetMode="External"/><Relationship Id="rId18" Type="http://schemas.openxmlformats.org/officeDocument/2006/relationships/hyperlink" Target="https://pmc.ncbi.nlm.nih.gov/articles/PMC12637894/?" TargetMode="External"/><Relationship Id="rId26" Type="http://schemas.openxmlformats.org/officeDocument/2006/relationships/image" Target="media/image3.jpg"/><Relationship Id="rId3" Type="http://schemas.openxmlformats.org/officeDocument/2006/relationships/styles" Target="styles.xml"/><Relationship Id="rId21" Type="http://schemas.openxmlformats.org/officeDocument/2006/relationships/hyperlink" Target="https://doi.org/10.4324/9780429263965" TargetMode="External"/><Relationship Id="rId7" Type="http://schemas.openxmlformats.org/officeDocument/2006/relationships/endnotes" Target="endnotes.xml"/><Relationship Id="rId12" Type="http://schemas.openxmlformats.org/officeDocument/2006/relationships/hyperlink" Target="https://doi.org/10.1108/ER-04-2017-0084" TargetMode="External"/><Relationship Id="rId17" Type="http://schemas.openxmlformats.org/officeDocument/2006/relationships/hyperlink" Target="https://www.pagepressjournals.org/index.php/ijfs/article/view/9215" TargetMode="External"/><Relationship Id="rId25"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www.mdpi.com/2304-8158/13/24/4078?" TargetMode="External"/><Relationship Id="rId20" Type="http://schemas.openxmlformats.org/officeDocument/2006/relationships/hyperlink" Target="https://doi.org/10.1016/j.foodcont.2010.12.01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63996922001715?utm_source=chatgpt.com" TargetMode="External"/><Relationship Id="rId24"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https://doi.org/10.1177/216499871500400204" TargetMode="External"/><Relationship Id="rId23" Type="http://schemas.openxmlformats.org/officeDocument/2006/relationships/hyperlink" Target="https://doi.org/10.1016/j.foodcont.2017.03.013" TargetMode="External"/><Relationship Id="rId28" Type="http://schemas.openxmlformats.org/officeDocument/2006/relationships/footer" Target="footer1.xml"/><Relationship Id="rId10" Type="http://schemas.openxmlformats.org/officeDocument/2006/relationships/hyperlink" Target="https://doi.org/10.1093/sf/69.1.95" TargetMode="External"/><Relationship Id="rId19" Type="http://schemas.openxmlformats.org/officeDocument/2006/relationships/hyperlink" Target="http://dx.doi.org/10.2174/0118743501315832240624055225" TargetMode="External"/><Relationship Id="rId4" Type="http://schemas.openxmlformats.org/officeDocument/2006/relationships/settings" Target="settings.xml"/><Relationship Id="rId9" Type="http://schemas.openxmlformats.org/officeDocument/2006/relationships/hyperlink" Target="https://doi.org/10.1179/2049396715Y.0000000011" TargetMode="External"/><Relationship Id="rId14" Type="http://schemas.openxmlformats.org/officeDocument/2006/relationships/hyperlink" Target="https://doi.org/10.1080/13032917.2008.9687063" TargetMode="External"/><Relationship Id="rId22" Type="http://schemas.openxmlformats.org/officeDocument/2006/relationships/hyperlink" Target="https://www.frontiersin.org/journals/psychology/articles/10.3389/fpsyg.2022.973493/full" TargetMode="External"/><Relationship Id="rId27" Type="http://schemas.openxmlformats.org/officeDocument/2006/relationships/image" Target="media/image4.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DeF22</b:Tag>
    <b:SourceType>JournalArticle</b:SourceType>
    <b:Guid>{D994231F-71B0-4A5F-B0CE-C6A86BE6A6E7}</b:Guid>
    <b:Author>
      <b:Author>
        <b:NameList>
          <b:Person>
            <b:Last>Freitas</b:Last>
            <b:First>De</b:First>
          </b:Person>
          <b:Person>
            <b:Last>R.S.G.</b:Last>
          </b:Person>
        </b:NameList>
      </b:Author>
    </b:Author>
    <b:Title>Why kitchen workers do not practice what they learn about food safety</b:Title>
    <b:JournalName>Food Control</b:JournalName>
    <b:Year>2022</b:Year>
    <b:Pages>108971</b:Pages>
    <b:Volume>138</b:Volume>
    <b:RefOrder>3</b:RefOrder>
  </b:Source>
  <b:Source>
    <b:Tag>Bul241</b:Tag>
    <b:SourceType>JournalArticle</b:SourceType>
    <b:Guid>{A36E35FB-F636-44F3-B196-D270AF09DBE9}</b:Guid>
    <b:Author>
      <b:Author>
        <b:NameList>
          <b:Person>
            <b:Last>Bulochova</b:Last>
            <b:First>V.</b:First>
          </b:Person>
        </b:NameList>
      </b:Author>
    </b:Author>
    <b:Title>Methods and measures in food service food safety research</b:Title>
    <b:JournalName>foods</b:JournalName>
    <b:Year>2024</b:Year>
    <b:Pages>354</b:Pages>
    <b:Volume>13</b:Volume>
    <b:Issue>3</b:Issue>
    <b:RefOrder>9</b:RefOrder>
  </b:Source>
  <b:Source>
    <b:Tag>Pai24</b:Tag>
    <b:SourceType>JournalArticle</b:SourceType>
    <b:Guid>{3E9FFA46-00AF-4D6D-931C-6418FD6DAEAB}</b:Guid>
    <b:Author>
      <b:Author>
        <b:NameList>
          <b:Person>
            <b:Last>Pai</b:Last>
            <b:First>A.S.,</b:First>
          </b:Person>
          <b:Person>
            <b:Last>Pradhanang R.</b:Last>
          </b:Person>
          <b:Person>
            <b:Last>Martinez</b:Last>
            <b:First>S.</b:First>
          </b:Person>
        </b:NameList>
      </b:Author>
    </b:Author>
    <b:Title>A comprehensive review of food safety culture</b:Title>
    <b:JournalName>foods</b:JournalName>
    <b:Year>2024</b:Year>
    <b:Pages>4078</b:Pages>
    <b:Volume>13</b:Volume>
    <b:Issue>24</b:Issue>
    <b:RefOrder>10</b:RefOrder>
  </b:Source>
  <b:Source>
    <b:Tag>Cyn25</b:Tag>
    <b:SourceType>JournalArticle</b:SourceType>
    <b:Guid>{A922163A-3255-4A4A-9EDD-07E811130172}</b:Guid>
    <b:Author>
      <b:Author>
        <b:NameList>
          <b:Person>
            <b:Last>Segbedzi</b:Last>
            <b:First>Cynthia</b:First>
            <b:Middle>Esinam</b:Middle>
          </b:Person>
          <b:Person>
            <b:Last>Ansah</b:Last>
            <b:First>Edward</b:First>
            <b:Middle>Wilson</b:Middle>
          </b:Person>
          <b:Person>
            <b:Last>Apaak</b:Last>
            <b:First>Daniel</b:First>
          </b:Person>
        </b:NameList>
      </b:Author>
    </b:Author>
    <b:Title>Compliance to food safety standards: determining barriers</b:Title>
    <b:JournalName>Journal of food safety</b:JournalName>
    <b:Year>2025</b:Year>
    <b:Pages>e13087</b:Pages>
    <b:Volume>45</b:Volume>
    <b:Issue>1</b:Issue>
    <b:RefOrder>11</b:RefOrder>
  </b:Source>
  <b:Source>
    <b:Tag>Muh21</b:Tag>
    <b:SourceType>JournalArticle</b:SourceType>
    <b:Guid>{BC79376F-3AE1-45F9-893C-7C59E8BAD690}</b:Guid>
    <b:Author>
      <b:Author>
        <b:NameList>
          <b:Person>
            <b:Last>Putri</b:Last>
            <b:First>Muharnis</b:First>
            <b:Middle>Supriyani</b:Middle>
          </b:Person>
          <b:Person>
            <b:Last>Susanna</b:Last>
            <b:First>Dewi</b:First>
          </b:Person>
        </b:NameList>
      </b:Author>
    </b:Author>
    <b:Title>Food safety knowledge, attitudes, and practices of food handlers</b:Title>
    <b:JournalName>Journal of Public Health Research</b:JournalName>
    <b:Year>2021</b:Year>
    <b:Pages>22799036211004388</b:Pages>
    <b:Volume>10</b:Volume>
    <b:Issue>3</b:Issue>
    <b:RefOrder>12</b:RefOrder>
  </b:Source>
  <b:Source>
    <b:Tag>Ian17</b:Tag>
    <b:SourceType>JournalArticle</b:SourceType>
    <b:Guid>{732F1F04-B576-43D5-BD5B-7742FFB13E51}</b:Guid>
    <b:Author>
      <b:Author>
        <b:NameList>
          <b:Person>
            <b:Last>Young</b:Last>
            <b:First>Ian</b:First>
          </b:Person>
          <b:Person>
            <b:Last>Reimer</b:Last>
            <b:First>Danielle</b:First>
          </b:Person>
        </b:NameList>
      </b:Author>
    </b:Author>
    <b:Title>Psychosocial and health-status determinants of safe food handling among consumers: A systematic review and meta-analysis</b:Title>
    <b:JournalName>food control</b:JournalName>
    <b:Year>2017</b:Year>
    <b:Pages>401–411</b:Pages>
    <b:Volume>78</b:Volume>
    <b:RefOrder>7</b:RefOrder>
  </b:Source>
  <b:Source>
    <b:Tag>Ada23</b:Tag>
    <b:SourceType>JournalArticle</b:SourceType>
    <b:Guid>{A08A096E-E8DE-4763-98A4-BEDB73023065}</b:Guid>
    <b:Author>
      <b:Author>
        <b:NameList>
          <b:Person>
            <b:Last>Kramer</b:Last>
            <b:First>Adam</b:First>
          </b:Person>
          <b:Person>
            <b:Last>Hoover</b:Last>
            <b:First>Rickamer</b:First>
          </b:Person>
          <b:Person>
            <b:Last>Hedeen.</b:Last>
            <b:First>Nicole</b:First>
          </b:Person>
        </b:NameList>
      </b:Author>
    </b:Author>
    <b:Title>Development of an Empirically Derived Measure of Food Safety Culture in Restaurants</b:Title>
    <b:JournalName>Journal of Food Protection</b:JournalName>
    <b:Year>2023</b:Year>
    <b:RefOrder>6</b:RefOrder>
  </b:Source>
  <b:Source>
    <b:Tag>JMS11</b:Tag>
    <b:SourceType>JournalArticle</b:SourceType>
    <b:Guid>{76C31AAA-FFD8-4B44-9C87-F752523B3E56}</b:Guid>
    <b:Author>
      <b:Author>
        <b:NameList>
          <b:Person>
            <b:Last>Soon</b:Last>
            <b:First>J.M.</b:First>
          </b:Person>
          <b:Person>
            <b:Last>Singh</b:Last>
            <b:First>H.</b:First>
          </b:Person>
          <b:Person>
            <b:Last>Baines</b:Last>
            <b:First>R.</b:First>
          </b:Person>
        </b:NameList>
      </b:Author>
    </b:Author>
    <b:Title>Foodborne diseases in Malaysia: A review</b:Title>
    <b:JournalName>Food Control</b:JournalName>
    <b:Year>2011</b:Year>
    <b:Pages>823-830</b:Pages>
    <b:Volume>22</b:Volume>
    <b:Issue>6</b:Issue>
    <b:RefOrder>5</b:RefOrder>
  </b:Source>
  <b:Source>
    <b:Tag>Xia22</b:Tag>
    <b:SourceType>JournalArticle</b:SourceType>
    <b:Guid>{78EB3DE0-2510-4D30-A3E0-FB6250CF50D0}</b:Guid>
    <b:Author>
      <b:Author>
        <b:NameList>
          <b:Person>
            <b:Last>Yin</b:Last>
            <b:First>Xiao</b:First>
            <b:Middle>L.</b:Middle>
          </b:Person>
          <b:Person>
            <b:Last>Yang</b:Last>
            <b:First>Yan</b:First>
            <b:Middle>L.</b:Middle>
          </b:Person>
          <b:Person>
            <b:Last>Kim</b:Last>
            <b:First>Hyung</b:First>
            <b:Middle>J.</b:Middle>
          </b:Person>
          <b:Person>
            <b:Last>Zhang</b:Last>
            <b:First>Yan</b:First>
          </b:Person>
        </b:NameList>
      </b:Author>
    </b:Author>
    <b:Title>Examining the job burnout of Chinese hospitality management students in internships via the transactional model</b:Title>
    <b:JournalName>Frontiers in Psychology</b:JournalName>
    <b:Year>2022</b:Year>
    <b:Volume>13</b:Volume>
    <b:RefOrder>13</b:RefOrder>
  </b:Source>
  <b:Source>
    <b:Tag>Geo19</b:Tag>
    <b:SourceType>JournalArticle</b:SourceType>
    <b:Guid>{CE064E6A-5D1F-458C-A60A-F271D69E1CD3}</b:Guid>
    <b:Author>
      <b:Author>
        <b:NameList>
          <b:Person>
            <b:Last>Karadas</b:Last>
            <b:First>Georgiana</b:First>
          </b:Person>
          <b:Person>
            <b:Last>Karatepe</b:Last>
            <b:First>Osman</b:First>
            <b:Middle>M.</b:Middle>
          </b:Person>
        </b:NameList>
      </b:Author>
    </b:Author>
    <b:Title>Employee Relations: The International Journal</b:Title>
    <b:JournalName>Employee Relations</b:JournalName>
    <b:Year>2019</b:Year>
    <b:Pages>67–83.</b:Pages>
    <b:Volume>41</b:Volume>
    <b:Issue>1</b:Issue>
    <b:RefOrder>4</b:RefOrder>
  </b:Source>
  <b:Source>
    <b:Tag>Tor22</b:Tag>
    <b:SourceType>JournalArticle</b:SourceType>
    <b:Guid>{1CE9CE30-611D-4A3E-8D40-ACD5D40C9D4E}</b:Guid>
    <b:Author>
      <b:Author>
        <b:NameList>
          <b:Person>
            <b:Last>Torres</b:Last>
            <b:First>E.</b:First>
            <b:Middle>N., &amp; Zhang, T.</b:Middle>
          </b:Person>
        </b:NameList>
      </b:Author>
    </b:Author>
    <b:Title>Customer Service Marketing: Managing the Customer Experience</b:Title>
    <b:JournalName>Customer Service Marketing</b:JournalName>
    <b:Year>2022</b:Year>
    <b:Pages>288</b:Pages>
    <b:RefOrder>14</b:RefOrder>
  </b:Source>
  <b:Source>
    <b:Tag>Ish24</b:Tag>
    <b:SourceType>JournalArticle</b:SourceType>
    <b:Guid>{58666E58-041C-41F6-AD05-0067ECF9CADF}</b:Guid>
    <b:Author>
      <b:Author>
        <b:NameList>
          <b:Person>
            <b:Last>Sharma</b:Last>
            <b:First>Ishani</b:First>
          </b:Person>
          <b:Person>
            <b:Last>Agga</b:Last>
            <b:First>Arun</b:First>
          </b:Person>
        </b:NameList>
      </b:Author>
    </b:Author>
    <b:Title>Leadership Dynamics and Organizational</b:Title>
    <b:JournalName>The Open Psychology Journal</b:JournalName>
    <b:Year>2024</b:Year>
    <b:Volume>17</b:Volume>
    <b:RefOrder>15</b:RefOrder>
  </b:Source>
  <b:Source>
    <b:Tag>Gar90</b:Tag>
    <b:SourceType>JournalArticle</b:SourceType>
    <b:Guid>{F0050C07-36BD-4894-AC1A-76A322ECB4D2}</b:Guid>
    <b:Author>
      <b:Author>
        <b:NameList>
          <b:Person>
            <b:Last>Fine</b:Last>
            <b:First>Gary</b:First>
            <b:Middle>Alan</b:Middle>
          </b:Person>
        </b:NameList>
      </b:Author>
    </b:Author>
    <b:Title>Organizational Time: Temporal Demands and the Experience of Work in Restaurant Kitchens</b:Title>
    <b:JournalName>Social Forces</b:JournalName>
    <b:Year>1990</b:Year>
    <b:Pages>95–114</b:Pages>
    <b:Volume>69</b:Volume>
    <b:Issue>1</b:Issue>
    <b:RefOrder>2</b:RefOrder>
  </b:Source>
  <b:Source>
    <b:Tag>Ogb15</b:Tag>
    <b:SourceType>JournalArticle</b:SourceType>
    <b:Guid>{916B6ABD-3E5D-45A3-A032-42D924C68625}</b:Guid>
    <b:Author>
      <b:Author>
        <b:NameList>
          <b:Person>
            <b:Last>Ogbeide</b:Last>
            <b:First>Godwin-Charles</b:First>
          </b:Person>
          <b:Person>
            <b:Last>Harrington</b:Last>
            <b:First>Robert</b:First>
          </b:Person>
          <b:Person>
            <b:Last>Kesterson</b:Last>
            <b:First>Kayla</b:First>
          </b:Person>
        </b:NameList>
      </b:Author>
    </b:Author>
    <b:Title>Time for Change: A New Leadership Decision for Restaurant Profit Enhancement</b:Title>
    <b:JournalName>Journal of Hospitality &amp; Tourism Cases</b:JournalName>
    <b:Year>2015</b:Year>
    <b:Pages>27-34</b:Pages>
    <b:Volume>4</b:Volume>
    <b:Issue>2</b:Issue>
    <b:RefOrder>8</b:RefOrder>
  </b:Source>
  <b:Source>
    <b:Tag>GOD08</b:Tag>
    <b:SourceType>JournalArticle</b:SourceType>
    <b:Guid>{EB3095D4-5EDE-46F3-973D-9FEA968A8278}</b:Guid>
    <b:Author>
      <b:Author>
        <b:NameList>
          <b:Person>
            <b:Last>Ogbeide</b:Last>
            <b:First>Godwin</b:First>
          </b:Person>
        </b:NameList>
      </b:Author>
    </b:Author>
    <b:Title>A Case Study of Restaurant Training Motivations and Employee Performance</b:Title>
    <b:JournalName>Hospitality &amp; Tourism</b:JournalName>
    <b:Year>2008</b:Year>
    <b:Pages>172–177</b:Pages>
    <b:Volume>22</b:Volume>
    <b:Issue>2</b:Issue>
    <b:RefOrder>1</b:RefOrder>
  </b:Source>
  <b:Source>
    <b:Tag>Cla15</b:Tag>
    <b:SourceType>JournalArticle</b:SourceType>
    <b:Guid>{E2A3D506-8BEB-481F-BAE1-2D6D46BF1121}</b:Guid>
    <b:Author>
      <b:Author>
        <b:NameList>
          <b:Person>
            <b:Last>Clayton</b:Last>
            <b:First>M.</b:First>
            <b:Middle>L.</b:Middle>
          </b:Person>
          <b:Person>
            <b:Last>Smith</b:Last>
            <b:First>Clegg</b:First>
          </b:Person>
          <b:Person>
            <b:Last>A.</b:Last>
            <b:First>Neff</b:First>
            <b:Middle>R.</b:Middle>
          </b:Person>
          <b:Person>
            <b:Last>Pollack</b:Last>
          </b:Person>
          <b:Person>
            <b:Last>M.</b:Last>
            <b:First>.</b:First>
            <b:Middle>Ensminger</b:Middle>
          </b:Person>
        </b:NameList>
      </b:Author>
    </b:Author>
    <b:Title>Listening to food workers: Factors that impact proper health and hygiene practice in food service</b:Title>
    <b:JournalName>International Journal of Occupational and Environmental Health</b:JournalName>
    <b:Year>2015</b:Year>
    <b:Pages>314-327</b:Pages>
    <b:Volume>21</b:Volume>
    <b:Issue>4</b:Issue>
    <b:RefOrder>16</b:RefOrder>
  </b:Source>
</b:Sources>
</file>

<file path=customXml/itemProps1.xml><?xml version="1.0" encoding="utf-8"?>
<ds:datastoreItem xmlns:ds="http://schemas.openxmlformats.org/officeDocument/2006/customXml" ds:itemID="{317CFDE8-3746-46A9-AC30-34A1084DF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2245</Words>
  <Characters>12799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2</cp:revision>
  <dcterms:created xsi:type="dcterms:W3CDTF">2025-12-31T08:56:00Z</dcterms:created>
  <dcterms:modified xsi:type="dcterms:W3CDTF">2025-12-31T08:56:00Z</dcterms:modified>
</cp:coreProperties>
</file>