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BAA8727" w14:textId="63359F92" w:rsidR="00067105" w:rsidRPr="00067105" w:rsidRDefault="00067105" w:rsidP="00067105">
      <w:pPr>
        <w:pStyle w:val="Heading1"/>
        <w:keepNext w:val="0"/>
        <w:keepLines w:val="0"/>
        <w:spacing w:before="480" w:line="360" w:lineRule="auto"/>
        <w:jc w:val="center"/>
        <w:rPr>
          <w:b/>
          <w:bCs/>
          <w:sz w:val="28"/>
          <w:szCs w:val="28"/>
        </w:rPr>
      </w:pPr>
      <w:bookmarkStart w:id="0" w:name="_jrlmza86dzd9" w:colFirst="0" w:colLast="0"/>
      <w:bookmarkEnd w:id="0"/>
      <w:r w:rsidRPr="00067105">
        <w:rPr>
          <w:b/>
          <w:bCs/>
          <w:sz w:val="28"/>
          <w:szCs w:val="28"/>
        </w:rPr>
        <w:t>Critical Review of Professional Development, Conceptual Model</w:t>
      </w:r>
      <w:r>
        <w:rPr>
          <w:b/>
          <w:bCs/>
          <w:sz w:val="28"/>
          <w:szCs w:val="28"/>
        </w:rPr>
        <w:t>,</w:t>
      </w:r>
      <w:r w:rsidRPr="00067105">
        <w:rPr>
          <w:b/>
          <w:bCs/>
          <w:sz w:val="28"/>
          <w:szCs w:val="28"/>
        </w:rPr>
        <w:t xml:space="preserve"> and Development Plan</w:t>
      </w:r>
    </w:p>
    <w:p w14:paraId="3F497022" w14:textId="3E33EC5F" w:rsidR="00B744FD" w:rsidRDefault="00000000">
      <w:pPr>
        <w:pStyle w:val="Heading1"/>
        <w:keepNext w:val="0"/>
        <w:keepLines w:val="0"/>
        <w:spacing w:before="480" w:line="360" w:lineRule="auto"/>
        <w:rPr>
          <w:b/>
          <w:bCs/>
          <w:sz w:val="24"/>
          <w:szCs w:val="24"/>
        </w:rPr>
      </w:pPr>
      <w:r>
        <w:rPr>
          <w:b/>
          <w:bCs/>
          <w:sz w:val="24"/>
          <w:szCs w:val="24"/>
        </w:rPr>
        <w:t>Introduction</w:t>
      </w:r>
    </w:p>
    <w:p w14:paraId="7F5F9A2B" w14:textId="77777777" w:rsidR="00B744FD" w:rsidRDefault="00000000">
      <w:pPr>
        <w:spacing w:after="160" w:line="360" w:lineRule="auto"/>
        <w:rPr>
          <w:sz w:val="24"/>
          <w:szCs w:val="24"/>
        </w:rPr>
      </w:pPr>
      <w:r>
        <w:rPr>
          <w:sz w:val="24"/>
          <w:szCs w:val="24"/>
        </w:rPr>
        <w:t xml:space="preserve">As a community organiser with Citizens UK, I work alongside civil society institutions and community leaders to build power and run campaigns for social change. The Brighton &amp; Hove Citizens Alliance comprises 25 member institutions spanning education, faith, trade unions, and community </w:t>
      </w:r>
      <w:proofErr w:type="spellStart"/>
      <w:r>
        <w:rPr>
          <w:sz w:val="24"/>
          <w:szCs w:val="24"/>
        </w:rPr>
        <w:t>organisations</w:t>
      </w:r>
      <w:proofErr w:type="spellEnd"/>
      <w:r>
        <w:rPr>
          <w:sz w:val="24"/>
          <w:szCs w:val="24"/>
        </w:rPr>
        <w:t xml:space="preserve">. </w:t>
      </w:r>
    </w:p>
    <w:p w14:paraId="11AA7150" w14:textId="77777777" w:rsidR="00B744FD" w:rsidRDefault="00000000">
      <w:pPr>
        <w:spacing w:after="160" w:line="360" w:lineRule="auto"/>
        <w:rPr>
          <w:sz w:val="24"/>
          <w:szCs w:val="24"/>
        </w:rPr>
      </w:pPr>
      <w:r>
        <w:rPr>
          <w:sz w:val="24"/>
          <w:szCs w:val="24"/>
        </w:rPr>
        <w:t xml:space="preserve">Community </w:t>
      </w:r>
      <w:proofErr w:type="spellStart"/>
      <w:r>
        <w:rPr>
          <w:sz w:val="24"/>
          <w:szCs w:val="24"/>
        </w:rPr>
        <w:t>organising</w:t>
      </w:r>
      <w:proofErr w:type="spellEnd"/>
      <w:r>
        <w:rPr>
          <w:sz w:val="24"/>
          <w:szCs w:val="24"/>
        </w:rPr>
        <w:t xml:space="preserve"> is codified as a methodology and often described in procedural terms. Within Citizens UK, </w:t>
      </w:r>
      <w:proofErr w:type="spellStart"/>
      <w:r>
        <w:rPr>
          <w:sz w:val="24"/>
          <w:szCs w:val="24"/>
        </w:rPr>
        <w:t>organising</w:t>
      </w:r>
      <w:proofErr w:type="spellEnd"/>
      <w:r>
        <w:rPr>
          <w:sz w:val="24"/>
          <w:szCs w:val="24"/>
        </w:rPr>
        <w:t xml:space="preserve"> follows a Cycle of Action: building power, undertaking listening, developing strategy, </w:t>
      </w:r>
      <w:proofErr w:type="gramStart"/>
      <w:r>
        <w:rPr>
          <w:sz w:val="24"/>
          <w:szCs w:val="24"/>
        </w:rPr>
        <w:t>taking action</w:t>
      </w:r>
      <w:proofErr w:type="gramEnd"/>
      <w:r>
        <w:rPr>
          <w:sz w:val="24"/>
          <w:szCs w:val="24"/>
        </w:rPr>
        <w:t xml:space="preserve">, and engaging decision-makers in negotiation (Citizens UK, 2019). The Cycle starts with building relational power within and across civil society institutions through developing leaders and forming a group of institutions called an alliance. Structured listening across the alliance surfaces shared concerns rooted in lived experience, which are translated into campaign strategy through research and power analysis: identifying decision-makers and leverage points. Alliances take coordinated public action to open negotiation and generate accountability. The Cycle repeats with renewed </w:t>
      </w:r>
      <w:proofErr w:type="spellStart"/>
      <w:r>
        <w:rPr>
          <w:sz w:val="24"/>
          <w:szCs w:val="24"/>
        </w:rPr>
        <w:t>powerbuilding</w:t>
      </w:r>
      <w:proofErr w:type="spellEnd"/>
      <w:r>
        <w:rPr>
          <w:sz w:val="24"/>
          <w:szCs w:val="24"/>
        </w:rPr>
        <w:t>.</w:t>
      </w:r>
    </w:p>
    <w:p w14:paraId="52C9D01F" w14:textId="77777777" w:rsidR="00B744FD" w:rsidRDefault="00000000">
      <w:pPr>
        <w:spacing w:after="160" w:line="360" w:lineRule="auto"/>
        <w:rPr>
          <w:sz w:val="24"/>
          <w:szCs w:val="24"/>
        </w:rPr>
      </w:pPr>
      <w:r>
        <w:rPr>
          <w:sz w:val="24"/>
          <w:szCs w:val="24"/>
        </w:rPr>
        <w:t xml:space="preserve">Professional organisers apply these methods in contexts shaped by competing interests and power dynamics, which require forms of professional judgement that cannot easily be reduced to a set of techniques. This portfolio explores how organiser knowledge and judgement develop in practice and how they can be </w:t>
      </w:r>
      <w:proofErr w:type="spellStart"/>
      <w:r>
        <w:rPr>
          <w:sz w:val="24"/>
          <w:szCs w:val="24"/>
        </w:rPr>
        <w:t>conceptualised</w:t>
      </w:r>
      <w:proofErr w:type="spellEnd"/>
      <w:r>
        <w:rPr>
          <w:sz w:val="24"/>
          <w:szCs w:val="24"/>
        </w:rPr>
        <w:t xml:space="preserve"> within a professional doctoral context. </w:t>
      </w:r>
    </w:p>
    <w:p w14:paraId="234208BC" w14:textId="4283B1E1" w:rsidR="00B744FD" w:rsidRDefault="00000000">
      <w:pPr>
        <w:spacing w:after="160" w:line="360" w:lineRule="auto"/>
        <w:rPr>
          <w:sz w:val="24"/>
          <w:szCs w:val="24"/>
        </w:rPr>
      </w:pPr>
      <w:r>
        <w:rPr>
          <w:sz w:val="24"/>
          <w:szCs w:val="24"/>
        </w:rPr>
        <w:t>The portfolio has three aims. Firstly, to offer a critical review of my professional learning using theory on praxis, tacit knowledge, power, situated knowledge, critical reflexivity, and ethics. Secondly, to introduce the Organiser Judgement Model, four interacting domains of judgement: relational, strategic, embodied</w:t>
      </w:r>
      <w:r w:rsidR="00067105">
        <w:rPr>
          <w:sz w:val="24"/>
          <w:szCs w:val="24"/>
        </w:rPr>
        <w:t>,</w:t>
      </w:r>
      <w:r>
        <w:rPr>
          <w:sz w:val="24"/>
          <w:szCs w:val="24"/>
        </w:rPr>
        <w:t xml:space="preserve"> and ethical</w:t>
      </w:r>
      <w:r w:rsidR="00067105">
        <w:rPr>
          <w:sz w:val="24"/>
          <w:szCs w:val="24"/>
        </w:rPr>
        <w:t>,</w:t>
      </w:r>
      <w:r>
        <w:rPr>
          <w:sz w:val="24"/>
          <w:szCs w:val="24"/>
        </w:rPr>
        <w:t xml:space="preserve"> as a way of making organiser judgement more visible and </w:t>
      </w:r>
      <w:proofErr w:type="spellStart"/>
      <w:r>
        <w:rPr>
          <w:sz w:val="24"/>
          <w:szCs w:val="24"/>
        </w:rPr>
        <w:t>analysable</w:t>
      </w:r>
      <w:proofErr w:type="spellEnd"/>
      <w:r>
        <w:rPr>
          <w:sz w:val="24"/>
          <w:szCs w:val="24"/>
        </w:rPr>
        <w:t xml:space="preserve">. Thirdly, to set out a strategic learning </w:t>
      </w:r>
      <w:r>
        <w:rPr>
          <w:sz w:val="24"/>
          <w:szCs w:val="24"/>
        </w:rPr>
        <w:lastRenderedPageBreak/>
        <w:t xml:space="preserve">and development plan that treats my professional development and doctoral inquiry as a single integrated trajectory. I draw on formative </w:t>
      </w:r>
      <w:proofErr w:type="spellStart"/>
      <w:r>
        <w:rPr>
          <w:sz w:val="24"/>
          <w:szCs w:val="24"/>
        </w:rPr>
        <w:t>organising</w:t>
      </w:r>
      <w:proofErr w:type="spellEnd"/>
      <w:r>
        <w:rPr>
          <w:sz w:val="24"/>
          <w:szCs w:val="24"/>
        </w:rPr>
        <w:t xml:space="preserve"> experiences: Living Wage campaigning, a park safety campaign, public transport safety work, college </w:t>
      </w:r>
      <w:proofErr w:type="spellStart"/>
      <w:r>
        <w:rPr>
          <w:sz w:val="24"/>
          <w:szCs w:val="24"/>
        </w:rPr>
        <w:t>organising</w:t>
      </w:r>
      <w:proofErr w:type="spellEnd"/>
      <w:r>
        <w:rPr>
          <w:sz w:val="24"/>
          <w:szCs w:val="24"/>
        </w:rPr>
        <w:t xml:space="preserve">, alliance-building, and </w:t>
      </w:r>
      <w:proofErr w:type="spellStart"/>
      <w:r>
        <w:rPr>
          <w:sz w:val="24"/>
          <w:szCs w:val="24"/>
        </w:rPr>
        <w:t>organising</w:t>
      </w:r>
      <w:proofErr w:type="spellEnd"/>
      <w:r>
        <w:rPr>
          <w:sz w:val="24"/>
          <w:szCs w:val="24"/>
        </w:rPr>
        <w:t xml:space="preserve"> alongside vulnerable migrant workers, as reflective touchpoints throughout. </w:t>
      </w:r>
    </w:p>
    <w:p w14:paraId="07F89500" w14:textId="3048D1C2" w:rsidR="00067105" w:rsidRDefault="00000000">
      <w:pPr>
        <w:spacing w:after="160" w:line="360" w:lineRule="auto"/>
        <w:rPr>
          <w:sz w:val="24"/>
          <w:szCs w:val="24"/>
        </w:rPr>
      </w:pPr>
      <w:r>
        <w:rPr>
          <w:sz w:val="24"/>
          <w:szCs w:val="24"/>
        </w:rPr>
        <w:t>Epistemologically, I take a practice-based, critical–pragmatist stance: organiser knowledge is produced through action and reflection in context, and its validity is judged by whether it enables communities to build collective power for social change. The critical element ensures that the centrality of power building is answerable to reflexive scrutiny. I distinguish organiser knowledge from organiser judgement. By knowledge I mean what organisers and community leaders come to hold through practice: tacit, situated, relational and embodied as well as propositional, developed through action and reflection and distributed across the alliance rather than held by individuals alone (Polanyi, 1966; Wenger, 1999; Haraway, [1988] 2013). By judgement I mean the situated exercise of that knowledge: discerning what is required in a specific, shifting and contested political field (Flyvbjerg, 2001).</w:t>
      </w:r>
    </w:p>
    <w:p w14:paraId="52911125" w14:textId="74A3D471" w:rsidR="00067105" w:rsidRPr="00067105" w:rsidRDefault="00000000" w:rsidP="00067105">
      <w:pPr>
        <w:pStyle w:val="Heading1"/>
        <w:keepNext w:val="0"/>
        <w:keepLines w:val="0"/>
        <w:spacing w:before="480" w:line="360" w:lineRule="auto"/>
        <w:rPr>
          <w:b/>
          <w:bCs/>
          <w:sz w:val="24"/>
          <w:szCs w:val="24"/>
        </w:rPr>
      </w:pPr>
      <w:bookmarkStart w:id="1" w:name="_b8qg1lkdgy7g" w:colFirst="0" w:colLast="0"/>
      <w:bookmarkEnd w:id="1"/>
      <w:r>
        <w:rPr>
          <w:b/>
          <w:bCs/>
          <w:sz w:val="24"/>
          <w:szCs w:val="24"/>
        </w:rPr>
        <w:t>Section 1: Critical Review of Professional Learning</w:t>
      </w:r>
    </w:p>
    <w:p w14:paraId="345B35E0" w14:textId="77777777" w:rsidR="00B744FD" w:rsidRDefault="00000000">
      <w:pPr>
        <w:spacing w:before="240" w:after="240" w:line="360" w:lineRule="auto"/>
        <w:rPr>
          <w:b/>
          <w:bCs/>
          <w:sz w:val="24"/>
          <w:szCs w:val="24"/>
        </w:rPr>
      </w:pPr>
      <w:r>
        <w:rPr>
          <w:b/>
          <w:bCs/>
          <w:sz w:val="24"/>
          <w:szCs w:val="24"/>
        </w:rPr>
        <w:t>1.1 Learning Through Praxis and Practice</w:t>
      </w:r>
    </w:p>
    <w:p w14:paraId="2A2E96A3" w14:textId="77777777" w:rsidR="00B744FD" w:rsidRDefault="00000000">
      <w:pPr>
        <w:spacing w:before="240" w:after="240" w:line="360" w:lineRule="auto"/>
        <w:rPr>
          <w:sz w:val="24"/>
          <w:szCs w:val="24"/>
        </w:rPr>
      </w:pPr>
      <w:r>
        <w:rPr>
          <w:sz w:val="24"/>
          <w:szCs w:val="24"/>
        </w:rPr>
        <w:t xml:space="preserve">Freire (1970) describes praxis as reflection and action upon the world </w:t>
      </w:r>
      <w:proofErr w:type="gramStart"/>
      <w:r>
        <w:rPr>
          <w:sz w:val="24"/>
          <w:szCs w:val="24"/>
        </w:rPr>
        <w:t>in order to</w:t>
      </w:r>
      <w:proofErr w:type="gramEnd"/>
      <w:r>
        <w:rPr>
          <w:sz w:val="24"/>
          <w:szCs w:val="24"/>
        </w:rPr>
        <w:t xml:space="preserve"> transform it: a process through which critical understanding and collective agency develop together as people act on social reality and reflect on what their action produces. Much of my professional learning as a community organiser has been generated this way, through cycles of action and reflection undertaken with others in pursuit of social change. Eraut's (2004) typology of deliberative, reactive, and implicit learning helps specify the forms this learning takes. Though developed to describe individual professional learning, it extends usefully to the collective settings in which </w:t>
      </w:r>
      <w:proofErr w:type="spellStart"/>
      <w:r>
        <w:rPr>
          <w:sz w:val="24"/>
          <w:szCs w:val="24"/>
        </w:rPr>
        <w:t>organising</w:t>
      </w:r>
      <w:proofErr w:type="spellEnd"/>
      <w:r>
        <w:rPr>
          <w:sz w:val="24"/>
          <w:szCs w:val="24"/>
        </w:rPr>
        <w:t xml:space="preserve"> unfolds, where the three modes operate distinctly even as they shape one another. The Living Wage campaign for care workers illustrates each in turn.</w:t>
      </w:r>
    </w:p>
    <w:p w14:paraId="5855B0E6" w14:textId="21F11B56" w:rsidR="00B744FD" w:rsidRDefault="00000000">
      <w:pPr>
        <w:spacing w:before="240" w:after="240" w:line="360" w:lineRule="auto"/>
        <w:rPr>
          <w:sz w:val="24"/>
          <w:szCs w:val="24"/>
        </w:rPr>
      </w:pPr>
      <w:r>
        <w:rPr>
          <w:sz w:val="24"/>
          <w:szCs w:val="24"/>
        </w:rPr>
        <w:lastRenderedPageBreak/>
        <w:t xml:space="preserve">Deliberative learning involves setting aside time for review, planning, or rehearsal. In </w:t>
      </w:r>
      <w:proofErr w:type="spellStart"/>
      <w:r>
        <w:rPr>
          <w:sz w:val="24"/>
          <w:szCs w:val="24"/>
        </w:rPr>
        <w:t>organising</w:t>
      </w:r>
      <w:proofErr w:type="spellEnd"/>
      <w:r>
        <w:rPr>
          <w:sz w:val="24"/>
          <w:szCs w:val="24"/>
        </w:rPr>
        <w:t xml:space="preserve">, it takes place in structured campaign meetings and evaluations where the relationship between strategy, power, and outcome is examined explicitly. It was through this mode that the Living Wage team moved from a campaign grounded solely in moral concern about low pay to one grounded in analysis of how care providers and commissioning structures </w:t>
      </w:r>
      <w:r w:rsidR="00067105">
        <w:rPr>
          <w:sz w:val="24"/>
          <w:szCs w:val="24"/>
        </w:rPr>
        <w:t>worked</w:t>
      </w:r>
      <w:r>
        <w:rPr>
          <w:sz w:val="24"/>
          <w:szCs w:val="24"/>
        </w:rPr>
        <w:t>, locating leverage points within Council contracting and procurement that subsequent actions were redirected towards. Rehearsal before negotiations with care home providers operated in the same register: leaders tested framing, anticipated responses, and refined their asks before encountering decision-makers in person.</w:t>
      </w:r>
    </w:p>
    <w:p w14:paraId="6A703E8B" w14:textId="77777777" w:rsidR="00B744FD" w:rsidRDefault="00000000">
      <w:pPr>
        <w:spacing w:before="240" w:after="240" w:line="360" w:lineRule="auto"/>
        <w:rPr>
          <w:sz w:val="24"/>
          <w:szCs w:val="24"/>
        </w:rPr>
      </w:pPr>
      <w:r>
        <w:rPr>
          <w:sz w:val="24"/>
          <w:szCs w:val="24"/>
        </w:rPr>
        <w:t xml:space="preserve">Reactive learning is near-spontaneous and occurs </w:t>
      </w:r>
      <w:proofErr w:type="gramStart"/>
      <w:r>
        <w:rPr>
          <w:sz w:val="24"/>
          <w:szCs w:val="24"/>
        </w:rPr>
        <w:t>in the midst of</w:t>
      </w:r>
      <w:proofErr w:type="gramEnd"/>
      <w:r>
        <w:rPr>
          <w:sz w:val="24"/>
          <w:szCs w:val="24"/>
        </w:rPr>
        <w:t xml:space="preserve"> action, with little time for explicit deliberation. In </w:t>
      </w:r>
      <w:proofErr w:type="spellStart"/>
      <w:r>
        <w:rPr>
          <w:sz w:val="24"/>
          <w:szCs w:val="24"/>
        </w:rPr>
        <w:t>organising</w:t>
      </w:r>
      <w:proofErr w:type="spellEnd"/>
      <w:r>
        <w:rPr>
          <w:sz w:val="24"/>
          <w:szCs w:val="24"/>
        </w:rPr>
        <w:t>, it runs through public actions, negotiations, and one-to-one relational meetings. Throughout the Living Wage campaign, listening conversations with care workers repeatedly reshaped the team's provisional sense of the issue, as concerns about scheduling, unpaid travel time, and migration status altered what the campaign could credibly pursue. Public action intensified this mode considerably. During an action at a care home, team members had to register when decision-makers were becoming defensive and recalibrate their tone moment-to-moment to keep the conversation going, without the opportunity to confer.</w:t>
      </w:r>
    </w:p>
    <w:p w14:paraId="6F1C5646" w14:textId="101CA5AB" w:rsidR="00B744FD" w:rsidRDefault="00000000">
      <w:pPr>
        <w:spacing w:before="240" w:after="240" w:line="360" w:lineRule="auto"/>
        <w:rPr>
          <w:sz w:val="24"/>
          <w:szCs w:val="24"/>
        </w:rPr>
      </w:pPr>
      <w:r>
        <w:rPr>
          <w:sz w:val="24"/>
          <w:szCs w:val="24"/>
        </w:rPr>
        <w:t xml:space="preserve">Implicit learning is acquired without conscious intention and often without awareness of what has been </w:t>
      </w:r>
      <w:r w:rsidR="00067105">
        <w:rPr>
          <w:sz w:val="24"/>
          <w:szCs w:val="24"/>
        </w:rPr>
        <w:t>learned and</w:t>
      </w:r>
      <w:r>
        <w:rPr>
          <w:sz w:val="24"/>
          <w:szCs w:val="24"/>
        </w:rPr>
        <w:t xml:space="preserve"> is arguably where the deepest formation in </w:t>
      </w:r>
      <w:proofErr w:type="spellStart"/>
      <w:r>
        <w:rPr>
          <w:sz w:val="24"/>
          <w:szCs w:val="24"/>
        </w:rPr>
        <w:t>organising</w:t>
      </w:r>
      <w:proofErr w:type="spellEnd"/>
      <w:r>
        <w:rPr>
          <w:sz w:val="24"/>
          <w:szCs w:val="24"/>
        </w:rPr>
        <w:t xml:space="preserve"> occurs. It is consistent with Polanyi's (1966) account of tacit knowledge developed through sustained exposure to complex situations. Throughout my </w:t>
      </w:r>
      <w:proofErr w:type="spellStart"/>
      <w:r>
        <w:rPr>
          <w:sz w:val="24"/>
          <w:szCs w:val="24"/>
        </w:rPr>
        <w:t>organising</w:t>
      </w:r>
      <w:proofErr w:type="spellEnd"/>
      <w:r>
        <w:rPr>
          <w:sz w:val="24"/>
          <w:szCs w:val="24"/>
        </w:rPr>
        <w:t xml:space="preserve"> journey, my sense of what counts as a credible demand, or which decision-makers will respond to which forms of pressure, has shifted with experience. Engagement with decision-makers has become familiar; a directness in naming problems and our proposed solutions that once felt challenging has become ordinary. In undertaking this collective work, team members not only accumulate individual implicit understandings in parallel, but a shared theory of how change in this sector could be produced: a shift from </w:t>
      </w:r>
      <w:proofErr w:type="spellStart"/>
      <w:r>
        <w:rPr>
          <w:sz w:val="24"/>
          <w:szCs w:val="24"/>
        </w:rPr>
        <w:t>generalised</w:t>
      </w:r>
      <w:proofErr w:type="spellEnd"/>
      <w:r>
        <w:rPr>
          <w:sz w:val="24"/>
          <w:szCs w:val="24"/>
        </w:rPr>
        <w:t xml:space="preserve"> moral concern to targeted institutional pressure that was itself a product of </w:t>
      </w:r>
      <w:r>
        <w:rPr>
          <w:sz w:val="24"/>
          <w:szCs w:val="24"/>
        </w:rPr>
        <w:lastRenderedPageBreak/>
        <w:t>praxis carried out together. These modes do not operate as discrete categories. Deliberative evaluation surfaces reactive insights and begins to consolidate implicit learning into something nameable.</w:t>
      </w:r>
    </w:p>
    <w:p w14:paraId="2D26BE55" w14:textId="77777777" w:rsidR="00B744FD" w:rsidRDefault="00000000">
      <w:pPr>
        <w:spacing w:before="240" w:after="240" w:line="360" w:lineRule="auto"/>
        <w:rPr>
          <w:sz w:val="24"/>
          <w:szCs w:val="24"/>
        </w:rPr>
      </w:pPr>
      <w:r>
        <w:rPr>
          <w:sz w:val="24"/>
          <w:szCs w:val="24"/>
        </w:rPr>
        <w:t xml:space="preserve">My development has taken place within what Wenger (1999) describes as communities of practice, where knowledge is produced through participation in shared activity. Post-action evaluations and campaign meetings allow organisers and leaders to interpret outcomes together, question assumptions, and refine strategy. As leaders chair meetings, participate in negotiations, and engage in evaluation, strategic judgement becomes distributed rather than concentrated in the professional organiser. Tattersall's (2024) study of ‘relational experiments’ across six Citizens UK chapters highlights the benefits of </w:t>
      </w:r>
      <w:proofErr w:type="spellStart"/>
      <w:r>
        <w:rPr>
          <w:sz w:val="24"/>
          <w:szCs w:val="24"/>
        </w:rPr>
        <w:t>decentralising</w:t>
      </w:r>
      <w:proofErr w:type="spellEnd"/>
      <w:r>
        <w:rPr>
          <w:sz w:val="24"/>
          <w:szCs w:val="24"/>
        </w:rPr>
        <w:t xml:space="preserve"> relational practice across member institutions and beyond a concentrated group of leaders, something I see as central to building durable alliance capacity.</w:t>
      </w:r>
    </w:p>
    <w:p w14:paraId="49A79546" w14:textId="4C19F281" w:rsidR="00067105" w:rsidRDefault="00000000">
      <w:pPr>
        <w:spacing w:before="240" w:after="240" w:line="360" w:lineRule="auto"/>
        <w:rPr>
          <w:sz w:val="24"/>
          <w:szCs w:val="24"/>
        </w:rPr>
      </w:pPr>
      <w:r>
        <w:rPr>
          <w:sz w:val="24"/>
          <w:szCs w:val="24"/>
        </w:rPr>
        <w:t xml:space="preserve">Practice theory takes this further. Schatzki (2001) and Nicolini (2012) argue that professional knowledge resides less in individuals than in practices themselves: in the routine activities, shared understandings, and material arrangements through which collective action is sustained. </w:t>
      </w:r>
      <w:proofErr w:type="spellStart"/>
      <w:r>
        <w:rPr>
          <w:sz w:val="24"/>
          <w:szCs w:val="24"/>
        </w:rPr>
        <w:t>Organising</w:t>
      </w:r>
      <w:proofErr w:type="spellEnd"/>
      <w:r>
        <w:rPr>
          <w:sz w:val="24"/>
          <w:szCs w:val="24"/>
        </w:rPr>
        <w:t xml:space="preserve"> competence is therefore not solely </w:t>
      </w:r>
      <w:r w:rsidR="00067105">
        <w:rPr>
          <w:sz w:val="24"/>
          <w:szCs w:val="24"/>
        </w:rPr>
        <w:t>the property</w:t>
      </w:r>
      <w:r>
        <w:rPr>
          <w:sz w:val="24"/>
          <w:szCs w:val="24"/>
        </w:rPr>
        <w:t xml:space="preserve"> of the organiser but of the alliance as a practice configuration, enacted through meetings, negotiations, rituals, and shared narratives of power. </w:t>
      </w:r>
    </w:p>
    <w:p w14:paraId="0B8C3D02" w14:textId="77777777" w:rsidR="00B744FD" w:rsidRDefault="00000000">
      <w:pPr>
        <w:pStyle w:val="Heading2"/>
        <w:keepNext w:val="0"/>
        <w:keepLines w:val="0"/>
        <w:spacing w:after="80" w:line="360" w:lineRule="auto"/>
        <w:rPr>
          <w:i/>
          <w:iCs/>
          <w:sz w:val="24"/>
          <w:szCs w:val="24"/>
        </w:rPr>
      </w:pPr>
      <w:bookmarkStart w:id="2" w:name="_wvzg25o2og13" w:colFirst="0" w:colLast="0"/>
      <w:bookmarkEnd w:id="2"/>
      <w:r>
        <w:rPr>
          <w:b/>
          <w:bCs/>
          <w:sz w:val="24"/>
          <w:szCs w:val="24"/>
        </w:rPr>
        <w:t xml:space="preserve">1.2 Tacit Knowledge and Critical Reflexivity </w:t>
      </w:r>
    </w:p>
    <w:p w14:paraId="1E0D26F5" w14:textId="77777777" w:rsidR="00B744FD" w:rsidRDefault="00000000">
      <w:pPr>
        <w:spacing w:before="240" w:after="240" w:line="360" w:lineRule="auto"/>
        <w:rPr>
          <w:sz w:val="24"/>
          <w:szCs w:val="24"/>
        </w:rPr>
      </w:pPr>
      <w:r>
        <w:rPr>
          <w:sz w:val="24"/>
          <w:szCs w:val="24"/>
        </w:rPr>
        <w:t>The implicit learning described in 1.1 accumulates over time into what Polanyi (1966) calls tacit knowledge, the basis of judgements that shape practice without being fully articulable. Whether to escalate or compromise in negotiation, whether a leader is ready for a key public role, or whether a campaign team has sufficient depth to act cannot be determined by formula. Such judgements depend on reading relationships, behaviour, and confidence as they unfold.</w:t>
      </w:r>
    </w:p>
    <w:p w14:paraId="799C4570" w14:textId="77777777" w:rsidR="00B744FD" w:rsidRDefault="00000000">
      <w:pPr>
        <w:spacing w:before="240" w:after="240" w:line="360" w:lineRule="auto"/>
        <w:rPr>
          <w:sz w:val="24"/>
          <w:szCs w:val="24"/>
        </w:rPr>
      </w:pPr>
      <w:r>
        <w:rPr>
          <w:sz w:val="24"/>
          <w:szCs w:val="24"/>
        </w:rPr>
        <w:t xml:space="preserve">My experience of recruiting institutions into the Alliance illustrates how this aspect of my professional judgement has developed. During my first two years in the role, I failed to </w:t>
      </w:r>
      <w:r>
        <w:rPr>
          <w:sz w:val="24"/>
          <w:szCs w:val="24"/>
        </w:rPr>
        <w:lastRenderedPageBreak/>
        <w:t xml:space="preserve">recruit any new institutions. I approached recruitment as a task of persuasion, focused on explaining the Alliance and our methods rather than building relational trust. The implicit learning that reshaped my approach accumulated through repeated exposure to leaders whose interest turned out to depend less on whether they understood community </w:t>
      </w:r>
      <w:proofErr w:type="spellStart"/>
      <w:r>
        <w:rPr>
          <w:sz w:val="24"/>
          <w:szCs w:val="24"/>
        </w:rPr>
        <w:t>organising</w:t>
      </w:r>
      <w:proofErr w:type="spellEnd"/>
      <w:r>
        <w:rPr>
          <w:sz w:val="24"/>
          <w:szCs w:val="24"/>
        </w:rPr>
        <w:t xml:space="preserve"> than on whether the work spoke to pressures they were already navigating. I learned to listen more carefully to those pressures and to connect </w:t>
      </w:r>
      <w:proofErr w:type="spellStart"/>
      <w:r>
        <w:rPr>
          <w:sz w:val="24"/>
          <w:szCs w:val="24"/>
        </w:rPr>
        <w:t>organising</w:t>
      </w:r>
      <w:proofErr w:type="spellEnd"/>
      <w:r>
        <w:rPr>
          <w:sz w:val="24"/>
          <w:szCs w:val="24"/>
        </w:rPr>
        <w:t xml:space="preserve"> to the challenges leaders were facing, and several recruitments followed. I believe that what I now experience as intuition in my recruitment practice is a developed sensitivity to trust-building, motivation, and the contexts leaders are working within (Dreyfus and Dreyfus, 1986). </w:t>
      </w:r>
    </w:p>
    <w:p w14:paraId="7B20E1FB" w14:textId="77777777" w:rsidR="00B744FD" w:rsidRDefault="00000000">
      <w:pPr>
        <w:spacing w:before="240" w:after="240" w:line="360" w:lineRule="auto"/>
        <w:rPr>
          <w:sz w:val="24"/>
          <w:szCs w:val="24"/>
        </w:rPr>
      </w:pPr>
      <w:r>
        <w:rPr>
          <w:sz w:val="24"/>
          <w:szCs w:val="24"/>
        </w:rPr>
        <w:t xml:space="preserve">There is a risk, however, that what I call intuition may embed assumptions that reflect past success in particular contexts. Bourdieu's ([1980] 1990) concept of </w:t>
      </w:r>
      <w:proofErr w:type="gramStart"/>
      <w:r>
        <w:rPr>
          <w:sz w:val="24"/>
          <w:szCs w:val="24"/>
        </w:rPr>
        <w:t>habitus</w:t>
      </w:r>
      <w:proofErr w:type="gramEnd"/>
      <w:r>
        <w:rPr>
          <w:sz w:val="24"/>
          <w:szCs w:val="24"/>
        </w:rPr>
        <w:t xml:space="preserve"> names this risk: durable dispositions formed through repeated practice within particular social fields shape perception below the level of conscious </w:t>
      </w:r>
      <w:proofErr w:type="gramStart"/>
      <w:r>
        <w:rPr>
          <w:sz w:val="24"/>
          <w:szCs w:val="24"/>
        </w:rPr>
        <w:t>awareness, and</w:t>
      </w:r>
      <w:proofErr w:type="gramEnd"/>
      <w:r>
        <w:rPr>
          <w:sz w:val="24"/>
          <w:szCs w:val="24"/>
        </w:rPr>
        <w:t xml:space="preserve"> tend to reproduce the conditions under which they were acquired. The fluency that makes faith and educational institution recruitment feel natural in the Citizens UK tradition can make trade union, secular community group, or migrant-led recruitment more difficult, not because those institutions are less interested in social change but because the </w:t>
      </w:r>
      <w:proofErr w:type="spellStart"/>
      <w:r>
        <w:rPr>
          <w:sz w:val="24"/>
          <w:szCs w:val="24"/>
        </w:rPr>
        <w:t>organiser's</w:t>
      </w:r>
      <w:proofErr w:type="spellEnd"/>
      <w:r>
        <w:rPr>
          <w:sz w:val="24"/>
          <w:szCs w:val="24"/>
        </w:rPr>
        <w:t xml:space="preserve"> dispositions and cultural positions are calibrated elsewhere.</w:t>
      </w:r>
    </w:p>
    <w:p w14:paraId="378A439C" w14:textId="77777777" w:rsidR="00B744FD" w:rsidRDefault="00000000">
      <w:pPr>
        <w:spacing w:before="240" w:after="240" w:line="360" w:lineRule="auto"/>
        <w:rPr>
          <w:sz w:val="24"/>
          <w:szCs w:val="24"/>
        </w:rPr>
      </w:pPr>
      <w:r>
        <w:rPr>
          <w:sz w:val="24"/>
          <w:szCs w:val="24"/>
        </w:rPr>
        <w:t xml:space="preserve">Argyris and Schön (1996) offer a way to interrogate assumptions of this kind. They distinguish single-loop learning, which refines action within existing assumptions, from double-loop learning, which interrogates the assumptions themselves. Read through this distinction, my early work with three local colleges remained for a long time confined to the single loop. I would go into each college on a weekly basis, working directly with groups of students, training them in </w:t>
      </w:r>
      <w:proofErr w:type="spellStart"/>
      <w:r>
        <w:rPr>
          <w:sz w:val="24"/>
          <w:szCs w:val="24"/>
        </w:rPr>
        <w:t>organising</w:t>
      </w:r>
      <w:proofErr w:type="spellEnd"/>
      <w:r>
        <w:rPr>
          <w:sz w:val="24"/>
          <w:szCs w:val="24"/>
        </w:rPr>
        <w:t xml:space="preserve"> methods and helping them run campaigns. When this produced little durable change, I sought fixes within the model I had inherited: better planned sessions and more developed campaign strategy. What I did not initially question was the model itself, and three assumptions </w:t>
      </w:r>
      <w:proofErr w:type="gramStart"/>
      <w:r>
        <w:rPr>
          <w:sz w:val="24"/>
          <w:szCs w:val="24"/>
        </w:rPr>
        <w:t>in particular went</w:t>
      </w:r>
      <w:proofErr w:type="gramEnd"/>
      <w:r>
        <w:rPr>
          <w:sz w:val="24"/>
          <w:szCs w:val="24"/>
        </w:rPr>
        <w:t xml:space="preserve"> unexamined. The work was structured as service delivery rather than </w:t>
      </w:r>
      <w:proofErr w:type="spellStart"/>
      <w:r>
        <w:rPr>
          <w:sz w:val="24"/>
          <w:szCs w:val="24"/>
        </w:rPr>
        <w:t>organising</w:t>
      </w:r>
      <w:proofErr w:type="spellEnd"/>
      <w:r>
        <w:rPr>
          <w:sz w:val="24"/>
          <w:szCs w:val="24"/>
        </w:rPr>
        <w:t xml:space="preserve">, positioning me as the recurring provider of activity rather than as a developer of others' </w:t>
      </w:r>
      <w:r>
        <w:rPr>
          <w:sz w:val="24"/>
          <w:szCs w:val="24"/>
        </w:rPr>
        <w:lastRenderedPageBreak/>
        <w:t>capacity. It placed ‘</w:t>
      </w:r>
      <w:proofErr w:type="spellStart"/>
      <w:r>
        <w:rPr>
          <w:sz w:val="24"/>
          <w:szCs w:val="24"/>
        </w:rPr>
        <w:t>programme</w:t>
      </w:r>
      <w:proofErr w:type="spellEnd"/>
      <w:r>
        <w:rPr>
          <w:sz w:val="24"/>
          <w:szCs w:val="24"/>
        </w:rPr>
        <w:t xml:space="preserve"> before people’, carrying campaign aims already decided by the Alliance to students who did not necessarily connect with them. And it was siloed, with each college group working separately on shared city-wide concerns and rarely meeting. Refining my delivery within these assumptions could not address problems that the assumptions themselves were generating.</w:t>
      </w:r>
    </w:p>
    <w:p w14:paraId="4E508107" w14:textId="77777777" w:rsidR="00B744FD" w:rsidRDefault="00000000">
      <w:pPr>
        <w:spacing w:before="240" w:after="240" w:line="360" w:lineRule="auto"/>
        <w:rPr>
          <w:sz w:val="24"/>
          <w:szCs w:val="24"/>
        </w:rPr>
      </w:pPr>
      <w:r>
        <w:rPr>
          <w:sz w:val="24"/>
          <w:szCs w:val="24"/>
        </w:rPr>
        <w:t xml:space="preserve">The shift came only when I interrogated the framework rather than my execution of it. Instead of delivering the sessions weekly myself, I developed college staff to hold the groups and their strategy moving the work from service delivery towards </w:t>
      </w:r>
      <w:proofErr w:type="spellStart"/>
      <w:r>
        <w:rPr>
          <w:sz w:val="24"/>
          <w:szCs w:val="24"/>
        </w:rPr>
        <w:t>organising</w:t>
      </w:r>
      <w:proofErr w:type="spellEnd"/>
      <w:r>
        <w:rPr>
          <w:sz w:val="24"/>
          <w:szCs w:val="24"/>
        </w:rPr>
        <w:t>. I supported the colleges to undertake large-scale internal listening, which surfaced issues students could genuinely connect with in place of pre-set aims. And I redirected the time this freed towards bringing students across colleges together to act collectively rather than in isolation. Improvements followed not from executing the original model better but from revising the assumptions on which it rested.</w:t>
      </w:r>
    </w:p>
    <w:p w14:paraId="0172BCB8" w14:textId="77777777" w:rsidR="00B744FD" w:rsidRDefault="00000000">
      <w:pPr>
        <w:spacing w:before="240" w:after="240" w:line="360" w:lineRule="auto"/>
        <w:rPr>
          <w:sz w:val="24"/>
          <w:szCs w:val="24"/>
        </w:rPr>
      </w:pPr>
      <w:r>
        <w:rPr>
          <w:sz w:val="24"/>
          <w:szCs w:val="24"/>
        </w:rPr>
        <w:t xml:space="preserve">Cunliffe (2003) extends this, holding that critical reflexivity requires practitioners to interrogate not only what they do but the assumptions, identities, and power relations that shape what they perceive as worth doing. I had been </w:t>
      </w:r>
      <w:proofErr w:type="spellStart"/>
      <w:r>
        <w:rPr>
          <w:sz w:val="24"/>
          <w:szCs w:val="24"/>
        </w:rPr>
        <w:t>organising</w:t>
      </w:r>
      <w:proofErr w:type="spellEnd"/>
      <w:r>
        <w:rPr>
          <w:sz w:val="24"/>
          <w:szCs w:val="24"/>
        </w:rPr>
        <w:t xml:space="preserve"> predominantly through Students’ Unions, and many of those students were already high-achieving and confident in public-facing roles. This pressed me to ask whose development the work was really serving, and whether I had gravitated towards those for whom </w:t>
      </w:r>
      <w:proofErr w:type="spellStart"/>
      <w:r>
        <w:rPr>
          <w:sz w:val="24"/>
          <w:szCs w:val="24"/>
        </w:rPr>
        <w:t>organising</w:t>
      </w:r>
      <w:proofErr w:type="spellEnd"/>
      <w:r>
        <w:rPr>
          <w:sz w:val="24"/>
          <w:szCs w:val="24"/>
        </w:rPr>
        <w:t xml:space="preserve"> came most readily. In response I shifted energy towards creating spaces in which students without that prior experience or social advantage could learn to make change, with the result that students from a broader range of backgrounds now participate in public life. Where double-loop learning corrected how the work was structured, critical reflexivity interrogated whom it was structured around, and the dispositions, including my own, that had shaped this.</w:t>
      </w:r>
    </w:p>
    <w:p w14:paraId="236F70F6" w14:textId="1A7917A8" w:rsidR="00067105" w:rsidRDefault="00000000">
      <w:pPr>
        <w:spacing w:before="240" w:after="240" w:line="360" w:lineRule="auto"/>
        <w:rPr>
          <w:sz w:val="24"/>
          <w:szCs w:val="24"/>
        </w:rPr>
      </w:pPr>
      <w:r>
        <w:rPr>
          <w:sz w:val="24"/>
          <w:szCs w:val="24"/>
        </w:rPr>
        <w:t xml:space="preserve">Tacit judgement is indispensable to my practice, but without sustained reflexive scrutiny it risks hardening into unexamined habit, growing conservative in the patterns it </w:t>
      </w:r>
      <w:proofErr w:type="spellStart"/>
      <w:r>
        <w:rPr>
          <w:sz w:val="24"/>
          <w:szCs w:val="24"/>
        </w:rPr>
        <w:t>recognises</w:t>
      </w:r>
      <w:proofErr w:type="spellEnd"/>
      <w:r>
        <w:rPr>
          <w:sz w:val="24"/>
          <w:szCs w:val="24"/>
        </w:rPr>
        <w:t xml:space="preserve">, and exclusionary towards the people and contexts it has had least occasion to encounter. </w:t>
      </w:r>
    </w:p>
    <w:p w14:paraId="0CD27E8E" w14:textId="77777777" w:rsidR="00B744FD" w:rsidRDefault="00000000">
      <w:pPr>
        <w:pStyle w:val="Heading2"/>
        <w:keepNext w:val="0"/>
        <w:keepLines w:val="0"/>
        <w:spacing w:after="80" w:line="360" w:lineRule="auto"/>
        <w:rPr>
          <w:i/>
          <w:iCs/>
          <w:sz w:val="24"/>
          <w:szCs w:val="24"/>
        </w:rPr>
      </w:pPr>
      <w:bookmarkStart w:id="3" w:name="_8ubq43hqt2jj" w:colFirst="0" w:colLast="0"/>
      <w:bookmarkEnd w:id="3"/>
      <w:r>
        <w:rPr>
          <w:b/>
          <w:bCs/>
          <w:sz w:val="24"/>
          <w:szCs w:val="24"/>
        </w:rPr>
        <w:lastRenderedPageBreak/>
        <w:t xml:space="preserve">1.3 Power, Strategy and Epistemic Authority </w:t>
      </w:r>
    </w:p>
    <w:p w14:paraId="024DC5F9" w14:textId="77777777" w:rsidR="00B744FD" w:rsidRDefault="00000000">
      <w:pPr>
        <w:spacing w:before="240" w:after="240" w:line="360" w:lineRule="auto"/>
        <w:rPr>
          <w:sz w:val="24"/>
          <w:szCs w:val="24"/>
        </w:rPr>
      </w:pPr>
      <w:r>
        <w:rPr>
          <w:sz w:val="24"/>
          <w:szCs w:val="24"/>
        </w:rPr>
        <w:t xml:space="preserve">Effective </w:t>
      </w:r>
      <w:proofErr w:type="spellStart"/>
      <w:r>
        <w:rPr>
          <w:sz w:val="24"/>
          <w:szCs w:val="24"/>
        </w:rPr>
        <w:t>organising</w:t>
      </w:r>
      <w:proofErr w:type="spellEnd"/>
      <w:r>
        <w:rPr>
          <w:sz w:val="24"/>
          <w:szCs w:val="24"/>
        </w:rPr>
        <w:t xml:space="preserve"> requires a strategic understanding of how power operates at a variety of scales, from interpersonal, to institutional, and across a geographic area. Community </w:t>
      </w:r>
      <w:proofErr w:type="spellStart"/>
      <w:r>
        <w:rPr>
          <w:sz w:val="24"/>
          <w:szCs w:val="24"/>
        </w:rPr>
        <w:t>organising</w:t>
      </w:r>
      <w:proofErr w:type="spellEnd"/>
      <w:r>
        <w:rPr>
          <w:sz w:val="24"/>
          <w:szCs w:val="24"/>
        </w:rPr>
        <w:t xml:space="preserve"> is not primarily about persuading those in authority that a cause is just; it is about building </w:t>
      </w:r>
      <w:proofErr w:type="spellStart"/>
      <w:r>
        <w:rPr>
          <w:sz w:val="24"/>
          <w:szCs w:val="24"/>
        </w:rPr>
        <w:t>organised</w:t>
      </w:r>
      <w:proofErr w:type="spellEnd"/>
      <w:r>
        <w:rPr>
          <w:sz w:val="24"/>
          <w:szCs w:val="24"/>
        </w:rPr>
        <w:t xml:space="preserve"> power such that decision-makers are required to respond. As </w:t>
      </w:r>
      <w:proofErr w:type="gramStart"/>
      <w:r>
        <w:rPr>
          <w:sz w:val="24"/>
          <w:szCs w:val="24"/>
        </w:rPr>
        <w:t>Alinsky ([</w:t>
      </w:r>
      <w:proofErr w:type="gramEnd"/>
      <w:r>
        <w:rPr>
          <w:sz w:val="24"/>
          <w:szCs w:val="24"/>
        </w:rPr>
        <w:t xml:space="preserve">1971] 1989) argues, change occurs when </w:t>
      </w:r>
      <w:proofErr w:type="spellStart"/>
      <w:r>
        <w:rPr>
          <w:sz w:val="24"/>
          <w:szCs w:val="24"/>
        </w:rPr>
        <w:t>organised</w:t>
      </w:r>
      <w:proofErr w:type="spellEnd"/>
      <w:r>
        <w:rPr>
          <w:sz w:val="24"/>
          <w:szCs w:val="24"/>
        </w:rPr>
        <w:t xml:space="preserve"> communities can negotiate with, or exert pressure upon, those who control resources and decision-making structures. My professional competence therefore partially depends on </w:t>
      </w:r>
      <w:proofErr w:type="spellStart"/>
      <w:r>
        <w:rPr>
          <w:sz w:val="24"/>
          <w:szCs w:val="24"/>
        </w:rPr>
        <w:t>analysing</w:t>
      </w:r>
      <w:proofErr w:type="spellEnd"/>
      <w:r>
        <w:rPr>
          <w:sz w:val="24"/>
          <w:szCs w:val="24"/>
        </w:rPr>
        <w:t xml:space="preserve"> power relations, identifying leverage points, and designing strategies that can influence </w:t>
      </w:r>
      <w:proofErr w:type="gramStart"/>
      <w:r>
        <w:rPr>
          <w:sz w:val="24"/>
          <w:szCs w:val="24"/>
        </w:rPr>
        <w:t>power-holders</w:t>
      </w:r>
      <w:proofErr w:type="gramEnd"/>
      <w:r>
        <w:rPr>
          <w:sz w:val="24"/>
          <w:szCs w:val="24"/>
        </w:rPr>
        <w:t xml:space="preserve"> in practice.</w:t>
      </w:r>
    </w:p>
    <w:p w14:paraId="7CB09C03" w14:textId="77777777" w:rsidR="00B744FD" w:rsidRDefault="00000000">
      <w:pPr>
        <w:spacing w:before="240" w:after="240" w:line="360" w:lineRule="auto"/>
        <w:rPr>
          <w:sz w:val="24"/>
          <w:szCs w:val="24"/>
        </w:rPr>
      </w:pPr>
      <w:r>
        <w:rPr>
          <w:sz w:val="24"/>
          <w:szCs w:val="24"/>
        </w:rPr>
        <w:t xml:space="preserve">My experience suggests decision-makers are influenced less by the strength of argument than by the presence of </w:t>
      </w:r>
      <w:proofErr w:type="spellStart"/>
      <w:r>
        <w:rPr>
          <w:sz w:val="24"/>
          <w:szCs w:val="24"/>
        </w:rPr>
        <w:t>organised</w:t>
      </w:r>
      <w:proofErr w:type="spellEnd"/>
      <w:r>
        <w:rPr>
          <w:sz w:val="24"/>
          <w:szCs w:val="24"/>
        </w:rPr>
        <w:t xml:space="preserve"> communities. A public transport safety campaign illustrates this. Listening across schools and colleges revealed widespread experiences of harassment, racism, and intimidation on buses and trains, much of which was not formally reported. As a result, transport providers and the local authority consistently underestimated the scale and pattern of harm.</w:t>
      </w:r>
    </w:p>
    <w:p w14:paraId="1E5E0A48" w14:textId="77777777" w:rsidR="00B744FD" w:rsidRDefault="00000000">
      <w:pPr>
        <w:spacing w:before="240" w:after="240" w:line="360" w:lineRule="auto"/>
        <w:rPr>
          <w:sz w:val="24"/>
          <w:szCs w:val="24"/>
        </w:rPr>
      </w:pPr>
      <w:r>
        <w:rPr>
          <w:sz w:val="24"/>
          <w:szCs w:val="24"/>
        </w:rPr>
        <w:t xml:space="preserve">Initial engagement produced acknowledgement but </w:t>
      </w:r>
      <w:proofErr w:type="gramStart"/>
      <w:r>
        <w:rPr>
          <w:sz w:val="24"/>
          <w:szCs w:val="24"/>
        </w:rPr>
        <w:t>not</w:t>
      </w:r>
      <w:proofErr w:type="gramEnd"/>
      <w:r>
        <w:rPr>
          <w:sz w:val="24"/>
          <w:szCs w:val="24"/>
        </w:rPr>
        <w:t xml:space="preserve"> change. We had assumed that aggregating testimony would be enough to prompt action; its failure to do so revealed a mismatch between forms of knowledge. The Alliance worked from relationally gathered lived experience, while the transport providers privileged formal reporting systems and quantitative data. In Fricker's (2007) terms, this amounts to epistemic injustice: those most affected were wronged in their capacity as knowers, their first-hand accounts not received as authoritative evidence of the harm. Decision-makers often subscribe to bureaucratic rationality, where </w:t>
      </w:r>
      <w:proofErr w:type="spellStart"/>
      <w:r>
        <w:rPr>
          <w:sz w:val="24"/>
          <w:szCs w:val="24"/>
        </w:rPr>
        <w:t>formalised</w:t>
      </w:r>
      <w:proofErr w:type="spellEnd"/>
      <w:r>
        <w:rPr>
          <w:sz w:val="24"/>
          <w:szCs w:val="24"/>
        </w:rPr>
        <w:t xml:space="preserve">, rule-based, and auditable knowledge is </w:t>
      </w:r>
      <w:proofErr w:type="spellStart"/>
      <w:r>
        <w:rPr>
          <w:sz w:val="24"/>
          <w:szCs w:val="24"/>
        </w:rPr>
        <w:t>prioritised</w:t>
      </w:r>
      <w:proofErr w:type="spellEnd"/>
      <w:r>
        <w:rPr>
          <w:sz w:val="24"/>
          <w:szCs w:val="24"/>
        </w:rPr>
        <w:t xml:space="preserve"> over situated accounts (Weber, [1922] 1978). Testimony alone can be insufficient unless rendered politically consequential to decision-makers. This suggests that organiser competence partly resides in epistemic brokerage: the relational and strategic mediation through which lived experience is translated into politically and institutionally influential forms.</w:t>
      </w:r>
    </w:p>
    <w:p w14:paraId="18BD1D3D" w14:textId="77777777" w:rsidR="00B744FD" w:rsidRDefault="00000000">
      <w:pPr>
        <w:spacing w:before="240" w:after="240" w:line="360" w:lineRule="auto"/>
        <w:rPr>
          <w:sz w:val="24"/>
          <w:szCs w:val="24"/>
        </w:rPr>
      </w:pPr>
      <w:r>
        <w:rPr>
          <w:sz w:val="24"/>
          <w:szCs w:val="24"/>
        </w:rPr>
        <w:lastRenderedPageBreak/>
        <w:t xml:space="preserve">A shift occurred when young people presented their experiences collectively in a public accountability setting. Direct engagement with those most affected moved officials from defensive responses towards substantive problem-solving. Although the underlying information had not changed, its political effect had. Case-study evidence similarly suggests institutions are more likely to respond when affected communities are present collectively in decision-making spaces (Han, McKenna &amp; Oyakawa, 2021). </w:t>
      </w:r>
    </w:p>
    <w:p w14:paraId="2A175FAA" w14:textId="77777777" w:rsidR="00B744FD" w:rsidRDefault="00000000">
      <w:pPr>
        <w:spacing w:before="240" w:after="240" w:line="360" w:lineRule="auto"/>
        <w:rPr>
          <w:sz w:val="24"/>
          <w:szCs w:val="24"/>
        </w:rPr>
      </w:pPr>
      <w:r>
        <w:rPr>
          <w:sz w:val="24"/>
          <w:szCs w:val="24"/>
        </w:rPr>
        <w:t xml:space="preserve">I am mindful that during this process, organisers may hold disproportionate interpretive authority through their role in framing issues, aggregating testimony, and translating experience into politically effective forms. </w:t>
      </w:r>
      <w:proofErr w:type="spellStart"/>
      <w:r>
        <w:rPr>
          <w:sz w:val="24"/>
          <w:szCs w:val="24"/>
        </w:rPr>
        <w:t>Organising</w:t>
      </w:r>
      <w:proofErr w:type="spellEnd"/>
      <w:r>
        <w:rPr>
          <w:sz w:val="24"/>
          <w:szCs w:val="24"/>
        </w:rPr>
        <w:t xml:space="preserve"> therefore involves navigating not only material power </w:t>
      </w:r>
      <w:proofErr w:type="gramStart"/>
      <w:r>
        <w:rPr>
          <w:sz w:val="24"/>
          <w:szCs w:val="24"/>
        </w:rPr>
        <w:t>relations, but</w:t>
      </w:r>
      <w:proofErr w:type="gramEnd"/>
      <w:r>
        <w:rPr>
          <w:sz w:val="24"/>
          <w:szCs w:val="24"/>
        </w:rPr>
        <w:t xml:space="preserve"> also questions of epistemic authority: whose knowledge is </w:t>
      </w:r>
      <w:proofErr w:type="spellStart"/>
      <w:r>
        <w:rPr>
          <w:sz w:val="24"/>
          <w:szCs w:val="24"/>
        </w:rPr>
        <w:t>recognised</w:t>
      </w:r>
      <w:proofErr w:type="spellEnd"/>
      <w:r>
        <w:rPr>
          <w:sz w:val="24"/>
          <w:szCs w:val="24"/>
        </w:rPr>
        <w:t>, and under what conditions it becomes politically actionable.</w:t>
      </w:r>
    </w:p>
    <w:p w14:paraId="04D0B5B0" w14:textId="328D44E0" w:rsidR="00067105" w:rsidRDefault="00000000">
      <w:pPr>
        <w:spacing w:before="240" w:after="240" w:line="360" w:lineRule="auto"/>
        <w:rPr>
          <w:sz w:val="24"/>
          <w:szCs w:val="24"/>
        </w:rPr>
      </w:pPr>
      <w:r>
        <w:rPr>
          <w:sz w:val="24"/>
          <w:szCs w:val="24"/>
        </w:rPr>
        <w:t xml:space="preserve">Power dynamics operate within alliances, not only beyond them. Overcrowding and service cancellations on the bus network affected multiple schools, but improvements for one group risked disadvantaging others due to limited system capacity. By convening joint discussions between schools, transport providers, and the Council, the Alliance framed the issue as one of shared allocation rather than competing claims, strengthening internal solidarity while generating power for collective demands. Such dynamics reflect broader collaborative governance challenges, where </w:t>
      </w:r>
      <w:proofErr w:type="spellStart"/>
      <w:r>
        <w:rPr>
          <w:sz w:val="24"/>
          <w:szCs w:val="24"/>
        </w:rPr>
        <w:t>organisations</w:t>
      </w:r>
      <w:proofErr w:type="spellEnd"/>
      <w:r>
        <w:rPr>
          <w:sz w:val="24"/>
          <w:szCs w:val="24"/>
        </w:rPr>
        <w:t xml:space="preserve"> default to competition unless deliberate structures support joint problem-solving, accountability, and shared ownership (Ansell &amp; Torfing, 2021; Flinders, Wood &amp; Cunningham, 2016). Organiser competence thus lies in combining power analysis with epistemic brokerage, within and beyond the alliance. </w:t>
      </w:r>
    </w:p>
    <w:p w14:paraId="53916346" w14:textId="77777777" w:rsidR="00B744FD" w:rsidRDefault="00000000">
      <w:pPr>
        <w:spacing w:before="240" w:after="240" w:line="360" w:lineRule="auto"/>
        <w:rPr>
          <w:b/>
          <w:bCs/>
          <w:sz w:val="24"/>
          <w:szCs w:val="24"/>
        </w:rPr>
      </w:pPr>
      <w:r>
        <w:rPr>
          <w:b/>
          <w:bCs/>
          <w:sz w:val="24"/>
          <w:szCs w:val="24"/>
        </w:rPr>
        <w:t>1.4 Situated Knowledge and Complexity</w:t>
      </w:r>
    </w:p>
    <w:p w14:paraId="0B9A6427" w14:textId="77777777" w:rsidR="00B744FD" w:rsidRDefault="00000000">
      <w:pPr>
        <w:spacing w:before="240" w:after="240" w:line="360" w:lineRule="auto"/>
        <w:rPr>
          <w:sz w:val="24"/>
          <w:szCs w:val="24"/>
        </w:rPr>
      </w:pPr>
      <w:r>
        <w:rPr>
          <w:sz w:val="24"/>
          <w:szCs w:val="24"/>
        </w:rPr>
        <w:t xml:space="preserve">Community </w:t>
      </w:r>
      <w:proofErr w:type="spellStart"/>
      <w:r>
        <w:rPr>
          <w:sz w:val="24"/>
          <w:szCs w:val="24"/>
        </w:rPr>
        <w:t>organising</w:t>
      </w:r>
      <w:proofErr w:type="spellEnd"/>
      <w:r>
        <w:rPr>
          <w:sz w:val="24"/>
          <w:szCs w:val="24"/>
        </w:rPr>
        <w:t xml:space="preserve"> is rooted in social context, shaped by place, history, and lived experience. Campaign priorities arise through listening within alliance institutions, where members describe concerns grounded in everyday life. In the Hove Park Campaign, listening across schools and the wider community revealed that students were taking long detours home in winter to avoid crossing the unlit park, and that many felt unsafe. Their safety concerns became politically actionable only when students' individual </w:t>
      </w:r>
      <w:r>
        <w:rPr>
          <w:sz w:val="24"/>
          <w:szCs w:val="24"/>
        </w:rPr>
        <w:lastRenderedPageBreak/>
        <w:t xml:space="preserve">experiences were heard collectively and interpreted as a shared structural issue. Listening, in this sense, is not merely data gathering but a process through which reality is interpreted and given political meaning. The Alliance </w:t>
      </w:r>
      <w:proofErr w:type="spellStart"/>
      <w:r>
        <w:rPr>
          <w:sz w:val="24"/>
          <w:szCs w:val="24"/>
        </w:rPr>
        <w:t>organised</w:t>
      </w:r>
      <w:proofErr w:type="spellEnd"/>
      <w:r>
        <w:rPr>
          <w:sz w:val="24"/>
          <w:szCs w:val="24"/>
        </w:rPr>
        <w:t xml:space="preserve"> a public action, media attention followed, and the Council agreed to negotiate on the installation of lighting.</w:t>
      </w:r>
    </w:p>
    <w:p w14:paraId="3D00D8FA" w14:textId="77777777" w:rsidR="00B744FD" w:rsidRDefault="00000000">
      <w:pPr>
        <w:spacing w:before="240" w:after="240" w:line="360" w:lineRule="auto"/>
        <w:rPr>
          <w:sz w:val="24"/>
          <w:szCs w:val="24"/>
        </w:rPr>
      </w:pPr>
      <w:r>
        <w:rPr>
          <w:sz w:val="24"/>
          <w:szCs w:val="24"/>
        </w:rPr>
        <w:t xml:space="preserve">Haraway ([1988] 2013) argues that knowledge is always produced from particular social positions, never from a neutral standpoint, and that this partiality is the condition of practice rather than a defect to be corrected. Situated knowledge, in this sense, shapes how a single issue is understood differently by different actors. The installation of lighting in Hove Park was framed variously through concerns </w:t>
      </w:r>
      <w:proofErr w:type="gramStart"/>
      <w:r>
        <w:rPr>
          <w:sz w:val="24"/>
          <w:szCs w:val="24"/>
        </w:rPr>
        <w:t>for</w:t>
      </w:r>
      <w:proofErr w:type="gramEnd"/>
      <w:r>
        <w:rPr>
          <w:sz w:val="24"/>
          <w:szCs w:val="24"/>
        </w:rPr>
        <w:t xml:space="preserve"> young people's safety, worries about how new lighting might impact local houses, and, on the council's side, concern about the effect on local wildlife. No single interpretation captured the whole picture. Holding this multiplicity is central to </w:t>
      </w:r>
      <w:proofErr w:type="spellStart"/>
      <w:r>
        <w:rPr>
          <w:sz w:val="24"/>
          <w:szCs w:val="24"/>
        </w:rPr>
        <w:t>organising</w:t>
      </w:r>
      <w:proofErr w:type="spellEnd"/>
      <w:r>
        <w:rPr>
          <w:sz w:val="24"/>
          <w:szCs w:val="24"/>
        </w:rPr>
        <w:t xml:space="preserve"> practice. Medina (2013) argues that productive epistemic work depends on sustaining friction between competing accounts rather than reconciling them prematurely. My own reading of campaigns has often shifted as leaders articulated </w:t>
      </w:r>
      <w:proofErr w:type="gramStart"/>
      <w:r>
        <w:rPr>
          <w:sz w:val="24"/>
          <w:szCs w:val="24"/>
        </w:rPr>
        <w:t>perspectives</w:t>
      </w:r>
      <w:proofErr w:type="gramEnd"/>
      <w:r>
        <w:rPr>
          <w:sz w:val="24"/>
          <w:szCs w:val="24"/>
        </w:rPr>
        <w:t xml:space="preserve"> I had not initially considered. Learning, in this sense, involves revising assumptions in response to voices that carry different forms of authority within the Alliance.</w:t>
      </w:r>
    </w:p>
    <w:p w14:paraId="6490BA1F" w14:textId="77777777" w:rsidR="00B744FD" w:rsidRDefault="00000000">
      <w:pPr>
        <w:spacing w:before="240" w:after="240" w:line="360" w:lineRule="auto"/>
        <w:rPr>
          <w:sz w:val="24"/>
          <w:szCs w:val="24"/>
        </w:rPr>
      </w:pPr>
      <w:r>
        <w:rPr>
          <w:sz w:val="24"/>
          <w:szCs w:val="24"/>
        </w:rPr>
        <w:t xml:space="preserve">Holding multiple accounts in tension does not remove the need to act on them. Deciding when individual testimonies signal a broader pattern that warrants collective intervention is itself a key deployment of my professional judgement. Such decisions are rarely technical: they involve weighing timing, risk, and participation, balancing urgency with feasibility while remaining attentive to the lived consequences for those </w:t>
      </w:r>
      <w:proofErr w:type="gramStart"/>
      <w:r>
        <w:rPr>
          <w:sz w:val="24"/>
          <w:szCs w:val="24"/>
        </w:rPr>
        <w:t>taking action</w:t>
      </w:r>
      <w:proofErr w:type="gramEnd"/>
      <w:r>
        <w:rPr>
          <w:sz w:val="24"/>
          <w:szCs w:val="24"/>
        </w:rPr>
        <w:t>.</w:t>
      </w:r>
    </w:p>
    <w:p w14:paraId="1F412628" w14:textId="77777777" w:rsidR="00B744FD" w:rsidRDefault="00000000">
      <w:pPr>
        <w:spacing w:before="240" w:after="240" w:line="360" w:lineRule="auto"/>
        <w:rPr>
          <w:sz w:val="24"/>
          <w:szCs w:val="24"/>
        </w:rPr>
      </w:pPr>
      <w:r>
        <w:rPr>
          <w:sz w:val="24"/>
          <w:szCs w:val="24"/>
        </w:rPr>
        <w:t xml:space="preserve">Our negotiations were successful in finding a compromise and the Council agreed to install lighting. The campaign appeared to have succeeded. However, momentum faded as capacity and participation across the team declined, and the lighting was never installed. Securing a commitment is not the same as securing the change, and </w:t>
      </w:r>
      <w:proofErr w:type="spellStart"/>
      <w:r>
        <w:rPr>
          <w:sz w:val="24"/>
          <w:szCs w:val="24"/>
        </w:rPr>
        <w:t>organised</w:t>
      </w:r>
      <w:proofErr w:type="spellEnd"/>
      <w:r>
        <w:rPr>
          <w:sz w:val="24"/>
          <w:szCs w:val="24"/>
        </w:rPr>
        <w:t xml:space="preserve"> power must be sustained after negotiation </w:t>
      </w:r>
      <w:proofErr w:type="gramStart"/>
      <w:r>
        <w:rPr>
          <w:sz w:val="24"/>
          <w:szCs w:val="24"/>
        </w:rPr>
        <w:t>in order to</w:t>
      </w:r>
      <w:proofErr w:type="gramEnd"/>
      <w:r>
        <w:rPr>
          <w:sz w:val="24"/>
          <w:szCs w:val="24"/>
        </w:rPr>
        <w:t xml:space="preserve"> hold decision-makers accountable to the agreements made.</w:t>
      </w:r>
    </w:p>
    <w:p w14:paraId="21619FC7" w14:textId="77777777" w:rsidR="00B744FD" w:rsidRDefault="00000000">
      <w:pPr>
        <w:spacing w:before="240" w:after="240" w:line="360" w:lineRule="auto"/>
        <w:rPr>
          <w:sz w:val="24"/>
          <w:szCs w:val="24"/>
        </w:rPr>
      </w:pPr>
      <w:r>
        <w:rPr>
          <w:sz w:val="24"/>
          <w:szCs w:val="24"/>
        </w:rPr>
        <w:lastRenderedPageBreak/>
        <w:t xml:space="preserve">These conditions are not incidental. </w:t>
      </w:r>
      <w:proofErr w:type="spellStart"/>
      <w:r>
        <w:rPr>
          <w:sz w:val="24"/>
          <w:szCs w:val="24"/>
        </w:rPr>
        <w:t>Organising</w:t>
      </w:r>
      <w:proofErr w:type="spellEnd"/>
      <w:r>
        <w:rPr>
          <w:sz w:val="24"/>
          <w:szCs w:val="24"/>
        </w:rPr>
        <w:t xml:space="preserve"> unfolds within shifting institutional relationships and constraints that resemble complex adaptive systems rather than linear planning contexts (Boulton, Allen &amp; Bowman, 2015; Kurtz &amp; Snowden, 2003). The </w:t>
      </w:r>
      <w:proofErr w:type="spellStart"/>
      <w:r>
        <w:rPr>
          <w:sz w:val="24"/>
          <w:szCs w:val="24"/>
        </w:rPr>
        <w:t>Cynefin</w:t>
      </w:r>
      <w:proofErr w:type="spellEnd"/>
      <w:r>
        <w:rPr>
          <w:sz w:val="24"/>
          <w:szCs w:val="24"/>
        </w:rPr>
        <w:t xml:space="preserve"> framework specifies the distinction: complicated problems permit diagnosis and a workable plan, </w:t>
      </w:r>
      <w:proofErr w:type="gramStart"/>
      <w:r>
        <w:rPr>
          <w:sz w:val="24"/>
          <w:szCs w:val="24"/>
        </w:rPr>
        <w:t>whereas in</w:t>
      </w:r>
      <w:proofErr w:type="gramEnd"/>
      <w:r>
        <w:rPr>
          <w:sz w:val="24"/>
          <w:szCs w:val="24"/>
        </w:rPr>
        <w:t xml:space="preserve"> complex problems cause and effect cohere only in retrospect, and effective action depends on probing, sensing, and responding rather than designing upfront (Snowden &amp; Boone, 2007). Misclassifying a complex problem as merely complicated is a foreseeable error, because community </w:t>
      </w:r>
      <w:proofErr w:type="spellStart"/>
      <w:r>
        <w:rPr>
          <w:sz w:val="24"/>
          <w:szCs w:val="24"/>
        </w:rPr>
        <w:t>organising</w:t>
      </w:r>
      <w:proofErr w:type="spellEnd"/>
      <w:r>
        <w:rPr>
          <w:sz w:val="24"/>
          <w:szCs w:val="24"/>
        </w:rPr>
        <w:t xml:space="preserve"> methodology's procedural nature can frame campaigns as sequences of executable steps rather than as interventions into shifting systems.</w:t>
      </w:r>
    </w:p>
    <w:p w14:paraId="40DDBEAF" w14:textId="70980BBB" w:rsidR="00067105" w:rsidRDefault="00000000">
      <w:pPr>
        <w:spacing w:before="240" w:after="240" w:line="360" w:lineRule="auto"/>
        <w:rPr>
          <w:sz w:val="24"/>
          <w:szCs w:val="24"/>
        </w:rPr>
      </w:pPr>
      <w:r>
        <w:rPr>
          <w:sz w:val="24"/>
          <w:szCs w:val="24"/>
        </w:rPr>
        <w:t xml:space="preserve">Situated knowledge and complexity therefore reframe </w:t>
      </w:r>
      <w:proofErr w:type="spellStart"/>
      <w:r>
        <w:rPr>
          <w:sz w:val="24"/>
          <w:szCs w:val="24"/>
        </w:rPr>
        <w:t>organising</w:t>
      </w:r>
      <w:proofErr w:type="spellEnd"/>
      <w:r>
        <w:rPr>
          <w:sz w:val="24"/>
          <w:szCs w:val="24"/>
        </w:rPr>
        <w:t xml:space="preserve"> as an interpretive, adaptive practice. My professional judgement is exercised not only through detached analysis or predetermined plans but through holding multiple situated accounts in productive tension, probing shifting political terrain, and interrogating my own patterns of recognition.</w:t>
      </w:r>
    </w:p>
    <w:p w14:paraId="3700EA16" w14:textId="77777777" w:rsidR="00B744FD" w:rsidRDefault="00000000">
      <w:pPr>
        <w:spacing w:before="240" w:after="240" w:line="360" w:lineRule="auto"/>
        <w:rPr>
          <w:b/>
          <w:bCs/>
          <w:sz w:val="24"/>
          <w:szCs w:val="24"/>
        </w:rPr>
      </w:pPr>
      <w:r>
        <w:rPr>
          <w:b/>
          <w:bCs/>
          <w:sz w:val="24"/>
          <w:szCs w:val="24"/>
        </w:rPr>
        <w:t xml:space="preserve">1.5 Ethical Risk and Reflexive Practice </w:t>
      </w:r>
    </w:p>
    <w:p w14:paraId="3921219D" w14:textId="77777777" w:rsidR="00B744FD" w:rsidRDefault="00000000">
      <w:pPr>
        <w:spacing w:before="240" w:after="240" w:line="360" w:lineRule="auto"/>
        <w:rPr>
          <w:sz w:val="24"/>
          <w:szCs w:val="24"/>
        </w:rPr>
      </w:pPr>
      <w:r>
        <w:rPr>
          <w:sz w:val="24"/>
          <w:szCs w:val="24"/>
        </w:rPr>
        <w:t xml:space="preserve">Ethical judgement forms a distinct dimension of organiser competence because collective action redistributes risk as well as power. </w:t>
      </w:r>
      <w:proofErr w:type="spellStart"/>
      <w:r>
        <w:rPr>
          <w:sz w:val="24"/>
          <w:szCs w:val="24"/>
        </w:rPr>
        <w:t>Organising</w:t>
      </w:r>
      <w:proofErr w:type="spellEnd"/>
      <w:r>
        <w:rPr>
          <w:sz w:val="24"/>
          <w:szCs w:val="24"/>
        </w:rPr>
        <w:t xml:space="preserve"> alongside exploited migrant workers brought this sharply into view: interventions that appeared strategically promising carried real risks of job loss or immigration consequences. Collective action cannot be assumed emancipatory simply because it is participatory (Cooke &amp; Kothari, 2001); in certain </w:t>
      </w:r>
      <w:proofErr w:type="gramStart"/>
      <w:r>
        <w:rPr>
          <w:sz w:val="24"/>
          <w:szCs w:val="24"/>
        </w:rPr>
        <w:t>contexts</w:t>
      </w:r>
      <w:proofErr w:type="gramEnd"/>
      <w:r>
        <w:rPr>
          <w:sz w:val="24"/>
          <w:szCs w:val="24"/>
        </w:rPr>
        <w:t xml:space="preserve"> intervention could heighten the very vulnerability it seeks to reduce, so that restraint is at times as consequential as escalation.</w:t>
      </w:r>
    </w:p>
    <w:p w14:paraId="471352C9" w14:textId="77777777" w:rsidR="00B744FD" w:rsidRDefault="00000000">
      <w:pPr>
        <w:spacing w:before="240" w:after="240" w:line="360" w:lineRule="auto"/>
        <w:rPr>
          <w:sz w:val="24"/>
          <w:szCs w:val="24"/>
        </w:rPr>
      </w:pPr>
      <w:r>
        <w:rPr>
          <w:sz w:val="24"/>
          <w:szCs w:val="24"/>
        </w:rPr>
        <w:t>Because risk of this kind is contextual and shifting, safeguarding in precarious environments depends less on formal rules than on situated, moment-to-moment judgement (Banks et al., 2016; Spencer et al., 2025). Such judgement is relational rather than procedural, and it is genuinely difficult, since protection and voice pull against one another: over-intervention in the name of safety can limit political agency, while under-protection can expose participants to harm.</w:t>
      </w:r>
    </w:p>
    <w:p w14:paraId="4B5BBF30" w14:textId="77777777" w:rsidR="00B744FD" w:rsidRDefault="00000000">
      <w:pPr>
        <w:spacing w:before="240" w:after="240" w:line="360" w:lineRule="auto"/>
        <w:rPr>
          <w:sz w:val="24"/>
          <w:szCs w:val="24"/>
        </w:rPr>
      </w:pPr>
      <w:r>
        <w:rPr>
          <w:sz w:val="24"/>
          <w:szCs w:val="24"/>
        </w:rPr>
        <w:lastRenderedPageBreak/>
        <w:t xml:space="preserve">What makes these decisions ethically fraught is not only their difficulty but the question of who makes them. They are exercised across an asymmetry of power between organiser and vulnerable leaders, and carry a persistent risk of paternalism, in which strategy and action risk being shaped more by organiser confidence or institutional priorities than by the lived assessment of those most exposed to the consequences. The underlying question is to what extent </w:t>
      </w:r>
      <w:proofErr w:type="gramStart"/>
      <w:r>
        <w:rPr>
          <w:sz w:val="24"/>
          <w:szCs w:val="24"/>
        </w:rPr>
        <w:t>I am</w:t>
      </w:r>
      <w:proofErr w:type="gramEnd"/>
      <w:r>
        <w:rPr>
          <w:sz w:val="24"/>
          <w:szCs w:val="24"/>
        </w:rPr>
        <w:t xml:space="preserve"> building power with leaders or exercising power over the process. Several features of the </w:t>
      </w:r>
      <w:proofErr w:type="spellStart"/>
      <w:r>
        <w:rPr>
          <w:sz w:val="24"/>
          <w:szCs w:val="24"/>
        </w:rPr>
        <w:t>organiser's</w:t>
      </w:r>
      <w:proofErr w:type="spellEnd"/>
      <w:r>
        <w:rPr>
          <w:sz w:val="24"/>
          <w:szCs w:val="24"/>
        </w:rPr>
        <w:t xml:space="preserve"> position pull towards the latter and require examination.</w:t>
      </w:r>
    </w:p>
    <w:p w14:paraId="19C269EF" w14:textId="77777777" w:rsidR="00B744FD" w:rsidRDefault="00000000">
      <w:pPr>
        <w:spacing w:before="240" w:after="240" w:line="360" w:lineRule="auto"/>
        <w:rPr>
          <w:sz w:val="24"/>
          <w:szCs w:val="24"/>
        </w:rPr>
      </w:pPr>
      <w:r>
        <w:rPr>
          <w:sz w:val="24"/>
          <w:szCs w:val="24"/>
        </w:rPr>
        <w:t xml:space="preserve">An </w:t>
      </w:r>
      <w:proofErr w:type="spellStart"/>
      <w:r>
        <w:rPr>
          <w:sz w:val="24"/>
          <w:szCs w:val="24"/>
        </w:rPr>
        <w:t>organiser's</w:t>
      </w:r>
      <w:proofErr w:type="spellEnd"/>
      <w:r>
        <w:rPr>
          <w:sz w:val="24"/>
          <w:szCs w:val="24"/>
        </w:rPr>
        <w:t xml:space="preserve"> advancement is conditional on visible results, so progressing towards public action can serve as proof of competence, even as the material risks, employment loss or immigration scrutiny, are borne unevenly and often invisibly by leaders. The pull is therefore towards escalation and pace precisely where restraint may be warranted, and where an organiser moves too quickly, leaders may comply rather than develop their own judgement. Consent may </w:t>
      </w:r>
      <w:proofErr w:type="gramStart"/>
      <w:r>
        <w:rPr>
          <w:sz w:val="24"/>
          <w:szCs w:val="24"/>
        </w:rPr>
        <w:t>too</w:t>
      </w:r>
      <w:proofErr w:type="gramEnd"/>
      <w:r>
        <w:rPr>
          <w:sz w:val="24"/>
          <w:szCs w:val="24"/>
        </w:rPr>
        <w:t xml:space="preserve"> reflect the strength of trust a leader has in the organiser rather than their independent judgement. Indeed, the most subtle face of power operates not by overruling people but by shaping what they come to accept, whether intentionally or not (Lukes, 2005). As a university-educated, white-passing man who moves comfortably within institutional spaces, I may overestimate the neutrality of formal processes, privilege communication styles that mirror dominant professional cultures, and underweight the embodied costs of entering such spaces for those who do not share that comfort. Each of these can quietly turn the building of power with leaders into the exercise of power over them, without any conscious intention to control.</w:t>
      </w:r>
    </w:p>
    <w:p w14:paraId="5266B2F7" w14:textId="77777777" w:rsidR="00B744FD" w:rsidRDefault="00000000">
      <w:pPr>
        <w:spacing w:before="240" w:after="240" w:line="360" w:lineRule="auto"/>
        <w:rPr>
          <w:sz w:val="24"/>
          <w:szCs w:val="24"/>
        </w:rPr>
      </w:pPr>
      <w:r>
        <w:rPr>
          <w:sz w:val="24"/>
          <w:szCs w:val="24"/>
        </w:rPr>
        <w:t xml:space="preserve">Addressing this requires the sustained, critical reflexivity discussed in 1.2 (Cunliffe, 2003), together with a deliberate redistribution of interpretive authority. Consent, on this view, cannot be treated as a single procedural agreement but must be an ongoing, negotiated process, co-produced through dialogue in which decisions about risk, timing, and action are made collectively rather than unilaterally (Banks &amp; Brydon-Miller, 2018). The </w:t>
      </w:r>
      <w:proofErr w:type="spellStart"/>
      <w:r>
        <w:rPr>
          <w:sz w:val="24"/>
          <w:szCs w:val="24"/>
        </w:rPr>
        <w:t>organising</w:t>
      </w:r>
      <w:proofErr w:type="spellEnd"/>
      <w:r>
        <w:rPr>
          <w:sz w:val="24"/>
          <w:szCs w:val="24"/>
        </w:rPr>
        <w:t xml:space="preserve"> principle of not doing for others what they can do for themselves: the ‘iron rule’ of the broad-based tradition (Chambers, 2018), is intended to shift power towards participants, but must still be enacted under uneven conditions. In practice this </w:t>
      </w:r>
      <w:r>
        <w:rPr>
          <w:sz w:val="24"/>
          <w:szCs w:val="24"/>
        </w:rPr>
        <w:lastRenderedPageBreak/>
        <w:t>means foregrounding participants' own embodied judgement, including the bodily knowledge of when an institutional space feels unsafe, and building structured preparation, rehearsal, and collective framing into campaign work, so that leaders can articulate their experiences on their own terms rather than defaulting to those most comfortable speaking in institutional settings.</w:t>
      </w:r>
    </w:p>
    <w:p w14:paraId="5FAE9BE6" w14:textId="77777777" w:rsidR="00067105" w:rsidRDefault="00000000">
      <w:pPr>
        <w:spacing w:before="240" w:after="240" w:line="360" w:lineRule="auto"/>
        <w:rPr>
          <w:sz w:val="24"/>
          <w:szCs w:val="24"/>
        </w:rPr>
      </w:pPr>
      <w:r>
        <w:rPr>
          <w:sz w:val="24"/>
          <w:szCs w:val="24"/>
        </w:rPr>
        <w:t>These commitments reframe ethical competence not as adherence to external safeguards but as an ongoing practice of ensuring that those who carry the greatest risk also hold the greatest say in how, when, and whether action takes place.</w:t>
      </w:r>
    </w:p>
    <w:p w14:paraId="69D61EA2" w14:textId="77777777" w:rsidR="00067105" w:rsidRDefault="00067105">
      <w:pPr>
        <w:spacing w:before="240" w:after="240" w:line="360" w:lineRule="auto"/>
        <w:rPr>
          <w:b/>
          <w:bCs/>
          <w:sz w:val="24"/>
          <w:szCs w:val="24"/>
        </w:rPr>
      </w:pPr>
    </w:p>
    <w:p w14:paraId="0CA70372" w14:textId="77777777" w:rsidR="00067105" w:rsidRDefault="00067105">
      <w:pPr>
        <w:spacing w:before="240" w:after="240" w:line="360" w:lineRule="auto"/>
        <w:rPr>
          <w:b/>
          <w:bCs/>
          <w:sz w:val="24"/>
          <w:szCs w:val="24"/>
        </w:rPr>
      </w:pPr>
    </w:p>
    <w:p w14:paraId="5BCC4B32" w14:textId="77777777" w:rsidR="00067105" w:rsidRDefault="00067105">
      <w:pPr>
        <w:spacing w:before="240" w:after="240" w:line="360" w:lineRule="auto"/>
        <w:rPr>
          <w:b/>
          <w:bCs/>
          <w:sz w:val="24"/>
          <w:szCs w:val="24"/>
        </w:rPr>
      </w:pPr>
    </w:p>
    <w:p w14:paraId="52FECAC2" w14:textId="77777777" w:rsidR="00067105" w:rsidRDefault="00067105">
      <w:pPr>
        <w:spacing w:before="240" w:after="240" w:line="360" w:lineRule="auto"/>
        <w:rPr>
          <w:b/>
          <w:bCs/>
          <w:sz w:val="24"/>
          <w:szCs w:val="24"/>
        </w:rPr>
      </w:pPr>
    </w:p>
    <w:p w14:paraId="2E310399" w14:textId="77777777" w:rsidR="00067105" w:rsidRDefault="00067105">
      <w:pPr>
        <w:spacing w:before="240" w:after="240" w:line="360" w:lineRule="auto"/>
        <w:rPr>
          <w:b/>
          <w:bCs/>
          <w:sz w:val="24"/>
          <w:szCs w:val="24"/>
        </w:rPr>
      </w:pPr>
    </w:p>
    <w:p w14:paraId="75F436F1" w14:textId="77777777" w:rsidR="00067105" w:rsidRDefault="00067105">
      <w:pPr>
        <w:spacing w:before="240" w:after="240" w:line="360" w:lineRule="auto"/>
        <w:rPr>
          <w:b/>
          <w:bCs/>
          <w:sz w:val="24"/>
          <w:szCs w:val="24"/>
        </w:rPr>
      </w:pPr>
    </w:p>
    <w:p w14:paraId="74F21AA3" w14:textId="77777777" w:rsidR="00067105" w:rsidRDefault="00067105">
      <w:pPr>
        <w:spacing w:before="240" w:after="240" w:line="360" w:lineRule="auto"/>
        <w:rPr>
          <w:b/>
          <w:bCs/>
          <w:sz w:val="24"/>
          <w:szCs w:val="24"/>
        </w:rPr>
      </w:pPr>
    </w:p>
    <w:p w14:paraId="7C4E307A" w14:textId="77777777" w:rsidR="00067105" w:rsidRDefault="00067105">
      <w:pPr>
        <w:spacing w:before="240" w:after="240" w:line="360" w:lineRule="auto"/>
        <w:rPr>
          <w:b/>
          <w:bCs/>
          <w:sz w:val="24"/>
          <w:szCs w:val="24"/>
        </w:rPr>
      </w:pPr>
    </w:p>
    <w:p w14:paraId="3DCDD552" w14:textId="77777777" w:rsidR="00067105" w:rsidRDefault="00067105">
      <w:pPr>
        <w:spacing w:before="240" w:after="240" w:line="360" w:lineRule="auto"/>
        <w:rPr>
          <w:b/>
          <w:bCs/>
          <w:sz w:val="24"/>
          <w:szCs w:val="24"/>
        </w:rPr>
      </w:pPr>
    </w:p>
    <w:p w14:paraId="7FE96E27" w14:textId="77777777" w:rsidR="00067105" w:rsidRDefault="00067105">
      <w:pPr>
        <w:spacing w:before="240" w:after="240" w:line="360" w:lineRule="auto"/>
        <w:rPr>
          <w:b/>
          <w:bCs/>
          <w:sz w:val="24"/>
          <w:szCs w:val="24"/>
        </w:rPr>
      </w:pPr>
    </w:p>
    <w:p w14:paraId="11112066" w14:textId="77777777" w:rsidR="00067105" w:rsidRDefault="00067105">
      <w:pPr>
        <w:spacing w:before="240" w:after="240" w:line="360" w:lineRule="auto"/>
        <w:rPr>
          <w:b/>
          <w:bCs/>
          <w:sz w:val="24"/>
          <w:szCs w:val="24"/>
        </w:rPr>
      </w:pPr>
    </w:p>
    <w:p w14:paraId="0A94533D" w14:textId="77777777" w:rsidR="00067105" w:rsidRDefault="00067105">
      <w:pPr>
        <w:spacing w:before="240" w:after="240" w:line="360" w:lineRule="auto"/>
        <w:rPr>
          <w:b/>
          <w:bCs/>
          <w:sz w:val="24"/>
          <w:szCs w:val="24"/>
        </w:rPr>
      </w:pPr>
    </w:p>
    <w:p w14:paraId="7004BEFE" w14:textId="77777777" w:rsidR="00067105" w:rsidRDefault="00067105">
      <w:pPr>
        <w:spacing w:before="240" w:after="240" w:line="360" w:lineRule="auto"/>
        <w:rPr>
          <w:b/>
          <w:bCs/>
          <w:sz w:val="24"/>
          <w:szCs w:val="24"/>
        </w:rPr>
      </w:pPr>
    </w:p>
    <w:p w14:paraId="44423824" w14:textId="77777777" w:rsidR="00067105" w:rsidRDefault="00067105">
      <w:pPr>
        <w:spacing w:before="240" w:after="240" w:line="360" w:lineRule="auto"/>
        <w:rPr>
          <w:b/>
          <w:bCs/>
          <w:sz w:val="24"/>
          <w:szCs w:val="24"/>
        </w:rPr>
      </w:pPr>
    </w:p>
    <w:p w14:paraId="48CC4E0D" w14:textId="012003E6" w:rsidR="00067105" w:rsidRPr="00067105" w:rsidRDefault="00000000">
      <w:pPr>
        <w:spacing w:before="240" w:after="240" w:line="360" w:lineRule="auto"/>
        <w:rPr>
          <w:sz w:val="24"/>
          <w:szCs w:val="24"/>
        </w:rPr>
      </w:pPr>
      <w:r>
        <w:rPr>
          <w:b/>
          <w:bCs/>
          <w:sz w:val="24"/>
          <w:szCs w:val="24"/>
        </w:rPr>
        <w:lastRenderedPageBreak/>
        <w:t>Section 2: Conceptual Framework for Practice</w:t>
      </w:r>
    </w:p>
    <w:p w14:paraId="765E1C42" w14:textId="77777777" w:rsidR="00B744FD" w:rsidRDefault="00000000">
      <w:pPr>
        <w:pStyle w:val="Heading2"/>
        <w:keepNext w:val="0"/>
        <w:keepLines w:val="0"/>
        <w:spacing w:after="80" w:line="360" w:lineRule="auto"/>
        <w:rPr>
          <w:b/>
          <w:bCs/>
          <w:sz w:val="24"/>
          <w:szCs w:val="24"/>
        </w:rPr>
      </w:pPr>
      <w:bookmarkStart w:id="4" w:name="_vvyribtt1k01" w:colFirst="0" w:colLast="0"/>
      <w:bookmarkEnd w:id="4"/>
      <w:r>
        <w:rPr>
          <w:b/>
          <w:bCs/>
          <w:sz w:val="24"/>
          <w:szCs w:val="24"/>
        </w:rPr>
        <w:t>2.1 The Organiser Judgement Model</w:t>
      </w:r>
    </w:p>
    <w:p w14:paraId="50C9BC9C" w14:textId="31A5BC42" w:rsidR="00B744FD" w:rsidRDefault="00000000">
      <w:pPr>
        <w:spacing w:before="240" w:after="240" w:line="360" w:lineRule="auto"/>
        <w:rPr>
          <w:sz w:val="24"/>
          <w:szCs w:val="24"/>
        </w:rPr>
      </w:pPr>
      <w:r>
        <w:rPr>
          <w:sz w:val="24"/>
          <w:szCs w:val="24"/>
        </w:rPr>
        <w:t xml:space="preserve">The preceding sections develop an understanding of organiser judgement as a relational, situated, power-aware, and ethically reflexive capacity, developed through cycles of collective action and reflection within communities of practice operating in complex environments. The Organiser Judgement Model (see Fig 1) </w:t>
      </w:r>
      <w:proofErr w:type="spellStart"/>
      <w:r>
        <w:rPr>
          <w:sz w:val="24"/>
          <w:szCs w:val="24"/>
        </w:rPr>
        <w:t>conceptualises</w:t>
      </w:r>
      <w:proofErr w:type="spellEnd"/>
      <w:r>
        <w:rPr>
          <w:sz w:val="24"/>
          <w:szCs w:val="24"/>
        </w:rPr>
        <w:t xml:space="preserve"> </w:t>
      </w:r>
      <w:proofErr w:type="spellStart"/>
      <w:r>
        <w:rPr>
          <w:sz w:val="24"/>
          <w:szCs w:val="24"/>
        </w:rPr>
        <w:t>organising</w:t>
      </w:r>
      <w:proofErr w:type="spellEnd"/>
      <w:r>
        <w:rPr>
          <w:sz w:val="24"/>
          <w:szCs w:val="24"/>
        </w:rPr>
        <w:t xml:space="preserve"> practice as a system in which situated knowledge, four interacting domains of judgement, and two sustaining processes, reflexive and collective learning, continuously shape one another. </w:t>
      </w:r>
    </w:p>
    <w:p w14:paraId="66558C5A" w14:textId="77777777" w:rsidR="00B744FD" w:rsidRDefault="00000000">
      <w:pPr>
        <w:spacing w:before="240" w:after="240" w:line="360" w:lineRule="auto"/>
        <w:jc w:val="center"/>
        <w:rPr>
          <w:b/>
          <w:bCs/>
          <w:sz w:val="24"/>
          <w:szCs w:val="24"/>
        </w:rPr>
      </w:pPr>
      <w:r>
        <w:rPr>
          <w:b/>
          <w:bCs/>
          <w:sz w:val="24"/>
          <w:szCs w:val="24"/>
        </w:rPr>
        <w:t>The Organiser Judgement Model</w:t>
      </w:r>
      <w:r>
        <w:rPr>
          <w:noProof/>
        </w:rPr>
        <w:drawing>
          <wp:anchor distT="114300" distB="114300" distL="114300" distR="114300" simplePos="0" relativeHeight="251658240" behindDoc="0" locked="0" layoutInCell="1" hidden="0" allowOverlap="1" wp14:anchorId="59BFCC12" wp14:editId="2E04C514">
            <wp:simplePos x="0" y="0"/>
            <wp:positionH relativeFrom="column">
              <wp:posOffset>776288</wp:posOffset>
            </wp:positionH>
            <wp:positionV relativeFrom="paragraph">
              <wp:posOffset>390525</wp:posOffset>
            </wp:positionV>
            <wp:extent cx="4386263" cy="4064925"/>
            <wp:effectExtent l="0" t="0" r="0" b="0"/>
            <wp:wrapNone/>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5"/>
                    <a:srcRect l="20192" r="19071"/>
                    <a:stretch>
                      <a:fillRect/>
                    </a:stretch>
                  </pic:blipFill>
                  <pic:spPr>
                    <a:xfrm>
                      <a:off x="0" y="0"/>
                      <a:ext cx="4386263" cy="4064925"/>
                    </a:xfrm>
                    <a:prstGeom prst="rect">
                      <a:avLst/>
                    </a:prstGeom>
                    <a:ln/>
                  </pic:spPr>
                </pic:pic>
              </a:graphicData>
            </a:graphic>
          </wp:anchor>
        </w:drawing>
      </w:r>
    </w:p>
    <w:p w14:paraId="7AF6572C" w14:textId="77777777" w:rsidR="00B744FD" w:rsidRDefault="00B744FD">
      <w:pPr>
        <w:spacing w:before="240" w:after="240" w:line="360" w:lineRule="auto"/>
        <w:jc w:val="center"/>
        <w:rPr>
          <w:b/>
          <w:bCs/>
          <w:sz w:val="24"/>
          <w:szCs w:val="24"/>
        </w:rPr>
      </w:pPr>
    </w:p>
    <w:p w14:paraId="577B2433" w14:textId="77777777" w:rsidR="00B744FD" w:rsidRDefault="00B744FD">
      <w:pPr>
        <w:spacing w:before="240" w:after="240" w:line="360" w:lineRule="auto"/>
        <w:jc w:val="center"/>
        <w:rPr>
          <w:b/>
          <w:bCs/>
          <w:sz w:val="24"/>
          <w:szCs w:val="24"/>
        </w:rPr>
      </w:pPr>
    </w:p>
    <w:p w14:paraId="2A28A40D" w14:textId="77777777" w:rsidR="00B744FD" w:rsidRDefault="00B744FD">
      <w:pPr>
        <w:spacing w:before="240" w:after="240" w:line="360" w:lineRule="auto"/>
        <w:rPr>
          <w:b/>
          <w:bCs/>
          <w:sz w:val="24"/>
          <w:szCs w:val="24"/>
        </w:rPr>
      </w:pPr>
    </w:p>
    <w:p w14:paraId="742A534C" w14:textId="77777777" w:rsidR="00B744FD" w:rsidRDefault="00B744FD">
      <w:pPr>
        <w:spacing w:before="240" w:after="240" w:line="360" w:lineRule="auto"/>
        <w:rPr>
          <w:b/>
          <w:bCs/>
          <w:sz w:val="24"/>
          <w:szCs w:val="24"/>
        </w:rPr>
      </w:pPr>
    </w:p>
    <w:p w14:paraId="16CA7CE1" w14:textId="77777777" w:rsidR="00B744FD" w:rsidRDefault="00B744FD">
      <w:pPr>
        <w:spacing w:before="240" w:after="240" w:line="360" w:lineRule="auto"/>
        <w:rPr>
          <w:b/>
          <w:bCs/>
          <w:sz w:val="24"/>
          <w:szCs w:val="24"/>
        </w:rPr>
      </w:pPr>
    </w:p>
    <w:p w14:paraId="7125775C" w14:textId="77777777" w:rsidR="00B744FD" w:rsidRDefault="00B744FD">
      <w:pPr>
        <w:spacing w:before="240" w:after="240" w:line="360" w:lineRule="auto"/>
        <w:rPr>
          <w:b/>
          <w:bCs/>
          <w:sz w:val="24"/>
          <w:szCs w:val="24"/>
        </w:rPr>
      </w:pPr>
    </w:p>
    <w:p w14:paraId="45610A65" w14:textId="77777777" w:rsidR="00B744FD" w:rsidRDefault="00B744FD">
      <w:pPr>
        <w:spacing w:before="240" w:after="240" w:line="360" w:lineRule="auto"/>
        <w:rPr>
          <w:b/>
          <w:bCs/>
          <w:sz w:val="24"/>
          <w:szCs w:val="24"/>
        </w:rPr>
      </w:pPr>
    </w:p>
    <w:p w14:paraId="36D895D7" w14:textId="77777777" w:rsidR="00B744FD" w:rsidRDefault="00B744FD">
      <w:pPr>
        <w:spacing w:before="240" w:after="240" w:line="360" w:lineRule="auto"/>
        <w:rPr>
          <w:b/>
          <w:bCs/>
          <w:sz w:val="24"/>
          <w:szCs w:val="24"/>
        </w:rPr>
      </w:pPr>
    </w:p>
    <w:p w14:paraId="2DF92815" w14:textId="77777777" w:rsidR="00B744FD" w:rsidRDefault="00B744FD">
      <w:pPr>
        <w:spacing w:before="240" w:after="240" w:line="360" w:lineRule="auto"/>
        <w:rPr>
          <w:b/>
          <w:bCs/>
          <w:sz w:val="24"/>
          <w:szCs w:val="24"/>
        </w:rPr>
      </w:pPr>
    </w:p>
    <w:p w14:paraId="4A837256" w14:textId="77777777" w:rsidR="00B744FD" w:rsidRDefault="00B744FD">
      <w:pPr>
        <w:spacing w:before="240" w:after="240" w:line="360" w:lineRule="auto"/>
        <w:rPr>
          <w:i/>
          <w:iCs/>
          <w:sz w:val="24"/>
          <w:szCs w:val="24"/>
        </w:rPr>
      </w:pPr>
    </w:p>
    <w:p w14:paraId="2FC63CBD" w14:textId="77777777" w:rsidR="00B744FD" w:rsidRPr="00067105" w:rsidRDefault="00000000">
      <w:pPr>
        <w:spacing w:before="240" w:after="240" w:line="360" w:lineRule="auto"/>
        <w:jc w:val="center"/>
        <w:rPr>
          <w:i/>
          <w:iCs/>
          <w:sz w:val="18"/>
          <w:szCs w:val="18"/>
        </w:rPr>
      </w:pPr>
      <w:r w:rsidRPr="00067105">
        <w:rPr>
          <w:i/>
          <w:iCs/>
          <w:sz w:val="18"/>
          <w:szCs w:val="18"/>
        </w:rPr>
        <w:t xml:space="preserve">Figure 1: Organiser Judgement operates as four interacting domains: relational, strategic, embodied, and ethical, grounded in situated community conditions. The outer processes indicate how judgement develops through reflexive learning and becomes distributed through collective learning within the Alliance. All of this takes place within a political field </w:t>
      </w:r>
      <w:proofErr w:type="spellStart"/>
      <w:r w:rsidRPr="00067105">
        <w:rPr>
          <w:i/>
          <w:iCs/>
          <w:sz w:val="18"/>
          <w:szCs w:val="18"/>
        </w:rPr>
        <w:t>characterised</w:t>
      </w:r>
      <w:proofErr w:type="spellEnd"/>
      <w:r w:rsidRPr="00067105">
        <w:rPr>
          <w:i/>
          <w:iCs/>
          <w:sz w:val="18"/>
          <w:szCs w:val="18"/>
        </w:rPr>
        <w:t xml:space="preserve"> by uneven distributions of power and resources and asymmetric risk.</w:t>
      </w:r>
    </w:p>
    <w:p w14:paraId="6314DCEC" w14:textId="77777777" w:rsidR="00B744FD" w:rsidRDefault="00000000">
      <w:pPr>
        <w:spacing w:before="240" w:after="240" w:line="360" w:lineRule="auto"/>
        <w:rPr>
          <w:sz w:val="24"/>
          <w:szCs w:val="24"/>
        </w:rPr>
      </w:pPr>
      <w:r>
        <w:rPr>
          <w:sz w:val="24"/>
          <w:szCs w:val="24"/>
        </w:rPr>
        <w:lastRenderedPageBreak/>
        <w:t xml:space="preserve">At the </w:t>
      </w:r>
      <w:proofErr w:type="spellStart"/>
      <w:r>
        <w:rPr>
          <w:sz w:val="24"/>
          <w:szCs w:val="24"/>
        </w:rPr>
        <w:t>centre</w:t>
      </w:r>
      <w:proofErr w:type="spellEnd"/>
      <w:r>
        <w:rPr>
          <w:sz w:val="24"/>
          <w:szCs w:val="24"/>
        </w:rPr>
        <w:t xml:space="preserve"> of the framework sits </w:t>
      </w:r>
      <w:r>
        <w:rPr>
          <w:b/>
          <w:bCs/>
          <w:sz w:val="24"/>
          <w:szCs w:val="24"/>
        </w:rPr>
        <w:t>Situated Knowledge</w:t>
      </w:r>
      <w:r>
        <w:rPr>
          <w:sz w:val="24"/>
          <w:szCs w:val="24"/>
        </w:rPr>
        <w:t xml:space="preserve">: the lived experience of communities, local histories, and material conditions within which </w:t>
      </w:r>
      <w:proofErr w:type="spellStart"/>
      <w:r>
        <w:rPr>
          <w:sz w:val="24"/>
          <w:szCs w:val="24"/>
        </w:rPr>
        <w:t>organising</w:t>
      </w:r>
      <w:proofErr w:type="spellEnd"/>
      <w:r>
        <w:rPr>
          <w:sz w:val="24"/>
          <w:szCs w:val="24"/>
        </w:rPr>
        <w:t xml:space="preserve"> takes place. Campaign priorities do not begin with abstract agendas but with </w:t>
      </w:r>
      <w:proofErr w:type="gramStart"/>
      <w:r>
        <w:rPr>
          <w:sz w:val="24"/>
          <w:szCs w:val="24"/>
        </w:rPr>
        <w:t>disciplined</w:t>
      </w:r>
      <w:proofErr w:type="gramEnd"/>
      <w:r>
        <w:rPr>
          <w:sz w:val="24"/>
          <w:szCs w:val="24"/>
        </w:rPr>
        <w:t xml:space="preserve"> listening to how issues are </w:t>
      </w:r>
      <w:proofErr w:type="gramStart"/>
      <w:r>
        <w:rPr>
          <w:sz w:val="24"/>
          <w:szCs w:val="24"/>
        </w:rPr>
        <w:t>actually experienced</w:t>
      </w:r>
      <w:proofErr w:type="gramEnd"/>
      <w:r>
        <w:rPr>
          <w:sz w:val="24"/>
          <w:szCs w:val="24"/>
        </w:rPr>
        <w:t>. This situated ground anchors the four domains that surround it.</w:t>
      </w:r>
    </w:p>
    <w:p w14:paraId="326C47C4" w14:textId="77777777" w:rsidR="00B744FD" w:rsidRDefault="00000000">
      <w:pPr>
        <w:spacing w:before="240" w:after="240" w:line="360" w:lineRule="auto"/>
        <w:rPr>
          <w:sz w:val="24"/>
          <w:szCs w:val="24"/>
        </w:rPr>
      </w:pPr>
      <w:r>
        <w:rPr>
          <w:b/>
          <w:bCs/>
          <w:sz w:val="24"/>
          <w:szCs w:val="24"/>
        </w:rPr>
        <w:t>Relational Judgement</w:t>
      </w:r>
      <w:r>
        <w:rPr>
          <w:sz w:val="24"/>
          <w:szCs w:val="24"/>
        </w:rPr>
        <w:t xml:space="preserve"> concerns how power is built with and through people and institutions: the development of trust, leadership, solidarity, and shared ownership. It is the patient work through which our communities become capable of acting together.</w:t>
      </w:r>
    </w:p>
    <w:p w14:paraId="7F09F19B" w14:textId="77777777" w:rsidR="00B744FD" w:rsidRDefault="00000000">
      <w:pPr>
        <w:spacing w:before="240" w:after="240" w:line="360" w:lineRule="auto"/>
        <w:rPr>
          <w:sz w:val="24"/>
          <w:szCs w:val="24"/>
        </w:rPr>
      </w:pPr>
      <w:r>
        <w:rPr>
          <w:b/>
          <w:bCs/>
          <w:sz w:val="24"/>
          <w:szCs w:val="24"/>
        </w:rPr>
        <w:t>Strategic Judgement</w:t>
      </w:r>
      <w:r>
        <w:rPr>
          <w:sz w:val="24"/>
          <w:szCs w:val="24"/>
        </w:rPr>
        <w:t xml:space="preserve"> concerns how power is analysed and directed: identifying decision-makers, mapping interests, building leverage, and maintaining accountability. It is what translates issues identified by listening into politically consequential demands, so that lived experience becomes capable of shifting institutional behaviour.</w:t>
      </w:r>
    </w:p>
    <w:p w14:paraId="3B86CB7C" w14:textId="77777777" w:rsidR="00B744FD" w:rsidRDefault="00000000">
      <w:pPr>
        <w:spacing w:before="240" w:after="240" w:line="360" w:lineRule="auto"/>
        <w:rPr>
          <w:sz w:val="24"/>
          <w:szCs w:val="24"/>
        </w:rPr>
      </w:pPr>
      <w:r>
        <w:rPr>
          <w:b/>
          <w:bCs/>
          <w:sz w:val="24"/>
          <w:szCs w:val="24"/>
        </w:rPr>
        <w:t>Embodied Judgement</w:t>
      </w:r>
      <w:r>
        <w:rPr>
          <w:sz w:val="24"/>
          <w:szCs w:val="24"/>
        </w:rPr>
        <w:t xml:space="preserve"> refers to the experience-based, somatic sensitivity through which organisers read timing, readiness, tone, and shifting relational dynamics </w:t>
      </w:r>
      <w:proofErr w:type="gramStart"/>
      <w:r>
        <w:rPr>
          <w:sz w:val="24"/>
          <w:szCs w:val="24"/>
        </w:rPr>
        <w:t>in the midst of</w:t>
      </w:r>
      <w:proofErr w:type="gramEnd"/>
      <w:r>
        <w:rPr>
          <w:sz w:val="24"/>
          <w:szCs w:val="24"/>
        </w:rPr>
        <w:t xml:space="preserve"> action. It operates throughout the </w:t>
      </w:r>
      <w:proofErr w:type="spellStart"/>
      <w:r>
        <w:rPr>
          <w:sz w:val="24"/>
          <w:szCs w:val="24"/>
        </w:rPr>
        <w:t>organising</w:t>
      </w:r>
      <w:proofErr w:type="spellEnd"/>
      <w:r>
        <w:rPr>
          <w:sz w:val="24"/>
          <w:szCs w:val="24"/>
        </w:rPr>
        <w:t xml:space="preserve"> process, informing when to escalate, when to negotiate, and when to consolidate, and cannot be reduced to procedural steps. Tacit knowledge describes what an organiser gains through experience; embodied judgement draws on that knowledge as it is put to work in the moment.</w:t>
      </w:r>
    </w:p>
    <w:p w14:paraId="3D391768" w14:textId="77777777" w:rsidR="00B744FD" w:rsidRDefault="00000000">
      <w:pPr>
        <w:spacing w:before="240" w:after="240" w:line="360" w:lineRule="auto"/>
        <w:rPr>
          <w:sz w:val="24"/>
          <w:szCs w:val="24"/>
        </w:rPr>
      </w:pPr>
      <w:r>
        <w:rPr>
          <w:b/>
          <w:bCs/>
          <w:sz w:val="24"/>
          <w:szCs w:val="24"/>
        </w:rPr>
        <w:t>Ethical Judgement</w:t>
      </w:r>
      <w:r>
        <w:rPr>
          <w:sz w:val="24"/>
          <w:szCs w:val="24"/>
        </w:rPr>
        <w:t xml:space="preserve"> concerns the assessment of responsibility and risk within collective action: questions of consent, vulnerability, fairness, and the unequal distribution of consequences. Decisions about escalation, publicity, or negotiation are inseparable from these questions, and it is ethical judgement that ensures the pursuit of leverage does not eclipse responsibility towards those who carry its risks.</w:t>
      </w:r>
    </w:p>
    <w:p w14:paraId="5243D5EF" w14:textId="77777777" w:rsidR="00B744FD" w:rsidRDefault="00000000">
      <w:pPr>
        <w:spacing w:before="240" w:after="240" w:line="360" w:lineRule="auto"/>
        <w:rPr>
          <w:sz w:val="24"/>
          <w:szCs w:val="24"/>
        </w:rPr>
      </w:pPr>
      <w:r>
        <w:rPr>
          <w:sz w:val="24"/>
          <w:szCs w:val="24"/>
        </w:rPr>
        <w:t xml:space="preserve">Two processes surround and sustain these domains. </w:t>
      </w:r>
      <w:r>
        <w:rPr>
          <w:b/>
          <w:bCs/>
          <w:sz w:val="24"/>
          <w:szCs w:val="24"/>
        </w:rPr>
        <w:t>Reflexive Learning</w:t>
      </w:r>
      <w:r>
        <w:rPr>
          <w:sz w:val="24"/>
          <w:szCs w:val="24"/>
        </w:rPr>
        <w:t xml:space="preserve"> describes how the domains develop over time: through action, reflection, and adaptation, organisers recalibrate and interrogate their judgement in response to experience and insight. </w:t>
      </w:r>
      <w:r>
        <w:rPr>
          <w:b/>
          <w:bCs/>
          <w:sz w:val="24"/>
          <w:szCs w:val="24"/>
        </w:rPr>
        <w:t>Collective Learning</w:t>
      </w:r>
      <w:r>
        <w:rPr>
          <w:sz w:val="24"/>
          <w:szCs w:val="24"/>
        </w:rPr>
        <w:t xml:space="preserve"> describes how knowledge is generated and distributed </w:t>
      </w:r>
      <w:r>
        <w:rPr>
          <w:sz w:val="24"/>
          <w:szCs w:val="24"/>
        </w:rPr>
        <w:lastRenderedPageBreak/>
        <w:t>within the Alliance rather than residing solely with professional organisers; through shared practice, participation, and structured reflection, these domains of judgement become embedded within institutional routines and collective memory.</w:t>
      </w:r>
    </w:p>
    <w:p w14:paraId="0F7313E9" w14:textId="77777777" w:rsidR="00B744FD" w:rsidRDefault="00000000">
      <w:pPr>
        <w:spacing w:before="240" w:after="240" w:line="360" w:lineRule="auto"/>
        <w:rPr>
          <w:sz w:val="24"/>
          <w:szCs w:val="24"/>
        </w:rPr>
      </w:pPr>
      <w:r>
        <w:rPr>
          <w:sz w:val="24"/>
          <w:szCs w:val="24"/>
        </w:rPr>
        <w:t xml:space="preserve">The Cycle of Action (Citizens UK, 2019) describes the practical rhythm through which campaigns unfold; the Organiser Judgement Model does not replace it but clarifies the forms of judgement exercised within it. So described, organiser competence is less a set of discrete skills than an adaptive configuration of four interacting domains, grounded in situated knowledge and sustained through reflexive and collective learning. These domains are mutually </w:t>
      </w:r>
      <w:proofErr w:type="gramStart"/>
      <w:r>
        <w:rPr>
          <w:sz w:val="24"/>
          <w:szCs w:val="24"/>
        </w:rPr>
        <w:t>shaping:</w:t>
      </w:r>
      <w:proofErr w:type="gramEnd"/>
      <w:r>
        <w:rPr>
          <w:sz w:val="24"/>
          <w:szCs w:val="24"/>
        </w:rPr>
        <w:t xml:space="preserve"> relational work enables strategic insight, strategic action reshapes relationships, embodied judgement mediates timing and interpretation, and ethical judgement conditions which forms of action are legitimate in contexts shaped by uneven distributions of power, resources, and risk. </w:t>
      </w:r>
    </w:p>
    <w:p w14:paraId="4CCF7C34" w14:textId="77777777" w:rsidR="00B744FD" w:rsidRDefault="00000000">
      <w:pPr>
        <w:pStyle w:val="Heading3"/>
        <w:keepNext w:val="0"/>
        <w:keepLines w:val="0"/>
        <w:spacing w:before="280" w:line="360" w:lineRule="auto"/>
        <w:rPr>
          <w:b/>
          <w:bCs/>
          <w:color w:val="000000"/>
          <w:sz w:val="24"/>
          <w:szCs w:val="24"/>
        </w:rPr>
      </w:pPr>
      <w:bookmarkStart w:id="5" w:name="_kxtrvh1il9e8" w:colFirst="0" w:colLast="0"/>
      <w:bookmarkEnd w:id="5"/>
      <w:r>
        <w:rPr>
          <w:b/>
          <w:bCs/>
          <w:color w:val="000000"/>
          <w:sz w:val="24"/>
          <w:szCs w:val="24"/>
        </w:rPr>
        <w:t>2.2 Situating the Organiser Judgement Model</w:t>
      </w:r>
    </w:p>
    <w:p w14:paraId="4EDCB753" w14:textId="77777777" w:rsidR="00B744FD" w:rsidRDefault="00000000">
      <w:pPr>
        <w:spacing w:before="240" w:after="240" w:line="360" w:lineRule="auto"/>
        <w:rPr>
          <w:sz w:val="24"/>
          <w:szCs w:val="24"/>
        </w:rPr>
      </w:pPr>
      <w:r>
        <w:rPr>
          <w:sz w:val="24"/>
          <w:szCs w:val="24"/>
        </w:rPr>
        <w:t xml:space="preserve">The Organiser Judgement Model draws on several established traditions. From </w:t>
      </w:r>
      <w:proofErr w:type="spellStart"/>
      <w:r>
        <w:rPr>
          <w:sz w:val="24"/>
          <w:szCs w:val="24"/>
        </w:rPr>
        <w:t>organising</w:t>
      </w:r>
      <w:proofErr w:type="spellEnd"/>
      <w:r>
        <w:rPr>
          <w:sz w:val="24"/>
          <w:szCs w:val="24"/>
        </w:rPr>
        <w:t xml:space="preserve"> scholarship, it inherits the insistence that change comes from </w:t>
      </w:r>
      <w:proofErr w:type="spellStart"/>
      <w:r>
        <w:rPr>
          <w:sz w:val="24"/>
          <w:szCs w:val="24"/>
        </w:rPr>
        <w:t>organised</w:t>
      </w:r>
      <w:proofErr w:type="spellEnd"/>
      <w:r>
        <w:rPr>
          <w:sz w:val="24"/>
          <w:szCs w:val="24"/>
        </w:rPr>
        <w:t xml:space="preserve"> pressure rather than moral appeal (Alinsky, [1971] 1989), alongside the contemporary emphasis on leadership development and participatory capacity as integral to power-building (Ganz, 2010; Han, 2014; Wills, 2023). It adopts this dual orientation by </w:t>
      </w:r>
      <w:proofErr w:type="spellStart"/>
      <w:r>
        <w:rPr>
          <w:sz w:val="24"/>
          <w:szCs w:val="24"/>
        </w:rPr>
        <w:t>conceptualising</w:t>
      </w:r>
      <w:proofErr w:type="spellEnd"/>
      <w:r>
        <w:rPr>
          <w:sz w:val="24"/>
          <w:szCs w:val="24"/>
        </w:rPr>
        <w:t xml:space="preserve"> power not only as pressure exerted outwards on decision-makers but as capacity cultivated inwards through relationships, shared responsibility, and leader ownership. From the literature on tacit and practical knowledge, it inherits Polanyi's (1966) account of tacit knowledge, and Flyvbjerg's (2001) insistence that practical wisdom cannot be separated from questions of power, consequence, and responsibility. From feminist and practice-based epistemology, it inherits the proposition that knowledge is situated and that professional competence is sustained within communities of practice rather than held by individuals (Haraway, [1988] 2013; Wenger, 1999).</w:t>
      </w:r>
    </w:p>
    <w:p w14:paraId="0471BC3B" w14:textId="77777777" w:rsidR="00B744FD" w:rsidRDefault="00000000">
      <w:pPr>
        <w:spacing w:before="240" w:after="240" w:line="360" w:lineRule="auto"/>
        <w:rPr>
          <w:sz w:val="24"/>
          <w:szCs w:val="24"/>
        </w:rPr>
      </w:pPr>
      <w:r>
        <w:rPr>
          <w:sz w:val="24"/>
          <w:szCs w:val="24"/>
        </w:rPr>
        <w:t xml:space="preserve">Ganz's five leadership practices: narrative, relationships, structure, strategy, action (Ganz, 2010, 2024), are the most developed multi-domain framework in the field, and </w:t>
      </w:r>
      <w:r>
        <w:rPr>
          <w:sz w:val="24"/>
          <w:szCs w:val="24"/>
        </w:rPr>
        <w:lastRenderedPageBreak/>
        <w:t xml:space="preserve">the model shares their foundational premise that </w:t>
      </w:r>
      <w:proofErr w:type="spellStart"/>
      <w:r>
        <w:rPr>
          <w:sz w:val="24"/>
          <w:szCs w:val="24"/>
        </w:rPr>
        <w:t>organising</w:t>
      </w:r>
      <w:proofErr w:type="spellEnd"/>
      <w:r>
        <w:rPr>
          <w:sz w:val="24"/>
          <w:szCs w:val="24"/>
        </w:rPr>
        <w:t xml:space="preserve"> is irreducibly plural and must hold its several dimensions together. Where it refines Ganz is in purpose and granularity: the five practices operate as a pedagogy of </w:t>
      </w:r>
      <w:proofErr w:type="spellStart"/>
      <w:r>
        <w:rPr>
          <w:sz w:val="24"/>
          <w:szCs w:val="24"/>
        </w:rPr>
        <w:t>organising</w:t>
      </w:r>
      <w:proofErr w:type="spellEnd"/>
      <w:r>
        <w:rPr>
          <w:sz w:val="24"/>
          <w:szCs w:val="24"/>
        </w:rPr>
        <w:t xml:space="preserve"> activities, whereas the model offers a diagnostic of organiser judgement, and where Ganz folds much of the affective and moral weight of the work into narrative, the model treats the ethical and embodied as cross-cutting domains that condition relational, strategic and public action alike. </w:t>
      </w:r>
    </w:p>
    <w:p w14:paraId="1A4EC514" w14:textId="77777777" w:rsidR="00B744FD" w:rsidRDefault="00000000">
      <w:pPr>
        <w:spacing w:before="240" w:after="240" w:line="360" w:lineRule="auto"/>
        <w:rPr>
          <w:sz w:val="24"/>
          <w:szCs w:val="24"/>
        </w:rPr>
      </w:pPr>
      <w:r>
        <w:rPr>
          <w:sz w:val="24"/>
          <w:szCs w:val="24"/>
        </w:rPr>
        <w:t xml:space="preserve">Tattersall &amp; Stears' (2025) Relational Method foregrounds relationality, power and uncertainty in ways structurally adjacent to the model, and its insistence that knowledge is co-produced through relationship is one the model fully endorses and carries into its account of collective learning; the two diverge in object rather than orientation, since the Relational Method is developed to reshape university inquiry while the model is developed for the practice of building durable political power against institutional resistance. </w:t>
      </w:r>
    </w:p>
    <w:p w14:paraId="5AEB5918" w14:textId="77777777" w:rsidR="00B744FD" w:rsidRDefault="00000000">
      <w:pPr>
        <w:spacing w:before="240" w:after="240" w:line="360" w:lineRule="auto"/>
        <w:rPr>
          <w:sz w:val="24"/>
          <w:szCs w:val="24"/>
        </w:rPr>
      </w:pPr>
      <w:r>
        <w:rPr>
          <w:sz w:val="24"/>
          <w:szCs w:val="24"/>
        </w:rPr>
        <w:t xml:space="preserve">Bretherton's (2014) ethnography of London Citizens is the most sustained scholarly engagement with the tradition in which I </w:t>
      </w:r>
      <w:proofErr w:type="spellStart"/>
      <w:r>
        <w:rPr>
          <w:sz w:val="24"/>
          <w:szCs w:val="24"/>
        </w:rPr>
        <w:t>organise</w:t>
      </w:r>
      <w:proofErr w:type="spellEnd"/>
      <w:r>
        <w:rPr>
          <w:sz w:val="24"/>
          <w:szCs w:val="24"/>
        </w:rPr>
        <w:t xml:space="preserve"> in the UK. Its treatment of </w:t>
      </w:r>
      <w:proofErr w:type="spellStart"/>
      <w:r>
        <w:rPr>
          <w:sz w:val="24"/>
          <w:szCs w:val="24"/>
        </w:rPr>
        <w:t>organising</w:t>
      </w:r>
      <w:proofErr w:type="spellEnd"/>
      <w:r>
        <w:rPr>
          <w:sz w:val="24"/>
          <w:szCs w:val="24"/>
        </w:rPr>
        <w:t xml:space="preserve"> as Aristotelian practical reasoning is the closest existing account of the ethical–strategic entanglement the model seeks to specify. The model's refusal to separate leverage from responsibility for its consequences is closely aligned to it, and what the model adds is operational rather than corrective, rendering </w:t>
      </w:r>
      <w:proofErr w:type="spellStart"/>
      <w:r>
        <w:rPr>
          <w:sz w:val="24"/>
          <w:szCs w:val="24"/>
        </w:rPr>
        <w:t>analysable</w:t>
      </w:r>
      <w:proofErr w:type="spellEnd"/>
      <w:r>
        <w:rPr>
          <w:sz w:val="24"/>
          <w:szCs w:val="24"/>
        </w:rPr>
        <w:t xml:space="preserve">, as a set of interacting domains, what Bretherton illuminates as a tradition. </w:t>
      </w:r>
    </w:p>
    <w:p w14:paraId="11C5DCD7" w14:textId="77777777" w:rsidR="00B744FD" w:rsidRDefault="00000000">
      <w:pPr>
        <w:spacing w:before="240" w:after="240" w:line="360" w:lineRule="auto"/>
        <w:rPr>
          <w:sz w:val="24"/>
          <w:szCs w:val="24"/>
        </w:rPr>
      </w:pPr>
      <w:r>
        <w:rPr>
          <w:sz w:val="24"/>
          <w:szCs w:val="24"/>
        </w:rPr>
        <w:t xml:space="preserve">Flyvbjerg's (2001) </w:t>
      </w:r>
      <w:proofErr w:type="spellStart"/>
      <w:r>
        <w:rPr>
          <w:sz w:val="24"/>
          <w:szCs w:val="24"/>
        </w:rPr>
        <w:t>phronetic</w:t>
      </w:r>
      <w:proofErr w:type="spellEnd"/>
      <w:r>
        <w:rPr>
          <w:sz w:val="24"/>
          <w:szCs w:val="24"/>
        </w:rPr>
        <w:t xml:space="preserve"> framework comes closest in analytical structure. In reviving Aristotle's distinction between episteme, techne and phronesis and privileging the last, Flyvbjerg supplies the closest analogue to the model's foundational premise that organiser judgement cannot be reduced to a set of techniques; and in integrating an explicit analysis of power into phronesis, departing from a purely Aristotelian reading, he anticipates the model's insistence that such judgement is inseparable from questions of power and consequence. Where Flyvbjerg leaves phronesis as a single, if power-inflected, capacity, the model specifies its internal structure for the </w:t>
      </w:r>
      <w:proofErr w:type="spellStart"/>
      <w:r>
        <w:rPr>
          <w:sz w:val="24"/>
          <w:szCs w:val="24"/>
        </w:rPr>
        <w:t>organising</w:t>
      </w:r>
      <w:proofErr w:type="spellEnd"/>
      <w:r>
        <w:rPr>
          <w:sz w:val="24"/>
          <w:szCs w:val="24"/>
        </w:rPr>
        <w:t xml:space="preserve"> field, </w:t>
      </w:r>
      <w:r>
        <w:rPr>
          <w:sz w:val="24"/>
          <w:szCs w:val="24"/>
        </w:rPr>
        <w:lastRenderedPageBreak/>
        <w:t>disaggregating practical wisdom into four interacting domains so that it becomes not only nameable but diagnosable.</w:t>
      </w:r>
    </w:p>
    <w:p w14:paraId="6EB5E5E4" w14:textId="77777777" w:rsidR="00B744FD" w:rsidRDefault="00000000">
      <w:pPr>
        <w:spacing w:before="240" w:after="240" w:line="360" w:lineRule="auto"/>
        <w:rPr>
          <w:sz w:val="24"/>
          <w:szCs w:val="24"/>
        </w:rPr>
      </w:pPr>
      <w:r>
        <w:rPr>
          <w:sz w:val="24"/>
          <w:szCs w:val="24"/>
        </w:rPr>
        <w:t xml:space="preserve">Schön ([1983] 2017) offers reflection-in-action. The recognition that competent practitioners know more than they can say and adjust </w:t>
      </w:r>
      <w:proofErr w:type="gramStart"/>
      <w:r>
        <w:rPr>
          <w:sz w:val="24"/>
          <w:szCs w:val="24"/>
        </w:rPr>
        <w:t>in the midst of</w:t>
      </w:r>
      <w:proofErr w:type="gramEnd"/>
      <w:r>
        <w:rPr>
          <w:sz w:val="24"/>
          <w:szCs w:val="24"/>
        </w:rPr>
        <w:t xml:space="preserve"> action is precisely what embodied judgement names. Schön's account </w:t>
      </w:r>
      <w:proofErr w:type="spellStart"/>
      <w:r>
        <w:rPr>
          <w:sz w:val="24"/>
          <w:szCs w:val="24"/>
        </w:rPr>
        <w:t>centres</w:t>
      </w:r>
      <w:proofErr w:type="spellEnd"/>
      <w:r>
        <w:rPr>
          <w:sz w:val="24"/>
          <w:szCs w:val="24"/>
        </w:rPr>
        <w:t xml:space="preserve"> on the practitioner's own knowing, and outcomes register chiefly as feedback for the practitioner's learning, whereas in </w:t>
      </w:r>
      <w:proofErr w:type="spellStart"/>
      <w:r>
        <w:rPr>
          <w:sz w:val="24"/>
          <w:szCs w:val="24"/>
        </w:rPr>
        <w:t>organising</w:t>
      </w:r>
      <w:proofErr w:type="spellEnd"/>
      <w:r>
        <w:rPr>
          <w:sz w:val="24"/>
          <w:szCs w:val="24"/>
        </w:rPr>
        <w:t xml:space="preserve"> those outcomes can be borne asymmetrically by vulnerable others, which is why the model couples embodied to ethical judgement. </w:t>
      </w:r>
    </w:p>
    <w:p w14:paraId="53414819" w14:textId="77777777" w:rsidR="00B744FD" w:rsidRDefault="00000000">
      <w:pPr>
        <w:spacing w:before="240" w:after="240" w:line="360" w:lineRule="auto"/>
        <w:rPr>
          <w:sz w:val="24"/>
          <w:szCs w:val="24"/>
        </w:rPr>
      </w:pPr>
      <w:r>
        <w:rPr>
          <w:sz w:val="24"/>
          <w:szCs w:val="24"/>
        </w:rPr>
        <w:t xml:space="preserve">Banks et al. (2016) develop precisely the integration of ethical judgement and situated practice the model pursues, and the model adopts their account of everyday, moment-to-moment ethics in precarious settings </w:t>
      </w:r>
      <w:proofErr w:type="gramStart"/>
      <w:r>
        <w:rPr>
          <w:sz w:val="24"/>
          <w:szCs w:val="24"/>
        </w:rPr>
        <w:t>more or less directly</w:t>
      </w:r>
      <w:proofErr w:type="gramEnd"/>
      <w:r>
        <w:rPr>
          <w:sz w:val="24"/>
          <w:szCs w:val="24"/>
        </w:rPr>
        <w:t xml:space="preserve"> into its ethical domain. Banks et al. work within participatory research ethics where the practitioner is the researcher, whereas in </w:t>
      </w:r>
      <w:proofErr w:type="spellStart"/>
      <w:r>
        <w:rPr>
          <w:sz w:val="24"/>
          <w:szCs w:val="24"/>
        </w:rPr>
        <w:t>organising</w:t>
      </w:r>
      <w:proofErr w:type="spellEnd"/>
      <w:r>
        <w:rPr>
          <w:sz w:val="24"/>
          <w:szCs w:val="24"/>
        </w:rPr>
        <w:t xml:space="preserve"> the practitioner is also the strategist; therefore, decisions about the distribution of risk become inseparable from decisions about leverage, an entanglement the model is built to hold. </w:t>
      </w:r>
    </w:p>
    <w:p w14:paraId="0A77D30F" w14:textId="77777777" w:rsidR="00B744FD" w:rsidRDefault="00000000">
      <w:pPr>
        <w:spacing w:before="240" w:after="240" w:line="360" w:lineRule="auto"/>
        <w:rPr>
          <w:sz w:val="24"/>
          <w:szCs w:val="24"/>
        </w:rPr>
      </w:pPr>
      <w:r>
        <w:rPr>
          <w:sz w:val="24"/>
          <w:szCs w:val="24"/>
        </w:rPr>
        <w:t xml:space="preserve">What none of the accounts reviewed here does, and what the Organiser Judgement Model claims, is to hold relational, strategic, embodied and ethical judgement together as co-constitutive domains under conditions where the consequences of action are asymmetrically distributed across participants. The model refuses the sequencing or </w:t>
      </w:r>
      <w:proofErr w:type="spellStart"/>
      <w:r>
        <w:rPr>
          <w:sz w:val="24"/>
          <w:szCs w:val="24"/>
        </w:rPr>
        <w:t>hierarchising</w:t>
      </w:r>
      <w:proofErr w:type="spellEnd"/>
      <w:r>
        <w:rPr>
          <w:sz w:val="24"/>
          <w:szCs w:val="24"/>
        </w:rPr>
        <w:t xml:space="preserve"> of these domains. </w:t>
      </w:r>
      <w:proofErr w:type="spellStart"/>
      <w:r>
        <w:rPr>
          <w:sz w:val="24"/>
          <w:szCs w:val="24"/>
        </w:rPr>
        <w:t>Organising</w:t>
      </w:r>
      <w:proofErr w:type="spellEnd"/>
      <w:r>
        <w:rPr>
          <w:sz w:val="24"/>
          <w:szCs w:val="24"/>
        </w:rPr>
        <w:t xml:space="preserve"> scholarship has tended to subordinate the ethical to the strategic (Alinsky, [1971] 1989), while professional learning theory has tended to subordinate power to learning (Kolb, 2014; Argyris &amp; Schön, 1996). The Organiser Judgement Model refuses both moves, neither ranking ethical judgement beneath strategic judgement nor subsuming the building of power under </w:t>
      </w:r>
      <w:proofErr w:type="gramStart"/>
      <w:r>
        <w:rPr>
          <w:sz w:val="24"/>
          <w:szCs w:val="24"/>
        </w:rPr>
        <w:t>learning, but</w:t>
      </w:r>
      <w:proofErr w:type="gramEnd"/>
      <w:r>
        <w:rPr>
          <w:sz w:val="24"/>
          <w:szCs w:val="24"/>
        </w:rPr>
        <w:t xml:space="preserve"> holding its four domains as co-constitutive and inseparable from the reflexive and collective learning that sustains them. </w:t>
      </w:r>
    </w:p>
    <w:p w14:paraId="6843BF0D" w14:textId="77777777" w:rsidR="00067105" w:rsidRDefault="00067105">
      <w:pPr>
        <w:spacing w:before="240" w:after="240" w:line="360" w:lineRule="auto"/>
        <w:rPr>
          <w:sz w:val="24"/>
          <w:szCs w:val="24"/>
        </w:rPr>
      </w:pPr>
    </w:p>
    <w:p w14:paraId="0523ABCC" w14:textId="77777777" w:rsidR="00067105" w:rsidRDefault="00067105">
      <w:pPr>
        <w:spacing w:before="240" w:after="240" w:line="360" w:lineRule="auto"/>
        <w:rPr>
          <w:sz w:val="24"/>
          <w:szCs w:val="24"/>
        </w:rPr>
      </w:pPr>
    </w:p>
    <w:p w14:paraId="31E8901C" w14:textId="77777777" w:rsidR="00B744FD" w:rsidRDefault="00000000">
      <w:pPr>
        <w:spacing w:before="240" w:after="240" w:line="360" w:lineRule="auto"/>
        <w:rPr>
          <w:b/>
          <w:bCs/>
          <w:sz w:val="24"/>
          <w:szCs w:val="24"/>
        </w:rPr>
      </w:pPr>
      <w:r>
        <w:rPr>
          <w:b/>
          <w:bCs/>
          <w:sz w:val="24"/>
          <w:szCs w:val="24"/>
        </w:rPr>
        <w:lastRenderedPageBreak/>
        <w:t>2.3 Implications for Practice</w:t>
      </w:r>
    </w:p>
    <w:p w14:paraId="41ED5BB6" w14:textId="77777777" w:rsidR="00B744FD" w:rsidRDefault="00000000">
      <w:pPr>
        <w:spacing w:before="240" w:after="240" w:line="360" w:lineRule="auto"/>
        <w:rPr>
          <w:sz w:val="24"/>
          <w:szCs w:val="24"/>
        </w:rPr>
      </w:pPr>
      <w:r>
        <w:rPr>
          <w:sz w:val="24"/>
          <w:szCs w:val="24"/>
        </w:rPr>
        <w:t xml:space="preserve">Descriptively, the model offers an analysis of how organiser judgement operates; diagnostically, it allows practitioners to locate where relational, strategic, embodied, or ethical capacity is underdeveloped within an alliance. Its diagnostic value lies in the expectation that weakness in any one domain tends to leave a </w:t>
      </w:r>
      <w:proofErr w:type="spellStart"/>
      <w:r>
        <w:rPr>
          <w:sz w:val="24"/>
          <w:szCs w:val="24"/>
        </w:rPr>
        <w:t>recognisable</w:t>
      </w:r>
      <w:proofErr w:type="spellEnd"/>
      <w:r>
        <w:rPr>
          <w:sz w:val="24"/>
          <w:szCs w:val="24"/>
        </w:rPr>
        <w:t xml:space="preserve"> trace: the model leads me to expect that thin relational judgement surfaces as inconsistent participation or responsibility concentrated in too few hands; underdeveloped strategic judgement produces acknowledgement without implementation; fragile ethical judgement risks harm or exclusion; and embodied judgement, relied on without reflexive analysis, may produce missteps in relationship and strategy.</w:t>
      </w:r>
    </w:p>
    <w:p w14:paraId="49E43147" w14:textId="77777777" w:rsidR="00B744FD" w:rsidRDefault="00000000">
      <w:pPr>
        <w:spacing w:before="240" w:after="240" w:line="360" w:lineRule="auto"/>
        <w:rPr>
          <w:sz w:val="24"/>
          <w:szCs w:val="24"/>
        </w:rPr>
      </w:pPr>
      <w:r>
        <w:rPr>
          <w:sz w:val="24"/>
          <w:szCs w:val="24"/>
        </w:rPr>
        <w:t xml:space="preserve">The transport safety campaign described in Section 1.3 shows the four domains interacting in practice. The Relational domain, built through sustained listening across schools and colleges, was what allowed young people to name their experiences of harassment and intimidation collectively rather than as isolated incidents. Strategic judgement then read institutional acknowledgement as insufficient, moving the campaign from private engagement towards a public accountability action. Ethical judgement was exercised in shaping participation, since some young people faced heightened vulnerability connected to racism, gendered harassment, or immigration precarity. Embodied judgement, meanwhile, operated throughout the negotiation itself, registering when decision-makers were becoming defensive, when young leaders were ready to press further, and when escalation was needed to keep the exchange constructive. None of these operated in isolation; organiser competence lay in their interaction, sustained under conditions of uncertainty. Furthermore, the Hove Park campaign, described in Section 1.4, illustrates the model's diagnostic function. Relational depth thinned as participation declined, and the follow-through needed to ensure implementation also fell away. Here, the model highlights the breakdown of relational power to hold decision-makers accountable, directing me to focus my attention and learning on the relational domain. </w:t>
      </w:r>
    </w:p>
    <w:p w14:paraId="52435AAA" w14:textId="77777777" w:rsidR="00B744FD" w:rsidRDefault="00000000">
      <w:pPr>
        <w:spacing w:before="240" w:after="240" w:line="360" w:lineRule="auto"/>
        <w:rPr>
          <w:sz w:val="24"/>
          <w:szCs w:val="24"/>
        </w:rPr>
      </w:pPr>
      <w:r>
        <w:rPr>
          <w:sz w:val="24"/>
          <w:szCs w:val="24"/>
        </w:rPr>
        <w:lastRenderedPageBreak/>
        <w:t>The model has given me useful framing for locating where my knowledge is thin, and I have drawn on it in supervision, post-action evaluation, and leadership development; it also supplies the analytical structure for the developmental priorities set out in Section 3.</w:t>
      </w:r>
    </w:p>
    <w:p w14:paraId="7CFA1ED8" w14:textId="77777777" w:rsidR="00B744FD" w:rsidRDefault="00000000">
      <w:pPr>
        <w:spacing w:before="240" w:after="240" w:line="360" w:lineRule="auto"/>
        <w:rPr>
          <w:b/>
          <w:bCs/>
          <w:sz w:val="24"/>
          <w:szCs w:val="24"/>
        </w:rPr>
      </w:pPr>
      <w:r>
        <w:rPr>
          <w:b/>
          <w:bCs/>
          <w:sz w:val="24"/>
          <w:szCs w:val="24"/>
        </w:rPr>
        <w:t>2.4 Critical Appraisal and Limitations</w:t>
      </w:r>
    </w:p>
    <w:p w14:paraId="227E44AC" w14:textId="77777777" w:rsidR="00B744FD" w:rsidRDefault="00000000">
      <w:pPr>
        <w:spacing w:before="240" w:after="240" w:line="360" w:lineRule="auto"/>
        <w:rPr>
          <w:sz w:val="24"/>
          <w:szCs w:val="24"/>
        </w:rPr>
      </w:pPr>
      <w:r>
        <w:rPr>
          <w:sz w:val="24"/>
          <w:szCs w:val="24"/>
        </w:rPr>
        <w:t xml:space="preserve">The Organiser Judgement Model is a heuristic rather than a predictive theory: its purpose is to render visible forms of judgement that </w:t>
      </w:r>
      <w:proofErr w:type="spellStart"/>
      <w:r>
        <w:rPr>
          <w:sz w:val="24"/>
          <w:szCs w:val="24"/>
        </w:rPr>
        <w:t>organising</w:t>
      </w:r>
      <w:proofErr w:type="spellEnd"/>
      <w:r>
        <w:rPr>
          <w:sz w:val="24"/>
          <w:szCs w:val="24"/>
        </w:rPr>
        <w:t xml:space="preserve"> exercises tacitly. That purpose carries limitations warranting scrutiny.</w:t>
      </w:r>
    </w:p>
    <w:p w14:paraId="611D4C3B" w14:textId="77777777" w:rsidR="00B744FD" w:rsidRDefault="00000000">
      <w:pPr>
        <w:spacing w:before="240" w:after="240" w:line="360" w:lineRule="auto"/>
        <w:rPr>
          <w:sz w:val="24"/>
          <w:szCs w:val="24"/>
        </w:rPr>
      </w:pPr>
      <w:r>
        <w:rPr>
          <w:sz w:val="24"/>
          <w:szCs w:val="24"/>
        </w:rPr>
        <w:t xml:space="preserve">The model emerges inductively from my own practice within the broad-based tradition associated with </w:t>
      </w:r>
      <w:proofErr w:type="gramStart"/>
      <w:r>
        <w:rPr>
          <w:sz w:val="24"/>
          <w:szCs w:val="24"/>
        </w:rPr>
        <w:t>Citizens UK, and</w:t>
      </w:r>
      <w:proofErr w:type="gramEnd"/>
      <w:r>
        <w:rPr>
          <w:sz w:val="24"/>
          <w:szCs w:val="24"/>
        </w:rPr>
        <w:t xml:space="preserve"> may reveal as much about that tradition as about organiser judgement in general. Other traditions might foreground different domains: work on prefigurative politics treats the internal life of a movement, where means must embody ends, as the principal site of judgement (</w:t>
      </w:r>
      <w:proofErr w:type="spellStart"/>
      <w:r>
        <w:rPr>
          <w:sz w:val="24"/>
          <w:szCs w:val="24"/>
        </w:rPr>
        <w:t>Maeckelbergh</w:t>
      </w:r>
      <w:proofErr w:type="spellEnd"/>
      <w:r>
        <w:rPr>
          <w:sz w:val="24"/>
          <w:szCs w:val="24"/>
        </w:rPr>
        <w:t xml:space="preserve">, 2011; Yates, 2015), while accounts of mutual aid </w:t>
      </w:r>
      <w:proofErr w:type="spellStart"/>
      <w:r>
        <w:rPr>
          <w:sz w:val="24"/>
          <w:szCs w:val="24"/>
        </w:rPr>
        <w:t>centre</w:t>
      </w:r>
      <w:proofErr w:type="spellEnd"/>
      <w:r>
        <w:rPr>
          <w:sz w:val="24"/>
          <w:szCs w:val="24"/>
        </w:rPr>
        <w:t xml:space="preserve"> collective care rather than leverage over decision-makers (Spade, 2020). Traditions of this kind might treat prefiguration, collective care, or ideological formation as primary </w:t>
      </w:r>
      <w:proofErr w:type="gramStart"/>
      <w:r>
        <w:rPr>
          <w:sz w:val="24"/>
          <w:szCs w:val="24"/>
        </w:rPr>
        <w:t>domains in their own right, and</w:t>
      </w:r>
      <w:proofErr w:type="gramEnd"/>
      <w:r>
        <w:rPr>
          <w:sz w:val="24"/>
          <w:szCs w:val="24"/>
        </w:rPr>
        <w:t xml:space="preserve"> the model therefore risks </w:t>
      </w:r>
      <w:proofErr w:type="spellStart"/>
      <w:r>
        <w:rPr>
          <w:sz w:val="24"/>
          <w:szCs w:val="24"/>
        </w:rPr>
        <w:t>universalising</w:t>
      </w:r>
      <w:proofErr w:type="spellEnd"/>
      <w:r>
        <w:rPr>
          <w:sz w:val="24"/>
          <w:szCs w:val="24"/>
        </w:rPr>
        <w:t xml:space="preserve"> categories contingent on a specific political and </w:t>
      </w:r>
      <w:proofErr w:type="spellStart"/>
      <w:r>
        <w:rPr>
          <w:sz w:val="24"/>
          <w:szCs w:val="24"/>
        </w:rPr>
        <w:t>organisational</w:t>
      </w:r>
      <w:proofErr w:type="spellEnd"/>
      <w:r>
        <w:rPr>
          <w:sz w:val="24"/>
          <w:szCs w:val="24"/>
        </w:rPr>
        <w:t xml:space="preserve"> context. It is therefore important to be clear on the specific broad-based </w:t>
      </w:r>
      <w:proofErr w:type="spellStart"/>
      <w:r>
        <w:rPr>
          <w:sz w:val="24"/>
          <w:szCs w:val="24"/>
        </w:rPr>
        <w:t>organising</w:t>
      </w:r>
      <w:proofErr w:type="spellEnd"/>
      <w:r>
        <w:rPr>
          <w:sz w:val="24"/>
          <w:szCs w:val="24"/>
        </w:rPr>
        <w:t xml:space="preserve"> tradition this model is designed to support.</w:t>
      </w:r>
    </w:p>
    <w:p w14:paraId="3C0253CB" w14:textId="77777777" w:rsidR="00B744FD" w:rsidRDefault="00000000">
      <w:pPr>
        <w:spacing w:before="240" w:after="240" w:line="360" w:lineRule="auto"/>
        <w:rPr>
          <w:sz w:val="24"/>
          <w:szCs w:val="24"/>
        </w:rPr>
      </w:pPr>
      <w:r>
        <w:rPr>
          <w:sz w:val="24"/>
          <w:szCs w:val="24"/>
        </w:rPr>
        <w:t>A further objection is that the four domains, though presented separately, are not separable in practice: trust-building is never ethically neutral, ethical decisions are mediated through relationships, and embodied judgement may be less a discrete domain than the mode through which aspects of the others are enacted. This describes the model rather than undermining it. The domains are distinguished analytically, not because they name separable activities; as set out in 2.1, the model treats them as mutually shaping and co-constitutive, and its diagnostic value rests on that interaction rather than on clean boundaries. The separation is a device for noticing where capacity is thin, and what it demands is vigilance against mistaking the analytical map for the practice it describes.</w:t>
      </w:r>
    </w:p>
    <w:p w14:paraId="40555CDA" w14:textId="77777777" w:rsidR="00B744FD" w:rsidRDefault="00000000">
      <w:pPr>
        <w:spacing w:before="240" w:after="240" w:line="360" w:lineRule="auto"/>
        <w:rPr>
          <w:sz w:val="24"/>
          <w:szCs w:val="24"/>
        </w:rPr>
      </w:pPr>
      <w:r>
        <w:rPr>
          <w:sz w:val="24"/>
          <w:szCs w:val="24"/>
        </w:rPr>
        <w:lastRenderedPageBreak/>
        <w:t xml:space="preserve">More fundamentally, the framework privileges judgement as a property of practice and may understate how far judgement is itself structured. </w:t>
      </w:r>
      <w:proofErr w:type="gramStart"/>
      <w:r>
        <w:rPr>
          <w:sz w:val="24"/>
          <w:szCs w:val="24"/>
        </w:rPr>
        <w:t>Bourdieu's ([</w:t>
      </w:r>
      <w:proofErr w:type="gramEnd"/>
      <w:r>
        <w:rPr>
          <w:sz w:val="24"/>
          <w:szCs w:val="24"/>
        </w:rPr>
        <w:t>1980] 1990) habitus suggests that what I experience as practical wisdom may partly reproduce historically sedimented dispositions; the model acknowledges this through reflexive learning but may overstate how far reflection can overcome the conditions that shape perception, leaving the danger that effective judgement merely reproduces existing power relations in subtler form. The same emphasis risks privileging agency over structure, since organisers act within political economies, legal frameworks, and social hierarchies that constrain outcomes regardless of the judgement exercised.</w:t>
      </w:r>
    </w:p>
    <w:p w14:paraId="25D7E353" w14:textId="77777777" w:rsidR="00B744FD" w:rsidRDefault="00000000">
      <w:pPr>
        <w:spacing w:before="240" w:after="240" w:line="360" w:lineRule="auto"/>
        <w:rPr>
          <w:sz w:val="24"/>
          <w:szCs w:val="24"/>
        </w:rPr>
      </w:pPr>
      <w:r>
        <w:rPr>
          <w:sz w:val="24"/>
          <w:szCs w:val="24"/>
        </w:rPr>
        <w:t>The model also faces a validation problem: the cases that generated it are the same through which it is interpreted. While the model has been useful as a tool for personal professional reflection, establishing the model's broader utility would require testing across my future campaigns, other alliances, organisers, and political settings, which might disclose further domains or redraw the boundaries between existing ones.</w:t>
      </w:r>
    </w:p>
    <w:p w14:paraId="6638AF9B" w14:textId="77777777" w:rsidR="00B744FD" w:rsidRDefault="00000000">
      <w:pPr>
        <w:spacing w:before="240" w:after="240" w:line="360" w:lineRule="auto"/>
        <w:rPr>
          <w:sz w:val="24"/>
          <w:szCs w:val="24"/>
        </w:rPr>
      </w:pPr>
      <w:r>
        <w:rPr>
          <w:sz w:val="24"/>
          <w:szCs w:val="24"/>
        </w:rPr>
        <w:t>The Organiser Judgement Model therefore offers not a definitive account of organiser competence but a provisional tool through which that competence can be examined and revised, and its usefulness will depend on remaining open to the reflexive and collective learning it seeks to describe.</w:t>
      </w:r>
    </w:p>
    <w:p w14:paraId="27B5BFF3" w14:textId="77777777" w:rsidR="00B744FD" w:rsidRDefault="00000000">
      <w:pPr>
        <w:pStyle w:val="Heading1"/>
        <w:keepNext w:val="0"/>
        <w:keepLines w:val="0"/>
        <w:spacing w:before="480" w:line="360" w:lineRule="auto"/>
        <w:rPr>
          <w:b/>
          <w:bCs/>
          <w:sz w:val="24"/>
          <w:szCs w:val="24"/>
        </w:rPr>
      </w:pPr>
      <w:bookmarkStart w:id="6" w:name="_cv16xfriexf0" w:colFirst="0" w:colLast="0"/>
      <w:bookmarkEnd w:id="6"/>
      <w:r>
        <w:rPr>
          <w:b/>
          <w:bCs/>
          <w:sz w:val="24"/>
          <w:szCs w:val="24"/>
        </w:rPr>
        <w:t>Section 3: Strategic Learning and Development Plan</w:t>
      </w:r>
    </w:p>
    <w:p w14:paraId="0291A3AC" w14:textId="77777777" w:rsidR="00B744FD" w:rsidRDefault="00000000">
      <w:pPr>
        <w:pStyle w:val="Heading3"/>
        <w:keepNext w:val="0"/>
        <w:keepLines w:val="0"/>
        <w:spacing w:before="280" w:line="360" w:lineRule="auto"/>
        <w:rPr>
          <w:b/>
          <w:bCs/>
          <w:color w:val="000000"/>
          <w:sz w:val="24"/>
          <w:szCs w:val="24"/>
        </w:rPr>
      </w:pPr>
      <w:bookmarkStart w:id="7" w:name="_m007p0ihymqv" w:colFirst="0" w:colLast="0"/>
      <w:bookmarkEnd w:id="7"/>
      <w:r>
        <w:rPr>
          <w:b/>
          <w:bCs/>
          <w:color w:val="000000"/>
          <w:sz w:val="24"/>
          <w:szCs w:val="24"/>
        </w:rPr>
        <w:t>3.1 Priorities and Context</w:t>
      </w:r>
    </w:p>
    <w:p w14:paraId="2840C185" w14:textId="77777777" w:rsidR="00B744FD" w:rsidRDefault="00000000">
      <w:pPr>
        <w:spacing w:before="240" w:after="240" w:line="360" w:lineRule="auto"/>
        <w:rPr>
          <w:sz w:val="24"/>
          <w:szCs w:val="24"/>
        </w:rPr>
      </w:pPr>
      <w:r>
        <w:rPr>
          <w:sz w:val="24"/>
          <w:szCs w:val="24"/>
        </w:rPr>
        <w:t xml:space="preserve">As the Brighton &amp; Hove Citizens Alliance has matured, my role has shifted from launching campaigns and establishing core practices towards consolidating long-term power and leader ownership. The four domains identified in Sections 1 and 2, relational, strategic, embodied and ethical, provide the analytical structure for what comes next, and the formative experiences discussed in Section 1 supply their substantive content. The Hove Park experience demonstrated that securing commitments without sustained </w:t>
      </w:r>
      <w:proofErr w:type="spellStart"/>
      <w:r>
        <w:rPr>
          <w:sz w:val="24"/>
          <w:szCs w:val="24"/>
        </w:rPr>
        <w:t>organised</w:t>
      </w:r>
      <w:proofErr w:type="spellEnd"/>
      <w:r>
        <w:rPr>
          <w:sz w:val="24"/>
          <w:szCs w:val="24"/>
        </w:rPr>
        <w:t xml:space="preserve"> pressure fails to produce substantive change; this shapes my emphasis on building durable power and leader ownership rather than chasing episodic visibility. The </w:t>
      </w:r>
      <w:r>
        <w:rPr>
          <w:sz w:val="24"/>
          <w:szCs w:val="24"/>
        </w:rPr>
        <w:lastRenderedPageBreak/>
        <w:t xml:space="preserve">Living Wage campaign showed that praxis only translates into change when it identifies and tests genuine leverage points; this informs the priority placed on systematic power analysis. The transport safety campaign revealed that what shifts institutional behaviour is not aggregated testimony but the </w:t>
      </w:r>
      <w:proofErr w:type="spellStart"/>
      <w:r>
        <w:rPr>
          <w:sz w:val="24"/>
          <w:szCs w:val="24"/>
        </w:rPr>
        <w:t>organised</w:t>
      </w:r>
      <w:proofErr w:type="spellEnd"/>
      <w:r>
        <w:rPr>
          <w:sz w:val="24"/>
          <w:szCs w:val="24"/>
        </w:rPr>
        <w:t xml:space="preserve"> presence of affected communities in accountable spaces; this shapes the focus on leadership development capable of sustaining such presence over time. Recruitment work and </w:t>
      </w:r>
      <w:proofErr w:type="spellStart"/>
      <w:r>
        <w:rPr>
          <w:sz w:val="24"/>
          <w:szCs w:val="24"/>
        </w:rPr>
        <w:t>organising</w:t>
      </w:r>
      <w:proofErr w:type="spellEnd"/>
      <w:r>
        <w:rPr>
          <w:sz w:val="24"/>
          <w:szCs w:val="24"/>
        </w:rPr>
        <w:t xml:space="preserve"> alongside migrant workers illustrated the relational and ethical limits of organiser efficiency, particularly the ways tacit judgement can mask paternalism or epistemic privilege; this shapes the priority placed on reflexive practice and on safeguarding under conditions of vulnerability.</w:t>
      </w:r>
    </w:p>
    <w:p w14:paraId="574CE276" w14:textId="77777777" w:rsidR="00B744FD" w:rsidRDefault="00000000">
      <w:pPr>
        <w:spacing w:before="240" w:after="240" w:line="360" w:lineRule="auto"/>
        <w:rPr>
          <w:sz w:val="24"/>
          <w:szCs w:val="24"/>
        </w:rPr>
      </w:pPr>
      <w:r>
        <w:rPr>
          <w:sz w:val="24"/>
          <w:szCs w:val="24"/>
        </w:rPr>
        <w:t xml:space="preserve">The environment in which these priorities must be pursued </w:t>
      </w:r>
      <w:proofErr w:type="gramStart"/>
      <w:r>
        <w:rPr>
          <w:sz w:val="24"/>
          <w:szCs w:val="24"/>
        </w:rPr>
        <w:t>is itself</w:t>
      </w:r>
      <w:proofErr w:type="gramEnd"/>
      <w:r>
        <w:rPr>
          <w:sz w:val="24"/>
          <w:szCs w:val="24"/>
        </w:rPr>
        <w:t xml:space="preserve"> shifting, and any serious response needs to begin by reading those conditions accurately. Strategic foresight offers a useful frame: in turbulent, uncertain, novel and ambiguous conditions, </w:t>
      </w:r>
      <w:proofErr w:type="spellStart"/>
      <w:r>
        <w:rPr>
          <w:sz w:val="24"/>
          <w:szCs w:val="24"/>
        </w:rPr>
        <w:t>organisations</w:t>
      </w:r>
      <w:proofErr w:type="spellEnd"/>
      <w:r>
        <w:rPr>
          <w:sz w:val="24"/>
          <w:szCs w:val="24"/>
        </w:rPr>
        <w:t xml:space="preserve"> cannot rely on settled assumptions about their operating environment but must identify the drivers actively reshaping it (Ramirez &amp; Wilkinson, 2016). I must consider several such drivers.</w:t>
      </w:r>
    </w:p>
    <w:p w14:paraId="3B989CDD" w14:textId="77777777" w:rsidR="00B744FD" w:rsidRDefault="00000000">
      <w:pPr>
        <w:spacing w:before="240" w:after="240" w:line="360" w:lineRule="auto"/>
        <w:rPr>
          <w:sz w:val="24"/>
          <w:szCs w:val="24"/>
        </w:rPr>
      </w:pPr>
      <w:r>
        <w:rPr>
          <w:sz w:val="24"/>
          <w:szCs w:val="24"/>
        </w:rPr>
        <w:t xml:space="preserve">The first is the deepening fragility of the local authority. A decade of austerity left English local government leaner but functioning; what has followed is more precarious still. Continuing fiscal pressure and inconsistently applied </w:t>
      </w:r>
      <w:proofErr w:type="spellStart"/>
      <w:r>
        <w:rPr>
          <w:sz w:val="24"/>
          <w:szCs w:val="24"/>
        </w:rPr>
        <w:t>reorganisation</w:t>
      </w:r>
      <w:proofErr w:type="spellEnd"/>
      <w:r>
        <w:rPr>
          <w:sz w:val="24"/>
          <w:szCs w:val="24"/>
        </w:rPr>
        <w:t xml:space="preserve"> now strain councils' basic capacity to operate, and earlier accounts of their resilience have become hard to sustain (Arnold &amp; McKenna, 2024). The evidence bears this out: rising section 114 notices, councils increasingly drawing on reserves to meet ongoing costs (Institute for Government, 2025; LGIU, 2025), and spending power still well below its 2010 level in real terms, with funding increasingly absorbed by a few high-need statutory services at the expense of universal provision (Ogden &amp; Phillips, 2024). The Public Accounts Committee (2025) names the underlying dynamic: immediate financial pressure is crowding out investment in prevention, locking councils into a cycle of crisis response. </w:t>
      </w:r>
    </w:p>
    <w:p w14:paraId="68C69583" w14:textId="77777777" w:rsidR="00B744FD" w:rsidRDefault="00000000">
      <w:pPr>
        <w:spacing w:before="240" w:after="240" w:line="360" w:lineRule="auto"/>
        <w:rPr>
          <w:sz w:val="24"/>
          <w:szCs w:val="24"/>
        </w:rPr>
      </w:pPr>
      <w:r>
        <w:rPr>
          <w:sz w:val="24"/>
          <w:szCs w:val="24"/>
        </w:rPr>
        <w:t xml:space="preserve">The second driver is the changing position of civil society within this landscape. Community </w:t>
      </w:r>
      <w:proofErr w:type="spellStart"/>
      <w:r>
        <w:rPr>
          <w:sz w:val="24"/>
          <w:szCs w:val="24"/>
        </w:rPr>
        <w:t>organisations</w:t>
      </w:r>
      <w:proofErr w:type="spellEnd"/>
      <w:r>
        <w:rPr>
          <w:sz w:val="24"/>
          <w:szCs w:val="24"/>
        </w:rPr>
        <w:t xml:space="preserve"> are being asked to do more: </w:t>
      </w:r>
      <w:proofErr w:type="gramStart"/>
      <w:r>
        <w:rPr>
          <w:sz w:val="24"/>
          <w:szCs w:val="24"/>
        </w:rPr>
        <w:t>delivering</w:t>
      </w:r>
      <w:proofErr w:type="gramEnd"/>
      <w:r>
        <w:rPr>
          <w:sz w:val="24"/>
          <w:szCs w:val="24"/>
        </w:rPr>
        <w:t xml:space="preserve"> services, rebuilding </w:t>
      </w:r>
      <w:r>
        <w:rPr>
          <w:sz w:val="24"/>
          <w:szCs w:val="24"/>
        </w:rPr>
        <w:lastRenderedPageBreak/>
        <w:t xml:space="preserve">trust, and holding local cohesion together, yet the support they receive remains short-term and fragmented, with procurement structures and funding cycles that crowd out smaller, place-based actors (Locality, 2025). NCVO's (2024) sector-wide analysis highlights a tough economic climate and declining institutional bandwidth, but also a growing appetite within the sector to shift power into community hands rather than simply absorb demand on the state's behalf. New Local's Community Power: The Evidence (2021) </w:t>
      </w:r>
      <w:proofErr w:type="spellStart"/>
      <w:r>
        <w:rPr>
          <w:sz w:val="24"/>
          <w:szCs w:val="24"/>
        </w:rPr>
        <w:t>synthesises</w:t>
      </w:r>
      <w:proofErr w:type="spellEnd"/>
      <w:r>
        <w:rPr>
          <w:sz w:val="24"/>
          <w:szCs w:val="24"/>
        </w:rPr>
        <w:t xml:space="preserve"> a wide body of practice showing that community-anchored approaches can strengthen participation, cohesion, and prevention, but only where civic infrastructure is sustained over time rather than rebuilt episodically with each new funding round. </w:t>
      </w:r>
    </w:p>
    <w:p w14:paraId="2562AA84" w14:textId="77777777" w:rsidR="00B744FD" w:rsidRDefault="00000000">
      <w:pPr>
        <w:spacing w:before="240" w:after="240" w:line="360" w:lineRule="auto"/>
        <w:rPr>
          <w:sz w:val="24"/>
          <w:szCs w:val="24"/>
        </w:rPr>
      </w:pPr>
      <w:r>
        <w:rPr>
          <w:sz w:val="24"/>
          <w:szCs w:val="24"/>
        </w:rPr>
        <w:t xml:space="preserve">A third driver sits above all of this. Democratic backsliding: the gradual, often legalistic erosion of the institutions that sustain democratic accountability, has become a defining feature of the political landscape (Bermeo, 2016). In this context, recognition of problems does not automatically produce action: the democratic channels that once translated public concern into policy response have themselves weakened, and the gap is increasingly filled, or left unfilled, by </w:t>
      </w:r>
      <w:proofErr w:type="spellStart"/>
      <w:r>
        <w:rPr>
          <w:sz w:val="24"/>
          <w:szCs w:val="24"/>
        </w:rPr>
        <w:t>organised</w:t>
      </w:r>
      <w:proofErr w:type="spellEnd"/>
      <w:r>
        <w:rPr>
          <w:sz w:val="24"/>
          <w:szCs w:val="24"/>
        </w:rPr>
        <w:t xml:space="preserve"> civil society.</w:t>
      </w:r>
    </w:p>
    <w:p w14:paraId="55346152" w14:textId="77777777" w:rsidR="00B744FD" w:rsidRDefault="00000000">
      <w:pPr>
        <w:spacing w:before="240" w:after="240" w:line="360" w:lineRule="auto"/>
        <w:rPr>
          <w:sz w:val="24"/>
          <w:szCs w:val="24"/>
        </w:rPr>
      </w:pPr>
      <w:r>
        <w:rPr>
          <w:sz w:val="24"/>
          <w:szCs w:val="24"/>
        </w:rPr>
        <w:t xml:space="preserve">Across these accounts a consistent picture </w:t>
      </w:r>
      <w:proofErr w:type="gramStart"/>
      <w:r>
        <w:rPr>
          <w:sz w:val="24"/>
          <w:szCs w:val="24"/>
        </w:rPr>
        <w:t>emerges:</w:t>
      </w:r>
      <w:proofErr w:type="gramEnd"/>
      <w:r>
        <w:rPr>
          <w:sz w:val="24"/>
          <w:szCs w:val="24"/>
        </w:rPr>
        <w:t xml:space="preserve"> civil society is being asked to deliver more on terrain that equips it to do so less reliably, and durable outcomes depend on sustained capacity. This is precisely where </w:t>
      </w:r>
      <w:proofErr w:type="spellStart"/>
      <w:r>
        <w:rPr>
          <w:sz w:val="24"/>
          <w:szCs w:val="24"/>
        </w:rPr>
        <w:t>organising</w:t>
      </w:r>
      <w:proofErr w:type="spellEnd"/>
      <w:r>
        <w:rPr>
          <w:sz w:val="24"/>
          <w:szCs w:val="24"/>
        </w:rPr>
        <w:t xml:space="preserve"> scholarship locates its response. Ganz (2010) locates the distinctive work of </w:t>
      </w:r>
      <w:proofErr w:type="spellStart"/>
      <w:r>
        <w:rPr>
          <w:sz w:val="24"/>
          <w:szCs w:val="24"/>
        </w:rPr>
        <w:t>organising</w:t>
      </w:r>
      <w:proofErr w:type="spellEnd"/>
      <w:r>
        <w:rPr>
          <w:sz w:val="24"/>
          <w:szCs w:val="24"/>
        </w:rPr>
        <w:t xml:space="preserve"> in building the leadership, strategic capacity and relational structures that let constituencies act over time. Han, McKenna and Oyakawa (2021) show how such </w:t>
      </w:r>
      <w:proofErr w:type="spellStart"/>
      <w:r>
        <w:rPr>
          <w:sz w:val="24"/>
          <w:szCs w:val="24"/>
        </w:rPr>
        <w:t>organisations</w:t>
      </w:r>
      <w:proofErr w:type="spellEnd"/>
      <w:r>
        <w:rPr>
          <w:sz w:val="24"/>
          <w:szCs w:val="24"/>
        </w:rPr>
        <w:t xml:space="preserve"> function as prisms that convert participation into durable power. Wills (2016) demonstrates in the British context that community-led decision-making founders where civic infrastructure is absent and flourishes where it is patiently cultivated, and Woodly (2022) argues that </w:t>
      </w:r>
      <w:proofErr w:type="spellStart"/>
      <w:r>
        <w:rPr>
          <w:sz w:val="24"/>
          <w:szCs w:val="24"/>
        </w:rPr>
        <w:t>organised</w:t>
      </w:r>
      <w:proofErr w:type="spellEnd"/>
      <w:r>
        <w:rPr>
          <w:sz w:val="24"/>
          <w:szCs w:val="24"/>
        </w:rPr>
        <w:t xml:space="preserve"> movements are not a supplement to democratic institutions but a condition of their renewal. Together they converge on a single proposition: under fiscal constraint, fragmented civic support and democratic erosion, leadership development and civic infrastructure are not optional features of community work but a necessary condition by which democratic accountability is sustained. </w:t>
      </w:r>
    </w:p>
    <w:p w14:paraId="558658AF" w14:textId="77777777" w:rsidR="00B744FD" w:rsidRDefault="00000000">
      <w:pPr>
        <w:spacing w:before="240" w:after="240" w:line="360" w:lineRule="auto"/>
        <w:rPr>
          <w:sz w:val="24"/>
          <w:szCs w:val="24"/>
        </w:rPr>
      </w:pPr>
      <w:r>
        <w:rPr>
          <w:sz w:val="24"/>
          <w:szCs w:val="24"/>
        </w:rPr>
        <w:lastRenderedPageBreak/>
        <w:t xml:space="preserve">These straining conditions create concrete risks. Alliance fatigue grows as institutions balance competing demands and the bandwidth for between-campaign relational work shrinks. There are nevertheless openings. Government interest in working with civil society is rising, reflected in the recent Civil Society Covenant and a growing appetite within local government for partnership models that move beyond transactional commissioning (NCVO, 2024). These shifts </w:t>
      </w:r>
      <w:proofErr w:type="spellStart"/>
      <w:r>
        <w:rPr>
          <w:sz w:val="24"/>
          <w:szCs w:val="24"/>
        </w:rPr>
        <w:t>favour</w:t>
      </w:r>
      <w:proofErr w:type="spellEnd"/>
      <w:r>
        <w:rPr>
          <w:sz w:val="24"/>
          <w:szCs w:val="24"/>
        </w:rPr>
        <w:t xml:space="preserve"> alliances capable of sustained participation and credible accountability. </w:t>
      </w:r>
    </w:p>
    <w:p w14:paraId="1E051FDF" w14:textId="77777777" w:rsidR="00B744FD" w:rsidRDefault="00000000">
      <w:pPr>
        <w:spacing w:before="240" w:after="240" w:line="360" w:lineRule="auto"/>
        <w:rPr>
          <w:sz w:val="24"/>
          <w:szCs w:val="24"/>
        </w:rPr>
      </w:pPr>
      <w:r>
        <w:rPr>
          <w:sz w:val="24"/>
          <w:szCs w:val="24"/>
        </w:rPr>
        <w:t>Given these conditions, my development priorities are therefore fivefold: strengthening leadership responsibility within institutions (relational); deepening political and institutional power analysis (strategic); sustaining alliance participation between campaigns (relational and strategic); strengthening ethical and safeguarding judgement under conditions of vulnerability (ethical); and developing scholar-practitioner capability.</w:t>
      </w:r>
    </w:p>
    <w:p w14:paraId="45A46FE0" w14:textId="77777777" w:rsidR="00B744FD" w:rsidRDefault="00000000">
      <w:pPr>
        <w:spacing w:after="160" w:line="360" w:lineRule="auto"/>
        <w:rPr>
          <w:b/>
          <w:bCs/>
          <w:sz w:val="24"/>
          <w:szCs w:val="24"/>
        </w:rPr>
      </w:pPr>
      <w:r>
        <w:rPr>
          <w:b/>
          <w:bCs/>
          <w:sz w:val="24"/>
          <w:szCs w:val="24"/>
        </w:rPr>
        <w:t>3.2 Development Objectives</w:t>
      </w:r>
    </w:p>
    <w:p w14:paraId="5064B140" w14:textId="77777777" w:rsidR="00B744FD" w:rsidRDefault="00000000">
      <w:pPr>
        <w:spacing w:before="240" w:after="240" w:line="360" w:lineRule="auto"/>
        <w:rPr>
          <w:sz w:val="24"/>
          <w:szCs w:val="24"/>
        </w:rPr>
      </w:pPr>
      <w:r>
        <w:rPr>
          <w:sz w:val="24"/>
          <w:szCs w:val="24"/>
        </w:rPr>
        <w:t>The following objectives are designed to consolidate long-term alliance capacity while deepening my own professional and scholarly competence. Each is anchored to one or more domains of the Organiser Judgement Model.</w:t>
      </w:r>
    </w:p>
    <w:p w14:paraId="41F0CC07" w14:textId="77777777" w:rsidR="00B744FD" w:rsidRDefault="00000000">
      <w:pPr>
        <w:numPr>
          <w:ilvl w:val="0"/>
          <w:numId w:val="1"/>
        </w:numPr>
        <w:spacing w:before="240" w:after="240" w:line="360" w:lineRule="auto"/>
        <w:rPr>
          <w:sz w:val="24"/>
          <w:szCs w:val="24"/>
        </w:rPr>
      </w:pPr>
      <w:r>
        <w:rPr>
          <w:b/>
          <w:bCs/>
          <w:sz w:val="24"/>
          <w:szCs w:val="24"/>
        </w:rPr>
        <w:t>Build distributed leadership and refine organiser boundaries.</w:t>
      </w:r>
      <w:r>
        <w:rPr>
          <w:sz w:val="24"/>
          <w:szCs w:val="24"/>
        </w:rPr>
        <w:t xml:space="preserve"> </w:t>
      </w:r>
      <w:r>
        <w:rPr>
          <w:i/>
          <w:iCs/>
          <w:sz w:val="24"/>
          <w:szCs w:val="24"/>
        </w:rPr>
        <w:t>(Relational and embodied domains)</w:t>
      </w:r>
      <w:r>
        <w:rPr>
          <w:sz w:val="24"/>
          <w:szCs w:val="24"/>
        </w:rPr>
        <w:t xml:space="preserve"> The Hove Park and transport safety experiences demonstrated that political commitments only convert into change where ownership is distributed across the alliance rather than concentrated in the professional organiser. Durable alliance practice depends on </w:t>
      </w:r>
      <w:proofErr w:type="spellStart"/>
      <w:r>
        <w:rPr>
          <w:sz w:val="24"/>
          <w:szCs w:val="24"/>
        </w:rPr>
        <w:t>decentralising</w:t>
      </w:r>
      <w:proofErr w:type="spellEnd"/>
      <w:r>
        <w:rPr>
          <w:sz w:val="24"/>
          <w:szCs w:val="24"/>
        </w:rPr>
        <w:t xml:space="preserve"> relational work beyond the most engaged leaders, so that newer participants can develop judgement through direct experience rather than observation. This objective therefore pursues distributed leadership from two directions: building leadership teams capable of taking on substantive </w:t>
      </w:r>
      <w:proofErr w:type="gramStart"/>
      <w:r>
        <w:rPr>
          <w:sz w:val="24"/>
          <w:szCs w:val="24"/>
        </w:rPr>
        <w:t>responsibility, and</w:t>
      </w:r>
      <w:proofErr w:type="gramEnd"/>
      <w:r>
        <w:rPr>
          <w:sz w:val="24"/>
          <w:szCs w:val="24"/>
        </w:rPr>
        <w:t xml:space="preserve"> disciplining my own delegation so that responsibility </w:t>
      </w:r>
      <w:proofErr w:type="gramStart"/>
      <w:r>
        <w:rPr>
          <w:sz w:val="24"/>
          <w:szCs w:val="24"/>
        </w:rPr>
        <w:t>actually transfers</w:t>
      </w:r>
      <w:proofErr w:type="gramEnd"/>
      <w:r>
        <w:rPr>
          <w:sz w:val="24"/>
          <w:szCs w:val="24"/>
        </w:rPr>
        <w:t xml:space="preserve">. I will establish or refresh active </w:t>
      </w:r>
      <w:proofErr w:type="spellStart"/>
      <w:r>
        <w:rPr>
          <w:sz w:val="24"/>
          <w:szCs w:val="24"/>
        </w:rPr>
        <w:t>organising</w:t>
      </w:r>
      <w:proofErr w:type="spellEnd"/>
      <w:r>
        <w:rPr>
          <w:sz w:val="24"/>
          <w:szCs w:val="24"/>
        </w:rPr>
        <w:t xml:space="preserve"> teams across member institutions, each meeting at regular intervals with a defined shared leadership structure and an action plan emerging from listening activity. I will ensure that all alliance campaign meetings </w:t>
      </w:r>
      <w:r>
        <w:rPr>
          <w:sz w:val="24"/>
          <w:szCs w:val="24"/>
        </w:rPr>
        <w:lastRenderedPageBreak/>
        <w:t>and public actions, including accountability meetings with decision-makers, are routinely chaired and led by institutional leaders rather than by me. Reflective notes following key delegation decisions will examine where I held on to tasks that could have been distributed and what conditions made delegation feel risky, building the embodied judgement on which durable delegation depends. Progress will be assessed not through outputs alone but through whether leaders can use their strategic and relational judgement to adapt strategy collectively when conditions change without relying on me to guide them.</w:t>
      </w:r>
    </w:p>
    <w:p w14:paraId="4DCFF1F9" w14:textId="77777777" w:rsidR="00B744FD" w:rsidRDefault="00B744FD">
      <w:pPr>
        <w:spacing w:before="240" w:after="240" w:line="360" w:lineRule="auto"/>
        <w:ind w:left="720"/>
        <w:rPr>
          <w:sz w:val="24"/>
          <w:szCs w:val="24"/>
        </w:rPr>
      </w:pPr>
    </w:p>
    <w:p w14:paraId="3D82B799" w14:textId="77777777" w:rsidR="00B744FD" w:rsidRDefault="00000000">
      <w:pPr>
        <w:numPr>
          <w:ilvl w:val="0"/>
          <w:numId w:val="1"/>
        </w:numPr>
        <w:spacing w:before="240" w:after="240" w:line="360" w:lineRule="auto"/>
        <w:rPr>
          <w:sz w:val="24"/>
          <w:szCs w:val="24"/>
        </w:rPr>
      </w:pPr>
      <w:r>
        <w:rPr>
          <w:b/>
          <w:bCs/>
          <w:sz w:val="24"/>
          <w:szCs w:val="24"/>
        </w:rPr>
        <w:t>Strengthen power analysis.</w:t>
      </w:r>
      <w:r>
        <w:rPr>
          <w:sz w:val="24"/>
          <w:szCs w:val="24"/>
        </w:rPr>
        <w:t xml:space="preserve"> (Strategic domain) I will develop deeper power analyses for all our campaigns, identifying decision-makers, interests, leverage points, and escalation pathways. Each analysis will be co-produced with campaign teams so that strategic judgement is genuinely distributed rather than reflecting only my interpretation, and all major negotiations will be supported by structured preparation rehearsals and post-negotiation evaluations to consolidate strategic learning.</w:t>
      </w:r>
    </w:p>
    <w:p w14:paraId="5ACA2FC3" w14:textId="77777777" w:rsidR="00B744FD" w:rsidRDefault="00B744FD">
      <w:pPr>
        <w:spacing w:before="240" w:after="240" w:line="360" w:lineRule="auto"/>
        <w:ind w:left="720"/>
        <w:rPr>
          <w:sz w:val="24"/>
          <w:szCs w:val="24"/>
        </w:rPr>
      </w:pPr>
    </w:p>
    <w:p w14:paraId="19973B1C" w14:textId="77777777" w:rsidR="00B744FD" w:rsidRDefault="00000000">
      <w:pPr>
        <w:numPr>
          <w:ilvl w:val="0"/>
          <w:numId w:val="1"/>
        </w:numPr>
        <w:spacing w:before="240" w:after="240" w:line="360" w:lineRule="auto"/>
        <w:rPr>
          <w:sz w:val="24"/>
          <w:szCs w:val="24"/>
        </w:rPr>
      </w:pPr>
      <w:r>
        <w:rPr>
          <w:b/>
          <w:bCs/>
          <w:sz w:val="24"/>
          <w:szCs w:val="24"/>
        </w:rPr>
        <w:t xml:space="preserve">Sustain institutional participation between campaigns. </w:t>
      </w:r>
      <w:r>
        <w:rPr>
          <w:sz w:val="24"/>
          <w:szCs w:val="24"/>
        </w:rPr>
        <w:t xml:space="preserve">(Relational and strategic domains) </w:t>
      </w:r>
      <w:proofErr w:type="spellStart"/>
      <w:r>
        <w:rPr>
          <w:sz w:val="24"/>
          <w:szCs w:val="24"/>
        </w:rPr>
        <w:t>Organised</w:t>
      </w:r>
      <w:proofErr w:type="spellEnd"/>
      <w:r>
        <w:rPr>
          <w:sz w:val="24"/>
          <w:szCs w:val="24"/>
        </w:rPr>
        <w:t xml:space="preserve"> presence depends on relational infrastructure sustained between campaigns. I will track attendance, relational meetings, leadership engagement, and follow-up actions to make declining participation visible early, and I will support leaders to embed regular listening and leadership routines within their own institutions, so that participation no longer depends on prompts from the professional organiser.</w:t>
      </w:r>
    </w:p>
    <w:p w14:paraId="59C370E5" w14:textId="77777777" w:rsidR="00B744FD" w:rsidRDefault="00B744FD">
      <w:pPr>
        <w:spacing w:before="240" w:after="240" w:line="360" w:lineRule="auto"/>
        <w:ind w:left="720"/>
        <w:rPr>
          <w:sz w:val="24"/>
          <w:szCs w:val="24"/>
        </w:rPr>
      </w:pPr>
    </w:p>
    <w:p w14:paraId="39CEE539" w14:textId="77777777" w:rsidR="00B744FD" w:rsidRDefault="00000000">
      <w:pPr>
        <w:numPr>
          <w:ilvl w:val="0"/>
          <w:numId w:val="1"/>
        </w:numPr>
        <w:spacing w:before="240" w:after="240" w:line="360" w:lineRule="auto"/>
        <w:rPr>
          <w:sz w:val="24"/>
          <w:szCs w:val="24"/>
        </w:rPr>
      </w:pPr>
      <w:r>
        <w:rPr>
          <w:b/>
          <w:bCs/>
          <w:sz w:val="24"/>
          <w:szCs w:val="24"/>
        </w:rPr>
        <w:t>Strengthen ethical judgement and safeguarding.</w:t>
      </w:r>
      <w:r>
        <w:rPr>
          <w:sz w:val="24"/>
          <w:szCs w:val="24"/>
        </w:rPr>
        <w:t xml:space="preserve"> </w:t>
      </w:r>
      <w:r>
        <w:rPr>
          <w:i/>
          <w:iCs/>
          <w:sz w:val="24"/>
          <w:szCs w:val="24"/>
        </w:rPr>
        <w:t>(Ethical domain)</w:t>
      </w:r>
      <w:r>
        <w:rPr>
          <w:sz w:val="24"/>
          <w:szCs w:val="24"/>
        </w:rPr>
        <w:t xml:space="preserve"> My engagement with leaders experiencing heightened vulnerability will continue to </w:t>
      </w:r>
      <w:proofErr w:type="spellStart"/>
      <w:r>
        <w:rPr>
          <w:sz w:val="24"/>
          <w:szCs w:val="24"/>
        </w:rPr>
        <w:t>centre</w:t>
      </w:r>
      <w:proofErr w:type="spellEnd"/>
      <w:r>
        <w:rPr>
          <w:sz w:val="24"/>
          <w:szCs w:val="24"/>
        </w:rPr>
        <w:t xml:space="preserve"> informed consent as an ongoing process rather than a single transaction. </w:t>
      </w:r>
      <w:r>
        <w:rPr>
          <w:sz w:val="24"/>
          <w:szCs w:val="24"/>
        </w:rPr>
        <w:lastRenderedPageBreak/>
        <w:t>Ethical judgement should not be reduced to procedure; it should ensure that situated decisions are made with reflexivity and conscious attention to pressures such as campaign momentum that can otherwise displace careful consideration of risk.</w:t>
      </w:r>
    </w:p>
    <w:p w14:paraId="513C81FD" w14:textId="77777777" w:rsidR="00B744FD" w:rsidRDefault="00B744FD">
      <w:pPr>
        <w:spacing w:before="240" w:after="240" w:line="360" w:lineRule="auto"/>
        <w:ind w:left="720"/>
        <w:rPr>
          <w:sz w:val="24"/>
          <w:szCs w:val="24"/>
        </w:rPr>
      </w:pPr>
    </w:p>
    <w:p w14:paraId="1953AF4A" w14:textId="77777777" w:rsidR="00B744FD" w:rsidRDefault="00000000">
      <w:pPr>
        <w:numPr>
          <w:ilvl w:val="0"/>
          <w:numId w:val="1"/>
        </w:numPr>
        <w:spacing w:before="240" w:after="240" w:line="360" w:lineRule="auto"/>
        <w:rPr>
          <w:sz w:val="24"/>
          <w:szCs w:val="24"/>
        </w:rPr>
      </w:pPr>
      <w:r>
        <w:rPr>
          <w:b/>
          <w:bCs/>
          <w:sz w:val="24"/>
          <w:szCs w:val="24"/>
        </w:rPr>
        <w:t>Develop scholar-practitioner capability through systematic reflective practice.</w:t>
      </w:r>
      <w:r>
        <w:rPr>
          <w:sz w:val="24"/>
          <w:szCs w:val="24"/>
        </w:rPr>
        <w:t xml:space="preserve"> </w:t>
      </w:r>
      <w:r>
        <w:rPr>
          <w:i/>
          <w:iCs/>
          <w:sz w:val="24"/>
          <w:szCs w:val="24"/>
        </w:rPr>
        <w:t>(Reflexive learning process; doctoral trajectory)</w:t>
      </w:r>
      <w:r>
        <w:rPr>
          <w:sz w:val="24"/>
          <w:szCs w:val="24"/>
        </w:rPr>
        <w:t xml:space="preserve"> This objective develops the documentary discipline through which my experience becomes </w:t>
      </w:r>
      <w:proofErr w:type="spellStart"/>
      <w:r>
        <w:rPr>
          <w:sz w:val="24"/>
          <w:szCs w:val="24"/>
        </w:rPr>
        <w:t>analysable</w:t>
      </w:r>
      <w:proofErr w:type="spellEnd"/>
      <w:r>
        <w:rPr>
          <w:sz w:val="24"/>
          <w:szCs w:val="24"/>
        </w:rPr>
        <w:t xml:space="preserve">. I will maintain structured reflective documentation following key </w:t>
      </w:r>
      <w:proofErr w:type="spellStart"/>
      <w:r>
        <w:rPr>
          <w:sz w:val="24"/>
          <w:szCs w:val="24"/>
        </w:rPr>
        <w:t>organising</w:t>
      </w:r>
      <w:proofErr w:type="spellEnd"/>
      <w:r>
        <w:rPr>
          <w:sz w:val="24"/>
          <w:szCs w:val="24"/>
        </w:rPr>
        <w:t xml:space="preserve"> events, alongside monthly synthesis notes, and will </w:t>
      </w:r>
      <w:proofErr w:type="spellStart"/>
      <w:r>
        <w:rPr>
          <w:sz w:val="24"/>
          <w:szCs w:val="24"/>
        </w:rPr>
        <w:t>standardise</w:t>
      </w:r>
      <w:proofErr w:type="spellEnd"/>
      <w:r>
        <w:rPr>
          <w:sz w:val="24"/>
          <w:szCs w:val="24"/>
        </w:rPr>
        <w:t xml:space="preserve"> post-action evaluations so that all major campaign interventions generate documented learning. Alongside this, I will develop qualitative research skills and learn how to conduct pilot interviews to build my knowledge of interviewing, thematic analysis, and ethical research practice, sustained by regular doctoral reading and writing. Reflective documentation and methodological development are treated here as a single integrated practice: the same disciplined attention to </w:t>
      </w:r>
      <w:proofErr w:type="spellStart"/>
      <w:r>
        <w:rPr>
          <w:sz w:val="24"/>
          <w:szCs w:val="24"/>
        </w:rPr>
        <w:t>organising</w:t>
      </w:r>
      <w:proofErr w:type="spellEnd"/>
      <w:r>
        <w:rPr>
          <w:sz w:val="24"/>
          <w:szCs w:val="24"/>
        </w:rPr>
        <w:t xml:space="preserve"> experience serves professional development and doctoral inquiry simultaneously, treating that experience as a legitimate site of knowledge production.</w:t>
      </w:r>
    </w:p>
    <w:p w14:paraId="3A785E55" w14:textId="77777777" w:rsidR="00B744FD" w:rsidRDefault="00000000">
      <w:pPr>
        <w:spacing w:before="240" w:after="240" w:line="360" w:lineRule="auto"/>
        <w:rPr>
          <w:sz w:val="24"/>
          <w:szCs w:val="24"/>
        </w:rPr>
      </w:pPr>
      <w:r>
        <w:rPr>
          <w:sz w:val="24"/>
          <w:szCs w:val="24"/>
        </w:rPr>
        <w:t xml:space="preserve">Together, these objectives translate the model's four domains into a developmental agenda, shifting the emphasis from campaign delivery towards consolidating leader ownership, sustained accountability, and research-informed reflection. </w:t>
      </w:r>
    </w:p>
    <w:p w14:paraId="36C7C26A" w14:textId="77777777" w:rsidR="00B744FD" w:rsidRDefault="00000000">
      <w:pPr>
        <w:spacing w:before="240" w:after="240" w:line="360" w:lineRule="auto"/>
        <w:rPr>
          <w:b/>
          <w:bCs/>
          <w:sz w:val="24"/>
          <w:szCs w:val="24"/>
        </w:rPr>
      </w:pPr>
      <w:r>
        <w:rPr>
          <w:b/>
          <w:bCs/>
          <w:sz w:val="24"/>
          <w:szCs w:val="24"/>
        </w:rPr>
        <w:t>3.3 Participatory Action Research as a Methodological Direction</w:t>
      </w:r>
    </w:p>
    <w:p w14:paraId="287A26B0" w14:textId="77777777" w:rsidR="00B744FD" w:rsidRDefault="00000000">
      <w:pPr>
        <w:spacing w:after="160" w:line="360" w:lineRule="auto"/>
        <w:rPr>
          <w:sz w:val="24"/>
          <w:szCs w:val="24"/>
        </w:rPr>
      </w:pPr>
      <w:r>
        <w:rPr>
          <w:sz w:val="24"/>
          <w:szCs w:val="24"/>
        </w:rPr>
        <w:t xml:space="preserve">Participatory Action Research (PAR) treats knowledge as co-produced with participants rather than extracted from them, integrating inquiry with collective action and reflection (Reason &amp; Bradbury, 2008). This reflects my commitment to locating expertise within alliances rather than solely within the researcher, and to examining how civic capacity is built through practice rather than observed from outside it. Methodologically, this will involve collaborative problem framing, iterative cycles of intervention and evaluation, </w:t>
      </w:r>
      <w:r>
        <w:rPr>
          <w:sz w:val="24"/>
          <w:szCs w:val="24"/>
        </w:rPr>
        <w:lastRenderedPageBreak/>
        <w:t xml:space="preserve">and shared interpretation of findings, ensuring that doctoral inquiry strengthens rather than abstracts from </w:t>
      </w:r>
      <w:proofErr w:type="spellStart"/>
      <w:r>
        <w:rPr>
          <w:sz w:val="24"/>
          <w:szCs w:val="24"/>
        </w:rPr>
        <w:t>organising</w:t>
      </w:r>
      <w:proofErr w:type="spellEnd"/>
      <w:r>
        <w:rPr>
          <w:sz w:val="24"/>
          <w:szCs w:val="24"/>
        </w:rPr>
        <w:t xml:space="preserve"> work.</w:t>
      </w:r>
    </w:p>
    <w:p w14:paraId="712B0108" w14:textId="77777777" w:rsidR="00B744FD" w:rsidRDefault="00000000">
      <w:pPr>
        <w:spacing w:after="160" w:line="360" w:lineRule="auto"/>
        <w:rPr>
          <w:sz w:val="24"/>
          <w:szCs w:val="24"/>
        </w:rPr>
      </w:pPr>
      <w:r>
        <w:rPr>
          <w:sz w:val="24"/>
          <w:szCs w:val="24"/>
        </w:rPr>
        <w:t xml:space="preserve">PAR and </w:t>
      </w:r>
      <w:proofErr w:type="spellStart"/>
      <w:r>
        <w:rPr>
          <w:sz w:val="24"/>
          <w:szCs w:val="24"/>
        </w:rPr>
        <w:t>organising</w:t>
      </w:r>
      <w:proofErr w:type="spellEnd"/>
      <w:r>
        <w:rPr>
          <w:sz w:val="24"/>
          <w:szCs w:val="24"/>
        </w:rPr>
        <w:t xml:space="preserve"> are epistemologically aligned: both begin from the assumption that those directly affected by social problems possess important knowledge about how those problems are experienced, reproduced, and potentially changed, and that such knowledge develops through participation, collective reflection, and action rather than being generated by experts and applied to communities (Chambers, 2018; Freire, 1970; Reason &amp; Bradbury, 2008). In practice, </w:t>
      </w:r>
      <w:proofErr w:type="spellStart"/>
      <w:r>
        <w:rPr>
          <w:sz w:val="24"/>
          <w:szCs w:val="24"/>
        </w:rPr>
        <w:t>organising</w:t>
      </w:r>
      <w:proofErr w:type="spellEnd"/>
      <w:r>
        <w:rPr>
          <w:sz w:val="24"/>
          <w:szCs w:val="24"/>
        </w:rPr>
        <w:t xml:space="preserve"> already contains elements of inquiry: listening campaigns, relational meetings, leadership discussions, and post-action evaluations are all processes through which communities interpret shared conditions, identify patterns of power, and develop political understanding collectively. </w:t>
      </w:r>
    </w:p>
    <w:p w14:paraId="19D37A9B" w14:textId="77777777" w:rsidR="00B744FD" w:rsidRDefault="00000000">
      <w:pPr>
        <w:spacing w:after="160" w:line="360" w:lineRule="auto"/>
        <w:rPr>
          <w:sz w:val="24"/>
          <w:szCs w:val="24"/>
        </w:rPr>
      </w:pPr>
      <w:proofErr w:type="spellStart"/>
      <w:r>
        <w:rPr>
          <w:sz w:val="24"/>
          <w:szCs w:val="24"/>
        </w:rPr>
        <w:t>Organising</w:t>
      </w:r>
      <w:proofErr w:type="spellEnd"/>
      <w:r>
        <w:rPr>
          <w:sz w:val="24"/>
          <w:szCs w:val="24"/>
        </w:rPr>
        <w:t xml:space="preserve"> is oriented towards building power and achieving strategic outcomes, whereas participatory inquiry requires openness to ambiguity, disagreement, and the possibility that reflection may complicate existing campaign assumptions. As an organiser, I rarely enter inquiry neutrally; my interpretation is shaped by strategic judgement, institutional relationships, and a commitment to building collective power for social justice. There is therefore a risk that participatory inquiry becomes too closely aligned with politics, privileging interpretations that reinforce campaign narratives while </w:t>
      </w:r>
      <w:proofErr w:type="spellStart"/>
      <w:r>
        <w:rPr>
          <w:sz w:val="24"/>
          <w:szCs w:val="24"/>
        </w:rPr>
        <w:t>marginalising</w:t>
      </w:r>
      <w:proofErr w:type="spellEnd"/>
      <w:r>
        <w:rPr>
          <w:sz w:val="24"/>
          <w:szCs w:val="24"/>
        </w:rPr>
        <w:t xml:space="preserve"> perspectives that disrupt them (Cahill, 2007).</w:t>
      </w:r>
    </w:p>
    <w:p w14:paraId="611358F5" w14:textId="77777777" w:rsidR="00B744FD" w:rsidRDefault="00000000">
      <w:pPr>
        <w:spacing w:after="160" w:line="360" w:lineRule="auto"/>
        <w:rPr>
          <w:sz w:val="24"/>
          <w:szCs w:val="24"/>
        </w:rPr>
      </w:pPr>
      <w:r>
        <w:rPr>
          <w:sz w:val="24"/>
          <w:szCs w:val="24"/>
        </w:rPr>
        <w:t xml:space="preserve">These tensions are compounded by questions about how participatory such processes can be in practice. Organisers frequently retain significant influence through facilitation, agenda-setting, and interpretation, even where leadership and reflection are widely shared. Apparent consensus may obscure unequal confidence, institutional status, or differing levels of vulnerability within alliances (Cooke &amp; Kothari, 2001). Ethical tensions emerge alongside: collective reflection may surface experiences of exploitation, insecurity, or trauma that generate responsibilities extending beyond campaign strategy or research objectives, and individuals may feel implicit pressure to contribute in ways aligned with collective priorities or organiser expectations. </w:t>
      </w:r>
    </w:p>
    <w:p w14:paraId="3E48A83D" w14:textId="77777777" w:rsidR="00B744FD" w:rsidRDefault="00000000">
      <w:pPr>
        <w:spacing w:after="160" w:line="360" w:lineRule="auto"/>
        <w:rPr>
          <w:sz w:val="24"/>
          <w:szCs w:val="24"/>
        </w:rPr>
      </w:pPr>
      <w:r>
        <w:rPr>
          <w:sz w:val="24"/>
          <w:szCs w:val="24"/>
        </w:rPr>
        <w:t xml:space="preserve">These tensions cannot be designed out of the work; they can only be held deliberately and revisited as conditions change. In practice this means building structured space for </w:t>
      </w:r>
      <w:r>
        <w:rPr>
          <w:sz w:val="24"/>
          <w:szCs w:val="24"/>
        </w:rPr>
        <w:lastRenderedPageBreak/>
        <w:t xml:space="preserve">dissent and for less confident voices, treating findings that complicate campaign strategy as evidence to attend to rather than manage away, opening my own interpretive authority to challenge through supervision and shared interpretation with participants, and keeping consent an ongoing negotiation that can slow or halt the strategic timeline where participation carries risk. I believe PAR may be valuable not simply because it supports collaborative learning, but because it creates conditions in which my </w:t>
      </w:r>
      <w:proofErr w:type="spellStart"/>
      <w:r>
        <w:rPr>
          <w:sz w:val="24"/>
          <w:szCs w:val="24"/>
        </w:rPr>
        <w:t>organising</w:t>
      </w:r>
      <w:proofErr w:type="spellEnd"/>
      <w:r>
        <w:rPr>
          <w:sz w:val="24"/>
          <w:szCs w:val="24"/>
        </w:rPr>
        <w:t xml:space="preserve"> practice itself can be examined critically, including the assumptions, exclusions, and power relations that shape how collective action is built, interpreted, and sustained. </w:t>
      </w:r>
    </w:p>
    <w:p w14:paraId="046B01F5" w14:textId="77777777" w:rsidR="00B744FD" w:rsidRDefault="00000000">
      <w:pPr>
        <w:spacing w:before="240" w:after="240" w:line="360" w:lineRule="auto"/>
        <w:rPr>
          <w:b/>
          <w:bCs/>
          <w:sz w:val="24"/>
          <w:szCs w:val="24"/>
        </w:rPr>
      </w:pPr>
      <w:r>
        <w:rPr>
          <w:b/>
          <w:bCs/>
          <w:sz w:val="24"/>
          <w:szCs w:val="24"/>
        </w:rPr>
        <w:t>3.4 Review and Assessment</w:t>
      </w:r>
    </w:p>
    <w:p w14:paraId="1836C6A8" w14:textId="77777777" w:rsidR="00B744FD" w:rsidRDefault="00000000">
      <w:pPr>
        <w:spacing w:before="240" w:after="240" w:line="360" w:lineRule="auto"/>
        <w:rPr>
          <w:sz w:val="24"/>
          <w:szCs w:val="24"/>
        </w:rPr>
      </w:pPr>
      <w:r>
        <w:rPr>
          <w:sz w:val="24"/>
          <w:szCs w:val="24"/>
        </w:rPr>
        <w:t xml:space="preserve">I will track my progress through both practical and scholarly indicators. Practical indicators include levels of distributed leadership across alliance campaigns; consistency of institutional participation between campaigns; documented reflection on shared discussions on risk and consent; the quality and influence of campaign power analyses; and changes in the proportion of campaign delivery undertaken by leaders rather than the professional organiser. Scholarly indicators include sustained doctoral writing, completed methods training, feedback from tutors, the production of practice-based papers, and the depth of reflective synthesis across each year. </w:t>
      </w:r>
    </w:p>
    <w:p w14:paraId="086FECC8" w14:textId="77777777" w:rsidR="00B744FD" w:rsidRDefault="00000000">
      <w:pPr>
        <w:spacing w:before="240" w:after="240" w:line="360" w:lineRule="auto"/>
        <w:rPr>
          <w:sz w:val="24"/>
          <w:szCs w:val="24"/>
        </w:rPr>
      </w:pPr>
      <w:r>
        <w:rPr>
          <w:sz w:val="24"/>
          <w:szCs w:val="24"/>
        </w:rPr>
        <w:t xml:space="preserve">These two registers are interdependent: practical indicators provide the empirical substance through which doctoral inquiry develops, while scholarly inquiry sharpens the analytical lens through which practice is examined. Periodic reviews with senior </w:t>
      </w:r>
      <w:proofErr w:type="spellStart"/>
      <w:r>
        <w:rPr>
          <w:sz w:val="24"/>
          <w:szCs w:val="24"/>
        </w:rPr>
        <w:t>organising</w:t>
      </w:r>
      <w:proofErr w:type="spellEnd"/>
      <w:r>
        <w:rPr>
          <w:sz w:val="24"/>
          <w:szCs w:val="24"/>
        </w:rPr>
        <w:t xml:space="preserve"> colleagues, and eventually, my doctoral supervisors, will allow objectives to be revised in response to emerging evidence, ensuring my learning and planning remain adaptive. The doctoral inquiry this supports is concerned not with applying academic theory to </w:t>
      </w:r>
      <w:proofErr w:type="spellStart"/>
      <w:r>
        <w:rPr>
          <w:sz w:val="24"/>
          <w:szCs w:val="24"/>
        </w:rPr>
        <w:t>organising</w:t>
      </w:r>
      <w:proofErr w:type="spellEnd"/>
      <w:r>
        <w:rPr>
          <w:sz w:val="24"/>
          <w:szCs w:val="24"/>
        </w:rPr>
        <w:t xml:space="preserve">, but with </w:t>
      </w:r>
      <w:proofErr w:type="spellStart"/>
      <w:r>
        <w:rPr>
          <w:sz w:val="24"/>
          <w:szCs w:val="24"/>
        </w:rPr>
        <w:t>theorising</w:t>
      </w:r>
      <w:proofErr w:type="spellEnd"/>
      <w:r>
        <w:rPr>
          <w:sz w:val="24"/>
          <w:szCs w:val="24"/>
        </w:rPr>
        <w:t xml:space="preserve"> </w:t>
      </w:r>
      <w:proofErr w:type="spellStart"/>
      <w:r>
        <w:rPr>
          <w:sz w:val="24"/>
          <w:szCs w:val="24"/>
        </w:rPr>
        <w:t>organising</w:t>
      </w:r>
      <w:proofErr w:type="spellEnd"/>
      <w:r>
        <w:rPr>
          <w:sz w:val="24"/>
          <w:szCs w:val="24"/>
        </w:rPr>
        <w:t xml:space="preserve"> practice in ways that remain accountable to the people and institutions through which it is enacted.</w:t>
      </w:r>
    </w:p>
    <w:p w14:paraId="59879E18" w14:textId="77777777" w:rsidR="00067105" w:rsidRDefault="00067105">
      <w:pPr>
        <w:spacing w:before="240" w:after="240" w:line="360" w:lineRule="auto"/>
        <w:rPr>
          <w:sz w:val="24"/>
          <w:szCs w:val="24"/>
        </w:rPr>
      </w:pPr>
    </w:p>
    <w:p w14:paraId="2FB565C7" w14:textId="77777777" w:rsidR="00067105" w:rsidRDefault="00067105">
      <w:pPr>
        <w:spacing w:before="240" w:after="240" w:line="360" w:lineRule="auto"/>
        <w:rPr>
          <w:sz w:val="24"/>
          <w:szCs w:val="24"/>
        </w:rPr>
      </w:pPr>
    </w:p>
    <w:p w14:paraId="48DB6EA7" w14:textId="77777777" w:rsidR="00B744FD" w:rsidRDefault="00000000">
      <w:pPr>
        <w:pStyle w:val="Heading1"/>
        <w:keepNext w:val="0"/>
        <w:keepLines w:val="0"/>
        <w:spacing w:before="480" w:line="360" w:lineRule="auto"/>
        <w:rPr>
          <w:b/>
          <w:bCs/>
          <w:sz w:val="24"/>
          <w:szCs w:val="24"/>
        </w:rPr>
      </w:pPr>
      <w:bookmarkStart w:id="8" w:name="_16hplertkj97" w:colFirst="0" w:colLast="0"/>
      <w:bookmarkEnd w:id="8"/>
      <w:r>
        <w:rPr>
          <w:b/>
          <w:bCs/>
          <w:sz w:val="24"/>
          <w:szCs w:val="24"/>
        </w:rPr>
        <w:lastRenderedPageBreak/>
        <w:t>Conclusion</w:t>
      </w:r>
    </w:p>
    <w:p w14:paraId="2530C6C6" w14:textId="77777777" w:rsidR="00B744FD" w:rsidRDefault="00000000">
      <w:pPr>
        <w:spacing w:before="240" w:after="240" w:line="360" w:lineRule="auto"/>
        <w:rPr>
          <w:sz w:val="24"/>
          <w:szCs w:val="24"/>
        </w:rPr>
      </w:pPr>
      <w:r>
        <w:rPr>
          <w:sz w:val="24"/>
          <w:szCs w:val="24"/>
        </w:rPr>
        <w:t xml:space="preserve">This portfolio has examined how my knowledge and judgement as a community organiser have developed through sustained praxis: cycles of action and reflection undertaken with others under conditions of political constraint. Section 1 read that development through theories of praxis, tacit knowledge, power, situated knowledge, critical reflexivity, and ethics, distinguishing the knowledge organisers and alliances come to hold from the situated judgement through which it is exercised. The Organiser Judgement Model then </w:t>
      </w:r>
      <w:proofErr w:type="spellStart"/>
      <w:r>
        <w:rPr>
          <w:sz w:val="24"/>
          <w:szCs w:val="24"/>
        </w:rPr>
        <w:t>conceptualises</w:t>
      </w:r>
      <w:proofErr w:type="spellEnd"/>
      <w:r>
        <w:rPr>
          <w:sz w:val="24"/>
          <w:szCs w:val="24"/>
        </w:rPr>
        <w:t xml:space="preserve"> that judgement as four interacting domains: relational, strategic, embodied and ethical, held together as co-constitutive rather than sequenced or subordinated, grounded in situated knowledge and sustained through reflexive and collective learning, under conditions where the consequences of action fall unevenly on those least protected. Its validity remains provisional, resting on testing across settings beyond those from which it was drawn.</w:t>
      </w:r>
    </w:p>
    <w:p w14:paraId="5B46660E" w14:textId="77777777" w:rsidR="00B744FD" w:rsidRDefault="00000000">
      <w:pPr>
        <w:spacing w:before="240" w:after="240" w:line="360" w:lineRule="auto"/>
        <w:rPr>
          <w:sz w:val="24"/>
          <w:szCs w:val="24"/>
        </w:rPr>
      </w:pPr>
      <w:r>
        <w:rPr>
          <w:sz w:val="24"/>
          <w:szCs w:val="24"/>
        </w:rPr>
        <w:t xml:space="preserve">The strategic learning plan turns this framework towards practice on deteriorating civic terrain, </w:t>
      </w:r>
      <w:proofErr w:type="spellStart"/>
      <w:r>
        <w:rPr>
          <w:sz w:val="24"/>
          <w:szCs w:val="24"/>
        </w:rPr>
        <w:t>prioritising</w:t>
      </w:r>
      <w:proofErr w:type="spellEnd"/>
      <w:r>
        <w:rPr>
          <w:sz w:val="24"/>
          <w:szCs w:val="24"/>
        </w:rPr>
        <w:t xml:space="preserve"> durable relational power over episodic </w:t>
      </w:r>
      <w:proofErr w:type="spellStart"/>
      <w:r>
        <w:rPr>
          <w:sz w:val="24"/>
          <w:szCs w:val="24"/>
        </w:rPr>
        <w:t>mobilisation</w:t>
      </w:r>
      <w:proofErr w:type="spellEnd"/>
      <w:r>
        <w:rPr>
          <w:sz w:val="24"/>
          <w:szCs w:val="24"/>
        </w:rPr>
        <w:t xml:space="preserve"> and treating my professional development and doctoral inquiry, pursued through participatory action research, as a single trajectory. </w:t>
      </w:r>
    </w:p>
    <w:p w14:paraId="36C615E8" w14:textId="77777777" w:rsidR="00B744FD" w:rsidRDefault="00000000">
      <w:pPr>
        <w:spacing w:before="240" w:after="240" w:line="360" w:lineRule="auto"/>
        <w:rPr>
          <w:sz w:val="24"/>
          <w:szCs w:val="24"/>
        </w:rPr>
      </w:pPr>
      <w:r>
        <w:rPr>
          <w:sz w:val="24"/>
          <w:szCs w:val="24"/>
        </w:rPr>
        <w:t xml:space="preserve">What this inquiry has clarified above all is that the most consequential </w:t>
      </w:r>
      <w:proofErr w:type="spellStart"/>
      <w:r>
        <w:rPr>
          <w:sz w:val="24"/>
          <w:szCs w:val="24"/>
        </w:rPr>
        <w:t>organising</w:t>
      </w:r>
      <w:proofErr w:type="spellEnd"/>
      <w:r>
        <w:rPr>
          <w:sz w:val="24"/>
          <w:szCs w:val="24"/>
        </w:rPr>
        <w:t xml:space="preserve"> judgement is often the quiet discipline of interrogating my own fluency: asking whose knowledge is being </w:t>
      </w:r>
      <w:proofErr w:type="spellStart"/>
      <w:r>
        <w:rPr>
          <w:sz w:val="24"/>
          <w:szCs w:val="24"/>
        </w:rPr>
        <w:t>recognised</w:t>
      </w:r>
      <w:proofErr w:type="spellEnd"/>
      <w:r>
        <w:rPr>
          <w:sz w:val="24"/>
          <w:szCs w:val="24"/>
        </w:rPr>
        <w:t xml:space="preserve">, who carries the risk of action, and whether I am building power with leaders or exercising power over the process. It is precisely this reflexive, accountable form of practice that I hope the doctoral trajectory ahead will sustain. </w:t>
      </w:r>
    </w:p>
    <w:p w14:paraId="06496A61" w14:textId="77777777" w:rsidR="00067105" w:rsidRDefault="00067105">
      <w:pPr>
        <w:spacing w:before="240" w:after="240" w:line="360" w:lineRule="auto"/>
        <w:rPr>
          <w:sz w:val="24"/>
          <w:szCs w:val="24"/>
        </w:rPr>
      </w:pPr>
    </w:p>
    <w:p w14:paraId="37A7867B" w14:textId="77777777" w:rsidR="00067105" w:rsidRDefault="00067105">
      <w:pPr>
        <w:spacing w:before="240" w:after="240" w:line="360" w:lineRule="auto"/>
        <w:rPr>
          <w:sz w:val="24"/>
          <w:szCs w:val="24"/>
        </w:rPr>
      </w:pPr>
    </w:p>
    <w:p w14:paraId="74314986" w14:textId="77777777" w:rsidR="00067105" w:rsidRDefault="00067105">
      <w:pPr>
        <w:spacing w:before="240" w:after="240" w:line="360" w:lineRule="auto"/>
        <w:rPr>
          <w:sz w:val="24"/>
          <w:szCs w:val="24"/>
        </w:rPr>
      </w:pPr>
    </w:p>
    <w:p w14:paraId="6FA6342E" w14:textId="77777777" w:rsidR="00067105" w:rsidRDefault="00067105">
      <w:pPr>
        <w:spacing w:before="240" w:after="240" w:line="360" w:lineRule="auto"/>
        <w:rPr>
          <w:sz w:val="24"/>
          <w:szCs w:val="24"/>
        </w:rPr>
      </w:pPr>
    </w:p>
    <w:p w14:paraId="0C308CB2" w14:textId="77777777" w:rsidR="00067105" w:rsidRDefault="00067105">
      <w:pPr>
        <w:spacing w:before="240" w:after="240" w:line="360" w:lineRule="auto"/>
        <w:rPr>
          <w:sz w:val="24"/>
          <w:szCs w:val="24"/>
        </w:rPr>
      </w:pPr>
    </w:p>
    <w:p w14:paraId="6843318E" w14:textId="77777777" w:rsidR="00B744FD" w:rsidRDefault="00000000">
      <w:pPr>
        <w:spacing w:after="360" w:line="360" w:lineRule="auto"/>
        <w:rPr>
          <w:sz w:val="24"/>
          <w:szCs w:val="24"/>
        </w:rPr>
      </w:pPr>
      <w:r>
        <w:rPr>
          <w:b/>
          <w:bCs/>
          <w:sz w:val="24"/>
          <w:szCs w:val="24"/>
        </w:rPr>
        <w:lastRenderedPageBreak/>
        <w:t>References</w:t>
      </w:r>
    </w:p>
    <w:p w14:paraId="74D11157" w14:textId="77777777" w:rsidR="00B744FD" w:rsidRDefault="00000000">
      <w:pPr>
        <w:spacing w:before="240" w:after="240" w:line="360" w:lineRule="auto"/>
        <w:rPr>
          <w:sz w:val="24"/>
          <w:szCs w:val="24"/>
        </w:rPr>
      </w:pPr>
      <w:r>
        <w:rPr>
          <w:sz w:val="24"/>
          <w:szCs w:val="24"/>
        </w:rPr>
        <w:t xml:space="preserve">Alinsky, S. ([1971] 1989) </w:t>
      </w:r>
      <w:r>
        <w:rPr>
          <w:i/>
          <w:iCs/>
          <w:sz w:val="24"/>
          <w:szCs w:val="24"/>
        </w:rPr>
        <w:t>Rules for Radicals: A Pragmatic Primer for Realistic Radicals</w:t>
      </w:r>
      <w:r>
        <w:rPr>
          <w:sz w:val="24"/>
          <w:szCs w:val="24"/>
        </w:rPr>
        <w:t>. New York: Vintage.</w:t>
      </w:r>
    </w:p>
    <w:p w14:paraId="13932102" w14:textId="77777777" w:rsidR="00B744FD" w:rsidRDefault="00000000">
      <w:pPr>
        <w:spacing w:before="240" w:after="240" w:line="360" w:lineRule="auto"/>
        <w:rPr>
          <w:sz w:val="24"/>
          <w:szCs w:val="24"/>
        </w:rPr>
      </w:pPr>
      <w:r>
        <w:rPr>
          <w:sz w:val="24"/>
          <w:szCs w:val="24"/>
        </w:rPr>
        <w:t xml:space="preserve">Ansell, C. and Torfing, J. (2021) </w:t>
      </w:r>
      <w:r>
        <w:rPr>
          <w:i/>
          <w:iCs/>
          <w:sz w:val="24"/>
          <w:szCs w:val="24"/>
        </w:rPr>
        <w:t>Public Governance as Co-creation: A Strategy for Revitalizing the Public Sector and Rejuvenating Democracy</w:t>
      </w:r>
      <w:r>
        <w:rPr>
          <w:sz w:val="24"/>
          <w:szCs w:val="24"/>
        </w:rPr>
        <w:t>. Cambridge: Cambridge University Press.</w:t>
      </w:r>
    </w:p>
    <w:p w14:paraId="0E65FA82" w14:textId="77777777" w:rsidR="00B744FD" w:rsidRDefault="00000000">
      <w:pPr>
        <w:spacing w:before="240" w:after="240" w:line="360" w:lineRule="auto"/>
        <w:rPr>
          <w:sz w:val="24"/>
          <w:szCs w:val="24"/>
        </w:rPr>
      </w:pPr>
      <w:r>
        <w:rPr>
          <w:sz w:val="24"/>
          <w:szCs w:val="24"/>
        </w:rPr>
        <w:t xml:space="preserve">Argyris, C. and Schön, D.A. (1996) </w:t>
      </w:r>
      <w:r>
        <w:rPr>
          <w:i/>
          <w:iCs/>
          <w:sz w:val="24"/>
          <w:szCs w:val="24"/>
        </w:rPr>
        <w:t>Organizational Learning II: Theory, Method, and Practice</w:t>
      </w:r>
      <w:r>
        <w:rPr>
          <w:sz w:val="24"/>
          <w:szCs w:val="24"/>
        </w:rPr>
        <w:t>. Reading, MA: Addison-Wesley.</w:t>
      </w:r>
    </w:p>
    <w:p w14:paraId="79480A37" w14:textId="77777777" w:rsidR="00B744FD" w:rsidRDefault="00000000">
      <w:pPr>
        <w:spacing w:before="240" w:after="240" w:line="360" w:lineRule="auto"/>
        <w:rPr>
          <w:sz w:val="24"/>
          <w:szCs w:val="24"/>
        </w:rPr>
      </w:pPr>
      <w:r>
        <w:rPr>
          <w:sz w:val="24"/>
          <w:szCs w:val="24"/>
        </w:rPr>
        <w:t xml:space="preserve">Arnold, T. and McKenna, M.G. (2024) 'The "Great Survivor" lives on? Resilience, austerity and devolution in English local government', </w:t>
      </w:r>
      <w:r>
        <w:rPr>
          <w:i/>
          <w:iCs/>
          <w:sz w:val="24"/>
          <w:szCs w:val="24"/>
        </w:rPr>
        <w:t>Local Government Studies</w:t>
      </w:r>
      <w:r>
        <w:rPr>
          <w:sz w:val="24"/>
          <w:szCs w:val="24"/>
        </w:rPr>
        <w:t>, 50(6), pp. 1105–1117.</w:t>
      </w:r>
    </w:p>
    <w:p w14:paraId="5BBCDAA3" w14:textId="77777777" w:rsidR="00B744FD" w:rsidRDefault="00000000">
      <w:pPr>
        <w:spacing w:before="240" w:after="240" w:line="360" w:lineRule="auto"/>
        <w:rPr>
          <w:sz w:val="24"/>
          <w:szCs w:val="24"/>
        </w:rPr>
      </w:pPr>
      <w:r>
        <w:rPr>
          <w:sz w:val="24"/>
          <w:szCs w:val="24"/>
        </w:rPr>
        <w:t xml:space="preserve">Banks, S., Armstrong, A., Carter, K., Graham, H., Hayward, P., Henry, A., Holland, T., Holmes, C., Lee, A., McNulty, A., Moore, N., </w:t>
      </w:r>
      <w:proofErr w:type="spellStart"/>
      <w:r>
        <w:rPr>
          <w:sz w:val="24"/>
          <w:szCs w:val="24"/>
        </w:rPr>
        <w:t>Nayling</w:t>
      </w:r>
      <w:proofErr w:type="spellEnd"/>
      <w:r>
        <w:rPr>
          <w:sz w:val="24"/>
          <w:szCs w:val="24"/>
        </w:rPr>
        <w:t xml:space="preserve">, N., Stokoe, A. and Strachan, A. (2016) 'Everyday ethics in community-based participatory research', in Bannister, J. and </w:t>
      </w:r>
      <w:proofErr w:type="spellStart"/>
      <w:r>
        <w:rPr>
          <w:sz w:val="24"/>
          <w:szCs w:val="24"/>
        </w:rPr>
        <w:t>Hardill</w:t>
      </w:r>
      <w:proofErr w:type="spellEnd"/>
      <w:r>
        <w:rPr>
          <w:sz w:val="24"/>
          <w:szCs w:val="24"/>
        </w:rPr>
        <w:t xml:space="preserve">, I. (eds.) </w:t>
      </w:r>
      <w:r>
        <w:rPr>
          <w:i/>
          <w:iCs/>
          <w:sz w:val="24"/>
          <w:szCs w:val="24"/>
        </w:rPr>
        <w:t xml:space="preserve">Knowledge </w:t>
      </w:r>
      <w:proofErr w:type="spellStart"/>
      <w:r>
        <w:rPr>
          <w:i/>
          <w:iCs/>
          <w:sz w:val="24"/>
          <w:szCs w:val="24"/>
        </w:rPr>
        <w:t>Mobilisation</w:t>
      </w:r>
      <w:proofErr w:type="spellEnd"/>
      <w:r>
        <w:rPr>
          <w:i/>
          <w:iCs/>
          <w:sz w:val="24"/>
          <w:szCs w:val="24"/>
        </w:rPr>
        <w:t xml:space="preserve"> and the Social Sciences: Research Impact and Engagement</w:t>
      </w:r>
      <w:r>
        <w:rPr>
          <w:sz w:val="24"/>
          <w:szCs w:val="24"/>
        </w:rPr>
        <w:t>. London: Routledge, pp. 97–111.</w:t>
      </w:r>
    </w:p>
    <w:p w14:paraId="771C8663" w14:textId="77777777" w:rsidR="00B744FD" w:rsidRDefault="00000000">
      <w:pPr>
        <w:spacing w:before="240" w:after="240" w:line="360" w:lineRule="auto"/>
        <w:rPr>
          <w:sz w:val="24"/>
          <w:szCs w:val="24"/>
        </w:rPr>
      </w:pPr>
      <w:r>
        <w:rPr>
          <w:sz w:val="24"/>
          <w:szCs w:val="24"/>
        </w:rPr>
        <w:t xml:space="preserve">Banks, S. and Brydon-Miller, M. (2018) </w:t>
      </w:r>
      <w:r>
        <w:rPr>
          <w:i/>
          <w:iCs/>
          <w:sz w:val="24"/>
          <w:szCs w:val="24"/>
        </w:rPr>
        <w:t>Ethics in Participatory Research for Health and Social Well-being</w:t>
      </w:r>
      <w:r>
        <w:rPr>
          <w:sz w:val="24"/>
          <w:szCs w:val="24"/>
        </w:rPr>
        <w:t>. London: Routledge.</w:t>
      </w:r>
    </w:p>
    <w:p w14:paraId="1C5C88BE" w14:textId="77777777" w:rsidR="00B744FD" w:rsidRDefault="00000000">
      <w:pPr>
        <w:spacing w:before="240" w:after="240" w:line="360" w:lineRule="auto"/>
        <w:rPr>
          <w:sz w:val="24"/>
          <w:szCs w:val="24"/>
        </w:rPr>
      </w:pPr>
      <w:r>
        <w:rPr>
          <w:sz w:val="24"/>
          <w:szCs w:val="24"/>
        </w:rPr>
        <w:t xml:space="preserve">Bermeo, N. (2016) 'On democratic backsliding', </w:t>
      </w:r>
      <w:r>
        <w:rPr>
          <w:i/>
          <w:iCs/>
          <w:sz w:val="24"/>
          <w:szCs w:val="24"/>
        </w:rPr>
        <w:t>Journal of Democracy</w:t>
      </w:r>
      <w:r>
        <w:rPr>
          <w:sz w:val="24"/>
          <w:szCs w:val="24"/>
        </w:rPr>
        <w:t>, 27(1), pp. 5–19.</w:t>
      </w:r>
    </w:p>
    <w:p w14:paraId="24F68F68" w14:textId="77777777" w:rsidR="00B744FD" w:rsidRDefault="00000000">
      <w:pPr>
        <w:spacing w:before="240" w:after="240" w:line="360" w:lineRule="auto"/>
        <w:rPr>
          <w:sz w:val="24"/>
          <w:szCs w:val="24"/>
        </w:rPr>
      </w:pPr>
      <w:r>
        <w:rPr>
          <w:sz w:val="24"/>
          <w:szCs w:val="24"/>
        </w:rPr>
        <w:t xml:space="preserve">Boulton, J.G., Allen, P.M. and Bowman, C. (2015) </w:t>
      </w:r>
      <w:r>
        <w:rPr>
          <w:i/>
          <w:iCs/>
          <w:sz w:val="24"/>
          <w:szCs w:val="24"/>
        </w:rPr>
        <w:t>Embracing Complexity: Strategic Perspectives for an Age of Turbulence</w:t>
      </w:r>
      <w:r>
        <w:rPr>
          <w:sz w:val="24"/>
          <w:szCs w:val="24"/>
        </w:rPr>
        <w:t>. Oxford: Oxford University Press.</w:t>
      </w:r>
    </w:p>
    <w:p w14:paraId="21E84CF8" w14:textId="77777777" w:rsidR="00B744FD" w:rsidRDefault="00000000">
      <w:pPr>
        <w:spacing w:before="240" w:after="240" w:line="360" w:lineRule="auto"/>
        <w:rPr>
          <w:sz w:val="24"/>
          <w:szCs w:val="24"/>
        </w:rPr>
      </w:pPr>
      <w:r>
        <w:rPr>
          <w:sz w:val="24"/>
          <w:szCs w:val="24"/>
        </w:rPr>
        <w:t xml:space="preserve">Bourdieu, P. ([1980] 1990) </w:t>
      </w:r>
      <w:r>
        <w:rPr>
          <w:i/>
          <w:iCs/>
          <w:sz w:val="24"/>
          <w:szCs w:val="24"/>
        </w:rPr>
        <w:t>The Logic of Practice</w:t>
      </w:r>
      <w:r>
        <w:rPr>
          <w:sz w:val="24"/>
          <w:szCs w:val="24"/>
        </w:rPr>
        <w:t>. Translated by R. Nice. Stanford, CA: Stanford University Press.</w:t>
      </w:r>
    </w:p>
    <w:p w14:paraId="67DD84CE" w14:textId="77777777" w:rsidR="00B744FD" w:rsidRDefault="00000000">
      <w:pPr>
        <w:spacing w:before="240" w:after="240" w:line="360" w:lineRule="auto"/>
        <w:rPr>
          <w:sz w:val="24"/>
          <w:szCs w:val="24"/>
        </w:rPr>
      </w:pPr>
      <w:r>
        <w:rPr>
          <w:sz w:val="24"/>
          <w:szCs w:val="24"/>
        </w:rPr>
        <w:t xml:space="preserve">Bretherton, L. (2014) </w:t>
      </w:r>
      <w:r>
        <w:rPr>
          <w:i/>
          <w:iCs/>
          <w:sz w:val="24"/>
          <w:szCs w:val="24"/>
        </w:rPr>
        <w:t>Resurrecting Democracy: Faith, Citizenship, and the Politics of a Common Life</w:t>
      </w:r>
      <w:r>
        <w:rPr>
          <w:sz w:val="24"/>
          <w:szCs w:val="24"/>
        </w:rPr>
        <w:t>. Cambridge: Cambridge University Press.</w:t>
      </w:r>
    </w:p>
    <w:p w14:paraId="383CD450" w14:textId="77777777" w:rsidR="00B744FD" w:rsidRDefault="00000000">
      <w:pPr>
        <w:spacing w:before="240" w:after="240" w:line="360" w:lineRule="auto"/>
        <w:rPr>
          <w:sz w:val="24"/>
          <w:szCs w:val="24"/>
        </w:rPr>
      </w:pPr>
      <w:r>
        <w:rPr>
          <w:sz w:val="24"/>
          <w:szCs w:val="24"/>
        </w:rPr>
        <w:lastRenderedPageBreak/>
        <w:t xml:space="preserve">Cahill, C. (2007) 'Including excluded perspectives in participatory action research', </w:t>
      </w:r>
      <w:r>
        <w:rPr>
          <w:i/>
          <w:iCs/>
          <w:sz w:val="24"/>
          <w:szCs w:val="24"/>
        </w:rPr>
        <w:t>Design Studies</w:t>
      </w:r>
      <w:r>
        <w:rPr>
          <w:sz w:val="24"/>
          <w:szCs w:val="24"/>
        </w:rPr>
        <w:t>, 28(3), pp. 325–340.</w:t>
      </w:r>
    </w:p>
    <w:p w14:paraId="10A9D61C" w14:textId="77777777" w:rsidR="00B744FD" w:rsidRDefault="00000000">
      <w:pPr>
        <w:spacing w:before="240" w:after="240" w:line="360" w:lineRule="auto"/>
        <w:rPr>
          <w:sz w:val="24"/>
          <w:szCs w:val="24"/>
        </w:rPr>
      </w:pPr>
      <w:r>
        <w:rPr>
          <w:sz w:val="24"/>
          <w:szCs w:val="24"/>
        </w:rPr>
        <w:t xml:space="preserve">Chambers, E.T. (2018) </w:t>
      </w:r>
      <w:r>
        <w:rPr>
          <w:i/>
          <w:iCs/>
          <w:sz w:val="24"/>
          <w:szCs w:val="24"/>
        </w:rPr>
        <w:t>Roots for Radicals: Organizing for Power, Action, and Justice</w:t>
      </w:r>
      <w:r>
        <w:rPr>
          <w:sz w:val="24"/>
          <w:szCs w:val="24"/>
        </w:rPr>
        <w:t>. London: Bloomsbury.</w:t>
      </w:r>
    </w:p>
    <w:p w14:paraId="5E87A9DD" w14:textId="77777777" w:rsidR="00B744FD" w:rsidRDefault="00000000">
      <w:pPr>
        <w:spacing w:before="240" w:after="240" w:line="360" w:lineRule="auto"/>
        <w:rPr>
          <w:sz w:val="24"/>
          <w:szCs w:val="24"/>
        </w:rPr>
      </w:pPr>
      <w:r>
        <w:rPr>
          <w:sz w:val="24"/>
          <w:szCs w:val="24"/>
        </w:rPr>
        <w:t xml:space="preserve">Citizens UK (2019) </w:t>
      </w:r>
      <w:r>
        <w:rPr>
          <w:i/>
          <w:iCs/>
          <w:sz w:val="24"/>
          <w:szCs w:val="24"/>
        </w:rPr>
        <w:t xml:space="preserve">Annual Report: </w:t>
      </w:r>
      <w:proofErr w:type="spellStart"/>
      <w:r>
        <w:rPr>
          <w:i/>
          <w:iCs/>
          <w:sz w:val="24"/>
          <w:szCs w:val="24"/>
        </w:rPr>
        <w:t>Organising</w:t>
      </w:r>
      <w:proofErr w:type="spellEnd"/>
      <w:r>
        <w:rPr>
          <w:i/>
          <w:iCs/>
          <w:sz w:val="24"/>
          <w:szCs w:val="24"/>
        </w:rPr>
        <w:t xml:space="preserve"> and Social Impact 2019</w:t>
      </w:r>
      <w:r>
        <w:rPr>
          <w:sz w:val="24"/>
          <w:szCs w:val="24"/>
        </w:rPr>
        <w:t>. London: Citizens UK. Available at: https://citizensuk.contentfiles.net/media/documents/Annual_Report_2019-compressed.pdf (Accessed: 14 February 2026).</w:t>
      </w:r>
    </w:p>
    <w:p w14:paraId="158C7E3F" w14:textId="77777777" w:rsidR="00B744FD" w:rsidRDefault="00000000">
      <w:pPr>
        <w:spacing w:before="240" w:after="240" w:line="360" w:lineRule="auto"/>
        <w:rPr>
          <w:sz w:val="24"/>
          <w:szCs w:val="24"/>
        </w:rPr>
      </w:pPr>
      <w:r>
        <w:rPr>
          <w:sz w:val="24"/>
          <w:szCs w:val="24"/>
        </w:rPr>
        <w:t xml:space="preserve">Cooke, B. and Kothari, U. (2001) </w:t>
      </w:r>
      <w:r>
        <w:rPr>
          <w:i/>
          <w:iCs/>
          <w:sz w:val="24"/>
          <w:szCs w:val="24"/>
        </w:rPr>
        <w:t>Participation: The New Tyranny?</w:t>
      </w:r>
      <w:r>
        <w:rPr>
          <w:sz w:val="24"/>
          <w:szCs w:val="24"/>
        </w:rPr>
        <w:t xml:space="preserve"> London: Zed Books.</w:t>
      </w:r>
    </w:p>
    <w:p w14:paraId="49D3ED22" w14:textId="77777777" w:rsidR="00B744FD" w:rsidRDefault="00000000">
      <w:pPr>
        <w:spacing w:before="240" w:after="240" w:line="360" w:lineRule="auto"/>
        <w:rPr>
          <w:sz w:val="24"/>
          <w:szCs w:val="24"/>
        </w:rPr>
      </w:pPr>
      <w:r>
        <w:rPr>
          <w:sz w:val="24"/>
          <w:szCs w:val="24"/>
        </w:rPr>
        <w:t xml:space="preserve">Cunliffe, A.L. (2003) 'Reflexive inquiry in organizational research: questions and possibilities', </w:t>
      </w:r>
      <w:r>
        <w:rPr>
          <w:i/>
          <w:iCs/>
          <w:sz w:val="24"/>
          <w:szCs w:val="24"/>
        </w:rPr>
        <w:t>Human Relations</w:t>
      </w:r>
      <w:r>
        <w:rPr>
          <w:sz w:val="24"/>
          <w:szCs w:val="24"/>
        </w:rPr>
        <w:t>, 56(8), pp. 983–1003.</w:t>
      </w:r>
    </w:p>
    <w:p w14:paraId="623D1EAC" w14:textId="77777777" w:rsidR="00B744FD" w:rsidRDefault="00000000">
      <w:pPr>
        <w:spacing w:before="240" w:after="240" w:line="360" w:lineRule="auto"/>
        <w:rPr>
          <w:sz w:val="24"/>
          <w:szCs w:val="24"/>
        </w:rPr>
      </w:pPr>
      <w:r>
        <w:rPr>
          <w:sz w:val="24"/>
          <w:szCs w:val="24"/>
        </w:rPr>
        <w:t xml:space="preserve">Dreyfus, H.L. and Dreyfus, S.E. (1986) </w:t>
      </w:r>
      <w:r>
        <w:rPr>
          <w:i/>
          <w:iCs/>
          <w:sz w:val="24"/>
          <w:szCs w:val="24"/>
        </w:rPr>
        <w:t>Mind Over Machine: The Power of Human Intuition and Expertise in the Era of the Computer</w:t>
      </w:r>
      <w:r>
        <w:rPr>
          <w:sz w:val="24"/>
          <w:szCs w:val="24"/>
        </w:rPr>
        <w:t>. New York: Free Press.</w:t>
      </w:r>
    </w:p>
    <w:p w14:paraId="5DCE86D9" w14:textId="77777777" w:rsidR="00B744FD" w:rsidRDefault="00000000">
      <w:pPr>
        <w:spacing w:before="240" w:after="240" w:line="360" w:lineRule="auto"/>
        <w:rPr>
          <w:sz w:val="24"/>
          <w:szCs w:val="24"/>
        </w:rPr>
      </w:pPr>
      <w:r>
        <w:rPr>
          <w:sz w:val="24"/>
          <w:szCs w:val="24"/>
        </w:rPr>
        <w:t xml:space="preserve">Eraut, M. (2004) 'Informal learning in the workplace', </w:t>
      </w:r>
      <w:r>
        <w:rPr>
          <w:i/>
          <w:iCs/>
          <w:sz w:val="24"/>
          <w:szCs w:val="24"/>
        </w:rPr>
        <w:t>Studies in Continuing Education</w:t>
      </w:r>
      <w:r>
        <w:rPr>
          <w:sz w:val="24"/>
          <w:szCs w:val="24"/>
        </w:rPr>
        <w:t>, 26(2), pp. 247–273.</w:t>
      </w:r>
    </w:p>
    <w:p w14:paraId="57180EEB" w14:textId="77777777" w:rsidR="00B744FD" w:rsidRDefault="00000000">
      <w:pPr>
        <w:spacing w:before="240" w:after="240" w:line="360" w:lineRule="auto"/>
        <w:rPr>
          <w:sz w:val="24"/>
          <w:szCs w:val="24"/>
        </w:rPr>
      </w:pPr>
      <w:r>
        <w:rPr>
          <w:sz w:val="24"/>
          <w:szCs w:val="24"/>
        </w:rPr>
        <w:t xml:space="preserve">Flinders, M., Wood, M. and Cunningham, M. (2016) 'The politics of co-production: risks, limits and pollution', </w:t>
      </w:r>
      <w:r>
        <w:rPr>
          <w:i/>
          <w:iCs/>
          <w:sz w:val="24"/>
          <w:szCs w:val="24"/>
        </w:rPr>
        <w:t>Evidence &amp; Policy</w:t>
      </w:r>
      <w:r>
        <w:rPr>
          <w:sz w:val="24"/>
          <w:szCs w:val="24"/>
        </w:rPr>
        <w:t>, 12(2), pp. 261–279.</w:t>
      </w:r>
    </w:p>
    <w:p w14:paraId="51013047" w14:textId="77777777" w:rsidR="00B744FD" w:rsidRDefault="00000000">
      <w:pPr>
        <w:spacing w:before="240" w:after="240" w:line="360" w:lineRule="auto"/>
        <w:rPr>
          <w:sz w:val="24"/>
          <w:szCs w:val="24"/>
        </w:rPr>
      </w:pPr>
      <w:r>
        <w:rPr>
          <w:sz w:val="24"/>
          <w:szCs w:val="24"/>
        </w:rPr>
        <w:t xml:space="preserve">Flyvbjerg, B. (2001) </w:t>
      </w:r>
      <w:r>
        <w:rPr>
          <w:i/>
          <w:iCs/>
          <w:sz w:val="24"/>
          <w:szCs w:val="24"/>
        </w:rPr>
        <w:t>Making Social Science Matter: Why Social Inquiry Fails and How It Can Succeed Again</w:t>
      </w:r>
      <w:r>
        <w:rPr>
          <w:sz w:val="24"/>
          <w:szCs w:val="24"/>
        </w:rPr>
        <w:t>. Cambridge: Cambridge University Press.</w:t>
      </w:r>
    </w:p>
    <w:p w14:paraId="35A5E4A4" w14:textId="77777777" w:rsidR="00B744FD" w:rsidRDefault="00000000">
      <w:pPr>
        <w:spacing w:before="240" w:after="240"/>
        <w:rPr>
          <w:sz w:val="24"/>
          <w:szCs w:val="24"/>
        </w:rPr>
      </w:pPr>
      <w:r>
        <w:rPr>
          <w:sz w:val="24"/>
          <w:szCs w:val="24"/>
        </w:rPr>
        <w:t xml:space="preserve">Freire, P. (1970) </w:t>
      </w:r>
      <w:r>
        <w:rPr>
          <w:i/>
          <w:iCs/>
          <w:sz w:val="24"/>
          <w:szCs w:val="24"/>
        </w:rPr>
        <w:t>Pedagogy of the Oppressed</w:t>
      </w:r>
      <w:r>
        <w:rPr>
          <w:sz w:val="24"/>
          <w:szCs w:val="24"/>
        </w:rPr>
        <w:t>. Translated by M.B. Ramos. New York: Herder and Herder.</w:t>
      </w:r>
    </w:p>
    <w:p w14:paraId="3841410B" w14:textId="77777777" w:rsidR="00B744FD" w:rsidRDefault="00000000">
      <w:pPr>
        <w:spacing w:before="240" w:after="240" w:line="360" w:lineRule="auto"/>
        <w:rPr>
          <w:sz w:val="24"/>
          <w:szCs w:val="24"/>
        </w:rPr>
      </w:pPr>
      <w:r>
        <w:rPr>
          <w:sz w:val="24"/>
          <w:szCs w:val="24"/>
        </w:rPr>
        <w:t xml:space="preserve">Fricker, M. (2007) </w:t>
      </w:r>
      <w:r>
        <w:rPr>
          <w:i/>
          <w:iCs/>
          <w:sz w:val="24"/>
          <w:szCs w:val="24"/>
        </w:rPr>
        <w:t>Epistemic Injustice: Power and the Ethics of Knowing</w:t>
      </w:r>
      <w:r>
        <w:rPr>
          <w:sz w:val="24"/>
          <w:szCs w:val="24"/>
        </w:rPr>
        <w:t>. Oxford: Oxford University Press.</w:t>
      </w:r>
    </w:p>
    <w:p w14:paraId="3A691831" w14:textId="77777777" w:rsidR="00B744FD" w:rsidRDefault="00000000">
      <w:pPr>
        <w:spacing w:before="240" w:after="240" w:line="360" w:lineRule="auto"/>
        <w:rPr>
          <w:sz w:val="24"/>
          <w:szCs w:val="24"/>
        </w:rPr>
      </w:pPr>
      <w:r>
        <w:rPr>
          <w:sz w:val="24"/>
          <w:szCs w:val="24"/>
        </w:rPr>
        <w:t xml:space="preserve">Ganz, M. (2010) 'Leading change: leadership, organization, and social movements', in Nohria, N. and Khurana, R. (eds.) </w:t>
      </w:r>
      <w:r>
        <w:rPr>
          <w:i/>
          <w:iCs/>
          <w:sz w:val="24"/>
          <w:szCs w:val="24"/>
        </w:rPr>
        <w:t xml:space="preserve">Handbook of Leadership Theory and Practice: A </w:t>
      </w:r>
      <w:r>
        <w:rPr>
          <w:i/>
          <w:iCs/>
          <w:sz w:val="24"/>
          <w:szCs w:val="24"/>
        </w:rPr>
        <w:lastRenderedPageBreak/>
        <w:t>Harvard Business School Centennial Colloquium</w:t>
      </w:r>
      <w:r>
        <w:rPr>
          <w:sz w:val="24"/>
          <w:szCs w:val="24"/>
        </w:rPr>
        <w:t>. Boston, MA: Harvard Business Press, pp. 509–550.</w:t>
      </w:r>
    </w:p>
    <w:p w14:paraId="6CD1D76E" w14:textId="77777777" w:rsidR="00B744FD" w:rsidRDefault="00000000">
      <w:pPr>
        <w:spacing w:before="240" w:after="240" w:line="360" w:lineRule="auto"/>
        <w:rPr>
          <w:sz w:val="24"/>
          <w:szCs w:val="24"/>
        </w:rPr>
      </w:pPr>
      <w:r>
        <w:rPr>
          <w:sz w:val="24"/>
          <w:szCs w:val="24"/>
        </w:rPr>
        <w:t xml:space="preserve">Ganz, M. (2024) </w:t>
      </w:r>
      <w:r>
        <w:rPr>
          <w:i/>
          <w:iCs/>
          <w:sz w:val="24"/>
          <w:szCs w:val="24"/>
        </w:rPr>
        <w:t>People, Power, Change: Organizing for Democratic Renewal</w:t>
      </w:r>
      <w:r>
        <w:rPr>
          <w:sz w:val="24"/>
          <w:szCs w:val="24"/>
        </w:rPr>
        <w:t>. New York: Oxford University Press.</w:t>
      </w:r>
    </w:p>
    <w:p w14:paraId="494289AD" w14:textId="77777777" w:rsidR="00B744FD" w:rsidRDefault="00000000">
      <w:pPr>
        <w:spacing w:before="240" w:after="240" w:line="360" w:lineRule="auto"/>
        <w:rPr>
          <w:sz w:val="24"/>
          <w:szCs w:val="24"/>
        </w:rPr>
      </w:pPr>
      <w:r>
        <w:rPr>
          <w:sz w:val="24"/>
          <w:szCs w:val="24"/>
        </w:rPr>
        <w:t xml:space="preserve">Han, H. (2014) </w:t>
      </w:r>
      <w:r>
        <w:rPr>
          <w:i/>
          <w:iCs/>
          <w:sz w:val="24"/>
          <w:szCs w:val="24"/>
        </w:rPr>
        <w:t>How Organizations Develop Activists: Civic Associations and Leadership in the 21st Century</w:t>
      </w:r>
      <w:r>
        <w:rPr>
          <w:sz w:val="24"/>
          <w:szCs w:val="24"/>
        </w:rPr>
        <w:t>. Oxford: Oxford University Press.</w:t>
      </w:r>
    </w:p>
    <w:p w14:paraId="18A88F49" w14:textId="77777777" w:rsidR="00B744FD" w:rsidRDefault="00000000">
      <w:pPr>
        <w:spacing w:before="240" w:after="240" w:line="360" w:lineRule="auto"/>
        <w:rPr>
          <w:sz w:val="24"/>
          <w:szCs w:val="24"/>
        </w:rPr>
      </w:pPr>
      <w:r>
        <w:rPr>
          <w:sz w:val="24"/>
          <w:szCs w:val="24"/>
        </w:rPr>
        <w:t xml:space="preserve">Han, H., McKenna, E. and Oyakawa, M. (2021) </w:t>
      </w:r>
      <w:r>
        <w:rPr>
          <w:i/>
          <w:iCs/>
          <w:sz w:val="24"/>
          <w:szCs w:val="24"/>
        </w:rPr>
        <w:t>Prisms of the People: Power and Organizing in Twenty-</w:t>
      </w:r>
      <w:proofErr w:type="gramStart"/>
      <w:r>
        <w:rPr>
          <w:i/>
          <w:iCs/>
          <w:sz w:val="24"/>
          <w:szCs w:val="24"/>
        </w:rPr>
        <w:t>First-Century America</w:t>
      </w:r>
      <w:proofErr w:type="gramEnd"/>
      <w:r>
        <w:rPr>
          <w:sz w:val="24"/>
          <w:szCs w:val="24"/>
        </w:rPr>
        <w:t>. Chicago: University of Chicago Press.</w:t>
      </w:r>
    </w:p>
    <w:p w14:paraId="158DAA68" w14:textId="77777777" w:rsidR="00B744FD" w:rsidRDefault="00000000">
      <w:pPr>
        <w:spacing w:before="240" w:after="240" w:line="360" w:lineRule="auto"/>
        <w:rPr>
          <w:sz w:val="24"/>
          <w:szCs w:val="24"/>
        </w:rPr>
      </w:pPr>
      <w:r>
        <w:rPr>
          <w:sz w:val="24"/>
          <w:szCs w:val="24"/>
        </w:rPr>
        <w:t xml:space="preserve">Haraway, D. ([1988] 2013) 'Situated knowledges: the science question in feminism and the privilege of partial perspective', in Wyer, M., </w:t>
      </w:r>
      <w:proofErr w:type="spellStart"/>
      <w:r>
        <w:rPr>
          <w:sz w:val="24"/>
          <w:szCs w:val="24"/>
        </w:rPr>
        <w:t>Barbercheck</w:t>
      </w:r>
      <w:proofErr w:type="spellEnd"/>
      <w:r>
        <w:rPr>
          <w:sz w:val="24"/>
          <w:szCs w:val="24"/>
        </w:rPr>
        <w:t xml:space="preserve">, M., </w:t>
      </w:r>
      <w:proofErr w:type="spellStart"/>
      <w:r>
        <w:rPr>
          <w:sz w:val="24"/>
          <w:szCs w:val="24"/>
        </w:rPr>
        <w:t>Cookmeyer</w:t>
      </w:r>
      <w:proofErr w:type="spellEnd"/>
      <w:r>
        <w:rPr>
          <w:sz w:val="24"/>
          <w:szCs w:val="24"/>
        </w:rPr>
        <w:t xml:space="preserve">, D., Ozturk, H. and Wayne, M. (eds.) </w:t>
      </w:r>
      <w:r>
        <w:rPr>
          <w:i/>
          <w:iCs/>
          <w:sz w:val="24"/>
          <w:szCs w:val="24"/>
        </w:rPr>
        <w:t>Women, Science, and Technology: A Reader in Feminist Science Studies</w:t>
      </w:r>
      <w:r>
        <w:rPr>
          <w:sz w:val="24"/>
          <w:szCs w:val="24"/>
        </w:rPr>
        <w:t xml:space="preserve">. 3rd </w:t>
      </w:r>
      <w:proofErr w:type="spellStart"/>
      <w:r>
        <w:rPr>
          <w:sz w:val="24"/>
          <w:szCs w:val="24"/>
        </w:rPr>
        <w:t>edn</w:t>
      </w:r>
      <w:proofErr w:type="spellEnd"/>
      <w:r>
        <w:rPr>
          <w:sz w:val="24"/>
          <w:szCs w:val="24"/>
        </w:rPr>
        <w:t>. New York: Routledge, pp. 455–472.</w:t>
      </w:r>
    </w:p>
    <w:p w14:paraId="76CF04CF" w14:textId="77777777" w:rsidR="00B744FD" w:rsidRDefault="00000000">
      <w:pPr>
        <w:spacing w:before="240" w:after="240" w:line="360" w:lineRule="auto"/>
        <w:rPr>
          <w:sz w:val="24"/>
          <w:szCs w:val="24"/>
        </w:rPr>
      </w:pPr>
      <w:r>
        <w:rPr>
          <w:sz w:val="24"/>
          <w:szCs w:val="24"/>
        </w:rPr>
        <w:t xml:space="preserve">Institute for Government (2025) </w:t>
      </w:r>
      <w:r>
        <w:rPr>
          <w:i/>
          <w:iCs/>
          <w:sz w:val="24"/>
          <w:szCs w:val="24"/>
        </w:rPr>
        <w:t>Performance Tracker 2025: Local Government</w:t>
      </w:r>
      <w:r>
        <w:rPr>
          <w:sz w:val="24"/>
          <w:szCs w:val="24"/>
        </w:rPr>
        <w:t>. London: Institute for Government. Available at: https://www.instituteforgovernment.org.uk/publication/performance-tracker-2025/local-services/overview (Accessed: 17 March 2026).</w:t>
      </w:r>
    </w:p>
    <w:p w14:paraId="7EF87FC4" w14:textId="77777777" w:rsidR="00B744FD" w:rsidRDefault="00000000">
      <w:pPr>
        <w:spacing w:before="240" w:after="240" w:line="360" w:lineRule="auto"/>
        <w:rPr>
          <w:sz w:val="24"/>
          <w:szCs w:val="24"/>
        </w:rPr>
      </w:pPr>
      <w:r>
        <w:rPr>
          <w:sz w:val="24"/>
          <w:szCs w:val="24"/>
        </w:rPr>
        <w:t xml:space="preserve">Kolb, D.A. (2014) </w:t>
      </w:r>
      <w:r>
        <w:rPr>
          <w:i/>
          <w:iCs/>
          <w:sz w:val="24"/>
          <w:szCs w:val="24"/>
        </w:rPr>
        <w:t>Experiential Learning: Experience as the Source of Learning and Development</w:t>
      </w:r>
      <w:r>
        <w:rPr>
          <w:sz w:val="24"/>
          <w:szCs w:val="24"/>
        </w:rPr>
        <w:t>. Upper Saddle River, NJ: FT Press.</w:t>
      </w:r>
    </w:p>
    <w:p w14:paraId="1E4A8B19" w14:textId="77777777" w:rsidR="00B744FD" w:rsidRDefault="00000000">
      <w:pPr>
        <w:spacing w:before="240" w:after="240" w:line="360" w:lineRule="auto"/>
        <w:rPr>
          <w:sz w:val="24"/>
          <w:szCs w:val="24"/>
        </w:rPr>
      </w:pPr>
      <w:r>
        <w:rPr>
          <w:sz w:val="24"/>
          <w:szCs w:val="24"/>
        </w:rPr>
        <w:t xml:space="preserve">Kurtz, C.F. and Snowden, D.J. (2003) 'The new dynamics of strategy: sense-making in a complex and complicated world', </w:t>
      </w:r>
      <w:r>
        <w:rPr>
          <w:i/>
          <w:iCs/>
          <w:sz w:val="24"/>
          <w:szCs w:val="24"/>
        </w:rPr>
        <w:t>IBM Systems Journal</w:t>
      </w:r>
      <w:r>
        <w:rPr>
          <w:sz w:val="24"/>
          <w:szCs w:val="24"/>
        </w:rPr>
        <w:t>, 42(3), pp. 462–483.</w:t>
      </w:r>
    </w:p>
    <w:p w14:paraId="2CC71287" w14:textId="77777777" w:rsidR="00B744FD" w:rsidRDefault="00000000">
      <w:pPr>
        <w:spacing w:before="240" w:after="240" w:line="360" w:lineRule="auto"/>
        <w:rPr>
          <w:sz w:val="24"/>
          <w:szCs w:val="24"/>
        </w:rPr>
      </w:pPr>
      <w:r>
        <w:rPr>
          <w:sz w:val="24"/>
          <w:szCs w:val="24"/>
        </w:rPr>
        <w:t xml:space="preserve">LGIU (2025) </w:t>
      </w:r>
      <w:r>
        <w:rPr>
          <w:i/>
          <w:iCs/>
          <w:sz w:val="24"/>
          <w:szCs w:val="24"/>
        </w:rPr>
        <w:t>The State of Local Government Finance in England 2025</w:t>
      </w:r>
      <w:r>
        <w:rPr>
          <w:sz w:val="24"/>
          <w:szCs w:val="24"/>
        </w:rPr>
        <w:t>. London: Local Government Information Unit. Available at: https://lgiu.org/publication/the-state-of-local-government-finance-in-england-2025/ (Accessed: 26 May 2026).</w:t>
      </w:r>
    </w:p>
    <w:p w14:paraId="6C1E93B7" w14:textId="77777777" w:rsidR="00B744FD" w:rsidRDefault="00000000">
      <w:pPr>
        <w:spacing w:before="240" w:after="240" w:line="360" w:lineRule="auto"/>
        <w:rPr>
          <w:sz w:val="24"/>
          <w:szCs w:val="24"/>
        </w:rPr>
      </w:pPr>
      <w:r>
        <w:rPr>
          <w:sz w:val="24"/>
          <w:szCs w:val="24"/>
        </w:rPr>
        <w:t xml:space="preserve">Locality (2025) </w:t>
      </w:r>
      <w:r>
        <w:rPr>
          <w:i/>
          <w:iCs/>
          <w:sz w:val="24"/>
          <w:szCs w:val="24"/>
        </w:rPr>
        <w:t>What's Next? How Government Can Achieve Its Community Power Ambitions</w:t>
      </w:r>
      <w:r>
        <w:rPr>
          <w:sz w:val="24"/>
          <w:szCs w:val="24"/>
        </w:rPr>
        <w:t>. London: Locality. Available at: https://locality.org.uk/news/how-government-can-achieve-its-community-power-ambitions (Accessed: 14 May 2026).</w:t>
      </w:r>
    </w:p>
    <w:p w14:paraId="6C15C90A" w14:textId="77777777" w:rsidR="00B744FD" w:rsidRDefault="00000000">
      <w:pPr>
        <w:spacing w:before="240" w:after="240" w:line="360" w:lineRule="auto"/>
        <w:rPr>
          <w:sz w:val="24"/>
          <w:szCs w:val="24"/>
        </w:rPr>
      </w:pPr>
      <w:r>
        <w:rPr>
          <w:sz w:val="24"/>
          <w:szCs w:val="24"/>
        </w:rPr>
        <w:lastRenderedPageBreak/>
        <w:t xml:space="preserve">Lukes, S. (2005) </w:t>
      </w:r>
      <w:r>
        <w:rPr>
          <w:i/>
          <w:iCs/>
          <w:sz w:val="24"/>
          <w:szCs w:val="24"/>
        </w:rPr>
        <w:t>Power: A Radical View</w:t>
      </w:r>
      <w:r>
        <w:rPr>
          <w:sz w:val="24"/>
          <w:szCs w:val="24"/>
        </w:rPr>
        <w:t xml:space="preserve">. 2nd </w:t>
      </w:r>
      <w:proofErr w:type="spellStart"/>
      <w:r>
        <w:rPr>
          <w:sz w:val="24"/>
          <w:szCs w:val="24"/>
        </w:rPr>
        <w:t>edn</w:t>
      </w:r>
      <w:proofErr w:type="spellEnd"/>
      <w:r>
        <w:rPr>
          <w:sz w:val="24"/>
          <w:szCs w:val="24"/>
        </w:rPr>
        <w:t>. Basingstoke: Palgrave Macmillan.</w:t>
      </w:r>
    </w:p>
    <w:p w14:paraId="1ACE84B0" w14:textId="77777777" w:rsidR="00B744FD" w:rsidRDefault="00000000">
      <w:pPr>
        <w:spacing w:before="240" w:after="240" w:line="360" w:lineRule="auto"/>
        <w:rPr>
          <w:sz w:val="24"/>
          <w:szCs w:val="24"/>
        </w:rPr>
      </w:pPr>
      <w:proofErr w:type="spellStart"/>
      <w:r>
        <w:rPr>
          <w:sz w:val="24"/>
          <w:szCs w:val="24"/>
        </w:rPr>
        <w:t>Maeckelbergh</w:t>
      </w:r>
      <w:proofErr w:type="spellEnd"/>
      <w:r>
        <w:rPr>
          <w:sz w:val="24"/>
          <w:szCs w:val="24"/>
        </w:rPr>
        <w:t xml:space="preserve">, M. (2011) 'Doing is believing: prefiguration as strategic practice in the </w:t>
      </w:r>
      <w:proofErr w:type="spellStart"/>
      <w:r>
        <w:rPr>
          <w:sz w:val="24"/>
          <w:szCs w:val="24"/>
        </w:rPr>
        <w:t>alterglobalization</w:t>
      </w:r>
      <w:proofErr w:type="spellEnd"/>
      <w:r>
        <w:rPr>
          <w:sz w:val="24"/>
          <w:szCs w:val="24"/>
        </w:rPr>
        <w:t xml:space="preserve"> movement', </w:t>
      </w:r>
      <w:r>
        <w:rPr>
          <w:i/>
          <w:iCs/>
          <w:sz w:val="24"/>
          <w:szCs w:val="24"/>
        </w:rPr>
        <w:t>Social Movement Studies</w:t>
      </w:r>
      <w:r>
        <w:rPr>
          <w:sz w:val="24"/>
          <w:szCs w:val="24"/>
        </w:rPr>
        <w:t>, 10(1), pp. 1–20.</w:t>
      </w:r>
    </w:p>
    <w:p w14:paraId="7FC517BE" w14:textId="77777777" w:rsidR="00B744FD" w:rsidRDefault="00000000">
      <w:pPr>
        <w:spacing w:before="240" w:after="240" w:line="360" w:lineRule="auto"/>
        <w:rPr>
          <w:sz w:val="24"/>
          <w:szCs w:val="24"/>
        </w:rPr>
      </w:pPr>
      <w:r>
        <w:rPr>
          <w:sz w:val="24"/>
          <w:szCs w:val="24"/>
        </w:rPr>
        <w:t xml:space="preserve">Medina, J. (2013) </w:t>
      </w:r>
      <w:r>
        <w:rPr>
          <w:i/>
          <w:iCs/>
          <w:sz w:val="24"/>
          <w:szCs w:val="24"/>
        </w:rPr>
        <w:t>The Epistemology of Resistance: Gender and Racial Oppression, Epistemic Injustice, and Resistant Imaginations</w:t>
      </w:r>
      <w:r>
        <w:rPr>
          <w:sz w:val="24"/>
          <w:szCs w:val="24"/>
        </w:rPr>
        <w:t>. Oxford: Oxford University Press.</w:t>
      </w:r>
    </w:p>
    <w:p w14:paraId="472CE2FD" w14:textId="77777777" w:rsidR="00B744FD" w:rsidRDefault="00000000">
      <w:pPr>
        <w:spacing w:before="240" w:after="240" w:line="360" w:lineRule="auto"/>
        <w:rPr>
          <w:sz w:val="24"/>
          <w:szCs w:val="24"/>
        </w:rPr>
      </w:pPr>
      <w:r>
        <w:rPr>
          <w:sz w:val="24"/>
          <w:szCs w:val="24"/>
        </w:rPr>
        <w:t xml:space="preserve">NCVO (2024) </w:t>
      </w:r>
      <w:r>
        <w:rPr>
          <w:i/>
          <w:iCs/>
          <w:sz w:val="24"/>
          <w:szCs w:val="24"/>
        </w:rPr>
        <w:t>The Road Ahead 2024: Opportunities and Challenges for the Voluntary Sector</w:t>
      </w:r>
      <w:r>
        <w:rPr>
          <w:sz w:val="24"/>
          <w:szCs w:val="24"/>
        </w:rPr>
        <w:t xml:space="preserve">. London: National Council for Voluntary </w:t>
      </w:r>
      <w:proofErr w:type="spellStart"/>
      <w:r>
        <w:rPr>
          <w:sz w:val="24"/>
          <w:szCs w:val="24"/>
        </w:rPr>
        <w:t>Organisations</w:t>
      </w:r>
      <w:proofErr w:type="spellEnd"/>
      <w:r>
        <w:rPr>
          <w:sz w:val="24"/>
          <w:szCs w:val="24"/>
        </w:rPr>
        <w:t>.</w:t>
      </w:r>
    </w:p>
    <w:p w14:paraId="200CCD44" w14:textId="77777777" w:rsidR="00B744FD" w:rsidRDefault="00000000">
      <w:pPr>
        <w:spacing w:before="240" w:after="240" w:line="360" w:lineRule="auto"/>
        <w:rPr>
          <w:sz w:val="24"/>
          <w:szCs w:val="24"/>
        </w:rPr>
      </w:pPr>
      <w:r>
        <w:rPr>
          <w:sz w:val="24"/>
          <w:szCs w:val="24"/>
        </w:rPr>
        <w:t xml:space="preserve">New Local (2021) </w:t>
      </w:r>
      <w:r>
        <w:rPr>
          <w:i/>
          <w:iCs/>
          <w:sz w:val="24"/>
          <w:szCs w:val="24"/>
        </w:rPr>
        <w:t>Community Power: The Evidence</w:t>
      </w:r>
      <w:r>
        <w:rPr>
          <w:sz w:val="24"/>
          <w:szCs w:val="24"/>
        </w:rPr>
        <w:t>. London: New Local.</w:t>
      </w:r>
    </w:p>
    <w:p w14:paraId="262B7CE0" w14:textId="77777777" w:rsidR="00B744FD" w:rsidRDefault="00000000">
      <w:pPr>
        <w:spacing w:before="240" w:after="240" w:line="360" w:lineRule="auto"/>
        <w:rPr>
          <w:sz w:val="24"/>
          <w:szCs w:val="24"/>
        </w:rPr>
      </w:pPr>
      <w:r>
        <w:rPr>
          <w:sz w:val="24"/>
          <w:szCs w:val="24"/>
        </w:rPr>
        <w:t xml:space="preserve">Nicolini, D. (2012) </w:t>
      </w:r>
      <w:r>
        <w:rPr>
          <w:i/>
          <w:iCs/>
          <w:sz w:val="24"/>
          <w:szCs w:val="24"/>
        </w:rPr>
        <w:t>Practice Theory, Work, and Organization: An Introduction</w:t>
      </w:r>
      <w:r>
        <w:rPr>
          <w:sz w:val="24"/>
          <w:szCs w:val="24"/>
        </w:rPr>
        <w:t>. Oxford: Oxford University Press.</w:t>
      </w:r>
    </w:p>
    <w:p w14:paraId="6D6268AD" w14:textId="77777777" w:rsidR="00B744FD" w:rsidRDefault="00000000">
      <w:pPr>
        <w:spacing w:before="240" w:after="240" w:line="360" w:lineRule="auto"/>
        <w:rPr>
          <w:sz w:val="24"/>
          <w:szCs w:val="24"/>
        </w:rPr>
      </w:pPr>
      <w:r>
        <w:rPr>
          <w:sz w:val="24"/>
          <w:szCs w:val="24"/>
        </w:rPr>
        <w:t xml:space="preserve">Ogden, K. and Phillips, D. (2024) </w:t>
      </w:r>
      <w:r>
        <w:rPr>
          <w:i/>
          <w:iCs/>
          <w:sz w:val="24"/>
          <w:szCs w:val="24"/>
        </w:rPr>
        <w:t>How Have English Councils' Funding and Spending Changed? 2010 to 2024</w:t>
      </w:r>
      <w:r>
        <w:rPr>
          <w:sz w:val="24"/>
          <w:szCs w:val="24"/>
        </w:rPr>
        <w:t>. London: Institute for Fiscal Studies. Available at: https://ifs.org.uk/publications/how-have-english-councils-funding-and-spending-changed-2010-2024 (Accessed: 3 June 2026).</w:t>
      </w:r>
    </w:p>
    <w:p w14:paraId="7356A3BD" w14:textId="77777777" w:rsidR="00B744FD" w:rsidRDefault="00000000">
      <w:pPr>
        <w:spacing w:before="240" w:after="240" w:line="360" w:lineRule="auto"/>
        <w:rPr>
          <w:sz w:val="24"/>
          <w:szCs w:val="24"/>
        </w:rPr>
      </w:pPr>
      <w:r>
        <w:rPr>
          <w:sz w:val="24"/>
          <w:szCs w:val="24"/>
        </w:rPr>
        <w:t xml:space="preserve">Polanyi, M. (1966) </w:t>
      </w:r>
      <w:r>
        <w:rPr>
          <w:i/>
          <w:iCs/>
          <w:sz w:val="24"/>
          <w:szCs w:val="24"/>
        </w:rPr>
        <w:t>The Tacit Dimension</w:t>
      </w:r>
      <w:r>
        <w:rPr>
          <w:sz w:val="24"/>
          <w:szCs w:val="24"/>
        </w:rPr>
        <w:t>. London: Routledge &amp; Kegan Paul.</w:t>
      </w:r>
    </w:p>
    <w:p w14:paraId="5DD48344" w14:textId="77777777" w:rsidR="00B744FD" w:rsidRDefault="00000000">
      <w:pPr>
        <w:spacing w:before="240" w:after="240" w:line="360" w:lineRule="auto"/>
        <w:rPr>
          <w:sz w:val="24"/>
          <w:szCs w:val="24"/>
        </w:rPr>
      </w:pPr>
      <w:r>
        <w:rPr>
          <w:sz w:val="24"/>
          <w:szCs w:val="24"/>
        </w:rPr>
        <w:t xml:space="preserve">Public Accounts Committee (2025) </w:t>
      </w:r>
      <w:r>
        <w:rPr>
          <w:i/>
          <w:iCs/>
          <w:sz w:val="24"/>
          <w:szCs w:val="24"/>
        </w:rPr>
        <w:t>Local Government Financial Sustainability</w:t>
      </w:r>
      <w:r>
        <w:rPr>
          <w:sz w:val="24"/>
          <w:szCs w:val="24"/>
        </w:rPr>
        <w:t>. Thirty-third Report of Session 2024–25, HC 647. London: House of Commons. Available at: https://committees.parliament.uk/work/8827/local-government-financial-sustainability/ (Accessed: 6 May 2026).</w:t>
      </w:r>
    </w:p>
    <w:p w14:paraId="3CBCC06A" w14:textId="77777777" w:rsidR="00B744FD" w:rsidRDefault="00000000">
      <w:pPr>
        <w:spacing w:before="240" w:after="240" w:line="360" w:lineRule="auto"/>
        <w:rPr>
          <w:sz w:val="24"/>
          <w:szCs w:val="24"/>
        </w:rPr>
      </w:pPr>
      <w:r>
        <w:rPr>
          <w:sz w:val="24"/>
          <w:szCs w:val="24"/>
        </w:rPr>
        <w:t xml:space="preserve">Ramirez, R. and Wilkinson, A. (2016) </w:t>
      </w:r>
      <w:r>
        <w:rPr>
          <w:i/>
          <w:iCs/>
          <w:sz w:val="24"/>
          <w:szCs w:val="24"/>
        </w:rPr>
        <w:t>Strategic Reframing: The Oxford Scenario Planning Approach</w:t>
      </w:r>
      <w:r>
        <w:rPr>
          <w:sz w:val="24"/>
          <w:szCs w:val="24"/>
        </w:rPr>
        <w:t>. Oxford: Oxford University Press.</w:t>
      </w:r>
    </w:p>
    <w:p w14:paraId="302E6DE3" w14:textId="77777777" w:rsidR="00B744FD" w:rsidRDefault="00000000">
      <w:pPr>
        <w:spacing w:before="240" w:after="240" w:line="360" w:lineRule="auto"/>
        <w:rPr>
          <w:sz w:val="24"/>
          <w:szCs w:val="24"/>
        </w:rPr>
      </w:pPr>
      <w:r>
        <w:rPr>
          <w:sz w:val="24"/>
          <w:szCs w:val="24"/>
        </w:rPr>
        <w:t xml:space="preserve">Reason, P. and Bradbury, H. (eds.) (2008) </w:t>
      </w:r>
      <w:r>
        <w:rPr>
          <w:i/>
          <w:iCs/>
          <w:sz w:val="24"/>
          <w:szCs w:val="24"/>
        </w:rPr>
        <w:t>The SAGE Handbook of Action Research: Participative Inquiry and Practice</w:t>
      </w:r>
      <w:r>
        <w:rPr>
          <w:sz w:val="24"/>
          <w:szCs w:val="24"/>
        </w:rPr>
        <w:t xml:space="preserve">. 2nd </w:t>
      </w:r>
      <w:proofErr w:type="spellStart"/>
      <w:r>
        <w:rPr>
          <w:sz w:val="24"/>
          <w:szCs w:val="24"/>
        </w:rPr>
        <w:t>edn</w:t>
      </w:r>
      <w:proofErr w:type="spellEnd"/>
      <w:r>
        <w:rPr>
          <w:sz w:val="24"/>
          <w:szCs w:val="24"/>
        </w:rPr>
        <w:t>. London: SAGE.</w:t>
      </w:r>
    </w:p>
    <w:p w14:paraId="003A6CF8" w14:textId="77777777" w:rsidR="00B744FD" w:rsidRDefault="00000000">
      <w:pPr>
        <w:spacing w:before="240" w:after="240" w:line="360" w:lineRule="auto"/>
        <w:rPr>
          <w:sz w:val="24"/>
          <w:szCs w:val="24"/>
        </w:rPr>
      </w:pPr>
      <w:r>
        <w:rPr>
          <w:sz w:val="24"/>
          <w:szCs w:val="24"/>
        </w:rPr>
        <w:lastRenderedPageBreak/>
        <w:t xml:space="preserve">Schatzki, T.R. (2001) 'Practice mind-ed orders', in Schatzki, T.R., Knorr Cetina, K. and von Savigny, E. (eds.) </w:t>
      </w:r>
      <w:r>
        <w:rPr>
          <w:i/>
          <w:iCs/>
          <w:sz w:val="24"/>
          <w:szCs w:val="24"/>
        </w:rPr>
        <w:t>The Practice Turn in Contemporary Theory</w:t>
      </w:r>
      <w:r>
        <w:rPr>
          <w:sz w:val="24"/>
          <w:szCs w:val="24"/>
        </w:rPr>
        <w:t>. London: Routledge, pp. 50–63.</w:t>
      </w:r>
    </w:p>
    <w:p w14:paraId="5C730EDA" w14:textId="77777777" w:rsidR="00B744FD" w:rsidRDefault="00000000">
      <w:pPr>
        <w:spacing w:before="240" w:after="240" w:line="360" w:lineRule="auto"/>
        <w:rPr>
          <w:sz w:val="24"/>
          <w:szCs w:val="24"/>
        </w:rPr>
      </w:pPr>
      <w:r>
        <w:rPr>
          <w:sz w:val="24"/>
          <w:szCs w:val="24"/>
        </w:rPr>
        <w:t xml:space="preserve">Schön, D.A. ([1983] 2017) </w:t>
      </w:r>
      <w:r>
        <w:rPr>
          <w:i/>
          <w:iCs/>
          <w:sz w:val="24"/>
          <w:szCs w:val="24"/>
        </w:rPr>
        <w:t>The Reflective Practitioner: How Professionals Think in Action</w:t>
      </w:r>
      <w:r>
        <w:rPr>
          <w:sz w:val="24"/>
          <w:szCs w:val="24"/>
        </w:rPr>
        <w:t>. London: Routledge.</w:t>
      </w:r>
    </w:p>
    <w:p w14:paraId="450DBA35" w14:textId="77777777" w:rsidR="00B744FD" w:rsidRDefault="00000000">
      <w:pPr>
        <w:spacing w:before="240" w:after="240" w:line="360" w:lineRule="auto"/>
        <w:rPr>
          <w:sz w:val="24"/>
          <w:szCs w:val="24"/>
        </w:rPr>
      </w:pPr>
      <w:r>
        <w:rPr>
          <w:sz w:val="24"/>
          <w:szCs w:val="24"/>
        </w:rPr>
        <w:t xml:space="preserve">Snowden, D.J. and Boone, M.E. (2007) 'A leader's framework for decision making', </w:t>
      </w:r>
      <w:r>
        <w:rPr>
          <w:i/>
          <w:iCs/>
          <w:sz w:val="24"/>
          <w:szCs w:val="24"/>
        </w:rPr>
        <w:t>Harvard Business Review</w:t>
      </w:r>
      <w:r>
        <w:rPr>
          <w:sz w:val="24"/>
          <w:szCs w:val="24"/>
        </w:rPr>
        <w:t>, 85(11), p. 68-76.</w:t>
      </w:r>
    </w:p>
    <w:p w14:paraId="3AAD5287" w14:textId="77777777" w:rsidR="00B744FD" w:rsidRDefault="00000000">
      <w:pPr>
        <w:spacing w:before="240" w:after="240" w:line="360" w:lineRule="auto"/>
        <w:rPr>
          <w:sz w:val="24"/>
          <w:szCs w:val="24"/>
        </w:rPr>
      </w:pPr>
      <w:r>
        <w:rPr>
          <w:sz w:val="24"/>
          <w:szCs w:val="24"/>
        </w:rPr>
        <w:t xml:space="preserve">Spade, D. (2020) </w:t>
      </w:r>
      <w:r>
        <w:rPr>
          <w:i/>
          <w:iCs/>
          <w:sz w:val="24"/>
          <w:szCs w:val="24"/>
        </w:rPr>
        <w:t>Mutual Aid: Building Solidarity During This Crisis (and the Next)</w:t>
      </w:r>
      <w:r>
        <w:rPr>
          <w:sz w:val="24"/>
          <w:szCs w:val="24"/>
        </w:rPr>
        <w:t>. London: Verso.</w:t>
      </w:r>
    </w:p>
    <w:p w14:paraId="2643E5A1" w14:textId="77777777" w:rsidR="00B744FD" w:rsidRDefault="00000000">
      <w:pPr>
        <w:spacing w:before="240" w:after="240" w:line="360" w:lineRule="auto"/>
        <w:rPr>
          <w:sz w:val="24"/>
          <w:szCs w:val="24"/>
        </w:rPr>
      </w:pPr>
      <w:r>
        <w:rPr>
          <w:sz w:val="24"/>
          <w:szCs w:val="24"/>
        </w:rPr>
        <w:t xml:space="preserve">Spencer, G., Dankyi, E., Ofori, C.A.E., Agyekum, M.W., Nyarko, S., Asante, D., </w:t>
      </w:r>
      <w:proofErr w:type="spellStart"/>
      <w:r>
        <w:rPr>
          <w:sz w:val="24"/>
          <w:szCs w:val="24"/>
        </w:rPr>
        <w:t>Kwankye</w:t>
      </w:r>
      <w:proofErr w:type="spellEnd"/>
      <w:r>
        <w:rPr>
          <w:sz w:val="24"/>
          <w:szCs w:val="24"/>
        </w:rPr>
        <w:t xml:space="preserve">, S.O. and Thompson, J. (2025) 'Young migrants on the move: ethics and methods of conducting qualitative research "in the moment"', </w:t>
      </w:r>
      <w:r>
        <w:rPr>
          <w:i/>
          <w:iCs/>
          <w:sz w:val="24"/>
          <w:szCs w:val="24"/>
        </w:rPr>
        <w:t>Qualitative Research</w:t>
      </w:r>
      <w:r>
        <w:rPr>
          <w:sz w:val="24"/>
          <w:szCs w:val="24"/>
        </w:rPr>
        <w:t>, online first.</w:t>
      </w:r>
    </w:p>
    <w:p w14:paraId="15CD0A23" w14:textId="77777777" w:rsidR="00B744FD" w:rsidRDefault="00000000">
      <w:pPr>
        <w:spacing w:before="240" w:after="240" w:line="360" w:lineRule="auto"/>
        <w:rPr>
          <w:sz w:val="24"/>
          <w:szCs w:val="24"/>
        </w:rPr>
      </w:pPr>
      <w:r>
        <w:rPr>
          <w:sz w:val="24"/>
          <w:szCs w:val="24"/>
        </w:rPr>
        <w:t xml:space="preserve">Tattersall, A. (2024) </w:t>
      </w:r>
      <w:proofErr w:type="spellStart"/>
      <w:r>
        <w:rPr>
          <w:i/>
          <w:iCs/>
          <w:sz w:val="24"/>
          <w:szCs w:val="24"/>
        </w:rPr>
        <w:t>Organising</w:t>
      </w:r>
      <w:proofErr w:type="spellEnd"/>
      <w:r>
        <w:rPr>
          <w:i/>
          <w:iCs/>
          <w:sz w:val="24"/>
          <w:szCs w:val="24"/>
        </w:rPr>
        <w:t xml:space="preserve"> Together Across Difference: Relational Experiments in Community </w:t>
      </w:r>
      <w:proofErr w:type="spellStart"/>
      <w:r>
        <w:rPr>
          <w:i/>
          <w:iCs/>
          <w:sz w:val="24"/>
          <w:szCs w:val="24"/>
        </w:rPr>
        <w:t>Organising</w:t>
      </w:r>
      <w:proofErr w:type="spellEnd"/>
      <w:r>
        <w:rPr>
          <w:sz w:val="24"/>
          <w:szCs w:val="24"/>
        </w:rPr>
        <w:t>. London: Citizens UK &amp; University of Sydney.</w:t>
      </w:r>
    </w:p>
    <w:p w14:paraId="760AA07A" w14:textId="77777777" w:rsidR="00B744FD" w:rsidRDefault="00000000">
      <w:pPr>
        <w:spacing w:before="240" w:after="240" w:line="360" w:lineRule="auto"/>
        <w:rPr>
          <w:sz w:val="24"/>
          <w:szCs w:val="24"/>
        </w:rPr>
      </w:pPr>
      <w:r>
        <w:rPr>
          <w:sz w:val="24"/>
          <w:szCs w:val="24"/>
        </w:rPr>
        <w:t xml:space="preserve">Tattersall, A. and Stears, M. (2025) 'The relational method: how community organizing can reshape university research', </w:t>
      </w:r>
      <w:r>
        <w:rPr>
          <w:i/>
          <w:iCs/>
          <w:sz w:val="24"/>
          <w:szCs w:val="24"/>
        </w:rPr>
        <w:t>Perspectives on Politics</w:t>
      </w:r>
      <w:r>
        <w:rPr>
          <w:sz w:val="24"/>
          <w:szCs w:val="24"/>
        </w:rPr>
        <w:t>, online first.</w:t>
      </w:r>
    </w:p>
    <w:p w14:paraId="10BB5844" w14:textId="77777777" w:rsidR="00B744FD" w:rsidRDefault="00000000">
      <w:pPr>
        <w:spacing w:before="240" w:after="240" w:line="360" w:lineRule="auto"/>
        <w:rPr>
          <w:sz w:val="24"/>
          <w:szCs w:val="24"/>
        </w:rPr>
      </w:pPr>
      <w:r>
        <w:rPr>
          <w:sz w:val="24"/>
          <w:szCs w:val="24"/>
        </w:rPr>
        <w:t xml:space="preserve">Weber, M. ([1922] 1978) </w:t>
      </w:r>
      <w:r>
        <w:rPr>
          <w:i/>
          <w:iCs/>
          <w:sz w:val="24"/>
          <w:szCs w:val="24"/>
        </w:rPr>
        <w:t>Economy and Society: An Outline of Interpretive Sociology</w:t>
      </w:r>
      <w:r>
        <w:rPr>
          <w:sz w:val="24"/>
          <w:szCs w:val="24"/>
        </w:rPr>
        <w:t>. Berkeley, CA: University of California Press.</w:t>
      </w:r>
    </w:p>
    <w:p w14:paraId="7E35EA90" w14:textId="77777777" w:rsidR="00B744FD" w:rsidRDefault="00000000">
      <w:pPr>
        <w:spacing w:before="240" w:after="240" w:line="360" w:lineRule="auto"/>
        <w:rPr>
          <w:sz w:val="24"/>
          <w:szCs w:val="24"/>
        </w:rPr>
      </w:pPr>
      <w:r>
        <w:rPr>
          <w:sz w:val="24"/>
          <w:szCs w:val="24"/>
        </w:rPr>
        <w:t xml:space="preserve">Wenger, E. (1999) </w:t>
      </w:r>
      <w:r>
        <w:rPr>
          <w:i/>
          <w:iCs/>
          <w:sz w:val="24"/>
          <w:szCs w:val="24"/>
        </w:rPr>
        <w:t>Communities of Practice: Learning, Meaning, and Identity</w:t>
      </w:r>
      <w:r>
        <w:rPr>
          <w:sz w:val="24"/>
          <w:szCs w:val="24"/>
        </w:rPr>
        <w:t>. Cambridge: Cambridge University Press.</w:t>
      </w:r>
    </w:p>
    <w:p w14:paraId="7574898D" w14:textId="77777777" w:rsidR="00B744FD" w:rsidRDefault="00000000">
      <w:pPr>
        <w:spacing w:before="240" w:after="240" w:line="360" w:lineRule="auto"/>
        <w:rPr>
          <w:sz w:val="24"/>
          <w:szCs w:val="24"/>
        </w:rPr>
      </w:pPr>
      <w:r>
        <w:rPr>
          <w:sz w:val="24"/>
          <w:szCs w:val="24"/>
        </w:rPr>
        <w:t xml:space="preserve">Wills, J. (2016) </w:t>
      </w:r>
      <w:r>
        <w:rPr>
          <w:i/>
          <w:iCs/>
          <w:sz w:val="24"/>
          <w:szCs w:val="24"/>
        </w:rPr>
        <w:t>Locating Localism: Statecraft, Citizenship and Democracy</w:t>
      </w:r>
      <w:r>
        <w:rPr>
          <w:sz w:val="24"/>
          <w:szCs w:val="24"/>
        </w:rPr>
        <w:t>. Bristol: Policy Press.</w:t>
      </w:r>
    </w:p>
    <w:p w14:paraId="12CDCE27" w14:textId="77777777" w:rsidR="00B744FD" w:rsidRDefault="00000000">
      <w:pPr>
        <w:spacing w:before="240" w:after="240" w:line="360" w:lineRule="auto"/>
        <w:rPr>
          <w:sz w:val="24"/>
          <w:szCs w:val="24"/>
        </w:rPr>
      </w:pPr>
      <w:r>
        <w:rPr>
          <w:sz w:val="24"/>
          <w:szCs w:val="24"/>
        </w:rPr>
        <w:lastRenderedPageBreak/>
        <w:t xml:space="preserve">Wills, J. (2023) 'Bridging the gaps between demos and </w:t>
      </w:r>
      <w:proofErr w:type="spellStart"/>
      <w:r>
        <w:rPr>
          <w:sz w:val="24"/>
          <w:szCs w:val="24"/>
        </w:rPr>
        <w:t>kratos</w:t>
      </w:r>
      <w:proofErr w:type="spellEnd"/>
      <w:r>
        <w:rPr>
          <w:sz w:val="24"/>
          <w:szCs w:val="24"/>
        </w:rPr>
        <w:t xml:space="preserve">: broad-based community </w:t>
      </w:r>
      <w:proofErr w:type="spellStart"/>
      <w:r>
        <w:rPr>
          <w:sz w:val="24"/>
          <w:szCs w:val="24"/>
        </w:rPr>
        <w:t>organising</w:t>
      </w:r>
      <w:proofErr w:type="spellEnd"/>
      <w:r>
        <w:rPr>
          <w:sz w:val="24"/>
          <w:szCs w:val="24"/>
        </w:rPr>
        <w:t xml:space="preserve"> and political institutional infrastructure in London, UK', </w:t>
      </w:r>
      <w:r>
        <w:rPr>
          <w:i/>
          <w:iCs/>
          <w:sz w:val="24"/>
          <w:szCs w:val="24"/>
        </w:rPr>
        <w:t>City</w:t>
      </w:r>
      <w:r>
        <w:rPr>
          <w:sz w:val="24"/>
          <w:szCs w:val="24"/>
        </w:rPr>
        <w:t>, 27(5–6), pp. 890–904.</w:t>
      </w:r>
    </w:p>
    <w:p w14:paraId="7C6A5F3E" w14:textId="77777777" w:rsidR="00B744FD" w:rsidRDefault="00000000">
      <w:pPr>
        <w:spacing w:before="240" w:after="240" w:line="360" w:lineRule="auto"/>
        <w:rPr>
          <w:sz w:val="24"/>
          <w:szCs w:val="24"/>
        </w:rPr>
      </w:pPr>
      <w:r>
        <w:rPr>
          <w:sz w:val="24"/>
          <w:szCs w:val="24"/>
        </w:rPr>
        <w:t xml:space="preserve">Woodly, D.R. (2022) </w:t>
      </w:r>
      <w:r>
        <w:rPr>
          <w:i/>
          <w:iCs/>
          <w:sz w:val="24"/>
          <w:szCs w:val="24"/>
        </w:rPr>
        <w:t>Reckoning: Black Lives Matter and the Democratic Necessity of Social Movements</w:t>
      </w:r>
      <w:r>
        <w:rPr>
          <w:sz w:val="24"/>
          <w:szCs w:val="24"/>
        </w:rPr>
        <w:t>. Oxford: Oxford University Press.</w:t>
      </w:r>
    </w:p>
    <w:p w14:paraId="17D4CCC1" w14:textId="77777777" w:rsidR="00B744FD" w:rsidRDefault="00000000">
      <w:pPr>
        <w:spacing w:before="240" w:after="240" w:line="360" w:lineRule="auto"/>
      </w:pPr>
      <w:r>
        <w:rPr>
          <w:sz w:val="24"/>
          <w:szCs w:val="24"/>
        </w:rPr>
        <w:t xml:space="preserve">Yates, L. (2015) 'Rethinking prefiguration: alternatives, micropolitics and goals in social movements', </w:t>
      </w:r>
      <w:r>
        <w:rPr>
          <w:i/>
          <w:iCs/>
          <w:sz w:val="24"/>
          <w:szCs w:val="24"/>
        </w:rPr>
        <w:t>Social Movement Studies</w:t>
      </w:r>
      <w:r>
        <w:rPr>
          <w:sz w:val="24"/>
          <w:szCs w:val="24"/>
        </w:rPr>
        <w:t>, 14(1), pp. 1–21.</w:t>
      </w:r>
    </w:p>
    <w:sectPr w:rsidR="00B744FD">
      <w:pgSz w:w="12240" w:h="15840"/>
      <w:pgMar w:top="1440" w:right="1440" w:bottom="1440" w:left="1440" w:header="720" w:footer="720"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embedRegular r:id="rId1" w:fontKey="{2A5E3C7F-6E15-4D36-B74A-AAC66EFF2ADC}"/>
  </w:font>
  <w:font w:name="Cambria">
    <w:panose1 w:val="02040503050406030204"/>
    <w:charset w:val="00"/>
    <w:family w:val="roman"/>
    <w:pitch w:val="variable"/>
    <w:sig w:usb0="E00006FF" w:usb1="420024FF" w:usb2="02000000" w:usb3="00000000" w:csb0="0000019F" w:csb1="00000000"/>
    <w:embedRegular r:id="rId2" w:fontKey="{6B48FA28-4124-422E-844A-59138C9A1F94}"/>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42B675D"/>
    <w:multiLevelType w:val="multilevel"/>
    <w:tmpl w:val="72746D92"/>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lef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lef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left"/>
      <w:pPr>
        <w:ind w:left="6480" w:hanging="360"/>
      </w:pPr>
      <w:rPr>
        <w:u w:val="none"/>
      </w:rPr>
    </w:lvl>
  </w:abstractNum>
  <w:num w:numId="1" w16cid:durableId="13941986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TrueTypeFont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744FD"/>
    <w:rsid w:val="00067105"/>
    <w:rsid w:val="00883C97"/>
    <w:rsid w:val="00B744F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1230337"/>
  <w15:docId w15:val="{BEF92BC3-D5F1-48B3-A4A2-F0860FA5349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 w:eastAsia="en-GB"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00" w:after="120"/>
      <w:outlineLvl w:val="0"/>
    </w:pPr>
    <w:rPr>
      <w:sz w:val="40"/>
      <w:szCs w:val="40"/>
    </w:rPr>
  </w:style>
  <w:style w:type="paragraph" w:styleId="Heading2">
    <w:name w:val="heading 2"/>
    <w:basedOn w:val="Normal"/>
    <w:next w:val="Normal"/>
    <w:uiPriority w:val="9"/>
    <w:unhideWhenUsed/>
    <w:qFormat/>
    <w:pPr>
      <w:keepNext/>
      <w:keepLines/>
      <w:spacing w:before="360" w:after="120"/>
      <w:outlineLvl w:val="1"/>
    </w:pPr>
    <w:rPr>
      <w:sz w:val="32"/>
      <w:szCs w:val="32"/>
    </w:rPr>
  </w:style>
  <w:style w:type="paragraph" w:styleId="Heading3">
    <w:name w:val="heading 3"/>
    <w:basedOn w:val="Normal"/>
    <w:next w:val="Normal"/>
    <w:uiPriority w:val="9"/>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iCs/>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png"/><Relationship Id="rId4" Type="http://schemas.openxmlformats.org/officeDocument/2006/relationships/webSettings" Target="webSettings.xml"/></Relationships>
</file>

<file path=word/_rels/fontTable.xml.rels><?xml version="1.0" encoding="UTF-8" standalone="yes"?>
<Relationships xmlns="http://schemas.openxmlformats.org/package/2006/relationships"><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9</TotalTime>
  <Pages>34</Pages>
  <Words>10199</Words>
  <Characters>58137</Characters>
  <Application>Microsoft Office Word</Application>
  <DocSecurity>0</DocSecurity>
  <Lines>484</Lines>
  <Paragraphs>136</Paragraphs>
  <ScaleCrop>false</ScaleCrop>
  <Company/>
  <LinksUpToDate>false</LinksUpToDate>
  <CharactersWithSpaces>68200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Paris Palmano (2503118)</cp:lastModifiedBy>
  <cp:revision>2</cp:revision>
  <dcterms:created xsi:type="dcterms:W3CDTF">2026-06-07T10:32:00Z</dcterms:created>
  <dcterms:modified xsi:type="dcterms:W3CDTF">2026-06-07T10:41:00Z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ee42b57c-f7ff-48be-92a6-935cb77d80a8</vt:lpwstr>
  </property>
</Properties>
</file>