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56BF35F3" w:rsidP="122D5508" w:rsidRDefault="56BF35F3" w14:paraId="28419E5A" w14:textId="66D2883B">
      <w:pPr>
        <w:rPr>
          <w:rFonts w:ascii="Arial" w:hAnsi="Arial" w:cs="Arial"/>
          <w:color w:val="FF0000"/>
          <w:sz w:val="56"/>
          <w:szCs w:val="56"/>
          <w:u w:val="none"/>
        </w:rPr>
      </w:pPr>
      <w:r w:rsidRPr="122D5508" w:rsidR="122D5508">
        <w:rPr>
          <w:rFonts w:ascii="Arial" w:hAnsi="Arial" w:cs="Arial"/>
          <w:color w:val="FF0000"/>
          <w:sz w:val="52"/>
          <w:szCs w:val="52"/>
          <w:u w:val="none"/>
        </w:rPr>
        <w:t xml:space="preserve">Name: </w:t>
      </w:r>
      <w:r w:rsidRPr="122D5508" w:rsidR="122D5508">
        <w:rPr>
          <w:rFonts w:ascii="Arial" w:hAnsi="Arial" w:cs="Arial"/>
          <w:color w:val="FF0000"/>
          <w:sz w:val="52"/>
          <w:szCs w:val="52"/>
          <w:u w:val="none"/>
        </w:rPr>
        <w:t>Misba</w:t>
      </w:r>
      <w:r w:rsidRPr="122D5508" w:rsidR="122D5508">
        <w:rPr>
          <w:rFonts w:ascii="Arial" w:hAnsi="Arial" w:cs="Arial"/>
          <w:color w:val="FF0000"/>
          <w:sz w:val="52"/>
          <w:szCs w:val="52"/>
          <w:u w:val="none"/>
        </w:rPr>
        <w:t>h Yaseen</w:t>
      </w:r>
    </w:p>
    <w:p w:rsidR="122D5508" w:rsidP="122D5508" w:rsidRDefault="122D5508" w14:paraId="5EAA1266" w14:textId="24B6077A">
      <w:pPr>
        <w:pStyle w:val="Normal"/>
        <w:rPr>
          <w:rFonts w:ascii="Arial" w:hAnsi="Arial" w:cs="Arial"/>
          <w:color w:val="FF0000"/>
          <w:sz w:val="56"/>
          <w:szCs w:val="56"/>
          <w:u w:val="none"/>
        </w:rPr>
      </w:pPr>
      <w:r w:rsidRPr="122D5508" w:rsidR="122D5508">
        <w:rPr>
          <w:rFonts w:ascii="Arial" w:hAnsi="Arial" w:cs="Arial"/>
          <w:color w:val="FF0000"/>
          <w:sz w:val="52"/>
          <w:szCs w:val="52"/>
          <w:u w:val="none"/>
        </w:rPr>
        <w:t>Student number: 1713336</w:t>
      </w:r>
    </w:p>
    <w:p w:rsidR="122D5508" w:rsidP="122D5508" w:rsidRDefault="122D5508" w14:paraId="1A42184B" w14:textId="4CEEF88E">
      <w:pPr>
        <w:pStyle w:val="Normal"/>
        <w:rPr>
          <w:rFonts w:ascii="Arial" w:hAnsi="Arial" w:cs="Arial"/>
          <w:color w:val="FF0000"/>
          <w:sz w:val="56"/>
          <w:szCs w:val="56"/>
          <w:u w:val="none"/>
        </w:rPr>
      </w:pPr>
      <w:r w:rsidRPr="122D5508" w:rsidR="122D5508">
        <w:rPr>
          <w:rFonts w:ascii="Arial" w:hAnsi="Arial" w:cs="Arial"/>
          <w:color w:val="FF0000"/>
          <w:sz w:val="52"/>
          <w:szCs w:val="52"/>
          <w:u w:val="none"/>
        </w:rPr>
        <w:t xml:space="preserve">Module: Complementary therapies </w:t>
      </w:r>
    </w:p>
    <w:p w:rsidR="122D5508" w:rsidP="122D5508" w:rsidRDefault="122D5508" w14:paraId="0DFEC081" w14:textId="2CA77619">
      <w:pPr>
        <w:pStyle w:val="Normal"/>
        <w:rPr>
          <w:rFonts w:ascii="Arial" w:hAnsi="Arial" w:cs="Arial"/>
          <w:color w:val="FF0000"/>
          <w:sz w:val="56"/>
          <w:szCs w:val="56"/>
          <w:u w:val="none"/>
        </w:rPr>
      </w:pPr>
      <w:r w:rsidRPr="122D5508" w:rsidR="122D5508">
        <w:rPr>
          <w:rFonts w:ascii="Arial" w:hAnsi="Arial" w:cs="Arial"/>
          <w:color w:val="FF0000"/>
          <w:sz w:val="52"/>
          <w:szCs w:val="52"/>
          <w:u w:val="none"/>
        </w:rPr>
        <w:t>Module No.: BMHP5001</w:t>
      </w:r>
    </w:p>
    <w:p w:rsidR="122D5508" w:rsidP="122D5508" w:rsidRDefault="122D5508" w14:paraId="42EA4A78" w14:textId="309FAD5D">
      <w:pPr>
        <w:pStyle w:val="Normal"/>
        <w:rPr>
          <w:rFonts w:ascii="Arial" w:hAnsi="Arial" w:cs="Arial"/>
          <w:color w:val="FF0000"/>
          <w:sz w:val="56"/>
          <w:szCs w:val="56"/>
          <w:u w:val="none"/>
        </w:rPr>
      </w:pPr>
      <w:r w:rsidRPr="122D5508" w:rsidR="122D5508">
        <w:rPr>
          <w:rFonts w:ascii="Arial" w:hAnsi="Arial" w:cs="Arial"/>
          <w:color w:val="FF0000"/>
          <w:sz w:val="52"/>
          <w:szCs w:val="52"/>
          <w:u w:val="none"/>
        </w:rPr>
        <w:t>Lecturer: Mark G</w:t>
      </w:r>
      <w:r w:rsidRPr="122D5508" w:rsidR="122D5508">
        <w:rPr>
          <w:rFonts w:ascii="Arial" w:hAnsi="Arial" w:cs="Arial"/>
          <w:color w:val="FF0000"/>
          <w:sz w:val="52"/>
          <w:szCs w:val="52"/>
          <w:u w:val="none"/>
        </w:rPr>
        <w:t>allagher</w:t>
      </w:r>
      <w:r w:rsidRPr="122D5508" w:rsidR="122D5508">
        <w:rPr>
          <w:rFonts w:ascii="Arial" w:hAnsi="Arial" w:cs="Arial"/>
          <w:color w:val="FF0000"/>
          <w:sz w:val="52"/>
          <w:szCs w:val="52"/>
          <w:u w:val="none"/>
        </w:rPr>
        <w:t>- Read</w:t>
      </w:r>
    </w:p>
    <w:p w:rsidR="122D5508" w:rsidP="122D5508" w:rsidRDefault="122D5508" w14:paraId="49138CD7" w14:textId="6DA6E6B5">
      <w:pPr>
        <w:pStyle w:val="Normal"/>
        <w:rPr>
          <w:rFonts w:ascii="Arial" w:hAnsi="Arial" w:cs="Arial"/>
          <w:color w:val="FF0000"/>
          <w:sz w:val="56"/>
          <w:szCs w:val="56"/>
          <w:u w:val="none"/>
        </w:rPr>
      </w:pPr>
      <w:r w:rsidRPr="122D5508" w:rsidR="122D5508">
        <w:rPr>
          <w:rFonts w:ascii="Arial" w:hAnsi="Arial" w:cs="Arial"/>
          <w:color w:val="FF0000"/>
          <w:sz w:val="52"/>
          <w:szCs w:val="52"/>
          <w:u w:val="none"/>
        </w:rPr>
        <w:t>Assignment No.: 2</w:t>
      </w:r>
    </w:p>
    <w:p w:rsidR="122D5508" w:rsidP="122D5508" w:rsidRDefault="122D5508" w14:paraId="58E867F7" w14:textId="2C833083">
      <w:pPr>
        <w:pStyle w:val="Normal"/>
        <w:rPr>
          <w:rFonts w:ascii="Arial" w:hAnsi="Arial" w:cs="Arial"/>
          <w:color w:val="FF0000"/>
          <w:sz w:val="36"/>
          <w:szCs w:val="36"/>
          <w:u w:val="none"/>
        </w:rPr>
      </w:pPr>
    </w:p>
    <w:p w:rsidR="56BF35F3" w:rsidP="56BF35F3" w:rsidRDefault="56BF35F3" w14:paraId="6AE1BA4B" w14:textId="5F033F83">
      <w:pPr>
        <w:rPr>
          <w:rFonts w:ascii="Arial" w:hAnsi="Arial" w:cs="Arial"/>
          <w:u w:val="single"/>
        </w:rPr>
      </w:pPr>
    </w:p>
    <w:p w:rsidR="56BF35F3" w:rsidP="56BF35F3" w:rsidRDefault="56BF35F3" w14:paraId="3B0A4A47" w14:textId="6EE51467">
      <w:pPr>
        <w:rPr>
          <w:rFonts w:ascii="Arial" w:hAnsi="Arial" w:cs="Arial"/>
          <w:u w:val="single"/>
        </w:rPr>
      </w:pPr>
    </w:p>
    <w:p w:rsidR="56BF35F3" w:rsidP="56BF35F3" w:rsidRDefault="56BF35F3" w14:paraId="40AB6DDE" w14:textId="759BCF69">
      <w:pPr>
        <w:rPr>
          <w:rFonts w:ascii="Arial" w:hAnsi="Arial" w:cs="Arial"/>
          <w:u w:val="single"/>
        </w:rPr>
      </w:pPr>
    </w:p>
    <w:p w:rsidR="56BF35F3" w:rsidP="56BF35F3" w:rsidRDefault="56BF35F3" w14:paraId="03CC4631" w14:textId="3F0E36ED">
      <w:pPr>
        <w:rPr>
          <w:rFonts w:ascii="Arial" w:hAnsi="Arial" w:cs="Arial"/>
          <w:u w:val="single"/>
        </w:rPr>
      </w:pPr>
    </w:p>
    <w:p w:rsidR="56BF35F3" w:rsidP="56BF35F3" w:rsidRDefault="56BF35F3" w14:paraId="2CB9F42F" w14:textId="66B46B1F">
      <w:pPr>
        <w:rPr>
          <w:rFonts w:ascii="Arial" w:hAnsi="Arial" w:cs="Arial"/>
          <w:u w:val="single"/>
        </w:rPr>
      </w:pPr>
    </w:p>
    <w:p w:rsidR="56BF35F3" w:rsidP="56BF35F3" w:rsidRDefault="56BF35F3" w14:paraId="51C65643" w14:textId="1EEE7C04">
      <w:pPr>
        <w:rPr>
          <w:rFonts w:ascii="Arial" w:hAnsi="Arial" w:cs="Arial"/>
          <w:u w:val="single"/>
        </w:rPr>
      </w:pPr>
    </w:p>
    <w:p w:rsidR="56BF35F3" w:rsidP="56BF35F3" w:rsidRDefault="56BF35F3" w14:paraId="729674AF" w14:textId="0CCD5EF6">
      <w:pPr>
        <w:rPr>
          <w:rFonts w:ascii="Arial" w:hAnsi="Arial" w:cs="Arial"/>
          <w:u w:val="single"/>
        </w:rPr>
      </w:pPr>
    </w:p>
    <w:p w:rsidR="56BF35F3" w:rsidP="56BF35F3" w:rsidRDefault="56BF35F3" w14:paraId="5DD61B89" w14:textId="587DDEF3">
      <w:pPr>
        <w:rPr>
          <w:rFonts w:ascii="Arial" w:hAnsi="Arial" w:cs="Arial"/>
          <w:u w:val="single"/>
        </w:rPr>
      </w:pPr>
    </w:p>
    <w:p w:rsidR="56BF35F3" w:rsidP="56BF35F3" w:rsidRDefault="56BF35F3" w14:paraId="2D1F058B" w14:textId="11EFD55E">
      <w:pPr>
        <w:rPr>
          <w:rFonts w:ascii="Arial" w:hAnsi="Arial" w:cs="Arial"/>
          <w:u w:val="single"/>
        </w:rPr>
      </w:pPr>
    </w:p>
    <w:p w:rsidR="56BF35F3" w:rsidP="56BF35F3" w:rsidRDefault="56BF35F3" w14:paraId="75109C46" w14:textId="0EBD290F">
      <w:pPr>
        <w:rPr>
          <w:rFonts w:ascii="Arial" w:hAnsi="Arial" w:cs="Arial"/>
          <w:u w:val="single"/>
        </w:rPr>
      </w:pPr>
    </w:p>
    <w:p w:rsidR="56BF35F3" w:rsidP="56BF35F3" w:rsidRDefault="56BF35F3" w14:paraId="3E079EE4" w14:textId="05E0E15C">
      <w:pPr>
        <w:rPr>
          <w:rFonts w:ascii="Arial" w:hAnsi="Arial" w:cs="Arial"/>
          <w:u w:val="single"/>
        </w:rPr>
      </w:pPr>
    </w:p>
    <w:p w:rsidR="56BF35F3" w:rsidP="56BF35F3" w:rsidRDefault="56BF35F3" w14:paraId="3A6C6783" w14:textId="73E55AA4">
      <w:pPr>
        <w:rPr>
          <w:rFonts w:ascii="Arial" w:hAnsi="Arial" w:cs="Arial"/>
          <w:u w:val="single"/>
        </w:rPr>
      </w:pPr>
    </w:p>
    <w:p w:rsidR="56BF35F3" w:rsidP="56BF35F3" w:rsidRDefault="56BF35F3" w14:paraId="3BCD4971" w14:textId="0A25F32A">
      <w:pPr>
        <w:rPr>
          <w:rFonts w:ascii="Arial" w:hAnsi="Arial" w:cs="Arial"/>
          <w:u w:val="single"/>
        </w:rPr>
      </w:pPr>
    </w:p>
    <w:p w:rsidR="56BF35F3" w:rsidP="56BF35F3" w:rsidRDefault="56BF35F3" w14:paraId="6BBD25BB" w14:textId="7981895D">
      <w:pPr>
        <w:rPr>
          <w:rFonts w:ascii="Arial" w:hAnsi="Arial" w:cs="Arial"/>
          <w:u w:val="single"/>
        </w:rPr>
      </w:pPr>
    </w:p>
    <w:p w:rsidR="56BF35F3" w:rsidP="56BF35F3" w:rsidRDefault="56BF35F3" w14:paraId="5C1D7BE5" w14:textId="74928C0A">
      <w:pPr>
        <w:rPr>
          <w:rFonts w:ascii="Arial" w:hAnsi="Arial" w:cs="Arial"/>
          <w:u w:val="single"/>
        </w:rPr>
      </w:pPr>
    </w:p>
    <w:p w:rsidR="56BF35F3" w:rsidP="56BF35F3" w:rsidRDefault="56BF35F3" w14:paraId="4203F9AC" w14:textId="28CC039E">
      <w:pPr>
        <w:rPr>
          <w:rFonts w:ascii="Arial" w:hAnsi="Arial" w:cs="Arial"/>
          <w:u w:val="single"/>
        </w:rPr>
      </w:pPr>
    </w:p>
    <w:p w:rsidR="56BF35F3" w:rsidP="56BF35F3" w:rsidRDefault="56BF35F3" w14:paraId="74908D31" w14:textId="0E990D0A">
      <w:pPr>
        <w:rPr>
          <w:rFonts w:ascii="Arial" w:hAnsi="Arial" w:cs="Arial"/>
          <w:u w:val="single"/>
        </w:rPr>
      </w:pPr>
    </w:p>
    <w:p w:rsidR="56BF35F3" w:rsidP="56BF35F3" w:rsidRDefault="56BF35F3" w14:paraId="49E81A2F" w14:textId="7D1C100D">
      <w:pPr>
        <w:rPr>
          <w:rFonts w:ascii="Arial" w:hAnsi="Arial" w:cs="Arial"/>
          <w:u w:val="single"/>
        </w:rPr>
      </w:pPr>
    </w:p>
    <w:p w:rsidR="122D5508" w:rsidP="122D5508" w:rsidRDefault="122D5508" w14:paraId="3FE70E78" w14:textId="606F5DA6">
      <w:pPr>
        <w:pStyle w:val="Normal"/>
        <w:rPr>
          <w:rFonts w:ascii="Arial" w:hAnsi="Arial" w:cs="Arial"/>
          <w:u w:val="single"/>
        </w:rPr>
      </w:pPr>
    </w:p>
    <w:p w:rsidR="122D5508" w:rsidP="122D5508" w:rsidRDefault="122D5508" w14:paraId="1E9C46AF" w14:textId="1026A59B">
      <w:pPr>
        <w:pStyle w:val="Normal"/>
        <w:rPr>
          <w:rFonts w:ascii="Arial" w:hAnsi="Arial" w:cs="Arial"/>
          <w:u w:val="single"/>
        </w:rPr>
      </w:pPr>
    </w:p>
    <w:p w:rsidR="000B59A1" w:rsidP="122D5508" w:rsidRDefault="000B59A1" w14:paraId="1DD02152" w14:textId="221499BF">
      <w:pPr>
        <w:pStyle w:val="Normal"/>
        <w:rPr>
          <w:rFonts w:ascii="Arial" w:hAnsi="Arial" w:cs="Arial"/>
          <w:u w:val="single"/>
        </w:rPr>
      </w:pPr>
      <w:r w:rsidRPr="122D5508" w:rsidR="122D5508">
        <w:rPr>
          <w:rFonts w:ascii="Arial" w:hAnsi="Arial" w:cs="Arial"/>
          <w:u w:val="single"/>
        </w:rPr>
        <w:t>Introduction</w:t>
      </w:r>
    </w:p>
    <w:p w:rsidR="00085FEF" w:rsidP="56BF35F3" w:rsidRDefault="00085FEF" w14:paraId="796E8807" w14:textId="60FF876C">
      <w:pPr>
        <w:pStyle w:val="Normal"/>
        <w:spacing w:before="0" w:beforeAutospacing="off" w:after="160" w:afterAutospacing="off" w:line="259" w:lineRule="auto"/>
        <w:ind w:left="0" w:right="0"/>
        <w:jc w:val="left"/>
      </w:pPr>
      <w:r w:rsidRPr="122D5508" w:rsidR="122D5508">
        <w:rPr>
          <w:rFonts w:ascii="Arial" w:hAnsi="Arial" w:cs="Arial"/>
          <w:u w:val="none"/>
        </w:rPr>
        <w:t xml:space="preserve">In this essay, I am going to talk about complementary </w:t>
      </w:r>
      <w:r w:rsidRPr="122D5508" w:rsidR="122D5508">
        <w:rPr>
          <w:rFonts w:ascii="Arial" w:hAnsi="Arial" w:cs="Arial"/>
          <w:u w:val="none"/>
        </w:rPr>
        <w:t>thera</w:t>
      </w:r>
      <w:r w:rsidRPr="122D5508" w:rsidR="122D5508">
        <w:rPr>
          <w:rFonts w:ascii="Arial" w:hAnsi="Arial" w:cs="Arial"/>
          <w:u w:val="none"/>
        </w:rPr>
        <w:t xml:space="preserve">pies, what they are used for and how they benefit patients in various aspects. Furthermore, I will also discuss how practitioners use this in the UK and how they are regulated by organizational bodies and I will briefly talk about statutory regulation and self-regulation. Registration will also be featured. </w:t>
      </w:r>
    </w:p>
    <w:p w:rsidR="56BF35F3" w:rsidP="56BF35F3" w:rsidRDefault="56BF35F3" w14:paraId="25340EC5" w14:textId="6B378B7B">
      <w:pPr>
        <w:pStyle w:val="Normal"/>
        <w:rPr>
          <w:rFonts w:ascii="Arial" w:hAnsi="Arial" w:cs="Arial"/>
          <w:color w:val="auto"/>
        </w:rPr>
      </w:pPr>
    </w:p>
    <w:p w:rsidRPr="00587E29" w:rsidR="007F390D" w:rsidP="3A0A763B" w:rsidRDefault="009C2855" w14:paraId="4D53F9DD" w14:textId="6A176C8C">
      <w:pPr>
        <w:pStyle w:val="Normal"/>
        <w:rPr>
          <w:rFonts w:ascii="Arial" w:hAnsi="Arial" w:eastAsia="Arial" w:cs="Arial"/>
          <w:color w:val="auto"/>
        </w:rPr>
      </w:pPr>
      <w:r w:rsidRPr="3A0A763B" w:rsidR="3A0A763B">
        <w:rPr>
          <w:rFonts w:ascii="Arial" w:hAnsi="Arial" w:cs="Arial"/>
          <w:color w:val="auto"/>
        </w:rPr>
        <w:t xml:space="preserve">Complementary and alternative medicine (CAM) is a term used to describe a wide range of healing systems that are not typically considered part of mainstream or conventional Western medicine. A notable amount of complementary and alternative treatments </w:t>
      </w:r>
      <w:r w:rsidRPr="3A0A763B" w:rsidR="3A0A763B">
        <w:rPr>
          <w:rFonts w:ascii="Arial" w:hAnsi="Arial" w:cs="Arial"/>
          <w:color w:val="auto"/>
        </w:rPr>
        <w:t>is</w:t>
      </w:r>
      <w:r w:rsidRPr="3A0A763B" w:rsidR="3A0A763B">
        <w:rPr>
          <w:rFonts w:ascii="Arial" w:hAnsi="Arial" w:cs="Arial"/>
          <w:color w:val="auto"/>
        </w:rPr>
        <w:t xml:space="preserve"> commonly put into use with the aim of curing or providing treatment to a health condition. Examples include: </w:t>
      </w:r>
      <w:r w:rsidRPr="3A0A763B" w:rsidR="3A0A763B">
        <w:rPr>
          <w:rFonts w:ascii="Arial" w:hAnsi="Arial" w:eastAsia="Arial" w:cs="Arial"/>
          <w:color w:val="auto"/>
        </w:rPr>
        <w:t>homeopathy, acupuncture, osteopathy, chiropractic, herbal medicines (NHS UK,2018)</w:t>
      </w:r>
    </w:p>
    <w:p w:rsidRPr="00587E29" w:rsidR="007F390D" w:rsidP="3A0A763B" w:rsidRDefault="009C2855" w14:paraId="2021E208" w14:textId="157BF9C9">
      <w:pPr>
        <w:pStyle w:val="Normal"/>
        <w:rPr>
          <w:rFonts w:ascii="Arial" w:hAnsi="Arial" w:eastAsia="Arial" w:cs="Arial"/>
        </w:rPr>
      </w:pPr>
      <w:r w:rsidRPr="3A0A763B" w:rsidR="3A0A763B">
        <w:rPr>
          <w:rFonts w:ascii="Arial" w:hAnsi="Arial" w:eastAsia="Arial" w:cs="Arial"/>
        </w:rPr>
        <w:t xml:space="preserve">Complementary therapies are commonly put into use by people with conditions to support them and to make them feel somewhat better and come to terms with having a condition. The way a patient feels personally is equivalent in the way that they cope with their issues. A majority of complementary therapies focus on ensuring that the patient feels calm and relaxed. </w:t>
      </w:r>
      <w:r w:rsidRPr="3A0A763B" w:rsidR="3A0A763B">
        <w:rPr>
          <w:rFonts w:ascii="Arial" w:hAnsi="Arial" w:eastAsia="Arial" w:cs="Arial"/>
        </w:rPr>
        <w:t xml:space="preserve"> Many health experts such as doctors and nurses are intrigued by the idea that happiness and a positive feedback from a person’s emotions can bring improvement to a person’s health. An analysis of a 2012 study</w:t>
      </w:r>
      <w:r w:rsidRPr="3A0A763B" w:rsidR="3A0A763B">
        <w:rPr>
          <w:rFonts w:ascii="Arial" w:hAnsi="Arial" w:eastAsia="Arial" w:cs="Arial"/>
        </w:rPr>
        <w:t xml:space="preserve"> suggested that approximately ½ of people living with life threatening cases such as cancer will at some point use complementary therapy during their illness. Furthermore, people feel that doctors don’t give enough time which is not enough, so complementary therapies is the only way out. (Cancer Research, UK, 2018). </w:t>
      </w:r>
    </w:p>
    <w:p w:rsidRPr="00587E29" w:rsidR="007F390D" w:rsidP="3A0A763B" w:rsidRDefault="009C2855" w14:paraId="3AF48FDD" w14:textId="4733B002">
      <w:pPr>
        <w:pStyle w:val="Normal"/>
        <w:rPr>
          <w:rFonts w:ascii="Arial" w:hAnsi="Arial" w:eastAsia="Arial" w:cs="Arial"/>
        </w:rPr>
      </w:pPr>
      <w:r w:rsidRPr="3A0A763B" w:rsidR="3A0A763B">
        <w:rPr>
          <w:rFonts w:ascii="Arial" w:hAnsi="Arial" w:eastAsia="Arial" w:cs="Arial"/>
        </w:rPr>
        <w:t>A handful of CAMs can help cancer patients and make them feel better. A number of them help to decrease symptoms and side effects. However, there may be times when it's not safe and can lead to danger. An example can be that a few of them may stop conventional treatments in functioning the way they should. There is a belief that consuming antioxidants, such as Vitamin A and C, during chemotherapy or radiotherapy treatment may be able to protect cancer cells from receiving damage by the treatment. (Cancer Research, UK, 2018)</w:t>
      </w:r>
    </w:p>
    <w:p w:rsidRPr="00587E29" w:rsidR="007F390D" w:rsidP="3A0A763B" w:rsidRDefault="009C2855" w14:paraId="067DEF3A" w14:textId="489CE8BF">
      <w:pPr>
        <w:pStyle w:val="Normal"/>
        <w:rPr>
          <w:rFonts w:ascii="Arial" w:hAnsi="Arial" w:cs="Arial"/>
          <w:color w:val="000000" w:themeColor="text1"/>
        </w:rPr>
      </w:pPr>
      <w:r w:rsidRPr="3A0A763B" w:rsidR="3A0A763B">
        <w:rPr>
          <w:rFonts w:ascii="Arial" w:hAnsi="Arial" w:cs="Arial"/>
        </w:rPr>
        <w:t xml:space="preserve">It is common that there is a cost for complementary therapies by the patient themselves through other people such as their local GP or even other people who have expertise in the field of health. A handful of health-related experts are trained as therapists working in complementary therapies. </w:t>
      </w:r>
      <w:r w:rsidRPr="3A0A763B" w:rsidR="3A0A763B">
        <w:rPr>
          <w:rFonts w:ascii="Arial" w:hAnsi="Arial" w:cs="Arial"/>
          <w:color w:val="000000" w:themeColor="text1" w:themeTint="FF" w:themeShade="FF"/>
        </w:rPr>
        <w:t>(Raby,2019) However, Patients must keep in mind that complementary therapies do not aim to be a form of replacement over medical care. This is because it does not treat or cure these conditions. (</w:t>
      </w:r>
      <w:proofErr w:type="spellStart"/>
      <w:r w:rsidRPr="3A0A763B" w:rsidR="3A0A763B">
        <w:rPr>
          <w:rFonts w:ascii="Arial" w:hAnsi="Arial" w:cs="Arial"/>
          <w:color w:val="000000" w:themeColor="text1" w:themeTint="FF" w:themeShade="FF"/>
        </w:rPr>
        <w:t>Carie</w:t>
      </w:r>
      <w:proofErr w:type="spellEnd"/>
      <w:r w:rsidRPr="3A0A763B" w:rsidR="3A0A763B">
        <w:rPr>
          <w:rFonts w:ascii="Arial" w:hAnsi="Arial" w:cs="Arial"/>
          <w:color w:val="000000" w:themeColor="text1" w:themeTint="FF" w:themeShade="FF"/>
        </w:rPr>
        <w:t>, 2018)</w:t>
      </w:r>
    </w:p>
    <w:p w:rsidRPr="00587E29" w:rsidR="004D12FD" w:rsidP="122D5508" w:rsidRDefault="007F390D" w14:paraId="233F1195" w14:textId="5453BC2F">
      <w:pPr>
        <w:pStyle w:val="Normal"/>
        <w:rPr>
          <w:rFonts w:ascii="Arial" w:hAnsi="Arial" w:cs="Arial"/>
          <w:color w:val="000000" w:themeColor="text1" w:themeTint="FF" w:themeShade="FF"/>
        </w:rPr>
      </w:pPr>
      <w:r w:rsidRPr="00587E29" w:rsidR="009C2855">
        <w:rPr>
          <w:rFonts w:ascii="Arial" w:hAnsi="Arial" w:cs="Arial"/>
          <w:color w:val="000000" w:themeColor="text1"/>
          <w:shd w:val="clear" w:color="auto" w:fill="FFFFFF"/>
        </w:rPr>
        <w:t>A</w:t>
      </w:r>
      <w:r w:rsidR="007A25D7">
        <w:rPr>
          <w:rFonts w:ascii="Arial" w:hAnsi="Arial" w:cs="Arial"/>
          <w:color w:val="000000" w:themeColor="text1"/>
          <w:shd w:val="clear" w:color="auto" w:fill="FFFFFF"/>
        </w:rPr>
        <w:t xml:space="preserve"> method</w:t>
      </w:r>
      <w:r w:rsidRPr="00587E29" w:rsidR="009C2855">
        <w:rPr>
          <w:rFonts w:ascii="Arial" w:hAnsi="Arial" w:cs="Arial"/>
          <w:color w:val="000000" w:themeColor="text1"/>
          <w:shd w:val="clear" w:color="auto" w:fill="FFFFFF"/>
        </w:rPr>
        <w:t xml:space="preserve"> of alternative medicine</w:t>
      </w:r>
      <w:r w:rsidR="007A25D7">
        <w:rPr>
          <w:rFonts w:ascii="Arial" w:hAnsi="Arial" w:cs="Arial"/>
          <w:color w:val="000000" w:themeColor="text1"/>
          <w:shd w:val="clear" w:color="auto" w:fill="FFFFFF"/>
        </w:rPr>
        <w:t xml:space="preserve"> for a patient is to follow</w:t>
      </w:r>
      <w:r w:rsidRPr="00587E29" w:rsidR="009C2855">
        <w:rPr>
          <w:rFonts w:ascii="Arial" w:hAnsi="Arial" w:cs="Arial"/>
          <w:color w:val="000000" w:themeColor="text1"/>
          <w:shd w:val="clear" w:color="auto" w:fill="FFFFFF"/>
        </w:rPr>
        <w:t xml:space="preserve"> a speci</w:t>
      </w:r>
      <w:r w:rsidR="007A25D7">
        <w:rPr>
          <w:rFonts w:ascii="Arial" w:hAnsi="Arial" w:cs="Arial"/>
          <w:color w:val="000000" w:themeColor="text1"/>
          <w:shd w:val="clear" w:color="auto" w:fill="FFFFFF"/>
        </w:rPr>
        <w:t>fic</w:t>
      </w:r>
      <w:r w:rsidRPr="00587E29" w:rsidR="009C2855">
        <w:rPr>
          <w:rFonts w:ascii="Arial" w:hAnsi="Arial" w:cs="Arial"/>
          <w:color w:val="000000" w:themeColor="text1"/>
          <w:shd w:val="clear" w:color="auto" w:fill="FFFFFF"/>
        </w:rPr>
        <w:t xml:space="preserve"> diet</w:t>
      </w:r>
      <w:r w:rsidR="007A25D7">
        <w:rPr>
          <w:rFonts w:ascii="Arial" w:hAnsi="Arial" w:cs="Arial"/>
          <w:color w:val="000000" w:themeColor="text1"/>
          <w:shd w:val="clear" w:color="auto" w:fill="FFFFFF"/>
        </w:rPr>
        <w:t>ary plan</w:t>
      </w:r>
      <w:r w:rsidRPr="00587E29" w:rsidR="009C2855">
        <w:rPr>
          <w:rFonts w:ascii="Arial" w:hAnsi="Arial" w:cs="Arial"/>
          <w:color w:val="000000" w:themeColor="text1"/>
          <w:shd w:val="clear" w:color="auto" w:fill="FFFFFF"/>
        </w:rPr>
        <w:t xml:space="preserve"> </w:t>
      </w:r>
      <w:r w:rsidR="007A25D7">
        <w:rPr>
          <w:rFonts w:ascii="Arial" w:hAnsi="Arial" w:cs="Arial"/>
          <w:color w:val="000000" w:themeColor="text1"/>
          <w:shd w:val="clear" w:color="auto" w:fill="FFFFFF"/>
        </w:rPr>
        <w:t>or by consuming special</w:t>
      </w:r>
      <w:r w:rsidRPr="00587E29" w:rsidR="009C2855">
        <w:rPr>
          <w:rFonts w:ascii="Arial" w:hAnsi="Arial" w:cs="Arial"/>
          <w:color w:val="000000" w:themeColor="text1"/>
          <w:shd w:val="clear" w:color="auto" w:fill="FFFFFF"/>
        </w:rPr>
        <w:t xml:space="preserve"> herbs</w:t>
      </w:r>
      <w:r w:rsidR="007A25D7">
        <w:rPr>
          <w:rFonts w:ascii="Arial" w:hAnsi="Arial" w:cs="Arial"/>
          <w:color w:val="000000" w:themeColor="text1"/>
          <w:shd w:val="clear" w:color="auto" w:fill="FFFFFF"/>
        </w:rPr>
        <w:t xml:space="preserve"> and plants for medical purposes.</w:t>
      </w:r>
      <w:r w:rsidR="00587E29">
        <w:rPr>
          <w:rFonts w:ascii="Arial" w:hAnsi="Arial" w:cs="Arial"/>
          <w:color w:val="000000" w:themeColor="text1"/>
          <w:shd w:val="clear" w:color="auto" w:fill="FFFFFF"/>
        </w:rPr>
        <w:t xml:space="preserve"> (St. Luke’s Hospital, 2015). </w:t>
      </w:r>
      <w:r w:rsidRPr="122D5508" w:rsidR="122D5508">
        <w:rPr>
          <w:rFonts w:ascii="Arial" w:hAnsi="Arial" w:cs="Arial"/>
          <w:color w:val="000000" w:themeColor="text1" w:themeTint="FF" w:themeShade="FF"/>
        </w:rPr>
        <w:t xml:space="preserve">Alternative Healing Therapies are a type of method which are specifically based on healing. This is very different from the treatment process that a person </w:t>
      </w:r>
      <w:r w:rsidRPr="122D5508" w:rsidR="122D5508">
        <w:rPr>
          <w:rFonts w:ascii="Arial" w:hAnsi="Arial" w:cs="Arial"/>
          <w:color w:val="000000" w:themeColor="text1" w:themeTint="FF" w:themeShade="FF"/>
        </w:rPr>
        <w:t>receives</w:t>
      </w:r>
      <w:r w:rsidRPr="122D5508" w:rsidR="122D5508">
        <w:rPr>
          <w:rFonts w:ascii="Arial" w:hAnsi="Arial" w:cs="Arial"/>
          <w:color w:val="000000" w:themeColor="text1" w:themeTint="FF" w:themeShade="FF"/>
        </w:rPr>
        <w:t xml:space="preserve"> from a doctor. Some of these healing methods are ancient and have worked for centuries. In many cases, some of these old methods are effective than conventional medicines. For a set period of time, the world has seen a growing interest in both holistic and natural treatments and they have found recognition as well as worldwide acceptance. (Khare, 2017).</w:t>
      </w:r>
    </w:p>
    <w:p w:rsidR="122D5508" w:rsidP="122D5508" w:rsidRDefault="122D5508" w14:paraId="0E2E5A03" w14:textId="0A771E5E">
      <w:pPr>
        <w:pStyle w:val="Normal"/>
        <w:rPr>
          <w:rFonts w:ascii="Arial" w:hAnsi="Arial" w:cs="Arial"/>
          <w:color w:val="000000" w:themeColor="text1" w:themeTint="FF" w:themeShade="FF"/>
        </w:rPr>
      </w:pPr>
    </w:p>
    <w:p w:rsidR="56BF35F3" w:rsidP="56BF35F3" w:rsidRDefault="56BF35F3" w14:paraId="3959A8B0" w14:textId="6257BC38">
      <w:pPr>
        <w:pStyle w:val="Normal"/>
        <w:rPr>
          <w:rFonts w:ascii="Arial" w:hAnsi="Arial" w:cs="Arial"/>
          <w:color w:val="000000" w:themeColor="text1" w:themeTint="FF" w:themeShade="FF"/>
        </w:rPr>
      </w:pPr>
    </w:p>
    <w:p w:rsidR="56BF35F3" w:rsidP="56BF35F3" w:rsidRDefault="56BF35F3" w14:paraId="0281573A" w14:textId="4C081CDE">
      <w:pPr>
        <w:pStyle w:val="Normal"/>
        <w:rPr>
          <w:rFonts w:ascii="Arial" w:hAnsi="Arial" w:cs="Arial"/>
          <w:color w:val="000000" w:themeColor="text1" w:themeTint="FF" w:themeShade="FF"/>
        </w:rPr>
      </w:pPr>
    </w:p>
    <w:p w:rsidR="00372AE8" w:rsidP="3A0A763B" w:rsidRDefault="007A25D7" w14:textId="10D036C5" w14:paraId="17811458">
      <w:pPr>
        <w:pStyle w:val="NormalWeb"/>
        <w:textAlignment w:val="baseline"/>
        <w:rPr>
          <w:rFonts w:ascii="Arial" w:hAnsi="Arial" w:cs="Arial"/>
          <w:sz w:val="22"/>
          <w:szCs w:val="22"/>
        </w:rPr>
      </w:pPr>
      <w:r w:rsidRPr="004B4387">
        <w:rPr>
          <w:rFonts w:ascii="Arial" w:hAnsi="Arial" w:cs="Arial"/>
          <w:sz w:val="22"/>
          <w:szCs w:val="22"/>
        </w:rPr>
        <w:lastRenderedPageBreak/>
        <w:t>Furthermore,</w:t>
      </w:r>
      <w:r w:rsidRPr="004B4387" w:rsidR="00B672DA">
        <w:rPr>
          <w:rFonts w:ascii="Arial" w:hAnsi="Arial" w:cs="Arial"/>
          <w:sz w:val="22"/>
          <w:szCs w:val="22"/>
        </w:rPr>
        <w:t xml:space="preserve"> </w:t>
      </w:r>
      <w:r w:rsidRPr="004B4387">
        <w:rPr>
          <w:rFonts w:ascii="Arial" w:hAnsi="Arial" w:cs="Arial"/>
          <w:sz w:val="22"/>
          <w:szCs w:val="22"/>
        </w:rPr>
        <w:t>when</w:t>
      </w:r>
      <w:r w:rsidRPr="004B4387" w:rsidR="00B672DA">
        <w:rPr>
          <w:rFonts w:ascii="Arial" w:hAnsi="Arial" w:cs="Arial"/>
          <w:sz w:val="22"/>
          <w:szCs w:val="22"/>
        </w:rPr>
        <w:t xml:space="preserve"> </w:t>
      </w:r>
      <w:r w:rsidRPr="004B4387">
        <w:rPr>
          <w:rFonts w:ascii="Arial" w:hAnsi="Arial" w:cs="Arial"/>
          <w:sz w:val="22"/>
          <w:szCs w:val="22"/>
        </w:rPr>
        <w:t>thinking about the</w:t>
      </w:r>
      <w:r w:rsidRPr="004B4387" w:rsidR="00B672DA">
        <w:rPr>
          <w:rFonts w:ascii="Arial" w:hAnsi="Arial" w:cs="Arial"/>
          <w:sz w:val="22"/>
          <w:szCs w:val="22"/>
        </w:rPr>
        <w:t xml:space="preserve"> </w:t>
      </w:r>
      <w:r w:rsidRPr="004B4387">
        <w:rPr>
          <w:rFonts w:ascii="Arial" w:hAnsi="Arial" w:cs="Arial"/>
          <w:sz w:val="22"/>
          <w:szCs w:val="22"/>
        </w:rPr>
        <w:t>safety precautions and the efficiency</w:t>
      </w:r>
      <w:r w:rsidRPr="004B4387" w:rsidR="00B672DA">
        <w:rPr>
          <w:rFonts w:ascii="Arial" w:hAnsi="Arial" w:cs="Arial"/>
          <w:sz w:val="22"/>
          <w:szCs w:val="22"/>
        </w:rPr>
        <w:t xml:space="preserve"> of a </w:t>
      </w:r>
      <w:r w:rsidRPr="004B4387">
        <w:rPr>
          <w:rFonts w:ascii="Arial" w:hAnsi="Arial" w:cs="Arial"/>
          <w:sz w:val="22"/>
          <w:szCs w:val="22"/>
        </w:rPr>
        <w:t>specific</w:t>
      </w:r>
      <w:r w:rsidRPr="004B4387" w:rsidR="00B672DA">
        <w:rPr>
          <w:rFonts w:ascii="Arial" w:hAnsi="Arial" w:cs="Arial"/>
          <w:sz w:val="22"/>
          <w:szCs w:val="22"/>
        </w:rPr>
        <w:t xml:space="preserve"> </w:t>
      </w:r>
      <w:r w:rsidRPr="004B4387">
        <w:rPr>
          <w:rFonts w:ascii="Arial" w:hAnsi="Arial" w:cs="Arial"/>
          <w:sz w:val="22"/>
          <w:szCs w:val="22"/>
        </w:rPr>
        <w:t>and it is recommended</w:t>
      </w:r>
      <w:r w:rsidRPr="004B4387" w:rsidR="00B672DA">
        <w:rPr>
          <w:rFonts w:ascii="Arial" w:hAnsi="Arial" w:cs="Arial"/>
          <w:sz w:val="22"/>
          <w:szCs w:val="22"/>
        </w:rPr>
        <w:t xml:space="preserve"> to c</w:t>
      </w:r>
      <w:r w:rsidRPr="004B4387">
        <w:rPr>
          <w:rFonts w:ascii="Arial" w:hAnsi="Arial" w:cs="Arial"/>
          <w:sz w:val="22"/>
          <w:szCs w:val="22"/>
        </w:rPr>
        <w:t xml:space="preserve">hoose the person in charge of this with great care. </w:t>
      </w:r>
      <w:r w:rsidRPr="004B4387" w:rsidR="00B672DA">
        <w:rPr>
          <w:rFonts w:ascii="Arial" w:hAnsi="Arial" w:cs="Arial"/>
          <w:sz w:val="22"/>
          <w:szCs w:val="22"/>
        </w:rPr>
        <w:t>The</w:t>
      </w:r>
      <w:r w:rsidRPr="004B4387" w:rsidR="00374E39">
        <w:rPr>
          <w:rFonts w:ascii="Arial" w:hAnsi="Arial" w:cs="Arial"/>
          <w:sz w:val="22"/>
          <w:szCs w:val="22"/>
        </w:rPr>
        <w:t xml:space="preserve"> National Centre for Complementary and Alternative Medicine, splits CAM</w:t>
      </w:r>
      <w:r w:rsidRPr="004B4387" w:rsidR="00B672DA">
        <w:rPr>
          <w:rFonts w:ascii="Arial" w:hAnsi="Arial" w:cs="Arial"/>
          <w:sz w:val="22"/>
          <w:szCs w:val="22"/>
        </w:rPr>
        <w:t xml:space="preserve"> into </w:t>
      </w:r>
      <w:r w:rsidRPr="004B4387" w:rsidR="00BD0934">
        <w:rPr>
          <w:rFonts w:ascii="Arial" w:hAnsi="Arial" w:cs="Arial"/>
          <w:sz w:val="22"/>
          <w:szCs w:val="22"/>
        </w:rPr>
        <w:t xml:space="preserve">five </w:t>
      </w:r>
      <w:r w:rsidRPr="004B4387" w:rsidR="007471E6">
        <w:rPr>
          <w:rFonts w:ascii="Arial" w:hAnsi="Arial" w:cs="Arial"/>
          <w:sz w:val="22"/>
          <w:szCs w:val="22"/>
        </w:rPr>
        <w:t>categories w</w:t>
      </w:r>
      <w:r w:rsidR="004B4387">
        <w:rPr>
          <w:rFonts w:ascii="Arial" w:hAnsi="Arial" w:cs="Arial"/>
          <w:sz w:val="22"/>
          <w:szCs w:val="22"/>
        </w:rPr>
        <w:t>ith one of them being the</w:t>
      </w:r>
      <w:r w:rsidRPr="004B4387" w:rsidR="00372AE8">
        <w:rPr>
          <w:rFonts w:ascii="Arial" w:hAnsi="Arial" w:cs="Arial"/>
          <w:sz w:val="22"/>
          <w:szCs w:val="22"/>
        </w:rPr>
        <w:t xml:space="preserve"> </w:t>
      </w:r>
      <w:r w:rsidRPr="004B4387" w:rsidR="0053089A">
        <w:rPr>
          <w:rStyle w:val="Strong"/>
          <w:rFonts w:ascii="Arial" w:hAnsi="Arial" w:cs="Arial"/>
          <w:b w:val="0"/>
          <w:bCs w:val="0"/>
          <w:color w:val="000000"/>
          <w:sz w:val="22"/>
          <w:szCs w:val="22"/>
          <w:shd w:val="clear" w:color="auto" w:fill="FFFFFF"/>
        </w:rPr>
        <w:t>Ancient/Traditional Medical Syste</w:t>
      </w:r>
      <w:r w:rsidRPr="004B4387" w:rsidR="004B4387">
        <w:rPr>
          <w:rStyle w:val="Strong"/>
          <w:rFonts w:ascii="Arial" w:hAnsi="Arial" w:cs="Arial"/>
          <w:b w:val="0"/>
          <w:bCs w:val="0"/>
          <w:color w:val="000000"/>
          <w:sz w:val="22"/>
          <w:szCs w:val="22"/>
          <w:shd w:val="clear" w:color="auto" w:fill="FFFFFF"/>
        </w:rPr>
        <w:t xml:space="preserve">m </w:t>
      </w:r>
      <w:r w:rsidR="004B4387">
        <w:rPr>
          <w:rFonts w:ascii="Arial" w:hAnsi="Arial" w:cs="Arial"/>
          <w:sz w:val="22"/>
          <w:szCs w:val="22"/>
        </w:rPr>
        <w:t>and this consists of</w:t>
      </w:r>
      <w:r w:rsidRPr="004B4387" w:rsidR="004B4387">
        <w:rPr>
          <w:rFonts w:ascii="Arial" w:hAnsi="Arial" w:cs="Arial"/>
          <w:sz w:val="22"/>
          <w:szCs w:val="22"/>
        </w:rPr>
        <w:t xml:space="preserve"> traditional Chinese medicine, Ayurvedic medicine, homeopathy, and naturopathy.</w:t>
      </w:r>
    </w:p>
    <w:p w:rsidR="000E7197" w:rsidP="3A0A763B" w:rsidRDefault="00391A76" w14:paraId="4BFA44E3" w14:textId="07886F8D">
      <w:pPr>
        <w:pStyle w:val="NormalWeb"/>
        <w:shd w:val="clear" w:color="auto" w:fill="FFFFFF" w:themeFill="background1"/>
        <w:textAlignment w:val="baseline"/>
        <w:rPr>
          <w:rFonts w:ascii="Arial" w:hAnsi="Arial" w:cs="Arial"/>
          <w:color w:val="000000" w:themeColor="text1" w:themeTint="FF" w:themeShade="FF"/>
          <w:sz w:val="22"/>
          <w:szCs w:val="22"/>
        </w:rPr>
      </w:pPr>
    </w:p>
    <w:p w:rsidR="000E7197" w:rsidP="15E6F83D" w:rsidRDefault="00391A76" w14:paraId="670ECD7F" w14:textId="1F2B8C90">
      <w:pPr>
        <w:pStyle w:val="NormalWeb"/>
        <w:shd w:val="clear" w:color="auto" w:fill="FFFFFF" w:themeFill="background1"/>
        <w:textAlignment w:val="baseline"/>
        <w:rPr>
          <w:rFonts w:ascii="Arial" w:hAnsi="Arial" w:cs="Arial"/>
          <w:color w:val="000000" w:themeColor="text1" w:themeTint="FF" w:themeShade="FF"/>
          <w:sz w:val="22"/>
          <w:szCs w:val="22"/>
        </w:rPr>
      </w:pPr>
      <w:r w:rsidRPr="56BF35F3" w:rsidR="56BF35F3">
        <w:rPr>
          <w:rFonts w:ascii="Arial" w:hAnsi="Arial" w:cs="Arial"/>
          <w:color w:val="000000" w:themeColor="text1" w:themeTint="FF" w:themeShade="FF"/>
          <w:sz w:val="22"/>
          <w:szCs w:val="22"/>
        </w:rPr>
        <w:t xml:space="preserve">The other category is known as mind-body interventions and they use methods to help you relax and reduce the stress. Methods of this include activities such as yoga, meditation, tai chi, and music therapy. The next category consists of biologically based treatments. Natural products include vitamins, herbs, and food. </w:t>
      </w:r>
    </w:p>
    <w:p w:rsidR="3A0A763B" w:rsidP="3A0A763B" w:rsidRDefault="3A0A763B" w14:paraId="04DA4230" w14:textId="283B6214">
      <w:pPr>
        <w:pStyle w:val="NormalWeb"/>
        <w:shd w:val="clear" w:color="auto" w:fill="FFFFFF" w:themeFill="background1"/>
        <w:rPr>
          <w:rFonts w:ascii="Arial" w:hAnsi="Arial" w:cs="Arial"/>
          <w:color w:val="000000" w:themeColor="text1" w:themeTint="FF" w:themeShade="FF"/>
          <w:sz w:val="22"/>
          <w:szCs w:val="22"/>
        </w:rPr>
      </w:pPr>
    </w:p>
    <w:p w:rsidR="000E7197" w:rsidP="15E6F83D" w:rsidRDefault="00391A76" w14:paraId="74BEAD25" w14:textId="1561FB68">
      <w:pPr>
        <w:pStyle w:val="NormalWeb"/>
        <w:shd w:val="clear" w:color="auto" w:fill="FFFFFF" w:themeFill="background1"/>
        <w:textAlignment w:val="baseline"/>
        <w:rPr>
          <w:rFonts w:ascii="Arial" w:hAnsi="Arial" w:cs="Arial"/>
          <w:color w:val="000000"/>
          <w:sz w:val="22"/>
          <w:szCs w:val="22"/>
        </w:rPr>
      </w:pPr>
      <w:r w:rsidRPr="56BF35F3" w:rsidR="56BF35F3">
        <w:rPr>
          <w:rFonts w:ascii="Arial" w:hAnsi="Arial" w:cs="Arial"/>
          <w:color w:val="000000" w:themeColor="text1" w:themeTint="FF" w:themeShade="FF"/>
          <w:sz w:val="22"/>
          <w:szCs w:val="22"/>
        </w:rPr>
        <w:t xml:space="preserve">The category after includes Manipulative and Body-Based and it consists of chiropractic treatments, therapeutic and reflexology. The last category talks about energy therapies which consists of Reiki, healing touch and electromagnetic field types which include magnet therapy and light therapy. (Wong, 2020) </w:t>
      </w:r>
    </w:p>
    <w:p w:rsidR="15E6F83D" w:rsidP="15E6F83D" w:rsidRDefault="15E6F83D" w14:paraId="6C0E2B9C" w14:textId="1286A827">
      <w:pPr>
        <w:pStyle w:val="NormalWeb"/>
        <w:shd w:val="clear" w:color="auto" w:fill="FFFFFF" w:themeFill="background1"/>
        <w:rPr>
          <w:rFonts w:ascii="Arial" w:hAnsi="Arial" w:cs="Arial"/>
          <w:color w:val="000000" w:themeColor="text1" w:themeTint="FF" w:themeShade="FF"/>
          <w:sz w:val="22"/>
          <w:szCs w:val="22"/>
        </w:rPr>
      </w:pPr>
    </w:p>
    <w:p w:rsidR="00391A76" w:rsidP="00372AE8" w:rsidRDefault="000E7197" w14:paraId="184446F5" w14:textId="482F273A">
      <w:pPr>
        <w:pStyle w:val="NormalWeb"/>
        <w:shd w:val="clear" w:color="auto" w:fill="FFFFFF"/>
        <w:textAlignment w:val="baseline"/>
        <w:rPr>
          <w:rFonts w:ascii="Arial" w:hAnsi="Arial" w:cs="Arial"/>
          <w:color w:val="000000"/>
          <w:sz w:val="22"/>
          <w:szCs w:val="22"/>
        </w:rPr>
      </w:pPr>
      <w:r w:rsidRPr="15E6F83D" w:rsidR="15E6F83D">
        <w:rPr>
          <w:rFonts w:ascii="Arial" w:hAnsi="Arial" w:cs="Arial"/>
          <w:color w:val="000000" w:themeColor="text1" w:themeTint="FF" w:themeShade="FF"/>
          <w:sz w:val="22"/>
          <w:szCs w:val="22"/>
        </w:rPr>
        <w:t>According to the UK Federal Regulator for Complementary Therapies, r</w:t>
      </w:r>
      <w:r w:rsidRPr="15E6F83D" w:rsidR="15E6F83D">
        <w:rPr>
          <w:rFonts w:ascii="Arial" w:hAnsi="Arial" w:cs="Arial"/>
          <w:color w:val="000000" w:themeColor="text1" w:themeTint="FF" w:themeShade="FF"/>
          <w:sz w:val="22"/>
          <w:szCs w:val="22"/>
        </w:rPr>
        <w:t>egulation, and registration of complementary therapists in the UK is voluntary self-regulation</w:t>
      </w:r>
      <w:r w:rsidRPr="15E6F83D" w:rsidR="15E6F83D">
        <w:rPr>
          <w:rFonts w:ascii="Arial" w:hAnsi="Arial" w:cs="Arial"/>
          <w:color w:val="000000" w:themeColor="text1" w:themeTint="FF" w:themeShade="FF"/>
          <w:sz w:val="22"/>
          <w:szCs w:val="22"/>
        </w:rPr>
        <w:t xml:space="preserve"> and it suggests </w:t>
      </w:r>
      <w:r w:rsidRPr="15E6F83D" w:rsidR="15E6F83D">
        <w:rPr>
          <w:rFonts w:ascii="Arial" w:hAnsi="Arial" w:cs="Arial"/>
          <w:color w:val="000000" w:themeColor="text1" w:themeTint="FF" w:themeShade="FF"/>
          <w:sz w:val="22"/>
          <w:szCs w:val="22"/>
        </w:rPr>
        <w:t xml:space="preserve">that there </w:t>
      </w:r>
      <w:r w:rsidRPr="15E6F83D" w:rsidR="15E6F83D">
        <w:rPr>
          <w:rFonts w:ascii="Arial" w:hAnsi="Arial" w:cs="Arial"/>
          <w:color w:val="000000" w:themeColor="text1" w:themeTint="FF" w:themeShade="FF"/>
          <w:sz w:val="22"/>
          <w:szCs w:val="22"/>
        </w:rPr>
        <w:t>is a lack of laws</w:t>
      </w:r>
      <w:r w:rsidRPr="15E6F83D" w:rsidR="15E6F83D">
        <w:rPr>
          <w:rFonts w:ascii="Arial" w:hAnsi="Arial" w:cs="Arial"/>
          <w:color w:val="000000" w:themeColor="text1" w:themeTint="FF" w:themeShade="FF"/>
          <w:sz w:val="22"/>
          <w:szCs w:val="22"/>
        </w:rPr>
        <w:t xml:space="preserve"> in place to </w:t>
      </w:r>
      <w:r w:rsidRPr="15E6F83D" w:rsidR="15E6F83D">
        <w:rPr>
          <w:rFonts w:ascii="Arial" w:hAnsi="Arial" w:cs="Arial"/>
          <w:color w:val="000000" w:themeColor="text1" w:themeTint="FF" w:themeShade="FF"/>
          <w:sz w:val="22"/>
          <w:szCs w:val="22"/>
        </w:rPr>
        <w:t xml:space="preserve">keep people safe </w:t>
      </w:r>
      <w:r w:rsidRPr="15E6F83D" w:rsidR="15E6F83D">
        <w:rPr>
          <w:rFonts w:ascii="Arial" w:hAnsi="Arial" w:cs="Arial"/>
          <w:color w:val="000000" w:themeColor="text1" w:themeTint="FF" w:themeShade="FF"/>
          <w:sz w:val="22"/>
          <w:szCs w:val="22"/>
        </w:rPr>
        <w:t xml:space="preserve">from </w:t>
      </w:r>
      <w:r w:rsidRPr="15E6F83D" w:rsidR="15E6F83D">
        <w:rPr>
          <w:rFonts w:ascii="Arial" w:hAnsi="Arial" w:cs="Arial"/>
          <w:color w:val="000000" w:themeColor="text1" w:themeTint="FF" w:themeShade="FF"/>
          <w:sz w:val="22"/>
          <w:szCs w:val="22"/>
        </w:rPr>
        <w:t>unqualified and/or inexperienced therapists who may be engaged in fraud</w:t>
      </w:r>
      <w:r w:rsidRPr="15E6F83D" w:rsidR="15E6F83D">
        <w:rPr>
          <w:rFonts w:ascii="Arial" w:hAnsi="Arial" w:cs="Arial"/>
          <w:color w:val="000000" w:themeColor="text1" w:themeTint="FF" w:themeShade="FF"/>
          <w:sz w:val="22"/>
          <w:szCs w:val="22"/>
        </w:rPr>
        <w:t xml:space="preserve">. </w:t>
      </w:r>
      <w:r w:rsidRPr="15E6F83D" w:rsidR="15E6F83D">
        <w:rPr>
          <w:rFonts w:ascii="Arial" w:hAnsi="Arial" w:cs="Arial"/>
          <w:color w:val="000000" w:themeColor="text1" w:themeTint="FF" w:themeShade="FF"/>
          <w:sz w:val="22"/>
          <w:szCs w:val="22"/>
        </w:rPr>
        <w:t xml:space="preserve">Through a decade, </w:t>
      </w:r>
      <w:r w:rsidRPr="15E6F83D" w:rsidR="15E6F83D">
        <w:rPr>
          <w:rFonts w:ascii="Arial" w:hAnsi="Arial" w:cs="Arial"/>
          <w:color w:val="000000" w:themeColor="text1" w:themeTint="FF" w:themeShade="FF"/>
          <w:sz w:val="22"/>
          <w:szCs w:val="22"/>
        </w:rPr>
        <w:t>and</w:t>
      </w:r>
      <w:r w:rsidRPr="15E6F83D" w:rsidR="15E6F83D">
        <w:rPr>
          <w:rFonts w:ascii="Arial" w:hAnsi="Arial" w:cs="Arial"/>
          <w:color w:val="000000" w:themeColor="text1" w:themeTint="FF" w:themeShade="FF"/>
          <w:sz w:val="22"/>
          <w:szCs w:val="22"/>
        </w:rPr>
        <w:t xml:space="preserve"> with the help of </w:t>
      </w:r>
      <w:r w:rsidRPr="15E6F83D" w:rsidR="15E6F83D">
        <w:rPr>
          <w:rFonts w:ascii="Arial" w:hAnsi="Arial" w:cs="Arial"/>
          <w:color w:val="000000" w:themeColor="text1" w:themeTint="FF" w:themeShade="FF"/>
          <w:sz w:val="22"/>
          <w:szCs w:val="22"/>
        </w:rPr>
        <w:t>recent government recommendations</w:t>
      </w:r>
      <w:r w:rsidRPr="15E6F83D" w:rsidR="15E6F83D">
        <w:rPr>
          <w:rFonts w:ascii="Arial" w:hAnsi="Arial" w:cs="Arial"/>
          <w:color w:val="000000" w:themeColor="text1" w:themeTint="FF" w:themeShade="FF"/>
          <w:sz w:val="22"/>
          <w:szCs w:val="22"/>
        </w:rPr>
        <w:t xml:space="preserve"> about procedures, a significant amount of organizations </w:t>
      </w:r>
      <w:r w:rsidRPr="15E6F83D" w:rsidR="15E6F83D">
        <w:rPr>
          <w:rFonts w:ascii="Arial" w:hAnsi="Arial" w:cs="Arial"/>
          <w:color w:val="000000" w:themeColor="text1" w:themeTint="FF" w:themeShade="FF"/>
          <w:sz w:val="22"/>
          <w:szCs w:val="22"/>
        </w:rPr>
        <w:t xml:space="preserve">have been </w:t>
      </w:r>
      <w:r w:rsidRPr="15E6F83D" w:rsidR="15E6F83D">
        <w:rPr>
          <w:rFonts w:ascii="Arial" w:hAnsi="Arial" w:cs="Arial"/>
          <w:color w:val="000000" w:themeColor="text1" w:themeTint="FF" w:themeShade="FF"/>
          <w:sz w:val="22"/>
          <w:szCs w:val="22"/>
        </w:rPr>
        <w:t>co-operating</w:t>
      </w:r>
      <w:r w:rsidRPr="15E6F83D" w:rsidR="15E6F83D">
        <w:rPr>
          <w:rFonts w:ascii="Arial" w:hAnsi="Arial" w:cs="Arial"/>
          <w:color w:val="000000" w:themeColor="text1" w:themeTint="FF" w:themeShade="FF"/>
          <w:sz w:val="22"/>
          <w:szCs w:val="22"/>
        </w:rPr>
        <w:t xml:space="preserve"> to </w:t>
      </w:r>
      <w:r w:rsidRPr="15E6F83D" w:rsidR="15E6F83D">
        <w:rPr>
          <w:rFonts w:ascii="Arial" w:hAnsi="Arial" w:cs="Arial"/>
          <w:color w:val="000000" w:themeColor="text1" w:themeTint="FF" w:themeShade="FF"/>
          <w:sz w:val="22"/>
          <w:szCs w:val="22"/>
        </w:rPr>
        <w:t>come to an agreement about the required</w:t>
      </w:r>
      <w:r w:rsidRPr="15E6F83D" w:rsidR="15E6F83D">
        <w:rPr>
          <w:rFonts w:ascii="Arial" w:hAnsi="Arial" w:cs="Arial"/>
          <w:color w:val="000000" w:themeColor="text1" w:themeTint="FF" w:themeShade="FF"/>
          <w:sz w:val="22"/>
          <w:szCs w:val="22"/>
        </w:rPr>
        <w:t xml:space="preserve"> standards for </w:t>
      </w:r>
      <w:r w:rsidRPr="15E6F83D" w:rsidR="15E6F83D">
        <w:rPr>
          <w:rFonts w:ascii="Arial" w:hAnsi="Arial" w:cs="Arial"/>
          <w:color w:val="000000" w:themeColor="text1" w:themeTint="FF" w:themeShade="FF"/>
          <w:sz w:val="22"/>
          <w:szCs w:val="22"/>
        </w:rPr>
        <w:t>the various</w:t>
      </w:r>
      <w:r w:rsidRPr="15E6F83D" w:rsidR="15E6F83D">
        <w:rPr>
          <w:rFonts w:ascii="Arial" w:hAnsi="Arial" w:cs="Arial"/>
          <w:color w:val="000000" w:themeColor="text1" w:themeTint="FF" w:themeShade="FF"/>
          <w:sz w:val="22"/>
          <w:szCs w:val="22"/>
        </w:rPr>
        <w:t xml:space="preserve"> </w:t>
      </w:r>
      <w:r w:rsidRPr="15E6F83D" w:rsidR="15E6F83D">
        <w:rPr>
          <w:rFonts w:ascii="Arial" w:hAnsi="Arial" w:cs="Arial"/>
          <w:color w:val="000000" w:themeColor="text1" w:themeTint="FF" w:themeShade="FF"/>
          <w:sz w:val="22"/>
          <w:szCs w:val="22"/>
        </w:rPr>
        <w:t>forms</w:t>
      </w:r>
      <w:r w:rsidRPr="15E6F83D" w:rsidR="15E6F83D">
        <w:rPr>
          <w:rFonts w:ascii="Arial" w:hAnsi="Arial" w:cs="Arial"/>
          <w:color w:val="000000" w:themeColor="text1" w:themeTint="FF" w:themeShade="FF"/>
          <w:sz w:val="22"/>
          <w:szCs w:val="22"/>
        </w:rPr>
        <w:t xml:space="preserve"> of complementary therapy.</w:t>
      </w:r>
      <w:r w:rsidRPr="15E6F83D" w:rsidR="15E6F83D">
        <w:rPr>
          <w:rFonts w:ascii="Arial" w:hAnsi="Arial" w:cs="Arial"/>
          <w:color w:val="000000" w:themeColor="text1" w:themeTint="FF" w:themeShade="FF"/>
          <w:sz w:val="22"/>
          <w:szCs w:val="22"/>
        </w:rPr>
        <w:t xml:space="preserve"> (GRCCT, 2020). </w:t>
      </w:r>
    </w:p>
    <w:p w:rsidR="15E6F83D" w:rsidP="3A0A763B" w:rsidRDefault="15E6F83D" w14:paraId="1EBF43BA" w14:textId="46884BFC">
      <w:pPr>
        <w:pStyle w:val="NormalWeb"/>
        <w:shd w:val="clear" w:color="auto" w:fill="FFFFFF" w:themeFill="background1"/>
        <w:rPr>
          <w:rFonts w:ascii="Arial" w:hAnsi="Arial" w:cs="Arial"/>
          <w:b w:val="1"/>
          <w:bCs w:val="1"/>
          <w:color w:val="FF0000" w:themeColor="text1" w:themeTint="FF" w:themeShade="FF"/>
          <w:sz w:val="22"/>
          <w:szCs w:val="22"/>
        </w:rPr>
      </w:pPr>
    </w:p>
    <w:p w:rsidR="00391A76" w:rsidP="56BF35F3" w:rsidRDefault="006916B5" w14:paraId="558FDF75" w14:textId="5AAF89B9">
      <w:pPr>
        <w:textAlignment w:val="baseline"/>
        <w:rPr>
          <w:rFonts w:ascii="Arial" w:hAnsi="Arial" w:eastAsia="Arial" w:cs="Arial"/>
        </w:rPr>
      </w:pPr>
      <w:r w:rsidRPr="56BF35F3" w:rsidR="56BF35F3">
        <w:rPr>
          <w:rFonts w:ascii="Arial" w:hAnsi="Arial" w:eastAsia="Arial" w:cs="Arial"/>
        </w:rPr>
        <w:t xml:space="preserve">Within the UK, the common legislation possesses the right to decide on a person’s own treatment for their own condition and there has been a lack of review by the law. It is therefore permissible for </w:t>
      </w:r>
      <w:r w:rsidRPr="56BF35F3" w:rsidR="56BF35F3">
        <w:rPr>
          <w:rFonts w:ascii="Arial" w:hAnsi="Arial" w:eastAsia="Arial" w:cs="Arial"/>
        </w:rPr>
        <w:t>practitioners</w:t>
      </w:r>
      <w:r w:rsidRPr="56BF35F3" w:rsidR="56BF35F3">
        <w:rPr>
          <w:rFonts w:ascii="Arial" w:hAnsi="Arial" w:eastAsia="Arial" w:cs="Arial"/>
        </w:rPr>
        <w:t xml:space="preserve"> in this field to certify themselves in a big range of different health related professions and that is the case if they do not claim to be registered medical practitioners and do not practise protected disciplines such as dentistry, midwifery etc. In comparison to this, with other European Union countries and even the United States, there are a handful of healthcare activities that are authorised without state permission. Acupuncturists, herbalists, osteopaths, and naturopaths have been prosecuted and have been accountable in court for practising without medical qualifications. (Mills, 2001).</w:t>
      </w:r>
    </w:p>
    <w:p w:rsidR="00391A76" w:rsidP="56BF35F3" w:rsidRDefault="006916B5" w14:paraId="20DFA631" w14:textId="4FDAB0E1">
      <w:pPr>
        <w:pStyle w:val="NormalWeb"/>
        <w:shd w:val="clear" w:color="auto" w:fill="FFFFFF" w:themeFill="background1"/>
        <w:textAlignment w:val="baseline"/>
        <w:rPr>
          <w:rFonts w:ascii="Arial" w:hAnsi="Arial" w:cs="Arial"/>
          <w:b w:val="1"/>
          <w:bCs w:val="1"/>
          <w:color w:val="FF0000"/>
          <w:sz w:val="22"/>
          <w:szCs w:val="22"/>
        </w:rPr>
      </w:pPr>
      <w:r w:rsidRPr="56BF35F3" w:rsidR="56BF35F3">
        <w:rPr>
          <w:rFonts w:ascii="Arial" w:hAnsi="Arial" w:eastAsia="Arial" w:cs="Arial"/>
          <w:color w:val="auto"/>
          <w:sz w:val="22"/>
          <w:szCs w:val="22"/>
        </w:rPr>
        <w:t xml:space="preserve">WHO (2002), established in their report, the four different sections of health care systems which were based on the connections between allopathic and complementary medicine: These are integrative systems, which is where complementary medicine is officially classified and put into force in all aspects of health care? Furthermore, it is featured in the national drug policy; providers and products are officiated; therapies are available for use at hospitals and clinics regardless whether it is public or private. The second type consists of inclusive systems, in which complementary medicine is certified but is not yet fully enforced into all aspects of health care. Tolerant systems which is where the system regarding national healthcare is based on allopathic medicine, but some of the practices associated by this are accepted by law. Exclusive systems also </w:t>
      </w:r>
      <w:r w:rsidRPr="56BF35F3" w:rsidR="56BF35F3">
        <w:rPr>
          <w:rFonts w:ascii="Arial" w:hAnsi="Arial" w:eastAsia="Arial" w:cs="Arial"/>
          <w:color w:val="auto"/>
          <w:sz w:val="22"/>
          <w:szCs w:val="22"/>
        </w:rPr>
        <w:t>feature</w:t>
      </w:r>
      <w:r w:rsidRPr="56BF35F3" w:rsidR="56BF35F3">
        <w:rPr>
          <w:rFonts w:ascii="Arial" w:hAnsi="Arial" w:eastAsia="Arial" w:cs="Arial"/>
          <w:color w:val="auto"/>
          <w:sz w:val="22"/>
          <w:szCs w:val="22"/>
        </w:rPr>
        <w:t xml:space="preserve"> the national health care system but it primarily focuses on allopathic medicine and it establishes that the practice of complementary medicine is illegal.</w:t>
      </w:r>
    </w:p>
    <w:p w:rsidR="56BF35F3" w:rsidP="56BF35F3" w:rsidRDefault="56BF35F3" w14:paraId="3FB001CE" w14:textId="6C347BEB">
      <w:pPr>
        <w:pStyle w:val="NormalWeb"/>
        <w:rPr>
          <w:rFonts w:ascii="Arial" w:hAnsi="Arial" w:eastAsia="Arial" w:cs="Arial"/>
          <w:color w:val="auto"/>
          <w:sz w:val="22"/>
          <w:szCs w:val="22"/>
        </w:rPr>
      </w:pPr>
    </w:p>
    <w:p w:rsidR="56BF35F3" w:rsidP="56BF35F3" w:rsidRDefault="56BF35F3" w14:paraId="39B43C66" w14:textId="0C3A50B4">
      <w:pPr>
        <w:pStyle w:val="NormalWeb"/>
        <w:rPr>
          <w:rFonts w:ascii="Arial" w:hAnsi="Arial" w:cs="Arial"/>
          <w:color w:val="000000" w:themeColor="text1" w:themeTint="FF" w:themeShade="FF"/>
          <w:sz w:val="22"/>
          <w:szCs w:val="22"/>
        </w:rPr>
      </w:pPr>
      <w:r w:rsidRPr="122D5508" w:rsidR="122D5508">
        <w:rPr>
          <w:rFonts w:ascii="Arial" w:hAnsi="Arial" w:cs="Arial"/>
          <w:color w:val="000000" w:themeColor="text1" w:themeTint="FF" w:themeShade="FF"/>
          <w:sz w:val="22"/>
          <w:szCs w:val="22"/>
        </w:rPr>
        <w:t>There are two categories of regulation applicable to the complementary therapy professions: voluntary self-regulation and statutory regulation. There is a reason why statutory regulation is much needed in many places of practice in the United Kingdom. Under law, this maintains security and safeguarding- insufficient practice is not acceptable. (SFTR, 2003)</w:t>
      </w:r>
    </w:p>
    <w:p w:rsidR="56BF35F3" w:rsidP="56BF35F3" w:rsidRDefault="56BF35F3" w14:paraId="74E22531" w14:textId="5B8B3496">
      <w:pPr>
        <w:pStyle w:val="NormalWeb"/>
        <w:shd w:val="clear" w:color="auto" w:fill="FFFFFF" w:themeFill="background1"/>
        <w:rPr>
          <w:rFonts w:ascii="Arial" w:hAnsi="Arial" w:cs="Arial"/>
          <w:color w:val="000000" w:themeColor="text1" w:themeTint="FF" w:themeShade="FF"/>
          <w:sz w:val="22"/>
          <w:szCs w:val="22"/>
        </w:rPr>
      </w:pPr>
    </w:p>
    <w:p w:rsidR="56BF35F3" w:rsidP="56BF35F3" w:rsidRDefault="56BF35F3" w14:paraId="57F62A76" w14:textId="668E7B2F">
      <w:pPr>
        <w:pStyle w:val="NormalWeb"/>
        <w:shd w:val="clear" w:color="auto" w:fill="FFFFFF" w:themeFill="background1"/>
        <w:rPr>
          <w:rFonts w:ascii="Arial" w:hAnsi="Arial" w:cs="Arial"/>
          <w:color w:val="000000" w:themeColor="text1" w:themeTint="FF" w:themeShade="FF"/>
          <w:sz w:val="22"/>
          <w:szCs w:val="22"/>
        </w:rPr>
      </w:pPr>
      <w:r w:rsidRPr="56BF35F3" w:rsidR="56BF35F3">
        <w:rPr>
          <w:rFonts w:ascii="Arial" w:hAnsi="Arial" w:cs="Arial"/>
          <w:color w:val="000000" w:themeColor="text1" w:themeTint="FF" w:themeShade="FF"/>
          <w:sz w:val="22"/>
          <w:szCs w:val="22"/>
        </w:rPr>
        <w:t xml:space="preserve">The voluntary self-regulatory system, in terms of complementary therapy, is when a type of therapy is not looked at by an Act of Law set by Parliament because if it were, this would come under statutory regulation. This regulation can be put into force from any professional body in the field of medical health within that. However, this will often take the form of a ‘membership’ body for the professionals operating in that sector. (NALP, 2019). </w:t>
      </w:r>
    </w:p>
    <w:p w:rsidR="56BF35F3" w:rsidP="122D5508" w:rsidRDefault="56BF35F3" w14:paraId="709011AC" w14:textId="777A90F1">
      <w:pPr>
        <w:pStyle w:val="NormalWeb"/>
        <w:shd w:val="clear" w:color="auto" w:fill="FFFFFF" w:themeFill="background1"/>
        <w:rPr>
          <w:rFonts w:ascii="Arial" w:hAnsi="Arial" w:cs="Arial"/>
          <w:color w:val="000000" w:themeColor="text1" w:themeTint="FF" w:themeShade="FF"/>
          <w:sz w:val="22"/>
          <w:szCs w:val="22"/>
        </w:rPr>
      </w:pPr>
    </w:p>
    <w:p w:rsidR="001C1152" w:rsidP="56BF35F3" w:rsidRDefault="001C1152" w14:paraId="53C45D0E" w14:textId="1B0E051B">
      <w:pPr>
        <w:pStyle w:val="Normal"/>
        <w:shd w:val="clear" w:color="auto" w:fill="FFFFFF" w:themeFill="background1"/>
        <w:textAlignment w:val="baseline"/>
        <w:rPr>
          <w:rFonts w:ascii="Arial" w:hAnsi="Arial" w:eastAsia="Arial" w:cs="Arial"/>
        </w:rPr>
      </w:pPr>
      <w:r w:rsidRPr="122D5508" w:rsidR="122D5508">
        <w:rPr>
          <w:rFonts w:ascii="Arial" w:hAnsi="Arial" w:cs="Arial"/>
          <w:color w:val="000000" w:themeColor="text1" w:themeTint="FF" w:themeShade="FF"/>
          <w:sz w:val="22"/>
          <w:szCs w:val="22"/>
        </w:rPr>
        <w:t xml:space="preserve">Osteopaths are required to be officially registered with the General Osteopathic Council before they can practice osteopathy. (NHS,2018) The British government have significantly found the requirement for a form of regulation of CAM, even though the disbanded the primary idea of forming a certified body who would be responsible in this field. (Walker, Budd 2002).  In the General Osteopathic Council’s terms, a majority of the training for osteopathy are taken at the same level of a degree. Candidates in this field of work are required to complete a course which consists of </w:t>
      </w:r>
      <w:r w:rsidRPr="122D5508" w:rsidR="122D5508">
        <w:rPr>
          <w:rFonts w:ascii="Arial" w:hAnsi="Arial" w:eastAsia="Arial" w:cs="Arial"/>
          <w:color w:val="000000" w:themeColor="text1" w:themeTint="FF" w:themeShade="FF"/>
          <w:sz w:val="22"/>
          <w:szCs w:val="22"/>
        </w:rPr>
        <w:t>four to five-years of studying. Certifications commonly present themselves in the form of a degree in osteopathy and it can be either bachelor or master type</w:t>
      </w:r>
      <w:r w:rsidRPr="122D5508" w:rsidR="122D5508">
        <w:rPr>
          <w:rFonts w:ascii="Arial" w:hAnsi="Arial" w:eastAsia="Arial" w:cs="Arial"/>
        </w:rPr>
        <w:t>. Candidates are given guidance by the Council with:</w:t>
      </w:r>
    </w:p>
    <w:p w:rsidR="001C1152" w:rsidP="56BF35F3" w:rsidRDefault="001C1152" w14:paraId="1F2031FD" w14:textId="7D780F5E">
      <w:pPr>
        <w:pStyle w:val="ListParagraph"/>
        <w:numPr>
          <w:ilvl w:val="0"/>
          <w:numId w:val="2"/>
        </w:numPr>
        <w:textAlignment w:val="baseline"/>
        <w:rPr>
          <w:rFonts w:ascii="Arial" w:hAnsi="Arial" w:eastAsia="Arial" w:cs="Arial"/>
          <w:sz w:val="22"/>
          <w:szCs w:val="22"/>
        </w:rPr>
      </w:pPr>
      <w:r w:rsidRPr="122D5508" w:rsidR="122D5508">
        <w:rPr>
          <w:rFonts w:ascii="Arial" w:hAnsi="Arial" w:eastAsia="Arial" w:cs="Arial"/>
        </w:rPr>
        <w:t>Education before registering as an osteopathist</w:t>
      </w:r>
    </w:p>
    <w:p w:rsidR="001C1152" w:rsidP="122D5508" w:rsidRDefault="001C1152" w14:paraId="174656F0" w14:textId="1842592D">
      <w:pPr>
        <w:pStyle w:val="ListParagraph"/>
        <w:numPr>
          <w:ilvl w:val="0"/>
          <w:numId w:val="2"/>
        </w:numPr>
        <w:textAlignment w:val="baseline"/>
        <w:rPr>
          <w:rFonts w:ascii="Arial" w:hAnsi="Arial" w:eastAsia="Arial" w:cs="Arial"/>
          <w:sz w:val="22"/>
          <w:szCs w:val="22"/>
        </w:rPr>
      </w:pPr>
      <w:r w:rsidRPr="122D5508" w:rsidR="122D5508">
        <w:rPr>
          <w:rFonts w:ascii="Arial" w:hAnsi="Arial" w:eastAsia="Arial" w:cs="Arial"/>
        </w:rPr>
        <w:t>Candidate’s ability to practice</w:t>
      </w:r>
    </w:p>
    <w:p w:rsidR="001C1152" w:rsidP="56BF35F3" w:rsidRDefault="001C1152" w14:paraId="617CBF4E" w14:textId="07A5973D">
      <w:pPr>
        <w:pStyle w:val="ListParagraph"/>
        <w:numPr>
          <w:ilvl w:val="0"/>
          <w:numId w:val="2"/>
        </w:numPr>
        <w:textAlignment w:val="baseline"/>
        <w:rPr>
          <w:rFonts w:ascii="Arial" w:hAnsi="Arial" w:eastAsia="Arial" w:cs="Arial"/>
          <w:sz w:val="22"/>
          <w:szCs w:val="22"/>
        </w:rPr>
      </w:pPr>
      <w:r w:rsidRPr="122D5508" w:rsidR="122D5508">
        <w:rPr>
          <w:rFonts w:ascii="Arial" w:hAnsi="Arial" w:eastAsia="Arial" w:cs="Arial"/>
        </w:rPr>
        <w:t>How to manage health and disability (GoSC, 2020)</w:t>
      </w:r>
    </w:p>
    <w:p w:rsidR="001C1152" w:rsidP="56BF35F3" w:rsidRDefault="001C1152" w14:paraId="297FE01B" w14:textId="18037259">
      <w:pPr>
        <w:pStyle w:val="NormalWeb"/>
        <w:textAlignment w:val="baseline"/>
        <w:rPr>
          <w:rFonts w:ascii="Arial" w:hAnsi="Arial" w:eastAsia="Arial" w:cs="Arial"/>
        </w:rPr>
      </w:pPr>
      <w:r w:rsidRPr="56BF35F3" w:rsidR="56BF35F3">
        <w:rPr>
          <w:rFonts w:ascii="Arial" w:hAnsi="Arial" w:eastAsia="Arial" w:cs="Arial"/>
          <w:sz w:val="22"/>
          <w:szCs w:val="22"/>
        </w:rPr>
        <w:t xml:space="preserve">Under the Osteopaths Act 1993, the </w:t>
      </w:r>
      <w:proofErr w:type="spellStart"/>
      <w:r w:rsidRPr="56BF35F3" w:rsidR="56BF35F3">
        <w:rPr>
          <w:rFonts w:ascii="Arial" w:hAnsi="Arial" w:eastAsia="Arial" w:cs="Arial"/>
          <w:sz w:val="22"/>
          <w:szCs w:val="22"/>
        </w:rPr>
        <w:t>GOsC</w:t>
      </w:r>
      <w:proofErr w:type="spellEnd"/>
      <w:r w:rsidRPr="56BF35F3" w:rsidR="56BF35F3">
        <w:rPr>
          <w:rFonts w:ascii="Arial" w:hAnsi="Arial" w:eastAsia="Arial" w:cs="Arial"/>
          <w:sz w:val="22"/>
          <w:szCs w:val="22"/>
        </w:rPr>
        <w:t xml:space="preserve"> is the regulatory body for osteopaths and osteopathic education institutions. The </w:t>
      </w:r>
      <w:proofErr w:type="spellStart"/>
      <w:r w:rsidRPr="56BF35F3" w:rsidR="56BF35F3">
        <w:rPr>
          <w:rFonts w:ascii="Arial" w:hAnsi="Arial" w:eastAsia="Arial" w:cs="Arial"/>
          <w:sz w:val="22"/>
          <w:szCs w:val="22"/>
        </w:rPr>
        <w:t>GOsC</w:t>
      </w:r>
      <w:proofErr w:type="spellEnd"/>
      <w:r w:rsidRPr="56BF35F3" w:rsidR="56BF35F3">
        <w:rPr>
          <w:rFonts w:ascii="Arial" w:hAnsi="Arial" w:eastAsia="Arial" w:cs="Arial"/>
          <w:sz w:val="22"/>
          <w:szCs w:val="22"/>
        </w:rPr>
        <w:t xml:space="preserve"> makes sure that courses of osteopathy </w:t>
      </w:r>
      <w:r w:rsidRPr="56BF35F3" w:rsidR="56BF35F3">
        <w:rPr>
          <w:rFonts w:ascii="Arial" w:hAnsi="Arial" w:eastAsia="Arial" w:cs="Arial"/>
          <w:sz w:val="22"/>
          <w:szCs w:val="22"/>
        </w:rPr>
        <w:t>meet</w:t>
      </w:r>
      <w:r w:rsidRPr="56BF35F3" w:rsidR="56BF35F3">
        <w:rPr>
          <w:rFonts w:ascii="Arial" w:hAnsi="Arial" w:eastAsia="Arial" w:cs="Arial"/>
          <w:sz w:val="22"/>
          <w:szCs w:val="22"/>
        </w:rPr>
        <w:t xml:space="preserve"> its requirements for standards and quality. Candidates who meet these requirements are rewarded with the official licenses to practice osteopathy. The QAA’s function is to make sure that people still have confidence in the standards and quality of higher education are being secured. QAA has also established a document known as the UK Quality Code for Higher Education. This was made to ensure that there was security in this field. (QAA, 2013). </w:t>
      </w:r>
    </w:p>
    <w:p w:rsidR="001C1152" w:rsidP="56BF35F3" w:rsidRDefault="001C1152" w14:paraId="77226EB7" w14:textId="0BD0A6CE">
      <w:pPr>
        <w:pStyle w:val="Normal"/>
        <w:textAlignment w:val="baseline"/>
        <w:rPr>
          <w:rFonts w:ascii="Arial" w:hAnsi="Arial" w:eastAsia="Arial" w:cs="Arial"/>
        </w:rPr>
      </w:pPr>
    </w:p>
    <w:p w:rsidR="001C1152" w:rsidP="56BF35F3" w:rsidRDefault="001C1152" w14:paraId="22093585" w14:textId="52230F02">
      <w:pPr>
        <w:pStyle w:val="Normal"/>
        <w:textAlignment w:val="baseline"/>
        <w:rPr>
          <w:rFonts w:ascii="Arial" w:hAnsi="Arial" w:eastAsia="Arial" w:cs="Arial"/>
        </w:rPr>
      </w:pPr>
      <w:r w:rsidRPr="56BF35F3" w:rsidR="56BF35F3">
        <w:rPr>
          <w:rFonts w:ascii="Arial" w:hAnsi="Arial" w:eastAsia="Arial" w:cs="Arial"/>
        </w:rPr>
        <w:t xml:space="preserve">According to UCAS (2020), majority of Britain's universities require people who wish to become qualified chiropractors to complete a four-year course to attain a degree in this field or a postgraduate master's course which is certified by the General Chiropractic Council. A total of three years of full-time study is featured in this, as well as a year of work experience.  Candidates usually need to match the following grades set out by the universities. These are: five GCSEs at grades 9 to 4 (A* to C), including English, maths, and a science. After this, the next requirement is three A levels, including two sciences (biology, physics and chemistry). </w:t>
      </w:r>
    </w:p>
    <w:p w:rsidR="001C1152" w:rsidP="78EE2475" w:rsidRDefault="001C1152" w14:paraId="39D04970" w14:textId="301BCC2E">
      <w:pPr>
        <w:pStyle w:val="Normal"/>
        <w:textAlignment w:val="baseline"/>
        <w:rPr>
          <w:rFonts w:ascii="Arial" w:hAnsi="Arial" w:eastAsia="Arial" w:cs="Arial"/>
        </w:rPr>
      </w:pPr>
      <w:r w:rsidRPr="122D5508" w:rsidR="122D5508">
        <w:rPr>
          <w:rFonts w:ascii="Arial" w:hAnsi="Arial" w:eastAsia="Arial" w:cs="Arial"/>
        </w:rPr>
        <w:t>Chiropractors in the UK have differing roles as they work with different people from different ages, backgrounds, religions etc. Some may be working with the elderly; others may be working with pregnant women. There are approximately 3000 chiropractors in the UK today, and this figure grows significantly every year. (BCA, 2020) Chiropractors are expected to use perform and offer services such as back massages to treat clients who have conditions, especially conditions related to the spine. The expected salaries for beginner chiropractors look at around £30,000. However, with experience, this can increase to £50,000 or even more than this figure. Clinics which practice chiropractic therapy usually charge clients between £30 to £50 per session. The amount charged will depend on the client’s location as well as the total time of the session. (Prospects, 2020)</w:t>
      </w:r>
    </w:p>
    <w:p w:rsidR="001C1152" w:rsidP="56BF35F3" w:rsidRDefault="001C1152" w14:paraId="49D7EA1B" w14:textId="0A054B9E">
      <w:pPr>
        <w:pStyle w:val="Normal"/>
        <w:textAlignment w:val="baseline"/>
        <w:rPr>
          <w:rFonts w:ascii="Arial" w:hAnsi="Arial" w:eastAsia="Arial" w:cs="Arial"/>
          <w:color w:val="auto" w:themeColor="text1" w:themeTint="FF" w:themeShade="FF"/>
        </w:rPr>
      </w:pPr>
      <w:r w:rsidRPr="56BF35F3" w:rsidR="56BF35F3">
        <w:rPr>
          <w:rFonts w:ascii="Arial" w:hAnsi="Arial" w:eastAsia="Arial" w:cs="Arial"/>
          <w:color w:val="auto"/>
        </w:rPr>
        <w:t>People who practice osteopathy use techniques such as massages and muscle stretching with the aim of many thing such as increasing the number of blood cells around the body and to heal the body. (NHS, 2018)</w:t>
      </w:r>
    </w:p>
    <w:p w:rsidR="78EE2475" w:rsidP="56BF35F3" w:rsidRDefault="78EE2475" w14:paraId="5007AC6F" w14:textId="5D286F6A">
      <w:pPr>
        <w:pStyle w:val="NormalWeb"/>
        <w:shd w:val="clear" w:color="auto" w:fill="FFFFFF" w:themeFill="background1"/>
        <w:rPr>
          <w:rFonts w:ascii="Arial" w:hAnsi="Arial" w:eastAsia="Arial" w:cs="Arial"/>
          <w:sz w:val="22"/>
          <w:szCs w:val="22"/>
        </w:rPr>
      </w:pPr>
      <w:r w:rsidRPr="122D5508" w:rsidR="122D5508">
        <w:rPr>
          <w:rFonts w:ascii="Arial" w:hAnsi="Arial" w:cs="Arial"/>
          <w:color w:val="000000" w:themeColor="text1" w:themeTint="FF" w:themeShade="FF"/>
          <w:sz w:val="22"/>
          <w:szCs w:val="22"/>
        </w:rPr>
        <w:t xml:space="preserve">Recently, the process of regulation of health experts who are regulated are through statutory law e.g. doctors, surgeons, etc. This is something different compared to the position of CAM practitioners.  There is evidence that states that under the Medical Act 1983, any individual who practices medicine legally, on the grounds that they are registered, are granted the right to practise any type of CAM or other forms of therapy that they believe will aid their patients/clients. Involved in this, there is the necessary training from undergraduate to post-graduate and when there are issues, the General Medical Council deal with these issues as a police-like figure. (House of Lords, 2000). </w:t>
      </w:r>
      <w:r w:rsidRPr="122D5508" w:rsidR="122D5508">
        <w:rPr>
          <w:rFonts w:ascii="Arial" w:hAnsi="Arial" w:eastAsia="Arial" w:cs="Arial"/>
          <w:sz w:val="22"/>
          <w:szCs w:val="22"/>
        </w:rPr>
        <w:t xml:space="preserve">In May 2018, the GDPR was formed. GDPR stands for General Data Protection Regulation. It replaces the Data Protection Act 1998, which is a piece of legislation which aims to secure personal and confidential data regardless of it is stored in a computer or in an organised filing system. (Quinn, 2018). </w:t>
      </w:r>
    </w:p>
    <w:p w:rsidR="00391A76" w:rsidP="122D5508" w:rsidRDefault="00391A76" w14:paraId="3F33C9F2" w14:textId="316DCA86">
      <w:pPr>
        <w:pStyle w:val="NormalWeb"/>
        <w:shd w:val="clear" w:color="auto" w:fill="FFFFFF" w:themeFill="background1"/>
        <w:textAlignment w:val="baseline"/>
        <w:rPr>
          <w:rFonts w:ascii="Arial" w:hAnsi="Arial" w:eastAsia="Arial" w:cs="Arial"/>
          <w:sz w:val="22"/>
          <w:szCs w:val="22"/>
        </w:rPr>
      </w:pPr>
    </w:p>
    <w:p w:rsidR="00391A76" w:rsidP="122D5508" w:rsidRDefault="00391A76" w14:paraId="11774E92" w14:textId="0CE0E992">
      <w:pPr>
        <w:pStyle w:val="NormalWeb"/>
        <w:shd w:val="clear" w:color="auto" w:fill="FFFFFF" w:themeFill="background1"/>
        <w:textAlignment w:val="baseline"/>
        <w:rPr>
          <w:rFonts w:ascii="Arial" w:hAnsi="Arial" w:eastAsia="Arial" w:cs="Arial"/>
          <w:sz w:val="22"/>
          <w:szCs w:val="22"/>
        </w:rPr>
      </w:pPr>
      <w:r w:rsidRPr="122D5508" w:rsidR="122D5508">
        <w:rPr>
          <w:rFonts w:ascii="Arial" w:hAnsi="Arial" w:eastAsia="Arial" w:cs="Arial"/>
          <w:sz w:val="22"/>
          <w:szCs w:val="22"/>
        </w:rPr>
        <w:t>Anyone who is associated with the staff must have an understanding that they are also under compulsion by a debate of confidence. This is down to if they have or haven’t had the official and certified authority to protect privacy. Practitioners must receive permission from their client that they wish to work with before any service is provided for them. The permission from the client is always required to be voluntary and not under any pressure or force such as with the use of threats. Influence must not be involved either. The General Data Protection Regulation of 2016 is an official piece of regulation which ensures safety and security in people’s private data that they share with practitioners and organizations. Confidential information associated with this can include: name and address, bank details, age etc. (CNHC, 2018).</w:t>
      </w:r>
    </w:p>
    <w:p w:rsidR="00391A76" w:rsidP="122D5508" w:rsidRDefault="00391A76" w14:paraId="3587C240" w14:textId="618069C8">
      <w:pPr>
        <w:pStyle w:val="NormalWeb"/>
        <w:shd w:val="clear" w:color="auto" w:fill="FFFFFF" w:themeFill="background1"/>
        <w:textAlignment w:val="baseline"/>
        <w:rPr>
          <w:rFonts w:ascii="Arial" w:hAnsi="Arial" w:eastAsia="Arial" w:cs="Arial"/>
          <w:sz w:val="22"/>
          <w:szCs w:val="22"/>
        </w:rPr>
      </w:pPr>
    </w:p>
    <w:p w:rsidR="00391A76" w:rsidP="122D5508" w:rsidRDefault="00391A76" w14:paraId="104A6590" w14:textId="2FF4036D">
      <w:pPr>
        <w:pStyle w:val="NormalWeb"/>
        <w:shd w:val="clear" w:color="auto" w:fill="FFFFFF" w:themeFill="background1"/>
        <w:textAlignment w:val="baseline"/>
        <w:rPr>
          <w:rFonts w:ascii="Arial" w:hAnsi="Arial" w:eastAsia="Arial" w:cs="Arial"/>
          <w:noProof w:val="0"/>
          <w:color w:val="auto"/>
          <w:sz w:val="22"/>
          <w:szCs w:val="22"/>
          <w:lang w:val="en-GB"/>
        </w:rPr>
      </w:pPr>
      <w:r w:rsidRPr="122D5508" w:rsidR="122D5508">
        <w:rPr>
          <w:rFonts w:ascii="Arial" w:hAnsi="Arial" w:eastAsia="Arial" w:cs="Arial"/>
          <w:sz w:val="22"/>
          <w:szCs w:val="22"/>
        </w:rPr>
        <w:t>A recent House of Lords report on CAM has recommended that the herbal medicine and acupuncture professions should also develop a system of statutory regulation. (Walker &amp; Budd, 2002). However, the regulation of herbal products has appeared to be a challenge for public health. In the UK, usage of herbal products is very high in terms of the total consumption of medicines. The Pharmaceutical Society of Great Britain and the Proprietary Association of Great Britain stated that the total sum of sales annually for herbal products were between nearly £100 million and up to nearly £250 million per year. (House of Lords, 1999).</w:t>
      </w:r>
    </w:p>
    <w:p w:rsidR="56BF35F3" w:rsidP="56BF35F3" w:rsidRDefault="56BF35F3" w14:paraId="357E4676" w14:textId="4B5F9D8F">
      <w:pPr>
        <w:pStyle w:val="NormalWeb"/>
        <w:rPr>
          <w:rFonts w:ascii="Arial" w:hAnsi="Arial" w:eastAsia="Arial" w:cs="Arial"/>
          <w:sz w:val="22"/>
          <w:szCs w:val="22"/>
        </w:rPr>
      </w:pPr>
    </w:p>
    <w:p w:rsidR="56BF35F3" w:rsidP="56BF35F3" w:rsidRDefault="56BF35F3" w14:paraId="3EB573E2" w14:textId="583E08D2">
      <w:pPr>
        <w:pStyle w:val="NormalWeb"/>
        <w:rPr>
          <w:rFonts w:ascii="Arial" w:hAnsi="Arial" w:eastAsia="Arial" w:cs="Arial"/>
          <w:noProof w:val="0"/>
          <w:sz w:val="22"/>
          <w:szCs w:val="22"/>
          <w:lang w:val="en-GB"/>
        </w:rPr>
      </w:pPr>
      <w:r w:rsidRPr="56BF35F3" w:rsidR="56BF35F3">
        <w:rPr>
          <w:rFonts w:ascii="Arial" w:hAnsi="Arial" w:eastAsia="Arial" w:cs="Arial"/>
          <w:noProof w:val="0"/>
          <w:sz w:val="22"/>
          <w:szCs w:val="22"/>
          <w:lang w:val="en-GB"/>
        </w:rPr>
        <w:t xml:space="preserve">According to the report from the House of Lords in 2001, the Department of Health suggested that both herbal medicine and even ancient methods like acupuncture should contribute towards statutory regulation through the Health Act 1999 and that this was both wanted by both patients as well as practitioners to ensure that there is safety. (EHTPA, 2020). </w:t>
      </w:r>
    </w:p>
    <w:p w:rsidRPr="000B7DBE" w:rsidR="004D12FD" w:rsidP="56BF35F3" w:rsidRDefault="004B4387" w14:paraId="528C4582" w14:textId="23A2D880">
      <w:pPr>
        <w:pStyle w:val="Normal"/>
        <w:shd w:val="clear" w:color="auto" w:fill="FFFFFF" w:themeFill="background1"/>
        <w:tabs>
          <w:tab w:val="left" w:pos="7155"/>
        </w:tabs>
        <w:rPr>
          <w:rFonts w:ascii="Arial" w:hAnsi="Arial" w:cs="Arial"/>
          <w:color w:val="000000" w:themeColor="text1" w:themeTint="FF" w:themeShade="FF"/>
        </w:rPr>
      </w:pPr>
    </w:p>
    <w:p w:rsidR="56BF35F3" w:rsidP="56BF35F3" w:rsidRDefault="56BF35F3" w14:paraId="3AE3555B" w14:textId="406CF69D">
      <w:pPr>
        <w:pStyle w:val="Normal"/>
      </w:pPr>
      <w:r w:rsidRPr="56BF35F3" w:rsidR="56BF35F3">
        <w:rPr>
          <w:rFonts w:ascii="Arial" w:hAnsi="Arial" w:eastAsia="Arial" w:cs="Arial"/>
          <w:color w:val="auto"/>
        </w:rPr>
        <w:t xml:space="preserve">Globally, the public use either traditional medicine or CAM’s and seek advice from practitioners in the fields of both traditional medicine and complimentary medicine. The number of uses of these types of medicine are different between countries all around the world. Nearly 15% of the British populated population reported using any of these 2 types of medicine in 2013. For Canada, this figure was nearly 20% and it was nearly a figure 60% in Hong Kong. Finally, being the biggest statistic, Singapore had recorded that nearly 80% of the population used this type of medicine. Countries like </w:t>
      </w:r>
      <w:r w:rsidRPr="56BF35F3" w:rsidR="56BF35F3">
        <w:rPr>
          <w:rFonts w:ascii="Arial" w:hAnsi="Arial" w:eastAsia="Arial" w:cs="Arial"/>
          <w:color w:val="auto"/>
        </w:rPr>
        <w:t>China, Vietnam</w:t>
      </w:r>
      <w:r w:rsidRPr="56BF35F3" w:rsidR="56BF35F3">
        <w:rPr>
          <w:rFonts w:ascii="Arial" w:hAnsi="Arial" w:eastAsia="Arial" w:cs="Arial"/>
          <w:color w:val="auto"/>
        </w:rPr>
        <w:t xml:space="preserve">, Japan etc are countries where both traditional medicine and complementary medicine are a crucial part of their health systems. In other countries like Ghana, a handful of people and practitioners depend on traditional medicine. Meanwhile in Southern Asian countries like Pakistan and India, over 50% of the country’s population are </w:t>
      </w:r>
      <w:r w:rsidRPr="56BF35F3" w:rsidR="56BF35F3">
        <w:rPr>
          <w:rFonts w:ascii="Arial" w:hAnsi="Arial" w:eastAsia="Arial" w:cs="Arial"/>
          <w:color w:val="auto"/>
        </w:rPr>
        <w:t>dependent</w:t>
      </w:r>
      <w:r w:rsidRPr="56BF35F3" w:rsidR="56BF35F3">
        <w:rPr>
          <w:rFonts w:ascii="Arial" w:hAnsi="Arial" w:eastAsia="Arial" w:cs="Arial"/>
          <w:color w:val="auto"/>
        </w:rPr>
        <w:t xml:space="preserve"> on traditional medical attention for general health care. (Dixon, 2008). </w:t>
      </w:r>
      <w:r w:rsidRPr="56BF35F3" w:rsidR="56BF35F3">
        <w:rPr>
          <w:rFonts w:ascii="Arial" w:hAnsi="Arial" w:eastAsia="Arial" w:cs="Arial"/>
          <w:sz w:val="22"/>
          <w:szCs w:val="22"/>
        </w:rPr>
        <w:t xml:space="preserve">In 1990s, complementary and alternative medicine (CAM) gained popularity in the United States. Herbal preparations and dietary supplements were one of the most widely used forms of CAM and their popularity increased significantly during this period. (Wang et al, 2014). </w:t>
      </w:r>
    </w:p>
    <w:p w:rsidR="56BF35F3" w:rsidP="56BF35F3" w:rsidRDefault="56BF35F3" w14:paraId="3A704D1F" w14:textId="45FF5F95">
      <w:pPr>
        <w:pStyle w:val="Normal"/>
        <w:rPr>
          <w:rFonts w:ascii="Arial" w:hAnsi="Arial" w:eastAsia="Arial" w:cs="Arial"/>
          <w:sz w:val="22"/>
          <w:szCs w:val="22"/>
          <w:u w:val="single"/>
        </w:rPr>
      </w:pPr>
      <w:r w:rsidRPr="122D5508" w:rsidR="122D5508">
        <w:rPr>
          <w:rFonts w:ascii="Arial" w:hAnsi="Arial" w:eastAsia="Arial" w:cs="Arial"/>
          <w:sz w:val="22"/>
          <w:szCs w:val="22"/>
          <w:u w:val="single"/>
        </w:rPr>
        <w:t>Recommendation and Conclusion</w:t>
      </w:r>
    </w:p>
    <w:p w:rsidR="56BF35F3" w:rsidP="56BF35F3" w:rsidRDefault="56BF35F3" w14:paraId="60B575D7" w14:textId="3D067984">
      <w:pPr>
        <w:pStyle w:val="Normal"/>
        <w:rPr>
          <w:rFonts w:ascii="Arial" w:hAnsi="Arial" w:eastAsia="Arial" w:cs="Arial"/>
          <w:sz w:val="22"/>
          <w:szCs w:val="22"/>
          <w:u w:val="none"/>
        </w:rPr>
      </w:pPr>
      <w:r w:rsidRPr="122D5508" w:rsidR="122D5508">
        <w:rPr>
          <w:rFonts w:ascii="Arial" w:hAnsi="Arial" w:eastAsia="Arial" w:cs="Arial"/>
          <w:sz w:val="22"/>
          <w:szCs w:val="22"/>
          <w:u w:val="none"/>
        </w:rPr>
        <w:t>A few notable recommendations that can be made are that regulations are definitely required as showed previously, due to the rising popularity of this approach in public health. Poorer countries are known to use CAM’s more than a developed country. However, the problem is that the UK does not have regulations on things such as herbal medicines which is desperately needed as this can affect a lot of people. Personally, practitioners should have a decent understanding on herbal medicines. The NHS also need to adopt CAM’s and issue prescriptions because normally, they are expensive and not everyone can afford this treatment in this country. Furthermore, the government should check the practitioners to see if they are experienced through law and order.</w:t>
      </w:r>
    </w:p>
    <w:p w:rsidR="56BF35F3" w:rsidP="122D5508" w:rsidRDefault="56BF35F3" w14:paraId="4AED0872" w14:textId="2DD3870C">
      <w:pPr>
        <w:pStyle w:val="Normal"/>
        <w:bidi w:val="0"/>
        <w:rPr>
          <w:rFonts w:ascii="Arial" w:hAnsi="Arial" w:eastAsia="Arial" w:cs="Arial"/>
          <w:noProof w:val="0"/>
          <w:sz w:val="22"/>
          <w:szCs w:val="22"/>
          <w:u w:val="none"/>
          <w:lang w:val="en-GB"/>
        </w:rPr>
      </w:pPr>
      <w:r w:rsidRPr="122D5508" w:rsidR="122D5508">
        <w:rPr>
          <w:rFonts w:ascii="Arial" w:hAnsi="Arial" w:eastAsia="Arial" w:cs="Arial"/>
          <w:sz w:val="22"/>
          <w:szCs w:val="22"/>
          <w:u w:val="none"/>
        </w:rPr>
        <w:t xml:space="preserve">Overall, I have discussed the various types of CAM’s and how practitioners use them in various fields in the UK and many other countries. I have established that CAM’s are very popular and are very important in health and social care. </w:t>
      </w:r>
    </w:p>
    <w:p w:rsidR="56BF35F3" w:rsidP="122D5508" w:rsidRDefault="56BF35F3" w14:paraId="11A68DC2" w14:textId="36002957">
      <w:pPr>
        <w:pStyle w:val="Normal"/>
        <w:spacing w:before="0" w:beforeAutospacing="off" w:after="160" w:afterAutospacing="off" w:line="259" w:lineRule="auto"/>
        <w:ind/>
        <w:rPr>
          <w:rFonts w:ascii="Arial" w:hAnsi="Arial" w:eastAsia="Arial" w:cs="Arial"/>
          <w:sz w:val="22"/>
          <w:szCs w:val="22"/>
          <w:u w:val="none"/>
        </w:rPr>
      </w:pPr>
    </w:p>
    <w:p w:rsidR="56BF35F3" w:rsidP="122D5508" w:rsidRDefault="56BF35F3" w14:paraId="21EF386B" w14:textId="05FCD01E">
      <w:pPr>
        <w:pStyle w:val="Normal"/>
        <w:spacing w:before="0" w:beforeAutospacing="off" w:after="160" w:afterAutospacing="off" w:line="259" w:lineRule="auto"/>
        <w:ind/>
        <w:rPr>
          <w:rFonts w:ascii="Arial" w:hAnsi="Arial" w:eastAsia="Arial" w:cs="Arial"/>
          <w:sz w:val="22"/>
          <w:szCs w:val="22"/>
          <w:u w:val="none"/>
        </w:rPr>
      </w:pPr>
    </w:p>
    <w:p w:rsidR="56BF35F3" w:rsidP="122D5508" w:rsidRDefault="56BF35F3" w14:paraId="41FEB942" w14:textId="0571B5FE">
      <w:pPr>
        <w:pStyle w:val="Normal"/>
        <w:spacing w:before="0" w:beforeAutospacing="off" w:after="160" w:afterAutospacing="off" w:line="259" w:lineRule="auto"/>
        <w:ind/>
        <w:rPr>
          <w:rFonts w:ascii="Arial" w:hAnsi="Arial" w:eastAsia="Arial" w:cs="Arial"/>
          <w:sz w:val="22"/>
          <w:szCs w:val="22"/>
          <w:u w:val="none"/>
        </w:rPr>
      </w:pPr>
    </w:p>
    <w:p w:rsidR="56BF35F3" w:rsidP="122D5508" w:rsidRDefault="56BF35F3" w14:paraId="450413A7" w14:textId="7D7E4983">
      <w:pPr>
        <w:pStyle w:val="Normal"/>
        <w:spacing w:before="0" w:beforeAutospacing="off" w:after="160" w:afterAutospacing="off" w:line="259" w:lineRule="auto"/>
        <w:ind/>
        <w:rPr>
          <w:rFonts w:ascii="Arial" w:hAnsi="Arial" w:eastAsia="Arial" w:cs="Arial"/>
          <w:sz w:val="22"/>
          <w:szCs w:val="22"/>
          <w:u w:val="none"/>
        </w:rPr>
      </w:pPr>
      <w:r w:rsidRPr="122D5508" w:rsidR="122D5508">
        <w:rPr>
          <w:rFonts w:ascii="Arial" w:hAnsi="Arial" w:eastAsia="Arial" w:cs="Arial"/>
          <w:sz w:val="22"/>
          <w:szCs w:val="22"/>
          <w:u w:val="single"/>
        </w:rPr>
        <w:t>References</w:t>
      </w:r>
    </w:p>
    <w:p w:rsidR="56BF35F3" w:rsidP="122D5508" w:rsidRDefault="56BF35F3" w14:paraId="507E3B9A" w14:textId="475515B7">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Adrian Raby (2019) , “Complementary therapies”,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BUPA </w:t>
      </w: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(Acc: 12/07/20) </w:t>
      </w:r>
      <w:hyperlink r:id="R43ef1d08fb724424">
        <w:r w:rsidRPr="122D5508" w:rsidR="122D5508">
          <w:rPr>
            <w:rStyle w:val="Hyperlink"/>
            <w:rFonts w:ascii="Calibri" w:hAnsi="Calibri" w:eastAsia="Calibri" w:cs="Calibri"/>
            <w:b w:val="0"/>
            <w:bCs w:val="0"/>
            <w:i w:val="0"/>
            <w:iCs w:val="0"/>
            <w:noProof w:val="0"/>
            <w:color w:val="0000FF"/>
            <w:sz w:val="22"/>
            <w:szCs w:val="22"/>
            <w:u w:val="single"/>
            <w:lang w:val="en-GB"/>
          </w:rPr>
          <w:t>https://www.bupa.co.uk/health-information/complementary-therapies/complementary-therapies</w:t>
        </w:r>
      </w:hyperlink>
    </w:p>
    <w:p w:rsidR="56BF35F3" w:rsidP="122D5508" w:rsidRDefault="56BF35F3" w14:paraId="415E74F5" w14:textId="267871E3">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66F47ED5" w14:textId="60AE15E6">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Anna Dixon (2008), “Regulating Complementary Medical Practitioners”,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KingsFund </w:t>
      </w:r>
      <w:hyperlink r:id="R1831d373fd384656">
        <w:r w:rsidRPr="122D5508" w:rsidR="122D5508">
          <w:rPr>
            <w:rStyle w:val="Hyperlink"/>
            <w:rFonts w:ascii="Calibri" w:hAnsi="Calibri" w:eastAsia="Calibri" w:cs="Calibri"/>
            <w:b w:val="0"/>
            <w:bCs w:val="0"/>
            <w:i w:val="0"/>
            <w:iCs w:val="0"/>
            <w:noProof w:val="0"/>
            <w:color w:val="0000FF"/>
            <w:sz w:val="22"/>
            <w:szCs w:val="22"/>
            <w:u w:val="single"/>
            <w:lang w:val="en-GB"/>
          </w:rPr>
          <w:t>https://www.kingsfund.org.uk/sites/default/files/Research%20summary1.pdf</w:t>
        </w:r>
      </w:hyperlink>
    </w:p>
    <w:p w:rsidR="56BF35F3" w:rsidP="122D5508" w:rsidRDefault="56BF35F3" w14:paraId="228AAF32" w14:textId="7F5C0777">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49EF3C28" w14:textId="7DA32201">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pP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Anurag Khare (2017), “Most Popular Alternative Healing Therapies”, Business Standard, </w:t>
      </w:r>
      <w:hyperlink r:id="Rcc4ba7dcadc7476f">
        <w:r w:rsidRPr="122D5508" w:rsidR="122D5508">
          <w:rPr>
            <w:rStyle w:val="Hyperlink"/>
            <w:rFonts w:ascii="Calibri" w:hAnsi="Calibri" w:eastAsia="Calibri" w:cs="Calibri"/>
            <w:b w:val="0"/>
            <w:bCs w:val="0"/>
            <w:i w:val="0"/>
            <w:iCs w:val="0"/>
            <w:noProof w:val="0"/>
            <w:color w:val="0563C1"/>
            <w:sz w:val="22"/>
            <w:szCs w:val="22"/>
            <w:u w:val="single"/>
            <w:lang w:val="en-GB"/>
          </w:rPr>
          <w:t>https://www.business-standard.com/article/health/most-popular-alternative-healing-therapies-117113000239_1.html</w:t>
        </w:r>
      </w:hyperlink>
    </w:p>
    <w:p w:rsidR="56BF35F3" w:rsidP="122D5508" w:rsidRDefault="56BF35F3" w14:paraId="31A090BE" w14:textId="4E77E581">
      <w:pPr>
        <w:bidi w:val="0"/>
        <w:spacing w:before="0" w:beforeAutospacing="off" w:after="160" w:afterAutospacing="off" w:line="259" w:lineRule="auto"/>
        <w:ind w:left="360"/>
        <w:rPr>
          <w:rFonts w:ascii="Calibri" w:hAnsi="Calibri" w:eastAsia="Calibri" w:cs="Calibri"/>
          <w:b w:val="0"/>
          <w:bCs w:val="0"/>
          <w:i w:val="0"/>
          <w:iCs w:val="0"/>
          <w:noProof w:val="0"/>
          <w:color w:val="000000" w:themeColor="text1" w:themeTint="FF" w:themeShade="FF"/>
          <w:sz w:val="22"/>
          <w:szCs w:val="22"/>
          <w:lang w:val="en-GB"/>
        </w:rPr>
      </w:pPr>
    </w:p>
    <w:p w:rsidR="56BF35F3" w:rsidP="122D5508" w:rsidRDefault="56BF35F3" w14:paraId="605303A7" w14:textId="03473AE2">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Cancer Research (2018) “Why people use complementary or alternative therapies”, </w:t>
      </w:r>
      <w:r w:rsidRPr="122D5508" w:rsidR="122D5508">
        <w:rPr>
          <w:rFonts w:ascii="Calibri" w:hAnsi="Calibri" w:eastAsia="Calibri" w:cs="Calibri"/>
          <w:b w:val="0"/>
          <w:bCs w:val="0"/>
          <w:i w:val="1"/>
          <w:iCs w:val="1"/>
          <w:noProof w:val="0"/>
          <w:color w:val="000000" w:themeColor="text1" w:themeTint="FF" w:themeShade="FF"/>
          <w:sz w:val="22"/>
          <w:szCs w:val="22"/>
          <w:lang w:val="en-GB"/>
        </w:rPr>
        <w:t>Cancer Research UK</w:t>
      </w: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 </w:t>
      </w:r>
      <w:hyperlink r:id="R58f107049f0d4eda">
        <w:r w:rsidRPr="122D5508" w:rsidR="122D5508">
          <w:rPr>
            <w:rStyle w:val="Hyperlink"/>
            <w:rFonts w:ascii="Calibri" w:hAnsi="Calibri" w:eastAsia="Calibri" w:cs="Calibri"/>
            <w:b w:val="0"/>
            <w:bCs w:val="0"/>
            <w:i w:val="0"/>
            <w:iCs w:val="0"/>
            <w:noProof w:val="0"/>
            <w:color w:val="0000FF"/>
            <w:sz w:val="22"/>
            <w:szCs w:val="22"/>
            <w:u w:val="single"/>
            <w:lang w:val="en-GB"/>
          </w:rPr>
          <w:t>https://www.cancerresearchuk.org/about-cancer/cancer-in-general/treatment/complementary-alternative-therapies/about/why-used</w:t>
        </w:r>
      </w:hyperlink>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 </w:t>
      </w:r>
    </w:p>
    <w:p w:rsidR="56BF35F3" w:rsidP="122D5508" w:rsidRDefault="56BF35F3" w14:paraId="2C0E3017" w14:textId="33F02A53">
      <w:pPr>
        <w:bidi w:val="0"/>
        <w:spacing w:before="0" w:beforeAutospacing="off" w:after="160" w:afterAutospacing="off" w:line="259" w:lineRule="auto"/>
        <w:ind w:left="360"/>
        <w:rPr>
          <w:rFonts w:ascii="Calibri" w:hAnsi="Calibri" w:eastAsia="Calibri" w:cs="Calibri"/>
          <w:b w:val="0"/>
          <w:bCs w:val="0"/>
          <w:i w:val="0"/>
          <w:iCs w:val="0"/>
          <w:noProof w:val="0"/>
          <w:color w:val="000000" w:themeColor="text1" w:themeTint="FF" w:themeShade="FF"/>
          <w:sz w:val="22"/>
          <w:szCs w:val="22"/>
          <w:lang w:val="en-GB"/>
        </w:rPr>
      </w:pPr>
    </w:p>
    <w:p w:rsidR="56BF35F3" w:rsidP="122D5508" w:rsidRDefault="56BF35F3" w14:paraId="7E3687F5" w14:textId="1F036F6D">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Cancer Research (2018), “The safety of complementary and alternative therapies”,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Cancer Research UK </w:t>
      </w:r>
      <w:hyperlink r:id="R08cccd8fdcca4861">
        <w:r w:rsidRPr="122D5508" w:rsidR="122D5508">
          <w:rPr>
            <w:rStyle w:val="Hyperlink"/>
            <w:rFonts w:ascii="Calibri" w:hAnsi="Calibri" w:eastAsia="Calibri" w:cs="Calibri"/>
            <w:b w:val="0"/>
            <w:bCs w:val="0"/>
            <w:i w:val="0"/>
            <w:iCs w:val="0"/>
            <w:noProof w:val="0"/>
            <w:color w:val="0000FF"/>
            <w:sz w:val="22"/>
            <w:szCs w:val="22"/>
            <w:u w:val="single"/>
            <w:lang w:val="en-GB"/>
          </w:rPr>
          <w:t>https://www.cancerresearchuk.org/about-cancer/cancer-in-general/treatment/complementary-alternative-therapies/about/safety</w:t>
        </w:r>
      </w:hyperlink>
    </w:p>
    <w:p w:rsidR="56BF35F3" w:rsidP="122D5508" w:rsidRDefault="56BF35F3" w14:paraId="77DE180E" w14:textId="7FAEC188">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3C43D3BB" w14:textId="2430EB0C">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Cathy Wong (2020), “5 Types of Complementary and Alternative Medicine”,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VeryWell Health, </w:t>
      </w: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(Acc: 14/07/20) </w:t>
      </w:r>
      <w:hyperlink r:id="R039ffc75dce74132">
        <w:r w:rsidRPr="122D5508" w:rsidR="122D5508">
          <w:rPr>
            <w:rStyle w:val="Hyperlink"/>
            <w:rFonts w:ascii="Calibri" w:hAnsi="Calibri" w:eastAsia="Calibri" w:cs="Calibri"/>
            <w:b w:val="0"/>
            <w:bCs w:val="0"/>
            <w:i w:val="0"/>
            <w:iCs w:val="0"/>
            <w:noProof w:val="0"/>
            <w:color w:val="0000FF"/>
            <w:sz w:val="22"/>
            <w:szCs w:val="22"/>
            <w:u w:val="single"/>
            <w:lang w:val="en-GB"/>
          </w:rPr>
          <w:t>https://www.verywellhealth.com/types-of-complementary-and-alternative-medicine-88741</w:t>
        </w:r>
      </w:hyperlink>
    </w:p>
    <w:p w:rsidR="56BF35F3" w:rsidP="122D5508" w:rsidRDefault="56BF35F3" w14:paraId="11D34703" w14:textId="680EC37D">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0B60B1D3" w14:textId="1047524F">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Chi-Chuan Wang, Meng-Ting Tsai, Wan-Ting Huang and Jade Kennedy (2014), “Herb and Supplement Use in the United States: Results from the 2002, 2007, and 2012 National Health Interview Surveys”, Hindawi </w:t>
      </w:r>
      <w:hyperlink r:id="R0788aac44f044962">
        <w:r w:rsidRPr="122D5508" w:rsidR="122D5508">
          <w:rPr>
            <w:rStyle w:val="Hyperlink"/>
            <w:rFonts w:ascii="Calibri" w:hAnsi="Calibri" w:eastAsia="Calibri" w:cs="Calibri"/>
            <w:b w:val="0"/>
            <w:bCs w:val="0"/>
            <w:i w:val="0"/>
            <w:iCs w:val="0"/>
            <w:noProof w:val="0"/>
            <w:color w:val="0000FF"/>
            <w:sz w:val="22"/>
            <w:szCs w:val="22"/>
            <w:u w:val="single"/>
            <w:lang w:val="en-GB"/>
          </w:rPr>
          <w:t>https://www.hindawi.com/journals/ecam/2014/872320/</w:t>
        </w:r>
      </w:hyperlink>
    </w:p>
    <w:p w:rsidR="56BF35F3" w:rsidP="122D5508" w:rsidRDefault="56BF35F3" w14:paraId="48E6E375" w14:textId="2EEC5582">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2BF68168" w14:textId="50EB20AB">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FF"/>
          <w:sz w:val="22"/>
          <w:szCs w:val="22"/>
          <w:lang w:val="en-GB"/>
        </w:rPr>
      </w:pPr>
      <w:r w:rsidRPr="122D5508" w:rsidR="122D5508">
        <w:rPr>
          <w:rFonts w:ascii="Calibri" w:hAnsi="Calibri" w:eastAsia="Calibri" w:cs="Calibri"/>
          <w:b w:val="0"/>
          <w:bCs w:val="0"/>
          <w:i w:val="0"/>
          <w:iCs w:val="0"/>
          <w:noProof w:val="0"/>
          <w:color w:val="0000FF"/>
          <w:sz w:val="22"/>
          <w:szCs w:val="22"/>
          <w:lang w:val="en-GB"/>
        </w:rPr>
        <w:t xml:space="preserve"> </w:t>
      </w: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 CNHC (2018), “Code of Conduct Ethics and Performance”,</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 Complimentary &amp; Natural Healthcare Council </w:t>
      </w:r>
      <w:hyperlink r:id="Rb22fb4a5fc204149">
        <w:r w:rsidRPr="122D5508" w:rsidR="122D5508">
          <w:rPr>
            <w:rStyle w:val="Hyperlink"/>
            <w:rFonts w:ascii="Calibri" w:hAnsi="Calibri" w:eastAsia="Calibri" w:cs="Calibri"/>
            <w:b w:val="0"/>
            <w:bCs w:val="0"/>
            <w:i w:val="1"/>
            <w:iCs w:val="1"/>
            <w:noProof w:val="0"/>
            <w:color w:val="0070C0"/>
            <w:sz w:val="22"/>
            <w:szCs w:val="22"/>
            <w:u w:val="single"/>
            <w:lang w:val="en-GB"/>
          </w:rPr>
          <w:t>https://www.cnhc.org.uk/sites/default/files/Downloads/CodeofConductEthicsandPerformance.pdf</w:t>
        </w:r>
      </w:hyperlink>
      <w:r w:rsidRPr="122D5508" w:rsidR="122D5508">
        <w:rPr>
          <w:rFonts w:ascii="Calibri" w:hAnsi="Calibri" w:eastAsia="Calibri" w:cs="Calibri"/>
          <w:b w:val="0"/>
          <w:bCs w:val="0"/>
          <w:i w:val="1"/>
          <w:iCs w:val="1"/>
          <w:noProof w:val="0"/>
          <w:color w:val="0070C0"/>
          <w:sz w:val="22"/>
          <w:szCs w:val="22"/>
          <w:lang w:val="en-GB"/>
        </w:rPr>
        <w:t xml:space="preserve"> </w:t>
      </w:r>
    </w:p>
    <w:p w:rsidR="56BF35F3" w:rsidP="122D5508" w:rsidRDefault="56BF35F3" w14:paraId="368E2A6B" w14:textId="47EEDF32">
      <w:pPr>
        <w:bidi w:val="0"/>
        <w:spacing w:before="0" w:beforeAutospacing="off" w:after="160" w:afterAutospacing="off" w:line="259" w:lineRule="auto"/>
        <w:ind w:left="360"/>
        <w:rPr>
          <w:rFonts w:ascii="Calibri" w:hAnsi="Calibri" w:eastAsia="Calibri" w:cs="Calibri"/>
          <w:b w:val="0"/>
          <w:bCs w:val="0"/>
          <w:i w:val="0"/>
          <w:iCs w:val="0"/>
          <w:noProof w:val="0"/>
          <w:color w:val="0070C0"/>
          <w:sz w:val="22"/>
          <w:szCs w:val="22"/>
          <w:lang w:val="en-GB"/>
        </w:rPr>
      </w:pPr>
    </w:p>
    <w:p w:rsidR="56BF35F3" w:rsidP="122D5508" w:rsidRDefault="56BF35F3" w14:paraId="54D0E1B4" w14:textId="2F028B47">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EHTPA (2020), “Statutory regulation in the UK”,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European Herbal &amp; Traditional Medicine Practitioners Association, </w:t>
      </w:r>
      <w:hyperlink r:id="Rce542c13233f459f">
        <w:r w:rsidRPr="122D5508" w:rsidR="122D5508">
          <w:rPr>
            <w:rStyle w:val="Hyperlink"/>
            <w:rFonts w:ascii="Calibri" w:hAnsi="Calibri" w:eastAsia="Calibri" w:cs="Calibri"/>
            <w:b w:val="0"/>
            <w:bCs w:val="0"/>
            <w:i w:val="0"/>
            <w:iCs w:val="0"/>
            <w:noProof w:val="0"/>
            <w:color w:val="0000FF"/>
            <w:sz w:val="22"/>
            <w:szCs w:val="22"/>
            <w:u w:val="single"/>
            <w:lang w:val="en-GB"/>
          </w:rPr>
          <w:t>http://ehtpa.eu/regulation/statutory-regulation-in-the-uk/</w:t>
        </w:r>
      </w:hyperlink>
    </w:p>
    <w:p w:rsidR="56BF35F3" w:rsidP="122D5508" w:rsidRDefault="56BF35F3" w14:paraId="3DBA7BC3" w14:textId="76331353">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47E3BF52" w14:textId="43959302">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 General Regulatory Council for Complementary Therapies, (2020), </w:t>
      </w:r>
      <w:hyperlink w:anchor="Welcome_to_the_GRCCT" r:id="Rff5a75af73374fb7">
        <w:r w:rsidRPr="122D5508" w:rsidR="122D5508">
          <w:rPr>
            <w:rStyle w:val="Hyperlink"/>
            <w:rFonts w:ascii="Calibri" w:hAnsi="Calibri" w:eastAsia="Calibri" w:cs="Calibri"/>
            <w:b w:val="0"/>
            <w:bCs w:val="0"/>
            <w:i w:val="0"/>
            <w:iCs w:val="0"/>
            <w:noProof w:val="0"/>
            <w:color w:val="0000FF"/>
            <w:sz w:val="22"/>
            <w:szCs w:val="22"/>
            <w:u w:val="single"/>
            <w:lang w:val="en-GB"/>
          </w:rPr>
          <w:t>http://www.grcct.org/about-us/#Welcome_to_the_GRCCT</w:t>
        </w:r>
      </w:hyperlink>
    </w:p>
    <w:p w:rsidR="56BF35F3" w:rsidP="122D5508" w:rsidRDefault="56BF35F3" w14:paraId="517CCAE3" w14:textId="7FC04E50">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3C5A24DD" w14:textId="51422802">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Julie Quinn (2018), “How does the General Data Protection Reform affect Complementary Therapists?”,</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 Complementary Health Professionals</w:t>
      </w: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 </w:t>
      </w:r>
      <w:hyperlink r:id="R6bd50594e8774c77">
        <w:r w:rsidRPr="122D5508" w:rsidR="122D5508">
          <w:rPr>
            <w:rStyle w:val="Hyperlink"/>
            <w:rFonts w:ascii="Calibri" w:hAnsi="Calibri" w:eastAsia="Calibri" w:cs="Calibri"/>
            <w:b w:val="0"/>
            <w:bCs w:val="0"/>
            <w:i w:val="0"/>
            <w:iCs w:val="0"/>
            <w:noProof w:val="0"/>
            <w:color w:val="0000FF"/>
            <w:sz w:val="22"/>
            <w:szCs w:val="22"/>
            <w:u w:val="single"/>
            <w:lang w:val="en-GB"/>
          </w:rPr>
          <w:t>https://www.complementaryhealthprofessionals.co.uk/single-post/2018/01/31/How-does-the-General-Data-Protection-Reform-affect-Complementary-Therapists</w:t>
        </w:r>
      </w:hyperlink>
    </w:p>
    <w:p w:rsidR="56BF35F3" w:rsidP="122D5508" w:rsidRDefault="56BF35F3" w14:paraId="0ED0E096" w14:textId="7E95C268">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4F79968C" w14:textId="17A1C87F">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 KingsFund, (2008), “Regulating complementary medical practitioners”,</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 KingsFund, </w:t>
      </w:r>
      <w:hyperlink r:id="R745f8a0839844b5e">
        <w:r w:rsidRPr="122D5508" w:rsidR="122D5508">
          <w:rPr>
            <w:rStyle w:val="Hyperlink"/>
            <w:rFonts w:ascii="Calibri" w:hAnsi="Calibri" w:eastAsia="Calibri" w:cs="Calibri"/>
            <w:b w:val="0"/>
            <w:bCs w:val="0"/>
            <w:i w:val="0"/>
            <w:iCs w:val="0"/>
            <w:noProof w:val="0"/>
            <w:color w:val="0000FF"/>
            <w:sz w:val="22"/>
            <w:szCs w:val="22"/>
            <w:u w:val="single"/>
            <w:lang w:val="en-GB"/>
          </w:rPr>
          <w:t>https://www.kingsfund.org.uk/sites/default/files/Research%20summary1.pdf</w:t>
        </w:r>
      </w:hyperlink>
    </w:p>
    <w:p w:rsidR="56BF35F3" w:rsidP="122D5508" w:rsidRDefault="56BF35F3" w14:paraId="26C67BCA" w14:textId="4AD45F1E">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558A84B9" w14:textId="418B1C99">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1 L.A Walker, Sarah Budd (2002), “UK: the current state of regulation of complementary and alternative medicine”, Vol. 10 p.p 8-13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ScienceDirect, </w:t>
      </w:r>
      <w:hyperlink w:anchor="!" r:id="R508bb2e1567f4f67">
        <w:r w:rsidRPr="122D5508" w:rsidR="122D5508">
          <w:rPr>
            <w:rStyle w:val="Hyperlink"/>
            <w:rFonts w:ascii="Calibri" w:hAnsi="Calibri" w:eastAsia="Calibri" w:cs="Calibri"/>
            <w:b w:val="0"/>
            <w:bCs w:val="0"/>
            <w:i w:val="0"/>
            <w:iCs w:val="0"/>
            <w:noProof w:val="0"/>
            <w:color w:val="0000FF"/>
            <w:sz w:val="22"/>
            <w:szCs w:val="22"/>
            <w:u w:val="single"/>
            <w:lang w:val="en-GB"/>
          </w:rPr>
          <w:t>https://www.sciencedirect.com/science/article/abs/pii/S0965229902905224#!</w:t>
        </w:r>
      </w:hyperlink>
      <w:r w:rsidRPr="122D5508" w:rsidR="122D5508">
        <w:rPr>
          <w:rFonts w:ascii="Calibri" w:hAnsi="Calibri" w:eastAsia="Calibri" w:cs="Calibri"/>
          <w:b w:val="0"/>
          <w:bCs w:val="0"/>
          <w:i w:val="0"/>
          <w:iCs w:val="0"/>
          <w:noProof w:val="0"/>
          <w:color w:val="0000FF"/>
          <w:sz w:val="22"/>
          <w:szCs w:val="22"/>
          <w:u w:val="single"/>
          <w:lang w:val="en-GB"/>
        </w:rPr>
        <w:t xml:space="preserve"> </w:t>
      </w:r>
      <w:r w:rsidRPr="122D5508" w:rsidR="122D5508">
        <w:rPr>
          <w:rFonts w:ascii="Calibri" w:hAnsi="Calibri" w:eastAsia="Calibri" w:cs="Calibri"/>
          <w:b w:val="0"/>
          <w:bCs w:val="0"/>
          <w:i w:val="0"/>
          <w:iCs w:val="0"/>
          <w:noProof w:val="0"/>
          <w:color w:val="000000" w:themeColor="text1" w:themeTint="FF" w:themeShade="FF"/>
          <w:sz w:val="22"/>
          <w:szCs w:val="22"/>
          <w:lang w:val="en-GB"/>
        </w:rPr>
        <w:t>(A)</w:t>
      </w:r>
    </w:p>
    <w:p w:rsidR="56BF35F3" w:rsidP="122D5508" w:rsidRDefault="56BF35F3" w14:paraId="24C9FC5C" w14:textId="74E63607">
      <w:pPr>
        <w:bidi w:val="0"/>
        <w:spacing w:before="0" w:beforeAutospacing="off" w:after="160" w:afterAutospacing="off" w:line="259" w:lineRule="auto"/>
        <w:ind/>
        <w:rPr>
          <w:rFonts w:ascii="Calibri" w:hAnsi="Calibri" w:eastAsia="Calibri" w:cs="Calibri"/>
          <w:b w:val="0"/>
          <w:bCs w:val="0"/>
          <w:i w:val="0"/>
          <w:iCs w:val="0"/>
          <w:noProof w:val="0"/>
          <w:color w:val="0000FF"/>
          <w:sz w:val="22"/>
          <w:szCs w:val="22"/>
          <w:lang w:val="en-GB"/>
        </w:rPr>
      </w:pPr>
    </w:p>
    <w:p w:rsidR="56BF35F3" w:rsidP="122D5508" w:rsidRDefault="56BF35F3" w14:paraId="11C9BD7B" w14:textId="785157F4">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L.A Walker, Sarah Budd (2002), “UK: the current state of regulation of complementary and alternative medicine”, Vol. 10 p.p 8-13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ScienceDirect, </w:t>
      </w:r>
      <w:hyperlink w:anchor="!" r:id="R0d9fdd2d8f164273">
        <w:r w:rsidRPr="122D5508" w:rsidR="122D5508">
          <w:rPr>
            <w:rStyle w:val="Hyperlink"/>
            <w:rFonts w:ascii="Calibri" w:hAnsi="Calibri" w:eastAsia="Calibri" w:cs="Calibri"/>
            <w:b w:val="0"/>
            <w:bCs w:val="0"/>
            <w:i w:val="0"/>
            <w:iCs w:val="0"/>
            <w:noProof w:val="0"/>
            <w:color w:val="0000FF"/>
            <w:sz w:val="22"/>
            <w:szCs w:val="22"/>
            <w:u w:val="single"/>
            <w:lang w:val="en-GB"/>
          </w:rPr>
          <w:t>https://www.sciencedirect.com/science/article/abs/pii/S0965229902905224#!</w:t>
        </w:r>
      </w:hyperlink>
      <w:r w:rsidRPr="122D5508" w:rsidR="122D5508">
        <w:rPr>
          <w:rFonts w:ascii="Calibri" w:hAnsi="Calibri" w:eastAsia="Calibri" w:cs="Calibri"/>
          <w:b w:val="0"/>
          <w:bCs w:val="0"/>
          <w:i w:val="0"/>
          <w:iCs w:val="0"/>
          <w:noProof w:val="0"/>
          <w:color w:val="0000FF"/>
          <w:sz w:val="22"/>
          <w:szCs w:val="22"/>
          <w:u w:val="single"/>
          <w:lang w:val="en-GB"/>
        </w:rPr>
        <w:t xml:space="preserve"> </w:t>
      </w:r>
      <w:r w:rsidRPr="122D5508" w:rsidR="122D5508">
        <w:rPr>
          <w:rFonts w:ascii="Calibri" w:hAnsi="Calibri" w:eastAsia="Calibri" w:cs="Calibri"/>
          <w:b w:val="0"/>
          <w:bCs w:val="0"/>
          <w:i w:val="0"/>
          <w:iCs w:val="0"/>
          <w:noProof w:val="0"/>
          <w:color w:val="000000" w:themeColor="text1" w:themeTint="FF" w:themeShade="FF"/>
          <w:sz w:val="22"/>
          <w:szCs w:val="22"/>
          <w:lang w:val="en-GB"/>
        </w:rPr>
        <w:t>(B)</w:t>
      </w:r>
    </w:p>
    <w:p w:rsidR="56BF35F3" w:rsidP="122D5508" w:rsidRDefault="56BF35F3" w14:paraId="5719EE4B" w14:textId="5807F091">
      <w:pPr>
        <w:bidi w:val="0"/>
        <w:spacing w:before="0" w:beforeAutospacing="off" w:after="160" w:afterAutospacing="off" w:line="259" w:lineRule="auto"/>
        <w:ind w:left="360"/>
        <w:rPr>
          <w:rFonts w:ascii="Calibri" w:hAnsi="Calibri" w:eastAsia="Calibri" w:cs="Calibri"/>
          <w:b w:val="0"/>
          <w:bCs w:val="0"/>
          <w:i w:val="0"/>
          <w:iCs w:val="0"/>
          <w:noProof w:val="0"/>
          <w:color w:val="000000" w:themeColor="text1" w:themeTint="FF" w:themeShade="FF"/>
          <w:sz w:val="22"/>
          <w:szCs w:val="22"/>
          <w:lang w:val="en-GB"/>
        </w:rPr>
      </w:pPr>
    </w:p>
    <w:p w:rsidR="56BF35F3" w:rsidP="122D5508" w:rsidRDefault="56BF35F3" w14:paraId="7CE35AA5" w14:textId="1888B59A">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Marie Curie (2018), “Complementary therapies”,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Marie Curie </w:t>
      </w: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(Acc: 11/07/20) </w:t>
      </w:r>
      <w:hyperlink r:id="Rc795dbfbe5324563">
        <w:r w:rsidRPr="122D5508" w:rsidR="122D5508">
          <w:rPr>
            <w:rStyle w:val="Hyperlink"/>
            <w:rFonts w:ascii="Calibri" w:hAnsi="Calibri" w:eastAsia="Calibri" w:cs="Calibri"/>
            <w:b w:val="0"/>
            <w:bCs w:val="0"/>
            <w:i w:val="0"/>
            <w:iCs w:val="0"/>
            <w:noProof w:val="0"/>
            <w:color w:val="0000FF"/>
            <w:sz w:val="22"/>
            <w:szCs w:val="22"/>
            <w:u w:val="single"/>
            <w:lang w:val="en-GB"/>
          </w:rPr>
          <w:t>https://www.mariecurie.org.uk/help/support/terminal-illness/wellbeing/complementary-therapies</w:t>
        </w:r>
      </w:hyperlink>
    </w:p>
    <w:p w:rsidR="56BF35F3" w:rsidP="122D5508" w:rsidRDefault="56BF35F3" w14:paraId="39FD8A1C" w14:textId="61522721">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4FE46DDB" w14:textId="67BA36F9">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NHS, (2018), “Complementary and alternative medicine” (Acc: 13/07/20),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National Health Service, </w:t>
      </w:r>
      <w:hyperlink w:anchor=":~:text=Home-,Complementary%20and%20alternative%20medicine,aromatherapy%2C%20meditation%20and%20colonic%20irrigation" r:id="R35f0a32611ec43e0">
        <w:r w:rsidRPr="122D5508" w:rsidR="122D5508">
          <w:rPr>
            <w:rStyle w:val="Hyperlink"/>
            <w:rFonts w:ascii="Calibri" w:hAnsi="Calibri" w:eastAsia="Calibri" w:cs="Calibri"/>
            <w:b w:val="0"/>
            <w:bCs w:val="0"/>
            <w:i w:val="1"/>
            <w:iCs w:val="1"/>
            <w:noProof w:val="0"/>
            <w:color w:val="0000FF"/>
            <w:sz w:val="22"/>
            <w:szCs w:val="22"/>
            <w:u w:val="single"/>
            <w:lang w:val="en-GB"/>
          </w:rPr>
          <w:t>https://www.nhs.uk/conditions/complementary-and-alternative-medicine/#:~:text=Home-,Complementary%20and%20alternative%20medicine,aromatherapy%2C%20meditation%20and%20colonic%20irrigation</w:t>
        </w:r>
      </w:hyperlink>
      <w:r w:rsidRPr="122D5508" w:rsidR="122D5508">
        <w:rPr>
          <w:rFonts w:ascii="Calibri" w:hAnsi="Calibri" w:eastAsia="Calibri" w:cs="Calibri"/>
          <w:b w:val="0"/>
          <w:bCs w:val="0"/>
          <w:i w:val="1"/>
          <w:iCs w:val="1"/>
          <w:noProof w:val="0"/>
          <w:color w:val="000000" w:themeColor="text1" w:themeTint="FF" w:themeShade="FF"/>
          <w:sz w:val="22"/>
          <w:szCs w:val="22"/>
          <w:lang w:val="en-GB"/>
        </w:rPr>
        <w:t>.</w:t>
      </w:r>
    </w:p>
    <w:p w:rsidR="56BF35F3" w:rsidP="122D5508" w:rsidRDefault="56BF35F3" w14:paraId="5672B3E2" w14:textId="7C3C370F">
      <w:pPr>
        <w:bidi w:val="0"/>
        <w:spacing w:before="0" w:beforeAutospacing="off" w:after="160" w:afterAutospacing="off" w:line="259" w:lineRule="auto"/>
        <w:ind w:left="360"/>
        <w:rPr>
          <w:rFonts w:ascii="Calibri" w:hAnsi="Calibri" w:eastAsia="Calibri" w:cs="Calibri"/>
          <w:b w:val="0"/>
          <w:bCs w:val="0"/>
          <w:i w:val="0"/>
          <w:iCs w:val="0"/>
          <w:noProof w:val="0"/>
          <w:color w:val="000000" w:themeColor="text1" w:themeTint="FF" w:themeShade="FF"/>
          <w:sz w:val="22"/>
          <w:szCs w:val="22"/>
          <w:lang w:val="en-GB"/>
        </w:rPr>
      </w:pPr>
    </w:p>
    <w:p w:rsidR="56BF35F3" w:rsidP="122D5508" w:rsidRDefault="56BF35F3" w14:paraId="45077CA0" w14:textId="0F18F515">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NHS, (2018), “Osteopathy”,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National Health Service, </w:t>
      </w:r>
      <w:hyperlink r:id="Rb3de08617953456b">
        <w:r w:rsidRPr="122D5508" w:rsidR="122D5508">
          <w:rPr>
            <w:rStyle w:val="Hyperlink"/>
            <w:rFonts w:ascii="Calibri" w:hAnsi="Calibri" w:eastAsia="Calibri" w:cs="Calibri"/>
            <w:b w:val="0"/>
            <w:bCs w:val="0"/>
            <w:i w:val="0"/>
            <w:iCs w:val="0"/>
            <w:noProof w:val="0"/>
            <w:color w:val="0000FF"/>
            <w:sz w:val="22"/>
            <w:szCs w:val="22"/>
            <w:u w:val="single"/>
            <w:lang w:val="en-GB"/>
          </w:rPr>
          <w:t>https://www.nhs.uk/conditions/osteopathy/</w:t>
        </w:r>
      </w:hyperlink>
    </w:p>
    <w:p w:rsidR="56BF35F3" w:rsidP="122D5508" w:rsidRDefault="56BF35F3" w14:paraId="16AD5253" w14:textId="53657DA6">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7C7C9CFB" w14:textId="5EBB60CC">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 Parliament, House of Lords (2000), “Chapter 5; Regulation. Which Therapies Would Benefit From Statutory Regulation?”,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UK Parliament, </w:t>
      </w:r>
      <w:hyperlink r:id="Rddb4253914f64aed">
        <w:r w:rsidRPr="122D5508" w:rsidR="122D5508">
          <w:rPr>
            <w:rStyle w:val="Hyperlink"/>
            <w:rFonts w:ascii="Calibri" w:hAnsi="Calibri" w:eastAsia="Calibri" w:cs="Calibri"/>
            <w:b w:val="0"/>
            <w:bCs w:val="0"/>
            <w:i w:val="0"/>
            <w:iCs w:val="0"/>
            <w:noProof w:val="0"/>
            <w:color w:val="0000FF"/>
            <w:sz w:val="22"/>
            <w:szCs w:val="22"/>
            <w:u w:val="single"/>
            <w:lang w:val="en-GB"/>
          </w:rPr>
          <w:t>https://publications.parliament.uk/pa/ld199900/ldselect/ldsctech/123/12309.htm</w:t>
        </w:r>
      </w:hyperlink>
    </w:p>
    <w:p w:rsidR="56BF35F3" w:rsidP="122D5508" w:rsidRDefault="56BF35F3" w14:paraId="66DF08BA" w14:textId="73EE9332">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43BEB033" w14:textId="04829987">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Parliament, House of Lords (1999), “Chapter 5: Regulation of Herbal Products”,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UK Parliament, </w:t>
      </w:r>
      <w:hyperlink r:id="R035189f333014fce">
        <w:r w:rsidRPr="122D5508" w:rsidR="122D5508">
          <w:rPr>
            <w:rStyle w:val="Hyperlink"/>
            <w:rFonts w:ascii="Calibri" w:hAnsi="Calibri" w:eastAsia="Calibri" w:cs="Calibri"/>
            <w:b w:val="0"/>
            <w:bCs w:val="0"/>
            <w:i w:val="0"/>
            <w:iCs w:val="0"/>
            <w:noProof w:val="0"/>
            <w:color w:val="0000FF"/>
            <w:sz w:val="22"/>
            <w:szCs w:val="22"/>
            <w:u w:val="single"/>
            <w:lang w:val="en-GB"/>
          </w:rPr>
          <w:t>https://publications.parliament.uk/pa/ld199900/ldselect/ldsctech/123/12310.htm</w:t>
        </w:r>
      </w:hyperlink>
    </w:p>
    <w:p w:rsidR="56BF35F3" w:rsidP="122D5508" w:rsidRDefault="56BF35F3" w14:paraId="54019B65" w14:textId="6D595740">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3CF0D720" w14:textId="72262151">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Prospects (2020), “Chiropractor job profile”,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JISC, </w:t>
      </w:r>
      <w:hyperlink r:id="Rbab01857a95a40e5">
        <w:r w:rsidRPr="122D5508" w:rsidR="122D5508">
          <w:rPr>
            <w:rStyle w:val="Hyperlink"/>
            <w:rFonts w:ascii="Calibri" w:hAnsi="Calibri" w:eastAsia="Calibri" w:cs="Calibri"/>
            <w:b w:val="0"/>
            <w:bCs w:val="0"/>
            <w:i w:val="0"/>
            <w:iCs w:val="0"/>
            <w:noProof w:val="0"/>
            <w:color w:val="0000FF"/>
            <w:sz w:val="22"/>
            <w:szCs w:val="22"/>
            <w:u w:val="single"/>
            <w:lang w:val="en-GB"/>
          </w:rPr>
          <w:t>https://www.prospects.ac.uk/job-profiles/chiropractor</w:t>
        </w:r>
      </w:hyperlink>
    </w:p>
    <w:p w:rsidR="56BF35F3" w:rsidP="122D5508" w:rsidRDefault="56BF35F3" w14:paraId="1D3E7FDB" w14:textId="66788BED">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02141563" w14:textId="1E9E4060">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Quality Assurance Agency for Higher Education (2013), “General Osteopathic Council review of osteopathic courses and course providers”, </w:t>
      </w:r>
      <w:r w:rsidRPr="122D5508" w:rsidR="122D5508">
        <w:rPr>
          <w:rFonts w:ascii="Calibri" w:hAnsi="Calibri" w:eastAsia="Calibri" w:cs="Calibri"/>
          <w:b w:val="0"/>
          <w:bCs w:val="0"/>
          <w:i w:val="1"/>
          <w:iCs w:val="1"/>
          <w:noProof w:val="0"/>
          <w:color w:val="000000" w:themeColor="text1" w:themeTint="FF" w:themeShade="FF"/>
          <w:sz w:val="22"/>
          <w:szCs w:val="22"/>
          <w:lang w:val="en-GB"/>
        </w:rPr>
        <w:t>General Osteopathic Council</w:t>
      </w: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 </w:t>
      </w:r>
      <w:hyperlink r:id="Rd7d5f90c14d54090">
        <w:r w:rsidRPr="122D5508" w:rsidR="122D5508">
          <w:rPr>
            <w:rStyle w:val="Hyperlink"/>
            <w:rFonts w:ascii="Calibri" w:hAnsi="Calibri" w:eastAsia="Calibri" w:cs="Calibri"/>
            <w:b w:val="0"/>
            <w:bCs w:val="0"/>
            <w:i w:val="0"/>
            <w:iCs w:val="0"/>
            <w:noProof w:val="0"/>
            <w:color w:val="0000FF"/>
            <w:sz w:val="22"/>
            <w:szCs w:val="22"/>
            <w:u w:val="single"/>
            <w:lang w:val="en-GB"/>
          </w:rPr>
          <w:t>file:///home/chronos/u-c616fa8d93568ae6c37ee2cb8ca78a86d5a01a4d/MyFiles/Downloads/eso-qaa-report-november2013%20(2).pdf</w:t>
        </w:r>
      </w:hyperlink>
    </w:p>
    <w:p w:rsidR="56BF35F3" w:rsidP="122D5508" w:rsidRDefault="56BF35F3" w14:paraId="5B2118B6" w14:textId="1A214D9C">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6107A8B0" w14:textId="1F1FFDFC">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Simon Mills (2001), “Regulation in complementary and alternative medicine”, </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BMJ Clinical Research, </w:t>
      </w:r>
      <w:r w:rsidRPr="122D5508" w:rsidR="122D5508">
        <w:rPr>
          <w:rFonts w:ascii="Calibri" w:hAnsi="Calibri" w:eastAsia="Calibri" w:cs="Calibri"/>
          <w:b w:val="0"/>
          <w:bCs w:val="0"/>
          <w:i w:val="0"/>
          <w:iCs w:val="0"/>
          <w:noProof w:val="0"/>
          <w:color w:val="000000" w:themeColor="text1" w:themeTint="FF" w:themeShade="FF"/>
          <w:sz w:val="22"/>
          <w:szCs w:val="22"/>
          <w:lang w:val="en-GB"/>
        </w:rPr>
        <w:t>Vol. 322(7279) p.p 158- 160</w:t>
      </w:r>
      <w:r w:rsidRPr="122D5508" w:rsidR="122D5508">
        <w:rPr>
          <w:rFonts w:ascii="Calibri" w:hAnsi="Calibri" w:eastAsia="Calibri" w:cs="Calibri"/>
          <w:b w:val="0"/>
          <w:bCs w:val="0"/>
          <w:i w:val="1"/>
          <w:iCs w:val="1"/>
          <w:noProof w:val="0"/>
          <w:color w:val="000000" w:themeColor="text1" w:themeTint="FF" w:themeShade="FF"/>
          <w:sz w:val="22"/>
          <w:szCs w:val="22"/>
          <w:lang w:val="en-GB"/>
        </w:rPr>
        <w:t xml:space="preserve"> </w:t>
      </w:r>
      <w:hyperlink r:id="R4709203b59d74b0a">
        <w:r w:rsidRPr="122D5508" w:rsidR="122D5508">
          <w:rPr>
            <w:rStyle w:val="Hyperlink"/>
            <w:rFonts w:ascii="Calibri" w:hAnsi="Calibri" w:eastAsia="Calibri" w:cs="Calibri"/>
            <w:b w:val="0"/>
            <w:bCs w:val="0"/>
            <w:i w:val="0"/>
            <w:iCs w:val="0"/>
            <w:noProof w:val="0"/>
            <w:color w:val="0000FF"/>
            <w:sz w:val="22"/>
            <w:szCs w:val="22"/>
            <w:u w:val="single"/>
            <w:lang w:val="en-GB"/>
          </w:rPr>
          <w:t>https://www.researchgate.net/publication/232264342_Regulation_in_complementary_and_alternative_medicine</w:t>
        </w:r>
      </w:hyperlink>
    </w:p>
    <w:p w:rsidR="56BF35F3" w:rsidP="122D5508" w:rsidRDefault="56BF35F3" w14:paraId="60432E0C" w14:textId="56F1A588">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6F79F41F" w14:textId="4E20251A">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STFR (2003), “Regulations”, </w:t>
      </w:r>
      <w:r w:rsidRPr="122D5508" w:rsidR="122D5508">
        <w:rPr>
          <w:rFonts w:ascii="Calibri" w:hAnsi="Calibri" w:eastAsia="Calibri" w:cs="Calibri"/>
          <w:b w:val="0"/>
          <w:bCs w:val="0"/>
          <w:i w:val="1"/>
          <w:iCs w:val="1"/>
          <w:noProof w:val="0"/>
          <w:color w:val="000000" w:themeColor="text1" w:themeTint="FF" w:themeShade="FF"/>
          <w:sz w:val="22"/>
          <w:szCs w:val="22"/>
          <w:lang w:val="en-GB"/>
        </w:rPr>
        <w:t>Therapy Register</w:t>
      </w: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 </w:t>
      </w:r>
      <w:hyperlink r:id="Re1738964a5f3444a">
        <w:r w:rsidRPr="122D5508" w:rsidR="122D5508">
          <w:rPr>
            <w:rStyle w:val="Hyperlink"/>
            <w:rFonts w:ascii="Calibri" w:hAnsi="Calibri" w:eastAsia="Calibri" w:cs="Calibri"/>
            <w:b w:val="0"/>
            <w:bCs w:val="0"/>
            <w:i w:val="0"/>
            <w:iCs w:val="0"/>
            <w:noProof w:val="0"/>
            <w:color w:val="0000FF"/>
            <w:sz w:val="22"/>
            <w:szCs w:val="22"/>
            <w:u w:val="single"/>
            <w:lang w:val="en-GB"/>
          </w:rPr>
          <w:t>https://therapyregister.net/regulations/</w:t>
        </w:r>
      </w:hyperlink>
    </w:p>
    <w:p w:rsidR="56BF35F3" w:rsidP="122D5508" w:rsidRDefault="56BF35F3" w14:paraId="61DE060E" w14:textId="6E225CA1">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6253AE54" w14:textId="1010D3B1">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St. Luke’s Hospital (2015), “Complementary and Alternative Medicine”, St. Luke’s Hospital (Acc: 12/07/20) </w:t>
      </w:r>
      <w:hyperlink r:id="R90634fdab989476f">
        <w:r w:rsidRPr="122D5508" w:rsidR="122D5508">
          <w:rPr>
            <w:rStyle w:val="Hyperlink"/>
            <w:rFonts w:ascii="Calibri" w:hAnsi="Calibri" w:eastAsia="Calibri" w:cs="Calibri"/>
            <w:b w:val="0"/>
            <w:bCs w:val="0"/>
            <w:i w:val="0"/>
            <w:iCs w:val="0"/>
            <w:noProof w:val="0"/>
            <w:color w:val="0000FF"/>
            <w:sz w:val="22"/>
            <w:szCs w:val="22"/>
            <w:u w:val="single"/>
            <w:lang w:val="en-GB"/>
          </w:rPr>
          <w:t>https://www.stlukes-stl.com/health-content/medicine/33/000346.htm</w:t>
        </w:r>
      </w:hyperlink>
    </w:p>
    <w:p w:rsidR="56BF35F3" w:rsidP="122D5508" w:rsidRDefault="56BF35F3" w14:paraId="62AD00A2" w14:textId="75269E26">
      <w:pPr>
        <w:bidi w:val="0"/>
        <w:spacing w:before="0" w:beforeAutospacing="off" w:after="160" w:afterAutospacing="off" w:line="259" w:lineRule="auto"/>
        <w:ind w:left="360"/>
        <w:rPr>
          <w:rFonts w:ascii="Calibri" w:hAnsi="Calibri" w:eastAsia="Calibri" w:cs="Calibri"/>
          <w:b w:val="0"/>
          <w:bCs w:val="0"/>
          <w:i w:val="0"/>
          <w:iCs w:val="0"/>
          <w:noProof w:val="0"/>
          <w:color w:val="0000FF"/>
          <w:sz w:val="22"/>
          <w:szCs w:val="22"/>
          <w:lang w:val="en-GB"/>
        </w:rPr>
      </w:pPr>
    </w:p>
    <w:p w:rsidR="56BF35F3" w:rsidP="122D5508" w:rsidRDefault="56BF35F3" w14:paraId="0543E753" w14:textId="36CBF9AC">
      <w:pPr>
        <w:pStyle w:val="ListParagraph"/>
        <w:numPr>
          <w:ilvl w:val="0"/>
          <w:numId w:val="3"/>
        </w:num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UCAS (2020), “How To Become A Chiropractor; Chiropractor”, </w:t>
      </w:r>
      <w:r w:rsidRPr="122D5508" w:rsidR="122D5508">
        <w:rPr>
          <w:rFonts w:ascii="Calibri" w:hAnsi="Calibri" w:eastAsia="Calibri" w:cs="Calibri"/>
          <w:b w:val="0"/>
          <w:bCs w:val="0"/>
          <w:i w:val="1"/>
          <w:iCs w:val="1"/>
          <w:noProof w:val="0"/>
          <w:color w:val="000000" w:themeColor="text1" w:themeTint="FF" w:themeShade="FF"/>
          <w:sz w:val="22"/>
          <w:szCs w:val="22"/>
          <w:lang w:val="en-GB"/>
        </w:rPr>
        <w:t>Universities and Colleges Admissions Service,</w:t>
      </w:r>
      <w:r w:rsidRPr="122D5508" w:rsidR="122D5508">
        <w:rPr>
          <w:rFonts w:ascii="Calibri" w:hAnsi="Calibri" w:eastAsia="Calibri" w:cs="Calibri"/>
          <w:b w:val="0"/>
          <w:bCs w:val="0"/>
          <w:i w:val="0"/>
          <w:iCs w:val="0"/>
          <w:noProof w:val="0"/>
          <w:color w:val="000000" w:themeColor="text1" w:themeTint="FF" w:themeShade="FF"/>
          <w:sz w:val="22"/>
          <w:szCs w:val="22"/>
          <w:lang w:val="en-GB"/>
        </w:rPr>
        <w:t xml:space="preserve"> </w:t>
      </w:r>
      <w:hyperlink w:anchor=":~:text=You'll%20need%20to%20complete,have%20the%20degree%20entry%20requirements." r:id="R1bb13871046e4116">
        <w:r w:rsidRPr="122D5508" w:rsidR="122D5508">
          <w:rPr>
            <w:rStyle w:val="Hyperlink"/>
            <w:rFonts w:ascii="Calibri" w:hAnsi="Calibri" w:eastAsia="Calibri" w:cs="Calibri"/>
            <w:b w:val="0"/>
            <w:bCs w:val="0"/>
            <w:i w:val="0"/>
            <w:iCs w:val="0"/>
            <w:noProof w:val="0"/>
            <w:color w:val="0000FF"/>
            <w:sz w:val="22"/>
            <w:szCs w:val="22"/>
            <w:u w:val="single"/>
            <w:lang w:val="en-GB"/>
          </w:rPr>
          <w:t>https://www.ucas.com/ucas/after-gcses/find-career-ideas/explore-jobs/job-profile/chiropractor#:~:text=You'll%20need%20to%20complete,have%20the%20degree%20entry%20requirements.</w:t>
        </w:r>
      </w:hyperlink>
    </w:p>
    <w:p w:rsidR="56BF35F3" w:rsidP="56BF35F3" w:rsidRDefault="56BF35F3" w14:paraId="2E4D5145" w14:textId="68981E10">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6BF35F3" w:rsidP="56BF35F3" w:rsidRDefault="56BF35F3" w14:paraId="500444CF" w14:textId="4186552B">
      <w:pPr>
        <w:pStyle w:val="Normal"/>
        <w:rPr>
          <w:rFonts w:ascii="Calibri" w:hAnsi="Calibri" w:eastAsia="Calibri" w:cs="Calibri"/>
          <w:noProof w:val="0"/>
          <w:sz w:val="22"/>
          <w:szCs w:val="22"/>
          <w:lang w:val="en-GB"/>
        </w:rPr>
      </w:pPr>
    </w:p>
    <w:p w:rsidR="3A0A763B" w:rsidP="3A0A763B" w:rsidRDefault="3A0A763B" w14:paraId="2AB3EBEF" w14:textId="6F33D012">
      <w:pPr>
        <w:pStyle w:val="Normal"/>
        <w:rPr>
          <w:rFonts w:ascii="Calibri" w:hAnsi="Calibri" w:eastAsia="Calibri" w:cs="Calibri"/>
          <w:noProof w:val="0"/>
          <w:sz w:val="22"/>
          <w:szCs w:val="22"/>
          <w:lang w:val="en-GB"/>
        </w:rPr>
      </w:pPr>
    </w:p>
    <w:p w:rsidRPr="00F346B4" w:rsidR="004D12FD" w:rsidP="00F346B4" w:rsidRDefault="004D12FD" w14:paraId="18012C0B" w14:textId="6350CF9A"/>
    <w:p w:rsidR="000B59A1" w:rsidRDefault="000B59A1" w14:paraId="3DFEB283" w14:textId="77777777"/>
    <w:sectPr w:rsidR="000B59A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C2A069D"/>
    <w:multiLevelType w:val="multilevel"/>
    <w:tmpl w:val="AFF49B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9A1"/>
    <w:rsid w:val="00002788"/>
    <w:rsid w:val="00074F97"/>
    <w:rsid w:val="00075461"/>
    <w:rsid w:val="00085FEF"/>
    <w:rsid w:val="000B59A1"/>
    <w:rsid w:val="000B7DBE"/>
    <w:rsid w:val="000D074C"/>
    <w:rsid w:val="000E7197"/>
    <w:rsid w:val="001C1152"/>
    <w:rsid w:val="001D0543"/>
    <w:rsid w:val="00234CA3"/>
    <w:rsid w:val="002E68DA"/>
    <w:rsid w:val="00372AE8"/>
    <w:rsid w:val="00374E39"/>
    <w:rsid w:val="00391A76"/>
    <w:rsid w:val="003C48BA"/>
    <w:rsid w:val="00414E04"/>
    <w:rsid w:val="00436109"/>
    <w:rsid w:val="004B4387"/>
    <w:rsid w:val="004C54BE"/>
    <w:rsid w:val="004D12FD"/>
    <w:rsid w:val="0053089A"/>
    <w:rsid w:val="005719E8"/>
    <w:rsid w:val="00587E29"/>
    <w:rsid w:val="006916B5"/>
    <w:rsid w:val="007225C8"/>
    <w:rsid w:val="007471E6"/>
    <w:rsid w:val="007A25D7"/>
    <w:rsid w:val="007F390D"/>
    <w:rsid w:val="008C22F8"/>
    <w:rsid w:val="008C60C5"/>
    <w:rsid w:val="00951823"/>
    <w:rsid w:val="00957AF8"/>
    <w:rsid w:val="009C2855"/>
    <w:rsid w:val="00A6022A"/>
    <w:rsid w:val="00B672DA"/>
    <w:rsid w:val="00B74600"/>
    <w:rsid w:val="00BB43AC"/>
    <w:rsid w:val="00BD0934"/>
    <w:rsid w:val="00BE3FCB"/>
    <w:rsid w:val="00C45AFC"/>
    <w:rsid w:val="00CA445E"/>
    <w:rsid w:val="00CB6041"/>
    <w:rsid w:val="00CB61FF"/>
    <w:rsid w:val="00D53592"/>
    <w:rsid w:val="00E37396"/>
    <w:rsid w:val="00F346B4"/>
    <w:rsid w:val="00F80E3C"/>
    <w:rsid w:val="122D5508"/>
    <w:rsid w:val="15E6F83D"/>
    <w:rsid w:val="3A0A763B"/>
    <w:rsid w:val="56BF35F3"/>
    <w:rsid w:val="78EE2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1E5F7"/>
  <w15:chartTrackingRefBased/>
  <w15:docId w15:val="{0D42AADE-3E3C-4DDD-93E9-70B436340E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F80E3C"/>
    <w:rPr>
      <w:color w:val="0000FF"/>
      <w:u w:val="single"/>
    </w:rPr>
  </w:style>
  <w:style w:type="paragraph" w:styleId="NormalWeb">
    <w:name w:val="Normal (Web)"/>
    <w:basedOn w:val="Normal"/>
    <w:uiPriority w:val="99"/>
    <w:unhideWhenUsed/>
    <w:rsid w:val="00085FEF"/>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53089A"/>
    <w:rPr>
      <w:b/>
      <w:bCs/>
    </w:rPr>
  </w:style>
  <w:style w:type="character" w:styleId="UnresolvedMention">
    <w:name w:val="Unresolved Mention"/>
    <w:basedOn w:val="DefaultParagraphFont"/>
    <w:uiPriority w:val="99"/>
    <w:semiHidden/>
    <w:unhideWhenUsed/>
    <w:rsid w:val="00CB6041"/>
    <w:rPr>
      <w:color w:val="605E5C"/>
      <w:shd w:val="clear" w:color="auto" w:fill="E1DFDD"/>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626551">
      <w:bodyDiv w:val="1"/>
      <w:marLeft w:val="0"/>
      <w:marRight w:val="0"/>
      <w:marTop w:val="0"/>
      <w:marBottom w:val="0"/>
      <w:divBdr>
        <w:top w:val="none" w:sz="0" w:space="0" w:color="auto"/>
        <w:left w:val="none" w:sz="0" w:space="0" w:color="auto"/>
        <w:bottom w:val="none" w:sz="0" w:space="0" w:color="auto"/>
        <w:right w:val="none" w:sz="0" w:space="0" w:color="auto"/>
      </w:divBdr>
    </w:div>
    <w:div w:id="80577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hyperlink" Target="https://www.bupa.co.uk/health-information/complementary-therapies/complementary-therapies" TargetMode="External" Id="R43ef1d08fb724424" /><Relationship Type="http://schemas.openxmlformats.org/officeDocument/2006/relationships/hyperlink" Target="https://www.kingsfund.org.uk/sites/default/files/Research%20summary1.pdf" TargetMode="External" Id="R1831d373fd384656" /><Relationship Type="http://schemas.openxmlformats.org/officeDocument/2006/relationships/hyperlink" Target="https://www.business-standard.com/article/health/most-popular-alternative-healing-therapies-117113000239_1.html" TargetMode="External" Id="Rcc4ba7dcadc7476f" /><Relationship Type="http://schemas.openxmlformats.org/officeDocument/2006/relationships/hyperlink" Target="https://www.cancerresearchuk.org/about-cancer/cancer-in-general/treatment/complementary-alternative-therapies/about/why-used" TargetMode="External" Id="R58f107049f0d4eda" /><Relationship Type="http://schemas.openxmlformats.org/officeDocument/2006/relationships/hyperlink" Target="https://www.cancerresearchuk.org/about-cancer/cancer-in-general/treatment/complementary-alternative-therapies/about/safety" TargetMode="External" Id="R08cccd8fdcca4861" /><Relationship Type="http://schemas.openxmlformats.org/officeDocument/2006/relationships/hyperlink" Target="https://www.verywellhealth.com/types-of-complementary-and-alternative-medicine-88741" TargetMode="External" Id="R039ffc75dce74132" /><Relationship Type="http://schemas.openxmlformats.org/officeDocument/2006/relationships/hyperlink" Target="https://www.hindawi.com/journals/ecam/2014/872320/" TargetMode="External" Id="R0788aac44f044962" /><Relationship Type="http://schemas.openxmlformats.org/officeDocument/2006/relationships/hyperlink" Target="https://www.cnhc.org.uk/sites/default/files/Downloads/CodeofConductEthicsandPerformance.pdf" TargetMode="External" Id="Rb22fb4a5fc204149" /><Relationship Type="http://schemas.openxmlformats.org/officeDocument/2006/relationships/hyperlink" Target="http://ehtpa.eu/regulation/statutory-regulation-in-the-uk/" TargetMode="External" Id="Rce542c13233f459f" /><Relationship Type="http://schemas.openxmlformats.org/officeDocument/2006/relationships/hyperlink" Target="http://www.grcct.org/about-us/" TargetMode="External" Id="Rff5a75af73374fb7" /><Relationship Type="http://schemas.openxmlformats.org/officeDocument/2006/relationships/hyperlink" Target="https://www.complementaryhealthprofessionals.co.uk/single-post/2018/01/31/How-does-the-General-Data-Protection-Reform-affect-Complementary-Therapists" TargetMode="External" Id="R6bd50594e8774c77" /><Relationship Type="http://schemas.openxmlformats.org/officeDocument/2006/relationships/hyperlink" Target="https://www.kingsfund.org.uk/sites/default/files/Research%20summary1.pdf" TargetMode="External" Id="R745f8a0839844b5e" /><Relationship Type="http://schemas.openxmlformats.org/officeDocument/2006/relationships/hyperlink" Target="https://www.sciencedirect.com/science/article/abs/pii/S0965229902905224" TargetMode="External" Id="R508bb2e1567f4f67" /><Relationship Type="http://schemas.openxmlformats.org/officeDocument/2006/relationships/hyperlink" Target="https://www.sciencedirect.com/science/article/abs/pii/S0965229902905224" TargetMode="External" Id="R0d9fdd2d8f164273" /><Relationship Type="http://schemas.openxmlformats.org/officeDocument/2006/relationships/hyperlink" Target="https://www.mariecurie.org.uk/help/support/terminal-illness/wellbeing/complementary-therapies" TargetMode="External" Id="Rc795dbfbe5324563" /><Relationship Type="http://schemas.openxmlformats.org/officeDocument/2006/relationships/hyperlink" Target="https://www.nhs.uk/conditions/complementary-and-alternative-medicine/" TargetMode="External" Id="R35f0a32611ec43e0" /><Relationship Type="http://schemas.openxmlformats.org/officeDocument/2006/relationships/hyperlink" Target="https://www.nhs.uk/conditions/osteopathy/" TargetMode="External" Id="Rb3de08617953456b" /><Relationship Type="http://schemas.openxmlformats.org/officeDocument/2006/relationships/hyperlink" Target="https://publications.parliament.uk/pa/ld199900/ldselect/ldsctech/123/12309.htm" TargetMode="External" Id="Rddb4253914f64aed" /><Relationship Type="http://schemas.openxmlformats.org/officeDocument/2006/relationships/hyperlink" Target="https://publications.parliament.uk/pa/ld199900/ldselect/ldsctech/123/12310.htm" TargetMode="External" Id="R035189f333014fce" /><Relationship Type="http://schemas.openxmlformats.org/officeDocument/2006/relationships/hyperlink" Target="https://www.prospects.ac.uk/job-profiles/chiropractor" TargetMode="External" Id="Rbab01857a95a40e5" /><Relationship Type="http://schemas.openxmlformats.org/officeDocument/2006/relationships/hyperlink" Target="file:///home/chronos/u-c616fa8d93568ae6c37ee2cb8ca78a86d5a01a4d/MyFiles/Downloads/eso-qaa-report-november2013%20(2).pdf" TargetMode="External" Id="Rd7d5f90c14d54090" /><Relationship Type="http://schemas.openxmlformats.org/officeDocument/2006/relationships/hyperlink" Target="https://www.researchgate.net/publication/232264342_Regulation_in_complementary_and_alternative_medicine" TargetMode="External" Id="R4709203b59d74b0a" /><Relationship Type="http://schemas.openxmlformats.org/officeDocument/2006/relationships/hyperlink" Target="https://therapyregister.net/regulations/" TargetMode="External" Id="Re1738964a5f3444a" /><Relationship Type="http://schemas.openxmlformats.org/officeDocument/2006/relationships/hyperlink" Target="https://www.stlukes-stl.com/health-content/medicine/33/000346.htm" TargetMode="External" Id="R90634fdab989476f" /><Relationship Type="http://schemas.openxmlformats.org/officeDocument/2006/relationships/hyperlink" Target="https://www.ucas.com/ucas/after-gcses/find-career-ideas/explore-jobs/job-profile/chiropractor" TargetMode="External" Id="R1bb13871046e41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786misa@gmail.com</dc:creator>
  <keywords/>
  <dc:description/>
  <lastModifiedBy>Guest User</lastModifiedBy>
  <revision>10</revision>
  <dcterms:created xsi:type="dcterms:W3CDTF">2020-07-14T14:20:00.0000000Z</dcterms:created>
  <dcterms:modified xsi:type="dcterms:W3CDTF">2020-07-22T15:35:35.0648667Z</dcterms:modified>
</coreProperties>
</file>