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BA0BD" w14:textId="086C8DC0" w:rsidR="00225B33" w:rsidRPr="00225B33" w:rsidRDefault="004B4919" w:rsidP="00752604">
      <w:pPr>
        <w:pStyle w:val="NormalWeb"/>
        <w:spacing w:before="0" w:beforeAutospacing="0" w:after="0" w:afterAutospacing="0"/>
        <w:jc w:val="both"/>
        <w:rPr>
          <w:rFonts w:ascii="Arial" w:hAnsi="Arial" w:cs="Arial"/>
          <w:u w:val="single"/>
        </w:rPr>
      </w:pPr>
      <w:r>
        <w:rPr>
          <w:rFonts w:ascii="Arial" w:hAnsi="Arial" w:cs="Arial"/>
          <w:b/>
          <w:bCs/>
          <w:color w:val="000000"/>
          <w:u w:val="single"/>
        </w:rPr>
        <w:t xml:space="preserve">COHORT 03/22 PCDA </w:t>
      </w:r>
      <w:r w:rsidR="00225B33" w:rsidRPr="00225B33">
        <w:rPr>
          <w:rFonts w:ascii="Arial" w:hAnsi="Arial" w:cs="Arial"/>
          <w:b/>
          <w:bCs/>
          <w:color w:val="000000"/>
          <w:u w:val="single"/>
        </w:rPr>
        <w:t>ASSIGNMENT 1 – ELIZABETH MARSH - 2134354</w:t>
      </w:r>
    </w:p>
    <w:p w14:paraId="06D24589" w14:textId="77777777" w:rsidR="00225B33" w:rsidRPr="00225B33" w:rsidRDefault="00225B33" w:rsidP="00752604">
      <w:pPr>
        <w:jc w:val="both"/>
        <w:rPr>
          <w:rFonts w:ascii="Arial" w:eastAsia="Times New Roman" w:hAnsi="Arial" w:cs="Arial"/>
        </w:rPr>
      </w:pPr>
    </w:p>
    <w:p w14:paraId="4BC24833" w14:textId="77777777" w:rsidR="00225B33" w:rsidRPr="00225B33" w:rsidRDefault="00225B33" w:rsidP="00752604">
      <w:pPr>
        <w:pStyle w:val="NormalWeb"/>
        <w:spacing w:before="0" w:beforeAutospacing="0" w:after="0" w:afterAutospacing="0"/>
        <w:jc w:val="both"/>
        <w:rPr>
          <w:rFonts w:ascii="Arial" w:hAnsi="Arial" w:cs="Arial"/>
          <w:u w:val="single"/>
        </w:rPr>
      </w:pPr>
      <w:r w:rsidRPr="00225B33">
        <w:rPr>
          <w:rFonts w:ascii="Arial" w:hAnsi="Arial" w:cs="Arial"/>
          <w:b/>
          <w:bCs/>
          <w:color w:val="000000"/>
          <w:u w:val="single"/>
        </w:rPr>
        <w:t>Essay one:</w:t>
      </w:r>
    </w:p>
    <w:p w14:paraId="1ED3973F" w14:textId="5A1D3876"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b/>
          <w:bCs/>
          <w:color w:val="000000"/>
        </w:rPr>
        <w:t>How might the Code of Ethics help to reduce incidences of professional misconduct and</w:t>
      </w:r>
      <w:r w:rsidRPr="00225B33">
        <w:rPr>
          <w:rFonts w:ascii="Arial" w:hAnsi="Arial" w:cs="Arial"/>
        </w:rPr>
        <w:t xml:space="preserve"> </w:t>
      </w:r>
      <w:r w:rsidRPr="00225B33">
        <w:rPr>
          <w:rFonts w:ascii="Arial" w:hAnsi="Arial" w:cs="Arial"/>
          <w:b/>
          <w:bCs/>
          <w:color w:val="000000"/>
        </w:rPr>
        <w:t>increase public confidence in the police?</w:t>
      </w:r>
    </w:p>
    <w:p w14:paraId="2AC11C46" w14:textId="77777777" w:rsidR="00225B33" w:rsidRPr="00225B33" w:rsidRDefault="00225B33" w:rsidP="00752604">
      <w:pPr>
        <w:jc w:val="both"/>
        <w:rPr>
          <w:rFonts w:ascii="Arial" w:eastAsia="Times New Roman" w:hAnsi="Arial" w:cs="Arial"/>
        </w:rPr>
      </w:pPr>
    </w:p>
    <w:p w14:paraId="4D667242"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The Code of Ethics, introduced in 2014, ‘defines the exemplary standards of behaviour for</w:t>
      </w:r>
    </w:p>
    <w:p w14:paraId="6E3A3D18"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everyone who works in policing.’ (College of Policing, 2014). It is the formal basis on which police professional conduct is now modelled.</w:t>
      </w:r>
    </w:p>
    <w:p w14:paraId="4B46A9DE" w14:textId="77777777" w:rsidR="00225B33" w:rsidRPr="00225B33" w:rsidRDefault="00225B33" w:rsidP="00752604">
      <w:pPr>
        <w:jc w:val="both"/>
        <w:rPr>
          <w:rFonts w:ascii="Arial" w:eastAsia="Times New Roman" w:hAnsi="Arial" w:cs="Arial"/>
        </w:rPr>
      </w:pPr>
    </w:p>
    <w:p w14:paraId="70EF9611" w14:textId="1D9CBB64" w:rsidR="00225B33" w:rsidRPr="00225B33" w:rsidRDefault="00225B33" w:rsidP="00752604">
      <w:pPr>
        <w:pStyle w:val="NormalWeb"/>
        <w:spacing w:before="0" w:beforeAutospacing="0" w:after="160" w:afterAutospacing="0"/>
        <w:jc w:val="both"/>
        <w:rPr>
          <w:rFonts w:ascii="Arial" w:hAnsi="Arial" w:cs="Arial"/>
        </w:rPr>
      </w:pPr>
      <w:r w:rsidRPr="00225B33">
        <w:rPr>
          <w:rFonts w:ascii="Arial" w:hAnsi="Arial" w:cs="Arial"/>
          <w:color w:val="000000"/>
        </w:rPr>
        <w:t>Recent high-profile cases have highlighted how breaches of ethical duty can undermine the public's confidence in the police. A flurry of scandals has emerged involving different police forces. In 2021, for example, two Met police officers were found guilty of gross misconduct after taking and sharing photos of the dead bodies of two murdered sisters; bodies they had a duty to protect</w:t>
      </w:r>
      <w:r w:rsidRPr="00225B33">
        <w:rPr>
          <w:rFonts w:ascii="Arial" w:hAnsi="Arial" w:cs="Arial"/>
        </w:rPr>
        <w:t xml:space="preserve"> (Sky News, 2021). As of April 2023, an investigation was still ongoing into inappropriate activities revealed in material shared between several former and serving officers in Gwent police. Misconduct notices have also been served on officers who were part of the group chat, but failed to raise any issue with the content being posted (IOPC, 2023). This second example in particular demonstrates how easy it can be to ignore low level ethical breaches, with a resulting failure to stop it before it escalates into accepted culture and becomes harder to report, even just as a ‘bystander’, something also suggested in the Westmarland and Conway study discussed below. Understandably, the media response to these cases has been scathing. Despite only a small proportion of the total service being involved and the relevant officers being investigated and dealt with accordingly, these scandals have severely damaged the public’s perception of every officer and trust in the police. </w:t>
      </w:r>
    </w:p>
    <w:p w14:paraId="325D0403" w14:textId="1377DB78" w:rsidR="00225B33" w:rsidRPr="00225B33" w:rsidRDefault="00225B33" w:rsidP="00752604">
      <w:pPr>
        <w:pStyle w:val="NormalWeb"/>
        <w:spacing w:before="0" w:beforeAutospacing="0" w:after="160" w:afterAutospacing="0"/>
        <w:jc w:val="both"/>
        <w:rPr>
          <w:rFonts w:ascii="Arial" w:hAnsi="Arial" w:cs="Arial"/>
        </w:rPr>
      </w:pPr>
      <w:r w:rsidRPr="00225B33">
        <w:rPr>
          <w:rFonts w:ascii="Arial" w:hAnsi="Arial" w:cs="Arial"/>
          <w:color w:val="000000"/>
        </w:rPr>
        <w:t xml:space="preserve">This also highlights another issue: the so-called ‘blue code’ of silence. </w:t>
      </w:r>
      <w:r w:rsidRPr="00225B33">
        <w:rPr>
          <w:rFonts w:ascii="Arial" w:hAnsi="Arial" w:cs="Arial"/>
        </w:rPr>
        <w:t>The blue code is an (alleged) unspoken rule within the police that any wrongdoing by officers is not reported, therefore protecting the misbehaving officer. The phenomenon was studied in 2018 (Westmarland and Conway, 2020). It is often suggested in the media that it happens because of officers closing ranks or failing to see that such behaviour is wrong, but the study suggests that the ‘blue code’ arises not because of loyalty towards the officer in the wrong, but out of fear of being labelled a ‘</w:t>
      </w:r>
      <w:r w:rsidR="000B43A2" w:rsidRPr="00225B33">
        <w:rPr>
          <w:rFonts w:ascii="Arial" w:hAnsi="Arial" w:cs="Arial"/>
        </w:rPr>
        <w:t>grass’ and</w:t>
      </w:r>
      <w:r w:rsidRPr="00225B33">
        <w:rPr>
          <w:rFonts w:ascii="Arial" w:hAnsi="Arial" w:cs="Arial"/>
        </w:rPr>
        <w:t xml:space="preserve"> sidelined or punished by those with rank for speaking out. The study, which took responses from three police forces, showed consistently that officers at junior level reported less willingness to report breaches they had witnessed. The natural inference is that these officers are more nervous and therefore less likely to report any breaches of the code of conduct or of the law, than officers of higher rank or longer service. The study's results also demonstrated that breaches considered less severe were less likely to be reported whereas things considered more serious were more likely to be reported. This is concerning as it creates a cover-up culture; forces could end up with a concentration of longer serving officers, making decisions which affect us all, who have long got away with poor conduct. Also, where officers have been complicit in a cover-up, they are open to manipulation by wrong-doers in the future. As a matter of practical application, both in reducing breaches and raising public trust, this clearly demonstrates that having a Code of Ethics alone is not enough. There need to be robust protections for people, especially junior officers, who are brave enough to call out others for their substandard behaviour and actions which contravene the Code of Ethics, without fear of a subtle backlash from officers reported.</w:t>
      </w:r>
    </w:p>
    <w:p w14:paraId="356FA80E" w14:textId="47FB66C8" w:rsidR="00225B33" w:rsidRPr="00225B33" w:rsidRDefault="00225B33" w:rsidP="00752604">
      <w:pPr>
        <w:pStyle w:val="NormalWeb"/>
        <w:spacing w:before="0" w:beforeAutospacing="0" w:after="160" w:afterAutospacing="0"/>
        <w:jc w:val="both"/>
        <w:rPr>
          <w:rFonts w:ascii="Arial" w:hAnsi="Arial" w:cs="Arial"/>
        </w:rPr>
      </w:pPr>
      <w:r w:rsidRPr="00225B33">
        <w:rPr>
          <w:rFonts w:ascii="Arial" w:hAnsi="Arial" w:cs="Arial"/>
          <w:color w:val="000000"/>
        </w:rPr>
        <w:t xml:space="preserve">The importance of the Code is highlighted by research suggesting that “trust in the police is more highly correlated with perceptions of fairness than with perceptions of effectiveness” </w:t>
      </w:r>
      <w:r w:rsidRPr="00225B33">
        <w:rPr>
          <w:rFonts w:ascii="Arial" w:hAnsi="Arial" w:cs="Arial"/>
        </w:rPr>
        <w:t xml:space="preserve">(Brown and Hobbs, 2023). Certainly, public confidence is only partly shaped by officers acting within the code; other factors also have an impact - for example, decisions made for operational reasons or legal reasons may not be accepted by the public. (Bruce-Smith et al., 2023). The outrage over the Sarah Everard case, for instance, was over failures in policing as </w:t>
      </w:r>
      <w:r w:rsidRPr="00225B33">
        <w:rPr>
          <w:rFonts w:ascii="Arial" w:hAnsi="Arial" w:cs="Arial"/>
        </w:rPr>
        <w:lastRenderedPageBreak/>
        <w:t>well as failures of ethics. Some of the sorts of breaches that impact public opinion are more subtle than would reach the threshold in the code. For example, misogyny and racism. There is no specific reference to either of these behaviours in the Code of Ethics, other than to consider protected characteristics. The Casey Review highlighted that, in reference to sexism against women, ‘these behaviours are routinely accepted and seen as ‘just the way things are’ and women are expected to put up with it.’ (Casey, 2023) (p267). The behaviours referred to included unwanted attention and inappropriate sexual comments. It is therefore unsurprising that only when something extremely serious, such as the Sarah Everard case, happens, that the day-to-day breaches of the Code that built up to it come to light. On this basis, it is fair to say the Code of Ethics can only go so far in both raising public confidence and preventing professional misconduct.</w:t>
      </w:r>
    </w:p>
    <w:p w14:paraId="178EE712" w14:textId="77777777" w:rsidR="00225B33" w:rsidRPr="00225B33" w:rsidRDefault="00225B33" w:rsidP="00752604">
      <w:pPr>
        <w:pStyle w:val="NormalWeb"/>
        <w:spacing w:before="0" w:beforeAutospacing="0" w:after="160" w:afterAutospacing="0"/>
        <w:jc w:val="both"/>
        <w:rPr>
          <w:rFonts w:ascii="Arial" w:hAnsi="Arial" w:cs="Arial"/>
        </w:rPr>
      </w:pPr>
      <w:r w:rsidRPr="00225B33">
        <w:rPr>
          <w:rFonts w:ascii="Arial" w:hAnsi="Arial" w:cs="Arial"/>
          <w:color w:val="000000"/>
        </w:rPr>
        <w:t>What the Code of Ethics does do, is give newer officers a framework on which they can judge their own and their colleagues’ actions. It provides an understanding of what is wrong and what standards are expected and without it, the wrong behaviour would go unchecked entirely. In some cases, it may give officers the confidence to call out misconduct, or at the very least register wrong-doing. It was heartening to notice in Westmarland that most officers would report all the breaches suggested. The Code is therefore an excellent starting point for building trust and confidence in a police force that abides by rules aimed at fairness. </w:t>
      </w:r>
    </w:p>
    <w:p w14:paraId="60436A0A" w14:textId="6C68B0F4" w:rsidR="00225B33" w:rsidRPr="00225B33" w:rsidRDefault="00225B33" w:rsidP="00752604">
      <w:pPr>
        <w:pStyle w:val="NormalWeb"/>
        <w:spacing w:before="0" w:beforeAutospacing="0" w:after="160" w:afterAutospacing="0"/>
        <w:jc w:val="both"/>
        <w:rPr>
          <w:rFonts w:ascii="Arial" w:hAnsi="Arial" w:cs="Arial"/>
        </w:rPr>
      </w:pPr>
      <w:r w:rsidRPr="00225B33">
        <w:rPr>
          <w:rFonts w:ascii="Arial" w:hAnsi="Arial" w:cs="Arial"/>
          <w:b/>
          <w:bCs/>
          <w:color w:val="000000"/>
        </w:rPr>
        <w:t>Word count: 91</w:t>
      </w:r>
      <w:r w:rsidR="000B43A2">
        <w:rPr>
          <w:rFonts w:ascii="Arial" w:hAnsi="Arial" w:cs="Arial"/>
          <w:b/>
          <w:bCs/>
          <w:color w:val="000000"/>
        </w:rPr>
        <w:t>9</w:t>
      </w:r>
    </w:p>
    <w:p w14:paraId="1547ECEF" w14:textId="77777777" w:rsidR="00225B33" w:rsidRPr="00225B33" w:rsidRDefault="00225B33" w:rsidP="00752604">
      <w:pPr>
        <w:spacing w:after="240"/>
        <w:jc w:val="both"/>
        <w:rPr>
          <w:rFonts w:ascii="Arial" w:eastAsia="Times New Roman" w:hAnsi="Arial" w:cs="Arial"/>
        </w:rPr>
      </w:pP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p>
    <w:p w14:paraId="2C7BF4DA" w14:textId="77777777" w:rsidR="00225B33" w:rsidRDefault="00225B33" w:rsidP="00752604">
      <w:pPr>
        <w:spacing w:after="160" w:line="259" w:lineRule="auto"/>
        <w:jc w:val="both"/>
        <w:rPr>
          <w:rFonts w:ascii="Arial" w:hAnsi="Arial" w:cs="Arial"/>
          <w:b/>
          <w:bCs/>
          <w:color w:val="000000"/>
        </w:rPr>
      </w:pPr>
      <w:r>
        <w:rPr>
          <w:rFonts w:ascii="Arial" w:hAnsi="Arial" w:cs="Arial"/>
          <w:b/>
          <w:bCs/>
          <w:color w:val="000000"/>
        </w:rPr>
        <w:br w:type="page"/>
      </w:r>
    </w:p>
    <w:p w14:paraId="03594480" w14:textId="5EA9A06A" w:rsidR="00225B33" w:rsidRPr="00225B33" w:rsidRDefault="00225B33" w:rsidP="00752604">
      <w:pPr>
        <w:pStyle w:val="NormalWeb"/>
        <w:spacing w:before="0" w:beforeAutospacing="0" w:after="0" w:afterAutospacing="0"/>
        <w:jc w:val="both"/>
        <w:rPr>
          <w:rFonts w:ascii="Arial" w:hAnsi="Arial" w:cs="Arial"/>
          <w:u w:val="single"/>
        </w:rPr>
      </w:pPr>
      <w:r w:rsidRPr="00225B33">
        <w:rPr>
          <w:rFonts w:ascii="Arial" w:hAnsi="Arial" w:cs="Arial"/>
          <w:b/>
          <w:bCs/>
          <w:color w:val="000000"/>
          <w:u w:val="single"/>
        </w:rPr>
        <w:lastRenderedPageBreak/>
        <w:t>Essay two:</w:t>
      </w:r>
    </w:p>
    <w:p w14:paraId="12A59468"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b/>
          <w:bCs/>
          <w:color w:val="000000"/>
        </w:rPr>
        <w:t>How effective is a multi-agency approach as a means of managing violent and sexual</w:t>
      </w:r>
    </w:p>
    <w:p w14:paraId="753B0C34"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b/>
          <w:bCs/>
          <w:color w:val="000000"/>
        </w:rPr>
        <w:t>offenders?</w:t>
      </w:r>
    </w:p>
    <w:p w14:paraId="3456C849" w14:textId="77777777" w:rsidR="00225B33" w:rsidRPr="00225B33" w:rsidRDefault="00225B33" w:rsidP="00752604">
      <w:pPr>
        <w:jc w:val="both"/>
        <w:rPr>
          <w:rFonts w:ascii="Arial" w:eastAsia="Times New Roman" w:hAnsi="Arial" w:cs="Arial"/>
        </w:rPr>
      </w:pPr>
    </w:p>
    <w:p w14:paraId="004E7450" w14:textId="35D7234E"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Multi-agency working began in the 1980’s with the idea that preventing crime is an issue for the ‘whole community’ (Davies, 2022). It was further embedded through the 1990</w:t>
      </w:r>
      <w:r w:rsidR="000B43A2">
        <w:rPr>
          <w:rFonts w:ascii="Arial" w:hAnsi="Arial" w:cs="Arial"/>
          <w:color w:val="000000"/>
        </w:rPr>
        <w:t>’</w:t>
      </w:r>
      <w:r w:rsidRPr="00225B33">
        <w:rPr>
          <w:rFonts w:ascii="Arial" w:hAnsi="Arial" w:cs="Arial"/>
          <w:color w:val="000000"/>
        </w:rPr>
        <w:t>s and acquired statutory status in 1998 under the Crime and Disorder Act. In relation specifically to the management of sexual and violent offenders, The Criminal Justice Act 2003 established Multi-Agency Public Protection Arrangements (“MAPPA”) across England and Wales. </w:t>
      </w:r>
    </w:p>
    <w:p w14:paraId="5CD0C1BB" w14:textId="77777777" w:rsidR="00225B33" w:rsidRPr="00225B33" w:rsidRDefault="00225B33" w:rsidP="00752604">
      <w:pPr>
        <w:jc w:val="both"/>
        <w:rPr>
          <w:rFonts w:ascii="Arial" w:eastAsia="Times New Roman" w:hAnsi="Arial" w:cs="Arial"/>
        </w:rPr>
      </w:pPr>
    </w:p>
    <w:p w14:paraId="4FA50444" w14:textId="4E04BAFC"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Good practice in this area requires MAPPAs to manage offenders on four main pillars:</w:t>
      </w:r>
      <w:r>
        <w:rPr>
          <w:rFonts w:ascii="Arial" w:hAnsi="Arial" w:cs="Arial"/>
          <w:color w:val="000000"/>
        </w:rPr>
        <w:t xml:space="preserve"> </w:t>
      </w:r>
      <w:r w:rsidRPr="00225B33">
        <w:rPr>
          <w:rFonts w:ascii="Arial" w:hAnsi="Arial" w:cs="Arial"/>
          <w:color w:val="000000"/>
        </w:rPr>
        <w:t>Supervision; Monitoring &amp; Control; Interventions and Treatment; and Victim Safety Planning. The framework sets out three categories of offenders (Category 1: Sex Offenders, Category 2</w:t>
      </w:r>
      <w:r w:rsidR="000B43A2">
        <w:rPr>
          <w:rFonts w:ascii="Arial" w:hAnsi="Arial" w:cs="Arial"/>
          <w:color w:val="000000"/>
        </w:rPr>
        <w:t>:</w:t>
      </w:r>
      <w:r w:rsidRPr="00225B33">
        <w:rPr>
          <w:rFonts w:ascii="Arial" w:hAnsi="Arial" w:cs="Arial"/>
          <w:color w:val="000000"/>
        </w:rPr>
        <w:t xml:space="preserve"> Violent Offenders, and Category 3: Special cases) who will be managed, on three levels of increasing intervention. There are around 65,000 category 1 offenders, 23,000 category 2 and under 500 Category 3 offenders. </w:t>
      </w:r>
    </w:p>
    <w:p w14:paraId="08A18B0F" w14:textId="77777777" w:rsidR="00225B33" w:rsidRPr="00225B33" w:rsidRDefault="00225B33" w:rsidP="00752604">
      <w:pPr>
        <w:jc w:val="both"/>
        <w:rPr>
          <w:rFonts w:ascii="Arial" w:eastAsia="Times New Roman" w:hAnsi="Arial" w:cs="Arial"/>
        </w:rPr>
      </w:pPr>
    </w:p>
    <w:p w14:paraId="38607692"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There has been a continual process of review of the MAPPA framework since its inception, with reviews being both qualitative and quantitative. One of the most comprehensive such reviews, by the Police Foundation in 2016 (Hales and Higgins, 2016), found that “multi-agency working is now close to the mainstream of local policing” and that despite the funding challenges brought by austerity, all agencies “committed to facing these challenges”. Nonetheless, this report highlighted a range of problems. One fairly typical reported comment was that “funding’s cut, staffing’s cut, there are less staff doing the same amount of work. A lot of agencies can’t get to the meetings…so you don’t have that networking part as well” (p3). </w:t>
      </w:r>
    </w:p>
    <w:p w14:paraId="67B19AC0" w14:textId="77777777" w:rsidR="00225B33" w:rsidRPr="00225B33" w:rsidRDefault="00225B33" w:rsidP="00752604">
      <w:pPr>
        <w:jc w:val="both"/>
        <w:rPr>
          <w:rFonts w:ascii="Arial" w:eastAsia="Times New Roman" w:hAnsi="Arial" w:cs="Arial"/>
        </w:rPr>
      </w:pPr>
    </w:p>
    <w:p w14:paraId="238A9E2E"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Beyond funding issues, the report also drew together a number of other studies and drew attention to “very positive qualitative appraisals from those involved, but… little outcome data”. In other words, those participating felt that it was working, but could not vouch for actual effectiveness in reducing re-offending. Weak evidence of a small drop in offending found in one study (Peck, 2011) did not demonstrate a causal link. The report concludes that there is a “paradox of evidence and orthodoxy”: that people believed that multi agency partnership worked, even without sound evidence. The report concludes that “Those operating such schemes should seek out robust evaluation” of their effectiveness. It also made a series of other recommendations. </w:t>
      </w:r>
    </w:p>
    <w:p w14:paraId="17E309CE" w14:textId="77777777" w:rsidR="00225B33" w:rsidRPr="00225B33" w:rsidRDefault="00225B33" w:rsidP="00752604">
      <w:pPr>
        <w:jc w:val="both"/>
        <w:rPr>
          <w:rFonts w:ascii="Arial" w:eastAsia="Times New Roman" w:hAnsi="Arial" w:cs="Arial"/>
        </w:rPr>
      </w:pPr>
    </w:p>
    <w:p w14:paraId="7BFBD50F"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In 2021 research began, carried out by Anglia Ruskin University. This report, in 2023, gave some evidential basis for the value placed by practitioners on the MAPPA process. It found, for example, a “significantly lower” than expected reoffending rate among those who had been under a MAPPA. This was particularly the case for those not subject to immediate custodial sentences, but the report also found that in more serious cases, reincarceration was more likely, indicating that even if it did not prevent offenders from re-offending, it did make it more likely that they would be removed from society. (Lundrigan, Mann and Specht, 2023) (Proven Reoffending Report, p21).</w:t>
      </w:r>
    </w:p>
    <w:p w14:paraId="0729AD9E" w14:textId="77777777" w:rsidR="00225B33" w:rsidRPr="00225B33" w:rsidRDefault="00225B33" w:rsidP="00752604">
      <w:pPr>
        <w:jc w:val="both"/>
        <w:rPr>
          <w:rFonts w:ascii="Arial" w:eastAsia="Times New Roman" w:hAnsi="Arial" w:cs="Arial"/>
        </w:rPr>
      </w:pPr>
    </w:p>
    <w:p w14:paraId="64F641F7"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This was even more impressive given the huge obstacles in the way of effective offender management. For example, this report found several areas where multi-agency working was failing to manage offenders. </w:t>
      </w:r>
    </w:p>
    <w:p w14:paraId="564D8A14" w14:textId="77777777" w:rsidR="00225B33" w:rsidRPr="00225B33" w:rsidRDefault="00225B33" w:rsidP="00752604">
      <w:pPr>
        <w:jc w:val="both"/>
        <w:rPr>
          <w:rFonts w:ascii="Arial" w:eastAsia="Times New Roman" w:hAnsi="Arial" w:cs="Arial"/>
        </w:rPr>
      </w:pPr>
    </w:p>
    <w:p w14:paraId="77B709F0" w14:textId="0719C39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 xml:space="preserve">One of the most glaringly obvious was that despite several years of attempts, probation officers in particular did not have uniform or adequate access to ViSOR, an information sharing system on sex offenders. Some officers had no access at all; others had read-only access and so could not add things that they had learned to the system to be shared with others in the team (Lundigran, Mann, 2023) (Process Effectiveness Report). This was exacerbated by the </w:t>
      </w:r>
      <w:r w:rsidRPr="00225B33">
        <w:rPr>
          <w:rFonts w:ascii="Arial" w:hAnsi="Arial" w:cs="Arial"/>
          <w:color w:val="000000"/>
        </w:rPr>
        <w:lastRenderedPageBreak/>
        <w:t xml:space="preserve">fact that Probation Officers were working from home in the COVID </w:t>
      </w:r>
      <w:r w:rsidR="000B43A2" w:rsidRPr="00225B33">
        <w:rPr>
          <w:rFonts w:ascii="Arial" w:hAnsi="Arial" w:cs="Arial"/>
          <w:color w:val="000000"/>
        </w:rPr>
        <w:t>pandemic,</w:t>
      </w:r>
      <w:r w:rsidRPr="00225B33">
        <w:rPr>
          <w:rFonts w:ascii="Arial" w:hAnsi="Arial" w:cs="Arial"/>
          <w:color w:val="000000"/>
        </w:rPr>
        <w:t xml:space="preserve"> and many were using their own IT equipment. </w:t>
      </w:r>
    </w:p>
    <w:p w14:paraId="440532E0" w14:textId="77777777" w:rsidR="00225B33" w:rsidRPr="00225B33" w:rsidRDefault="00225B33" w:rsidP="00752604">
      <w:pPr>
        <w:jc w:val="both"/>
        <w:rPr>
          <w:rFonts w:ascii="Arial" w:eastAsia="Times New Roman" w:hAnsi="Arial" w:cs="Arial"/>
        </w:rPr>
      </w:pPr>
    </w:p>
    <w:p w14:paraId="167D8A6D"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Another issue was the lack of training or learning from mistakes. 45% of respondents interviewed felt under-trained (p46). A serious weakness was that Serious Case Reviews after a major re-offence were not made public, with a culture of personal accountability and a burdensome process being identified as barriers to learning lessons and applying them (p44). Agencies did not understand each other’s roles, responsibilities or capacity (p41) and some did not understand relevant legislation (p42). </w:t>
      </w:r>
    </w:p>
    <w:p w14:paraId="69344346" w14:textId="77777777" w:rsidR="00225B33" w:rsidRPr="00225B33" w:rsidRDefault="00225B33" w:rsidP="00752604">
      <w:pPr>
        <w:jc w:val="both"/>
        <w:rPr>
          <w:rFonts w:ascii="Arial" w:eastAsia="Times New Roman" w:hAnsi="Arial" w:cs="Arial"/>
        </w:rPr>
      </w:pPr>
    </w:p>
    <w:p w14:paraId="1505BFCE" w14:textId="2A57DE90"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Then there are places where offenders fell between gaps. One area causing particular issues was housing. Housing officers were understandably reluctant to house sex offenders in family estates; at the same time, this meant that these offenders simply disappeared, because they were unhoused, or would be moved to accommodation provided in a different area and passed to a new MAPPA team</w:t>
      </w:r>
      <w:r w:rsidR="000B43A2">
        <w:rPr>
          <w:rFonts w:ascii="Arial" w:hAnsi="Arial" w:cs="Arial"/>
          <w:color w:val="000000"/>
        </w:rPr>
        <w:t xml:space="preserve"> </w:t>
      </w:r>
      <w:r w:rsidRPr="00225B33">
        <w:rPr>
          <w:rFonts w:ascii="Arial" w:hAnsi="Arial" w:cs="Arial"/>
          <w:color w:val="000000"/>
        </w:rPr>
        <w:t>(p35)</w:t>
      </w:r>
      <w:r w:rsidR="000B43A2">
        <w:rPr>
          <w:rFonts w:ascii="Arial" w:hAnsi="Arial" w:cs="Arial"/>
          <w:color w:val="000000"/>
        </w:rPr>
        <w:t>.</w:t>
      </w:r>
    </w:p>
    <w:p w14:paraId="189C007B" w14:textId="77777777" w:rsidR="00225B33" w:rsidRPr="00225B33" w:rsidRDefault="00225B33" w:rsidP="00752604">
      <w:pPr>
        <w:jc w:val="both"/>
        <w:rPr>
          <w:rFonts w:ascii="Arial" w:eastAsia="Times New Roman" w:hAnsi="Arial" w:cs="Arial"/>
        </w:rPr>
      </w:pPr>
    </w:p>
    <w:p w14:paraId="33CB1C77" w14:textId="0802149B"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This in turn leads to another issue: because there is no national protocol and no formal handover process, an offender moves from one area to another without prior notice or time to prepare. In one instance, the risk was so poorly understood that a violent offender had been placed in a shared house and had murdered another occupant (p38). Not all areas implemented the four pillars, even, and the result of shifting offenders on the basis of housing availability was to make poorer areas a sink for offenders, overloading the systems there. </w:t>
      </w:r>
    </w:p>
    <w:p w14:paraId="120FDA66" w14:textId="77777777" w:rsidR="00225B33" w:rsidRPr="00225B33" w:rsidRDefault="00225B33" w:rsidP="00752604">
      <w:pPr>
        <w:jc w:val="both"/>
        <w:rPr>
          <w:rFonts w:ascii="Arial" w:eastAsia="Times New Roman" w:hAnsi="Arial" w:cs="Arial"/>
        </w:rPr>
      </w:pPr>
    </w:p>
    <w:p w14:paraId="053A3461" w14:textId="19FCD28D"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 xml:space="preserve">Similar inconsistencies arose in transferring offenders from the Youth Offending </w:t>
      </w:r>
      <w:r w:rsidR="000B43A2">
        <w:rPr>
          <w:rFonts w:ascii="Arial" w:hAnsi="Arial" w:cs="Arial"/>
          <w:color w:val="000000"/>
        </w:rPr>
        <w:t>T</w:t>
      </w:r>
      <w:r w:rsidRPr="00225B33">
        <w:rPr>
          <w:rFonts w:ascii="Arial" w:hAnsi="Arial" w:cs="Arial"/>
          <w:color w:val="000000"/>
        </w:rPr>
        <w:t>eam to adult probation. The change in culture meant that this was a shock to the offender, with a “cliff-edge” at 18 and many YOT officers feeling that they had “set [offenders] up to fail” because of the shift from all-encompassing care to an adult regime</w:t>
      </w:r>
      <w:r w:rsidR="000B43A2">
        <w:rPr>
          <w:rFonts w:ascii="Arial" w:hAnsi="Arial" w:cs="Arial"/>
          <w:color w:val="000000"/>
        </w:rPr>
        <w:t xml:space="preserve"> </w:t>
      </w:r>
      <w:r w:rsidRPr="00225B33">
        <w:rPr>
          <w:rFonts w:ascii="Arial" w:hAnsi="Arial" w:cs="Arial"/>
          <w:color w:val="000000"/>
        </w:rPr>
        <w:t>(p37). </w:t>
      </w:r>
    </w:p>
    <w:p w14:paraId="24F81EFE" w14:textId="77777777" w:rsidR="00225B33" w:rsidRPr="00225B33" w:rsidRDefault="00225B33" w:rsidP="00752604">
      <w:pPr>
        <w:jc w:val="both"/>
        <w:rPr>
          <w:rFonts w:ascii="Arial" w:eastAsia="Times New Roman" w:hAnsi="Arial" w:cs="Arial"/>
        </w:rPr>
      </w:pPr>
    </w:p>
    <w:p w14:paraId="5DC9C120"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What is interesting about reading these two reports is that the issues highlighted in 2016 remain in 2021. The 2016 report recommended more unified command, more consistent structures, and clarity about roles (p12-13). These are the issues that the 2021 study, reporting in 2023, still finds, albeit with the finding that MAPPAs are having some effect on outcomes. </w:t>
      </w:r>
    </w:p>
    <w:p w14:paraId="2002D413" w14:textId="77777777" w:rsidR="00225B33" w:rsidRPr="00225B33" w:rsidRDefault="00225B33" w:rsidP="00752604">
      <w:pPr>
        <w:jc w:val="both"/>
        <w:rPr>
          <w:rFonts w:ascii="Arial" w:eastAsia="Times New Roman" w:hAnsi="Arial" w:cs="Arial"/>
        </w:rPr>
      </w:pPr>
    </w:p>
    <w:p w14:paraId="278EA283" w14:textId="4B4BF951"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In conclusion, therefore, the multi</w:t>
      </w:r>
      <w:r w:rsidR="000B43A2">
        <w:rPr>
          <w:rFonts w:ascii="Arial" w:hAnsi="Arial" w:cs="Arial"/>
          <w:color w:val="000000"/>
        </w:rPr>
        <w:t>-</w:t>
      </w:r>
      <w:r w:rsidRPr="00225B33">
        <w:rPr>
          <w:rFonts w:ascii="Arial" w:hAnsi="Arial" w:cs="Arial"/>
          <w:color w:val="000000"/>
        </w:rPr>
        <w:t xml:space="preserve">agency approach </w:t>
      </w:r>
      <w:r w:rsidR="006D789A">
        <w:rPr>
          <w:rFonts w:ascii="Arial" w:hAnsi="Arial" w:cs="Arial"/>
          <w:color w:val="000000"/>
        </w:rPr>
        <w:t>can be</w:t>
      </w:r>
      <w:r w:rsidRPr="00225B33">
        <w:rPr>
          <w:rFonts w:ascii="Arial" w:hAnsi="Arial" w:cs="Arial"/>
          <w:color w:val="000000"/>
        </w:rPr>
        <w:t xml:space="preserve"> effective, but is nowhere near as effective as it could be, if the processes involved were properly reviewed and implemented as recommended in these two reports. </w:t>
      </w:r>
    </w:p>
    <w:p w14:paraId="25FD4B9D" w14:textId="77777777" w:rsidR="00225B33" w:rsidRPr="00225B33" w:rsidRDefault="00225B33" w:rsidP="00752604">
      <w:pPr>
        <w:jc w:val="both"/>
        <w:rPr>
          <w:rFonts w:ascii="Arial" w:eastAsia="Times New Roman" w:hAnsi="Arial" w:cs="Arial"/>
        </w:rPr>
      </w:pPr>
    </w:p>
    <w:p w14:paraId="014A9F94" w14:textId="31626183"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b/>
          <w:bCs/>
          <w:color w:val="000000"/>
        </w:rPr>
        <w:t>Word count: 9</w:t>
      </w:r>
      <w:r w:rsidR="006D789A">
        <w:rPr>
          <w:rFonts w:ascii="Arial" w:hAnsi="Arial" w:cs="Arial"/>
          <w:b/>
          <w:bCs/>
          <w:color w:val="000000"/>
        </w:rPr>
        <w:t>80</w:t>
      </w:r>
    </w:p>
    <w:p w14:paraId="4708886A" w14:textId="77777777" w:rsidR="00225B33" w:rsidRDefault="00225B33" w:rsidP="00752604">
      <w:pPr>
        <w:spacing w:after="240"/>
        <w:jc w:val="both"/>
        <w:rPr>
          <w:rFonts w:ascii="Arial" w:eastAsia="Times New Roman" w:hAnsi="Arial" w:cs="Arial"/>
        </w:rPr>
      </w:pP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p>
    <w:p w14:paraId="3EFAC054" w14:textId="77777777" w:rsidR="000B43A2" w:rsidRDefault="000B43A2" w:rsidP="00752604">
      <w:pPr>
        <w:jc w:val="both"/>
        <w:rPr>
          <w:rFonts w:ascii="Arial" w:hAnsi="Arial" w:cs="Arial"/>
          <w:b/>
          <w:bCs/>
          <w:color w:val="000000"/>
          <w:u w:val="single"/>
        </w:rPr>
      </w:pPr>
    </w:p>
    <w:p w14:paraId="607ACC30" w14:textId="6A439D69" w:rsidR="00225B33" w:rsidRPr="00225B33" w:rsidRDefault="00225B33" w:rsidP="00752604">
      <w:pPr>
        <w:jc w:val="both"/>
        <w:rPr>
          <w:rFonts w:ascii="Arial" w:eastAsia="Times New Roman" w:hAnsi="Arial" w:cs="Arial"/>
          <w:u w:val="single"/>
        </w:rPr>
      </w:pPr>
      <w:r w:rsidRPr="00225B33">
        <w:rPr>
          <w:rFonts w:ascii="Arial" w:hAnsi="Arial" w:cs="Arial"/>
          <w:b/>
          <w:bCs/>
          <w:color w:val="000000"/>
          <w:u w:val="single"/>
        </w:rPr>
        <w:lastRenderedPageBreak/>
        <w:t>Essay three:</w:t>
      </w:r>
    </w:p>
    <w:p w14:paraId="61F825AA"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b/>
          <w:bCs/>
          <w:color w:val="000000"/>
        </w:rPr>
        <w:t>To what extent is ‘lifestyle’ theory an accurate reflection of what makes certain people</w:t>
      </w:r>
    </w:p>
    <w:p w14:paraId="57F1B220" w14:textId="0FCBB59F"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b/>
          <w:bCs/>
          <w:color w:val="000000"/>
        </w:rPr>
        <w:t>vulnerable to becoming a victim of Serious and Organised Crime?</w:t>
      </w:r>
    </w:p>
    <w:p w14:paraId="6E4B6B8F" w14:textId="77777777" w:rsidR="00225B33" w:rsidRPr="00225B33" w:rsidRDefault="00225B33" w:rsidP="00752604">
      <w:pPr>
        <w:jc w:val="both"/>
        <w:rPr>
          <w:rFonts w:ascii="Arial" w:eastAsia="Times New Roman" w:hAnsi="Arial" w:cs="Arial"/>
        </w:rPr>
      </w:pPr>
    </w:p>
    <w:p w14:paraId="5E6A4967"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Victimology - the study of why particular people become vulnerable - is most often seen in the context of crimes against the person, petty or street theft and burglary. However, Serious and Organised Crime (SOC) has victims too, and disrupting SOC requires working to identify potential or current victims, as can be seen from the Government’s 2013 SOC Strategy (Home Secretary, 2013).</w:t>
      </w:r>
    </w:p>
    <w:p w14:paraId="2E8EE962" w14:textId="77777777" w:rsidR="00225B33" w:rsidRPr="00225B33" w:rsidRDefault="00225B33" w:rsidP="00752604">
      <w:pPr>
        <w:jc w:val="both"/>
        <w:rPr>
          <w:rFonts w:ascii="Arial" w:eastAsia="Times New Roman" w:hAnsi="Arial" w:cs="Arial"/>
        </w:rPr>
      </w:pPr>
    </w:p>
    <w:p w14:paraId="3B9C1CD5"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Victims of SOC are as diverse as the crimes themselves: they include trafficked individuals, businesses and individuals subject to fraud, sexually exploited children, and those, especially children, recruited into drug dealing and terrorism. The common thread that links these victims is that they are selected not by opportunistic criminals but by organised groups. </w:t>
      </w:r>
    </w:p>
    <w:p w14:paraId="6F0AF51D" w14:textId="77777777" w:rsidR="00225B33" w:rsidRPr="00225B33" w:rsidRDefault="00225B33" w:rsidP="00752604">
      <w:pPr>
        <w:jc w:val="both"/>
        <w:rPr>
          <w:rFonts w:ascii="Arial" w:eastAsia="Times New Roman" w:hAnsi="Arial" w:cs="Arial"/>
        </w:rPr>
      </w:pPr>
    </w:p>
    <w:p w14:paraId="126A3C4B"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The Lifestyle theory of victimisation, and the closely associated Routine Activities theory, both seek to assess how individuals become victims of crime by looking at their activities. However, they differ in that Lifestyle theory looks at the probability of becoming a victim, related to the exposure of the individual to “high-risk people, places and times” (Biderman, 1982). Routine Activities theory is more descriptive and rather than predicting victimisation based on risky behaviour, it looks at the “convergence of motivated offenders, suitable targets, and the absence of capable guardians” (Pratt and Turanovic, 2015).</w:t>
      </w:r>
    </w:p>
    <w:p w14:paraId="1097CC4F" w14:textId="77777777" w:rsidR="00225B33" w:rsidRPr="00225B33" w:rsidRDefault="00225B33" w:rsidP="00752604">
      <w:pPr>
        <w:jc w:val="both"/>
        <w:rPr>
          <w:rFonts w:ascii="Arial" w:eastAsia="Times New Roman" w:hAnsi="Arial" w:cs="Arial"/>
        </w:rPr>
      </w:pPr>
    </w:p>
    <w:p w14:paraId="2A85BBFB"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As Pratt, Travis and Turanovic observe, Lifestyle theory is more appropriately applied to personal victimisation. The theory is less applicable to victims of large scale business-targeted SOC. A business conducted over the internet, for example, cannot easily limit the places or times where it might be targeted and is unlikely to be able to spot high-risk people. A strategy to avoid “high risk people, places and times” would probably mean withdrawing from business altogether. This illustrates the difference between the Lifestyle and the Routine Activities theories: a business can dissuade “motivated offenders”, make itself a less “suitable target” and employ a “capable guardian”, so actions based on the Routine Activities theory, even though it is not predictive, can be formulated into a strategy. As Pratt et al say, with regard to individuals, “what advice would victims’ services workers tell their clients? That would be easy: never leave the home, quit your job, avoid the Internet at all costs, stop buying things, and try not to interact with other people” (p345).</w:t>
      </w:r>
    </w:p>
    <w:p w14:paraId="67895862" w14:textId="77777777" w:rsidR="00225B33" w:rsidRPr="00225B33" w:rsidRDefault="00225B33" w:rsidP="00752604">
      <w:pPr>
        <w:jc w:val="both"/>
        <w:rPr>
          <w:rFonts w:ascii="Arial" w:eastAsia="Times New Roman" w:hAnsi="Arial" w:cs="Arial"/>
        </w:rPr>
      </w:pPr>
    </w:p>
    <w:p w14:paraId="1B109D64"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For individual victims of SOC, the Lifestyle model can be helpful to allow agencies to target their efforts to reduce individuals’ suitability as a target, provide a capable guardian, and where possible dissuade motivated offenders. There are significant limitations because of the way the theory assumes that certain activities will correlate with risky behaviour. For example “time outside the home” could be spent in either risky, or non-risky, ways, and in some cases being in the home is a greater risk, but is used as a risk factor for being a victim of crime in an undifferentiated way. Pratt et al list better ways of defining risk factors (at App A).</w:t>
      </w:r>
    </w:p>
    <w:p w14:paraId="6772CD7B" w14:textId="77777777" w:rsidR="00225B33" w:rsidRPr="00225B33" w:rsidRDefault="00225B33" w:rsidP="00752604">
      <w:pPr>
        <w:jc w:val="both"/>
        <w:rPr>
          <w:rFonts w:ascii="Arial" w:eastAsia="Times New Roman" w:hAnsi="Arial" w:cs="Arial"/>
        </w:rPr>
      </w:pPr>
    </w:p>
    <w:p w14:paraId="3A41E4D1"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Even with these adaptations, the Lifestyle theory is of limited use as a way of explaining individual victimisation to SOC. For example, (Reeves et al., 2017) explore vulnerability of children to grooming for Child Sexual Exploitation and to grooming for terrorist activity - both examples of SOC impacting individuals. </w:t>
      </w:r>
    </w:p>
    <w:p w14:paraId="0CF3E671" w14:textId="77777777" w:rsidR="00225B33" w:rsidRPr="00225B33" w:rsidRDefault="00225B33" w:rsidP="00752604">
      <w:pPr>
        <w:jc w:val="both"/>
        <w:rPr>
          <w:rFonts w:ascii="Arial" w:eastAsia="Times New Roman" w:hAnsi="Arial" w:cs="Arial"/>
        </w:rPr>
      </w:pPr>
    </w:p>
    <w:p w14:paraId="03DC3F97"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They note, in particular, the similarities in the way in which grooming works in both cases, with both groups having similar vulnerabilities (being socially isolated, being at a transitional time of life), similar methods being used (flattery, manipulation), similar models (gangs or groups, online approaches) and similar enticements (status, excitement, acceptance) (figure 1). </w:t>
      </w:r>
    </w:p>
    <w:p w14:paraId="338042B9" w14:textId="77777777" w:rsidR="00225B33" w:rsidRPr="00225B33" w:rsidRDefault="00225B33" w:rsidP="00752604">
      <w:pPr>
        <w:jc w:val="both"/>
        <w:rPr>
          <w:rFonts w:ascii="Arial" w:eastAsia="Times New Roman" w:hAnsi="Arial" w:cs="Arial"/>
        </w:rPr>
      </w:pPr>
    </w:p>
    <w:p w14:paraId="5A8C75E4"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lastRenderedPageBreak/>
        <w:t>However, the victims would not in either case necessarily have scored particularly highly on the factors listed in Pratt’s Appendix A prior to being groomed. While the majority of the children subject to CSE had obvious vulnerabilities, (table 1) such as being in care, they did not score more highly than many other young people. For the children studied who were groomed into terrorist activity there were no such clear signs: the girls were from stable families with no obvious connections or signals (table 3) and no warning of their intended action at all. Lifestyle theory is therefore of patchy use here. </w:t>
      </w:r>
    </w:p>
    <w:p w14:paraId="59939EFE" w14:textId="77777777" w:rsidR="00225B33" w:rsidRPr="00225B33" w:rsidRDefault="00225B33" w:rsidP="00752604">
      <w:pPr>
        <w:jc w:val="both"/>
        <w:rPr>
          <w:rFonts w:ascii="Arial" w:eastAsia="Times New Roman" w:hAnsi="Arial" w:cs="Arial"/>
        </w:rPr>
      </w:pPr>
    </w:p>
    <w:p w14:paraId="0F475716"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Another example of individual victimisation of SOC is recruiting children into drug dealing, particularly via ‘County Lines’. It would be natural to expect that there would be strong elements of “high risk people, places and times” in accordance with Lifestyle theory. However, Little and Steinberg, writing in the USA in 2009 (Little and Steinberg, 2006) explored the similarities in psychological and social situations of young drug dealers, which might be expected to correlate to their offending patterns and tendency to become victims of SOC, and found that cohorts of young people broadly matched for Lifestyle factors (low parental monitoring, living in a poor neighbourhood, few local job opportunities, parental drug use or abuse, and high levels of peer group deviance) had widely different offending patterns. Socio-economic factors were important and there was a crucial difference in adolescents’ participation marked by “informal social control of parents, peers, and neighbours”. This suggests something closer to the “guardian absent” model in Routine Activities theory. </w:t>
      </w:r>
    </w:p>
    <w:p w14:paraId="3EE48E2E" w14:textId="77777777" w:rsidR="00225B33" w:rsidRPr="00225B33" w:rsidRDefault="00225B33" w:rsidP="00752604">
      <w:pPr>
        <w:jc w:val="both"/>
        <w:rPr>
          <w:rFonts w:ascii="Arial" w:eastAsia="Times New Roman" w:hAnsi="Arial" w:cs="Arial"/>
        </w:rPr>
      </w:pPr>
    </w:p>
    <w:p w14:paraId="612F5479" w14:textId="4F775396"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More recently in 2021, Professor John Pitts (Pitts, 2021) reports that in the UK, “increasingly [those recruited] are local children with no previous links to welfare or criminal justice agencies”. This report further notes that while policing of high risk places and people in sudden crackdowns has been carried out, this is most often done to generate favourable headlines rather than effective. The methods found to be effective were far more in line with the Routine Activities theory: making victims less attractive by training young people and offering them better alternatives; providing better guardians, for example by mentorship programmes run by a local football club and by “consistent local policing and multi-agency working” as in Operation Ceasefire, trialled in the USA and now in place in parts of the UK. In particular</w:t>
      </w:r>
      <w:r w:rsidR="00A163FD">
        <w:rPr>
          <w:rFonts w:ascii="Arial" w:hAnsi="Arial" w:cs="Arial"/>
          <w:color w:val="000000"/>
        </w:rPr>
        <w:t>,</w:t>
      </w:r>
      <w:r w:rsidRPr="00225B33">
        <w:rPr>
          <w:rFonts w:ascii="Arial" w:hAnsi="Arial" w:cs="Arial"/>
          <w:color w:val="000000"/>
        </w:rPr>
        <w:t xml:space="preserve"> the report drew attention to the need for better guardianship by social services of those who have been picked up once by the justice system and who have drug debts. </w:t>
      </w:r>
    </w:p>
    <w:p w14:paraId="6FC89705" w14:textId="77777777" w:rsidR="00225B33" w:rsidRPr="00225B33" w:rsidRDefault="00225B33" w:rsidP="00752604">
      <w:pPr>
        <w:jc w:val="both"/>
        <w:rPr>
          <w:rFonts w:ascii="Arial" w:eastAsia="Times New Roman" w:hAnsi="Arial" w:cs="Arial"/>
        </w:rPr>
      </w:pPr>
    </w:p>
    <w:p w14:paraId="7D569EB0"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It follows that Lifestyle theory is only a partially successful model for who will become a victim of SOC; it suggests probability only, but a better preventative model is to reduce the number of attractive victims and improve guardianship via mentoring, monitoring and neighbourhood policing. </w:t>
      </w:r>
    </w:p>
    <w:p w14:paraId="7F12BA26" w14:textId="77777777" w:rsidR="00225B33" w:rsidRPr="00225B33" w:rsidRDefault="00225B33" w:rsidP="00752604">
      <w:pPr>
        <w:jc w:val="both"/>
        <w:rPr>
          <w:rFonts w:ascii="Arial" w:eastAsia="Times New Roman" w:hAnsi="Arial" w:cs="Arial"/>
        </w:rPr>
      </w:pPr>
    </w:p>
    <w:p w14:paraId="0C7C3985" w14:textId="44396BEE"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b/>
          <w:bCs/>
          <w:color w:val="000000"/>
        </w:rPr>
        <w:t>Word count: 10</w:t>
      </w:r>
      <w:r w:rsidR="00A163FD">
        <w:rPr>
          <w:rFonts w:ascii="Arial" w:hAnsi="Arial" w:cs="Arial"/>
          <w:b/>
          <w:bCs/>
          <w:color w:val="000000"/>
        </w:rPr>
        <w:t>60</w:t>
      </w:r>
    </w:p>
    <w:p w14:paraId="3AFE2215" w14:textId="77777777" w:rsidR="00225B33" w:rsidRDefault="00225B33" w:rsidP="00752604">
      <w:pPr>
        <w:spacing w:after="240"/>
        <w:jc w:val="both"/>
        <w:rPr>
          <w:rFonts w:ascii="Arial" w:eastAsia="Times New Roman" w:hAnsi="Arial" w:cs="Arial"/>
        </w:rPr>
      </w:pP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r w:rsidRPr="00225B33">
        <w:rPr>
          <w:rFonts w:ascii="Arial" w:eastAsia="Times New Roman" w:hAnsi="Arial" w:cs="Arial"/>
        </w:rPr>
        <w:br/>
      </w:r>
    </w:p>
    <w:p w14:paraId="784A9F51" w14:textId="77777777" w:rsidR="00A163FD" w:rsidRDefault="00A163FD">
      <w:pPr>
        <w:spacing w:after="160" w:line="259" w:lineRule="auto"/>
        <w:rPr>
          <w:rFonts w:ascii="Arial" w:hAnsi="Arial" w:cs="Arial"/>
          <w:b/>
          <w:bCs/>
          <w:color w:val="000000"/>
          <w:u w:val="single"/>
        </w:rPr>
      </w:pPr>
      <w:r>
        <w:rPr>
          <w:rFonts w:ascii="Arial" w:hAnsi="Arial" w:cs="Arial"/>
          <w:b/>
          <w:bCs/>
          <w:color w:val="000000"/>
          <w:u w:val="single"/>
        </w:rPr>
        <w:br w:type="page"/>
      </w:r>
    </w:p>
    <w:p w14:paraId="5A9A639F" w14:textId="69EE5BF4" w:rsidR="00225B33" w:rsidRPr="00225B33" w:rsidRDefault="00225B33" w:rsidP="00752604">
      <w:pPr>
        <w:jc w:val="both"/>
        <w:rPr>
          <w:rFonts w:ascii="Arial" w:eastAsia="Times New Roman" w:hAnsi="Arial" w:cs="Arial"/>
          <w:u w:val="single"/>
        </w:rPr>
      </w:pPr>
      <w:r w:rsidRPr="00225B33">
        <w:rPr>
          <w:rFonts w:ascii="Arial" w:hAnsi="Arial" w:cs="Arial"/>
          <w:b/>
          <w:bCs/>
          <w:color w:val="000000"/>
          <w:u w:val="single"/>
        </w:rPr>
        <w:lastRenderedPageBreak/>
        <w:t>Essay four:</w:t>
      </w:r>
    </w:p>
    <w:p w14:paraId="6FECAD24"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b/>
          <w:bCs/>
          <w:color w:val="000000"/>
        </w:rPr>
        <w:t>Why is a partnership approach the most effective way of preventing re-offending?</w:t>
      </w:r>
    </w:p>
    <w:p w14:paraId="414E79B9" w14:textId="77777777" w:rsidR="00225B33" w:rsidRPr="00225B33" w:rsidRDefault="00225B33" w:rsidP="00752604">
      <w:pPr>
        <w:jc w:val="both"/>
        <w:rPr>
          <w:rFonts w:ascii="Arial" w:eastAsia="Times New Roman" w:hAnsi="Arial" w:cs="Arial"/>
        </w:rPr>
      </w:pPr>
    </w:p>
    <w:p w14:paraId="7AA08E7D"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The Morgan Report (1991) advocated for ‘community safety’ to take the focus off police and onto local authorities working with police. With this shift in focus to things like safer streets, shops and bars, the aim became prevention as much as detection. Effective approaches to preventing re-offending (or recidivism) depend on understanding the causes. Social scientists divide the causes of reoffending into “static” causes (those that cannot be modified, such as age, ethnicity and sex) and “dynamic” ones. Because only the latter can be altered, and because, obviously, the dynamic causes are the variables which account for the fact that (for example) not all young men are offenders, most academic and practical focus is on the dynamic causes of reoffending. </w:t>
      </w:r>
    </w:p>
    <w:p w14:paraId="7C873AE8" w14:textId="77777777" w:rsidR="00225B33" w:rsidRPr="00225B33" w:rsidRDefault="00225B33" w:rsidP="00752604">
      <w:pPr>
        <w:jc w:val="both"/>
        <w:rPr>
          <w:rFonts w:ascii="Arial" w:eastAsia="Times New Roman" w:hAnsi="Arial" w:cs="Arial"/>
        </w:rPr>
      </w:pPr>
    </w:p>
    <w:p w14:paraId="6AEBCCE4" w14:textId="7E5B7A91"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The causes of re-offending, or recidivism, are well studied but remain incompletely understood. A government review of available academic evidence in 2013 (Ministry of Justice, 2013) highlighted that the risk factors for men were different to those for women - for example, time in same sex same age groups was an indicator for reoffending in men, not in women (</w:t>
      </w:r>
      <w:r w:rsidR="00774270">
        <w:rPr>
          <w:rFonts w:ascii="Arial" w:hAnsi="Arial" w:cs="Arial"/>
          <w:color w:val="000000"/>
        </w:rPr>
        <w:t>t</w:t>
      </w:r>
      <w:r w:rsidRPr="00225B33">
        <w:rPr>
          <w:rFonts w:ascii="Arial" w:hAnsi="Arial" w:cs="Arial"/>
          <w:color w:val="000000"/>
        </w:rPr>
        <w:t>able 2.2). Many factors (belief in oneself, having hope, contributing) do not lend themselves to precise numerical analysis, so measuring “effectiveness” may not be able to show a clear causative link between any action taken and those outcomes. </w:t>
      </w:r>
    </w:p>
    <w:p w14:paraId="73203558" w14:textId="77777777" w:rsidR="00225B33" w:rsidRPr="00225B33" w:rsidRDefault="00225B33" w:rsidP="00752604">
      <w:pPr>
        <w:jc w:val="both"/>
        <w:rPr>
          <w:rFonts w:ascii="Arial" w:eastAsia="Times New Roman" w:hAnsi="Arial" w:cs="Arial"/>
        </w:rPr>
      </w:pPr>
    </w:p>
    <w:p w14:paraId="35AB6E2D"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Much of this lack of clarity arises from the way that data is collected. A good example of this is in the systematic review by Yuhnenko et al in 2019 (Yukhnenko, Blackwood and Fazel, 2019) which identifies a series of dynamic risk factors for recidivism but notes that because the definition of a factor such as “mental health problems” might vary across studies, and because it is not clear on the data how recent some issues were (for example, was “substance abuse” a factor over a long time period or at the time of the crime), any inferences drawn can only be quite general. However, the study concludes that major dynamic causes of recidivism are substance misuse, mental health needs, association with antisocial peers, employment problems, low income, and (single) marital status. The study, which reviews others over the preceding decade, also notes that correlation is not causation. For example, “substance misuse” might not in itself be a cause of recidivism, but it might disguise other causes, because those with substance misuse issues are more likely to be involved in drugs, gangs or have poor impulse control. </w:t>
      </w:r>
    </w:p>
    <w:p w14:paraId="0CAE7BE8" w14:textId="77777777" w:rsidR="00225B33" w:rsidRPr="00225B33" w:rsidRDefault="00225B33" w:rsidP="00752604">
      <w:pPr>
        <w:jc w:val="both"/>
        <w:rPr>
          <w:rFonts w:ascii="Arial" w:eastAsia="Times New Roman" w:hAnsi="Arial" w:cs="Arial"/>
        </w:rPr>
      </w:pPr>
    </w:p>
    <w:p w14:paraId="1CD438AB" w14:textId="5F31390E"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The studies show that the factors associated with recidivism are not entirely in the control of the judicial system. They cast doubt on the traditional understanding of the importance of the role of the penal system in preventing reoffending - that the justice system will work by retribution, discouragement, incapacitation or rehabilitation (Bailey, 2007</w:t>
      </w:r>
      <w:hyperlink r:id="rId4" w:history="1">
        <w:r w:rsidRPr="00225B33">
          <w:rPr>
            <w:rStyle w:val="Hyperlink"/>
            <w:rFonts w:ascii="Tahoma" w:hAnsi="Tahoma" w:cs="Tahoma"/>
          </w:rPr>
          <w:t>﻿﻿﻿﻿</w:t>
        </w:r>
      </w:hyperlink>
      <w:r w:rsidRPr="00225B33">
        <w:rPr>
          <w:rFonts w:ascii="Arial" w:hAnsi="Arial" w:cs="Arial"/>
          <w:color w:val="000000"/>
        </w:rPr>
        <w:t xml:space="preserve">). Because the factors that can be altered are lifestyle related, the sorts of measures available as part of sentencing cannot impact them all. </w:t>
      </w:r>
      <w:r w:rsidR="00774270">
        <w:rPr>
          <w:rFonts w:ascii="Arial" w:hAnsi="Arial" w:cs="Arial"/>
          <w:color w:val="000000"/>
        </w:rPr>
        <w:t>S</w:t>
      </w:r>
      <w:r w:rsidRPr="00225B33">
        <w:rPr>
          <w:rFonts w:ascii="Arial" w:hAnsi="Arial" w:cs="Arial"/>
          <w:color w:val="000000"/>
        </w:rPr>
        <w:t>imple call</w:t>
      </w:r>
      <w:r w:rsidR="00774270">
        <w:rPr>
          <w:rFonts w:ascii="Arial" w:hAnsi="Arial" w:cs="Arial"/>
          <w:color w:val="000000"/>
        </w:rPr>
        <w:t>s</w:t>
      </w:r>
      <w:r w:rsidRPr="00225B33">
        <w:rPr>
          <w:rFonts w:ascii="Arial" w:hAnsi="Arial" w:cs="Arial"/>
          <w:color w:val="000000"/>
        </w:rPr>
        <w:t xml:space="preserve"> for “stiffer penalties” is likely to be self-defeating. A lengthy prison sentence, for example, is likely to worsen substance misuse issues, increase mental health needs, intensify association with antisocial peers, and to cause unemployment, low income, and (single) marital status. If one accepts that the route to prevent re-offending is to tackle for each offender the problems that seem to cause offending, prison-related policies might be counterproductive, which suggests partnership alternatives might be more effective. This is even more the case where prisoners are discharged without a supportive partnership around them to prevent re-occurrence. </w:t>
      </w:r>
    </w:p>
    <w:p w14:paraId="148EB33E" w14:textId="77777777" w:rsidR="00225B33" w:rsidRPr="00225B33" w:rsidRDefault="00225B33" w:rsidP="00752604">
      <w:pPr>
        <w:jc w:val="both"/>
        <w:rPr>
          <w:rFonts w:ascii="Arial" w:eastAsia="Times New Roman" w:hAnsi="Arial" w:cs="Arial"/>
        </w:rPr>
      </w:pPr>
    </w:p>
    <w:p w14:paraId="417F1110" w14:textId="7E66B2B6"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Another issue in assessing the effectiveness of partnership approaches arises from vagueness in the definition of these approaches. By the early 2000s, despite multiple circulars, reports and the Crime and Disorder Act 1998, ‘there was no blueprint for effective multi-agency partnership working’ (Cheminais, 2009) (</w:t>
      </w:r>
      <w:hyperlink r:id="rId5" w:history="1">
        <w:r w:rsidRPr="00225B33">
          <w:rPr>
            <w:rStyle w:val="Hyperlink"/>
            <w:rFonts w:ascii="Tahoma" w:hAnsi="Tahoma" w:cs="Tahoma"/>
          </w:rPr>
          <w:t>﻿﻿﻿﻿</w:t>
        </w:r>
      </w:hyperlink>
      <w:r w:rsidRPr="00225B33">
        <w:rPr>
          <w:rFonts w:ascii="Arial" w:hAnsi="Arial" w:cs="Arial"/>
          <w:color w:val="000000"/>
        </w:rPr>
        <w:t>p8) and therefore no real means of testing its effectiveness.</w:t>
      </w:r>
      <w:r w:rsidR="00774270">
        <w:rPr>
          <w:rFonts w:ascii="Arial" w:hAnsi="Arial" w:cs="Arial"/>
          <w:color w:val="000000"/>
        </w:rPr>
        <w:t xml:space="preserve"> </w:t>
      </w:r>
      <w:r w:rsidRPr="00225B33">
        <w:rPr>
          <w:rFonts w:ascii="Arial" w:hAnsi="Arial" w:cs="Arial"/>
          <w:color w:val="000000"/>
        </w:rPr>
        <w:t xml:space="preserve">The Ministry of Justice was formed in England and Wales in 2007 and brought together the courts, the prisons and the probation service for the first time (Ministry of Justice, </w:t>
      </w:r>
      <w:r w:rsidRPr="00225B33">
        <w:rPr>
          <w:rFonts w:ascii="Arial" w:hAnsi="Arial" w:cs="Arial"/>
          <w:color w:val="000000"/>
        </w:rPr>
        <w:lastRenderedPageBreak/>
        <w:t>2008). This was part of a long-term programme aimed at tackling re-offending (ibid, para 1.3) which was showing some modest results in 2008 (para 1.4). New targets were set, based not on a simple “yes/ no” answer on whether an individual had reoffended, but also addressing the frequency and severity of re-offending. </w:t>
      </w:r>
    </w:p>
    <w:p w14:paraId="42BE6DDA" w14:textId="77777777" w:rsidR="00225B33" w:rsidRPr="00225B33" w:rsidRDefault="00225B33" w:rsidP="00752604">
      <w:pPr>
        <w:jc w:val="both"/>
        <w:rPr>
          <w:rFonts w:ascii="Arial" w:eastAsia="Times New Roman" w:hAnsi="Arial" w:cs="Arial"/>
        </w:rPr>
      </w:pPr>
    </w:p>
    <w:p w14:paraId="1E891246"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There are still difficulties. In domestic violence, for example, low rates of reporting and conviction mean that many offenders slip through the “re-offending” net altogether, with a focus on safer streets, rather than safer homes. Community safety is now dominated by charities and councils, rather than grass roots groups as “value for money” was prioritised. In particular, there is limited understanding of the way in which risk in domestic violence can fluctuate (College of Policing, 2022) and of the links between low-level, often unreported, offending in the home (violence and theft) and subsequent offending in other areas (Rakovec-Felser, 2014). Even in domestic violence cases, though, ‘interventions that adopt an advocacy approach appear to have more impact and are more sustainable, and… when co-located with statutory or voluntary services, multi-agency working is enhanced.’ (Cleaver et al., 2019).</w:t>
      </w:r>
    </w:p>
    <w:p w14:paraId="0B8EC540" w14:textId="77777777" w:rsidR="00225B33" w:rsidRPr="00225B33" w:rsidRDefault="00225B33" w:rsidP="00752604">
      <w:pPr>
        <w:jc w:val="both"/>
        <w:rPr>
          <w:rFonts w:ascii="Arial" w:eastAsia="Times New Roman" w:hAnsi="Arial" w:cs="Arial"/>
        </w:rPr>
      </w:pPr>
    </w:p>
    <w:p w14:paraId="7F31D61A" w14:textId="77777777"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 xml:space="preserve">There has been, now, around 15 years of multi-agency partnership working to prevent re-offending. There is some evidence that it is working. Since 2019, several crime hotspot areas have received funding to provide support to at-risk young people by way of a network of Violence Reduction Units (VRUs). VRUs are made up of multiple agencies, including police, education, health and local government who join forces to try and intercept vulnerable children and adults to ‘steer them away from a life of crime and violence’. </w:t>
      </w:r>
      <w:r w:rsidRPr="00225B33">
        <w:rPr>
          <w:rFonts w:ascii="Arial" w:hAnsi="Arial" w:cs="Arial"/>
        </w:rPr>
        <w:t>Support workers engage with people in custody - the time when they are most likely to accept help - and in A&amp;E to try and intervene when they are vulnerable. A study of this approach has confirmed that it is working, with an estimated 136,000 violence without injury offences thought to have been prevented. Hospital admissions for violence related injuries were also reduced. (Home Office, 2023).</w:t>
      </w:r>
    </w:p>
    <w:p w14:paraId="35EFA9F1" w14:textId="77777777" w:rsidR="00225B33" w:rsidRPr="00225B33" w:rsidRDefault="00225B33" w:rsidP="00752604">
      <w:pPr>
        <w:jc w:val="both"/>
        <w:rPr>
          <w:rFonts w:ascii="Arial" w:eastAsia="Times New Roman" w:hAnsi="Arial" w:cs="Arial"/>
        </w:rPr>
      </w:pPr>
    </w:p>
    <w:p w14:paraId="50D6EF5C" w14:textId="77777777" w:rsidR="00774270" w:rsidRDefault="00225B33" w:rsidP="00752604">
      <w:pPr>
        <w:pStyle w:val="NormalWeb"/>
        <w:spacing w:before="0" w:beforeAutospacing="0" w:after="0" w:afterAutospacing="0"/>
        <w:jc w:val="both"/>
        <w:rPr>
          <w:rFonts w:ascii="Arial" w:hAnsi="Arial" w:cs="Arial"/>
          <w:color w:val="000000"/>
        </w:rPr>
      </w:pPr>
      <w:r w:rsidRPr="00225B33">
        <w:rPr>
          <w:rFonts w:ascii="Arial" w:hAnsi="Arial" w:cs="Arial"/>
          <w:color w:val="000000"/>
        </w:rPr>
        <w:t>Therefore, because the causes of criminal reoffending are not ones that can be tackled by the judicial system alone, it can be seen that partnership approaches that tackle the root cause of criminality are more effective.</w:t>
      </w:r>
    </w:p>
    <w:p w14:paraId="46575E30" w14:textId="44E2EE26"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color w:val="000000"/>
        </w:rPr>
        <w:t> </w:t>
      </w:r>
    </w:p>
    <w:p w14:paraId="20C536E6" w14:textId="62D9BB1A"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b/>
          <w:bCs/>
          <w:color w:val="000000"/>
        </w:rPr>
        <w:t>Word count: 103</w:t>
      </w:r>
      <w:r w:rsidR="00774270">
        <w:rPr>
          <w:rFonts w:ascii="Arial" w:hAnsi="Arial" w:cs="Arial"/>
          <w:b/>
          <w:bCs/>
          <w:color w:val="000000"/>
        </w:rPr>
        <w:t>5</w:t>
      </w:r>
    </w:p>
    <w:p w14:paraId="48D7D8C4" w14:textId="77777777" w:rsidR="00225B33" w:rsidRPr="00225B33" w:rsidRDefault="00225B33" w:rsidP="00752604">
      <w:pPr>
        <w:jc w:val="both"/>
        <w:rPr>
          <w:rFonts w:ascii="Arial" w:eastAsia="Times New Roman" w:hAnsi="Arial" w:cs="Arial"/>
        </w:rPr>
      </w:pPr>
    </w:p>
    <w:p w14:paraId="1DB8EA49" w14:textId="77777777" w:rsidR="00225B33" w:rsidRDefault="00225B33" w:rsidP="00752604">
      <w:pPr>
        <w:spacing w:after="160" w:line="259" w:lineRule="auto"/>
        <w:jc w:val="both"/>
        <w:rPr>
          <w:rFonts w:ascii="Arial" w:hAnsi="Arial" w:cs="Arial"/>
          <w:b/>
          <w:bCs/>
          <w:color w:val="000000"/>
        </w:rPr>
      </w:pPr>
      <w:r>
        <w:rPr>
          <w:rFonts w:ascii="Arial" w:hAnsi="Arial" w:cs="Arial"/>
          <w:b/>
          <w:bCs/>
          <w:color w:val="000000"/>
        </w:rPr>
        <w:br w:type="page"/>
      </w:r>
    </w:p>
    <w:p w14:paraId="1BA3AE6C" w14:textId="426E54D3" w:rsidR="00225B33" w:rsidRPr="00225B33" w:rsidRDefault="00225B33" w:rsidP="00752604">
      <w:pPr>
        <w:pStyle w:val="NormalWeb"/>
        <w:spacing w:before="0" w:beforeAutospacing="0" w:after="0" w:afterAutospacing="0"/>
        <w:jc w:val="both"/>
        <w:rPr>
          <w:rFonts w:ascii="Arial" w:hAnsi="Arial" w:cs="Arial"/>
        </w:rPr>
      </w:pPr>
      <w:r w:rsidRPr="00225B33">
        <w:rPr>
          <w:rFonts w:ascii="Arial" w:hAnsi="Arial" w:cs="Arial"/>
          <w:b/>
          <w:bCs/>
          <w:color w:val="000000"/>
        </w:rPr>
        <w:lastRenderedPageBreak/>
        <w:t>BIBLIOGRAPHY</w:t>
      </w:r>
    </w:p>
    <w:p w14:paraId="71672931" w14:textId="77777777" w:rsidR="00225B33" w:rsidRPr="00225B33" w:rsidRDefault="00225B33" w:rsidP="00752604">
      <w:pPr>
        <w:jc w:val="both"/>
        <w:rPr>
          <w:rFonts w:ascii="Arial" w:eastAsia="Times New Roman" w:hAnsi="Arial" w:cs="Arial"/>
        </w:rPr>
      </w:pPr>
    </w:p>
    <w:p w14:paraId="1DA43357" w14:textId="7B2D9FC5"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rPr>
        <w:t>Bailey</w:t>
      </w:r>
      <w:r w:rsidR="00197512">
        <w:rPr>
          <w:rFonts w:ascii="Arial" w:hAnsi="Arial" w:cs="Arial"/>
        </w:rPr>
        <w:t>.</w:t>
      </w:r>
      <w:r w:rsidR="004B4919">
        <w:rPr>
          <w:rFonts w:ascii="Arial" w:hAnsi="Arial" w:cs="Arial"/>
        </w:rPr>
        <w:t xml:space="preserve"> </w:t>
      </w:r>
      <w:r w:rsidRPr="00225B33">
        <w:rPr>
          <w:rFonts w:ascii="Arial" w:hAnsi="Arial" w:cs="Arial"/>
        </w:rPr>
        <w:t xml:space="preserve">(2007) </w:t>
      </w:r>
      <w:hyperlink r:id="rId6" w:history="1">
        <w:r w:rsidRPr="00225B33">
          <w:rPr>
            <w:rStyle w:val="Hyperlink"/>
            <w:rFonts w:ascii="Arial" w:hAnsi="Arial" w:cs="Arial"/>
          </w:rPr>
          <w:t>http://personal.kent.edu/~suludag/Kristen%20Bailey%20%20causes%20of%20recidivism%20in%20the%20criminal%20justice%20system.pdf</w:t>
        </w:r>
      </w:hyperlink>
    </w:p>
    <w:p w14:paraId="3F5251DE"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rPr>
        <w:t xml:space="preserve">Biderman. (1982). Victims of Personal Crime: An Empirical Foundation for a Theory of Personal Victimization [Review of Victims of Personal Crime: An Empirical Foundation for a Theory of Personal Victimization]. Contemporary Sociology, 11(1), 41–42. American Sociological Association. </w:t>
      </w:r>
      <w:hyperlink r:id="rId7" w:history="1">
        <w:r w:rsidRPr="00225B33">
          <w:rPr>
            <w:rStyle w:val="Hyperlink"/>
            <w:rFonts w:ascii="Arial" w:hAnsi="Arial" w:cs="Arial"/>
          </w:rPr>
          <w:t>https://doi.org/10.2307/2066613</w:t>
        </w:r>
      </w:hyperlink>
    </w:p>
    <w:p w14:paraId="541B9381" w14:textId="20574686" w:rsidR="00225B33" w:rsidRPr="00225B33" w:rsidRDefault="00225B33" w:rsidP="004B4919">
      <w:pPr>
        <w:pStyle w:val="NormalWeb"/>
        <w:spacing w:before="0" w:beforeAutospacing="0" w:after="160" w:afterAutospacing="0"/>
        <w:rPr>
          <w:rFonts w:ascii="Arial" w:hAnsi="Arial" w:cs="Arial"/>
        </w:rPr>
      </w:pPr>
      <w:r w:rsidRPr="00225B33">
        <w:rPr>
          <w:rFonts w:ascii="Arial" w:hAnsi="Arial" w:cs="Arial"/>
        </w:rPr>
        <w:t>Brown, Hobbs</w:t>
      </w:r>
      <w:r w:rsidR="00197512">
        <w:rPr>
          <w:rFonts w:ascii="Arial" w:hAnsi="Arial" w:cs="Arial"/>
        </w:rPr>
        <w:t>.</w:t>
      </w:r>
      <w:r w:rsidRPr="00225B33">
        <w:rPr>
          <w:rFonts w:ascii="Arial" w:hAnsi="Arial" w:cs="Arial"/>
        </w:rPr>
        <w:t xml:space="preserve"> (2023) </w:t>
      </w:r>
      <w:hyperlink r:id="rId8" w:history="1">
        <w:r w:rsidRPr="00225B33">
          <w:rPr>
            <w:rStyle w:val="Hyperlink"/>
            <w:rFonts w:ascii="Arial" w:hAnsi="Arial" w:cs="Arial"/>
          </w:rPr>
          <w:t>https://researchbriefings.files.parliament.uk/documents/POST-PN-0693/POST-PN-0693.pdf</w:t>
        </w:r>
      </w:hyperlink>
    </w:p>
    <w:p w14:paraId="40F69E3F"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Bruce-Smith, R., Middleton, E., Moreton, K., Smith, J. and Quinton, P. (2023). </w:t>
      </w:r>
      <w:r w:rsidRPr="00225B33">
        <w:rPr>
          <w:rFonts w:ascii="Arial" w:hAnsi="Arial" w:cs="Arial"/>
          <w:i/>
          <w:iCs/>
        </w:rPr>
        <w:t>Ethical decision-making in policing A rapid evidence assessment</w:t>
      </w:r>
      <w:r w:rsidRPr="00225B33">
        <w:rPr>
          <w:rFonts w:ascii="Arial" w:hAnsi="Arial" w:cs="Arial"/>
        </w:rPr>
        <w:t xml:space="preserve">. [online] Available at: </w:t>
      </w:r>
      <w:hyperlink r:id="rId9" w:history="1">
        <w:r w:rsidRPr="00225B33">
          <w:rPr>
            <w:rStyle w:val="Hyperlink"/>
            <w:rFonts w:ascii="Arial" w:hAnsi="Arial" w:cs="Arial"/>
          </w:rPr>
          <w:t>https://assets.college.police.uk/s3fs-public/2023-03/Rapid-evidence-assessment-ethical-decision-making-in-policing.pdf</w:t>
        </w:r>
      </w:hyperlink>
      <w:r w:rsidRPr="00225B33">
        <w:rPr>
          <w:rFonts w:ascii="Arial" w:hAnsi="Arial" w:cs="Arial"/>
          <w:color w:val="000000"/>
        </w:rPr>
        <w:t>.</w:t>
      </w:r>
    </w:p>
    <w:p w14:paraId="50219D52" w14:textId="4F394331" w:rsidR="00225B33" w:rsidRPr="00225B33" w:rsidRDefault="00225B33" w:rsidP="004B4919">
      <w:pPr>
        <w:pStyle w:val="NormalWeb"/>
        <w:spacing w:before="0" w:beforeAutospacing="0" w:after="160" w:afterAutospacing="0"/>
        <w:rPr>
          <w:rFonts w:ascii="Arial" w:hAnsi="Arial" w:cs="Arial"/>
        </w:rPr>
      </w:pPr>
      <w:r w:rsidRPr="00225B33">
        <w:rPr>
          <w:rFonts w:ascii="Arial" w:hAnsi="Arial" w:cs="Arial"/>
        </w:rPr>
        <w:t>Casey</w:t>
      </w:r>
      <w:r w:rsidR="00197512">
        <w:rPr>
          <w:rFonts w:ascii="Arial" w:hAnsi="Arial" w:cs="Arial"/>
        </w:rPr>
        <w:t>.</w:t>
      </w:r>
      <w:r w:rsidRPr="00225B33">
        <w:rPr>
          <w:rFonts w:ascii="Arial" w:hAnsi="Arial" w:cs="Arial"/>
        </w:rPr>
        <w:t xml:space="preserve"> (2023) </w:t>
      </w:r>
      <w:hyperlink r:id="rId10" w:history="1">
        <w:r w:rsidRPr="00225B33">
          <w:rPr>
            <w:rStyle w:val="Hyperlink"/>
            <w:rFonts w:ascii="Arial" w:hAnsi="Arial" w:cs="Arial"/>
          </w:rPr>
          <w:t>https://www.met.police.uk/SysSiteAssets/media/downloads/met/about-us/baroness-casey-review/update-march-2023/baroness-casey-review-march-2023a.pdf</w:t>
        </w:r>
      </w:hyperlink>
      <w:r w:rsidRPr="00225B33">
        <w:rPr>
          <w:rFonts w:ascii="Arial" w:hAnsi="Arial" w:cs="Arial"/>
        </w:rPr>
        <w:t xml:space="preserve"> (page 267)</w:t>
      </w:r>
    </w:p>
    <w:p w14:paraId="349D22BD" w14:textId="77777777" w:rsidR="00225B33" w:rsidRPr="00225B33" w:rsidRDefault="00225B33" w:rsidP="004B4919">
      <w:pPr>
        <w:rPr>
          <w:rFonts w:ascii="Arial" w:eastAsia="Times New Roman" w:hAnsi="Arial" w:cs="Arial"/>
        </w:rPr>
      </w:pPr>
    </w:p>
    <w:p w14:paraId="0B4A7F3C"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Cheminais, R. (2009). </w:t>
      </w:r>
      <w:r w:rsidRPr="00225B33">
        <w:rPr>
          <w:rFonts w:ascii="Arial" w:hAnsi="Arial" w:cs="Arial"/>
          <w:i/>
          <w:iCs/>
        </w:rPr>
        <w:t>The Origin, Concept and Principles of Multi-Agency Partnership Working</w:t>
      </w:r>
      <w:r w:rsidRPr="00225B33">
        <w:rPr>
          <w:rFonts w:ascii="Arial" w:hAnsi="Arial" w:cs="Arial"/>
        </w:rPr>
        <w:t xml:space="preserve">. [online] Sagepub.com. Available at: </w:t>
      </w:r>
      <w:hyperlink r:id="rId11" w:history="1">
        <w:r w:rsidRPr="00225B33">
          <w:rPr>
            <w:rStyle w:val="Hyperlink"/>
            <w:rFonts w:ascii="Arial" w:hAnsi="Arial" w:cs="Arial"/>
          </w:rPr>
          <w:t>https://sk.sagepub.com/books/effective-multi-agency-partnerships/n1.xml</w:t>
        </w:r>
      </w:hyperlink>
      <w:r w:rsidRPr="00225B33">
        <w:rPr>
          <w:rFonts w:ascii="Arial" w:hAnsi="Arial" w:cs="Arial"/>
          <w:color w:val="000000"/>
        </w:rPr>
        <w:t>.</w:t>
      </w:r>
    </w:p>
    <w:p w14:paraId="43FFDAB7"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Cleaver, K., Maras, P., Oram, C. and McCallum, K. (2019). A Review of UK Based multi-agency Approaches to Early Intervention in Domestic abuse: Lessons to Be Learnt from Existing Evaluation Studies. </w:t>
      </w:r>
      <w:r w:rsidRPr="00225B33">
        <w:rPr>
          <w:rFonts w:ascii="Arial" w:hAnsi="Arial" w:cs="Arial"/>
          <w:i/>
          <w:iCs/>
        </w:rPr>
        <w:t>Aggression and Violent Behavior</w:t>
      </w:r>
      <w:r w:rsidRPr="00225B33">
        <w:rPr>
          <w:rFonts w:ascii="Arial" w:hAnsi="Arial" w:cs="Arial"/>
        </w:rPr>
        <w:t>, 46(46), pp.140–155.</w:t>
      </w:r>
    </w:p>
    <w:p w14:paraId="497687FB"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College of Policing (2014). </w:t>
      </w:r>
      <w:r w:rsidRPr="00225B33">
        <w:rPr>
          <w:rFonts w:ascii="Arial" w:hAnsi="Arial" w:cs="Arial"/>
          <w:i/>
          <w:iCs/>
        </w:rPr>
        <w:t>Code of Ethics</w:t>
      </w:r>
      <w:r w:rsidRPr="00225B33">
        <w:rPr>
          <w:rFonts w:ascii="Arial" w:hAnsi="Arial" w:cs="Arial"/>
        </w:rPr>
        <w:t xml:space="preserve">. [online] College of Policing. Available at: </w:t>
      </w:r>
      <w:hyperlink r:id="rId12" w:history="1">
        <w:r w:rsidRPr="00225B33">
          <w:rPr>
            <w:rStyle w:val="Hyperlink"/>
            <w:rFonts w:ascii="Arial" w:hAnsi="Arial" w:cs="Arial"/>
          </w:rPr>
          <w:t>https://www.college.police.uk/ethics/code-of-ethics</w:t>
        </w:r>
      </w:hyperlink>
      <w:r w:rsidRPr="00225B33">
        <w:rPr>
          <w:rFonts w:ascii="Arial" w:hAnsi="Arial" w:cs="Arial"/>
          <w:color w:val="000000"/>
        </w:rPr>
        <w:t>.</w:t>
      </w:r>
    </w:p>
    <w:p w14:paraId="634B786E"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College of Policing (2022). </w:t>
      </w:r>
      <w:r w:rsidRPr="00225B33">
        <w:rPr>
          <w:rFonts w:ascii="Arial" w:hAnsi="Arial" w:cs="Arial"/>
          <w:i/>
          <w:iCs/>
        </w:rPr>
        <w:t>Understanding risk and vulnerability in the context of domestic abuse</w:t>
      </w:r>
      <w:r w:rsidRPr="00225B33">
        <w:rPr>
          <w:rFonts w:ascii="Arial" w:hAnsi="Arial" w:cs="Arial"/>
        </w:rPr>
        <w:t xml:space="preserve">. [online] College of Policing. Available at: </w:t>
      </w:r>
      <w:hyperlink r:id="rId13" w:history="1">
        <w:r w:rsidRPr="00225B33">
          <w:rPr>
            <w:rStyle w:val="Hyperlink"/>
            <w:rFonts w:ascii="Arial" w:hAnsi="Arial" w:cs="Arial"/>
          </w:rPr>
          <w:t>https://www.college.police.uk/app/major-investigation-and-public-protection/domestic-abuse/understanding-risk-and-vulnerability-context-domestic-abuse</w:t>
        </w:r>
      </w:hyperlink>
      <w:r w:rsidRPr="00225B33">
        <w:rPr>
          <w:rFonts w:ascii="Arial" w:hAnsi="Arial" w:cs="Arial"/>
          <w:color w:val="000000"/>
        </w:rPr>
        <w:t>.</w:t>
      </w:r>
    </w:p>
    <w:p w14:paraId="61580267"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Davies, P. (2022). How far has multi-agency policing travelled in 30 years? Reflecting on progress in the context of ‘policing’ domestic abuse in England and Wales. </w:t>
      </w:r>
      <w:r w:rsidRPr="00225B33">
        <w:rPr>
          <w:rFonts w:ascii="Arial" w:hAnsi="Arial" w:cs="Arial"/>
          <w:i/>
          <w:iCs/>
        </w:rPr>
        <w:t>Crime Prevention and Community Safety</w:t>
      </w:r>
      <w:r w:rsidRPr="00225B33">
        <w:rPr>
          <w:rFonts w:ascii="Arial" w:hAnsi="Arial" w:cs="Arial"/>
        </w:rPr>
        <w:t>, 24(4), pp.311–327. doi:</w:t>
      </w:r>
      <w:hyperlink r:id="rId14" w:history="1">
        <w:r w:rsidRPr="00225B33">
          <w:rPr>
            <w:rStyle w:val="Hyperlink"/>
            <w:rFonts w:ascii="Arial" w:hAnsi="Arial" w:cs="Arial"/>
          </w:rPr>
          <w:t>https://doi.org/10.1057/s41300-022-00161-1</w:t>
        </w:r>
      </w:hyperlink>
      <w:r w:rsidRPr="00225B33">
        <w:rPr>
          <w:rFonts w:ascii="Arial" w:hAnsi="Arial" w:cs="Arial"/>
          <w:color w:val="000000"/>
        </w:rPr>
        <w:t>.</w:t>
      </w:r>
    </w:p>
    <w:p w14:paraId="08611F95"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Hales, G. and Higgins, A. (2016). </w:t>
      </w:r>
      <w:r w:rsidRPr="00225B33">
        <w:rPr>
          <w:rFonts w:ascii="Arial" w:hAnsi="Arial" w:cs="Arial"/>
          <w:i/>
          <w:iCs/>
        </w:rPr>
        <w:t>Multi-agency case management: evidence and orthodoxy</w:t>
      </w:r>
      <w:r w:rsidRPr="00225B33">
        <w:rPr>
          <w:rFonts w:ascii="Arial" w:hAnsi="Arial" w:cs="Arial"/>
        </w:rPr>
        <w:t xml:space="preserve">. [online] The Police Foundation. Available at: </w:t>
      </w:r>
      <w:hyperlink r:id="rId15" w:history="1">
        <w:r w:rsidRPr="00225B33">
          <w:rPr>
            <w:rStyle w:val="Hyperlink"/>
            <w:rFonts w:ascii="Arial" w:hAnsi="Arial" w:cs="Arial"/>
          </w:rPr>
          <w:t>https://www.police-foundation.org.uk/publication/multi-agency-case-management/</w:t>
        </w:r>
      </w:hyperlink>
      <w:r w:rsidRPr="00225B33">
        <w:rPr>
          <w:rFonts w:ascii="Arial" w:hAnsi="Arial" w:cs="Arial"/>
          <w:color w:val="000000"/>
        </w:rPr>
        <w:t>.</w:t>
      </w:r>
    </w:p>
    <w:p w14:paraId="11055BC4"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Home Office (2023). </w:t>
      </w:r>
      <w:r w:rsidRPr="00225B33">
        <w:rPr>
          <w:rFonts w:ascii="Arial" w:hAnsi="Arial" w:cs="Arial"/>
          <w:i/>
          <w:iCs/>
        </w:rPr>
        <w:t>Violent offences reduced in areas with multi-agency partnerships</w:t>
      </w:r>
      <w:r w:rsidRPr="00225B33">
        <w:rPr>
          <w:rFonts w:ascii="Arial" w:hAnsi="Arial" w:cs="Arial"/>
        </w:rPr>
        <w:t xml:space="preserve">. [online] </w:t>
      </w:r>
      <w:hyperlink r:id="rId16" w:history="1">
        <w:r w:rsidRPr="00225B33">
          <w:rPr>
            <w:rStyle w:val="Hyperlink"/>
            <w:rFonts w:ascii="Arial" w:hAnsi="Arial" w:cs="Arial"/>
          </w:rPr>
          <w:t>GOV.UK</w:t>
        </w:r>
      </w:hyperlink>
      <w:r w:rsidRPr="00225B33">
        <w:rPr>
          <w:rFonts w:ascii="Arial" w:hAnsi="Arial" w:cs="Arial"/>
        </w:rPr>
        <w:t xml:space="preserve">. Available at: </w:t>
      </w:r>
      <w:hyperlink r:id="rId17" w:history="1">
        <w:r w:rsidRPr="00225B33">
          <w:rPr>
            <w:rStyle w:val="Hyperlink"/>
            <w:rFonts w:ascii="Arial" w:hAnsi="Arial" w:cs="Arial"/>
          </w:rPr>
          <w:t>https://www.gov.uk/government/news/violent-offences-reduced-in-areas-with-multi-agency-partnerships</w:t>
        </w:r>
      </w:hyperlink>
      <w:r w:rsidRPr="00225B33">
        <w:rPr>
          <w:rFonts w:ascii="Arial" w:hAnsi="Arial" w:cs="Arial"/>
          <w:color w:val="000000"/>
        </w:rPr>
        <w:t>.</w:t>
      </w:r>
    </w:p>
    <w:p w14:paraId="159E305E"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Home Secretary (2013). </w:t>
      </w:r>
      <w:r w:rsidRPr="00225B33">
        <w:rPr>
          <w:rFonts w:ascii="Arial" w:hAnsi="Arial" w:cs="Arial"/>
          <w:i/>
          <w:iCs/>
        </w:rPr>
        <w:t>Serious and Organised Crime Strategy Cm 8715</w:t>
      </w:r>
      <w:r w:rsidRPr="00225B33">
        <w:rPr>
          <w:rFonts w:ascii="Arial" w:hAnsi="Arial" w:cs="Arial"/>
        </w:rPr>
        <w:t xml:space="preserve">. [online] Available at: </w:t>
      </w:r>
      <w:hyperlink r:id="rId18" w:history="1">
        <w:r w:rsidRPr="00225B33">
          <w:rPr>
            <w:rStyle w:val="Hyperlink"/>
            <w:rFonts w:ascii="Arial" w:hAnsi="Arial" w:cs="Arial"/>
          </w:rPr>
          <w:t>https://assets.publishing.service.gov.uk/media/5a7c448b40f0b62dffde0f40/Serious_and_Organised_Crime_Strategy.pdf</w:t>
        </w:r>
      </w:hyperlink>
      <w:r w:rsidRPr="00225B33">
        <w:rPr>
          <w:rFonts w:ascii="Arial" w:hAnsi="Arial" w:cs="Arial"/>
          <w:color w:val="000000"/>
        </w:rPr>
        <w:t>.</w:t>
      </w:r>
    </w:p>
    <w:p w14:paraId="70B24888" w14:textId="62D397B3" w:rsidR="00225B33" w:rsidRPr="00225B33" w:rsidRDefault="00225B33" w:rsidP="004B4919">
      <w:pPr>
        <w:pStyle w:val="NormalWeb"/>
        <w:spacing w:before="0" w:beforeAutospacing="0" w:after="160" w:afterAutospacing="0"/>
        <w:rPr>
          <w:rFonts w:ascii="Arial" w:hAnsi="Arial" w:cs="Arial"/>
        </w:rPr>
      </w:pPr>
      <w:r w:rsidRPr="00225B33">
        <w:rPr>
          <w:rFonts w:ascii="Arial" w:hAnsi="Arial" w:cs="Arial"/>
        </w:rPr>
        <w:lastRenderedPageBreak/>
        <w:t>IOPC</w:t>
      </w:r>
      <w:r w:rsidR="00197512">
        <w:rPr>
          <w:rFonts w:ascii="Arial" w:hAnsi="Arial" w:cs="Arial"/>
        </w:rPr>
        <w:t>.</w:t>
      </w:r>
      <w:r w:rsidRPr="00225B33">
        <w:rPr>
          <w:rFonts w:ascii="Arial" w:hAnsi="Arial" w:cs="Arial"/>
        </w:rPr>
        <w:t xml:space="preserve"> (2023) </w:t>
      </w:r>
      <w:hyperlink r:id="rId19" w:history="1">
        <w:r w:rsidRPr="00225B33">
          <w:rPr>
            <w:rStyle w:val="Hyperlink"/>
            <w:rFonts w:ascii="Arial" w:hAnsi="Arial" w:cs="Arial"/>
          </w:rPr>
          <w:t>https://www.policeconduct.gov.uk/news/update-investigation-allegations-sharing-offensive-messages-among-gwent-police-officers</w:t>
        </w:r>
      </w:hyperlink>
      <w:r w:rsidRPr="00225B33">
        <w:rPr>
          <w:rFonts w:ascii="Arial" w:hAnsi="Arial" w:cs="Arial"/>
        </w:rPr>
        <w:t> </w:t>
      </w:r>
    </w:p>
    <w:p w14:paraId="02958711" w14:textId="77777777" w:rsidR="00225B33" w:rsidRPr="00225B33" w:rsidRDefault="00225B33" w:rsidP="004B4919">
      <w:pPr>
        <w:rPr>
          <w:rFonts w:ascii="Arial" w:eastAsia="Times New Roman" w:hAnsi="Arial" w:cs="Arial"/>
        </w:rPr>
      </w:pPr>
    </w:p>
    <w:p w14:paraId="3D6B3BD1"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Little, M. and Steinberg, L. (2006). Psychosocial Correlates of Adolescent Drug Dealing in the Inner City: Potential Roles of Opportunity, Conventional Commitments, and Maturity. </w:t>
      </w:r>
      <w:r w:rsidRPr="00225B33">
        <w:rPr>
          <w:rFonts w:ascii="Arial" w:hAnsi="Arial" w:cs="Arial"/>
          <w:i/>
          <w:iCs/>
        </w:rPr>
        <w:t>The Journal of research in crime and delinquency</w:t>
      </w:r>
      <w:r w:rsidRPr="00225B33">
        <w:rPr>
          <w:rFonts w:ascii="Arial" w:hAnsi="Arial" w:cs="Arial"/>
        </w:rPr>
        <w:t>, [online] 43(4), pp.357–386. doi:</w:t>
      </w:r>
      <w:hyperlink r:id="rId20" w:history="1">
        <w:r w:rsidRPr="00225B33">
          <w:rPr>
            <w:rStyle w:val="Hyperlink"/>
            <w:rFonts w:ascii="Arial" w:hAnsi="Arial" w:cs="Arial"/>
          </w:rPr>
          <w:t>https://doi.org/10.1177/0022427806291260</w:t>
        </w:r>
      </w:hyperlink>
      <w:r w:rsidRPr="00225B33">
        <w:rPr>
          <w:rFonts w:ascii="Arial" w:hAnsi="Arial" w:cs="Arial"/>
          <w:color w:val="000000"/>
        </w:rPr>
        <w:t>.</w:t>
      </w:r>
    </w:p>
    <w:p w14:paraId="55E293F3"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Lundrigan, S., Mann, N. (2023). </w:t>
      </w:r>
      <w:r w:rsidRPr="00225B33">
        <w:rPr>
          <w:rFonts w:ascii="Arial" w:hAnsi="Arial" w:cs="Arial"/>
          <w:i/>
          <w:iCs/>
        </w:rPr>
        <w:t>The National MAPPA Research - ARU</w:t>
      </w:r>
      <w:r w:rsidRPr="00225B33">
        <w:rPr>
          <w:rFonts w:ascii="Arial" w:hAnsi="Arial" w:cs="Arial"/>
        </w:rPr>
        <w:t xml:space="preserve">. [online] </w:t>
      </w:r>
      <w:hyperlink r:id="rId21" w:history="1">
        <w:r w:rsidRPr="00225B33">
          <w:rPr>
            <w:rStyle w:val="Hyperlink"/>
            <w:rFonts w:ascii="Arial" w:hAnsi="Arial" w:cs="Arial"/>
          </w:rPr>
          <w:t>www.aru.ac.uk</w:t>
        </w:r>
      </w:hyperlink>
      <w:r w:rsidRPr="00225B33">
        <w:rPr>
          <w:rFonts w:ascii="Arial" w:hAnsi="Arial" w:cs="Arial"/>
        </w:rPr>
        <w:t xml:space="preserve">. Available at: </w:t>
      </w:r>
      <w:hyperlink r:id="rId22" w:history="1">
        <w:r w:rsidRPr="00225B33">
          <w:rPr>
            <w:rStyle w:val="Hyperlink"/>
            <w:rFonts w:ascii="Arial" w:hAnsi="Arial" w:cs="Arial"/>
          </w:rPr>
          <w:t>https://www.aru.ac.uk/policing-institute/research/national-mappa-research</w:t>
        </w:r>
      </w:hyperlink>
      <w:r w:rsidRPr="00225B33">
        <w:rPr>
          <w:rFonts w:ascii="Arial" w:hAnsi="Arial" w:cs="Arial"/>
          <w:color w:val="000000"/>
        </w:rPr>
        <w:t xml:space="preserve">. </w:t>
      </w:r>
      <w:r w:rsidRPr="00225B33">
        <w:rPr>
          <w:rFonts w:ascii="Arial" w:hAnsi="Arial" w:cs="Arial"/>
        </w:rPr>
        <w:t>(Proven Reoffending Report)</w:t>
      </w:r>
    </w:p>
    <w:p w14:paraId="7052A5A5"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Lundrigan, S., Mann, N. and Specht, D. (2023). </w:t>
      </w:r>
      <w:r w:rsidRPr="00225B33">
        <w:rPr>
          <w:rFonts w:ascii="Arial" w:hAnsi="Arial" w:cs="Arial"/>
          <w:i/>
          <w:iCs/>
        </w:rPr>
        <w:t>The National MAPPA Research - ARU</w:t>
      </w:r>
      <w:r w:rsidRPr="00225B33">
        <w:rPr>
          <w:rFonts w:ascii="Arial" w:hAnsi="Arial" w:cs="Arial"/>
        </w:rPr>
        <w:t xml:space="preserve">. [online] </w:t>
      </w:r>
      <w:hyperlink r:id="rId23" w:history="1">
        <w:r w:rsidRPr="00225B33">
          <w:rPr>
            <w:rStyle w:val="Hyperlink"/>
            <w:rFonts w:ascii="Arial" w:hAnsi="Arial" w:cs="Arial"/>
          </w:rPr>
          <w:t>www.aru.ac.uk</w:t>
        </w:r>
      </w:hyperlink>
      <w:r w:rsidRPr="00225B33">
        <w:rPr>
          <w:rFonts w:ascii="Arial" w:hAnsi="Arial" w:cs="Arial"/>
        </w:rPr>
        <w:t xml:space="preserve">. Available at: </w:t>
      </w:r>
      <w:hyperlink r:id="rId24" w:history="1">
        <w:r w:rsidRPr="00225B33">
          <w:rPr>
            <w:rStyle w:val="Hyperlink"/>
            <w:rFonts w:ascii="Arial" w:hAnsi="Arial" w:cs="Arial"/>
          </w:rPr>
          <w:t>https://www.aru.ac.uk/policing-institute/research/national-mappa-research</w:t>
        </w:r>
      </w:hyperlink>
      <w:r w:rsidRPr="00225B33">
        <w:rPr>
          <w:rFonts w:ascii="Arial" w:hAnsi="Arial" w:cs="Arial"/>
          <w:color w:val="000000"/>
        </w:rPr>
        <w:t xml:space="preserve">. </w:t>
      </w:r>
      <w:r w:rsidRPr="00225B33">
        <w:rPr>
          <w:rFonts w:ascii="Arial" w:hAnsi="Arial" w:cs="Arial"/>
        </w:rPr>
        <w:t>(Process Effectiveness Report)</w:t>
      </w:r>
    </w:p>
    <w:p w14:paraId="2DA99903"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Ministry of Justice (2008). </w:t>
      </w:r>
      <w:r w:rsidRPr="00225B33">
        <w:rPr>
          <w:rFonts w:ascii="Arial" w:hAnsi="Arial" w:cs="Arial"/>
          <w:i/>
          <w:iCs/>
        </w:rPr>
        <w:t>Strategic Plan for Reducing Re-offending 2008-11</w:t>
      </w:r>
      <w:r w:rsidRPr="00225B33">
        <w:rPr>
          <w:rFonts w:ascii="Arial" w:hAnsi="Arial" w:cs="Arial"/>
        </w:rPr>
        <w:t xml:space="preserve">. [online] Available at: </w:t>
      </w:r>
      <w:hyperlink r:id="rId25" w:history="1">
        <w:r w:rsidRPr="00225B33">
          <w:rPr>
            <w:rStyle w:val="Hyperlink"/>
            <w:rFonts w:ascii="Arial" w:hAnsi="Arial" w:cs="Arial"/>
          </w:rPr>
          <w:t>https://data.parliament.uk/DepositedPapers/Files/DEP2007-0156/DEP2007-0156.pdf</w:t>
        </w:r>
      </w:hyperlink>
      <w:r w:rsidRPr="00225B33">
        <w:rPr>
          <w:rFonts w:ascii="Arial" w:hAnsi="Arial" w:cs="Arial"/>
          <w:color w:val="000000"/>
        </w:rPr>
        <w:t>.</w:t>
      </w:r>
    </w:p>
    <w:p w14:paraId="5E5FDB7C"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Ministry of Justice (2013). </w:t>
      </w:r>
      <w:r w:rsidRPr="00225B33">
        <w:rPr>
          <w:rFonts w:ascii="Arial" w:hAnsi="Arial" w:cs="Arial"/>
          <w:i/>
          <w:iCs/>
        </w:rPr>
        <w:t>Transforming Rehabilitation: a summary of evidence on reducing reoffending Ministry of Justice Analytical Series 2013</w:t>
      </w:r>
      <w:r w:rsidRPr="00225B33">
        <w:rPr>
          <w:rFonts w:ascii="Arial" w:hAnsi="Arial" w:cs="Arial"/>
        </w:rPr>
        <w:t xml:space="preserve">. [online] Available at: </w:t>
      </w:r>
      <w:hyperlink r:id="rId26" w:history="1">
        <w:r w:rsidRPr="00225B33">
          <w:rPr>
            <w:rStyle w:val="Hyperlink"/>
            <w:rFonts w:ascii="Arial" w:hAnsi="Arial" w:cs="Arial"/>
          </w:rPr>
          <w:t>https://assets.publishing.service.gov.uk/media/5a7565a8e5274a1baf95e408/evidence-reduce-reoffending.pdf</w:t>
        </w:r>
      </w:hyperlink>
      <w:r w:rsidRPr="00225B33">
        <w:rPr>
          <w:rFonts w:ascii="Arial" w:hAnsi="Arial" w:cs="Arial"/>
          <w:color w:val="000000"/>
        </w:rPr>
        <w:t>.</w:t>
      </w:r>
    </w:p>
    <w:p w14:paraId="1E740442"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Peck, M. (2011). </w:t>
      </w:r>
      <w:r w:rsidRPr="00225B33">
        <w:rPr>
          <w:rFonts w:ascii="Arial" w:hAnsi="Arial" w:cs="Arial"/>
          <w:i/>
          <w:iCs/>
        </w:rPr>
        <w:t>Patterns of reconviction among offenders eligible for Multi-Agency Public Protection Arrangements (MAPPA)</w:t>
      </w:r>
      <w:r w:rsidRPr="00225B33">
        <w:rPr>
          <w:rFonts w:ascii="Arial" w:hAnsi="Arial" w:cs="Arial"/>
        </w:rPr>
        <w:t xml:space="preserve">. [online] Available at: </w:t>
      </w:r>
      <w:hyperlink r:id="rId27" w:history="1">
        <w:r w:rsidRPr="00225B33">
          <w:rPr>
            <w:rStyle w:val="Hyperlink"/>
            <w:rFonts w:ascii="Arial" w:hAnsi="Arial" w:cs="Arial"/>
          </w:rPr>
          <w:t>https://assets.publishing.service.gov.uk/media/5a7c856640f0b626628aca61/patterns-reconviction-mappa.pdf</w:t>
        </w:r>
      </w:hyperlink>
      <w:r w:rsidRPr="00225B33">
        <w:rPr>
          <w:rFonts w:ascii="Arial" w:hAnsi="Arial" w:cs="Arial"/>
          <w:color w:val="000000"/>
        </w:rPr>
        <w:t>.</w:t>
      </w:r>
    </w:p>
    <w:p w14:paraId="63D41424"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Pitts, J. (2021). </w:t>
      </w:r>
      <w:r w:rsidRPr="00225B33">
        <w:rPr>
          <w:rFonts w:ascii="Arial" w:hAnsi="Arial" w:cs="Arial"/>
          <w:i/>
          <w:iCs/>
        </w:rPr>
        <w:t>HM Inspectorate of Probation</w:t>
      </w:r>
      <w:r w:rsidRPr="00225B33">
        <w:rPr>
          <w:rFonts w:ascii="Arial" w:hAnsi="Arial" w:cs="Arial"/>
        </w:rPr>
        <w:t xml:space="preserve">. [online] Available at: </w:t>
      </w:r>
      <w:hyperlink r:id="rId28" w:history="1">
        <w:r w:rsidRPr="00225B33">
          <w:rPr>
            <w:rStyle w:val="Hyperlink"/>
            <w:rFonts w:ascii="Arial" w:hAnsi="Arial" w:cs="Arial"/>
          </w:rPr>
          <w:t>https://www.justiceinspectorates.gov.uk/hmiprobation/wp-content/uploads/sites/5/2021/01/Academic-Insights-county-lines-.pdf</w:t>
        </w:r>
      </w:hyperlink>
      <w:r w:rsidRPr="00225B33">
        <w:rPr>
          <w:rFonts w:ascii="Arial" w:hAnsi="Arial" w:cs="Arial"/>
          <w:color w:val="000000"/>
        </w:rPr>
        <w:t>.</w:t>
      </w:r>
    </w:p>
    <w:p w14:paraId="5A15A3CF"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Pratt, T. and Turanovic, J. (2015). </w:t>
      </w:r>
      <w:r w:rsidRPr="00225B33">
        <w:rPr>
          <w:rFonts w:ascii="Arial" w:hAnsi="Arial" w:cs="Arial"/>
          <w:i/>
          <w:iCs/>
        </w:rPr>
        <w:t>(PDF) Lifestyle and Routine Activity Theories Revisited: The Importance of ‘Risk’ to the Study of Victimization</w:t>
      </w:r>
      <w:r w:rsidRPr="00225B33">
        <w:rPr>
          <w:rFonts w:ascii="Arial" w:hAnsi="Arial" w:cs="Arial"/>
        </w:rPr>
        <w:t xml:space="preserve">. [online] ResearchGate. Available at: </w:t>
      </w:r>
      <w:hyperlink r:id="rId29" w:history="1">
        <w:r w:rsidRPr="00225B33">
          <w:rPr>
            <w:rStyle w:val="Hyperlink"/>
            <w:rFonts w:ascii="Arial" w:hAnsi="Arial" w:cs="Arial"/>
          </w:rPr>
          <w:t>https://www.researchgate.net/publication/280295777_Lifestyle_and_Routine_Activity_Theories_Revisited_The_Importance_of_Risk_to_the_Study_of_Victimization</w:t>
        </w:r>
      </w:hyperlink>
      <w:r w:rsidRPr="00225B33">
        <w:rPr>
          <w:rFonts w:ascii="Arial" w:hAnsi="Arial" w:cs="Arial"/>
          <w:color w:val="000000"/>
        </w:rPr>
        <w:t>.</w:t>
      </w:r>
    </w:p>
    <w:p w14:paraId="0B3A2A46"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Rakovec-Felser, Z. (2014). Domestic violence and abuse in intimate relationship from public health perspective. </w:t>
      </w:r>
      <w:r w:rsidRPr="00225B33">
        <w:rPr>
          <w:rFonts w:ascii="Arial" w:hAnsi="Arial" w:cs="Arial"/>
          <w:i/>
          <w:iCs/>
        </w:rPr>
        <w:t>Health Psychology Research</w:t>
      </w:r>
      <w:r w:rsidRPr="00225B33">
        <w:rPr>
          <w:rFonts w:ascii="Arial" w:hAnsi="Arial" w:cs="Arial"/>
        </w:rPr>
        <w:t>, 2(3), pp.62–67. doi:</w:t>
      </w:r>
      <w:hyperlink r:id="rId30" w:history="1">
        <w:r w:rsidRPr="00225B33">
          <w:rPr>
            <w:rStyle w:val="Hyperlink"/>
            <w:rFonts w:ascii="Arial" w:hAnsi="Arial" w:cs="Arial"/>
          </w:rPr>
          <w:t>https://doi.org/10.4081/hpr.2014.1821</w:t>
        </w:r>
      </w:hyperlink>
      <w:r w:rsidRPr="00225B33">
        <w:rPr>
          <w:rFonts w:ascii="Arial" w:hAnsi="Arial" w:cs="Arial"/>
          <w:color w:val="000000"/>
        </w:rPr>
        <w:t>.</w:t>
      </w:r>
    </w:p>
    <w:p w14:paraId="51746C63"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Reeves, J., Soutar, E., Green, S. and Crowther, T. (2017). </w:t>
      </w:r>
      <w:r w:rsidRPr="00225B33">
        <w:rPr>
          <w:rFonts w:ascii="Arial" w:hAnsi="Arial" w:cs="Arial"/>
          <w:i/>
          <w:iCs/>
        </w:rPr>
        <w:t>Children and Young People’s Vulnerabilities to Grooming</w:t>
      </w:r>
      <w:r w:rsidRPr="00225B33">
        <w:rPr>
          <w:rFonts w:ascii="Arial" w:hAnsi="Arial" w:cs="Arial"/>
        </w:rPr>
        <w:t xml:space="preserve">. [online] </w:t>
      </w:r>
      <w:hyperlink r:id="rId31" w:history="1">
        <w:r w:rsidRPr="00225B33">
          <w:rPr>
            <w:rStyle w:val="Hyperlink"/>
            <w:rFonts w:ascii="Arial" w:hAnsi="Arial" w:cs="Arial"/>
            <w:i/>
            <w:iCs/>
          </w:rPr>
          <w:t>www.intechopen.com</w:t>
        </w:r>
      </w:hyperlink>
      <w:r w:rsidRPr="00225B33">
        <w:rPr>
          <w:rFonts w:ascii="Arial" w:hAnsi="Arial" w:cs="Arial"/>
        </w:rPr>
        <w:t xml:space="preserve">. IntechOpen. Available at: </w:t>
      </w:r>
      <w:hyperlink r:id="rId32" w:history="1">
        <w:r w:rsidRPr="00225B33">
          <w:rPr>
            <w:rStyle w:val="Hyperlink"/>
            <w:rFonts w:ascii="Arial" w:hAnsi="Arial" w:cs="Arial"/>
          </w:rPr>
          <w:t>https://www.intechopen.com/chapters/57686</w:t>
        </w:r>
      </w:hyperlink>
      <w:r w:rsidRPr="00225B33">
        <w:rPr>
          <w:rFonts w:ascii="Arial" w:hAnsi="Arial" w:cs="Arial"/>
          <w:color w:val="000000"/>
        </w:rPr>
        <w:t>.</w:t>
      </w:r>
    </w:p>
    <w:p w14:paraId="7A6EEB34" w14:textId="6A6F9341" w:rsidR="00225B33" w:rsidRPr="00225B33" w:rsidRDefault="00225B33" w:rsidP="004B4919">
      <w:pPr>
        <w:pStyle w:val="NormalWeb"/>
        <w:spacing w:before="0" w:beforeAutospacing="0" w:after="160" w:afterAutospacing="0"/>
        <w:rPr>
          <w:rFonts w:ascii="Arial" w:hAnsi="Arial" w:cs="Arial"/>
        </w:rPr>
      </w:pPr>
      <w:r w:rsidRPr="00225B33">
        <w:rPr>
          <w:rFonts w:ascii="Arial" w:hAnsi="Arial" w:cs="Arial"/>
          <w:color w:val="000000"/>
        </w:rPr>
        <w:t>Sky News</w:t>
      </w:r>
      <w:r w:rsidR="00197512">
        <w:rPr>
          <w:rFonts w:ascii="Arial" w:hAnsi="Arial" w:cs="Arial"/>
          <w:color w:val="000000"/>
        </w:rPr>
        <w:t>.</w:t>
      </w:r>
      <w:r w:rsidRPr="00225B33">
        <w:rPr>
          <w:rFonts w:ascii="Arial" w:hAnsi="Arial" w:cs="Arial"/>
          <w:color w:val="000000"/>
        </w:rPr>
        <w:t xml:space="preserve"> (2021) </w:t>
      </w:r>
      <w:hyperlink r:id="rId33" w:history="1">
        <w:r w:rsidRPr="00225B33">
          <w:rPr>
            <w:rStyle w:val="Hyperlink"/>
            <w:rFonts w:ascii="Arial" w:hAnsi="Arial" w:cs="Arial"/>
          </w:rPr>
          <w:t>https://news.sky.com/story/police-officers-who-shared-whatsapp-photos-of-murdered-sisters-bodies-found-guilty-of-gross-misconduct-12477334</w:t>
        </w:r>
      </w:hyperlink>
      <w:r w:rsidRPr="00225B33">
        <w:rPr>
          <w:rFonts w:ascii="Arial" w:hAnsi="Arial" w:cs="Arial"/>
        </w:rPr>
        <w:t> </w:t>
      </w:r>
    </w:p>
    <w:p w14:paraId="0C42108C" w14:textId="77777777" w:rsidR="00225B33" w:rsidRPr="00225B33" w:rsidRDefault="00225B33" w:rsidP="004B4919">
      <w:pPr>
        <w:pStyle w:val="NormalWeb"/>
        <w:spacing w:before="0" w:beforeAutospacing="0" w:after="240" w:afterAutospacing="0"/>
        <w:rPr>
          <w:rFonts w:ascii="Arial" w:hAnsi="Arial" w:cs="Arial"/>
        </w:rPr>
      </w:pPr>
      <w:r w:rsidRPr="00225B33">
        <w:rPr>
          <w:rFonts w:ascii="Arial" w:hAnsi="Arial" w:cs="Arial"/>
          <w:color w:val="000000"/>
        </w:rPr>
        <w:t xml:space="preserve">Westmarland, L. and Conway, S. (2020). Police ethics and integrity: Keeping the ‘blue code’ of silence. </w:t>
      </w:r>
      <w:r w:rsidRPr="00225B33">
        <w:rPr>
          <w:rFonts w:ascii="Arial" w:hAnsi="Arial" w:cs="Arial"/>
          <w:i/>
          <w:iCs/>
        </w:rPr>
        <w:t>International Journal of Police Science &amp; Management</w:t>
      </w:r>
      <w:r w:rsidRPr="00225B33">
        <w:rPr>
          <w:rFonts w:ascii="Arial" w:hAnsi="Arial" w:cs="Arial"/>
        </w:rPr>
        <w:t>, [online] 22(4), pp.378–392. doi:</w:t>
      </w:r>
      <w:hyperlink r:id="rId34" w:history="1">
        <w:r w:rsidRPr="00225B33">
          <w:rPr>
            <w:rStyle w:val="Hyperlink"/>
            <w:rFonts w:ascii="Arial" w:hAnsi="Arial" w:cs="Arial"/>
          </w:rPr>
          <w:t>https://doi.org/10.1177/1461355720947762</w:t>
        </w:r>
      </w:hyperlink>
      <w:r w:rsidRPr="00225B33">
        <w:rPr>
          <w:rFonts w:ascii="Arial" w:hAnsi="Arial" w:cs="Arial"/>
          <w:color w:val="000000"/>
        </w:rPr>
        <w:t>.</w:t>
      </w:r>
    </w:p>
    <w:p w14:paraId="5D8178A4" w14:textId="77777777" w:rsidR="00225B33" w:rsidRPr="00225B33" w:rsidRDefault="00225B33" w:rsidP="004B4919">
      <w:pPr>
        <w:rPr>
          <w:rFonts w:ascii="Arial" w:eastAsia="Times New Roman" w:hAnsi="Arial" w:cs="Arial"/>
        </w:rPr>
      </w:pPr>
      <w:r w:rsidRPr="00225B33">
        <w:rPr>
          <w:rFonts w:ascii="Arial" w:eastAsia="Times New Roman" w:hAnsi="Arial" w:cs="Arial"/>
          <w:color w:val="000000"/>
        </w:rPr>
        <w:lastRenderedPageBreak/>
        <w:t xml:space="preserve">Yukhnenko, D., Blackwood, N. and Fazel, S. (2019). Risk factors for recidivism in individuals receiving community sentences: a systematic review and meta-analysis. </w:t>
      </w:r>
      <w:r w:rsidRPr="00225B33">
        <w:rPr>
          <w:rFonts w:ascii="Arial" w:eastAsia="Times New Roman" w:hAnsi="Arial" w:cs="Arial"/>
          <w:i/>
          <w:iCs/>
          <w:color w:val="000000"/>
        </w:rPr>
        <w:t>CNS Spectrums</w:t>
      </w:r>
      <w:r w:rsidRPr="00225B33">
        <w:rPr>
          <w:rFonts w:ascii="Arial" w:eastAsia="Times New Roman" w:hAnsi="Arial" w:cs="Arial"/>
          <w:color w:val="000000"/>
        </w:rPr>
        <w:t>, 25(2), pp.1–12. doi:</w:t>
      </w:r>
      <w:hyperlink r:id="rId35" w:history="1">
        <w:r w:rsidRPr="00225B33">
          <w:rPr>
            <w:rStyle w:val="Hyperlink"/>
            <w:rFonts w:ascii="Arial" w:eastAsia="Times New Roman" w:hAnsi="Arial" w:cs="Arial"/>
          </w:rPr>
          <w:t>https://doi.org/10.1017/s1092852919001056</w:t>
        </w:r>
      </w:hyperlink>
      <w:r w:rsidRPr="00225B33">
        <w:rPr>
          <w:rFonts w:ascii="Arial" w:eastAsia="Times New Roman" w:hAnsi="Arial" w:cs="Arial"/>
          <w:color w:val="000000"/>
        </w:rPr>
        <w:t>.</w:t>
      </w:r>
    </w:p>
    <w:p w14:paraId="34ADBCB0" w14:textId="77777777" w:rsidR="00513379" w:rsidRDefault="00000000"/>
    <w:sectPr w:rsidR="005133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B33"/>
    <w:rsid w:val="000B43A2"/>
    <w:rsid w:val="00197512"/>
    <w:rsid w:val="00225B33"/>
    <w:rsid w:val="004B4919"/>
    <w:rsid w:val="006D789A"/>
    <w:rsid w:val="00752604"/>
    <w:rsid w:val="00774270"/>
    <w:rsid w:val="008D4508"/>
    <w:rsid w:val="00A163FD"/>
    <w:rsid w:val="00CE2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9AB65"/>
  <w15:chartTrackingRefBased/>
  <w15:docId w15:val="{932F6F8A-1F76-4898-B232-84C187C5A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B33"/>
    <w:pPr>
      <w:spacing w:after="0" w:line="240" w:lineRule="auto"/>
    </w:pPr>
    <w:rPr>
      <w:rFonts w:ascii="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25B33"/>
    <w:rPr>
      <w:color w:val="0000FF"/>
      <w:u w:val="single"/>
    </w:rPr>
  </w:style>
  <w:style w:type="paragraph" w:styleId="NormalWeb">
    <w:name w:val="Normal (Web)"/>
    <w:basedOn w:val="Normal"/>
    <w:uiPriority w:val="99"/>
    <w:semiHidden/>
    <w:unhideWhenUsed/>
    <w:rsid w:val="00225B3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988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br01.safelinks.protection.outlook.com/?url=https%3A%2F%2Fresearchbriefings.files.parliament.uk%2Fdocuments%2FPOST-PN-0693%2FPOST-PN-0693.pdf&amp;data=05%7C01%7Cliz.marsh%40gwent.police.uk%7C59ad85f0d25b4da387ce08dbdc53fd2a%7Ce46c8472ef5d4b63bc744a60db42c371%7C0%7C1%7C638346025557433973%7CUnknown%7CTWFpbGZsb3d8eyJWIjoiMC4wLjAwMDAiLCJQIjoiV2luMzIiLCJBTiI6Ik1haWwiLCJXVCI6Mn0%3D%7C2000%7C%7C%7C&amp;sdata=4UHKW5aklOOh1WOEBpcarKhKqSsISeiJBi%2FbZCaTWsY%3D&amp;reserved=0" TargetMode="External"/><Relationship Id="rId13" Type="http://schemas.openxmlformats.org/officeDocument/2006/relationships/hyperlink" Target="https://gbr01.safelinks.protection.outlook.com/?url=https%3A%2F%2Fwww.college.police.uk%2Fapp%2Fmajor-investigation-and-public-protection%2Fdomestic-abuse%2Funderstanding-risk-and-vulnerability-context-domestic-abuse&amp;data=05%7C01%7Cliz.marsh%40gwent.police.uk%7C59ad85f0d25b4da387ce08dbdc53fd2a%7Ce46c8472ef5d4b63bc744a60db42c371%7C0%7C1%7C638346025557433973%7CUnknown%7CTWFpbGZsb3d8eyJWIjoiMC4wLjAwMDAiLCJQIjoiV2luMzIiLCJBTiI6Ik1haWwiLCJXVCI6Mn0%3D%7C2000%7C%7C%7C&amp;sdata=6DIwRaGmRJAnKUo%2BP1Gn8hXFyLYJrODk6P3c6lEY2Js%3D&amp;reserved=0" TargetMode="External"/><Relationship Id="rId18" Type="http://schemas.openxmlformats.org/officeDocument/2006/relationships/hyperlink" Target="https://gbr01.safelinks.protection.outlook.com/?url=https%3A%2F%2Fassets.publishing.service.gov.uk%2Fmedia%2F5a7c448b40f0b62dffde0f40%2FSerious_and_Organised_Crime_Strategy.pdf&amp;data=05%7C01%7Cliz.marsh%40gwent.police.uk%7C59ad85f0d25b4da387ce08dbdc53fd2a%7Ce46c8472ef5d4b63bc744a60db42c371%7C0%7C1%7C638346025557590262%7CUnknown%7CTWFpbGZsb3d8eyJWIjoiMC4wLjAwMDAiLCJQIjoiV2luMzIiLCJBTiI6Ik1haWwiLCJXVCI6Mn0%3D%7C2000%7C%7C%7C&amp;sdata=jcfLGrgQWGCK4wNMrWkbOCfQ41gTb%2FeXCj%2FjUzAdt5g%3D&amp;reserved=0" TargetMode="External"/><Relationship Id="rId26" Type="http://schemas.openxmlformats.org/officeDocument/2006/relationships/hyperlink" Target="https://gbr01.safelinks.protection.outlook.com/?url=https%3A%2F%2Fassets.publishing.service.gov.uk%2Fmedia%2F5a7565a8e5274a1baf95e408%2Fevidence-reduce-reoffending.pdf&amp;data=05%7C01%7Cliz.marsh%40gwent.police.uk%7C59ad85f0d25b4da387ce08dbdc53fd2a%7Ce46c8472ef5d4b63bc744a60db42c371%7C0%7C1%7C638346025557746505%7CUnknown%7CTWFpbGZsb3d8eyJWIjoiMC4wLjAwMDAiLCJQIjoiV2luMzIiLCJBTiI6Ik1haWwiLCJXVCI6Mn0%3D%7C2000%7C%7C%7C&amp;sdata=k5HFniwuBAsQ408QfqeD16XodiqqWAm47l%2F4qlQBd%2FE%3D&amp;reserved=0" TargetMode="External"/><Relationship Id="rId3" Type="http://schemas.openxmlformats.org/officeDocument/2006/relationships/webSettings" Target="webSettings.xml"/><Relationship Id="rId21" Type="http://schemas.openxmlformats.org/officeDocument/2006/relationships/hyperlink" Target="https://gbr01.safelinks.protection.outlook.com/?url=http%3A%2F%2Fwww.aru.ac.uk%2F&amp;data=05%7C01%7Cliz.marsh%40gwent.police.uk%7C59ad85f0d25b4da387ce08dbdc53fd2a%7Ce46c8472ef5d4b63bc744a60db42c371%7C0%7C1%7C638346025557746505%7CUnknown%7CTWFpbGZsb3d8eyJWIjoiMC4wLjAwMDAiLCJQIjoiV2luMzIiLCJBTiI6Ik1haWwiLCJXVCI6Mn0%3D%7C2000%7C%7C%7C&amp;sdata=AfyamktOkGVpVjpegt3vs2hRCpuW3YYhnNvG9QbSea0%3D&amp;reserved=0" TargetMode="External"/><Relationship Id="rId34" Type="http://schemas.openxmlformats.org/officeDocument/2006/relationships/hyperlink" Target="https://gbr01.safelinks.protection.outlook.com/?url=https%3A%2F%2Fdoi.org%2F10.1177%2F1461355720947762&amp;data=05%7C01%7Cliz.marsh%40gwent.police.uk%7C59ad85f0d25b4da387ce08dbdc53fd2a%7Ce46c8472ef5d4b63bc744a60db42c371%7C0%7C1%7C638346025557902797%7CUnknown%7CTWFpbGZsb3d8eyJWIjoiMC4wLjAwMDAiLCJQIjoiV2luMzIiLCJBTiI6Ik1haWwiLCJXVCI6Mn0%3D%7C2000%7C%7C%7C&amp;sdata=aO9TOGVYIUlussfyOMmoan2MtwbO9yUhdKUgYjNQbsk%3D&amp;reserved=0" TargetMode="External"/><Relationship Id="rId7" Type="http://schemas.openxmlformats.org/officeDocument/2006/relationships/hyperlink" Target="https://gbr01.safelinks.protection.outlook.com/?url=https%3A%2F%2Fdoi.org%2F10.2307%2F2066613&amp;data=05%7C01%7Cliz.marsh%40gwent.police.uk%7C59ad85f0d25b4da387ce08dbdc53fd2a%7Ce46c8472ef5d4b63bc744a60db42c371%7C0%7C1%7C638346025557433973%7CUnknown%7CTWFpbGZsb3d8eyJWIjoiMC4wLjAwMDAiLCJQIjoiV2luMzIiLCJBTiI6Ik1haWwiLCJXVCI6Mn0%3D%7C2000%7C%7C%7C&amp;sdata=bbBs3r9qEYKtu3bslZ3Fwdk%2FMSvM7tHCkdAeB9lSFYo%3D&amp;reserved=0" TargetMode="External"/><Relationship Id="rId12" Type="http://schemas.openxmlformats.org/officeDocument/2006/relationships/hyperlink" Target="https://gbr01.safelinks.protection.outlook.com/?url=https%3A%2F%2Fwww.college.police.uk%2Fethics%2Fcode-of-ethics&amp;data=05%7C01%7Cliz.marsh%40gwent.police.uk%7C59ad85f0d25b4da387ce08dbdc53fd2a%7Ce46c8472ef5d4b63bc744a60db42c371%7C0%7C1%7C638346025557433973%7CUnknown%7CTWFpbGZsb3d8eyJWIjoiMC4wLjAwMDAiLCJQIjoiV2luMzIiLCJBTiI6Ik1haWwiLCJXVCI6Mn0%3D%7C2000%7C%7C%7C&amp;sdata=P%2B6of%2BojGYZc6GsMvPlQB3kP5p4JzmhPHNXvBrk1mNU%3D&amp;reserved=0" TargetMode="External"/><Relationship Id="rId17" Type="http://schemas.openxmlformats.org/officeDocument/2006/relationships/hyperlink" Target="https://gbr01.safelinks.protection.outlook.com/?url=https%3A%2F%2Fwww.gov.uk%2Fgovernment%2Fnews%2Fviolent-offences-reduced-in-areas-with-multi-agency-partnerships&amp;data=05%7C01%7Cliz.marsh%40gwent.police.uk%7C59ad85f0d25b4da387ce08dbdc53fd2a%7Ce46c8472ef5d4b63bc744a60db42c371%7C0%7C1%7C638346025557590262%7CUnknown%7CTWFpbGZsb3d8eyJWIjoiMC4wLjAwMDAiLCJQIjoiV2luMzIiLCJBTiI6Ik1haWwiLCJXVCI6Mn0%3D%7C2000%7C%7C%7C&amp;sdata=oTXfpsYzBb8zsQyhptBw2qnIAwU%2B2bPxT2NWoQQyzLI%3D&amp;reserved=0" TargetMode="External"/><Relationship Id="rId25" Type="http://schemas.openxmlformats.org/officeDocument/2006/relationships/hyperlink" Target="https://gbr01.safelinks.protection.outlook.com/?url=https%3A%2F%2Fdata.parliament.uk%2FDepositedPapers%2FFiles%2FDEP2007-0156%2FDEP2007-0156.pdf&amp;data=05%7C01%7Cliz.marsh%40gwent.police.uk%7C59ad85f0d25b4da387ce08dbdc53fd2a%7Ce46c8472ef5d4b63bc744a60db42c371%7C0%7C1%7C638346025557746505%7CUnknown%7CTWFpbGZsb3d8eyJWIjoiMC4wLjAwMDAiLCJQIjoiV2luMzIiLCJBTiI6Ik1haWwiLCJXVCI6Mn0%3D%7C2000%7C%7C%7C&amp;sdata=JfLxc3WabrfNJGnK45GOLCzc3vNiIZQ0%2BYkZqFA%2B2Ps%3D&amp;reserved=0" TargetMode="External"/><Relationship Id="rId33" Type="http://schemas.openxmlformats.org/officeDocument/2006/relationships/hyperlink" Target="https://gbr01.safelinks.protection.outlook.com/?url=https%3A%2F%2Fnews.sky.com%2Fstory%2Fpolice-officers-who-shared-whatsapp-photos-of-murdered-sisters-bodies-found-guilty-of-gross-misconduct-12477334&amp;data=05%7C01%7Cliz.marsh%40gwent.police.uk%7C59ad85f0d25b4da387ce08dbdc53fd2a%7Ce46c8472ef5d4b63bc744a60db42c371%7C0%7C1%7C638346025557902797%7CUnknown%7CTWFpbGZsb3d8eyJWIjoiMC4wLjAwMDAiLCJQIjoiV2luMzIiLCJBTiI6Ik1haWwiLCJXVCI6Mn0%3D%7C2000%7C%7C%7C&amp;sdata=agBxQ53IvCD1ykGl4fUgklGj15EA7lVK%2Ff4avw4Ylpc%3D&amp;reserved=0" TargetMode="External"/><Relationship Id="rId2" Type="http://schemas.openxmlformats.org/officeDocument/2006/relationships/settings" Target="settings.xml"/><Relationship Id="rId16" Type="http://schemas.openxmlformats.org/officeDocument/2006/relationships/hyperlink" Target="https://gbr01.safelinks.protection.outlook.com/?url=http%3A%2F%2Fgov.uk%2F&amp;data=05%7C01%7Cliz.marsh%40gwent.police.uk%7C59ad85f0d25b4da387ce08dbdc53fd2a%7Ce46c8472ef5d4b63bc744a60db42c371%7C0%7C1%7C638346025557590262%7CUnknown%7CTWFpbGZsb3d8eyJWIjoiMC4wLjAwMDAiLCJQIjoiV2luMzIiLCJBTiI6Ik1haWwiLCJXVCI6Mn0%3D%7C2000%7C%7C%7C&amp;sdata=Rw9AQdifbREeEHaSqK29ZAhY16xBjfrlhe6wNMhIe1A%3D&amp;reserved=0" TargetMode="External"/><Relationship Id="rId20" Type="http://schemas.openxmlformats.org/officeDocument/2006/relationships/hyperlink" Target="https://gbr01.safelinks.protection.outlook.com/?url=https%3A%2F%2Fdoi.org%2F10.1177%2F0022427806291260&amp;data=05%7C01%7Cliz.marsh%40gwent.police.uk%7C59ad85f0d25b4da387ce08dbdc53fd2a%7Ce46c8472ef5d4b63bc744a60db42c371%7C0%7C1%7C638346025557590262%7CUnknown%7CTWFpbGZsb3d8eyJWIjoiMC4wLjAwMDAiLCJQIjoiV2luMzIiLCJBTiI6Ik1haWwiLCJXVCI6Mn0%3D%7C2000%7C%7C%7C&amp;sdata=dWWaDDU29XD4%2F4CP9P%2Frv%2BU5tZvsnRTBuSU1PeK%2BgY4%3D&amp;reserved=0" TargetMode="External"/><Relationship Id="rId29" Type="http://schemas.openxmlformats.org/officeDocument/2006/relationships/hyperlink" Target="https://gbr01.safelinks.protection.outlook.com/?url=https%3A%2F%2Fwww.researchgate.net%2Fpublication%2F280295777_Lifestyle_and_Routine_Activity_Theories_Revisited_The_Importance_of_Risk_to_the_Study_of_Victimization&amp;data=05%7C01%7Cliz.marsh%40gwent.police.uk%7C59ad85f0d25b4da387ce08dbdc53fd2a%7Ce46c8472ef5d4b63bc744a60db42c371%7C0%7C1%7C638346025557902797%7CUnknown%7CTWFpbGZsb3d8eyJWIjoiMC4wLjAwMDAiLCJQIjoiV2luMzIiLCJBTiI6Ik1haWwiLCJXVCI6Mn0%3D%7C2000%7C%7C%7C&amp;sdata=Utgx0z1Ag9rni7Joneo9tBgztcu1SaJIK039to7IBBI%3D&amp;reserved=0" TargetMode="External"/><Relationship Id="rId1" Type="http://schemas.openxmlformats.org/officeDocument/2006/relationships/styles" Target="styles.xml"/><Relationship Id="rId6" Type="http://schemas.openxmlformats.org/officeDocument/2006/relationships/hyperlink" Target="https://gbr01.safelinks.protection.outlook.com/?url=http%3A%2F%2Fpersonal.kent.edu%2F~suludag%2FKristen%2520Bailey%2520%2520causes%2520of%2520recidivism%2520in%2520the%2520criminal%2520justice%2520system.pdf&amp;data=05%7C01%7Cliz.marsh%40gwent.police.uk%7C59ad85f0d25b4da387ce08dbdc53fd2a%7Ce46c8472ef5d4b63bc744a60db42c371%7C0%7C1%7C638346025557433973%7CUnknown%7CTWFpbGZsb3d8eyJWIjoiMC4wLjAwMDAiLCJQIjoiV2luMzIiLCJBTiI6Ik1haWwiLCJXVCI6Mn0%3D%7C2000%7C%7C%7C&amp;sdata=0nq%2BXs8%2Fej2NCptomxTpYiDOZzDD59hAbtjcMWpM9xY%3D&amp;reserved=0" TargetMode="External"/><Relationship Id="rId11" Type="http://schemas.openxmlformats.org/officeDocument/2006/relationships/hyperlink" Target="https://gbr01.safelinks.protection.outlook.com/?url=https%3A%2F%2Fsk.sagepub.com%2Fbooks%2Feffective-multi-agency-partnerships%2Fn1.xml&amp;data=05%7C01%7Cliz.marsh%40gwent.police.uk%7C59ad85f0d25b4da387ce08dbdc53fd2a%7Ce46c8472ef5d4b63bc744a60db42c371%7C0%7C1%7C638346025557433973%7CUnknown%7CTWFpbGZsb3d8eyJWIjoiMC4wLjAwMDAiLCJQIjoiV2luMzIiLCJBTiI6Ik1haWwiLCJXVCI6Mn0%3D%7C2000%7C%7C%7C&amp;sdata=DhDpH6FqJK5uLgA0F6oCEnbaSOB9SDzja0n0TSBNf3E%3D&amp;reserved=0" TargetMode="External"/><Relationship Id="rId24" Type="http://schemas.openxmlformats.org/officeDocument/2006/relationships/hyperlink" Target="https://gbr01.safelinks.protection.outlook.com/?url=https%3A%2F%2Fwww.aru.ac.uk%2Fpolicing-institute%2Fresearch%2Fnational-mappa-research&amp;data=05%7C01%7Cliz.marsh%40gwent.police.uk%7C59ad85f0d25b4da387ce08dbdc53fd2a%7Ce46c8472ef5d4b63bc744a60db42c371%7C0%7C1%7C638346025557746505%7CUnknown%7CTWFpbGZsb3d8eyJWIjoiMC4wLjAwMDAiLCJQIjoiV2luMzIiLCJBTiI6Ik1haWwiLCJXVCI6Mn0%3D%7C2000%7C%7C%7C&amp;sdata=IbJT9f7YwxqSp0Ws%2FtSTp0HGQ1vEqsTwfVdz7Ow4og4%3D&amp;reserved=0" TargetMode="External"/><Relationship Id="rId32" Type="http://schemas.openxmlformats.org/officeDocument/2006/relationships/hyperlink" Target="https://gbr01.safelinks.protection.outlook.com/?url=https%3A%2F%2Fwww.intechopen.com%2Fchapters%2F57686&amp;data=05%7C01%7Cliz.marsh%40gwent.police.uk%7C59ad85f0d25b4da387ce08dbdc53fd2a%7Ce46c8472ef5d4b63bc744a60db42c371%7C0%7C1%7C638346025557902797%7CUnknown%7CTWFpbGZsb3d8eyJWIjoiMC4wLjAwMDAiLCJQIjoiV2luMzIiLCJBTiI6Ik1haWwiLCJXVCI6Mn0%3D%7C2000%7C%7C%7C&amp;sdata=m2DkW7Mys7CAEMSx6%2FVlFGWIhEn0ygjhnBQAnRwb7HM%3D&amp;reserved=0" TargetMode="External"/><Relationship Id="rId37" Type="http://schemas.openxmlformats.org/officeDocument/2006/relationships/theme" Target="theme/theme1.xml"/><Relationship Id="rId5" Type="http://schemas.openxmlformats.org/officeDocument/2006/relationships/hyperlink" Target="https://gbr01.safelinks.protection.outlook.com/?url=https%3A%2F%2Fsk.sagepub.com%2Fbooks%2Feffective-multi-agency-partnerships%2Fn1.xml&amp;data=05%7C01%7Cliz.marsh%40gwent.police.uk%7C59ad85f0d25b4da387ce08dbdc53fd2a%7Ce46c8472ef5d4b63bc744a60db42c371%7C0%7C1%7C638346025557277724%7CUnknown%7CTWFpbGZsb3d8eyJWIjoiMC4wLjAwMDAiLCJQIjoiV2luMzIiLCJBTiI6Ik1haWwiLCJXVCI6Mn0%3D%7C2000%7C%7C%7C&amp;sdata=y1Zp3lNW0OlF1bzLC4B%2FPCvXTTgrdqCfQsLDC5efdrg%3D&amp;reserved=0" TargetMode="External"/><Relationship Id="rId15" Type="http://schemas.openxmlformats.org/officeDocument/2006/relationships/hyperlink" Target="https://gbr01.safelinks.protection.outlook.com/?url=https%3A%2F%2Fwww.police-foundation.org.uk%2Fpublication%2Fmulti-agency-case-management%2F&amp;data=05%7C01%7Cliz.marsh%40gwent.police.uk%7C59ad85f0d25b4da387ce08dbdc53fd2a%7Ce46c8472ef5d4b63bc744a60db42c371%7C0%7C1%7C638346025557590262%7CUnknown%7CTWFpbGZsb3d8eyJWIjoiMC4wLjAwMDAiLCJQIjoiV2luMzIiLCJBTiI6Ik1haWwiLCJXVCI6Mn0%3D%7C2000%7C%7C%7C&amp;sdata=wswoyLXVOo9bM3ByY9ejUN8K%2FeyMnRP8%2BLqCgpdToU0%3D&amp;reserved=0" TargetMode="External"/><Relationship Id="rId23" Type="http://schemas.openxmlformats.org/officeDocument/2006/relationships/hyperlink" Target="https://gbr01.safelinks.protection.outlook.com/?url=http%3A%2F%2Fwww.aru.ac.uk%2F&amp;data=05%7C01%7Cliz.marsh%40gwent.police.uk%7C59ad85f0d25b4da387ce08dbdc53fd2a%7Ce46c8472ef5d4b63bc744a60db42c371%7C0%7C1%7C638346025557746505%7CUnknown%7CTWFpbGZsb3d8eyJWIjoiMC4wLjAwMDAiLCJQIjoiV2luMzIiLCJBTiI6Ik1haWwiLCJXVCI6Mn0%3D%7C2000%7C%7C%7C&amp;sdata=AfyamktOkGVpVjpegt3vs2hRCpuW3YYhnNvG9QbSea0%3D&amp;reserved=0" TargetMode="External"/><Relationship Id="rId28" Type="http://schemas.openxmlformats.org/officeDocument/2006/relationships/hyperlink" Target="https://gbr01.safelinks.protection.outlook.com/?url=https%3A%2F%2Fwww.justiceinspectorates.gov.uk%2Fhmiprobation%2Fwp-content%2Fuploads%2Fsites%2F5%2F2021%2F01%2FAcademic-Insights-county-lines-.pdf&amp;data=05%7C01%7Cliz.marsh%40gwent.police.uk%7C59ad85f0d25b4da387ce08dbdc53fd2a%7Ce46c8472ef5d4b63bc744a60db42c371%7C0%7C1%7C638346025557746505%7CUnknown%7CTWFpbGZsb3d8eyJWIjoiMC4wLjAwMDAiLCJQIjoiV2luMzIiLCJBTiI6Ik1haWwiLCJXVCI6Mn0%3D%7C2000%7C%7C%7C&amp;sdata=Mh6ABeGnR0kUxi1oN3XnFtXKaF1u0EhNCDsu5lHg11g%3D&amp;reserved=0" TargetMode="External"/><Relationship Id="rId36" Type="http://schemas.openxmlformats.org/officeDocument/2006/relationships/fontTable" Target="fontTable.xml"/><Relationship Id="rId10" Type="http://schemas.openxmlformats.org/officeDocument/2006/relationships/hyperlink" Target="https://gbr01.safelinks.protection.outlook.com/?url=https%3A%2F%2Fwww.met.police.uk%2FSysSiteAssets%2Fmedia%2Fdownloads%2Fmet%2Fabout-us%2Fbaroness-casey-review%2Fupdate-march-2023%2Fbaroness-casey-review-march-2023a.pdf&amp;data=05%7C01%7Cliz.marsh%40gwent.police.uk%7C59ad85f0d25b4da387ce08dbdc53fd2a%7Ce46c8472ef5d4b63bc744a60db42c371%7C0%7C1%7C638346025557433973%7CUnknown%7CTWFpbGZsb3d8eyJWIjoiMC4wLjAwMDAiLCJQIjoiV2luMzIiLCJBTiI6Ik1haWwiLCJXVCI6Mn0%3D%7C2000%7C%7C%7C&amp;sdata=LQXZkebSC96DfI3DvOk4kfI82rMY9cUbIsh6tz4ylws%3D&amp;reserved=0" TargetMode="External"/><Relationship Id="rId19" Type="http://schemas.openxmlformats.org/officeDocument/2006/relationships/hyperlink" Target="https://gbr01.safelinks.protection.outlook.com/?url=https%3A%2F%2Fwww.policeconduct.gov.uk%2Fnews%2Fupdate-investigation-allegations-sharing-offensive-messages-among-gwent-police-officers&amp;data=05%7C01%7Cliz.marsh%40gwent.police.uk%7C59ad85f0d25b4da387ce08dbdc53fd2a%7Ce46c8472ef5d4b63bc744a60db42c371%7C0%7C1%7C638346025557590262%7CUnknown%7CTWFpbGZsb3d8eyJWIjoiMC4wLjAwMDAiLCJQIjoiV2luMzIiLCJBTiI6Ik1haWwiLCJXVCI6Mn0%3D%7C2000%7C%7C%7C&amp;sdata=gciKb0%2BC4sG4bODwZ1oXc9M4a%2BZnP%2F%2B27J9xZMKaU%2Fo%3D&amp;reserved=0" TargetMode="External"/><Relationship Id="rId31" Type="http://schemas.openxmlformats.org/officeDocument/2006/relationships/hyperlink" Target="https://gbr01.safelinks.protection.outlook.com/?url=http%3A%2F%2Fwww.intechopen.com%2F&amp;data=05%7C01%7Cliz.marsh%40gwent.police.uk%7C59ad85f0d25b4da387ce08dbdc53fd2a%7Ce46c8472ef5d4b63bc744a60db42c371%7C0%7C1%7C638346025557902797%7CUnknown%7CTWFpbGZsb3d8eyJWIjoiMC4wLjAwMDAiLCJQIjoiV2luMzIiLCJBTiI6Ik1haWwiLCJXVCI6Mn0%3D%7C2000%7C%7C%7C&amp;sdata=2sndZs%2B%2F3kUnXzuHz2rPnSVEEsfj7MADwpOvIhZZaC8%3D&amp;reserved=0" TargetMode="External"/><Relationship Id="rId4" Type="http://schemas.openxmlformats.org/officeDocument/2006/relationships/hyperlink" Target="https://gbr01.safelinks.protection.outlook.com/?url=http%3A%2F%2Fpersonal.kent.edu%2F~suludag%2FKristen%2520Bailey%2520%2520causes%2520of%2520recidivism%2520in%2520the%2520criminal%2520justice%2520system.pdf&amp;data=05%7C01%7Cliz.marsh%40gwent.police.uk%7C59ad85f0d25b4da387ce08dbdc53fd2a%7Ce46c8472ef5d4b63bc744a60db42c371%7C0%7C1%7C638346025557277724%7CUnknown%7CTWFpbGZsb3d8eyJWIjoiMC4wLjAwMDAiLCJQIjoiV2luMzIiLCJBTiI6Ik1haWwiLCJXVCI6Mn0%3D%7C2000%7C%7C%7C&amp;sdata=7TIbYfWtzs2a4YLKBSgLZQmbzvmCDJUBaRkupNjDEdA%3D&amp;reserved=0" TargetMode="External"/><Relationship Id="rId9" Type="http://schemas.openxmlformats.org/officeDocument/2006/relationships/hyperlink" Target="https://gbr01.safelinks.protection.outlook.com/?url=https%3A%2F%2Fassets.college.police.uk%2Fs3fs-public%2F2023-03%2FRapid-evidence-assessment-ethical-decision-making-in-policing.pdf&amp;data=05%7C01%7Cliz.marsh%40gwent.police.uk%7C59ad85f0d25b4da387ce08dbdc53fd2a%7Ce46c8472ef5d4b63bc744a60db42c371%7C0%7C1%7C638346025557433973%7CUnknown%7CTWFpbGZsb3d8eyJWIjoiMC4wLjAwMDAiLCJQIjoiV2luMzIiLCJBTiI6Ik1haWwiLCJXVCI6Mn0%3D%7C2000%7C%7C%7C&amp;sdata=Pv1AZmXcSErhSh%2FAMMkyUU%2FMvcaiDfKQ6pBhe3nAJfM%3D&amp;reserved=0" TargetMode="External"/><Relationship Id="rId14" Type="http://schemas.openxmlformats.org/officeDocument/2006/relationships/hyperlink" Target="https://gbr01.safelinks.protection.outlook.com/?url=https%3A%2F%2Fdoi.org%2F10.1057%2Fs41300-022-00161-1&amp;data=05%7C01%7Cliz.marsh%40gwent.police.uk%7C59ad85f0d25b4da387ce08dbdc53fd2a%7Ce46c8472ef5d4b63bc744a60db42c371%7C0%7C1%7C638346025557590262%7CUnknown%7CTWFpbGZsb3d8eyJWIjoiMC4wLjAwMDAiLCJQIjoiV2luMzIiLCJBTiI6Ik1haWwiLCJXVCI6Mn0%3D%7C2000%7C%7C%7C&amp;sdata=xiNt1YmDYSCZelOcHOQvJty6JRi1x5EIXxY1hnhbGX8%3D&amp;reserved=0" TargetMode="External"/><Relationship Id="rId22" Type="http://schemas.openxmlformats.org/officeDocument/2006/relationships/hyperlink" Target="https://gbr01.safelinks.protection.outlook.com/?url=https%3A%2F%2Fwww.aru.ac.uk%2Fpolicing-institute%2Fresearch%2Fnational-mappa-research&amp;data=05%7C01%7Cliz.marsh%40gwent.police.uk%7C59ad85f0d25b4da387ce08dbdc53fd2a%7Ce46c8472ef5d4b63bc744a60db42c371%7C0%7C1%7C638346025557746505%7CUnknown%7CTWFpbGZsb3d8eyJWIjoiMC4wLjAwMDAiLCJQIjoiV2luMzIiLCJBTiI6Ik1haWwiLCJXVCI6Mn0%3D%7C2000%7C%7C%7C&amp;sdata=IbJT9f7YwxqSp0Ws%2FtSTp0HGQ1vEqsTwfVdz7Ow4og4%3D&amp;reserved=0" TargetMode="External"/><Relationship Id="rId27" Type="http://schemas.openxmlformats.org/officeDocument/2006/relationships/hyperlink" Target="https://gbr01.safelinks.protection.outlook.com/?url=https%3A%2F%2Fassets.publishing.service.gov.uk%2Fmedia%2F5a7c856640f0b626628aca61%2Fpatterns-reconviction-mappa.pdf&amp;data=05%7C01%7Cliz.marsh%40gwent.police.uk%7C59ad85f0d25b4da387ce08dbdc53fd2a%7Ce46c8472ef5d4b63bc744a60db42c371%7C0%7C1%7C638346025557746505%7CUnknown%7CTWFpbGZsb3d8eyJWIjoiMC4wLjAwMDAiLCJQIjoiV2luMzIiLCJBTiI6Ik1haWwiLCJXVCI6Mn0%3D%7C2000%7C%7C%7C&amp;sdata=9KlIAA532VeXC48GjbFqJyB2lF%2FARPvyXhD%2FFE4yRII%3D&amp;reserved=0" TargetMode="External"/><Relationship Id="rId30" Type="http://schemas.openxmlformats.org/officeDocument/2006/relationships/hyperlink" Target="https://gbr01.safelinks.protection.outlook.com/?url=https%3A%2F%2Fdoi.org%2F10.4081%2Fhpr.2014.1821&amp;data=05%7C01%7Cliz.marsh%40gwent.police.uk%7C59ad85f0d25b4da387ce08dbdc53fd2a%7Ce46c8472ef5d4b63bc744a60db42c371%7C0%7C1%7C638346025557902797%7CUnknown%7CTWFpbGZsb3d8eyJWIjoiMC4wLjAwMDAiLCJQIjoiV2luMzIiLCJBTiI6Ik1haWwiLCJXVCI6Mn0%3D%7C2000%7C%7C%7C&amp;sdata=1x%2BW81M5QZOwIkQjMzCs9eRr0pOLsbNi6jhpJ1NAC4M%3D&amp;reserved=0" TargetMode="External"/><Relationship Id="rId35" Type="http://schemas.openxmlformats.org/officeDocument/2006/relationships/hyperlink" Target="https://gbr01.safelinks.protection.outlook.com/?url=https%3A%2F%2Fdoi.org%2F10.1017%2Fs1092852919001056&amp;data=05%7C01%7Cliz.marsh%40gwent.police.uk%7C59ad85f0d25b4da387ce08dbdc53fd2a%7Ce46c8472ef5d4b63bc744a60db42c371%7C0%7C1%7C638346025557902797%7CUnknown%7CTWFpbGZsb3d8eyJWIjoiMC4wLjAwMDAiLCJQIjoiV2luMzIiLCJBTiI6Ik1haWwiLCJXVCI6Mn0%3D%7C2000%7C%7C%7C&amp;sdata=LZS4E3%2BlxRafn51hXqflrJhAs%2FVZ4R5EyvNryW3FDPk%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11</Pages>
  <Words>7063</Words>
  <Characters>40263</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 Liz</dc:creator>
  <cp:keywords/>
  <dc:description/>
  <cp:lastModifiedBy>Marsh, Liz</cp:lastModifiedBy>
  <cp:revision>7</cp:revision>
  <dcterms:created xsi:type="dcterms:W3CDTF">2023-11-03T10:18:00Z</dcterms:created>
  <dcterms:modified xsi:type="dcterms:W3CDTF">2023-11-03T13:45:00Z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2023-11-03T10:25:13Z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d01d4382-7046-4bd0-8ad8-45cfae6377d4</vt:lpwstr>
  </property>
  <property fmtid="{D5CDD505-2E9C-101B-9397-08002B2CF9AE}" pid="8" name="MSIP_Label_f2acd28b-79a3-4a0f-b0ff-4b75658b1549_ContentBits">
    <vt:lpwstr>0</vt:lpwstr>
  </property>
</Properties>
</file>