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3C2" w:rsidRPr="00761765" w:rsidRDefault="00552AE0" w:rsidP="00F87FC2">
      <w:pPr>
        <w:spacing w:line="360" w:lineRule="auto"/>
        <w:jc w:val="center"/>
        <w:rPr>
          <w:rFonts w:ascii="Arial" w:hAnsi="Arial" w:cs="Arial"/>
          <w:sz w:val="28"/>
          <w:szCs w:val="24"/>
        </w:rPr>
      </w:pPr>
      <w:r w:rsidRPr="00761765">
        <w:rPr>
          <w:rFonts w:ascii="Arial" w:hAnsi="Arial" w:cs="Arial"/>
          <w:sz w:val="28"/>
          <w:szCs w:val="24"/>
        </w:rPr>
        <w:t>The Crucifixion</w:t>
      </w:r>
    </w:p>
    <w:p w:rsidR="00761765" w:rsidRDefault="00761765" w:rsidP="00F87FC2">
      <w:pPr>
        <w:spacing w:line="360" w:lineRule="auto"/>
        <w:jc w:val="both"/>
        <w:rPr>
          <w:rFonts w:ascii="Arial" w:hAnsi="Arial" w:cs="Arial"/>
          <w:sz w:val="24"/>
          <w:szCs w:val="24"/>
        </w:rPr>
      </w:pPr>
      <w:r>
        <w:rPr>
          <w:rFonts w:ascii="Arial" w:hAnsi="Arial" w:cs="Arial"/>
          <w:sz w:val="24"/>
          <w:szCs w:val="24"/>
        </w:rPr>
        <w:t>Jesus Christ was the centre of the medieval world. This late thirteenth century</w:t>
      </w:r>
      <w:r>
        <w:rPr>
          <w:rStyle w:val="FootnoteReference"/>
          <w:rFonts w:ascii="Arial" w:hAnsi="Arial" w:cs="Arial"/>
          <w:sz w:val="24"/>
          <w:szCs w:val="24"/>
        </w:rPr>
        <w:footnoteReference w:id="1"/>
      </w:r>
      <w:r>
        <w:rPr>
          <w:rFonts w:ascii="Arial" w:hAnsi="Arial" w:cs="Arial"/>
          <w:sz w:val="24"/>
          <w:szCs w:val="24"/>
        </w:rPr>
        <w:t xml:space="preserve">  illumination</w:t>
      </w:r>
      <w:r w:rsidR="00FE3B3C">
        <w:rPr>
          <w:rFonts w:ascii="Arial" w:hAnsi="Arial" w:cs="Arial"/>
          <w:sz w:val="24"/>
          <w:szCs w:val="24"/>
        </w:rPr>
        <w:t xml:space="preserve">, depicting the Crucifixion, </w:t>
      </w:r>
      <w:r w:rsidR="00B77ED1">
        <w:rPr>
          <w:rFonts w:ascii="Arial" w:hAnsi="Arial" w:cs="Arial"/>
          <w:sz w:val="24"/>
          <w:szCs w:val="24"/>
        </w:rPr>
        <w:t xml:space="preserve"> not only </w:t>
      </w:r>
      <w:r w:rsidR="00FE3B3C">
        <w:rPr>
          <w:rFonts w:ascii="Arial" w:hAnsi="Arial" w:cs="Arial"/>
          <w:sz w:val="24"/>
          <w:szCs w:val="24"/>
        </w:rPr>
        <w:t>shows</w:t>
      </w:r>
      <w:r w:rsidR="00B77ED1">
        <w:rPr>
          <w:rFonts w:ascii="Arial" w:hAnsi="Arial" w:cs="Arial"/>
          <w:sz w:val="24"/>
          <w:szCs w:val="24"/>
        </w:rPr>
        <w:t xml:space="preserve"> the power wielded by the Catholic Church, but what the </w:t>
      </w:r>
      <w:r w:rsidR="008E5EC4">
        <w:rPr>
          <w:rFonts w:ascii="Arial" w:hAnsi="Arial" w:cs="Arial"/>
          <w:sz w:val="24"/>
          <w:szCs w:val="24"/>
        </w:rPr>
        <w:t>‘unenlightened’</w:t>
      </w:r>
      <w:r w:rsidR="008E5EC4">
        <w:rPr>
          <w:rStyle w:val="FootnoteReference"/>
          <w:rFonts w:ascii="Arial" w:hAnsi="Arial" w:cs="Arial"/>
          <w:sz w:val="24"/>
          <w:szCs w:val="24"/>
        </w:rPr>
        <w:footnoteReference w:id="2"/>
      </w:r>
      <w:r w:rsidR="008E5EC4">
        <w:rPr>
          <w:rFonts w:ascii="Arial" w:hAnsi="Arial" w:cs="Arial"/>
          <w:sz w:val="24"/>
          <w:szCs w:val="24"/>
        </w:rPr>
        <w:t xml:space="preserve"> </w:t>
      </w:r>
      <w:r w:rsidR="00FD7CE6">
        <w:rPr>
          <w:rFonts w:ascii="Arial" w:hAnsi="Arial" w:cs="Arial"/>
          <w:sz w:val="24"/>
          <w:szCs w:val="24"/>
        </w:rPr>
        <w:t>populous of the Middle Ages understood about</w:t>
      </w:r>
      <w:r w:rsidR="008E5EC4">
        <w:rPr>
          <w:rFonts w:ascii="Arial" w:hAnsi="Arial" w:cs="Arial"/>
          <w:sz w:val="24"/>
          <w:szCs w:val="24"/>
        </w:rPr>
        <w:t xml:space="preserve"> religion and valued in wider society.</w:t>
      </w:r>
      <w:r w:rsidR="00FE3B3C">
        <w:rPr>
          <w:rFonts w:ascii="Arial" w:hAnsi="Arial" w:cs="Arial"/>
          <w:sz w:val="24"/>
          <w:szCs w:val="24"/>
        </w:rPr>
        <w:t xml:space="preserve"> </w:t>
      </w:r>
    </w:p>
    <w:p w:rsidR="00F90FD2" w:rsidRDefault="00FE3B3C" w:rsidP="00F87FC2">
      <w:pPr>
        <w:spacing w:line="360" w:lineRule="auto"/>
        <w:jc w:val="both"/>
        <w:rPr>
          <w:rFonts w:ascii="Arial" w:hAnsi="Arial" w:cs="Arial"/>
          <w:sz w:val="24"/>
          <w:szCs w:val="24"/>
        </w:rPr>
      </w:pPr>
      <w:r>
        <w:rPr>
          <w:rFonts w:ascii="Arial" w:hAnsi="Arial" w:cs="Arial"/>
          <w:sz w:val="24"/>
          <w:szCs w:val="24"/>
        </w:rPr>
        <w:t>Painted in Amiens, France</w:t>
      </w:r>
      <w:r>
        <w:rPr>
          <w:rStyle w:val="FootnoteReference"/>
          <w:rFonts w:ascii="Arial" w:hAnsi="Arial" w:cs="Arial"/>
          <w:sz w:val="24"/>
          <w:szCs w:val="24"/>
        </w:rPr>
        <w:footnoteReference w:id="3"/>
      </w:r>
      <w:r>
        <w:rPr>
          <w:rFonts w:ascii="Arial" w:hAnsi="Arial" w:cs="Arial"/>
          <w:sz w:val="24"/>
          <w:szCs w:val="24"/>
        </w:rPr>
        <w:t xml:space="preserve"> </w:t>
      </w:r>
      <w:r w:rsidR="00E85994">
        <w:rPr>
          <w:rFonts w:ascii="Arial" w:hAnsi="Arial" w:cs="Arial"/>
          <w:sz w:val="24"/>
          <w:szCs w:val="24"/>
        </w:rPr>
        <w:t>this miniature</w:t>
      </w:r>
      <w:r>
        <w:rPr>
          <w:rFonts w:ascii="Arial" w:hAnsi="Arial" w:cs="Arial"/>
          <w:sz w:val="24"/>
          <w:szCs w:val="24"/>
        </w:rPr>
        <w:t xml:space="preserve"> captures the artistic transition from the Romanesque style to the </w:t>
      </w:r>
      <w:r w:rsidR="00935ABF">
        <w:rPr>
          <w:rFonts w:ascii="Arial" w:hAnsi="Arial" w:cs="Arial"/>
          <w:sz w:val="24"/>
          <w:szCs w:val="24"/>
        </w:rPr>
        <w:t xml:space="preserve">Gothic, with the focus standing against an ethereal gold background and a heavy, ultra-marine blue encasing it. </w:t>
      </w:r>
      <w:r w:rsidR="00214C63">
        <w:rPr>
          <w:rFonts w:ascii="Arial" w:hAnsi="Arial" w:cs="Arial"/>
          <w:sz w:val="24"/>
          <w:szCs w:val="24"/>
        </w:rPr>
        <w:t>Moreover, the highly decorative steeples at the top of the page, with blue and red accents, echo the gothic architecture of Amiens Cathedral</w:t>
      </w:r>
      <w:r w:rsidR="00E85994">
        <w:rPr>
          <w:rFonts w:ascii="Arial" w:hAnsi="Arial" w:cs="Arial"/>
          <w:sz w:val="24"/>
          <w:szCs w:val="24"/>
        </w:rPr>
        <w:t>; this display of grandeur adds an air of nobility to the psalter’s patrons. In addition, the exorbitant price of gold leaf and excessive use of it in this piece highlights the wealth of the family, and perhaps is an insight to the expectations placed on the prosperous: to be profligate spenders in the pursuit of a place in Heaven.</w:t>
      </w:r>
      <w:r w:rsidR="00F90FD2">
        <w:rPr>
          <w:rFonts w:ascii="Arial" w:hAnsi="Arial" w:cs="Arial"/>
          <w:sz w:val="24"/>
          <w:szCs w:val="24"/>
        </w:rPr>
        <w:t xml:space="preserve"> </w:t>
      </w:r>
      <w:r w:rsidR="00E85994">
        <w:rPr>
          <w:rFonts w:ascii="Arial" w:hAnsi="Arial" w:cs="Arial"/>
          <w:sz w:val="24"/>
          <w:szCs w:val="24"/>
        </w:rPr>
        <w:t>T</w:t>
      </w:r>
      <w:r w:rsidR="00935ABF">
        <w:rPr>
          <w:rFonts w:ascii="Arial" w:hAnsi="Arial" w:cs="Arial"/>
          <w:sz w:val="24"/>
          <w:szCs w:val="24"/>
        </w:rPr>
        <w:t xml:space="preserve">he hallmark of medieval patronage </w:t>
      </w:r>
      <w:r w:rsidR="00E85994">
        <w:rPr>
          <w:rFonts w:ascii="Arial" w:hAnsi="Arial" w:cs="Arial"/>
          <w:sz w:val="24"/>
          <w:szCs w:val="24"/>
        </w:rPr>
        <w:t xml:space="preserve">also </w:t>
      </w:r>
      <w:r w:rsidR="00935ABF">
        <w:rPr>
          <w:rFonts w:ascii="Arial" w:hAnsi="Arial" w:cs="Arial"/>
          <w:sz w:val="24"/>
          <w:szCs w:val="24"/>
        </w:rPr>
        <w:t>remains</w:t>
      </w:r>
      <w:r w:rsidR="00C715AF">
        <w:rPr>
          <w:rFonts w:ascii="Arial" w:hAnsi="Arial" w:cs="Arial"/>
          <w:sz w:val="24"/>
          <w:szCs w:val="24"/>
        </w:rPr>
        <w:t>,</w:t>
      </w:r>
      <w:r w:rsidR="00935ABF">
        <w:rPr>
          <w:rFonts w:ascii="Arial" w:hAnsi="Arial" w:cs="Arial"/>
          <w:sz w:val="24"/>
          <w:szCs w:val="24"/>
        </w:rPr>
        <w:t xml:space="preserve"> as six heraldic shields decorate the border</w:t>
      </w:r>
      <w:r w:rsidR="00B33A76">
        <w:rPr>
          <w:rFonts w:ascii="Arial" w:hAnsi="Arial" w:cs="Arial"/>
          <w:sz w:val="24"/>
          <w:szCs w:val="24"/>
        </w:rPr>
        <w:t xml:space="preserve">. Both coats of arms </w:t>
      </w:r>
      <w:r w:rsidR="00C715AF">
        <w:rPr>
          <w:rFonts w:ascii="Arial" w:hAnsi="Arial" w:cs="Arial"/>
          <w:sz w:val="24"/>
          <w:szCs w:val="24"/>
        </w:rPr>
        <w:t xml:space="preserve">are from the </w:t>
      </w:r>
      <w:r w:rsidR="00C715AF" w:rsidRPr="00C715AF">
        <w:rPr>
          <w:rFonts w:ascii="Arial" w:hAnsi="Arial" w:cs="Arial"/>
          <w:sz w:val="24"/>
          <w:szCs w:val="24"/>
        </w:rPr>
        <w:t>Coeuvres</w:t>
      </w:r>
      <w:r w:rsidR="00C715AF">
        <w:rPr>
          <w:rFonts w:ascii="Arial" w:hAnsi="Arial" w:cs="Arial"/>
          <w:sz w:val="24"/>
          <w:szCs w:val="24"/>
        </w:rPr>
        <w:t xml:space="preserve"> and </w:t>
      </w:r>
      <w:r w:rsidR="00C715AF" w:rsidRPr="00C715AF">
        <w:rPr>
          <w:rFonts w:ascii="Arial" w:hAnsi="Arial" w:cs="Arial"/>
          <w:sz w:val="24"/>
          <w:szCs w:val="24"/>
        </w:rPr>
        <w:t>Moreuil</w:t>
      </w:r>
      <w:r w:rsidR="00C715AF">
        <w:rPr>
          <w:rFonts w:ascii="Arial" w:hAnsi="Arial" w:cs="Arial"/>
          <w:sz w:val="24"/>
          <w:szCs w:val="24"/>
        </w:rPr>
        <w:t xml:space="preserve"> family</w:t>
      </w:r>
      <w:r w:rsidR="00B33A76">
        <w:rPr>
          <w:rFonts w:ascii="Arial" w:hAnsi="Arial" w:cs="Arial"/>
          <w:sz w:val="24"/>
          <w:szCs w:val="24"/>
        </w:rPr>
        <w:t>,</w:t>
      </w:r>
      <w:r w:rsidR="00C715AF">
        <w:rPr>
          <w:rStyle w:val="FootnoteReference"/>
          <w:rFonts w:ascii="Arial" w:hAnsi="Arial" w:cs="Arial"/>
          <w:sz w:val="24"/>
          <w:szCs w:val="24"/>
        </w:rPr>
        <w:footnoteReference w:id="4"/>
      </w:r>
      <w:r w:rsidR="00B33A76">
        <w:rPr>
          <w:rFonts w:ascii="Arial" w:hAnsi="Arial" w:cs="Arial"/>
          <w:sz w:val="24"/>
          <w:szCs w:val="24"/>
        </w:rPr>
        <w:t xml:space="preserve"> and this pairing perhaps hints to</w:t>
      </w:r>
      <w:r w:rsidR="00214C63">
        <w:rPr>
          <w:rFonts w:ascii="Arial" w:hAnsi="Arial" w:cs="Arial"/>
          <w:sz w:val="24"/>
          <w:szCs w:val="24"/>
        </w:rPr>
        <w:t xml:space="preserve"> a mutually beneficial marriage of the two families.</w:t>
      </w:r>
      <w:r w:rsidR="00B33A76">
        <w:rPr>
          <w:rFonts w:ascii="Arial" w:hAnsi="Arial" w:cs="Arial"/>
          <w:sz w:val="24"/>
          <w:szCs w:val="24"/>
        </w:rPr>
        <w:t xml:space="preserve"> </w:t>
      </w:r>
      <w:r w:rsidR="00C715AF" w:rsidRPr="00C715AF">
        <w:rPr>
          <w:rFonts w:ascii="Arial" w:hAnsi="Arial" w:cs="Arial"/>
          <w:sz w:val="24"/>
          <w:szCs w:val="24"/>
        </w:rPr>
        <w:t>Comtesse de la Table</w:t>
      </w:r>
      <w:r w:rsidR="00C715AF">
        <w:rPr>
          <w:rFonts w:ascii="Arial" w:hAnsi="Arial" w:cs="Arial"/>
          <w:sz w:val="24"/>
          <w:szCs w:val="24"/>
        </w:rPr>
        <w:t xml:space="preserve">, stepmother of </w:t>
      </w:r>
      <w:r w:rsidR="00C715AF" w:rsidRPr="00C715AF">
        <w:rPr>
          <w:rFonts w:ascii="Arial" w:hAnsi="Arial" w:cs="Arial"/>
          <w:sz w:val="24"/>
          <w:szCs w:val="24"/>
        </w:rPr>
        <w:t>Yolande de. Soissons</w:t>
      </w:r>
      <w:r w:rsidR="00C715AF">
        <w:rPr>
          <w:rFonts w:ascii="Arial" w:hAnsi="Arial" w:cs="Arial"/>
          <w:sz w:val="24"/>
          <w:szCs w:val="24"/>
        </w:rPr>
        <w:t>,</w:t>
      </w:r>
      <w:r w:rsidR="00C715AF">
        <w:rPr>
          <w:rStyle w:val="FootnoteReference"/>
          <w:rFonts w:ascii="Arial" w:hAnsi="Arial" w:cs="Arial"/>
          <w:sz w:val="24"/>
          <w:szCs w:val="24"/>
        </w:rPr>
        <w:footnoteReference w:id="5"/>
      </w:r>
      <w:r w:rsidR="00C715AF">
        <w:rPr>
          <w:rFonts w:ascii="Arial" w:hAnsi="Arial" w:cs="Arial"/>
          <w:sz w:val="24"/>
          <w:szCs w:val="24"/>
        </w:rPr>
        <w:t xml:space="preserve"> commissioned this psalter for herself; however, as both shields feature it may be suggested that the Comtesse had the sole intention of passing her psalter-hours to her stepdaughter, </w:t>
      </w:r>
      <w:r w:rsidR="00B33A76">
        <w:rPr>
          <w:rFonts w:ascii="Arial" w:hAnsi="Arial" w:cs="Arial"/>
          <w:sz w:val="24"/>
          <w:szCs w:val="24"/>
        </w:rPr>
        <w:t xml:space="preserve">the </w:t>
      </w:r>
      <w:r w:rsidR="00C715AF">
        <w:rPr>
          <w:rFonts w:ascii="Arial" w:hAnsi="Arial" w:cs="Arial"/>
          <w:sz w:val="24"/>
          <w:szCs w:val="24"/>
        </w:rPr>
        <w:t>lady of Moreuil.</w:t>
      </w:r>
      <w:r w:rsidR="00C715AF">
        <w:rPr>
          <w:rStyle w:val="FootnoteReference"/>
          <w:rFonts w:ascii="Arial" w:hAnsi="Arial" w:cs="Arial"/>
          <w:sz w:val="24"/>
          <w:szCs w:val="24"/>
        </w:rPr>
        <w:footnoteReference w:id="6"/>
      </w:r>
      <w:r w:rsidR="004B4D0C">
        <w:rPr>
          <w:rFonts w:ascii="Arial" w:hAnsi="Arial" w:cs="Arial"/>
          <w:sz w:val="24"/>
          <w:szCs w:val="24"/>
        </w:rPr>
        <w:t xml:space="preserve"> It is surprising that a woman, despite being of such high stature, was in possession of such an ornate and decadent manuscript. Yet, as psalters were demonstrative of both religious conviction and wealth it is </w:t>
      </w:r>
      <w:r w:rsidR="00B33A76">
        <w:rPr>
          <w:rFonts w:ascii="Arial" w:hAnsi="Arial" w:cs="Arial"/>
          <w:sz w:val="24"/>
          <w:szCs w:val="24"/>
        </w:rPr>
        <w:t xml:space="preserve">clear that the Coeuvres desired for their affluence to be immortalised in this collection of folios. </w:t>
      </w:r>
    </w:p>
    <w:p w:rsidR="00496F37" w:rsidRDefault="00496F37" w:rsidP="00F87FC2">
      <w:pPr>
        <w:spacing w:line="360" w:lineRule="auto"/>
        <w:jc w:val="both"/>
        <w:rPr>
          <w:rFonts w:ascii="Arial" w:hAnsi="Arial" w:cs="Arial"/>
          <w:sz w:val="24"/>
          <w:szCs w:val="24"/>
        </w:rPr>
      </w:pPr>
      <w:r>
        <w:rPr>
          <w:rFonts w:ascii="Arial" w:hAnsi="Arial" w:cs="Arial"/>
          <w:sz w:val="24"/>
          <w:szCs w:val="24"/>
        </w:rPr>
        <w:lastRenderedPageBreak/>
        <w:t xml:space="preserve">The prominent presence of ultra-marine blue reiterates this idea, as made from the semi-precious stone Lapis Lazuli it was incredibly expensive to be imported from Afghanistan. Furthermore, enshrining the Virgin Mary in blue </w:t>
      </w:r>
      <w:r w:rsidR="00142771">
        <w:rPr>
          <w:rFonts w:ascii="Arial" w:hAnsi="Arial" w:cs="Arial"/>
          <w:sz w:val="24"/>
          <w:szCs w:val="24"/>
        </w:rPr>
        <w:t xml:space="preserve">suggests that the Comtesse employed the colour knowing its connotations of faith, heaven and purity; which reaffirms her position as a well-educated woman. However, historian </w:t>
      </w:r>
      <w:r w:rsidR="00142771" w:rsidRPr="00142771">
        <w:rPr>
          <w:rFonts w:ascii="Arial" w:hAnsi="Arial" w:cs="Arial"/>
          <w:sz w:val="24"/>
          <w:szCs w:val="24"/>
        </w:rPr>
        <w:t>Pastoureau</w:t>
      </w:r>
      <w:r w:rsidR="00142771">
        <w:rPr>
          <w:rFonts w:ascii="Arial" w:hAnsi="Arial" w:cs="Arial"/>
          <w:sz w:val="24"/>
          <w:szCs w:val="24"/>
        </w:rPr>
        <w:t xml:space="preserve"> suggests that in the Twelfth Century blue became a royal colour, </w:t>
      </w:r>
      <w:r w:rsidR="00142771">
        <w:rPr>
          <w:rStyle w:val="FootnoteReference"/>
          <w:rFonts w:ascii="Arial" w:hAnsi="Arial" w:cs="Arial"/>
          <w:sz w:val="24"/>
          <w:szCs w:val="24"/>
        </w:rPr>
        <w:footnoteReference w:id="7"/>
      </w:r>
      <w:r w:rsidR="00C8101A">
        <w:rPr>
          <w:rFonts w:ascii="Arial" w:hAnsi="Arial" w:cs="Arial"/>
          <w:sz w:val="24"/>
          <w:szCs w:val="24"/>
        </w:rPr>
        <w:t xml:space="preserve"> which exposes the Comtesse’s ulterior motive as one of gaining royal favour. Additionally, using the two most expensive and domina</w:t>
      </w:r>
      <w:bookmarkStart w:id="0" w:name="_GoBack"/>
      <w:bookmarkEnd w:id="0"/>
      <w:r w:rsidR="00C8101A">
        <w:rPr>
          <w:rFonts w:ascii="Arial" w:hAnsi="Arial" w:cs="Arial"/>
          <w:sz w:val="24"/>
          <w:szCs w:val="24"/>
        </w:rPr>
        <w:t xml:space="preserve">nt colours to mirror the heraldic shields, which are largely blue and gold, subconsciously reinforces the importance of the </w:t>
      </w:r>
      <w:r w:rsidR="00C8101A" w:rsidRPr="00C715AF">
        <w:rPr>
          <w:rFonts w:ascii="Arial" w:hAnsi="Arial" w:cs="Arial"/>
          <w:sz w:val="24"/>
          <w:szCs w:val="24"/>
        </w:rPr>
        <w:t>Coeuvres</w:t>
      </w:r>
      <w:r w:rsidR="00C8101A">
        <w:rPr>
          <w:rFonts w:ascii="Arial" w:hAnsi="Arial" w:cs="Arial"/>
          <w:sz w:val="24"/>
          <w:szCs w:val="24"/>
        </w:rPr>
        <w:t xml:space="preserve"> and </w:t>
      </w:r>
      <w:r w:rsidR="00C8101A" w:rsidRPr="00C715AF">
        <w:rPr>
          <w:rFonts w:ascii="Arial" w:hAnsi="Arial" w:cs="Arial"/>
          <w:sz w:val="24"/>
          <w:szCs w:val="24"/>
        </w:rPr>
        <w:t>Moreuil</w:t>
      </w:r>
      <w:r w:rsidR="00C8101A">
        <w:rPr>
          <w:rFonts w:ascii="Arial" w:hAnsi="Arial" w:cs="Arial"/>
          <w:sz w:val="24"/>
          <w:szCs w:val="24"/>
        </w:rPr>
        <w:t xml:space="preserve">s as it connects them to the Holy family and the Royal family. Therefore, despite </w:t>
      </w:r>
      <w:r w:rsidR="00C8101A">
        <w:rPr>
          <w:rFonts w:ascii="Arial" w:hAnsi="Arial" w:cs="Arial"/>
          <w:sz w:val="24"/>
          <w:szCs w:val="24"/>
        </w:rPr>
        <w:t>Zilboorg’s suggestion that those from the Middle Ages were ‘unenlightened’</w:t>
      </w:r>
      <w:r w:rsidR="00FD6334">
        <w:rPr>
          <w:rStyle w:val="FootnoteReference"/>
          <w:rFonts w:ascii="Arial" w:hAnsi="Arial" w:cs="Arial"/>
          <w:sz w:val="24"/>
          <w:szCs w:val="24"/>
        </w:rPr>
        <w:footnoteReference w:id="8"/>
      </w:r>
      <w:r w:rsidR="00C8101A">
        <w:rPr>
          <w:rFonts w:ascii="Arial" w:hAnsi="Arial" w:cs="Arial"/>
          <w:sz w:val="24"/>
          <w:szCs w:val="24"/>
        </w:rPr>
        <w:t xml:space="preserve"> it is clear that</w:t>
      </w:r>
      <w:r w:rsidR="00FD6334">
        <w:rPr>
          <w:rFonts w:ascii="Arial" w:hAnsi="Arial" w:cs="Arial"/>
          <w:sz w:val="24"/>
          <w:szCs w:val="24"/>
        </w:rPr>
        <w:t xml:space="preserve"> their understanding of colour and its implications in a largely illiterate society was highly elaborate.</w:t>
      </w:r>
    </w:p>
    <w:p w:rsidR="008B1BCC" w:rsidRDefault="00FD6334" w:rsidP="00F87FC2">
      <w:pPr>
        <w:spacing w:line="360" w:lineRule="auto"/>
        <w:jc w:val="both"/>
        <w:rPr>
          <w:rFonts w:ascii="Arial" w:hAnsi="Arial" w:cs="Arial"/>
          <w:sz w:val="24"/>
          <w:szCs w:val="24"/>
        </w:rPr>
      </w:pPr>
      <w:r>
        <w:rPr>
          <w:rFonts w:ascii="Arial" w:hAnsi="Arial" w:cs="Arial"/>
          <w:sz w:val="24"/>
          <w:szCs w:val="24"/>
        </w:rPr>
        <w:t xml:space="preserve">Hanged from the cross, Jesus represents the </w:t>
      </w:r>
      <w:r w:rsidRPr="00FD6334">
        <w:rPr>
          <w:rFonts w:ascii="Arial" w:hAnsi="Arial" w:cs="Arial"/>
          <w:sz w:val="24"/>
          <w:szCs w:val="24"/>
        </w:rPr>
        <w:t xml:space="preserve">end of sin and yet, </w:t>
      </w:r>
      <w:r>
        <w:rPr>
          <w:rFonts w:ascii="Arial" w:hAnsi="Arial" w:cs="Arial"/>
          <w:sz w:val="24"/>
          <w:szCs w:val="24"/>
        </w:rPr>
        <w:t>this illumination depicts the Cross as the trunk of T</w:t>
      </w:r>
      <w:r w:rsidRPr="00FD6334">
        <w:rPr>
          <w:rFonts w:ascii="Arial" w:hAnsi="Arial" w:cs="Arial"/>
          <w:sz w:val="24"/>
          <w:szCs w:val="24"/>
        </w:rPr>
        <w:t>ree of Life – the beginning of</w:t>
      </w:r>
      <w:r>
        <w:rPr>
          <w:rFonts w:ascii="Arial" w:hAnsi="Arial" w:cs="Arial"/>
          <w:sz w:val="24"/>
          <w:szCs w:val="24"/>
        </w:rPr>
        <w:t xml:space="preserve"> mortal sin. </w:t>
      </w:r>
      <w:r w:rsidR="00140DFB">
        <w:rPr>
          <w:rFonts w:ascii="Arial" w:hAnsi="Arial" w:cs="Arial"/>
          <w:sz w:val="24"/>
          <w:szCs w:val="24"/>
        </w:rPr>
        <w:t xml:space="preserve">Adam and Eve’s theft of an apple from the tree of Eden plunged humanity into sin; however, Jesus simultaneously saving the world through personal sacrifice is illustrative of the hope that the Catholic Church instilled in the Medieval populous: mercy and salvation. Nevertheless, pain and suffering was clearly a requirement for such forgiveness, as the illumination depicts a pelican nesting atop of the Cross and the mocking plaque: ‘INRI’. In the </w:t>
      </w:r>
      <w:r w:rsidR="00140DFB" w:rsidRPr="00140DFB">
        <w:rPr>
          <w:rFonts w:ascii="Arial" w:hAnsi="Arial" w:cs="Arial"/>
          <w:i/>
          <w:sz w:val="24"/>
          <w:szCs w:val="24"/>
        </w:rPr>
        <w:t>Physiologus</w:t>
      </w:r>
      <w:r w:rsidR="00140DFB">
        <w:rPr>
          <w:rFonts w:ascii="Arial" w:hAnsi="Arial" w:cs="Arial"/>
          <w:i/>
          <w:sz w:val="24"/>
          <w:szCs w:val="24"/>
        </w:rPr>
        <w:t>,</w:t>
      </w:r>
      <w:r w:rsidR="00140DFB">
        <w:rPr>
          <w:rFonts w:ascii="Arial" w:hAnsi="Arial" w:cs="Arial"/>
          <w:sz w:val="24"/>
          <w:szCs w:val="24"/>
        </w:rPr>
        <w:t xml:space="preserve"> it is written that a mother pelican would spear her own breast to feed her children,</w:t>
      </w:r>
      <w:r w:rsidR="00140DFB">
        <w:rPr>
          <w:rStyle w:val="FootnoteReference"/>
          <w:rFonts w:ascii="Arial" w:hAnsi="Arial" w:cs="Arial"/>
          <w:sz w:val="24"/>
          <w:szCs w:val="24"/>
        </w:rPr>
        <w:footnoteReference w:id="9"/>
      </w:r>
      <w:r w:rsidR="002155FF">
        <w:rPr>
          <w:rFonts w:ascii="Arial" w:hAnsi="Arial" w:cs="Arial"/>
          <w:sz w:val="24"/>
          <w:szCs w:val="24"/>
        </w:rPr>
        <w:t xml:space="preserve"> and this is an allegorical representation of the ‘agony’</w:t>
      </w:r>
      <w:r w:rsidR="002155FF">
        <w:rPr>
          <w:rStyle w:val="FootnoteReference"/>
          <w:rFonts w:ascii="Arial" w:hAnsi="Arial" w:cs="Arial"/>
          <w:sz w:val="24"/>
          <w:szCs w:val="24"/>
        </w:rPr>
        <w:footnoteReference w:id="10"/>
      </w:r>
      <w:r w:rsidR="002155FF">
        <w:rPr>
          <w:rFonts w:ascii="Arial" w:hAnsi="Arial" w:cs="Arial"/>
          <w:sz w:val="24"/>
          <w:szCs w:val="24"/>
        </w:rPr>
        <w:t xml:space="preserve"> that Mary felt at Golgotha upon Jesus’ death.</w:t>
      </w:r>
      <w:r w:rsidR="00B4303D">
        <w:rPr>
          <w:rFonts w:ascii="Arial" w:hAnsi="Arial" w:cs="Arial"/>
          <w:sz w:val="24"/>
          <w:szCs w:val="24"/>
        </w:rPr>
        <w:t xml:space="preserve"> The spear with which Mary is metaphorically stabbed is most likely the Lance of </w:t>
      </w:r>
      <w:r w:rsidR="00B4303D" w:rsidRPr="00B4303D">
        <w:rPr>
          <w:rFonts w:ascii="Arial" w:hAnsi="Arial" w:cs="Arial"/>
          <w:sz w:val="24"/>
          <w:szCs w:val="24"/>
        </w:rPr>
        <w:t>Longinus</w:t>
      </w:r>
      <w:r w:rsidR="00B4303D">
        <w:rPr>
          <w:rFonts w:ascii="Arial" w:hAnsi="Arial" w:cs="Arial"/>
          <w:sz w:val="24"/>
          <w:szCs w:val="24"/>
        </w:rPr>
        <w:t>, the soldier who punctured Jesus’ side. It is clear that by harming both mother and son with the same spear, Mary’s pain is emphasised which, having suffered more in this depiction, makes Mary more worthy to sit at Jesus’ right hand. The book of Matthew also records the parable of the Sheep and Goats,</w:t>
      </w:r>
      <w:r w:rsidR="00B4303D">
        <w:rPr>
          <w:rStyle w:val="FootnoteReference"/>
          <w:rFonts w:ascii="Arial" w:hAnsi="Arial" w:cs="Arial"/>
          <w:sz w:val="24"/>
          <w:szCs w:val="24"/>
        </w:rPr>
        <w:footnoteReference w:id="11"/>
      </w:r>
      <w:r w:rsidR="00B4303D">
        <w:rPr>
          <w:rFonts w:ascii="Arial" w:hAnsi="Arial" w:cs="Arial"/>
          <w:sz w:val="24"/>
          <w:szCs w:val="24"/>
        </w:rPr>
        <w:t xml:space="preserve"> in which – upon Judgement Day – the most pious and worthy souls sit on God’</w:t>
      </w:r>
      <w:r w:rsidR="005C512E">
        <w:rPr>
          <w:rFonts w:ascii="Arial" w:hAnsi="Arial" w:cs="Arial"/>
          <w:sz w:val="24"/>
          <w:szCs w:val="24"/>
        </w:rPr>
        <w:t xml:space="preserve">s right side and </w:t>
      </w:r>
      <w:r w:rsidR="005C512E">
        <w:rPr>
          <w:rFonts w:ascii="Arial" w:hAnsi="Arial" w:cs="Arial"/>
          <w:sz w:val="24"/>
          <w:szCs w:val="24"/>
        </w:rPr>
        <w:lastRenderedPageBreak/>
        <w:t>the undeserving sinners sit on his left; therefore, it is somewhat peculiar that Longinus is not also on Jesus’ right side, as he became a saint and his lance became a holy relic. This may be illustrative of the power of commonplace disdain disregarding Papal decree; yet, alongside the soldier is the High Priest</w:t>
      </w:r>
      <w:r w:rsidR="008B1BCC">
        <w:rPr>
          <w:rFonts w:ascii="Arial" w:hAnsi="Arial" w:cs="Arial"/>
          <w:sz w:val="24"/>
          <w:szCs w:val="24"/>
        </w:rPr>
        <w:t>, who religiously denounced Jesus, and Balaa</w:t>
      </w:r>
      <w:r w:rsidR="005C512E">
        <w:rPr>
          <w:rFonts w:ascii="Arial" w:hAnsi="Arial" w:cs="Arial"/>
          <w:sz w:val="24"/>
          <w:szCs w:val="24"/>
        </w:rPr>
        <w:t>m</w:t>
      </w:r>
      <w:r w:rsidR="008B1BCC">
        <w:rPr>
          <w:rFonts w:ascii="Arial" w:hAnsi="Arial" w:cs="Arial"/>
          <w:sz w:val="24"/>
          <w:szCs w:val="24"/>
        </w:rPr>
        <w:t>, who wickedly prophesised about the Messiah: these men were notoriously evil and their presence on the left of Jesus thus indicates the widespread indoctrination of the Church and its teachings of morality</w:t>
      </w:r>
      <w:r w:rsidR="005C512E">
        <w:rPr>
          <w:rFonts w:ascii="Arial" w:hAnsi="Arial" w:cs="Arial"/>
          <w:sz w:val="24"/>
          <w:szCs w:val="24"/>
        </w:rPr>
        <w:t xml:space="preserve">. </w:t>
      </w:r>
      <w:r w:rsidR="008B1BCC">
        <w:rPr>
          <w:rFonts w:ascii="Arial" w:hAnsi="Arial" w:cs="Arial"/>
          <w:sz w:val="24"/>
          <w:szCs w:val="24"/>
        </w:rPr>
        <w:t>However, t</w:t>
      </w:r>
      <w:r w:rsidR="005C512E">
        <w:rPr>
          <w:rFonts w:ascii="Arial" w:hAnsi="Arial" w:cs="Arial"/>
          <w:sz w:val="24"/>
          <w:szCs w:val="24"/>
        </w:rPr>
        <w:t>he ignorance of the medieval populace, is seen in the depiction of Moses with horns</w:t>
      </w:r>
      <w:r w:rsidR="008B1BCC">
        <w:rPr>
          <w:rFonts w:ascii="Arial" w:hAnsi="Arial" w:cs="Arial"/>
          <w:sz w:val="24"/>
          <w:szCs w:val="24"/>
        </w:rPr>
        <w:t>, on the right of Jesus,</w:t>
      </w:r>
      <w:r w:rsidR="005C512E">
        <w:rPr>
          <w:rFonts w:ascii="Arial" w:hAnsi="Arial" w:cs="Arial"/>
          <w:sz w:val="24"/>
          <w:szCs w:val="24"/>
        </w:rPr>
        <w:t xml:space="preserve"> because this is as a result of a misspelling in the Deacon (a bible) which occurred hundreds of years ago; moreover, the soldier, Longinus, is shown to be in the clothes of a Medieval knight rather than a Roman warrior</w:t>
      </w:r>
      <w:r w:rsidR="008B1BCC">
        <w:rPr>
          <w:rFonts w:ascii="Arial" w:hAnsi="Arial" w:cs="Arial"/>
          <w:sz w:val="24"/>
          <w:szCs w:val="24"/>
        </w:rPr>
        <w:t xml:space="preserve"> which takes from the validity of this portrayal of the Crucifixion. Similarly, the presence of John the Baptist differs to conventional iconography of the Crucifixion because he was dead before the event occurred. </w:t>
      </w:r>
    </w:p>
    <w:p w:rsidR="005C512E" w:rsidRDefault="008B1BCC" w:rsidP="00F87FC2">
      <w:pPr>
        <w:spacing w:line="360" w:lineRule="auto"/>
        <w:jc w:val="both"/>
        <w:rPr>
          <w:rFonts w:ascii="Arial" w:hAnsi="Arial" w:cs="Arial"/>
          <w:sz w:val="24"/>
          <w:szCs w:val="24"/>
        </w:rPr>
      </w:pPr>
      <w:r>
        <w:rPr>
          <w:rFonts w:ascii="Arial" w:hAnsi="Arial" w:cs="Arial"/>
          <w:sz w:val="24"/>
          <w:szCs w:val="24"/>
        </w:rPr>
        <w:t xml:space="preserve">Therefore, it is clear that despite the </w:t>
      </w:r>
      <w:r w:rsidR="00F87FC2">
        <w:rPr>
          <w:rFonts w:ascii="Arial" w:hAnsi="Arial" w:cs="Arial"/>
          <w:sz w:val="24"/>
          <w:szCs w:val="24"/>
        </w:rPr>
        <w:t>power of the Church, controlling the temporal world was far harder than the spiritual; because people’s understanding varied to such considerable extremes, as is made clear by this artist’s depiction of the Crucifixion.</w:t>
      </w:r>
    </w:p>
    <w:p w:rsidR="008B1BCC" w:rsidRDefault="008B1BCC" w:rsidP="00F87FC2">
      <w:pPr>
        <w:spacing w:line="360" w:lineRule="auto"/>
        <w:jc w:val="both"/>
        <w:rPr>
          <w:rFonts w:ascii="Arial" w:hAnsi="Arial" w:cs="Arial"/>
          <w:sz w:val="24"/>
          <w:szCs w:val="24"/>
        </w:rPr>
      </w:pPr>
    </w:p>
    <w:p w:rsidR="00692E02" w:rsidRDefault="00692E0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Pr="00F87FC2" w:rsidRDefault="00F87FC2" w:rsidP="00F87FC2">
      <w:pPr>
        <w:spacing w:line="360" w:lineRule="auto"/>
        <w:jc w:val="both"/>
        <w:rPr>
          <w:rFonts w:ascii="Arial" w:hAnsi="Arial" w:cs="Arial"/>
          <w:sz w:val="28"/>
          <w:szCs w:val="24"/>
        </w:rPr>
      </w:pPr>
      <w:r w:rsidRPr="00F87FC2">
        <w:rPr>
          <w:rFonts w:ascii="Arial" w:hAnsi="Arial" w:cs="Arial"/>
          <w:sz w:val="28"/>
          <w:szCs w:val="24"/>
        </w:rPr>
        <w:t>Bibliography</w:t>
      </w:r>
    </w:p>
    <w:p w:rsidR="00F87FC2" w:rsidRPr="00F87FC2" w:rsidRDefault="00F87FC2" w:rsidP="00F87FC2">
      <w:pPr>
        <w:pStyle w:val="FootnoteText"/>
        <w:spacing w:line="360" w:lineRule="auto"/>
        <w:rPr>
          <w:rFonts w:ascii="Arial" w:hAnsi="Arial" w:cs="Arial"/>
          <w:sz w:val="24"/>
          <w:szCs w:val="24"/>
        </w:rPr>
      </w:pPr>
      <w:r w:rsidRPr="00F87FC2">
        <w:rPr>
          <w:rFonts w:ascii="Arial" w:hAnsi="Arial" w:cs="Arial"/>
          <w:sz w:val="24"/>
          <w:szCs w:val="24"/>
        </w:rPr>
        <w:t xml:space="preserve">Matthew, </w:t>
      </w:r>
      <w:r w:rsidRPr="00F87FC2">
        <w:rPr>
          <w:rFonts w:ascii="Arial" w:hAnsi="Arial" w:cs="Arial"/>
          <w:i/>
          <w:sz w:val="24"/>
          <w:szCs w:val="24"/>
        </w:rPr>
        <w:t xml:space="preserve">The Bible, </w:t>
      </w:r>
      <w:r w:rsidRPr="00F87FC2">
        <w:rPr>
          <w:rFonts w:ascii="Arial" w:hAnsi="Arial" w:cs="Arial"/>
          <w:sz w:val="24"/>
          <w:szCs w:val="24"/>
        </w:rPr>
        <w:t>(London: Collins, 2011).</w:t>
      </w:r>
    </w:p>
    <w:p w:rsidR="00F87FC2" w:rsidRDefault="00F87FC2" w:rsidP="00F87FC2">
      <w:pPr>
        <w:spacing w:line="360" w:lineRule="auto"/>
        <w:jc w:val="both"/>
        <w:rPr>
          <w:rFonts w:ascii="Arial" w:hAnsi="Arial" w:cs="Arial"/>
          <w:sz w:val="24"/>
          <w:szCs w:val="24"/>
        </w:rPr>
      </w:pPr>
    </w:p>
    <w:p w:rsidR="00F87FC2" w:rsidRPr="00F87FC2" w:rsidRDefault="00F87FC2" w:rsidP="00F87FC2">
      <w:pPr>
        <w:spacing w:line="360" w:lineRule="auto"/>
        <w:jc w:val="both"/>
        <w:rPr>
          <w:rFonts w:ascii="Arial" w:hAnsi="Arial" w:cs="Arial"/>
          <w:sz w:val="24"/>
          <w:szCs w:val="24"/>
        </w:rPr>
      </w:pPr>
      <w:r w:rsidRPr="00F87FC2">
        <w:rPr>
          <w:rFonts w:ascii="Arial" w:hAnsi="Arial" w:cs="Arial"/>
          <w:sz w:val="24"/>
          <w:szCs w:val="24"/>
        </w:rPr>
        <w:t>Pastoureau M., Blue: The History of a Color (Princeton: Princeton University Press, 2018).</w:t>
      </w:r>
    </w:p>
    <w:p w:rsidR="00F87FC2" w:rsidRPr="00F87FC2" w:rsidRDefault="00F87FC2" w:rsidP="00F87FC2">
      <w:pPr>
        <w:spacing w:line="360" w:lineRule="auto"/>
        <w:jc w:val="both"/>
        <w:rPr>
          <w:rFonts w:ascii="Arial" w:hAnsi="Arial" w:cs="Arial"/>
          <w:sz w:val="24"/>
          <w:szCs w:val="24"/>
        </w:rPr>
      </w:pPr>
      <w:r w:rsidRPr="00F87FC2">
        <w:rPr>
          <w:rFonts w:ascii="Arial" w:hAnsi="Arial" w:cs="Arial"/>
          <w:sz w:val="24"/>
          <w:szCs w:val="24"/>
        </w:rPr>
        <w:t>Sand A., A Small Door: Recognizing Ruth in the Psalter-Hours "Of Yolande of Soissons", Journal of Gesta, vol.46 (2007)</w:t>
      </w:r>
      <w:r>
        <w:rPr>
          <w:rFonts w:ascii="Arial" w:hAnsi="Arial" w:cs="Arial"/>
          <w:sz w:val="24"/>
          <w:szCs w:val="24"/>
        </w:rPr>
        <w:t>.</w:t>
      </w:r>
    </w:p>
    <w:p w:rsidR="00F87FC2" w:rsidRPr="00F87FC2" w:rsidRDefault="00F87FC2" w:rsidP="00F87FC2">
      <w:pPr>
        <w:spacing w:line="360" w:lineRule="auto"/>
        <w:jc w:val="both"/>
        <w:rPr>
          <w:rFonts w:ascii="Arial" w:hAnsi="Arial" w:cs="Arial"/>
          <w:sz w:val="24"/>
          <w:szCs w:val="24"/>
        </w:rPr>
      </w:pPr>
      <w:r w:rsidRPr="00F87FC2">
        <w:rPr>
          <w:rFonts w:ascii="Arial" w:hAnsi="Arial" w:cs="Arial"/>
          <w:sz w:val="24"/>
          <w:szCs w:val="24"/>
        </w:rPr>
        <w:lastRenderedPageBreak/>
        <w:t xml:space="preserve"> Saunders</w:t>
      </w:r>
      <w:r w:rsidRPr="00F87FC2">
        <w:rPr>
          <w:rFonts w:ascii="Arial" w:hAnsi="Arial" w:cs="Arial"/>
          <w:sz w:val="24"/>
          <w:szCs w:val="24"/>
        </w:rPr>
        <w:t xml:space="preserve"> W.</w:t>
      </w:r>
      <w:r w:rsidRPr="00F87FC2">
        <w:rPr>
          <w:rFonts w:ascii="Arial" w:hAnsi="Arial" w:cs="Arial"/>
          <w:sz w:val="24"/>
          <w:szCs w:val="24"/>
        </w:rPr>
        <w:t xml:space="preserve">, </w:t>
      </w:r>
      <w:r w:rsidRPr="00F87FC2">
        <w:rPr>
          <w:rFonts w:ascii="Arial" w:hAnsi="Arial" w:cs="Arial"/>
          <w:i/>
          <w:sz w:val="24"/>
          <w:szCs w:val="24"/>
        </w:rPr>
        <w:t>The Symbolism of the Pelican</w:t>
      </w:r>
      <w:r w:rsidRPr="00F87FC2">
        <w:rPr>
          <w:rFonts w:ascii="Arial" w:hAnsi="Arial" w:cs="Arial"/>
          <w:sz w:val="24"/>
          <w:szCs w:val="24"/>
        </w:rPr>
        <w:t xml:space="preserve">, </w:t>
      </w:r>
      <w:hyperlink r:id="rId8" w:history="1">
        <w:r w:rsidRPr="00F87FC2">
          <w:rPr>
            <w:rStyle w:val="Hyperlink"/>
            <w:rFonts w:ascii="Arial" w:hAnsi="Arial" w:cs="Arial"/>
            <w:sz w:val="24"/>
            <w:szCs w:val="24"/>
          </w:rPr>
          <w:t>https://www.catholiceducation.org/en/culture/catholic-contributions/the-symbolism-of-the-pelican.html</w:t>
        </w:r>
      </w:hyperlink>
      <w:r w:rsidRPr="00F87FC2">
        <w:rPr>
          <w:rFonts w:ascii="Arial" w:hAnsi="Arial" w:cs="Arial"/>
          <w:sz w:val="24"/>
          <w:szCs w:val="24"/>
        </w:rPr>
        <w:t xml:space="preserve"> [accessed 4th September 2018].</w:t>
      </w:r>
    </w:p>
    <w:p w:rsidR="00F87FC2" w:rsidRPr="00F87FC2" w:rsidRDefault="00F87FC2" w:rsidP="00F87FC2">
      <w:pPr>
        <w:pStyle w:val="FootnoteText"/>
        <w:spacing w:line="360" w:lineRule="auto"/>
        <w:rPr>
          <w:rFonts w:ascii="Arial" w:hAnsi="Arial" w:cs="Arial"/>
          <w:sz w:val="24"/>
          <w:szCs w:val="24"/>
        </w:rPr>
      </w:pPr>
      <w:r w:rsidRPr="00F87FC2">
        <w:rPr>
          <w:rFonts w:ascii="Arial" w:hAnsi="Arial" w:cs="Arial"/>
          <w:sz w:val="24"/>
          <w:szCs w:val="24"/>
        </w:rPr>
        <w:t>Wieck</w:t>
      </w:r>
      <w:r w:rsidRPr="00F87FC2">
        <w:rPr>
          <w:rFonts w:ascii="Arial" w:hAnsi="Arial" w:cs="Arial"/>
          <w:sz w:val="24"/>
          <w:szCs w:val="24"/>
        </w:rPr>
        <w:t xml:space="preserve"> R.</w:t>
      </w:r>
      <w:r w:rsidRPr="00F87FC2">
        <w:rPr>
          <w:rFonts w:ascii="Arial" w:hAnsi="Arial" w:cs="Arial"/>
          <w:sz w:val="24"/>
          <w:szCs w:val="24"/>
        </w:rPr>
        <w:t xml:space="preserve">, </w:t>
      </w:r>
      <w:r w:rsidRPr="00F87FC2">
        <w:rPr>
          <w:rFonts w:ascii="Arial" w:hAnsi="Arial" w:cs="Arial"/>
          <w:i/>
          <w:sz w:val="24"/>
          <w:szCs w:val="24"/>
        </w:rPr>
        <w:t>CORSAIR Online Collection Catalog</w:t>
      </w:r>
      <w:r w:rsidRPr="00F87FC2">
        <w:rPr>
          <w:rFonts w:ascii="Arial" w:hAnsi="Arial" w:cs="Arial"/>
          <w:sz w:val="24"/>
          <w:szCs w:val="24"/>
        </w:rPr>
        <w:t xml:space="preserve">, </w:t>
      </w:r>
      <w:hyperlink r:id="rId9" w:history="1">
        <w:r w:rsidRPr="00F87FC2">
          <w:rPr>
            <w:rStyle w:val="Hyperlink"/>
            <w:rFonts w:ascii="Arial" w:hAnsi="Arial" w:cs="Arial"/>
            <w:sz w:val="24"/>
            <w:szCs w:val="24"/>
          </w:rPr>
          <w:t>http://corsair.themorgan.org/cgi-bin/Pwebrecon.cgi?BBID=128492&amp;V1=1</w:t>
        </w:r>
      </w:hyperlink>
      <w:r w:rsidRPr="00F87FC2">
        <w:rPr>
          <w:rFonts w:ascii="Arial" w:hAnsi="Arial" w:cs="Arial"/>
          <w:sz w:val="24"/>
          <w:szCs w:val="24"/>
        </w:rPr>
        <w:t xml:space="preserve"> [accessed 4</w:t>
      </w:r>
      <w:r w:rsidRPr="00F87FC2">
        <w:rPr>
          <w:rFonts w:ascii="Arial" w:hAnsi="Arial" w:cs="Arial"/>
          <w:sz w:val="24"/>
          <w:szCs w:val="24"/>
          <w:vertAlign w:val="superscript"/>
        </w:rPr>
        <w:t>th</w:t>
      </w:r>
      <w:r w:rsidRPr="00F87FC2">
        <w:rPr>
          <w:rFonts w:ascii="Arial" w:hAnsi="Arial" w:cs="Arial"/>
          <w:sz w:val="24"/>
          <w:szCs w:val="24"/>
        </w:rPr>
        <w:t xml:space="preserve"> September 2018].</w:t>
      </w:r>
    </w:p>
    <w:p w:rsidR="00F87FC2" w:rsidRPr="00F87FC2" w:rsidRDefault="00F87FC2" w:rsidP="00F87FC2">
      <w:pPr>
        <w:spacing w:line="360" w:lineRule="auto"/>
        <w:jc w:val="both"/>
        <w:rPr>
          <w:rFonts w:ascii="Arial" w:hAnsi="Arial" w:cs="Arial"/>
          <w:sz w:val="24"/>
          <w:szCs w:val="24"/>
        </w:rPr>
      </w:pPr>
    </w:p>
    <w:p w:rsidR="00F87FC2" w:rsidRPr="00F87FC2" w:rsidRDefault="00F87FC2" w:rsidP="00F87FC2">
      <w:pPr>
        <w:pStyle w:val="FootnoteText"/>
        <w:spacing w:line="360" w:lineRule="auto"/>
        <w:rPr>
          <w:rFonts w:ascii="Arial" w:hAnsi="Arial" w:cs="Arial"/>
          <w:sz w:val="24"/>
          <w:szCs w:val="24"/>
        </w:rPr>
      </w:pPr>
      <w:r w:rsidRPr="00F87FC2">
        <w:rPr>
          <w:rFonts w:ascii="Arial" w:hAnsi="Arial" w:cs="Arial"/>
          <w:sz w:val="24"/>
          <w:szCs w:val="24"/>
        </w:rPr>
        <w:t>Zilboorg G. Henry</w:t>
      </w:r>
      <w:r w:rsidRPr="00F87FC2">
        <w:rPr>
          <w:rFonts w:ascii="Arial" w:hAnsi="Arial" w:cs="Arial"/>
          <w:sz w:val="24"/>
          <w:szCs w:val="24"/>
        </w:rPr>
        <w:t xml:space="preserve"> G.</w:t>
      </w:r>
      <w:r w:rsidRPr="00F87FC2">
        <w:rPr>
          <w:rFonts w:ascii="Arial" w:hAnsi="Arial" w:cs="Arial"/>
          <w:sz w:val="24"/>
          <w:szCs w:val="24"/>
        </w:rPr>
        <w:t xml:space="preserve">, </w:t>
      </w:r>
      <w:r w:rsidRPr="00F87FC2">
        <w:rPr>
          <w:rFonts w:ascii="Arial" w:hAnsi="Arial" w:cs="Arial"/>
          <w:i/>
          <w:sz w:val="24"/>
          <w:szCs w:val="24"/>
        </w:rPr>
        <w:t xml:space="preserve">A History of Medical Psychology </w:t>
      </w:r>
      <w:r w:rsidRPr="00F87FC2">
        <w:rPr>
          <w:rFonts w:ascii="Arial" w:hAnsi="Arial" w:cs="Arial"/>
          <w:sz w:val="24"/>
          <w:szCs w:val="24"/>
        </w:rPr>
        <w:t>(New York: W.W. Norton and Co., 1941).</w:t>
      </w:r>
      <w:r w:rsidRPr="00F87FC2">
        <w:rPr>
          <w:rFonts w:ascii="Arial" w:hAnsi="Arial" w:cs="Arial"/>
          <w:i/>
          <w:sz w:val="24"/>
          <w:szCs w:val="24"/>
        </w:rPr>
        <w:t xml:space="preserve"> </w:t>
      </w: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Default="00F87FC2" w:rsidP="00F87FC2">
      <w:pPr>
        <w:spacing w:line="360" w:lineRule="auto"/>
        <w:jc w:val="both"/>
        <w:rPr>
          <w:rFonts w:ascii="Arial" w:hAnsi="Arial" w:cs="Arial"/>
          <w:sz w:val="24"/>
          <w:szCs w:val="24"/>
        </w:rPr>
      </w:pPr>
    </w:p>
    <w:p w:rsidR="00F87FC2" w:rsidRPr="00761765" w:rsidRDefault="00F87FC2" w:rsidP="00F87FC2">
      <w:pPr>
        <w:spacing w:line="360" w:lineRule="auto"/>
        <w:jc w:val="both"/>
        <w:rPr>
          <w:rFonts w:ascii="Arial" w:hAnsi="Arial" w:cs="Arial"/>
          <w:sz w:val="24"/>
          <w:szCs w:val="24"/>
        </w:rPr>
      </w:pPr>
    </w:p>
    <w:sectPr w:rsidR="00F87FC2" w:rsidRPr="0076176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9C2" w:rsidRDefault="00E329C2" w:rsidP="00761765">
      <w:pPr>
        <w:spacing w:after="0" w:line="240" w:lineRule="auto"/>
      </w:pPr>
      <w:r>
        <w:separator/>
      </w:r>
    </w:p>
  </w:endnote>
  <w:endnote w:type="continuationSeparator" w:id="0">
    <w:p w:rsidR="00E329C2" w:rsidRDefault="00E329C2" w:rsidP="0076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9C2" w:rsidRDefault="00E329C2" w:rsidP="00761765">
      <w:pPr>
        <w:spacing w:after="0" w:line="240" w:lineRule="auto"/>
      </w:pPr>
      <w:r>
        <w:separator/>
      </w:r>
    </w:p>
  </w:footnote>
  <w:footnote w:type="continuationSeparator" w:id="0">
    <w:p w:rsidR="00E329C2" w:rsidRDefault="00E329C2" w:rsidP="00761765">
      <w:pPr>
        <w:spacing w:after="0" w:line="240" w:lineRule="auto"/>
      </w:pPr>
      <w:r>
        <w:continuationSeparator/>
      </w:r>
    </w:p>
  </w:footnote>
  <w:footnote w:id="1">
    <w:p w:rsidR="00761765" w:rsidRDefault="00761765">
      <w:pPr>
        <w:pStyle w:val="FootnoteText"/>
      </w:pPr>
      <w:r>
        <w:rPr>
          <w:rStyle w:val="FootnoteReference"/>
        </w:rPr>
        <w:footnoteRef/>
      </w:r>
      <w:r w:rsidR="00B77ED1">
        <w:t xml:space="preserve"> R. Wieck, </w:t>
      </w:r>
      <w:r w:rsidR="00B77ED1" w:rsidRPr="008E5EC4">
        <w:rPr>
          <w:i/>
        </w:rPr>
        <w:t>CORSAIR Online Collection Catalog</w:t>
      </w:r>
      <w:r w:rsidR="00B77ED1">
        <w:t xml:space="preserve">, </w:t>
      </w:r>
      <w:hyperlink r:id="rId1" w:history="1">
        <w:r w:rsidR="00B77ED1" w:rsidRPr="00266615">
          <w:rPr>
            <w:rStyle w:val="Hyperlink"/>
          </w:rPr>
          <w:t>http://corsair.themorgan.org/cgi-bin/Pwebrecon.cgi?BBID=128492&amp;V1=1</w:t>
        </w:r>
      </w:hyperlink>
      <w:r w:rsidR="00B77ED1">
        <w:t xml:space="preserve"> [accessed 4</w:t>
      </w:r>
      <w:r w:rsidR="00B77ED1" w:rsidRPr="00B77ED1">
        <w:rPr>
          <w:vertAlign w:val="superscript"/>
        </w:rPr>
        <w:t>th</w:t>
      </w:r>
      <w:r w:rsidR="00B77ED1">
        <w:t xml:space="preserve"> September 2018].</w:t>
      </w:r>
    </w:p>
  </w:footnote>
  <w:footnote w:id="2">
    <w:p w:rsidR="008E5EC4" w:rsidRDefault="008E5EC4" w:rsidP="008E5EC4">
      <w:pPr>
        <w:pStyle w:val="FootnoteText"/>
      </w:pPr>
      <w:r>
        <w:rPr>
          <w:rStyle w:val="FootnoteReference"/>
        </w:rPr>
        <w:footnoteRef/>
      </w:r>
      <w:r>
        <w:t xml:space="preserve"> </w:t>
      </w:r>
      <w:r>
        <w:t>G</w:t>
      </w:r>
      <w:r>
        <w:t xml:space="preserve">. </w:t>
      </w:r>
      <w:r>
        <w:t>Zilboorg</w:t>
      </w:r>
      <w:r w:rsidR="00935ABF">
        <w:t xml:space="preserve"> G. Henry</w:t>
      </w:r>
      <w:r>
        <w:t xml:space="preserve">, </w:t>
      </w:r>
      <w:r w:rsidR="00FD7CE6">
        <w:rPr>
          <w:i/>
        </w:rPr>
        <w:t>A History of Medical Psychology</w:t>
      </w:r>
      <w:r>
        <w:rPr>
          <w:i/>
        </w:rPr>
        <w:t xml:space="preserve"> </w:t>
      </w:r>
      <w:r w:rsidR="00935ABF">
        <w:t xml:space="preserve">(New York: </w:t>
      </w:r>
      <w:r w:rsidR="00935ABF" w:rsidRPr="00935ABF">
        <w:t>W.W. Norton and Co.</w:t>
      </w:r>
      <w:r w:rsidR="00FD7CE6">
        <w:t>, 1941).</w:t>
      </w:r>
      <w:r w:rsidRPr="008E5EC4">
        <w:rPr>
          <w:i/>
        </w:rPr>
        <w:t xml:space="preserve"> </w:t>
      </w:r>
    </w:p>
  </w:footnote>
  <w:footnote w:id="3">
    <w:p w:rsidR="00FE3B3C" w:rsidRDefault="00FE3B3C">
      <w:pPr>
        <w:pStyle w:val="FootnoteText"/>
      </w:pPr>
      <w:r>
        <w:rPr>
          <w:rStyle w:val="FootnoteReference"/>
        </w:rPr>
        <w:footnoteRef/>
      </w:r>
      <w:r>
        <w:t xml:space="preserve"> </w:t>
      </w:r>
      <w:r>
        <w:t xml:space="preserve">R. Wieck, </w:t>
      </w:r>
      <w:r w:rsidRPr="008E5EC4">
        <w:rPr>
          <w:i/>
        </w:rPr>
        <w:t>CORSAIR Online Collection Catalog</w:t>
      </w:r>
      <w:r>
        <w:t xml:space="preserve">, </w:t>
      </w:r>
      <w:hyperlink r:id="rId2" w:history="1">
        <w:r w:rsidRPr="00266615">
          <w:rPr>
            <w:rStyle w:val="Hyperlink"/>
          </w:rPr>
          <w:t>http://corsair.themorgan.org/cgi-bin/Pwebrecon.cgi?BBID=128492&amp;V1=1</w:t>
        </w:r>
      </w:hyperlink>
      <w:r>
        <w:t xml:space="preserve"> [accessed 4</w:t>
      </w:r>
      <w:r w:rsidRPr="00B77ED1">
        <w:rPr>
          <w:vertAlign w:val="superscript"/>
        </w:rPr>
        <w:t>th</w:t>
      </w:r>
      <w:r>
        <w:t xml:space="preserve"> September 2018].</w:t>
      </w:r>
    </w:p>
  </w:footnote>
  <w:footnote w:id="4">
    <w:p w:rsidR="00C715AF" w:rsidRDefault="00C715AF">
      <w:pPr>
        <w:pStyle w:val="FootnoteText"/>
      </w:pPr>
      <w:r>
        <w:rPr>
          <w:rStyle w:val="FootnoteReference"/>
        </w:rPr>
        <w:footnoteRef/>
      </w:r>
      <w:r>
        <w:t xml:space="preserve"> </w:t>
      </w:r>
      <w:r>
        <w:t xml:space="preserve">R. Wieck, </w:t>
      </w:r>
      <w:r w:rsidRPr="008E5EC4">
        <w:rPr>
          <w:i/>
        </w:rPr>
        <w:t>CORSAIR Online Collection Catalog</w:t>
      </w:r>
      <w:r>
        <w:t xml:space="preserve">, </w:t>
      </w:r>
      <w:hyperlink r:id="rId3" w:history="1">
        <w:r w:rsidRPr="00266615">
          <w:rPr>
            <w:rStyle w:val="Hyperlink"/>
          </w:rPr>
          <w:t>http://corsair.themorgan.org/cgi-bin/Pwebrecon.cgi?BBID=128492&amp;V1=1</w:t>
        </w:r>
      </w:hyperlink>
      <w:r>
        <w:t xml:space="preserve"> [accessed 4</w:t>
      </w:r>
      <w:r w:rsidRPr="00B77ED1">
        <w:rPr>
          <w:vertAlign w:val="superscript"/>
        </w:rPr>
        <w:t>th</w:t>
      </w:r>
      <w:r>
        <w:t xml:space="preserve"> September 2018].</w:t>
      </w:r>
    </w:p>
  </w:footnote>
  <w:footnote w:id="5">
    <w:p w:rsidR="00C715AF" w:rsidRPr="004B4D0C" w:rsidRDefault="00C715AF">
      <w:pPr>
        <w:pStyle w:val="FootnoteText"/>
      </w:pPr>
      <w:r>
        <w:rPr>
          <w:rStyle w:val="FootnoteReference"/>
        </w:rPr>
        <w:footnoteRef/>
      </w:r>
      <w:r>
        <w:t xml:space="preserve"> A. Sand, </w:t>
      </w:r>
      <w:r w:rsidR="004B4D0C" w:rsidRPr="004B4D0C">
        <w:rPr>
          <w:i/>
        </w:rPr>
        <w:t>A Small Door: Recognizing Ruth in the Psalter-Hours "Of Yolande of Soissons"</w:t>
      </w:r>
      <w:r w:rsidR="004B4D0C">
        <w:t xml:space="preserve">, </w:t>
      </w:r>
      <w:r w:rsidR="004B4D0C" w:rsidRPr="004B4D0C">
        <w:rPr>
          <w:i/>
        </w:rPr>
        <w:t>Journal of Gesta</w:t>
      </w:r>
      <w:r w:rsidR="004B4D0C">
        <w:t>, vol.46 (2007), pp. 19-40.</w:t>
      </w:r>
    </w:p>
  </w:footnote>
  <w:footnote w:id="6">
    <w:p w:rsidR="004B4D0C" w:rsidRPr="004B4D0C" w:rsidRDefault="00C715AF" w:rsidP="004B4D0C">
      <w:pPr>
        <w:pStyle w:val="FootnoteText"/>
      </w:pPr>
      <w:r>
        <w:rPr>
          <w:rStyle w:val="FootnoteReference"/>
        </w:rPr>
        <w:footnoteRef/>
      </w:r>
      <w:r>
        <w:t xml:space="preserve"> </w:t>
      </w:r>
      <w:r w:rsidR="004B4D0C">
        <w:t xml:space="preserve">A. Sand, </w:t>
      </w:r>
      <w:r w:rsidR="004B4D0C" w:rsidRPr="004B4D0C">
        <w:rPr>
          <w:i/>
        </w:rPr>
        <w:t>A Small Door: Recognizing Ruth in the Psalter-Hours "Of Yolande of Soissons"</w:t>
      </w:r>
      <w:r w:rsidR="004B4D0C">
        <w:t xml:space="preserve">, </w:t>
      </w:r>
      <w:r w:rsidR="004B4D0C" w:rsidRPr="004B4D0C">
        <w:rPr>
          <w:i/>
        </w:rPr>
        <w:t>Journal of Gesta</w:t>
      </w:r>
      <w:r w:rsidR="004B4D0C">
        <w:t>, vol.46 (2007), pp. 19-40.</w:t>
      </w:r>
    </w:p>
    <w:p w:rsidR="00C715AF" w:rsidRDefault="00C715AF">
      <w:pPr>
        <w:pStyle w:val="FootnoteText"/>
      </w:pPr>
    </w:p>
  </w:footnote>
  <w:footnote w:id="7">
    <w:p w:rsidR="00142771" w:rsidRPr="00C8101A" w:rsidRDefault="00142771" w:rsidP="00C8101A">
      <w:pPr>
        <w:pStyle w:val="FootnoteText"/>
      </w:pPr>
      <w:r>
        <w:rPr>
          <w:rStyle w:val="FootnoteReference"/>
        </w:rPr>
        <w:footnoteRef/>
      </w:r>
      <w:r>
        <w:t xml:space="preserve"> M. </w:t>
      </w:r>
      <w:r w:rsidRPr="00142771">
        <w:t>Pastoureau</w:t>
      </w:r>
      <w:r>
        <w:t xml:space="preserve">, </w:t>
      </w:r>
      <w:r w:rsidR="00C8101A" w:rsidRPr="00C8101A">
        <w:rPr>
          <w:i/>
        </w:rPr>
        <w:t xml:space="preserve">Blue: </w:t>
      </w:r>
      <w:r w:rsidR="00C8101A" w:rsidRPr="00C8101A">
        <w:rPr>
          <w:i/>
        </w:rPr>
        <w:t>The History of a Color</w:t>
      </w:r>
      <w:r w:rsidR="00C8101A">
        <w:t xml:space="preserve"> (Princeton: Princeton University Press, 2018).</w:t>
      </w:r>
    </w:p>
  </w:footnote>
  <w:footnote w:id="8">
    <w:p w:rsidR="00FD6334" w:rsidRDefault="00FD6334">
      <w:pPr>
        <w:pStyle w:val="FootnoteText"/>
      </w:pPr>
      <w:r>
        <w:rPr>
          <w:rStyle w:val="FootnoteReference"/>
        </w:rPr>
        <w:footnoteRef/>
      </w:r>
      <w:r>
        <w:t xml:space="preserve"> </w:t>
      </w:r>
      <w:r>
        <w:t xml:space="preserve">G. Zilboorg G. Henry, </w:t>
      </w:r>
      <w:r>
        <w:rPr>
          <w:i/>
        </w:rPr>
        <w:t xml:space="preserve">A History of Medical Psychology </w:t>
      </w:r>
      <w:r>
        <w:t xml:space="preserve">(New York: </w:t>
      </w:r>
      <w:r w:rsidRPr="00935ABF">
        <w:t>W.W. Norton and Co.</w:t>
      </w:r>
      <w:r>
        <w:t>, 1941).</w:t>
      </w:r>
      <w:r w:rsidRPr="008E5EC4">
        <w:rPr>
          <w:i/>
        </w:rPr>
        <w:t xml:space="preserve"> </w:t>
      </w:r>
    </w:p>
  </w:footnote>
  <w:footnote w:id="9">
    <w:p w:rsidR="00140DFB" w:rsidRPr="00140DFB" w:rsidRDefault="00140DFB">
      <w:pPr>
        <w:pStyle w:val="FootnoteText"/>
      </w:pPr>
      <w:r>
        <w:rPr>
          <w:rStyle w:val="FootnoteReference"/>
        </w:rPr>
        <w:footnoteRef/>
      </w:r>
      <w:r>
        <w:t xml:space="preserve"> W. Saunders, </w:t>
      </w:r>
      <w:r w:rsidRPr="00140DFB">
        <w:rPr>
          <w:i/>
        </w:rPr>
        <w:t>The Symbolism of the Pelican</w:t>
      </w:r>
      <w:r>
        <w:t xml:space="preserve">, </w:t>
      </w:r>
      <w:hyperlink r:id="rId4" w:history="1">
        <w:r w:rsidR="002155FF" w:rsidRPr="00266615">
          <w:rPr>
            <w:rStyle w:val="Hyperlink"/>
          </w:rPr>
          <w:t>https://www.catholiceducation.org/en/culture/catholic-contributions/the-symbolism-of-the-pelican.html</w:t>
        </w:r>
      </w:hyperlink>
      <w:r w:rsidR="002155FF">
        <w:t xml:space="preserve"> </w:t>
      </w:r>
      <w:r w:rsidR="002155FF" w:rsidRPr="002155FF">
        <w:t>[accessed 4th September 2018].</w:t>
      </w:r>
    </w:p>
  </w:footnote>
  <w:footnote w:id="10">
    <w:p w:rsidR="002155FF" w:rsidRDefault="002155FF">
      <w:pPr>
        <w:pStyle w:val="FootnoteText"/>
      </w:pPr>
      <w:r>
        <w:rPr>
          <w:rStyle w:val="FootnoteReference"/>
        </w:rPr>
        <w:footnoteRef/>
      </w:r>
      <w:r>
        <w:t xml:space="preserve"> Matthew, </w:t>
      </w:r>
      <w:r w:rsidRPr="002155FF">
        <w:rPr>
          <w:i/>
        </w:rPr>
        <w:t>The Bible</w:t>
      </w:r>
      <w:r>
        <w:rPr>
          <w:i/>
        </w:rPr>
        <w:t xml:space="preserve">, </w:t>
      </w:r>
      <w:r w:rsidRPr="002155FF">
        <w:t>27:45, 51 (London: Collins, 2011).</w:t>
      </w:r>
    </w:p>
  </w:footnote>
  <w:footnote w:id="11">
    <w:p w:rsidR="00B4303D" w:rsidRDefault="00B4303D">
      <w:pPr>
        <w:pStyle w:val="FootnoteText"/>
      </w:pPr>
      <w:r>
        <w:rPr>
          <w:rStyle w:val="FootnoteReference"/>
        </w:rPr>
        <w:footnoteRef/>
      </w:r>
      <w:r>
        <w:t xml:space="preserve"> </w:t>
      </w:r>
      <w:r w:rsidRPr="00B4303D">
        <w:t>Matthew, The Bible, 25:31–46 (London: Collins,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272567"/>
      <w:docPartObj>
        <w:docPartGallery w:val="Page Numbers (Top of Page)"/>
        <w:docPartUnique/>
      </w:docPartObj>
    </w:sdtPr>
    <w:sdtEndPr>
      <w:rPr>
        <w:noProof/>
      </w:rPr>
    </w:sdtEndPr>
    <w:sdtContent>
      <w:p w:rsidR="002155FF" w:rsidRDefault="002155FF">
        <w:pPr>
          <w:pStyle w:val="Header"/>
          <w:jc w:val="center"/>
        </w:pPr>
        <w:r>
          <w:fldChar w:fldCharType="begin"/>
        </w:r>
        <w:r>
          <w:instrText xml:space="preserve"> PAGE   \* MERGEFORMAT </w:instrText>
        </w:r>
        <w:r>
          <w:fldChar w:fldCharType="separate"/>
        </w:r>
        <w:r w:rsidR="00F87FC2">
          <w:rPr>
            <w:noProof/>
          </w:rPr>
          <w:t>2</w:t>
        </w:r>
        <w:r>
          <w:rPr>
            <w:noProof/>
          </w:rPr>
          <w:fldChar w:fldCharType="end"/>
        </w:r>
      </w:p>
    </w:sdtContent>
  </w:sdt>
  <w:p w:rsidR="002155FF" w:rsidRDefault="002155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AE0"/>
    <w:rsid w:val="001245F7"/>
    <w:rsid w:val="00140DFB"/>
    <w:rsid w:val="00142771"/>
    <w:rsid w:val="001A30A4"/>
    <w:rsid w:val="00214C63"/>
    <w:rsid w:val="002155FF"/>
    <w:rsid w:val="00496F37"/>
    <w:rsid w:val="004B4D0C"/>
    <w:rsid w:val="004D6213"/>
    <w:rsid w:val="00552AE0"/>
    <w:rsid w:val="005C512E"/>
    <w:rsid w:val="00692E02"/>
    <w:rsid w:val="00761765"/>
    <w:rsid w:val="008B1BCC"/>
    <w:rsid w:val="008E5EC4"/>
    <w:rsid w:val="00935ABF"/>
    <w:rsid w:val="00B33A76"/>
    <w:rsid w:val="00B4303D"/>
    <w:rsid w:val="00B77ED1"/>
    <w:rsid w:val="00C715AF"/>
    <w:rsid w:val="00C8101A"/>
    <w:rsid w:val="00DA0058"/>
    <w:rsid w:val="00E00CB3"/>
    <w:rsid w:val="00E329C2"/>
    <w:rsid w:val="00E85994"/>
    <w:rsid w:val="00F87FC2"/>
    <w:rsid w:val="00F90FD2"/>
    <w:rsid w:val="00FD6334"/>
    <w:rsid w:val="00FD7CE6"/>
    <w:rsid w:val="00FE3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765"/>
    <w:rPr>
      <w:rFonts w:ascii="Tahoma" w:hAnsi="Tahoma" w:cs="Tahoma"/>
      <w:sz w:val="16"/>
      <w:szCs w:val="16"/>
    </w:rPr>
  </w:style>
  <w:style w:type="paragraph" w:styleId="FootnoteText">
    <w:name w:val="footnote text"/>
    <w:basedOn w:val="Normal"/>
    <w:link w:val="FootnoteTextChar"/>
    <w:uiPriority w:val="99"/>
    <w:unhideWhenUsed/>
    <w:rsid w:val="00761765"/>
    <w:pPr>
      <w:spacing w:after="0" w:line="240" w:lineRule="auto"/>
    </w:pPr>
    <w:rPr>
      <w:sz w:val="20"/>
      <w:szCs w:val="20"/>
    </w:rPr>
  </w:style>
  <w:style w:type="character" w:customStyle="1" w:styleId="FootnoteTextChar">
    <w:name w:val="Footnote Text Char"/>
    <w:basedOn w:val="DefaultParagraphFont"/>
    <w:link w:val="FootnoteText"/>
    <w:uiPriority w:val="99"/>
    <w:rsid w:val="00761765"/>
    <w:rPr>
      <w:sz w:val="20"/>
      <w:szCs w:val="20"/>
    </w:rPr>
  </w:style>
  <w:style w:type="character" w:styleId="FootnoteReference">
    <w:name w:val="footnote reference"/>
    <w:basedOn w:val="DefaultParagraphFont"/>
    <w:uiPriority w:val="99"/>
    <w:semiHidden/>
    <w:unhideWhenUsed/>
    <w:rsid w:val="00761765"/>
    <w:rPr>
      <w:vertAlign w:val="superscript"/>
    </w:rPr>
  </w:style>
  <w:style w:type="character" w:styleId="Hyperlink">
    <w:name w:val="Hyperlink"/>
    <w:basedOn w:val="DefaultParagraphFont"/>
    <w:uiPriority w:val="99"/>
    <w:unhideWhenUsed/>
    <w:rsid w:val="00B77ED1"/>
    <w:rPr>
      <w:color w:val="0000FF" w:themeColor="hyperlink"/>
      <w:u w:val="single"/>
    </w:rPr>
  </w:style>
  <w:style w:type="paragraph" w:styleId="Header">
    <w:name w:val="header"/>
    <w:basedOn w:val="Normal"/>
    <w:link w:val="HeaderChar"/>
    <w:uiPriority w:val="99"/>
    <w:unhideWhenUsed/>
    <w:rsid w:val="00215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5FF"/>
  </w:style>
  <w:style w:type="paragraph" w:styleId="Footer">
    <w:name w:val="footer"/>
    <w:basedOn w:val="Normal"/>
    <w:link w:val="FooterChar"/>
    <w:uiPriority w:val="99"/>
    <w:unhideWhenUsed/>
    <w:rsid w:val="00215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5FF"/>
  </w:style>
  <w:style w:type="paragraph" w:styleId="ListParagraph">
    <w:name w:val="List Paragraph"/>
    <w:basedOn w:val="Normal"/>
    <w:uiPriority w:val="34"/>
    <w:qFormat/>
    <w:rsid w:val="00F87F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765"/>
    <w:rPr>
      <w:rFonts w:ascii="Tahoma" w:hAnsi="Tahoma" w:cs="Tahoma"/>
      <w:sz w:val="16"/>
      <w:szCs w:val="16"/>
    </w:rPr>
  </w:style>
  <w:style w:type="paragraph" w:styleId="FootnoteText">
    <w:name w:val="footnote text"/>
    <w:basedOn w:val="Normal"/>
    <w:link w:val="FootnoteTextChar"/>
    <w:uiPriority w:val="99"/>
    <w:unhideWhenUsed/>
    <w:rsid w:val="00761765"/>
    <w:pPr>
      <w:spacing w:after="0" w:line="240" w:lineRule="auto"/>
    </w:pPr>
    <w:rPr>
      <w:sz w:val="20"/>
      <w:szCs w:val="20"/>
    </w:rPr>
  </w:style>
  <w:style w:type="character" w:customStyle="1" w:styleId="FootnoteTextChar">
    <w:name w:val="Footnote Text Char"/>
    <w:basedOn w:val="DefaultParagraphFont"/>
    <w:link w:val="FootnoteText"/>
    <w:uiPriority w:val="99"/>
    <w:rsid w:val="00761765"/>
    <w:rPr>
      <w:sz w:val="20"/>
      <w:szCs w:val="20"/>
    </w:rPr>
  </w:style>
  <w:style w:type="character" w:styleId="FootnoteReference">
    <w:name w:val="footnote reference"/>
    <w:basedOn w:val="DefaultParagraphFont"/>
    <w:uiPriority w:val="99"/>
    <w:semiHidden/>
    <w:unhideWhenUsed/>
    <w:rsid w:val="00761765"/>
    <w:rPr>
      <w:vertAlign w:val="superscript"/>
    </w:rPr>
  </w:style>
  <w:style w:type="character" w:styleId="Hyperlink">
    <w:name w:val="Hyperlink"/>
    <w:basedOn w:val="DefaultParagraphFont"/>
    <w:uiPriority w:val="99"/>
    <w:unhideWhenUsed/>
    <w:rsid w:val="00B77ED1"/>
    <w:rPr>
      <w:color w:val="0000FF" w:themeColor="hyperlink"/>
      <w:u w:val="single"/>
    </w:rPr>
  </w:style>
  <w:style w:type="paragraph" w:styleId="Header">
    <w:name w:val="header"/>
    <w:basedOn w:val="Normal"/>
    <w:link w:val="HeaderChar"/>
    <w:uiPriority w:val="99"/>
    <w:unhideWhenUsed/>
    <w:rsid w:val="00215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5FF"/>
  </w:style>
  <w:style w:type="paragraph" w:styleId="Footer">
    <w:name w:val="footer"/>
    <w:basedOn w:val="Normal"/>
    <w:link w:val="FooterChar"/>
    <w:uiPriority w:val="99"/>
    <w:unhideWhenUsed/>
    <w:rsid w:val="00215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5FF"/>
  </w:style>
  <w:style w:type="paragraph" w:styleId="ListParagraph">
    <w:name w:val="List Paragraph"/>
    <w:basedOn w:val="Normal"/>
    <w:uiPriority w:val="34"/>
    <w:qFormat/>
    <w:rsid w:val="00F87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23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tholiceducation.org/en/culture/catholic-contributions/the-symbolism-of-the-pelican.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rsair.themorgan.org/cgi-bin/Pwebrecon.cgi?BBID=128492&amp;V1=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corsair.themorgan.org/cgi-bin/Pwebrecon.cgi?BBID=128492&amp;V1=1" TargetMode="External"/><Relationship Id="rId2" Type="http://schemas.openxmlformats.org/officeDocument/2006/relationships/hyperlink" Target="http://corsair.themorgan.org/cgi-bin/Pwebrecon.cgi?BBID=128492&amp;V1=1" TargetMode="External"/><Relationship Id="rId1" Type="http://schemas.openxmlformats.org/officeDocument/2006/relationships/hyperlink" Target="http://corsair.themorgan.org/cgi-bin/Pwebrecon.cgi?BBID=128492&amp;V1=1" TargetMode="External"/><Relationship Id="rId4" Type="http://schemas.openxmlformats.org/officeDocument/2006/relationships/hyperlink" Target="https://www.catholiceducation.org/en/culture/catholic-contributions/the-symbolism-of-the-pelic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6B592-9274-4F06-B2C6-6DC1C1B3B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5</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2018-10-05T17:45:00Z</dcterms:created>
  <dcterms:modified xsi:type="dcterms:W3CDTF">2018-10-05T22:53:00Z</dcterms:modified>
</cp:coreProperties>
</file>