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21528" w14:textId="77777777" w:rsidR="000E7AC7" w:rsidRPr="00A75D61" w:rsidRDefault="000E7AC7" w:rsidP="00A75D61">
      <w:pPr>
        <w:jc w:val="center"/>
        <w:rPr>
          <w:b/>
          <w:lang w:val="en-GB"/>
        </w:rPr>
      </w:pPr>
    </w:p>
    <w:p w14:paraId="5B2286DB" w14:textId="77777777" w:rsidR="000E7AC7" w:rsidRPr="00A75D61" w:rsidRDefault="000E7AC7" w:rsidP="00A75D61">
      <w:pPr>
        <w:jc w:val="center"/>
        <w:rPr>
          <w:b/>
          <w:lang w:val="en-GB"/>
        </w:rPr>
      </w:pPr>
    </w:p>
    <w:p w14:paraId="40B96AFC" w14:textId="77777777" w:rsidR="00D366D7" w:rsidRDefault="00D366D7" w:rsidP="00D366D7">
      <w:r>
        <w:rPr>
          <w:noProof/>
        </w:rPr>
        <w:drawing>
          <wp:inline distT="0" distB="0" distL="0" distR="0" wp14:anchorId="20B14FFC" wp14:editId="4D5647B2">
            <wp:extent cx="5731510" cy="3007995"/>
            <wp:effectExtent l="0" t="0" r="2540" b="1905"/>
            <wp:docPr id="2004300122"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300122" name="Picture 1" descr="A blue and white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7995"/>
                    </a:xfrm>
                    <a:prstGeom prst="rect">
                      <a:avLst/>
                    </a:prstGeom>
                    <a:noFill/>
                    <a:ln>
                      <a:noFill/>
                    </a:ln>
                  </pic:spPr>
                </pic:pic>
              </a:graphicData>
            </a:graphic>
          </wp:inline>
        </w:drawing>
      </w:r>
    </w:p>
    <w:p w14:paraId="244A114D" w14:textId="77777777" w:rsidR="00D366D7" w:rsidRDefault="00D366D7" w:rsidP="00D366D7"/>
    <w:p w14:paraId="488682F3" w14:textId="77777777" w:rsidR="00D366D7" w:rsidRDefault="00D366D7" w:rsidP="00D366D7">
      <w:pPr>
        <w:jc w:val="center"/>
        <w:rPr>
          <w:rFonts w:ascii="Times New Roman" w:hAnsi="Times New Roman" w:cs="Times New Roman"/>
          <w:sz w:val="32"/>
          <w:szCs w:val="32"/>
        </w:rPr>
      </w:pPr>
    </w:p>
    <w:p w14:paraId="6B5A8528" w14:textId="77777777" w:rsidR="00D366D7" w:rsidRPr="005E2040" w:rsidRDefault="00D366D7" w:rsidP="00D366D7">
      <w:pPr>
        <w:jc w:val="center"/>
        <w:rPr>
          <w:sz w:val="28"/>
          <w:szCs w:val="28"/>
        </w:rPr>
      </w:pPr>
      <w:r w:rsidRPr="005E2040">
        <w:rPr>
          <w:sz w:val="28"/>
          <w:szCs w:val="28"/>
        </w:rPr>
        <w:t>Program: MBA – International Business</w:t>
      </w:r>
    </w:p>
    <w:p w14:paraId="0AB34A6B" w14:textId="10E98C8E" w:rsidR="00D366D7" w:rsidRPr="005E2040" w:rsidRDefault="00D366D7" w:rsidP="00D366D7">
      <w:pPr>
        <w:jc w:val="center"/>
        <w:rPr>
          <w:b/>
          <w:bCs/>
          <w:sz w:val="28"/>
          <w:szCs w:val="28"/>
          <w:lang w:val="en-GB"/>
        </w:rPr>
      </w:pPr>
      <w:r w:rsidRPr="005E2040">
        <w:rPr>
          <w:sz w:val="28"/>
          <w:szCs w:val="28"/>
        </w:rPr>
        <w:t xml:space="preserve">Module: </w:t>
      </w:r>
      <w:r w:rsidR="00574FEC" w:rsidRPr="00574FEC">
        <w:rPr>
          <w:sz w:val="28"/>
          <w:szCs w:val="28"/>
        </w:rPr>
        <w:t>Strategic Management</w:t>
      </w:r>
      <w:r>
        <w:rPr>
          <w:b/>
          <w:bCs/>
          <w:sz w:val="28"/>
          <w:szCs w:val="28"/>
          <w:lang w:val="en-GB"/>
        </w:rPr>
        <w:t xml:space="preserve"> </w:t>
      </w:r>
      <w:r w:rsidRPr="005E2040">
        <w:rPr>
          <w:sz w:val="28"/>
          <w:szCs w:val="28"/>
        </w:rPr>
        <w:t>(</w:t>
      </w:r>
      <w:r w:rsidR="00574FEC" w:rsidRPr="00574FEC">
        <w:rPr>
          <w:sz w:val="28"/>
          <w:szCs w:val="28"/>
        </w:rPr>
        <w:t>LCMB7003</w:t>
      </w:r>
      <w:r w:rsidRPr="005E2040">
        <w:rPr>
          <w:sz w:val="28"/>
          <w:szCs w:val="28"/>
        </w:rPr>
        <w:t>)</w:t>
      </w:r>
    </w:p>
    <w:p w14:paraId="1B3A9A27" w14:textId="638D9009" w:rsidR="00D366D7" w:rsidRPr="005E2040" w:rsidRDefault="00D366D7" w:rsidP="00D366D7">
      <w:pPr>
        <w:jc w:val="center"/>
        <w:rPr>
          <w:sz w:val="28"/>
          <w:szCs w:val="28"/>
        </w:rPr>
      </w:pPr>
      <w:r w:rsidRPr="005E2040">
        <w:rPr>
          <w:sz w:val="28"/>
          <w:szCs w:val="28"/>
        </w:rPr>
        <w:t xml:space="preserve">Assessment title: </w:t>
      </w:r>
      <w:r w:rsidR="006345D5" w:rsidRPr="006345D5">
        <w:rPr>
          <w:sz w:val="28"/>
          <w:szCs w:val="28"/>
        </w:rPr>
        <w:t>Individual report</w:t>
      </w:r>
    </w:p>
    <w:p w14:paraId="3238953F" w14:textId="77777777" w:rsidR="00D366D7" w:rsidRPr="005E2040" w:rsidRDefault="00D366D7" w:rsidP="00D366D7">
      <w:pPr>
        <w:jc w:val="center"/>
        <w:rPr>
          <w:sz w:val="28"/>
          <w:szCs w:val="28"/>
        </w:rPr>
      </w:pPr>
      <w:r w:rsidRPr="005E2040">
        <w:rPr>
          <w:sz w:val="28"/>
          <w:szCs w:val="28"/>
        </w:rPr>
        <w:t>Name: Sakib Hassan Tonmoy</w:t>
      </w:r>
    </w:p>
    <w:p w14:paraId="3FC26BE0" w14:textId="77777777" w:rsidR="00D366D7" w:rsidRDefault="00D366D7" w:rsidP="00D366D7">
      <w:pPr>
        <w:jc w:val="center"/>
        <w:rPr>
          <w:sz w:val="28"/>
          <w:szCs w:val="28"/>
        </w:rPr>
      </w:pPr>
      <w:r w:rsidRPr="005E2040">
        <w:rPr>
          <w:sz w:val="28"/>
          <w:szCs w:val="28"/>
        </w:rPr>
        <w:t>ID: 2428326</w:t>
      </w:r>
    </w:p>
    <w:p w14:paraId="5FA7055B" w14:textId="7C4236DA" w:rsidR="00D366D7" w:rsidRDefault="00C62258" w:rsidP="00D366D7">
      <w:pPr>
        <w:jc w:val="center"/>
        <w:rPr>
          <w:sz w:val="28"/>
          <w:szCs w:val="28"/>
        </w:rPr>
      </w:pPr>
      <w:r>
        <w:rPr>
          <w:sz w:val="28"/>
          <w:szCs w:val="28"/>
        </w:rPr>
        <w:t xml:space="preserve">Word count: </w:t>
      </w:r>
      <w:r w:rsidR="00015354">
        <w:rPr>
          <w:sz w:val="28"/>
          <w:szCs w:val="28"/>
        </w:rPr>
        <w:t>5000</w:t>
      </w:r>
    </w:p>
    <w:p w14:paraId="087CE60A" w14:textId="77777777" w:rsidR="00D366D7" w:rsidRDefault="00D366D7" w:rsidP="00D366D7">
      <w:pPr>
        <w:jc w:val="center"/>
        <w:rPr>
          <w:sz w:val="28"/>
          <w:szCs w:val="28"/>
        </w:rPr>
      </w:pPr>
    </w:p>
    <w:p w14:paraId="007ED4E9" w14:textId="77777777" w:rsidR="000E7AC7" w:rsidRPr="00A75D61" w:rsidRDefault="00000000" w:rsidP="00A75D61">
      <w:pPr>
        <w:jc w:val="center"/>
        <w:rPr>
          <w:b/>
          <w:lang w:val="en-GB"/>
        </w:rPr>
      </w:pPr>
      <w:r w:rsidRPr="00A75D61">
        <w:rPr>
          <w:b/>
          <w:lang w:val="en-GB"/>
        </w:rPr>
        <w:lastRenderedPageBreak/>
        <w:t>Table of Contents</w:t>
      </w:r>
    </w:p>
    <w:sdt>
      <w:sdtPr>
        <w:rPr>
          <w:lang w:val="en-GB"/>
        </w:rPr>
        <w:id w:val="788485877"/>
        <w:docPartObj>
          <w:docPartGallery w:val="Table of Contents"/>
          <w:docPartUnique/>
        </w:docPartObj>
      </w:sdtPr>
      <w:sdtContent>
        <w:p w14:paraId="3AECB5DC" w14:textId="735884D3" w:rsidR="007145E5" w:rsidRDefault="000E7AC7">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A75D61">
            <w:rPr>
              <w:lang w:val="en-GB"/>
            </w:rPr>
            <w:fldChar w:fldCharType="begin"/>
          </w:r>
          <w:r w:rsidRPr="00A75D61">
            <w:rPr>
              <w:lang w:val="en-GB"/>
            </w:rPr>
            <w:instrText xml:space="preserve"> TOC \h \u \z \t "Heading 1,1,Heading 2,2,Heading 3,3,Heading 4,4,Heading 5,5,Heading 6,6,"</w:instrText>
          </w:r>
          <w:r w:rsidRPr="00A75D61">
            <w:rPr>
              <w:lang w:val="en-GB"/>
            </w:rPr>
            <w:fldChar w:fldCharType="separate"/>
          </w:r>
          <w:hyperlink w:anchor="_Toc216705413" w:history="1">
            <w:r w:rsidR="007145E5" w:rsidRPr="00F90F82">
              <w:rPr>
                <w:rStyle w:val="Hyperlink"/>
                <w:noProof/>
                <w:lang w:val="en-GB"/>
              </w:rPr>
              <w:t>1.0 Introduction</w:t>
            </w:r>
            <w:r w:rsidR="007145E5">
              <w:rPr>
                <w:noProof/>
                <w:webHidden/>
              </w:rPr>
              <w:tab/>
            </w:r>
            <w:r w:rsidR="007145E5">
              <w:rPr>
                <w:noProof/>
                <w:webHidden/>
              </w:rPr>
              <w:fldChar w:fldCharType="begin"/>
            </w:r>
            <w:r w:rsidR="007145E5">
              <w:rPr>
                <w:noProof/>
                <w:webHidden/>
              </w:rPr>
              <w:instrText xml:space="preserve"> PAGEREF _Toc216705413 \h </w:instrText>
            </w:r>
            <w:r w:rsidR="007145E5">
              <w:rPr>
                <w:noProof/>
                <w:webHidden/>
              </w:rPr>
            </w:r>
            <w:r w:rsidR="007145E5">
              <w:rPr>
                <w:noProof/>
                <w:webHidden/>
              </w:rPr>
              <w:fldChar w:fldCharType="separate"/>
            </w:r>
            <w:r w:rsidR="001F52BC">
              <w:rPr>
                <w:noProof/>
                <w:webHidden/>
              </w:rPr>
              <w:t>2</w:t>
            </w:r>
            <w:r w:rsidR="007145E5">
              <w:rPr>
                <w:noProof/>
                <w:webHidden/>
              </w:rPr>
              <w:fldChar w:fldCharType="end"/>
            </w:r>
          </w:hyperlink>
        </w:p>
        <w:p w14:paraId="26099F93" w14:textId="7EDC17F6" w:rsidR="007145E5" w:rsidRDefault="007145E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6705414" w:history="1">
            <w:r w:rsidRPr="00F90F82">
              <w:rPr>
                <w:rStyle w:val="Hyperlink"/>
                <w:noProof/>
                <w:lang w:val="en-GB"/>
              </w:rPr>
              <w:t>2.0 Selection of Organisation and Target Market</w:t>
            </w:r>
            <w:r>
              <w:rPr>
                <w:noProof/>
                <w:webHidden/>
              </w:rPr>
              <w:tab/>
            </w:r>
            <w:r>
              <w:rPr>
                <w:noProof/>
                <w:webHidden/>
              </w:rPr>
              <w:fldChar w:fldCharType="begin"/>
            </w:r>
            <w:r>
              <w:rPr>
                <w:noProof/>
                <w:webHidden/>
              </w:rPr>
              <w:instrText xml:space="preserve"> PAGEREF _Toc216705414 \h </w:instrText>
            </w:r>
            <w:r>
              <w:rPr>
                <w:noProof/>
                <w:webHidden/>
              </w:rPr>
            </w:r>
            <w:r>
              <w:rPr>
                <w:noProof/>
                <w:webHidden/>
              </w:rPr>
              <w:fldChar w:fldCharType="separate"/>
            </w:r>
            <w:r w:rsidR="001F52BC">
              <w:rPr>
                <w:noProof/>
                <w:webHidden/>
              </w:rPr>
              <w:t>2</w:t>
            </w:r>
            <w:r>
              <w:rPr>
                <w:noProof/>
                <w:webHidden/>
              </w:rPr>
              <w:fldChar w:fldCharType="end"/>
            </w:r>
          </w:hyperlink>
        </w:p>
        <w:p w14:paraId="5A3B9E65" w14:textId="234A3133"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15" w:history="1">
            <w:r w:rsidRPr="00F90F82">
              <w:rPr>
                <w:rStyle w:val="Hyperlink"/>
                <w:noProof/>
                <w:lang w:val="en-GB"/>
              </w:rPr>
              <w:t>2.1 Selection of Toyota Motor Corporation and Justification</w:t>
            </w:r>
            <w:r>
              <w:rPr>
                <w:noProof/>
                <w:webHidden/>
              </w:rPr>
              <w:tab/>
            </w:r>
            <w:r>
              <w:rPr>
                <w:noProof/>
                <w:webHidden/>
              </w:rPr>
              <w:fldChar w:fldCharType="begin"/>
            </w:r>
            <w:r>
              <w:rPr>
                <w:noProof/>
                <w:webHidden/>
              </w:rPr>
              <w:instrText xml:space="preserve"> PAGEREF _Toc216705415 \h </w:instrText>
            </w:r>
            <w:r>
              <w:rPr>
                <w:noProof/>
                <w:webHidden/>
              </w:rPr>
            </w:r>
            <w:r>
              <w:rPr>
                <w:noProof/>
                <w:webHidden/>
              </w:rPr>
              <w:fldChar w:fldCharType="separate"/>
            </w:r>
            <w:r w:rsidR="001F52BC">
              <w:rPr>
                <w:noProof/>
                <w:webHidden/>
              </w:rPr>
              <w:t>2</w:t>
            </w:r>
            <w:r>
              <w:rPr>
                <w:noProof/>
                <w:webHidden/>
              </w:rPr>
              <w:fldChar w:fldCharType="end"/>
            </w:r>
          </w:hyperlink>
        </w:p>
        <w:p w14:paraId="3C387A49" w14:textId="0477E04D"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16" w:history="1">
            <w:r w:rsidRPr="00F90F82">
              <w:rPr>
                <w:rStyle w:val="Hyperlink"/>
                <w:noProof/>
                <w:lang w:val="en-GB"/>
              </w:rPr>
              <w:t>2.2 Selection of the Cuban Market and Justification</w:t>
            </w:r>
            <w:r>
              <w:rPr>
                <w:noProof/>
                <w:webHidden/>
              </w:rPr>
              <w:tab/>
            </w:r>
            <w:r>
              <w:rPr>
                <w:noProof/>
                <w:webHidden/>
              </w:rPr>
              <w:fldChar w:fldCharType="begin"/>
            </w:r>
            <w:r>
              <w:rPr>
                <w:noProof/>
                <w:webHidden/>
              </w:rPr>
              <w:instrText xml:space="preserve"> PAGEREF _Toc216705416 \h </w:instrText>
            </w:r>
            <w:r>
              <w:rPr>
                <w:noProof/>
                <w:webHidden/>
              </w:rPr>
            </w:r>
            <w:r>
              <w:rPr>
                <w:noProof/>
                <w:webHidden/>
              </w:rPr>
              <w:fldChar w:fldCharType="separate"/>
            </w:r>
            <w:r w:rsidR="001F52BC">
              <w:rPr>
                <w:noProof/>
                <w:webHidden/>
              </w:rPr>
              <w:t>3</w:t>
            </w:r>
            <w:r>
              <w:rPr>
                <w:noProof/>
                <w:webHidden/>
              </w:rPr>
              <w:fldChar w:fldCharType="end"/>
            </w:r>
          </w:hyperlink>
        </w:p>
        <w:p w14:paraId="5DB80415" w14:textId="2F594C5D" w:rsidR="007145E5" w:rsidRDefault="007145E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6705417" w:history="1">
            <w:r w:rsidRPr="00F90F82">
              <w:rPr>
                <w:rStyle w:val="Hyperlink"/>
                <w:noProof/>
                <w:lang w:val="en-GB"/>
              </w:rPr>
              <w:t>3.0 Comprehensive Strategic Analysis</w:t>
            </w:r>
            <w:r>
              <w:rPr>
                <w:noProof/>
                <w:webHidden/>
              </w:rPr>
              <w:tab/>
            </w:r>
            <w:r>
              <w:rPr>
                <w:noProof/>
                <w:webHidden/>
              </w:rPr>
              <w:fldChar w:fldCharType="begin"/>
            </w:r>
            <w:r>
              <w:rPr>
                <w:noProof/>
                <w:webHidden/>
              </w:rPr>
              <w:instrText xml:space="preserve"> PAGEREF _Toc216705417 \h </w:instrText>
            </w:r>
            <w:r>
              <w:rPr>
                <w:noProof/>
                <w:webHidden/>
              </w:rPr>
            </w:r>
            <w:r>
              <w:rPr>
                <w:noProof/>
                <w:webHidden/>
              </w:rPr>
              <w:fldChar w:fldCharType="separate"/>
            </w:r>
            <w:r w:rsidR="001F52BC">
              <w:rPr>
                <w:noProof/>
                <w:webHidden/>
              </w:rPr>
              <w:t>4</w:t>
            </w:r>
            <w:r>
              <w:rPr>
                <w:noProof/>
                <w:webHidden/>
              </w:rPr>
              <w:fldChar w:fldCharType="end"/>
            </w:r>
          </w:hyperlink>
        </w:p>
        <w:p w14:paraId="778170FE" w14:textId="39AF96AA"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18" w:history="1">
            <w:r w:rsidRPr="00F90F82">
              <w:rPr>
                <w:rStyle w:val="Hyperlink"/>
                <w:noProof/>
                <w:lang w:val="en-GB"/>
              </w:rPr>
              <w:t>3.1 PESTLE analysis: Macro environmental analysis</w:t>
            </w:r>
            <w:r>
              <w:rPr>
                <w:noProof/>
                <w:webHidden/>
              </w:rPr>
              <w:tab/>
            </w:r>
            <w:r>
              <w:rPr>
                <w:noProof/>
                <w:webHidden/>
              </w:rPr>
              <w:fldChar w:fldCharType="begin"/>
            </w:r>
            <w:r>
              <w:rPr>
                <w:noProof/>
                <w:webHidden/>
              </w:rPr>
              <w:instrText xml:space="preserve"> PAGEREF _Toc216705418 \h </w:instrText>
            </w:r>
            <w:r>
              <w:rPr>
                <w:noProof/>
                <w:webHidden/>
              </w:rPr>
            </w:r>
            <w:r>
              <w:rPr>
                <w:noProof/>
                <w:webHidden/>
              </w:rPr>
              <w:fldChar w:fldCharType="separate"/>
            </w:r>
            <w:r w:rsidR="001F52BC">
              <w:rPr>
                <w:noProof/>
                <w:webHidden/>
              </w:rPr>
              <w:t>4</w:t>
            </w:r>
            <w:r>
              <w:rPr>
                <w:noProof/>
                <w:webHidden/>
              </w:rPr>
              <w:fldChar w:fldCharType="end"/>
            </w:r>
          </w:hyperlink>
        </w:p>
        <w:p w14:paraId="3BD8B889" w14:textId="7BF48F2B"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19" w:history="1">
            <w:r w:rsidRPr="00F90F82">
              <w:rPr>
                <w:rStyle w:val="Hyperlink"/>
                <w:noProof/>
                <w:lang w:val="en-GB"/>
              </w:rPr>
              <w:t>3.2 Porter’s Five Forces Analysis: Competitive landscape</w:t>
            </w:r>
            <w:r>
              <w:rPr>
                <w:noProof/>
                <w:webHidden/>
              </w:rPr>
              <w:tab/>
            </w:r>
            <w:r>
              <w:rPr>
                <w:noProof/>
                <w:webHidden/>
              </w:rPr>
              <w:fldChar w:fldCharType="begin"/>
            </w:r>
            <w:r>
              <w:rPr>
                <w:noProof/>
                <w:webHidden/>
              </w:rPr>
              <w:instrText xml:space="preserve"> PAGEREF _Toc216705419 \h </w:instrText>
            </w:r>
            <w:r>
              <w:rPr>
                <w:noProof/>
                <w:webHidden/>
              </w:rPr>
            </w:r>
            <w:r>
              <w:rPr>
                <w:noProof/>
                <w:webHidden/>
              </w:rPr>
              <w:fldChar w:fldCharType="separate"/>
            </w:r>
            <w:r w:rsidR="001F52BC">
              <w:rPr>
                <w:noProof/>
                <w:webHidden/>
              </w:rPr>
              <w:t>8</w:t>
            </w:r>
            <w:r>
              <w:rPr>
                <w:noProof/>
                <w:webHidden/>
              </w:rPr>
              <w:fldChar w:fldCharType="end"/>
            </w:r>
          </w:hyperlink>
        </w:p>
        <w:p w14:paraId="042C27C8" w14:textId="658E44EA"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0" w:history="1">
            <w:r w:rsidRPr="00F90F82">
              <w:rPr>
                <w:rStyle w:val="Hyperlink"/>
                <w:noProof/>
                <w:lang w:val="en-GB"/>
              </w:rPr>
              <w:t>3.3 SWOT Analysis: Micro environmental analysis</w:t>
            </w:r>
            <w:r>
              <w:rPr>
                <w:noProof/>
                <w:webHidden/>
              </w:rPr>
              <w:tab/>
            </w:r>
            <w:r>
              <w:rPr>
                <w:noProof/>
                <w:webHidden/>
              </w:rPr>
              <w:fldChar w:fldCharType="begin"/>
            </w:r>
            <w:r>
              <w:rPr>
                <w:noProof/>
                <w:webHidden/>
              </w:rPr>
              <w:instrText xml:space="preserve"> PAGEREF _Toc216705420 \h </w:instrText>
            </w:r>
            <w:r>
              <w:rPr>
                <w:noProof/>
                <w:webHidden/>
              </w:rPr>
            </w:r>
            <w:r>
              <w:rPr>
                <w:noProof/>
                <w:webHidden/>
              </w:rPr>
              <w:fldChar w:fldCharType="separate"/>
            </w:r>
            <w:r w:rsidR="001F52BC">
              <w:rPr>
                <w:noProof/>
                <w:webHidden/>
              </w:rPr>
              <w:t>10</w:t>
            </w:r>
            <w:r>
              <w:rPr>
                <w:noProof/>
                <w:webHidden/>
              </w:rPr>
              <w:fldChar w:fldCharType="end"/>
            </w:r>
          </w:hyperlink>
        </w:p>
        <w:p w14:paraId="2CFEC620" w14:textId="1CAE14AD"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1" w:history="1">
            <w:r w:rsidRPr="00F90F82">
              <w:rPr>
                <w:rStyle w:val="Hyperlink"/>
                <w:noProof/>
                <w:lang w:val="en-GB"/>
              </w:rPr>
              <w:t>3.4 Evaluation of effectiveness and limitations of the analytical tools employed</w:t>
            </w:r>
            <w:r>
              <w:rPr>
                <w:noProof/>
                <w:webHidden/>
              </w:rPr>
              <w:tab/>
            </w:r>
            <w:r>
              <w:rPr>
                <w:noProof/>
                <w:webHidden/>
              </w:rPr>
              <w:fldChar w:fldCharType="begin"/>
            </w:r>
            <w:r>
              <w:rPr>
                <w:noProof/>
                <w:webHidden/>
              </w:rPr>
              <w:instrText xml:space="preserve"> PAGEREF _Toc216705421 \h </w:instrText>
            </w:r>
            <w:r>
              <w:rPr>
                <w:noProof/>
                <w:webHidden/>
              </w:rPr>
            </w:r>
            <w:r>
              <w:rPr>
                <w:noProof/>
                <w:webHidden/>
              </w:rPr>
              <w:fldChar w:fldCharType="separate"/>
            </w:r>
            <w:r w:rsidR="001F52BC">
              <w:rPr>
                <w:noProof/>
                <w:webHidden/>
              </w:rPr>
              <w:t>11</w:t>
            </w:r>
            <w:r>
              <w:rPr>
                <w:noProof/>
                <w:webHidden/>
              </w:rPr>
              <w:fldChar w:fldCharType="end"/>
            </w:r>
          </w:hyperlink>
        </w:p>
        <w:p w14:paraId="45038261" w14:textId="28C35C4B" w:rsidR="007145E5" w:rsidRDefault="007145E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6705422" w:history="1">
            <w:r w:rsidRPr="00F90F82">
              <w:rPr>
                <w:rStyle w:val="Hyperlink"/>
                <w:noProof/>
                <w:lang w:val="en-GB"/>
              </w:rPr>
              <w:t>4.0 Strategy Development and Formulation</w:t>
            </w:r>
            <w:r>
              <w:rPr>
                <w:noProof/>
                <w:webHidden/>
              </w:rPr>
              <w:tab/>
            </w:r>
            <w:r>
              <w:rPr>
                <w:noProof/>
                <w:webHidden/>
              </w:rPr>
              <w:fldChar w:fldCharType="begin"/>
            </w:r>
            <w:r>
              <w:rPr>
                <w:noProof/>
                <w:webHidden/>
              </w:rPr>
              <w:instrText xml:space="preserve"> PAGEREF _Toc216705422 \h </w:instrText>
            </w:r>
            <w:r>
              <w:rPr>
                <w:noProof/>
                <w:webHidden/>
              </w:rPr>
            </w:r>
            <w:r>
              <w:rPr>
                <w:noProof/>
                <w:webHidden/>
              </w:rPr>
              <w:fldChar w:fldCharType="separate"/>
            </w:r>
            <w:r w:rsidR="001F52BC">
              <w:rPr>
                <w:noProof/>
                <w:webHidden/>
              </w:rPr>
              <w:t>12</w:t>
            </w:r>
            <w:r>
              <w:rPr>
                <w:noProof/>
                <w:webHidden/>
              </w:rPr>
              <w:fldChar w:fldCharType="end"/>
            </w:r>
          </w:hyperlink>
        </w:p>
        <w:p w14:paraId="32ADAB64" w14:textId="62DADF15"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3" w:history="1">
            <w:r w:rsidRPr="00F90F82">
              <w:rPr>
                <w:rStyle w:val="Hyperlink"/>
                <w:noProof/>
                <w:lang w:val="en-GB"/>
              </w:rPr>
              <w:t>4.1 SMART objectives for the organisation's expansion</w:t>
            </w:r>
            <w:r>
              <w:rPr>
                <w:noProof/>
                <w:webHidden/>
              </w:rPr>
              <w:tab/>
            </w:r>
            <w:r>
              <w:rPr>
                <w:noProof/>
                <w:webHidden/>
              </w:rPr>
              <w:fldChar w:fldCharType="begin"/>
            </w:r>
            <w:r>
              <w:rPr>
                <w:noProof/>
                <w:webHidden/>
              </w:rPr>
              <w:instrText xml:space="preserve"> PAGEREF _Toc216705423 \h </w:instrText>
            </w:r>
            <w:r>
              <w:rPr>
                <w:noProof/>
                <w:webHidden/>
              </w:rPr>
            </w:r>
            <w:r>
              <w:rPr>
                <w:noProof/>
                <w:webHidden/>
              </w:rPr>
              <w:fldChar w:fldCharType="separate"/>
            </w:r>
            <w:r w:rsidR="001F52BC">
              <w:rPr>
                <w:noProof/>
                <w:webHidden/>
              </w:rPr>
              <w:t>12</w:t>
            </w:r>
            <w:r>
              <w:rPr>
                <w:noProof/>
                <w:webHidden/>
              </w:rPr>
              <w:fldChar w:fldCharType="end"/>
            </w:r>
          </w:hyperlink>
        </w:p>
        <w:p w14:paraId="4B94E13C" w14:textId="668C3885"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4" w:history="1">
            <w:r w:rsidRPr="00F90F82">
              <w:rPr>
                <w:rStyle w:val="Hyperlink"/>
                <w:noProof/>
                <w:lang w:val="en-GB"/>
              </w:rPr>
              <w:t>4.2 STP Approach for Target Market Categorisation_300</w:t>
            </w:r>
            <w:r>
              <w:rPr>
                <w:noProof/>
                <w:webHidden/>
              </w:rPr>
              <w:tab/>
            </w:r>
            <w:r>
              <w:rPr>
                <w:noProof/>
                <w:webHidden/>
              </w:rPr>
              <w:fldChar w:fldCharType="begin"/>
            </w:r>
            <w:r>
              <w:rPr>
                <w:noProof/>
                <w:webHidden/>
              </w:rPr>
              <w:instrText xml:space="preserve"> PAGEREF _Toc216705424 \h </w:instrText>
            </w:r>
            <w:r>
              <w:rPr>
                <w:noProof/>
                <w:webHidden/>
              </w:rPr>
            </w:r>
            <w:r>
              <w:rPr>
                <w:noProof/>
                <w:webHidden/>
              </w:rPr>
              <w:fldChar w:fldCharType="separate"/>
            </w:r>
            <w:r w:rsidR="001F52BC">
              <w:rPr>
                <w:noProof/>
                <w:webHidden/>
              </w:rPr>
              <w:t>14</w:t>
            </w:r>
            <w:r>
              <w:rPr>
                <w:noProof/>
                <w:webHidden/>
              </w:rPr>
              <w:fldChar w:fldCharType="end"/>
            </w:r>
          </w:hyperlink>
        </w:p>
        <w:p w14:paraId="2991A6B2" w14:textId="295FD610"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5" w:history="1">
            <w:r w:rsidRPr="00F90F82">
              <w:rPr>
                <w:rStyle w:val="Hyperlink"/>
                <w:noProof/>
                <w:lang w:val="en-GB"/>
              </w:rPr>
              <w:t>4.3 VRIO Analysis for Market-based Competitive Advantages</w:t>
            </w:r>
            <w:r>
              <w:rPr>
                <w:noProof/>
                <w:webHidden/>
              </w:rPr>
              <w:tab/>
            </w:r>
            <w:r>
              <w:rPr>
                <w:noProof/>
                <w:webHidden/>
              </w:rPr>
              <w:fldChar w:fldCharType="begin"/>
            </w:r>
            <w:r>
              <w:rPr>
                <w:noProof/>
                <w:webHidden/>
              </w:rPr>
              <w:instrText xml:space="preserve"> PAGEREF _Toc216705425 \h </w:instrText>
            </w:r>
            <w:r>
              <w:rPr>
                <w:noProof/>
                <w:webHidden/>
              </w:rPr>
            </w:r>
            <w:r>
              <w:rPr>
                <w:noProof/>
                <w:webHidden/>
              </w:rPr>
              <w:fldChar w:fldCharType="separate"/>
            </w:r>
            <w:r w:rsidR="001F52BC">
              <w:rPr>
                <w:noProof/>
                <w:webHidden/>
              </w:rPr>
              <w:t>16</w:t>
            </w:r>
            <w:r>
              <w:rPr>
                <w:noProof/>
                <w:webHidden/>
              </w:rPr>
              <w:fldChar w:fldCharType="end"/>
            </w:r>
          </w:hyperlink>
        </w:p>
        <w:p w14:paraId="53B4C3B8" w14:textId="19E225DE"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6" w:history="1">
            <w:r w:rsidRPr="00F90F82">
              <w:rPr>
                <w:rStyle w:val="Hyperlink"/>
                <w:noProof/>
                <w:lang w:val="en-GB"/>
              </w:rPr>
              <w:t>4.4 Ansoff Matrix for the Identification of Market Entry Approach</w:t>
            </w:r>
            <w:r>
              <w:rPr>
                <w:noProof/>
                <w:webHidden/>
              </w:rPr>
              <w:tab/>
            </w:r>
            <w:r>
              <w:rPr>
                <w:noProof/>
                <w:webHidden/>
              </w:rPr>
              <w:fldChar w:fldCharType="begin"/>
            </w:r>
            <w:r>
              <w:rPr>
                <w:noProof/>
                <w:webHidden/>
              </w:rPr>
              <w:instrText xml:space="preserve"> PAGEREF _Toc216705426 \h </w:instrText>
            </w:r>
            <w:r>
              <w:rPr>
                <w:noProof/>
                <w:webHidden/>
              </w:rPr>
            </w:r>
            <w:r>
              <w:rPr>
                <w:noProof/>
                <w:webHidden/>
              </w:rPr>
              <w:fldChar w:fldCharType="separate"/>
            </w:r>
            <w:r w:rsidR="001F52BC">
              <w:rPr>
                <w:noProof/>
                <w:webHidden/>
              </w:rPr>
              <w:t>18</w:t>
            </w:r>
            <w:r>
              <w:rPr>
                <w:noProof/>
                <w:webHidden/>
              </w:rPr>
              <w:fldChar w:fldCharType="end"/>
            </w:r>
          </w:hyperlink>
        </w:p>
        <w:p w14:paraId="58C54781" w14:textId="34C1B0C4"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7" w:history="1">
            <w:r w:rsidRPr="00F90F82">
              <w:rPr>
                <w:rStyle w:val="Hyperlink"/>
                <w:noProof/>
                <w:lang w:val="en-GB"/>
              </w:rPr>
              <w:t>4.5 Uppsala for the evaluation of the mode of market entry</w:t>
            </w:r>
            <w:r>
              <w:rPr>
                <w:noProof/>
                <w:webHidden/>
              </w:rPr>
              <w:tab/>
            </w:r>
            <w:r>
              <w:rPr>
                <w:noProof/>
                <w:webHidden/>
              </w:rPr>
              <w:fldChar w:fldCharType="begin"/>
            </w:r>
            <w:r>
              <w:rPr>
                <w:noProof/>
                <w:webHidden/>
              </w:rPr>
              <w:instrText xml:space="preserve"> PAGEREF _Toc216705427 \h </w:instrText>
            </w:r>
            <w:r>
              <w:rPr>
                <w:noProof/>
                <w:webHidden/>
              </w:rPr>
            </w:r>
            <w:r>
              <w:rPr>
                <w:noProof/>
                <w:webHidden/>
              </w:rPr>
              <w:fldChar w:fldCharType="separate"/>
            </w:r>
            <w:r w:rsidR="001F52BC">
              <w:rPr>
                <w:noProof/>
                <w:webHidden/>
              </w:rPr>
              <w:t>20</w:t>
            </w:r>
            <w:r>
              <w:rPr>
                <w:noProof/>
                <w:webHidden/>
              </w:rPr>
              <w:fldChar w:fldCharType="end"/>
            </w:r>
          </w:hyperlink>
        </w:p>
        <w:p w14:paraId="2354FBA7" w14:textId="77FB46E2" w:rsidR="007145E5" w:rsidRDefault="007145E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6705428" w:history="1">
            <w:r w:rsidRPr="00F90F82">
              <w:rPr>
                <w:rStyle w:val="Hyperlink"/>
                <w:noProof/>
                <w:lang w:val="en-GB"/>
              </w:rPr>
              <w:t>4.6 Market Entry Strategy</w:t>
            </w:r>
            <w:r>
              <w:rPr>
                <w:noProof/>
                <w:webHidden/>
              </w:rPr>
              <w:tab/>
            </w:r>
            <w:r>
              <w:rPr>
                <w:noProof/>
                <w:webHidden/>
              </w:rPr>
              <w:fldChar w:fldCharType="begin"/>
            </w:r>
            <w:r>
              <w:rPr>
                <w:noProof/>
                <w:webHidden/>
              </w:rPr>
              <w:instrText xml:space="preserve"> PAGEREF _Toc216705428 \h </w:instrText>
            </w:r>
            <w:r>
              <w:rPr>
                <w:noProof/>
                <w:webHidden/>
              </w:rPr>
            </w:r>
            <w:r>
              <w:rPr>
                <w:noProof/>
                <w:webHidden/>
              </w:rPr>
              <w:fldChar w:fldCharType="separate"/>
            </w:r>
            <w:r w:rsidR="001F52BC">
              <w:rPr>
                <w:noProof/>
                <w:webHidden/>
              </w:rPr>
              <w:t>21</w:t>
            </w:r>
            <w:r>
              <w:rPr>
                <w:noProof/>
                <w:webHidden/>
              </w:rPr>
              <w:fldChar w:fldCharType="end"/>
            </w:r>
          </w:hyperlink>
        </w:p>
        <w:p w14:paraId="0E46FCB4" w14:textId="5E05E0F2" w:rsidR="007145E5" w:rsidRDefault="007145E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6705429" w:history="1">
            <w:r w:rsidRPr="00F90F82">
              <w:rPr>
                <w:rStyle w:val="Hyperlink"/>
                <w:noProof/>
                <w:lang w:val="en-GB"/>
              </w:rPr>
              <w:t>5.0 Performance Evaluation Framework using TBL Approach</w:t>
            </w:r>
            <w:r>
              <w:rPr>
                <w:noProof/>
                <w:webHidden/>
              </w:rPr>
              <w:tab/>
            </w:r>
            <w:r>
              <w:rPr>
                <w:noProof/>
                <w:webHidden/>
              </w:rPr>
              <w:fldChar w:fldCharType="begin"/>
            </w:r>
            <w:r>
              <w:rPr>
                <w:noProof/>
                <w:webHidden/>
              </w:rPr>
              <w:instrText xml:space="preserve"> PAGEREF _Toc216705429 \h </w:instrText>
            </w:r>
            <w:r>
              <w:rPr>
                <w:noProof/>
                <w:webHidden/>
              </w:rPr>
            </w:r>
            <w:r>
              <w:rPr>
                <w:noProof/>
                <w:webHidden/>
              </w:rPr>
              <w:fldChar w:fldCharType="separate"/>
            </w:r>
            <w:r w:rsidR="001F52BC">
              <w:rPr>
                <w:noProof/>
                <w:webHidden/>
              </w:rPr>
              <w:t>23</w:t>
            </w:r>
            <w:r>
              <w:rPr>
                <w:noProof/>
                <w:webHidden/>
              </w:rPr>
              <w:fldChar w:fldCharType="end"/>
            </w:r>
          </w:hyperlink>
        </w:p>
        <w:p w14:paraId="5459405C" w14:textId="10BC163C" w:rsidR="007145E5" w:rsidRDefault="007145E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6705430" w:history="1">
            <w:r w:rsidRPr="00F90F82">
              <w:rPr>
                <w:rStyle w:val="Hyperlink"/>
                <w:noProof/>
                <w:lang w:val="en-GB"/>
              </w:rPr>
              <w:t>6.0 Conclusion</w:t>
            </w:r>
            <w:r>
              <w:rPr>
                <w:noProof/>
                <w:webHidden/>
              </w:rPr>
              <w:tab/>
            </w:r>
            <w:r>
              <w:rPr>
                <w:noProof/>
                <w:webHidden/>
              </w:rPr>
              <w:fldChar w:fldCharType="begin"/>
            </w:r>
            <w:r>
              <w:rPr>
                <w:noProof/>
                <w:webHidden/>
              </w:rPr>
              <w:instrText xml:space="preserve"> PAGEREF _Toc216705430 \h </w:instrText>
            </w:r>
            <w:r>
              <w:rPr>
                <w:noProof/>
                <w:webHidden/>
              </w:rPr>
            </w:r>
            <w:r>
              <w:rPr>
                <w:noProof/>
                <w:webHidden/>
              </w:rPr>
              <w:fldChar w:fldCharType="separate"/>
            </w:r>
            <w:r w:rsidR="001F52BC">
              <w:rPr>
                <w:noProof/>
                <w:webHidden/>
              </w:rPr>
              <w:t>27</w:t>
            </w:r>
            <w:r>
              <w:rPr>
                <w:noProof/>
                <w:webHidden/>
              </w:rPr>
              <w:fldChar w:fldCharType="end"/>
            </w:r>
          </w:hyperlink>
        </w:p>
        <w:p w14:paraId="7F06E162" w14:textId="15889254" w:rsidR="007145E5" w:rsidRDefault="007145E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6705431" w:history="1">
            <w:r w:rsidRPr="00F90F82">
              <w:rPr>
                <w:rStyle w:val="Hyperlink"/>
                <w:noProof/>
                <w:lang w:val="en-GB"/>
              </w:rPr>
              <w:t>7.0 References</w:t>
            </w:r>
            <w:r>
              <w:rPr>
                <w:noProof/>
                <w:webHidden/>
              </w:rPr>
              <w:tab/>
            </w:r>
            <w:r>
              <w:rPr>
                <w:noProof/>
                <w:webHidden/>
              </w:rPr>
              <w:fldChar w:fldCharType="begin"/>
            </w:r>
            <w:r>
              <w:rPr>
                <w:noProof/>
                <w:webHidden/>
              </w:rPr>
              <w:instrText xml:space="preserve"> PAGEREF _Toc216705431 \h </w:instrText>
            </w:r>
            <w:r>
              <w:rPr>
                <w:noProof/>
                <w:webHidden/>
              </w:rPr>
            </w:r>
            <w:r>
              <w:rPr>
                <w:noProof/>
                <w:webHidden/>
              </w:rPr>
              <w:fldChar w:fldCharType="separate"/>
            </w:r>
            <w:r w:rsidR="001F52BC">
              <w:rPr>
                <w:noProof/>
                <w:webHidden/>
              </w:rPr>
              <w:t>29</w:t>
            </w:r>
            <w:r>
              <w:rPr>
                <w:noProof/>
                <w:webHidden/>
              </w:rPr>
              <w:fldChar w:fldCharType="end"/>
            </w:r>
          </w:hyperlink>
        </w:p>
        <w:p w14:paraId="5577409B" w14:textId="4601763F" w:rsidR="000E7AC7" w:rsidRPr="00A75D61" w:rsidRDefault="000E7AC7" w:rsidP="00A75D61">
          <w:pPr>
            <w:widowControl w:val="0"/>
            <w:tabs>
              <w:tab w:val="right" w:leader="dot" w:pos="12000"/>
            </w:tabs>
            <w:spacing w:before="60" w:after="0"/>
            <w:jc w:val="left"/>
            <w:rPr>
              <w:color w:val="000000"/>
              <w:lang w:val="en-GB"/>
            </w:rPr>
          </w:pPr>
          <w:r w:rsidRPr="00A75D61">
            <w:rPr>
              <w:lang w:val="en-GB"/>
            </w:rPr>
            <w:fldChar w:fldCharType="end"/>
          </w:r>
        </w:p>
      </w:sdtContent>
    </w:sdt>
    <w:p w14:paraId="5AF66767" w14:textId="1F176120" w:rsidR="000E7AC7" w:rsidRPr="00A75D61" w:rsidRDefault="000E7AC7" w:rsidP="00A75D61">
      <w:pPr>
        <w:jc w:val="left"/>
        <w:rPr>
          <w:b/>
          <w:lang w:val="en-GB"/>
        </w:rPr>
      </w:pPr>
    </w:p>
    <w:p w14:paraId="39E9C63E" w14:textId="77777777" w:rsidR="000E7AC7" w:rsidRPr="00A75D61" w:rsidRDefault="00000000" w:rsidP="00A75D61">
      <w:pPr>
        <w:pStyle w:val="Heading1"/>
        <w:rPr>
          <w:sz w:val="24"/>
          <w:szCs w:val="24"/>
          <w:lang w:val="en-GB"/>
        </w:rPr>
      </w:pPr>
      <w:bookmarkStart w:id="0" w:name="_Toc216705413"/>
      <w:r w:rsidRPr="00A75D61">
        <w:rPr>
          <w:sz w:val="24"/>
          <w:szCs w:val="24"/>
          <w:lang w:val="en-GB"/>
        </w:rPr>
        <w:t>1.0 Introduction</w:t>
      </w:r>
      <w:bookmarkEnd w:id="0"/>
    </w:p>
    <w:p w14:paraId="5866FA9C" w14:textId="77777777" w:rsidR="000E7AC7" w:rsidRPr="00A75D61" w:rsidRDefault="00000000" w:rsidP="00A75D61">
      <w:pPr>
        <w:rPr>
          <w:lang w:val="en-GB"/>
        </w:rPr>
      </w:pPr>
      <w:r w:rsidRPr="00A75D61">
        <w:rPr>
          <w:lang w:val="en-GB"/>
        </w:rPr>
        <w:t xml:space="preserve">The study will examine the importance of strategic management, which is the ongoing planning, tracking, and analysis of an organisation's resources to achieve long-term goals and objectives. The paper selected Toyota Motor Corporation for market entry in Cuba, which involves examining both external environmental analysis and internal environmental analysis to understand the strategies required for entering the target market. The study aims to analyse evidence-based organisational expansion approaches for Toyota in the UK, by application of VRIO, Ansoff Matrix, Porter's Five Forces and more, which helps to recognise the competitiveness factors in the specific area. </w:t>
      </w:r>
    </w:p>
    <w:p w14:paraId="01A91475" w14:textId="77777777" w:rsidR="000E7AC7" w:rsidRPr="00A75D61" w:rsidRDefault="00000000" w:rsidP="00A75D61">
      <w:pPr>
        <w:pStyle w:val="Heading1"/>
        <w:rPr>
          <w:sz w:val="24"/>
          <w:szCs w:val="24"/>
          <w:lang w:val="en-GB"/>
        </w:rPr>
      </w:pPr>
      <w:bookmarkStart w:id="1" w:name="_Toc216705414"/>
      <w:r w:rsidRPr="00A75D61">
        <w:rPr>
          <w:sz w:val="24"/>
          <w:szCs w:val="24"/>
          <w:lang w:val="en-GB"/>
        </w:rPr>
        <w:t>2.0 Selection of Organisation and Target Market</w:t>
      </w:r>
      <w:bookmarkEnd w:id="1"/>
    </w:p>
    <w:p w14:paraId="4E82818D" w14:textId="77777777" w:rsidR="000E7AC7" w:rsidRPr="00A75D61" w:rsidRDefault="00000000" w:rsidP="00A75D61">
      <w:pPr>
        <w:pStyle w:val="Heading2"/>
        <w:rPr>
          <w:lang w:val="en-GB"/>
        </w:rPr>
      </w:pPr>
      <w:bookmarkStart w:id="2" w:name="_Toc216705415"/>
      <w:r w:rsidRPr="00A75D61">
        <w:rPr>
          <w:lang w:val="en-GB"/>
        </w:rPr>
        <w:t>2.1 Selection of Toyota Motor Corporation and Justification</w:t>
      </w:r>
      <w:bookmarkEnd w:id="2"/>
    </w:p>
    <w:p w14:paraId="7FB0EF23" w14:textId="77777777" w:rsidR="000E7AC7" w:rsidRPr="00A75D61" w:rsidRDefault="00000000" w:rsidP="00A75D61">
      <w:pPr>
        <w:rPr>
          <w:lang w:val="en-GB"/>
        </w:rPr>
      </w:pPr>
      <w:r w:rsidRPr="00A75D61">
        <w:rPr>
          <w:lang w:val="en-GB"/>
        </w:rPr>
        <w:t>Toyota Motor Corporation is a global Motor vehicle production conglomerate with global headquarters in Aichi, Japan (Toyota Global, 2025). Founded in 1937, Toyota is currently led by President Koji Sato and has a total organisational capital as of March 2025 of 635 billion yen (Toyota Global, 2025). The company in itself has employed over 71,000 employees, and its consolidated workforce across the global Toyota ecosystem counts 383,853 employees (Toyota Global, 2025). Present across 170+ countries, Toyota Motor Corporation already has a huge global presence, with over 20 R&amp;D and Design plants as well as over 71 manufacturing companies worldwide (Toyota Global, 2025a). This presents Toyota as a major player in the global market. However, with the growth of the firm, its per annum growth rate is bound to slow down with the saturation of the international markets. Therefore, the company needs to constantly search for options for international market expansion and entry into untapped geographical territories. Thus, Toyota Motor Corporation is chosen as the company for market expansion.</w:t>
      </w:r>
    </w:p>
    <w:p w14:paraId="41D3131E" w14:textId="77777777" w:rsidR="000E7AC7" w:rsidRPr="00A75D61" w:rsidRDefault="00000000" w:rsidP="00A75D61">
      <w:pPr>
        <w:rPr>
          <w:lang w:val="en-GB"/>
        </w:rPr>
      </w:pPr>
      <w:r w:rsidRPr="00A75D61">
        <w:rPr>
          <w:noProof/>
          <w:lang w:val="en-GB"/>
        </w:rPr>
        <w:lastRenderedPageBreak/>
        <w:drawing>
          <wp:inline distT="114300" distB="114300" distL="114300" distR="114300" wp14:anchorId="74B3474B" wp14:editId="1CC2F798">
            <wp:extent cx="5943600" cy="53467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9"/>
                    <a:stretch>
                      <a:fillRect/>
                    </a:stretch>
                  </pic:blipFill>
                  <pic:spPr>
                    <a:xfrm>
                      <a:off x="0" y="0"/>
                      <a:ext cx="5943600" cy="5346700"/>
                    </a:xfrm>
                    <a:prstGeom prst="rect">
                      <a:avLst/>
                    </a:prstGeom>
                    <a:ln w="25400">
                      <a:solidFill>
                        <a:srgbClr val="000000"/>
                      </a:solidFill>
                      <a:prstDash val="solid"/>
                    </a:ln>
                  </pic:spPr>
                </pic:pic>
              </a:graphicData>
            </a:graphic>
          </wp:inline>
        </w:drawing>
      </w:r>
    </w:p>
    <w:p w14:paraId="5991340C" w14:textId="77777777" w:rsidR="000E7AC7" w:rsidRPr="00A75D61" w:rsidRDefault="00000000" w:rsidP="00A75D61">
      <w:pPr>
        <w:jc w:val="center"/>
        <w:rPr>
          <w:b/>
          <w:lang w:val="en-GB"/>
        </w:rPr>
      </w:pPr>
      <w:r w:rsidRPr="00A75D61">
        <w:rPr>
          <w:b/>
          <w:lang w:val="en-GB"/>
        </w:rPr>
        <w:t>Figure 1: Toyota Motor Corporation Global Reach</w:t>
      </w:r>
    </w:p>
    <w:p w14:paraId="32869B82" w14:textId="77777777" w:rsidR="000E7AC7" w:rsidRPr="00A75D61" w:rsidRDefault="00000000" w:rsidP="00A75D61">
      <w:pPr>
        <w:jc w:val="center"/>
        <w:rPr>
          <w:lang w:val="en-GB"/>
        </w:rPr>
      </w:pPr>
      <w:r w:rsidRPr="00A75D61">
        <w:rPr>
          <w:lang w:val="en-GB"/>
        </w:rPr>
        <w:t>(Source: Toyota Global, 2025a)</w:t>
      </w:r>
    </w:p>
    <w:p w14:paraId="71089A52" w14:textId="77777777" w:rsidR="000E7AC7" w:rsidRPr="00A75D61" w:rsidRDefault="00000000" w:rsidP="00A75D61">
      <w:pPr>
        <w:pStyle w:val="Heading2"/>
        <w:rPr>
          <w:lang w:val="en-GB"/>
        </w:rPr>
      </w:pPr>
      <w:bookmarkStart w:id="3" w:name="_Toc216705416"/>
      <w:r w:rsidRPr="00A75D61">
        <w:rPr>
          <w:lang w:val="en-GB"/>
        </w:rPr>
        <w:t>2.2 Selection of the Cuban Market and Justification</w:t>
      </w:r>
      <w:bookmarkEnd w:id="3"/>
    </w:p>
    <w:p w14:paraId="721542A8" w14:textId="77777777" w:rsidR="000E7AC7" w:rsidRPr="00A75D61" w:rsidRDefault="00000000" w:rsidP="00A75D61">
      <w:pPr>
        <w:rPr>
          <w:lang w:val="en-GB"/>
        </w:rPr>
      </w:pPr>
      <w:r w:rsidRPr="00A75D61">
        <w:rPr>
          <w:lang w:val="en-GB"/>
        </w:rPr>
        <w:t xml:space="preserve">In the case of the Passenger Car Market in Cuba, it was found that the revenue generation in the market is projected to decrease from US$138.7 million in 2025 to US$132.8 million in 2030 (Statista, 2025). However, it was identified that SUVs are the most in-demand passenger car type in Cuba, and that the unit sales of passenger cars in the market are projected to reach 3.61k vehicles by 2030 (Statista, 2025). However, in this market, </w:t>
      </w:r>
      <w:r w:rsidRPr="00A75D61">
        <w:rPr>
          <w:lang w:val="en-GB"/>
        </w:rPr>
        <w:lastRenderedPageBreak/>
        <w:t xml:space="preserve">Renault is currently holding the highest market share of 30.6% (Statista, 2025). In 2019, the number of passenger cars per 1000 people in Cuba reached a historical high of 21.7, while showing a consistent growth over the years before that (Helgilibrary, 2025). This further presents that there is untapped market potential for exploration and exploitation in Cuba, if a global automobile manufacturing firm like Toyota enters the market, leveraging its internal strengths and opportunities. This further justifies the selection of Cuba as an appropriate market for the international market expansion of Toyota Motor Corporation. </w:t>
      </w:r>
    </w:p>
    <w:p w14:paraId="34AB2570" w14:textId="77777777" w:rsidR="000E7AC7" w:rsidRPr="00A75D61" w:rsidRDefault="00000000" w:rsidP="00A75D61">
      <w:pPr>
        <w:rPr>
          <w:lang w:val="en-GB"/>
        </w:rPr>
      </w:pPr>
      <w:r w:rsidRPr="00A75D61">
        <w:rPr>
          <w:noProof/>
          <w:lang w:val="en-GB"/>
        </w:rPr>
        <w:drawing>
          <wp:inline distT="114300" distB="114300" distL="114300" distR="114300" wp14:anchorId="7EA132B2" wp14:editId="0922C483">
            <wp:extent cx="5943600" cy="3708400"/>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0"/>
                    <a:stretch>
                      <a:fillRect/>
                    </a:stretch>
                  </pic:blipFill>
                  <pic:spPr>
                    <a:xfrm>
                      <a:off x="0" y="0"/>
                      <a:ext cx="5943600" cy="3708400"/>
                    </a:xfrm>
                    <a:prstGeom prst="rect">
                      <a:avLst/>
                    </a:prstGeom>
                    <a:ln w="25400">
                      <a:solidFill>
                        <a:srgbClr val="000000"/>
                      </a:solidFill>
                      <a:prstDash val="solid"/>
                    </a:ln>
                  </pic:spPr>
                </pic:pic>
              </a:graphicData>
            </a:graphic>
          </wp:inline>
        </w:drawing>
      </w:r>
    </w:p>
    <w:p w14:paraId="24C7FDA6" w14:textId="77777777" w:rsidR="000E7AC7" w:rsidRPr="00A75D61" w:rsidRDefault="00000000" w:rsidP="00A75D61">
      <w:pPr>
        <w:jc w:val="center"/>
        <w:rPr>
          <w:b/>
          <w:lang w:val="en-GB"/>
        </w:rPr>
      </w:pPr>
      <w:r w:rsidRPr="00A75D61">
        <w:rPr>
          <w:b/>
          <w:lang w:val="en-GB"/>
        </w:rPr>
        <w:t>Figure 2: Passenger Cars Bought in Cuba per 1000 people</w:t>
      </w:r>
    </w:p>
    <w:p w14:paraId="275A997B" w14:textId="77777777" w:rsidR="000E7AC7" w:rsidRPr="00A75D61" w:rsidRDefault="00000000" w:rsidP="00A75D61">
      <w:pPr>
        <w:jc w:val="center"/>
        <w:rPr>
          <w:lang w:val="en-GB"/>
        </w:rPr>
      </w:pPr>
      <w:r w:rsidRPr="00A75D61">
        <w:rPr>
          <w:lang w:val="en-GB"/>
        </w:rPr>
        <w:t>(Source: Helgilibrary, 2025)</w:t>
      </w:r>
    </w:p>
    <w:p w14:paraId="59BEC4CC" w14:textId="77777777" w:rsidR="000E7AC7" w:rsidRPr="00A75D61" w:rsidRDefault="00000000" w:rsidP="00A75D61">
      <w:pPr>
        <w:pStyle w:val="Heading1"/>
        <w:rPr>
          <w:sz w:val="24"/>
          <w:szCs w:val="24"/>
          <w:lang w:val="en-GB"/>
        </w:rPr>
      </w:pPr>
      <w:bookmarkStart w:id="4" w:name="_Toc216705417"/>
      <w:r w:rsidRPr="00A75D61">
        <w:rPr>
          <w:sz w:val="24"/>
          <w:szCs w:val="24"/>
          <w:lang w:val="en-GB"/>
        </w:rPr>
        <w:t>3.0 Comprehensive Strategic Analysis</w:t>
      </w:r>
      <w:bookmarkEnd w:id="4"/>
    </w:p>
    <w:p w14:paraId="06909A08" w14:textId="77777777" w:rsidR="000E7AC7" w:rsidRPr="00A75D61" w:rsidRDefault="00000000" w:rsidP="00A75D61">
      <w:pPr>
        <w:pStyle w:val="Heading2"/>
        <w:rPr>
          <w:lang w:val="en-GB"/>
        </w:rPr>
      </w:pPr>
      <w:bookmarkStart w:id="5" w:name="_Toc216705418"/>
      <w:r w:rsidRPr="00A75D61">
        <w:rPr>
          <w:lang w:val="en-GB"/>
        </w:rPr>
        <w:t>3.1 PESTLE analysis: Macro environmental analysis</w:t>
      </w:r>
      <w:bookmarkEnd w:id="5"/>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7140"/>
      </w:tblGrid>
      <w:tr w:rsidR="000E7AC7" w:rsidRPr="00A75D61" w14:paraId="28B2737B" w14:textId="77777777">
        <w:tc>
          <w:tcPr>
            <w:tcW w:w="2220" w:type="dxa"/>
            <w:tcMar>
              <w:top w:w="100" w:type="dxa"/>
              <w:left w:w="100" w:type="dxa"/>
              <w:bottom w:w="100" w:type="dxa"/>
              <w:right w:w="100" w:type="dxa"/>
            </w:tcMar>
          </w:tcPr>
          <w:p w14:paraId="7471E92A"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PESTLE Factors</w:t>
            </w:r>
          </w:p>
        </w:tc>
        <w:tc>
          <w:tcPr>
            <w:tcW w:w="7140" w:type="dxa"/>
            <w:tcMar>
              <w:top w:w="100" w:type="dxa"/>
              <w:left w:w="100" w:type="dxa"/>
              <w:bottom w:w="100" w:type="dxa"/>
              <w:right w:w="100" w:type="dxa"/>
            </w:tcMar>
          </w:tcPr>
          <w:p w14:paraId="510ADC4E"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Macro-Environment of Cuba</w:t>
            </w:r>
          </w:p>
        </w:tc>
      </w:tr>
      <w:tr w:rsidR="000E7AC7" w:rsidRPr="00A75D61" w14:paraId="1A586B2F" w14:textId="77777777">
        <w:tc>
          <w:tcPr>
            <w:tcW w:w="2220" w:type="dxa"/>
            <w:tcMar>
              <w:top w:w="100" w:type="dxa"/>
              <w:left w:w="100" w:type="dxa"/>
              <w:bottom w:w="100" w:type="dxa"/>
              <w:right w:w="100" w:type="dxa"/>
            </w:tcMar>
          </w:tcPr>
          <w:p w14:paraId="6104F2AC" w14:textId="77777777" w:rsidR="000E7AC7" w:rsidRPr="00A75D61" w:rsidRDefault="00000000" w:rsidP="00A75D61">
            <w:pPr>
              <w:widowControl w:val="0"/>
              <w:pBdr>
                <w:top w:val="nil"/>
                <w:left w:val="nil"/>
                <w:bottom w:val="nil"/>
                <w:right w:val="nil"/>
                <w:between w:val="nil"/>
              </w:pBdr>
              <w:spacing w:before="0" w:after="0"/>
              <w:jc w:val="left"/>
              <w:rPr>
                <w:b/>
                <w:i/>
                <w:lang w:val="en-GB"/>
              </w:rPr>
            </w:pPr>
            <w:r w:rsidRPr="00A75D61">
              <w:rPr>
                <w:b/>
                <w:i/>
                <w:lang w:val="en-GB"/>
              </w:rPr>
              <w:lastRenderedPageBreak/>
              <w:t>Political</w:t>
            </w:r>
          </w:p>
        </w:tc>
        <w:tc>
          <w:tcPr>
            <w:tcW w:w="7140" w:type="dxa"/>
            <w:tcMar>
              <w:top w:w="100" w:type="dxa"/>
              <w:left w:w="100" w:type="dxa"/>
              <w:bottom w:w="100" w:type="dxa"/>
              <w:right w:w="100" w:type="dxa"/>
            </w:tcMar>
          </w:tcPr>
          <w:p w14:paraId="15DEAB25"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Business Freedom Index of Cuba is at 42 out of 100, which is the highest in recent years yet lower than the global average of 63 (The Global Economy, 2025). The index presents the relative ease of conducting business under government regulations in Cuba. </w:t>
            </w:r>
            <w:r w:rsidRPr="00A75D61">
              <w:rPr>
                <w:b/>
                <w:lang w:val="en-GB"/>
              </w:rPr>
              <w:t>Opportunity</w:t>
            </w:r>
            <w:r w:rsidRPr="00A75D61">
              <w:rPr>
                <w:lang w:val="en-GB"/>
              </w:rPr>
              <w:t>.</w:t>
            </w:r>
          </w:p>
        </w:tc>
      </w:tr>
      <w:tr w:rsidR="000E7AC7" w:rsidRPr="00A75D61" w14:paraId="17BB1D15" w14:textId="77777777">
        <w:tc>
          <w:tcPr>
            <w:tcW w:w="2220" w:type="dxa"/>
            <w:tcMar>
              <w:top w:w="100" w:type="dxa"/>
              <w:left w:w="100" w:type="dxa"/>
              <w:bottom w:w="100" w:type="dxa"/>
              <w:right w:w="100" w:type="dxa"/>
            </w:tcMar>
          </w:tcPr>
          <w:p w14:paraId="4D149B27" w14:textId="77777777" w:rsidR="000E7AC7" w:rsidRPr="00A75D61" w:rsidRDefault="00000000" w:rsidP="00A75D61">
            <w:pPr>
              <w:widowControl w:val="0"/>
              <w:pBdr>
                <w:top w:val="nil"/>
                <w:left w:val="nil"/>
                <w:bottom w:val="nil"/>
                <w:right w:val="nil"/>
                <w:between w:val="nil"/>
              </w:pBdr>
              <w:spacing w:before="0" w:after="0"/>
              <w:jc w:val="left"/>
              <w:rPr>
                <w:b/>
                <w:i/>
                <w:lang w:val="en-GB"/>
              </w:rPr>
            </w:pPr>
            <w:r w:rsidRPr="00A75D61">
              <w:rPr>
                <w:b/>
                <w:i/>
                <w:lang w:val="en-GB"/>
              </w:rPr>
              <w:t>Economic</w:t>
            </w:r>
          </w:p>
        </w:tc>
        <w:tc>
          <w:tcPr>
            <w:tcW w:w="7140" w:type="dxa"/>
            <w:tcMar>
              <w:top w:w="100" w:type="dxa"/>
              <w:left w:w="100" w:type="dxa"/>
              <w:bottom w:w="100" w:type="dxa"/>
              <w:right w:w="100" w:type="dxa"/>
            </w:tcMar>
          </w:tcPr>
          <w:p w14:paraId="2A910009"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lang w:val="en-GB"/>
              </w:rPr>
              <w:t xml:space="preserve">Annual GDP Growth Rate in Cuba fell from 1.8% in 2022 to -1.9% in 2023, with an increase in power outages halting industrial production (World Bank, 2023). This can lead to reduced disposable income of the population and their affordability for automotive products. </w:t>
            </w:r>
            <w:r w:rsidRPr="00A75D61">
              <w:rPr>
                <w:b/>
                <w:lang w:val="en-GB"/>
              </w:rPr>
              <w:t>Threat</w:t>
            </w:r>
          </w:p>
        </w:tc>
      </w:tr>
      <w:tr w:rsidR="000E7AC7" w:rsidRPr="00A75D61" w14:paraId="3332FF89" w14:textId="77777777">
        <w:tc>
          <w:tcPr>
            <w:tcW w:w="2220" w:type="dxa"/>
            <w:tcMar>
              <w:top w:w="100" w:type="dxa"/>
              <w:left w:w="100" w:type="dxa"/>
              <w:bottom w:w="100" w:type="dxa"/>
              <w:right w:w="100" w:type="dxa"/>
            </w:tcMar>
          </w:tcPr>
          <w:p w14:paraId="005770DF" w14:textId="77777777" w:rsidR="000E7AC7" w:rsidRPr="00A75D61" w:rsidRDefault="00000000" w:rsidP="00A75D61">
            <w:pPr>
              <w:widowControl w:val="0"/>
              <w:pBdr>
                <w:top w:val="nil"/>
                <w:left w:val="nil"/>
                <w:bottom w:val="nil"/>
                <w:right w:val="nil"/>
                <w:between w:val="nil"/>
              </w:pBdr>
              <w:spacing w:before="0" w:after="0"/>
              <w:jc w:val="left"/>
              <w:rPr>
                <w:b/>
                <w:i/>
                <w:lang w:val="en-GB"/>
              </w:rPr>
            </w:pPr>
            <w:r w:rsidRPr="00A75D61">
              <w:rPr>
                <w:b/>
                <w:i/>
                <w:lang w:val="en-GB"/>
              </w:rPr>
              <w:t>Social</w:t>
            </w:r>
          </w:p>
        </w:tc>
        <w:tc>
          <w:tcPr>
            <w:tcW w:w="7140" w:type="dxa"/>
            <w:tcMar>
              <w:top w:w="100" w:type="dxa"/>
              <w:left w:w="100" w:type="dxa"/>
              <w:bottom w:w="100" w:type="dxa"/>
              <w:right w:w="100" w:type="dxa"/>
            </w:tcMar>
          </w:tcPr>
          <w:p w14:paraId="3591BE01"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Only 217 people out of every 10,000 people buy a passenger car in Cuba as of 2019 (Helgilibrary, 2025). Herein, it was found that as of 2022, Cuba’s Social Globalisation Index is at 53.13 out of 100, which is the highest in recent years (The Global Economy, 2022). This shows Cuba’s increasing proximity to global cultures. </w:t>
            </w:r>
            <w:r w:rsidRPr="00A75D61">
              <w:rPr>
                <w:b/>
                <w:lang w:val="en-GB"/>
              </w:rPr>
              <w:t>Opportunity</w:t>
            </w:r>
            <w:r w:rsidRPr="00A75D61">
              <w:rPr>
                <w:lang w:val="en-GB"/>
              </w:rPr>
              <w:t>.</w:t>
            </w:r>
          </w:p>
        </w:tc>
      </w:tr>
      <w:tr w:rsidR="000E7AC7" w:rsidRPr="00A75D61" w14:paraId="4F288394" w14:textId="77777777">
        <w:tc>
          <w:tcPr>
            <w:tcW w:w="2220" w:type="dxa"/>
            <w:tcMar>
              <w:top w:w="100" w:type="dxa"/>
              <w:left w:w="100" w:type="dxa"/>
              <w:bottom w:w="100" w:type="dxa"/>
              <w:right w:w="100" w:type="dxa"/>
            </w:tcMar>
          </w:tcPr>
          <w:p w14:paraId="46820475" w14:textId="77777777" w:rsidR="000E7AC7" w:rsidRPr="00A75D61" w:rsidRDefault="00000000" w:rsidP="00A75D61">
            <w:pPr>
              <w:widowControl w:val="0"/>
              <w:pBdr>
                <w:top w:val="nil"/>
                <w:left w:val="nil"/>
                <w:bottom w:val="nil"/>
                <w:right w:val="nil"/>
                <w:between w:val="nil"/>
              </w:pBdr>
              <w:spacing w:before="0" w:after="0"/>
              <w:jc w:val="left"/>
              <w:rPr>
                <w:b/>
                <w:i/>
                <w:lang w:val="en-GB"/>
              </w:rPr>
            </w:pPr>
            <w:r w:rsidRPr="00A75D61">
              <w:rPr>
                <w:b/>
                <w:i/>
                <w:lang w:val="en-GB"/>
              </w:rPr>
              <w:t>Technological</w:t>
            </w:r>
          </w:p>
        </w:tc>
        <w:tc>
          <w:tcPr>
            <w:tcW w:w="7140" w:type="dxa"/>
            <w:tcMar>
              <w:top w:w="100" w:type="dxa"/>
              <w:left w:w="100" w:type="dxa"/>
              <w:bottom w:w="100" w:type="dxa"/>
              <w:right w:w="100" w:type="dxa"/>
            </w:tcMar>
          </w:tcPr>
          <w:p w14:paraId="04F1E69B" w14:textId="6D49E93E"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Cuban consumers are preferring passenger cars with advanced technologies, which can provide better safety and connectivity, as well as fuel efficiency (Statista, 2025). The government also promotes Electric Vehicle purchases in the </w:t>
            </w:r>
            <w:r w:rsidR="0042721B" w:rsidRPr="00A75D61">
              <w:rPr>
                <w:lang w:val="en-GB"/>
              </w:rPr>
              <w:t>country (</w:t>
            </w:r>
            <w:r w:rsidRPr="00A75D61">
              <w:rPr>
                <w:lang w:val="en-GB"/>
              </w:rPr>
              <w:t xml:space="preserve">Statista, 2025). </w:t>
            </w:r>
            <w:r w:rsidRPr="00A75D61">
              <w:rPr>
                <w:b/>
                <w:lang w:val="en-GB"/>
              </w:rPr>
              <w:t>Opportunity</w:t>
            </w:r>
            <w:r w:rsidRPr="00A75D61">
              <w:rPr>
                <w:lang w:val="en-GB"/>
              </w:rPr>
              <w:t>.</w:t>
            </w:r>
          </w:p>
        </w:tc>
      </w:tr>
      <w:tr w:rsidR="000E7AC7" w:rsidRPr="00A75D61" w14:paraId="4C58439D" w14:textId="77777777">
        <w:tc>
          <w:tcPr>
            <w:tcW w:w="2220" w:type="dxa"/>
            <w:tcMar>
              <w:top w:w="100" w:type="dxa"/>
              <w:left w:w="100" w:type="dxa"/>
              <w:bottom w:w="100" w:type="dxa"/>
              <w:right w:w="100" w:type="dxa"/>
            </w:tcMar>
          </w:tcPr>
          <w:p w14:paraId="604C923D" w14:textId="77777777" w:rsidR="000E7AC7" w:rsidRPr="00A75D61" w:rsidRDefault="00000000" w:rsidP="00A75D61">
            <w:pPr>
              <w:widowControl w:val="0"/>
              <w:pBdr>
                <w:top w:val="nil"/>
                <w:left w:val="nil"/>
                <w:bottom w:val="nil"/>
                <w:right w:val="nil"/>
                <w:between w:val="nil"/>
              </w:pBdr>
              <w:spacing w:before="0" w:after="0"/>
              <w:jc w:val="left"/>
              <w:rPr>
                <w:b/>
                <w:i/>
                <w:lang w:val="en-GB"/>
              </w:rPr>
            </w:pPr>
            <w:r w:rsidRPr="00A75D61">
              <w:rPr>
                <w:b/>
                <w:i/>
                <w:lang w:val="en-GB"/>
              </w:rPr>
              <w:t>Legal</w:t>
            </w:r>
          </w:p>
        </w:tc>
        <w:tc>
          <w:tcPr>
            <w:tcW w:w="7140" w:type="dxa"/>
            <w:tcMar>
              <w:top w:w="100" w:type="dxa"/>
              <w:left w:w="100" w:type="dxa"/>
              <w:bottom w:w="100" w:type="dxa"/>
              <w:right w:w="100" w:type="dxa"/>
            </w:tcMar>
          </w:tcPr>
          <w:p w14:paraId="74932751"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lang w:val="en-GB"/>
              </w:rPr>
              <w:t xml:space="preserve">The Corporate Tax Rate in Cuba presents a threat as the business profitability will be significantly reduced due to a corporate tax rate of 35% (World Population Review, 2024). </w:t>
            </w:r>
            <w:r w:rsidRPr="00A75D61">
              <w:rPr>
                <w:b/>
                <w:lang w:val="en-GB"/>
              </w:rPr>
              <w:t>Threat</w:t>
            </w:r>
          </w:p>
        </w:tc>
      </w:tr>
      <w:tr w:rsidR="000E7AC7" w:rsidRPr="00A75D61" w14:paraId="47357F16" w14:textId="77777777">
        <w:tc>
          <w:tcPr>
            <w:tcW w:w="2220" w:type="dxa"/>
            <w:tcMar>
              <w:top w:w="100" w:type="dxa"/>
              <w:left w:w="100" w:type="dxa"/>
              <w:bottom w:w="100" w:type="dxa"/>
              <w:right w:w="100" w:type="dxa"/>
            </w:tcMar>
          </w:tcPr>
          <w:p w14:paraId="7126BB2B" w14:textId="77777777" w:rsidR="000E7AC7" w:rsidRPr="00A75D61" w:rsidRDefault="00000000" w:rsidP="00A75D61">
            <w:pPr>
              <w:widowControl w:val="0"/>
              <w:pBdr>
                <w:top w:val="nil"/>
                <w:left w:val="nil"/>
                <w:bottom w:val="nil"/>
                <w:right w:val="nil"/>
                <w:between w:val="nil"/>
              </w:pBdr>
              <w:spacing w:before="0" w:after="0"/>
              <w:jc w:val="left"/>
              <w:rPr>
                <w:b/>
                <w:i/>
                <w:lang w:val="en-GB"/>
              </w:rPr>
            </w:pPr>
            <w:r w:rsidRPr="00A75D61">
              <w:rPr>
                <w:b/>
                <w:i/>
                <w:lang w:val="en-GB"/>
              </w:rPr>
              <w:t>Environmental</w:t>
            </w:r>
          </w:p>
        </w:tc>
        <w:tc>
          <w:tcPr>
            <w:tcW w:w="7140" w:type="dxa"/>
            <w:tcMar>
              <w:top w:w="100" w:type="dxa"/>
              <w:left w:w="100" w:type="dxa"/>
              <w:bottom w:w="100" w:type="dxa"/>
              <w:right w:w="100" w:type="dxa"/>
            </w:tcMar>
          </w:tcPr>
          <w:p w14:paraId="75E7585B"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Ferrer (2023) reported that Cuba’s environmental sustainability efforts have focused on enhancing energy efficiency within the country using a multitude of sustainability initiatives. </w:t>
            </w:r>
            <w:r w:rsidRPr="00A75D61">
              <w:rPr>
                <w:b/>
                <w:lang w:val="en-GB"/>
              </w:rPr>
              <w:t>Opportunity</w:t>
            </w:r>
            <w:r w:rsidRPr="00A75D61">
              <w:rPr>
                <w:lang w:val="en-GB"/>
              </w:rPr>
              <w:t>.</w:t>
            </w:r>
          </w:p>
        </w:tc>
      </w:tr>
    </w:tbl>
    <w:p w14:paraId="6A595BB6" w14:textId="77777777" w:rsidR="000E7AC7" w:rsidRPr="00A75D61" w:rsidRDefault="00000000" w:rsidP="00A75D61">
      <w:pPr>
        <w:jc w:val="center"/>
        <w:rPr>
          <w:b/>
          <w:lang w:val="en-GB"/>
        </w:rPr>
      </w:pPr>
      <w:r w:rsidRPr="00A75D61">
        <w:rPr>
          <w:b/>
          <w:lang w:val="en-GB"/>
        </w:rPr>
        <w:lastRenderedPageBreak/>
        <w:t>Table 1: PESTLE Factors for Macro-Environment in Cuba</w:t>
      </w:r>
    </w:p>
    <w:p w14:paraId="01204477" w14:textId="77777777" w:rsidR="000E7AC7" w:rsidRPr="00A75D61" w:rsidRDefault="00000000" w:rsidP="00A75D61">
      <w:pPr>
        <w:jc w:val="center"/>
        <w:rPr>
          <w:lang w:val="en-GB"/>
        </w:rPr>
      </w:pPr>
      <w:r w:rsidRPr="00A75D61">
        <w:rPr>
          <w:lang w:val="en-GB"/>
        </w:rPr>
        <w:t>(Source: Self-developed)</w:t>
      </w:r>
    </w:p>
    <w:p w14:paraId="4DEF398F" w14:textId="77777777" w:rsidR="000E7AC7" w:rsidRPr="00A75D61" w:rsidRDefault="00000000" w:rsidP="00A75D61">
      <w:pPr>
        <w:rPr>
          <w:lang w:val="en-GB"/>
        </w:rPr>
      </w:pPr>
      <w:r w:rsidRPr="00A75D61">
        <w:rPr>
          <w:lang w:val="en-GB"/>
        </w:rPr>
        <w:t>Table 1 here shows that the political environment in Cuba is the best in recent years, with a business freedom of 42 out of 100, wherein the governmental legislations and regulations are beneficial for conducting business. This provides a strong opportunity for Toyota to enter the Cuban market with the governmental support for its business operations.</w:t>
      </w:r>
    </w:p>
    <w:p w14:paraId="6D8002DB" w14:textId="77777777" w:rsidR="000E7AC7" w:rsidRPr="00A75D61" w:rsidRDefault="00000000" w:rsidP="00A75D61">
      <w:pPr>
        <w:rPr>
          <w:lang w:val="en-GB"/>
        </w:rPr>
      </w:pPr>
      <w:r w:rsidRPr="00A75D61">
        <w:rPr>
          <w:noProof/>
          <w:lang w:val="en-GB"/>
        </w:rPr>
        <w:drawing>
          <wp:inline distT="114300" distB="114300" distL="114300" distR="114300" wp14:anchorId="15D99428" wp14:editId="57158FB5">
            <wp:extent cx="5943600" cy="26035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a:stretch>
                      <a:fillRect/>
                    </a:stretch>
                  </pic:blipFill>
                  <pic:spPr>
                    <a:xfrm>
                      <a:off x="0" y="0"/>
                      <a:ext cx="5943600" cy="2603500"/>
                    </a:xfrm>
                    <a:prstGeom prst="rect">
                      <a:avLst/>
                    </a:prstGeom>
                    <a:ln w="25400">
                      <a:solidFill>
                        <a:srgbClr val="000000"/>
                      </a:solidFill>
                      <a:prstDash val="solid"/>
                    </a:ln>
                  </pic:spPr>
                </pic:pic>
              </a:graphicData>
            </a:graphic>
          </wp:inline>
        </w:drawing>
      </w:r>
    </w:p>
    <w:p w14:paraId="62FA840B" w14:textId="77777777" w:rsidR="000E7AC7" w:rsidRPr="00A75D61" w:rsidRDefault="00000000" w:rsidP="00A75D61">
      <w:pPr>
        <w:jc w:val="center"/>
        <w:rPr>
          <w:b/>
          <w:lang w:val="en-GB"/>
        </w:rPr>
      </w:pPr>
      <w:r w:rsidRPr="00A75D61">
        <w:rPr>
          <w:b/>
          <w:lang w:val="en-GB"/>
        </w:rPr>
        <w:t>Figure 3: Political Environment (Business Freedom) in Cuba in 2025</w:t>
      </w:r>
    </w:p>
    <w:p w14:paraId="3FA876D5" w14:textId="77777777" w:rsidR="000E7AC7" w:rsidRPr="00A75D61" w:rsidRDefault="00000000" w:rsidP="00A75D61">
      <w:pPr>
        <w:jc w:val="center"/>
        <w:rPr>
          <w:lang w:val="en-GB"/>
        </w:rPr>
      </w:pPr>
      <w:r w:rsidRPr="00A75D61">
        <w:rPr>
          <w:lang w:val="en-GB"/>
        </w:rPr>
        <w:t>(Source: The Global Economy, 2025)</w:t>
      </w:r>
    </w:p>
    <w:p w14:paraId="3CE3A53E" w14:textId="77777777" w:rsidR="000E7AC7" w:rsidRPr="00A75D61" w:rsidRDefault="00000000" w:rsidP="00A75D61">
      <w:pPr>
        <w:rPr>
          <w:lang w:val="en-GB"/>
        </w:rPr>
      </w:pPr>
      <w:r w:rsidRPr="00A75D61">
        <w:rPr>
          <w:lang w:val="en-GB"/>
        </w:rPr>
        <w:t>In this regard, the economic condition of the country can be a threat to Toyota, as the -1.9% growth rate of GDP in the country shows a stagnation in productivity, as well as reduced economic yield in the market, which can adversely affect the purchasing power of the people in this market.</w:t>
      </w:r>
    </w:p>
    <w:p w14:paraId="04470987" w14:textId="77777777" w:rsidR="000E7AC7" w:rsidRPr="00A75D61" w:rsidRDefault="00000000" w:rsidP="00A75D61">
      <w:pPr>
        <w:rPr>
          <w:lang w:val="en-GB"/>
        </w:rPr>
      </w:pPr>
      <w:r w:rsidRPr="00A75D61">
        <w:rPr>
          <w:noProof/>
          <w:lang w:val="en-GB"/>
        </w:rPr>
        <w:lastRenderedPageBreak/>
        <w:drawing>
          <wp:inline distT="114300" distB="114300" distL="114300" distR="114300" wp14:anchorId="7136F009" wp14:editId="63A38EF1">
            <wp:extent cx="5943600" cy="41529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tretch>
                      <a:fillRect/>
                    </a:stretch>
                  </pic:blipFill>
                  <pic:spPr>
                    <a:xfrm>
                      <a:off x="0" y="0"/>
                      <a:ext cx="5943600" cy="4152900"/>
                    </a:xfrm>
                    <a:prstGeom prst="rect">
                      <a:avLst/>
                    </a:prstGeom>
                    <a:ln w="25400">
                      <a:solidFill>
                        <a:srgbClr val="000000"/>
                      </a:solidFill>
                      <a:prstDash val="solid"/>
                    </a:ln>
                  </pic:spPr>
                </pic:pic>
              </a:graphicData>
            </a:graphic>
          </wp:inline>
        </w:drawing>
      </w:r>
    </w:p>
    <w:p w14:paraId="344536E4" w14:textId="77777777" w:rsidR="000E7AC7" w:rsidRPr="00A75D61" w:rsidRDefault="00000000" w:rsidP="00A75D61">
      <w:pPr>
        <w:jc w:val="center"/>
        <w:rPr>
          <w:b/>
          <w:lang w:val="en-GB"/>
        </w:rPr>
      </w:pPr>
      <w:r w:rsidRPr="00A75D61">
        <w:rPr>
          <w:b/>
          <w:lang w:val="en-GB"/>
        </w:rPr>
        <w:t>Figure 4: GDP Growth Rate in Cuba between 2018 and 2023</w:t>
      </w:r>
    </w:p>
    <w:p w14:paraId="5E57A12B" w14:textId="77777777" w:rsidR="000E7AC7" w:rsidRPr="00A75D61" w:rsidRDefault="00000000" w:rsidP="00A75D61">
      <w:pPr>
        <w:jc w:val="center"/>
        <w:rPr>
          <w:lang w:val="en-GB"/>
        </w:rPr>
      </w:pPr>
      <w:r w:rsidRPr="00A75D61">
        <w:rPr>
          <w:lang w:val="en-GB"/>
        </w:rPr>
        <w:t>(Source: World Bank, 2023)</w:t>
      </w:r>
    </w:p>
    <w:p w14:paraId="62CECE61" w14:textId="77777777" w:rsidR="000E7AC7" w:rsidRPr="00A75D61" w:rsidRDefault="00000000" w:rsidP="00A75D61">
      <w:pPr>
        <w:rPr>
          <w:lang w:val="en-GB"/>
        </w:rPr>
      </w:pPr>
      <w:r w:rsidRPr="00A75D61">
        <w:rPr>
          <w:lang w:val="en-GB"/>
        </w:rPr>
        <w:t>Technologically, the Cuban government is promoting Electric Vehicles, while consumers purchasing passenger cars prefer them with advanced technologies for increased safety, connectivity and fuel efficiency. Moreover, Cuba is a strong advocate of environmental sustainability through an increase in energy efficiency, which also provides Toyota with the opportunity to enter the market with clean energy alternatives for fuels and related automotive products like EVs. In this regard, while the threat of a high corporate tax rate of 35% is present, on a social level, there is a growth in passenger car purchases per 1000 customers, and the social globalisation is also the highest in the country in recent years. This shows an overall favourable macro-environment.</w:t>
      </w:r>
    </w:p>
    <w:p w14:paraId="32D03E53" w14:textId="77777777" w:rsidR="000E7AC7" w:rsidRPr="00A75D61" w:rsidRDefault="00000000" w:rsidP="00A75D61">
      <w:pPr>
        <w:rPr>
          <w:lang w:val="en-GB"/>
        </w:rPr>
      </w:pPr>
      <w:r w:rsidRPr="00A75D61">
        <w:rPr>
          <w:noProof/>
          <w:lang w:val="en-GB"/>
        </w:rPr>
        <w:lastRenderedPageBreak/>
        <w:drawing>
          <wp:inline distT="114300" distB="114300" distL="114300" distR="114300" wp14:anchorId="14AF8F31" wp14:editId="2E1503E6">
            <wp:extent cx="5943600" cy="26035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3"/>
                    <a:stretch>
                      <a:fillRect/>
                    </a:stretch>
                  </pic:blipFill>
                  <pic:spPr>
                    <a:xfrm>
                      <a:off x="0" y="0"/>
                      <a:ext cx="5943600" cy="2603500"/>
                    </a:xfrm>
                    <a:prstGeom prst="rect">
                      <a:avLst/>
                    </a:prstGeom>
                    <a:ln w="25400">
                      <a:solidFill>
                        <a:srgbClr val="000000"/>
                      </a:solidFill>
                      <a:prstDash val="solid"/>
                    </a:ln>
                  </pic:spPr>
                </pic:pic>
              </a:graphicData>
            </a:graphic>
          </wp:inline>
        </w:drawing>
      </w:r>
    </w:p>
    <w:p w14:paraId="79F3BCE2" w14:textId="77777777" w:rsidR="000E7AC7" w:rsidRPr="00A75D61" w:rsidRDefault="00000000" w:rsidP="00A75D61">
      <w:pPr>
        <w:jc w:val="center"/>
        <w:rPr>
          <w:b/>
          <w:lang w:val="en-GB"/>
        </w:rPr>
      </w:pPr>
      <w:r w:rsidRPr="00A75D61">
        <w:rPr>
          <w:b/>
          <w:lang w:val="en-GB"/>
        </w:rPr>
        <w:t>Figure 5: Social Globalisation Index of Cuba between 2015 and 2022</w:t>
      </w:r>
    </w:p>
    <w:p w14:paraId="16A215ED" w14:textId="77777777" w:rsidR="000E7AC7" w:rsidRPr="00A75D61" w:rsidRDefault="00000000" w:rsidP="00A75D61">
      <w:pPr>
        <w:jc w:val="center"/>
        <w:rPr>
          <w:lang w:val="en-GB"/>
        </w:rPr>
      </w:pPr>
      <w:r w:rsidRPr="00A75D61">
        <w:rPr>
          <w:lang w:val="en-GB"/>
        </w:rPr>
        <w:t>(Source: The Global Economy, 2022)</w:t>
      </w:r>
    </w:p>
    <w:p w14:paraId="632FE742" w14:textId="77777777" w:rsidR="000E7AC7" w:rsidRPr="00A75D61" w:rsidRDefault="00000000" w:rsidP="00A75D61">
      <w:pPr>
        <w:pStyle w:val="Heading2"/>
        <w:rPr>
          <w:lang w:val="en-GB"/>
        </w:rPr>
      </w:pPr>
      <w:bookmarkStart w:id="6" w:name="_Toc216705419"/>
      <w:r w:rsidRPr="00A75D61">
        <w:rPr>
          <w:lang w:val="en-GB"/>
        </w:rPr>
        <w:t>3.2 Porter’s Five Forces Analysis: Competitive landscape</w:t>
      </w:r>
      <w:bookmarkEnd w:id="6"/>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5820"/>
        <w:gridCol w:w="1680"/>
      </w:tblGrid>
      <w:tr w:rsidR="000E7AC7" w:rsidRPr="00A75D61" w14:paraId="118C2809" w14:textId="77777777">
        <w:tc>
          <w:tcPr>
            <w:tcW w:w="1860" w:type="dxa"/>
            <w:tcMar>
              <w:top w:w="100" w:type="dxa"/>
              <w:left w:w="100" w:type="dxa"/>
              <w:bottom w:w="100" w:type="dxa"/>
              <w:right w:w="100" w:type="dxa"/>
            </w:tcMar>
          </w:tcPr>
          <w:p w14:paraId="3FC7B7BA"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Market Forces</w:t>
            </w:r>
          </w:p>
        </w:tc>
        <w:tc>
          <w:tcPr>
            <w:tcW w:w="5820" w:type="dxa"/>
            <w:tcMar>
              <w:top w:w="100" w:type="dxa"/>
              <w:left w:w="100" w:type="dxa"/>
              <w:bottom w:w="100" w:type="dxa"/>
              <w:right w:w="100" w:type="dxa"/>
            </w:tcMar>
          </w:tcPr>
          <w:p w14:paraId="6BE031DC"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Cuban Market</w:t>
            </w:r>
          </w:p>
        </w:tc>
        <w:tc>
          <w:tcPr>
            <w:tcW w:w="1680" w:type="dxa"/>
            <w:tcMar>
              <w:top w:w="100" w:type="dxa"/>
              <w:left w:w="100" w:type="dxa"/>
              <w:bottom w:w="100" w:type="dxa"/>
              <w:right w:w="100" w:type="dxa"/>
            </w:tcMar>
          </w:tcPr>
          <w:p w14:paraId="12E5B637"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Threat Level</w:t>
            </w:r>
          </w:p>
        </w:tc>
      </w:tr>
      <w:tr w:rsidR="000E7AC7" w:rsidRPr="00A75D61" w14:paraId="6D18F13F" w14:textId="77777777">
        <w:tc>
          <w:tcPr>
            <w:tcW w:w="1860" w:type="dxa"/>
            <w:tcMar>
              <w:top w:w="100" w:type="dxa"/>
              <w:left w:w="100" w:type="dxa"/>
              <w:bottom w:w="100" w:type="dxa"/>
              <w:right w:w="100" w:type="dxa"/>
            </w:tcMar>
          </w:tcPr>
          <w:p w14:paraId="48E8A2C2" w14:textId="77777777" w:rsidR="000E7AC7" w:rsidRPr="00A75D61" w:rsidRDefault="00000000" w:rsidP="00A75D61">
            <w:pPr>
              <w:widowControl w:val="0"/>
              <w:pBdr>
                <w:top w:val="nil"/>
                <w:left w:val="nil"/>
                <w:bottom w:val="nil"/>
                <w:right w:val="nil"/>
                <w:between w:val="nil"/>
              </w:pBdr>
              <w:spacing w:before="0" w:after="0"/>
              <w:rPr>
                <w:b/>
                <w:i/>
                <w:lang w:val="en-GB"/>
              </w:rPr>
            </w:pPr>
            <w:r w:rsidRPr="00A75D61">
              <w:rPr>
                <w:b/>
                <w:i/>
                <w:lang w:val="en-GB"/>
              </w:rPr>
              <w:t>Competitive Rivalry</w:t>
            </w:r>
          </w:p>
        </w:tc>
        <w:tc>
          <w:tcPr>
            <w:tcW w:w="5820" w:type="dxa"/>
            <w:tcMar>
              <w:top w:w="100" w:type="dxa"/>
              <w:left w:w="100" w:type="dxa"/>
              <w:bottom w:w="100" w:type="dxa"/>
              <w:right w:w="100" w:type="dxa"/>
            </w:tcMar>
          </w:tcPr>
          <w:p w14:paraId="1FB8BCE0"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Renault has the leading market share in the Cuban Market (Statista, 2025). Chinese GAC Motors also entered the market (XinhuaNet, 2018). However, these major cars are mostly imported, and there is no major automobile manufacturing facility within the Cuban Market.</w:t>
            </w:r>
          </w:p>
        </w:tc>
        <w:tc>
          <w:tcPr>
            <w:tcW w:w="1680" w:type="dxa"/>
            <w:tcMar>
              <w:top w:w="100" w:type="dxa"/>
              <w:left w:w="100" w:type="dxa"/>
              <w:bottom w:w="100" w:type="dxa"/>
              <w:right w:w="100" w:type="dxa"/>
            </w:tcMar>
          </w:tcPr>
          <w:p w14:paraId="0D32B365"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b/>
                <w:lang w:val="en-GB"/>
              </w:rPr>
              <w:t>Low</w:t>
            </w:r>
          </w:p>
        </w:tc>
      </w:tr>
      <w:tr w:rsidR="000E7AC7" w:rsidRPr="00A75D61" w14:paraId="426E5659" w14:textId="77777777">
        <w:tc>
          <w:tcPr>
            <w:tcW w:w="1860" w:type="dxa"/>
            <w:tcMar>
              <w:top w:w="100" w:type="dxa"/>
              <w:left w:w="100" w:type="dxa"/>
              <w:bottom w:w="100" w:type="dxa"/>
              <w:right w:w="100" w:type="dxa"/>
            </w:tcMar>
          </w:tcPr>
          <w:p w14:paraId="70EBE9A2" w14:textId="77777777" w:rsidR="000E7AC7" w:rsidRPr="00A75D61" w:rsidRDefault="00000000" w:rsidP="00A75D61">
            <w:pPr>
              <w:widowControl w:val="0"/>
              <w:pBdr>
                <w:top w:val="nil"/>
                <w:left w:val="nil"/>
                <w:bottom w:val="nil"/>
                <w:right w:val="nil"/>
                <w:between w:val="nil"/>
              </w:pBdr>
              <w:spacing w:before="0" w:after="0"/>
              <w:rPr>
                <w:b/>
                <w:i/>
                <w:lang w:val="en-GB"/>
              </w:rPr>
            </w:pPr>
            <w:r w:rsidRPr="00A75D61">
              <w:rPr>
                <w:b/>
                <w:i/>
                <w:lang w:val="en-GB"/>
              </w:rPr>
              <w:t>Threat of New Entrants</w:t>
            </w:r>
          </w:p>
        </w:tc>
        <w:tc>
          <w:tcPr>
            <w:tcW w:w="5820" w:type="dxa"/>
            <w:tcMar>
              <w:top w:w="100" w:type="dxa"/>
              <w:left w:w="100" w:type="dxa"/>
              <w:bottom w:w="100" w:type="dxa"/>
              <w:right w:w="100" w:type="dxa"/>
            </w:tcMar>
          </w:tcPr>
          <w:p w14:paraId="256ECD7C"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The Cuban Market has been found to have a weak economy with a GDP growth rate of -1.9% in 2023, and a recessionary revenue generation in the automobile market from US$138.7 million in 2025 to US$132.8 million in 2030 (Statista, 2025). </w:t>
            </w:r>
          </w:p>
        </w:tc>
        <w:tc>
          <w:tcPr>
            <w:tcW w:w="1680" w:type="dxa"/>
            <w:tcMar>
              <w:top w:w="100" w:type="dxa"/>
              <w:left w:w="100" w:type="dxa"/>
              <w:bottom w:w="100" w:type="dxa"/>
              <w:right w:w="100" w:type="dxa"/>
            </w:tcMar>
          </w:tcPr>
          <w:p w14:paraId="26CDDB99"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b/>
                <w:lang w:val="en-GB"/>
              </w:rPr>
              <w:t>Low</w:t>
            </w:r>
          </w:p>
        </w:tc>
      </w:tr>
      <w:tr w:rsidR="000E7AC7" w:rsidRPr="00A75D61" w14:paraId="5E0D7980" w14:textId="77777777">
        <w:tc>
          <w:tcPr>
            <w:tcW w:w="1860" w:type="dxa"/>
            <w:tcMar>
              <w:top w:w="100" w:type="dxa"/>
              <w:left w:w="100" w:type="dxa"/>
              <w:bottom w:w="100" w:type="dxa"/>
              <w:right w:w="100" w:type="dxa"/>
            </w:tcMar>
          </w:tcPr>
          <w:p w14:paraId="1DF35F0A" w14:textId="77777777" w:rsidR="000E7AC7" w:rsidRPr="00A75D61" w:rsidRDefault="00000000" w:rsidP="00A75D61">
            <w:pPr>
              <w:widowControl w:val="0"/>
              <w:pBdr>
                <w:top w:val="nil"/>
                <w:left w:val="nil"/>
                <w:bottom w:val="nil"/>
                <w:right w:val="nil"/>
                <w:between w:val="nil"/>
              </w:pBdr>
              <w:spacing w:before="0" w:after="0"/>
              <w:rPr>
                <w:b/>
                <w:i/>
                <w:lang w:val="en-GB"/>
              </w:rPr>
            </w:pPr>
            <w:r w:rsidRPr="00A75D61">
              <w:rPr>
                <w:b/>
                <w:i/>
                <w:lang w:val="en-GB"/>
              </w:rPr>
              <w:t xml:space="preserve">Threat of </w:t>
            </w:r>
            <w:r w:rsidRPr="00A75D61">
              <w:rPr>
                <w:b/>
                <w:i/>
                <w:lang w:val="en-GB"/>
              </w:rPr>
              <w:lastRenderedPageBreak/>
              <w:t>Substitutes</w:t>
            </w:r>
          </w:p>
        </w:tc>
        <w:tc>
          <w:tcPr>
            <w:tcW w:w="5820" w:type="dxa"/>
            <w:tcMar>
              <w:top w:w="100" w:type="dxa"/>
              <w:left w:w="100" w:type="dxa"/>
              <w:bottom w:w="100" w:type="dxa"/>
              <w:right w:w="100" w:type="dxa"/>
            </w:tcMar>
          </w:tcPr>
          <w:p w14:paraId="1C91B9C8"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 xml:space="preserve">The Cuban Government is promoting EVs, while the </w:t>
            </w:r>
            <w:r w:rsidRPr="00A75D61">
              <w:rPr>
                <w:lang w:val="en-GB"/>
              </w:rPr>
              <w:lastRenderedPageBreak/>
              <w:t>consumers are mainly purchasing imported vehicles from firms like Renault and GAC Motors. These can provide a certain level of direct competition to the products in the market, acting as substitutes.</w:t>
            </w:r>
          </w:p>
        </w:tc>
        <w:tc>
          <w:tcPr>
            <w:tcW w:w="1680" w:type="dxa"/>
            <w:tcMar>
              <w:top w:w="100" w:type="dxa"/>
              <w:left w:w="100" w:type="dxa"/>
              <w:bottom w:w="100" w:type="dxa"/>
              <w:right w:w="100" w:type="dxa"/>
            </w:tcMar>
          </w:tcPr>
          <w:p w14:paraId="1D90FB82"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b/>
                <w:lang w:val="en-GB"/>
              </w:rPr>
              <w:lastRenderedPageBreak/>
              <w:t>Moderate</w:t>
            </w:r>
            <w:r w:rsidRPr="00A75D61">
              <w:rPr>
                <w:lang w:val="en-GB"/>
              </w:rPr>
              <w:t>.</w:t>
            </w:r>
          </w:p>
        </w:tc>
      </w:tr>
      <w:tr w:rsidR="000E7AC7" w:rsidRPr="00A75D61" w14:paraId="5589588C" w14:textId="77777777">
        <w:tc>
          <w:tcPr>
            <w:tcW w:w="1860" w:type="dxa"/>
            <w:tcMar>
              <w:top w:w="100" w:type="dxa"/>
              <w:left w:w="100" w:type="dxa"/>
              <w:bottom w:w="100" w:type="dxa"/>
              <w:right w:w="100" w:type="dxa"/>
            </w:tcMar>
          </w:tcPr>
          <w:p w14:paraId="45FB0415" w14:textId="77777777" w:rsidR="000E7AC7" w:rsidRPr="00A75D61" w:rsidRDefault="00000000" w:rsidP="00A75D61">
            <w:pPr>
              <w:widowControl w:val="0"/>
              <w:pBdr>
                <w:top w:val="nil"/>
                <w:left w:val="nil"/>
                <w:bottom w:val="nil"/>
                <w:right w:val="nil"/>
                <w:between w:val="nil"/>
              </w:pBdr>
              <w:spacing w:before="0" w:after="0"/>
              <w:rPr>
                <w:b/>
                <w:i/>
                <w:lang w:val="en-GB"/>
              </w:rPr>
            </w:pPr>
            <w:r w:rsidRPr="00A75D61">
              <w:rPr>
                <w:b/>
                <w:i/>
                <w:lang w:val="en-GB"/>
              </w:rPr>
              <w:t>Bargaining Power (Buyers)</w:t>
            </w:r>
          </w:p>
        </w:tc>
        <w:tc>
          <w:tcPr>
            <w:tcW w:w="5820" w:type="dxa"/>
            <w:tcMar>
              <w:top w:w="100" w:type="dxa"/>
              <w:left w:w="100" w:type="dxa"/>
              <w:bottom w:w="100" w:type="dxa"/>
              <w:right w:w="100" w:type="dxa"/>
            </w:tcMar>
          </w:tcPr>
          <w:p w14:paraId="49D878A3"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With a lower number of competitors in the market, the bargaining power during car sales is mostly held by car companies. Therefore, the bargaining power of buyers is low.</w:t>
            </w:r>
          </w:p>
        </w:tc>
        <w:tc>
          <w:tcPr>
            <w:tcW w:w="1680" w:type="dxa"/>
            <w:tcMar>
              <w:top w:w="100" w:type="dxa"/>
              <w:left w:w="100" w:type="dxa"/>
              <w:bottom w:w="100" w:type="dxa"/>
              <w:right w:w="100" w:type="dxa"/>
            </w:tcMar>
          </w:tcPr>
          <w:p w14:paraId="1098EB58"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b/>
                <w:lang w:val="en-GB"/>
              </w:rPr>
              <w:t>Low</w:t>
            </w:r>
          </w:p>
        </w:tc>
      </w:tr>
      <w:tr w:rsidR="000E7AC7" w:rsidRPr="00A75D61" w14:paraId="09B799A0" w14:textId="77777777">
        <w:tc>
          <w:tcPr>
            <w:tcW w:w="1860" w:type="dxa"/>
            <w:tcMar>
              <w:top w:w="100" w:type="dxa"/>
              <w:left w:w="100" w:type="dxa"/>
              <w:bottom w:w="100" w:type="dxa"/>
              <w:right w:w="100" w:type="dxa"/>
            </w:tcMar>
          </w:tcPr>
          <w:p w14:paraId="1116DAF0" w14:textId="77777777" w:rsidR="000E7AC7" w:rsidRPr="00A75D61" w:rsidRDefault="00000000" w:rsidP="00A75D61">
            <w:pPr>
              <w:widowControl w:val="0"/>
              <w:pBdr>
                <w:top w:val="nil"/>
                <w:left w:val="nil"/>
                <w:bottom w:val="nil"/>
                <w:right w:val="nil"/>
                <w:between w:val="nil"/>
              </w:pBdr>
              <w:spacing w:before="0" w:after="0"/>
              <w:rPr>
                <w:b/>
                <w:i/>
                <w:lang w:val="en-GB"/>
              </w:rPr>
            </w:pPr>
            <w:r w:rsidRPr="00A75D61">
              <w:rPr>
                <w:b/>
                <w:i/>
                <w:lang w:val="en-GB"/>
              </w:rPr>
              <w:t>Bargaining Power (Suppliers)</w:t>
            </w:r>
          </w:p>
        </w:tc>
        <w:tc>
          <w:tcPr>
            <w:tcW w:w="5820" w:type="dxa"/>
            <w:tcMar>
              <w:top w:w="100" w:type="dxa"/>
              <w:left w:w="100" w:type="dxa"/>
              <w:bottom w:w="100" w:type="dxa"/>
              <w:right w:w="100" w:type="dxa"/>
            </w:tcMar>
          </w:tcPr>
          <w:p w14:paraId="34D9E821"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In the Cuban Market, there is no major car manufacturing industry, and the automobile industry relies on imported cars for operations. Therefore, the number of Suppliers in the market is fewer.</w:t>
            </w:r>
          </w:p>
        </w:tc>
        <w:tc>
          <w:tcPr>
            <w:tcW w:w="1680" w:type="dxa"/>
            <w:tcMar>
              <w:top w:w="100" w:type="dxa"/>
              <w:left w:w="100" w:type="dxa"/>
              <w:bottom w:w="100" w:type="dxa"/>
              <w:right w:w="100" w:type="dxa"/>
            </w:tcMar>
          </w:tcPr>
          <w:p w14:paraId="26AB03A5"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b/>
                <w:lang w:val="en-GB"/>
              </w:rPr>
              <w:t>High</w:t>
            </w:r>
          </w:p>
        </w:tc>
      </w:tr>
    </w:tbl>
    <w:p w14:paraId="638D49F1" w14:textId="77777777" w:rsidR="000E7AC7" w:rsidRPr="00A75D61" w:rsidRDefault="00000000" w:rsidP="00A75D61">
      <w:pPr>
        <w:jc w:val="center"/>
        <w:rPr>
          <w:b/>
          <w:lang w:val="en-GB"/>
        </w:rPr>
      </w:pPr>
      <w:r w:rsidRPr="00A75D61">
        <w:rPr>
          <w:b/>
          <w:lang w:val="en-GB"/>
        </w:rPr>
        <w:t>Table 2: Porter’s 5 Forces</w:t>
      </w:r>
    </w:p>
    <w:p w14:paraId="3E5A92F2" w14:textId="77777777" w:rsidR="000E7AC7" w:rsidRPr="00A75D61" w:rsidRDefault="00000000" w:rsidP="00A75D61">
      <w:pPr>
        <w:jc w:val="center"/>
        <w:rPr>
          <w:lang w:val="en-GB"/>
        </w:rPr>
      </w:pPr>
      <w:r w:rsidRPr="00A75D61">
        <w:rPr>
          <w:lang w:val="en-GB"/>
        </w:rPr>
        <w:t>(Source: Self-Developed)</w:t>
      </w:r>
    </w:p>
    <w:p w14:paraId="33C41313" w14:textId="77777777" w:rsidR="000E7AC7" w:rsidRPr="00A75D61" w:rsidRDefault="00000000" w:rsidP="00A75D61">
      <w:pPr>
        <w:rPr>
          <w:lang w:val="en-GB"/>
        </w:rPr>
      </w:pPr>
      <w:r w:rsidRPr="00A75D61">
        <w:rPr>
          <w:lang w:val="en-GB"/>
        </w:rPr>
        <w:t xml:space="preserve">Based on Table 2, it can be seen that the Competitive Rivalry in the Cuban Automobile Market is Low as the major market shareholder Renault only has around 30% market share, and some other companies, such as GAC Motors, are also present. However, none of these companies has a self-sustaining ecosystem, including production facilities, sales teams, and servicing facilities within the market, and the market mostly sustains itself relying on imported cars. Therefore, direct competitive rivalry in the market is low for Toyota. Moreover, this also shows that the lower direct presence of other competitors in the market reduces the bargaining power of the buyers to a lower level. However, the substitute products imported from other companies, as well as the EVs promoted by the government, serve as replacements for the potential Toyota Products. This shows the threat of substitute products at a moderate level. Moreover, the weak economy and reduced revenue generation in the Cuban Automobile Industry reduce the attractiveness of this market from a global perspective, while also deterring new firms from entering the market. This shows the threat of new entrants at a low level. On the other hand, the lack </w:t>
      </w:r>
      <w:r w:rsidRPr="00A75D61">
        <w:rPr>
          <w:lang w:val="en-GB"/>
        </w:rPr>
        <w:lastRenderedPageBreak/>
        <w:t>of a strong industrial ecosystem within the Cuban market results in the presence of fewer suppliers of parts and raw materials, which increases their bargaining power, posing a threat to Toyota Motor Corporation after its potential entry.</w:t>
      </w:r>
    </w:p>
    <w:p w14:paraId="041C8C7C" w14:textId="77777777" w:rsidR="000E7AC7" w:rsidRPr="00A75D61" w:rsidRDefault="00000000" w:rsidP="00A75D61">
      <w:pPr>
        <w:pStyle w:val="Heading2"/>
        <w:rPr>
          <w:lang w:val="en-GB"/>
        </w:rPr>
      </w:pPr>
      <w:bookmarkStart w:id="7" w:name="_Toc216705420"/>
      <w:r w:rsidRPr="00A75D61">
        <w:rPr>
          <w:lang w:val="en-GB"/>
        </w:rPr>
        <w:t>3.3 SWOT Analysis: Micro environmental analysis</w:t>
      </w:r>
      <w:bookmarkEnd w:id="7"/>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E7AC7" w:rsidRPr="00A75D61" w14:paraId="1AAF386D" w14:textId="77777777">
        <w:tc>
          <w:tcPr>
            <w:tcW w:w="4680" w:type="dxa"/>
            <w:tcMar>
              <w:top w:w="100" w:type="dxa"/>
              <w:left w:w="100" w:type="dxa"/>
              <w:bottom w:w="100" w:type="dxa"/>
              <w:right w:w="100" w:type="dxa"/>
            </w:tcMar>
          </w:tcPr>
          <w:p w14:paraId="56461696"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Strengths</w:t>
            </w:r>
          </w:p>
        </w:tc>
        <w:tc>
          <w:tcPr>
            <w:tcW w:w="4680" w:type="dxa"/>
            <w:tcMar>
              <w:top w:w="100" w:type="dxa"/>
              <w:left w:w="100" w:type="dxa"/>
              <w:bottom w:w="100" w:type="dxa"/>
              <w:right w:w="100" w:type="dxa"/>
            </w:tcMar>
          </w:tcPr>
          <w:p w14:paraId="59DD5268"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Weaknesses</w:t>
            </w:r>
          </w:p>
        </w:tc>
      </w:tr>
      <w:tr w:rsidR="000E7AC7" w:rsidRPr="00A75D61" w14:paraId="1812B640" w14:textId="77777777">
        <w:tc>
          <w:tcPr>
            <w:tcW w:w="4680" w:type="dxa"/>
            <w:tcMar>
              <w:top w:w="100" w:type="dxa"/>
              <w:left w:w="100" w:type="dxa"/>
              <w:bottom w:w="100" w:type="dxa"/>
              <w:right w:w="100" w:type="dxa"/>
            </w:tcMar>
          </w:tcPr>
          <w:p w14:paraId="4F145C81" w14:textId="77777777" w:rsidR="000E7AC7" w:rsidRPr="00A75D61" w:rsidRDefault="00000000" w:rsidP="00A75D61">
            <w:pPr>
              <w:widowControl w:val="0"/>
              <w:numPr>
                <w:ilvl w:val="0"/>
                <w:numId w:val="1"/>
              </w:numPr>
              <w:pBdr>
                <w:top w:val="nil"/>
                <w:left w:val="nil"/>
                <w:bottom w:val="nil"/>
                <w:right w:val="nil"/>
                <w:between w:val="nil"/>
              </w:pBdr>
              <w:spacing w:before="0" w:after="0"/>
              <w:rPr>
                <w:lang w:val="en-GB"/>
              </w:rPr>
            </w:pPr>
            <w:r w:rsidRPr="00A75D61">
              <w:rPr>
                <w:lang w:val="en-GB"/>
              </w:rPr>
              <w:t>A Strong Global Workforce of 384,000 people (Toyota Global, 2025)</w:t>
            </w:r>
          </w:p>
          <w:p w14:paraId="5B2D8F76" w14:textId="77777777" w:rsidR="000E7AC7" w:rsidRPr="00A75D61" w:rsidRDefault="00000000" w:rsidP="00A75D61">
            <w:pPr>
              <w:widowControl w:val="0"/>
              <w:numPr>
                <w:ilvl w:val="0"/>
                <w:numId w:val="1"/>
              </w:numPr>
              <w:pBdr>
                <w:top w:val="nil"/>
                <w:left w:val="nil"/>
                <w:bottom w:val="nil"/>
                <w:right w:val="nil"/>
                <w:between w:val="nil"/>
              </w:pBdr>
              <w:spacing w:before="0" w:after="0"/>
              <w:rPr>
                <w:lang w:val="en-GB"/>
              </w:rPr>
            </w:pPr>
            <w:r w:rsidRPr="00A75D61">
              <w:rPr>
                <w:lang w:val="en-GB"/>
              </w:rPr>
              <w:t>Strong Global Presence across 170+ countries with &gt;20 Design and R&amp;D Facilities (Toyota Global, 2025a).</w:t>
            </w:r>
          </w:p>
          <w:p w14:paraId="7DE59075" w14:textId="77777777" w:rsidR="000E7AC7" w:rsidRPr="00A75D61" w:rsidRDefault="00000000" w:rsidP="00A75D61">
            <w:pPr>
              <w:widowControl w:val="0"/>
              <w:numPr>
                <w:ilvl w:val="0"/>
                <w:numId w:val="1"/>
              </w:numPr>
              <w:pBdr>
                <w:top w:val="nil"/>
                <w:left w:val="nil"/>
                <w:bottom w:val="nil"/>
                <w:right w:val="nil"/>
                <w:between w:val="nil"/>
              </w:pBdr>
              <w:spacing w:before="0" w:after="0"/>
              <w:rPr>
                <w:lang w:val="en-GB"/>
              </w:rPr>
            </w:pPr>
            <w:r w:rsidRPr="00A75D61">
              <w:rPr>
                <w:lang w:val="en-GB"/>
              </w:rPr>
              <w:t>Pioneering Toyota Production System (Toyota Global, 2025)</w:t>
            </w:r>
          </w:p>
        </w:tc>
        <w:tc>
          <w:tcPr>
            <w:tcW w:w="4680" w:type="dxa"/>
            <w:tcMar>
              <w:top w:w="100" w:type="dxa"/>
              <w:left w:w="100" w:type="dxa"/>
              <w:bottom w:w="100" w:type="dxa"/>
              <w:right w:w="100" w:type="dxa"/>
            </w:tcMar>
          </w:tcPr>
          <w:p w14:paraId="6AE3DC9A" w14:textId="77777777" w:rsidR="000E7AC7" w:rsidRPr="00A75D61" w:rsidRDefault="00000000" w:rsidP="00A75D61">
            <w:pPr>
              <w:widowControl w:val="0"/>
              <w:numPr>
                <w:ilvl w:val="0"/>
                <w:numId w:val="2"/>
              </w:numPr>
              <w:pBdr>
                <w:top w:val="nil"/>
                <w:left w:val="nil"/>
                <w:bottom w:val="nil"/>
                <w:right w:val="nil"/>
                <w:between w:val="nil"/>
              </w:pBdr>
              <w:spacing w:before="0" w:after="0"/>
              <w:rPr>
                <w:lang w:val="en-GB"/>
              </w:rPr>
            </w:pPr>
            <w:r w:rsidRPr="00A75D61">
              <w:rPr>
                <w:lang w:val="en-GB"/>
              </w:rPr>
              <w:t>Fraudulent Product Testing and Issues of Quality Control (Kageyama, 2024).</w:t>
            </w:r>
          </w:p>
          <w:p w14:paraId="4292E2C7" w14:textId="77777777" w:rsidR="000E7AC7" w:rsidRPr="00A75D61" w:rsidRDefault="00000000" w:rsidP="00A75D61">
            <w:pPr>
              <w:widowControl w:val="0"/>
              <w:numPr>
                <w:ilvl w:val="0"/>
                <w:numId w:val="2"/>
              </w:numPr>
              <w:pBdr>
                <w:top w:val="nil"/>
                <w:left w:val="nil"/>
                <w:bottom w:val="nil"/>
                <w:right w:val="nil"/>
                <w:between w:val="nil"/>
              </w:pBdr>
              <w:spacing w:before="0" w:after="0"/>
              <w:rPr>
                <w:lang w:val="en-GB"/>
              </w:rPr>
            </w:pPr>
            <w:r w:rsidRPr="00A75D61">
              <w:rPr>
                <w:lang w:val="en-GB"/>
              </w:rPr>
              <w:t>Kageyama (2023) reported a weak transition of Toyota to EV production as a weakness for the firm.</w:t>
            </w:r>
          </w:p>
        </w:tc>
      </w:tr>
      <w:tr w:rsidR="000E7AC7" w:rsidRPr="00A75D61" w14:paraId="24293F48" w14:textId="77777777">
        <w:tc>
          <w:tcPr>
            <w:tcW w:w="4680" w:type="dxa"/>
            <w:tcMar>
              <w:top w:w="100" w:type="dxa"/>
              <w:left w:w="100" w:type="dxa"/>
              <w:bottom w:w="100" w:type="dxa"/>
              <w:right w:w="100" w:type="dxa"/>
            </w:tcMar>
          </w:tcPr>
          <w:p w14:paraId="20E67371"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Opportunities</w:t>
            </w:r>
          </w:p>
        </w:tc>
        <w:tc>
          <w:tcPr>
            <w:tcW w:w="4680" w:type="dxa"/>
            <w:tcMar>
              <w:top w:w="100" w:type="dxa"/>
              <w:left w:w="100" w:type="dxa"/>
              <w:bottom w:w="100" w:type="dxa"/>
              <w:right w:w="100" w:type="dxa"/>
            </w:tcMar>
          </w:tcPr>
          <w:p w14:paraId="43E786C0"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Threats</w:t>
            </w:r>
          </w:p>
        </w:tc>
      </w:tr>
      <w:tr w:rsidR="000E7AC7" w:rsidRPr="00A75D61" w14:paraId="0A15FF5B" w14:textId="77777777">
        <w:tc>
          <w:tcPr>
            <w:tcW w:w="4680" w:type="dxa"/>
            <w:tcMar>
              <w:top w:w="100" w:type="dxa"/>
              <w:left w:w="100" w:type="dxa"/>
              <w:bottom w:w="100" w:type="dxa"/>
              <w:right w:w="100" w:type="dxa"/>
            </w:tcMar>
          </w:tcPr>
          <w:p w14:paraId="5D6D643A" w14:textId="77777777" w:rsidR="000E7AC7" w:rsidRPr="00A75D61" w:rsidRDefault="00000000" w:rsidP="00A75D61">
            <w:pPr>
              <w:widowControl w:val="0"/>
              <w:numPr>
                <w:ilvl w:val="0"/>
                <w:numId w:val="3"/>
              </w:numPr>
              <w:pBdr>
                <w:top w:val="nil"/>
                <w:left w:val="nil"/>
                <w:bottom w:val="nil"/>
                <w:right w:val="nil"/>
                <w:between w:val="nil"/>
              </w:pBdr>
              <w:spacing w:before="0" w:after="0"/>
              <w:rPr>
                <w:lang w:val="en-GB"/>
              </w:rPr>
            </w:pPr>
            <w:r w:rsidRPr="00A75D61">
              <w:rPr>
                <w:lang w:val="en-GB"/>
              </w:rPr>
              <w:t>Lack of strong direct competitors in the Cuban Market.</w:t>
            </w:r>
          </w:p>
          <w:p w14:paraId="48AAF251" w14:textId="77777777" w:rsidR="000E7AC7" w:rsidRPr="00A75D61" w:rsidRDefault="00000000" w:rsidP="00A75D61">
            <w:pPr>
              <w:widowControl w:val="0"/>
              <w:numPr>
                <w:ilvl w:val="0"/>
                <w:numId w:val="3"/>
              </w:numPr>
              <w:pBdr>
                <w:top w:val="nil"/>
                <w:left w:val="nil"/>
                <w:bottom w:val="nil"/>
                <w:right w:val="nil"/>
                <w:between w:val="nil"/>
              </w:pBdr>
              <w:spacing w:before="0" w:after="0"/>
              <w:rPr>
                <w:lang w:val="en-GB"/>
              </w:rPr>
            </w:pPr>
            <w:r w:rsidRPr="00A75D61">
              <w:rPr>
                <w:lang w:val="en-GB"/>
              </w:rPr>
              <w:t>Increasing purchase of Passenger Cars and promotion of EVs by the Cuban Government.</w:t>
            </w:r>
          </w:p>
          <w:p w14:paraId="611EE0D2" w14:textId="77777777" w:rsidR="000E7AC7" w:rsidRPr="00A75D61" w:rsidRDefault="00000000" w:rsidP="00A75D61">
            <w:pPr>
              <w:widowControl w:val="0"/>
              <w:numPr>
                <w:ilvl w:val="0"/>
                <w:numId w:val="3"/>
              </w:numPr>
              <w:pBdr>
                <w:top w:val="nil"/>
                <w:left w:val="nil"/>
                <w:bottom w:val="nil"/>
                <w:right w:val="nil"/>
                <w:between w:val="nil"/>
              </w:pBdr>
              <w:spacing w:before="0" w:after="0"/>
              <w:rPr>
                <w:lang w:val="en-GB"/>
              </w:rPr>
            </w:pPr>
            <w:r w:rsidRPr="00A75D61">
              <w:rPr>
                <w:lang w:val="en-GB"/>
              </w:rPr>
              <w:t>Increased demand for Technologically Advanced Cars in the Cuban Market.</w:t>
            </w:r>
          </w:p>
        </w:tc>
        <w:tc>
          <w:tcPr>
            <w:tcW w:w="4680" w:type="dxa"/>
            <w:tcMar>
              <w:top w:w="100" w:type="dxa"/>
              <w:left w:w="100" w:type="dxa"/>
              <w:bottom w:w="100" w:type="dxa"/>
              <w:right w:w="100" w:type="dxa"/>
            </w:tcMar>
          </w:tcPr>
          <w:p w14:paraId="78A3B87E" w14:textId="77777777" w:rsidR="000E7AC7" w:rsidRPr="00A75D61" w:rsidRDefault="00000000" w:rsidP="00A75D61">
            <w:pPr>
              <w:widowControl w:val="0"/>
              <w:numPr>
                <w:ilvl w:val="0"/>
                <w:numId w:val="4"/>
              </w:numPr>
              <w:pBdr>
                <w:top w:val="nil"/>
                <w:left w:val="nil"/>
                <w:bottom w:val="nil"/>
                <w:right w:val="nil"/>
                <w:between w:val="nil"/>
              </w:pBdr>
              <w:spacing w:before="0" w:after="0"/>
              <w:rPr>
                <w:lang w:val="en-GB"/>
              </w:rPr>
            </w:pPr>
            <w:r w:rsidRPr="00A75D61">
              <w:rPr>
                <w:lang w:val="en-GB"/>
              </w:rPr>
              <w:t>Imported Cars from competitors like Renault and GAC Motor.</w:t>
            </w:r>
          </w:p>
          <w:p w14:paraId="3BE9C2AB" w14:textId="77777777" w:rsidR="000E7AC7" w:rsidRPr="00A75D61" w:rsidRDefault="00000000" w:rsidP="00A75D61">
            <w:pPr>
              <w:widowControl w:val="0"/>
              <w:numPr>
                <w:ilvl w:val="0"/>
                <w:numId w:val="4"/>
              </w:numPr>
              <w:pBdr>
                <w:top w:val="nil"/>
                <w:left w:val="nil"/>
                <w:bottom w:val="nil"/>
                <w:right w:val="nil"/>
                <w:between w:val="nil"/>
              </w:pBdr>
              <w:spacing w:before="0" w:after="0"/>
              <w:rPr>
                <w:lang w:val="en-GB"/>
              </w:rPr>
            </w:pPr>
            <w:r w:rsidRPr="00A75D61">
              <w:rPr>
                <w:lang w:val="en-GB"/>
              </w:rPr>
              <w:t>Reduced Economic Strength of Cuba as a Market.</w:t>
            </w:r>
          </w:p>
          <w:p w14:paraId="11DDEE92" w14:textId="77777777" w:rsidR="000E7AC7" w:rsidRPr="00A75D61" w:rsidRDefault="00000000" w:rsidP="00A75D61">
            <w:pPr>
              <w:widowControl w:val="0"/>
              <w:numPr>
                <w:ilvl w:val="0"/>
                <w:numId w:val="4"/>
              </w:numPr>
              <w:pBdr>
                <w:top w:val="nil"/>
                <w:left w:val="nil"/>
                <w:bottom w:val="nil"/>
                <w:right w:val="nil"/>
                <w:between w:val="nil"/>
              </w:pBdr>
              <w:spacing w:before="0" w:after="0"/>
              <w:rPr>
                <w:lang w:val="en-GB"/>
              </w:rPr>
            </w:pPr>
            <w:r w:rsidRPr="00A75D61">
              <w:rPr>
                <w:lang w:val="en-GB"/>
              </w:rPr>
              <w:t>Fewer Suppliers in Cuba can increase the cost of production in the market.</w:t>
            </w:r>
          </w:p>
        </w:tc>
      </w:tr>
    </w:tbl>
    <w:p w14:paraId="08F1EEE6" w14:textId="77777777" w:rsidR="000E7AC7" w:rsidRPr="00A75D61" w:rsidRDefault="00000000" w:rsidP="00A75D61">
      <w:pPr>
        <w:jc w:val="center"/>
        <w:rPr>
          <w:b/>
          <w:lang w:val="en-GB"/>
        </w:rPr>
      </w:pPr>
      <w:r w:rsidRPr="00A75D61">
        <w:rPr>
          <w:b/>
          <w:lang w:val="en-GB"/>
        </w:rPr>
        <w:t>Table 3: SWOT Analysis of Toyota Motor Corporation in Cuba</w:t>
      </w:r>
    </w:p>
    <w:p w14:paraId="4466A0CE" w14:textId="77777777" w:rsidR="000E7AC7" w:rsidRPr="00A75D61" w:rsidRDefault="00000000" w:rsidP="00A75D61">
      <w:pPr>
        <w:jc w:val="center"/>
        <w:rPr>
          <w:lang w:val="en-GB"/>
        </w:rPr>
      </w:pPr>
      <w:r w:rsidRPr="00A75D61">
        <w:rPr>
          <w:lang w:val="en-GB"/>
        </w:rPr>
        <w:t>(Source: Self-Developed)</w:t>
      </w:r>
    </w:p>
    <w:p w14:paraId="3033E1F8" w14:textId="77777777" w:rsidR="000E7AC7" w:rsidRPr="00A75D61" w:rsidRDefault="00000000" w:rsidP="00A75D61">
      <w:pPr>
        <w:rPr>
          <w:lang w:val="en-GB"/>
        </w:rPr>
      </w:pPr>
      <w:r w:rsidRPr="00A75D61">
        <w:rPr>
          <w:lang w:val="en-GB"/>
        </w:rPr>
        <w:lastRenderedPageBreak/>
        <w:t>Table 3 summarises the external environment insights into the curated opportunities and threats for Toyota upon its expansion to the Cuban Market based on the previous PESTLE and Porter’s 5 Forces Analysis. Furthermore, the internal strengths of the firm, including its global presence and strong production capacity, alongside its large global workforce, as well as its pioneering production system, which uses Lean Methodology, have been identified. In this regard, the weaknesses of the firm include fraudulent product testing and quality control issues alongside its weak transition to EVs, wherein it has been outpaced by its global competitors.</w:t>
      </w:r>
    </w:p>
    <w:p w14:paraId="5170A67B" w14:textId="77777777" w:rsidR="000E7AC7" w:rsidRPr="00A75D61" w:rsidRDefault="00000000" w:rsidP="00A75D61">
      <w:pPr>
        <w:pStyle w:val="Heading2"/>
        <w:rPr>
          <w:lang w:val="en-GB"/>
        </w:rPr>
      </w:pPr>
      <w:bookmarkStart w:id="8" w:name="_Toc216705421"/>
      <w:r w:rsidRPr="00A75D61">
        <w:rPr>
          <w:lang w:val="en-GB"/>
        </w:rPr>
        <w:t>3.4 Evaluation of effectiveness and limitations of the analytical tools employed</w:t>
      </w:r>
      <w:bookmarkEnd w:id="8"/>
    </w:p>
    <w:p w14:paraId="69AFB025" w14:textId="7481CFF9" w:rsidR="000E7AC7" w:rsidRPr="00A75D61" w:rsidRDefault="00000000" w:rsidP="00A75D61">
      <w:pPr>
        <w:rPr>
          <w:lang w:val="en-GB"/>
        </w:rPr>
      </w:pPr>
      <w:r w:rsidRPr="00A75D61">
        <w:rPr>
          <w:b/>
          <w:lang w:val="en-GB"/>
        </w:rPr>
        <w:t>PESTLE Analysis Framework</w:t>
      </w:r>
      <w:r w:rsidRPr="00A75D61">
        <w:rPr>
          <w:lang w:val="en-GB"/>
        </w:rPr>
        <w:t xml:space="preserve">: Siddiqui (2021) presents that the value of PESTLE Analysis comes from its applicability in gaining deeper insights into a particular industry within a country. Siddiqui (2021), in this regard, added that PESTLE analysis is often not used alone but in conjunction with other frameworks like Porter's 5 Forces and SWOT Analysis </w:t>
      </w:r>
      <w:r w:rsidR="0042721B" w:rsidRPr="00A75D61">
        <w:rPr>
          <w:lang w:val="en-GB"/>
        </w:rPr>
        <w:t>to</w:t>
      </w:r>
      <w:r w:rsidRPr="00A75D61">
        <w:rPr>
          <w:lang w:val="en-GB"/>
        </w:rPr>
        <w:t xml:space="preserve"> gain a thorough understanding of the risks and opportunities within a particular national market. This shows the effectiveness of PESTLE Analysis, which was used in this report, enabling a deeper exploration of the external environment in which Toyota would operate post-expansion. Across multiple external dimensions relevant for businesses like economic, political, social and others, PESTLE provided valuable insights into the Cuban market. Buye (2021), as a limitation of the framework, identified that as a static framework, the insights generated from PESTLE analysis seem to evolve rapidly, resulting in the need for multiple applications over time.</w:t>
      </w:r>
    </w:p>
    <w:p w14:paraId="14057820" w14:textId="77777777" w:rsidR="000E7AC7" w:rsidRPr="00A75D61" w:rsidRDefault="00000000" w:rsidP="00A75D61">
      <w:pPr>
        <w:rPr>
          <w:lang w:val="en-GB"/>
        </w:rPr>
      </w:pPr>
      <w:r w:rsidRPr="00A75D61">
        <w:rPr>
          <w:b/>
          <w:lang w:val="en-GB"/>
        </w:rPr>
        <w:t>Porter’s 5 Forces Framework</w:t>
      </w:r>
      <w:r w:rsidRPr="00A75D61">
        <w:rPr>
          <w:lang w:val="en-GB"/>
        </w:rPr>
        <w:t xml:space="preserve">: Isabelle </w:t>
      </w:r>
      <w:r w:rsidRPr="00A75D61">
        <w:rPr>
          <w:i/>
          <w:lang w:val="en-GB"/>
        </w:rPr>
        <w:t>et al.</w:t>
      </w:r>
      <w:r w:rsidRPr="00A75D61">
        <w:rPr>
          <w:lang w:val="en-GB"/>
        </w:rPr>
        <w:t xml:space="preserve"> (2020) identified in their study that Porter's 5 Forces Framework has become a staple tool in Strategic Management for gauging the competitive forces within an Industry, based on factors like Threats from New Entrants and Substitute Products, Competitive Rivalry and the Bargaining Power of buyers and suppliers. This shows the effectiveness of this framework in mapping out narrower insights into a specific industry within a country. Used in conjunction with PESTLE analysis, this tool enabled the present report to generate detailed insights into the automotive industry of Cuba, showcasing its effectiveness. In this regard, Isabelle </w:t>
      </w:r>
      <w:r w:rsidRPr="00A75D61">
        <w:rPr>
          <w:i/>
          <w:lang w:val="en-GB"/>
        </w:rPr>
        <w:t>et al.</w:t>
      </w:r>
      <w:r w:rsidRPr="00A75D61">
        <w:rPr>
          <w:lang w:val="en-GB"/>
        </w:rPr>
        <w:t xml:space="preserve"> </w:t>
      </w:r>
      <w:r w:rsidRPr="00A75D61">
        <w:rPr>
          <w:lang w:val="en-GB"/>
        </w:rPr>
        <w:lastRenderedPageBreak/>
        <w:t>(2020) also found that while Porter's 5 Forces has been widely implemented, scholars have criticised it for its operationalising difficulty, while others have questioned the credibility of the insights it generates. As in the case of PESTLE Analysis, similarly, Porter's 5 Forces, presented as a static framework, can also generate results which can become obsolete after a short period of time.</w:t>
      </w:r>
    </w:p>
    <w:p w14:paraId="30DE20B1" w14:textId="77777777" w:rsidR="000E7AC7" w:rsidRPr="00A75D61" w:rsidRDefault="00000000" w:rsidP="00A75D61">
      <w:pPr>
        <w:rPr>
          <w:lang w:val="en-GB"/>
        </w:rPr>
      </w:pPr>
      <w:r w:rsidRPr="00A75D61">
        <w:rPr>
          <w:b/>
          <w:lang w:val="en-GB"/>
        </w:rPr>
        <w:t>SWOT Analysis Framework</w:t>
      </w:r>
      <w:r w:rsidRPr="00A75D61">
        <w:rPr>
          <w:lang w:val="en-GB"/>
        </w:rPr>
        <w:t xml:space="preserve">: Benzaghta </w:t>
      </w:r>
      <w:r w:rsidRPr="00A75D61">
        <w:rPr>
          <w:i/>
          <w:lang w:val="en-GB"/>
        </w:rPr>
        <w:t>et al.</w:t>
      </w:r>
      <w:r w:rsidRPr="00A75D61">
        <w:rPr>
          <w:lang w:val="en-GB"/>
        </w:rPr>
        <w:t xml:space="preserve"> (2021) identified that SWOT Analysis has become one of the most popular tools used by businesses for strategic planning. However, this strategic framework is also well-known for its wider applicability inside and outside of the business context, wherein for any entity the identification of Strengths, Weaknesses, Opportunities for Growth, and Future Threats is attributed to this framework. In the current report, the SWOT Analysis has helped map out the internal competencies and weaknesses of Toyota while also summarising the external opportunities and threats, thereby demonstrating its effectiveness. Helms and Nixon (2010) explained that one of the major limitations of SWOT Analysis is that it depends on ideas, expertise and assertion of expertise without using any empirical tests to verify these assertions, which hurts the validity of the insights generated.</w:t>
      </w:r>
    </w:p>
    <w:p w14:paraId="54990190" w14:textId="77777777" w:rsidR="000E7AC7" w:rsidRPr="00A75D61" w:rsidRDefault="00000000" w:rsidP="00A75D61">
      <w:pPr>
        <w:pStyle w:val="Heading1"/>
        <w:rPr>
          <w:sz w:val="24"/>
          <w:szCs w:val="24"/>
          <w:lang w:val="en-GB"/>
        </w:rPr>
      </w:pPr>
      <w:bookmarkStart w:id="9" w:name="_Toc216705422"/>
      <w:r w:rsidRPr="00A75D61">
        <w:rPr>
          <w:sz w:val="24"/>
          <w:szCs w:val="24"/>
          <w:lang w:val="en-GB"/>
        </w:rPr>
        <w:t>4.0 Strategy Development and Formulation</w:t>
      </w:r>
      <w:bookmarkEnd w:id="9"/>
    </w:p>
    <w:p w14:paraId="0CDDD44C" w14:textId="77777777" w:rsidR="000E7AC7" w:rsidRPr="00A75D61" w:rsidRDefault="00000000" w:rsidP="00A75D61">
      <w:pPr>
        <w:pStyle w:val="Heading2"/>
        <w:rPr>
          <w:lang w:val="en-GB"/>
        </w:rPr>
      </w:pPr>
      <w:bookmarkStart w:id="10" w:name="_Toc216705423"/>
      <w:r w:rsidRPr="00A75D61">
        <w:rPr>
          <w:lang w:val="en-GB"/>
        </w:rPr>
        <w:t>4.1 SMART objectives for the organisation's expansion</w:t>
      </w:r>
      <w:bookmarkEnd w:id="10"/>
    </w:p>
    <w:tbl>
      <w:tblPr>
        <w:tblStyle w:val="Table4"/>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430"/>
        <w:gridCol w:w="1800"/>
        <w:gridCol w:w="1590"/>
        <w:gridCol w:w="1620"/>
      </w:tblGrid>
      <w:tr w:rsidR="000E7AC7" w:rsidRPr="00A75D61" w14:paraId="69B221E5" w14:textId="77777777">
        <w:tc>
          <w:tcPr>
            <w:tcW w:w="1860" w:type="dxa"/>
            <w:tcMar>
              <w:top w:w="100" w:type="dxa"/>
              <w:left w:w="100" w:type="dxa"/>
              <w:bottom w:w="100" w:type="dxa"/>
              <w:right w:w="100" w:type="dxa"/>
            </w:tcMar>
          </w:tcPr>
          <w:p w14:paraId="35261910"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Specific (S)</w:t>
            </w:r>
          </w:p>
        </w:tc>
        <w:tc>
          <w:tcPr>
            <w:tcW w:w="2430" w:type="dxa"/>
            <w:tcMar>
              <w:top w:w="100" w:type="dxa"/>
              <w:left w:w="100" w:type="dxa"/>
              <w:bottom w:w="100" w:type="dxa"/>
              <w:right w:w="100" w:type="dxa"/>
            </w:tcMar>
          </w:tcPr>
          <w:p w14:paraId="119C5029"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Measurable (M)</w:t>
            </w:r>
          </w:p>
        </w:tc>
        <w:tc>
          <w:tcPr>
            <w:tcW w:w="1800" w:type="dxa"/>
            <w:tcMar>
              <w:top w:w="100" w:type="dxa"/>
              <w:left w:w="100" w:type="dxa"/>
              <w:bottom w:w="100" w:type="dxa"/>
              <w:right w:w="100" w:type="dxa"/>
            </w:tcMar>
          </w:tcPr>
          <w:p w14:paraId="34BBE41A"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Achievable (A)</w:t>
            </w:r>
          </w:p>
        </w:tc>
        <w:tc>
          <w:tcPr>
            <w:tcW w:w="1590" w:type="dxa"/>
            <w:tcMar>
              <w:top w:w="100" w:type="dxa"/>
              <w:left w:w="100" w:type="dxa"/>
              <w:bottom w:w="100" w:type="dxa"/>
              <w:right w:w="100" w:type="dxa"/>
            </w:tcMar>
          </w:tcPr>
          <w:p w14:paraId="272A7D8F"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Relevant (R)</w:t>
            </w:r>
          </w:p>
        </w:tc>
        <w:tc>
          <w:tcPr>
            <w:tcW w:w="1620" w:type="dxa"/>
            <w:tcMar>
              <w:top w:w="100" w:type="dxa"/>
              <w:left w:w="100" w:type="dxa"/>
              <w:bottom w:w="100" w:type="dxa"/>
              <w:right w:w="100" w:type="dxa"/>
            </w:tcMar>
          </w:tcPr>
          <w:p w14:paraId="241F8EB3"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Time-bound (T)</w:t>
            </w:r>
          </w:p>
        </w:tc>
      </w:tr>
      <w:tr w:rsidR="000E7AC7" w:rsidRPr="00A75D61" w14:paraId="7187FC2A" w14:textId="77777777">
        <w:tc>
          <w:tcPr>
            <w:tcW w:w="1860" w:type="dxa"/>
            <w:tcMar>
              <w:top w:w="100" w:type="dxa"/>
              <w:left w:w="100" w:type="dxa"/>
              <w:bottom w:w="100" w:type="dxa"/>
              <w:right w:w="100" w:type="dxa"/>
            </w:tcMar>
          </w:tcPr>
          <w:p w14:paraId="71CB4939"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The launch of the Cuba-based automobile vehicle by Toyota. Focusing its market </w:t>
            </w:r>
            <w:r w:rsidRPr="00A75D61">
              <w:rPr>
                <w:lang w:val="en-GB"/>
              </w:rPr>
              <w:lastRenderedPageBreak/>
              <w:t>presence by establishing a strategic partnership with the Cuba-based local partners</w:t>
            </w:r>
          </w:p>
        </w:tc>
        <w:tc>
          <w:tcPr>
            <w:tcW w:w="2430" w:type="dxa"/>
            <w:tcMar>
              <w:top w:w="100" w:type="dxa"/>
              <w:left w:w="100" w:type="dxa"/>
              <w:bottom w:w="100" w:type="dxa"/>
              <w:right w:w="100" w:type="dxa"/>
            </w:tcMar>
          </w:tcPr>
          <w:p w14:paraId="1EC4F34A"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 xml:space="preserve">Formation of the joint venture or partnership with a Cuban automobile company, which was associated with the Toyota assembly and distribution of </w:t>
            </w:r>
            <w:r w:rsidRPr="00A75D61">
              <w:rPr>
                <w:lang w:val="en-GB"/>
              </w:rPr>
              <w:lastRenderedPageBreak/>
              <w:t xml:space="preserve">the vehicles. Monitoring the progress report via analysing the production milestone as well as the phases of the production project. Determination of the KPIs in design finalisation, test protocol and launch date must meet the assigned time.  </w:t>
            </w:r>
          </w:p>
        </w:tc>
        <w:tc>
          <w:tcPr>
            <w:tcW w:w="1800" w:type="dxa"/>
            <w:tcMar>
              <w:top w:w="100" w:type="dxa"/>
              <w:left w:w="100" w:type="dxa"/>
              <w:bottom w:w="100" w:type="dxa"/>
              <w:right w:w="100" w:type="dxa"/>
            </w:tcMar>
          </w:tcPr>
          <w:p w14:paraId="04B620CC"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 xml:space="preserve">Toyota needs to contact the local manufacturers and form an agreement and be operational by the end of </w:t>
            </w:r>
            <w:r w:rsidRPr="00A75D61">
              <w:rPr>
                <w:lang w:val="en-GB"/>
              </w:rPr>
              <w:lastRenderedPageBreak/>
              <w:t xml:space="preserve">2026. </w:t>
            </w:r>
          </w:p>
        </w:tc>
        <w:tc>
          <w:tcPr>
            <w:tcW w:w="1590" w:type="dxa"/>
            <w:tcMar>
              <w:top w:w="100" w:type="dxa"/>
              <w:left w:w="100" w:type="dxa"/>
              <w:bottom w:w="100" w:type="dxa"/>
              <w:right w:w="100" w:type="dxa"/>
            </w:tcMar>
          </w:tcPr>
          <w:p w14:paraId="5A14ED74"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 xml:space="preserve">Reduction of the entry barriers and focus on the foreign investment regulations connected </w:t>
            </w:r>
            <w:r w:rsidRPr="00A75D61">
              <w:rPr>
                <w:lang w:val="en-GB"/>
              </w:rPr>
              <w:lastRenderedPageBreak/>
              <w:t xml:space="preserve">with Cuba. </w:t>
            </w:r>
          </w:p>
        </w:tc>
        <w:tc>
          <w:tcPr>
            <w:tcW w:w="1620" w:type="dxa"/>
            <w:tcMar>
              <w:top w:w="100" w:type="dxa"/>
              <w:left w:w="100" w:type="dxa"/>
              <w:bottom w:w="100" w:type="dxa"/>
              <w:right w:w="100" w:type="dxa"/>
            </w:tcMar>
          </w:tcPr>
          <w:p w14:paraId="6FE64F95"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 xml:space="preserve">Partnership operation by the end of 2026 </w:t>
            </w:r>
          </w:p>
        </w:tc>
      </w:tr>
      <w:tr w:rsidR="000E7AC7" w:rsidRPr="00A75D61" w14:paraId="479355B7" w14:textId="77777777">
        <w:tc>
          <w:tcPr>
            <w:tcW w:w="1860" w:type="dxa"/>
            <w:tcMar>
              <w:top w:w="100" w:type="dxa"/>
              <w:left w:w="100" w:type="dxa"/>
              <w:bottom w:w="100" w:type="dxa"/>
              <w:right w:w="100" w:type="dxa"/>
            </w:tcMar>
          </w:tcPr>
          <w:p w14:paraId="08E1CCF9"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Reduction of the CO2 emissions throughout the Cuba operations, focusing on the promotion of environmental and social responsibility. </w:t>
            </w:r>
          </w:p>
        </w:tc>
        <w:tc>
          <w:tcPr>
            <w:tcW w:w="2430" w:type="dxa"/>
            <w:tcMar>
              <w:top w:w="100" w:type="dxa"/>
              <w:left w:w="100" w:type="dxa"/>
              <w:bottom w:w="100" w:type="dxa"/>
              <w:right w:w="100" w:type="dxa"/>
            </w:tcMar>
          </w:tcPr>
          <w:p w14:paraId="59812DB8"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Reduction of the operational carbon dioxide emission up to 25% in terms of using renewable energy and recycling materials. </w:t>
            </w:r>
          </w:p>
        </w:tc>
        <w:tc>
          <w:tcPr>
            <w:tcW w:w="1800" w:type="dxa"/>
            <w:tcMar>
              <w:top w:w="100" w:type="dxa"/>
              <w:left w:w="100" w:type="dxa"/>
              <w:bottom w:w="100" w:type="dxa"/>
              <w:right w:w="100" w:type="dxa"/>
            </w:tcMar>
          </w:tcPr>
          <w:p w14:paraId="4BC3CDB3"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Establishing the hybrid assembly through the inclusion of energy efficiency technologies tailored towards the needs of the Cuban market. </w:t>
            </w:r>
          </w:p>
        </w:tc>
        <w:tc>
          <w:tcPr>
            <w:tcW w:w="1590" w:type="dxa"/>
            <w:tcMar>
              <w:top w:w="100" w:type="dxa"/>
              <w:left w:w="100" w:type="dxa"/>
              <w:bottom w:w="100" w:type="dxa"/>
              <w:right w:w="100" w:type="dxa"/>
            </w:tcMar>
          </w:tcPr>
          <w:p w14:paraId="31B72E69" w14:textId="327979D5"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Connecting with the Cuban green transition sustainable goals. Cuban Environmental Law and Policy </w:t>
            </w:r>
            <w:r w:rsidR="0042721B" w:rsidRPr="00A75D61">
              <w:rPr>
                <w:lang w:val="en-GB"/>
              </w:rPr>
              <w:t>focus</w:t>
            </w:r>
            <w:r w:rsidRPr="00A75D61">
              <w:rPr>
                <w:lang w:val="en-GB"/>
              </w:rPr>
              <w:t xml:space="preserve"> on addressing Climate Change, known as </w:t>
            </w:r>
            <w:r w:rsidRPr="00A75D61">
              <w:rPr>
                <w:lang w:val="en-GB"/>
              </w:rPr>
              <w:lastRenderedPageBreak/>
              <w:t xml:space="preserve">“Tarea Vida” (Hernández </w:t>
            </w:r>
            <w:r w:rsidRPr="00A75D61">
              <w:rPr>
                <w:i/>
                <w:lang w:val="en-GB"/>
              </w:rPr>
              <w:t>et al</w:t>
            </w:r>
            <w:r w:rsidRPr="00A75D61">
              <w:rPr>
                <w:lang w:val="en-GB"/>
              </w:rPr>
              <w:t>., 2022).</w:t>
            </w:r>
          </w:p>
        </w:tc>
        <w:tc>
          <w:tcPr>
            <w:tcW w:w="1620" w:type="dxa"/>
            <w:tcMar>
              <w:top w:w="100" w:type="dxa"/>
              <w:left w:w="100" w:type="dxa"/>
              <w:bottom w:w="100" w:type="dxa"/>
              <w:right w:w="100" w:type="dxa"/>
            </w:tcMar>
          </w:tcPr>
          <w:p w14:paraId="5B7C3893"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Toyota is aligning with the Cuba CO2 emissions linked to 2027</w:t>
            </w:r>
          </w:p>
        </w:tc>
      </w:tr>
    </w:tbl>
    <w:p w14:paraId="7A4C200C" w14:textId="51C7F04E" w:rsidR="000E7AC7" w:rsidRPr="00A75D61" w:rsidRDefault="00000000" w:rsidP="00A75D61">
      <w:pPr>
        <w:jc w:val="center"/>
        <w:rPr>
          <w:b/>
          <w:lang w:val="en-GB"/>
        </w:rPr>
      </w:pPr>
      <w:r w:rsidRPr="00A75D61">
        <w:rPr>
          <w:b/>
          <w:lang w:val="en-GB"/>
        </w:rPr>
        <w:t>Table</w:t>
      </w:r>
      <w:r w:rsidR="002D3120" w:rsidRPr="00A75D61">
        <w:rPr>
          <w:b/>
          <w:lang w:val="en-GB"/>
        </w:rPr>
        <w:t xml:space="preserve"> 4</w:t>
      </w:r>
      <w:r w:rsidRPr="00A75D61">
        <w:rPr>
          <w:b/>
          <w:lang w:val="en-GB"/>
        </w:rPr>
        <w:t>: SMART Objectives</w:t>
      </w:r>
    </w:p>
    <w:p w14:paraId="55767301" w14:textId="77777777" w:rsidR="000E7AC7" w:rsidRPr="00A75D61" w:rsidRDefault="00000000" w:rsidP="00A75D61">
      <w:pPr>
        <w:jc w:val="center"/>
        <w:rPr>
          <w:lang w:val="en-GB"/>
        </w:rPr>
      </w:pPr>
      <w:r w:rsidRPr="00A75D61">
        <w:rPr>
          <w:lang w:val="en-GB"/>
        </w:rPr>
        <w:t>(Source: Self-created)</w:t>
      </w:r>
    </w:p>
    <w:p w14:paraId="3C26D6F0" w14:textId="77777777" w:rsidR="000E7AC7" w:rsidRPr="00A75D61" w:rsidRDefault="00000000" w:rsidP="00A75D61">
      <w:pPr>
        <w:pStyle w:val="Heading2"/>
        <w:rPr>
          <w:lang w:val="en-GB"/>
        </w:rPr>
      </w:pPr>
      <w:bookmarkStart w:id="11" w:name="_Toc216705424"/>
      <w:r w:rsidRPr="00A75D61">
        <w:rPr>
          <w:lang w:val="en-GB"/>
        </w:rPr>
        <w:t>4.2 STP Approach for Target Market Categorisation_300</w:t>
      </w:r>
      <w:bookmarkEnd w:id="11"/>
    </w:p>
    <w:p w14:paraId="39108C68" w14:textId="77777777" w:rsidR="000E7AC7" w:rsidRPr="00A75D61" w:rsidRDefault="00000000" w:rsidP="00A75D61">
      <w:pPr>
        <w:rPr>
          <w:lang w:val="en-GB"/>
        </w:rPr>
      </w:pPr>
      <w:r w:rsidRPr="00A75D61">
        <w:rPr>
          <w:b/>
          <w:i/>
          <w:lang w:val="en-GB"/>
        </w:rPr>
        <w:t>Segmentation</w:t>
      </w:r>
    </w:p>
    <w:tbl>
      <w:tblPr>
        <w:tblStyle w:val="Table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7365"/>
      </w:tblGrid>
      <w:tr w:rsidR="000E7AC7" w:rsidRPr="00A75D61" w14:paraId="269387A4" w14:textId="77777777">
        <w:tc>
          <w:tcPr>
            <w:tcW w:w="1995" w:type="dxa"/>
            <w:tcMar>
              <w:top w:w="100" w:type="dxa"/>
              <w:left w:w="100" w:type="dxa"/>
              <w:bottom w:w="100" w:type="dxa"/>
              <w:right w:w="100" w:type="dxa"/>
            </w:tcMar>
          </w:tcPr>
          <w:p w14:paraId="4AE735BE"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Segments</w:t>
            </w:r>
          </w:p>
        </w:tc>
        <w:tc>
          <w:tcPr>
            <w:tcW w:w="7365" w:type="dxa"/>
            <w:tcMar>
              <w:top w:w="100" w:type="dxa"/>
              <w:left w:w="100" w:type="dxa"/>
              <w:bottom w:w="100" w:type="dxa"/>
              <w:right w:w="100" w:type="dxa"/>
            </w:tcMar>
          </w:tcPr>
          <w:p w14:paraId="23058A33" w14:textId="77777777" w:rsidR="000E7AC7" w:rsidRPr="00A75D61" w:rsidRDefault="00000000" w:rsidP="00A75D61">
            <w:pPr>
              <w:widowControl w:val="0"/>
              <w:pBdr>
                <w:top w:val="nil"/>
                <w:left w:val="nil"/>
                <w:bottom w:val="nil"/>
                <w:right w:val="nil"/>
                <w:between w:val="nil"/>
              </w:pBdr>
              <w:spacing w:before="0" w:after="0"/>
              <w:jc w:val="center"/>
              <w:rPr>
                <w:b/>
                <w:lang w:val="en-GB"/>
              </w:rPr>
            </w:pPr>
            <w:r w:rsidRPr="00A75D61">
              <w:rPr>
                <w:b/>
                <w:lang w:val="en-GB"/>
              </w:rPr>
              <w:t>Description</w:t>
            </w:r>
          </w:p>
        </w:tc>
      </w:tr>
      <w:tr w:rsidR="000E7AC7" w:rsidRPr="00A75D61" w14:paraId="41736A86" w14:textId="77777777">
        <w:tc>
          <w:tcPr>
            <w:tcW w:w="1995" w:type="dxa"/>
            <w:tcMar>
              <w:top w:w="100" w:type="dxa"/>
              <w:left w:w="100" w:type="dxa"/>
              <w:bottom w:w="100" w:type="dxa"/>
              <w:right w:w="100" w:type="dxa"/>
            </w:tcMar>
          </w:tcPr>
          <w:p w14:paraId="04C77280"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 xml:space="preserve">Demographic </w:t>
            </w:r>
          </w:p>
        </w:tc>
        <w:tc>
          <w:tcPr>
            <w:tcW w:w="7365" w:type="dxa"/>
            <w:tcMar>
              <w:top w:w="100" w:type="dxa"/>
              <w:left w:w="100" w:type="dxa"/>
              <w:bottom w:w="100" w:type="dxa"/>
              <w:right w:w="100" w:type="dxa"/>
            </w:tcMar>
          </w:tcPr>
          <w:p w14:paraId="72805CC2"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The government and institutional buyers must engage with state-owned firms and municipal authorities while purchasing the fleet of automobile vehicles. The rise of the emerging middle-class consumers in Cuba (huffpost.com, 2013). Rising disposable incomes are driving growth in this region, which is reliable for Toyota to expand in this market. Cuba is characterised by fuel economy and low maintenance costs. Exposes to the tourism sector, where the car rental agencies are and the demand for modernisation.  </w:t>
            </w:r>
          </w:p>
        </w:tc>
      </w:tr>
      <w:tr w:rsidR="000E7AC7" w:rsidRPr="00A75D61" w14:paraId="4F2D323C" w14:textId="77777777">
        <w:tc>
          <w:tcPr>
            <w:tcW w:w="1995" w:type="dxa"/>
            <w:tcMar>
              <w:top w:w="100" w:type="dxa"/>
              <w:left w:w="100" w:type="dxa"/>
              <w:bottom w:w="100" w:type="dxa"/>
              <w:right w:w="100" w:type="dxa"/>
            </w:tcMar>
          </w:tcPr>
          <w:p w14:paraId="03CA6DD3"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 xml:space="preserve">Geographic </w:t>
            </w:r>
          </w:p>
        </w:tc>
        <w:tc>
          <w:tcPr>
            <w:tcW w:w="7365" w:type="dxa"/>
            <w:tcMar>
              <w:top w:w="100" w:type="dxa"/>
              <w:left w:w="100" w:type="dxa"/>
              <w:bottom w:w="100" w:type="dxa"/>
              <w:right w:w="100" w:type="dxa"/>
            </w:tcMar>
          </w:tcPr>
          <w:p w14:paraId="07E3F4A6"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Consideration of the demand in the urban area for automobile vehicles, and determination of the infrastructure, as well as the higher income level with disposable income. The main areas, such as Havana, Santiago de Cuba, and more, are accessed with the higher-level income targets for luxury items. </w:t>
            </w:r>
          </w:p>
        </w:tc>
      </w:tr>
      <w:tr w:rsidR="000E7AC7" w:rsidRPr="00A75D61" w14:paraId="1B6C6381" w14:textId="77777777">
        <w:tc>
          <w:tcPr>
            <w:tcW w:w="1995" w:type="dxa"/>
            <w:tcMar>
              <w:top w:w="100" w:type="dxa"/>
              <w:left w:w="100" w:type="dxa"/>
              <w:bottom w:w="100" w:type="dxa"/>
              <w:right w:w="100" w:type="dxa"/>
            </w:tcMar>
          </w:tcPr>
          <w:p w14:paraId="13ED0EE7"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 xml:space="preserve">Psychographic </w:t>
            </w:r>
          </w:p>
        </w:tc>
        <w:tc>
          <w:tcPr>
            <w:tcW w:w="7365" w:type="dxa"/>
            <w:tcMar>
              <w:top w:w="100" w:type="dxa"/>
              <w:left w:w="100" w:type="dxa"/>
              <w:bottom w:w="100" w:type="dxa"/>
              <w:right w:w="100" w:type="dxa"/>
            </w:tcMar>
          </w:tcPr>
          <w:p w14:paraId="08616500"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The eco-conscious consumers are rising, whereas interest is rising in sustainable and fuel independence. Furthermore, the audiences, such as the younger group, who are enhanced by mobile operations, highly consider online reviews while purchasing any luxurious items. </w:t>
            </w:r>
          </w:p>
        </w:tc>
      </w:tr>
      <w:tr w:rsidR="000E7AC7" w:rsidRPr="00A75D61" w14:paraId="6B786F58" w14:textId="77777777">
        <w:tc>
          <w:tcPr>
            <w:tcW w:w="1995" w:type="dxa"/>
            <w:tcMar>
              <w:top w:w="100" w:type="dxa"/>
              <w:left w:w="100" w:type="dxa"/>
              <w:bottom w:w="100" w:type="dxa"/>
              <w:right w:w="100" w:type="dxa"/>
            </w:tcMar>
          </w:tcPr>
          <w:p w14:paraId="28320FAD"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lastRenderedPageBreak/>
              <w:t xml:space="preserve">Behavioural </w:t>
            </w:r>
          </w:p>
        </w:tc>
        <w:tc>
          <w:tcPr>
            <w:tcW w:w="7365" w:type="dxa"/>
            <w:tcMar>
              <w:top w:w="100" w:type="dxa"/>
              <w:left w:w="100" w:type="dxa"/>
              <w:bottom w:w="100" w:type="dxa"/>
              <w:right w:w="100" w:type="dxa"/>
            </w:tcMar>
          </w:tcPr>
          <w:p w14:paraId="23902216"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Under the estimation of the purchasing behaviour, the Cuban people are determined by the fuel efficiency approaches, functionality and also reliable towards the value-driven products rather than accessing the luxurious items. High preferences towards the brands, as determined by the durability and accessibility initiation, show credibility in the after-sales services. Cuban consumer preferences with the product quality assessment while purchasing products (Vergel-Alfonso </w:t>
            </w:r>
            <w:r w:rsidRPr="00A75D61">
              <w:rPr>
                <w:i/>
                <w:lang w:val="en-GB"/>
              </w:rPr>
              <w:t>et al</w:t>
            </w:r>
            <w:r w:rsidRPr="00A75D61">
              <w:rPr>
                <w:lang w:val="en-GB"/>
              </w:rPr>
              <w:t xml:space="preserve">., 2024). </w:t>
            </w:r>
          </w:p>
        </w:tc>
      </w:tr>
    </w:tbl>
    <w:p w14:paraId="06547C82" w14:textId="7BD888AB" w:rsidR="000E7AC7" w:rsidRPr="00A75D61" w:rsidRDefault="00000000" w:rsidP="00A75D61">
      <w:pPr>
        <w:jc w:val="center"/>
        <w:rPr>
          <w:b/>
          <w:lang w:val="en-GB"/>
        </w:rPr>
      </w:pPr>
      <w:r w:rsidRPr="00A75D61">
        <w:rPr>
          <w:b/>
          <w:lang w:val="en-GB"/>
        </w:rPr>
        <w:t>Table</w:t>
      </w:r>
      <w:r w:rsidR="002D3120" w:rsidRPr="00A75D61">
        <w:rPr>
          <w:b/>
          <w:lang w:val="en-GB"/>
        </w:rPr>
        <w:t xml:space="preserve"> 5</w:t>
      </w:r>
      <w:r w:rsidRPr="00A75D61">
        <w:rPr>
          <w:b/>
          <w:lang w:val="en-GB"/>
        </w:rPr>
        <w:t>: Segmentation Factors</w:t>
      </w:r>
    </w:p>
    <w:p w14:paraId="72392C50" w14:textId="77777777" w:rsidR="000E7AC7" w:rsidRPr="00A75D61" w:rsidRDefault="00000000" w:rsidP="00A75D61">
      <w:pPr>
        <w:jc w:val="center"/>
        <w:rPr>
          <w:lang w:val="en-GB"/>
        </w:rPr>
      </w:pPr>
      <w:r w:rsidRPr="00A75D61">
        <w:rPr>
          <w:lang w:val="en-GB"/>
        </w:rPr>
        <w:t>(Source: Self-created)</w:t>
      </w:r>
    </w:p>
    <w:p w14:paraId="1665F5E5" w14:textId="77777777" w:rsidR="000E7AC7" w:rsidRPr="00A75D61" w:rsidRDefault="00000000" w:rsidP="00A75D61">
      <w:pPr>
        <w:rPr>
          <w:b/>
          <w:i/>
          <w:lang w:val="en-GB"/>
        </w:rPr>
      </w:pPr>
      <w:r w:rsidRPr="00A75D61">
        <w:rPr>
          <w:b/>
          <w:i/>
          <w:lang w:val="en-GB"/>
        </w:rPr>
        <w:t>Targeting</w:t>
      </w:r>
    </w:p>
    <w:p w14:paraId="60971D58" w14:textId="77777777" w:rsidR="000E7AC7" w:rsidRPr="00A75D61" w:rsidRDefault="00000000" w:rsidP="00A75D61">
      <w:pPr>
        <w:rPr>
          <w:lang w:val="en-GB"/>
        </w:rPr>
      </w:pPr>
      <w:r w:rsidRPr="00A75D61">
        <w:rPr>
          <w:lang w:val="en-GB"/>
        </w:rPr>
        <w:t xml:space="preserve">The target audiences are the urban professionals, categorised as Gen Z and millennials. The growing purchasing power and increasing interest in private ownership of vehicles are analysed in terms of the modernisation and mobility needs of the Cuban people. </w:t>
      </w:r>
    </w:p>
    <w:p w14:paraId="204D99EE" w14:textId="77777777" w:rsidR="000E7AC7" w:rsidRPr="00A75D61" w:rsidRDefault="00000000" w:rsidP="00A75D61">
      <w:pPr>
        <w:rPr>
          <w:b/>
          <w:i/>
          <w:lang w:val="en-GB"/>
        </w:rPr>
      </w:pPr>
      <w:r w:rsidRPr="00A75D61">
        <w:rPr>
          <w:b/>
          <w:i/>
          <w:lang w:val="en-GB"/>
        </w:rPr>
        <w:t>Positioning Map</w:t>
      </w:r>
    </w:p>
    <w:p w14:paraId="5C16F495" w14:textId="77777777" w:rsidR="000E7AC7" w:rsidRPr="00A75D61" w:rsidRDefault="00000000" w:rsidP="00A75D61">
      <w:pPr>
        <w:rPr>
          <w:lang w:val="en-GB"/>
        </w:rPr>
      </w:pPr>
      <w:r w:rsidRPr="00A75D61">
        <w:rPr>
          <w:b/>
          <w:lang w:val="en-GB"/>
        </w:rPr>
        <w:t xml:space="preserve">Competitors: </w:t>
      </w:r>
      <w:r w:rsidRPr="00A75D61">
        <w:rPr>
          <w:lang w:val="en-GB"/>
        </w:rPr>
        <w:t>Lada, Nissan, Citroen and Geely</w:t>
      </w:r>
    </w:p>
    <w:p w14:paraId="77B1F003" w14:textId="77777777" w:rsidR="000E7AC7" w:rsidRPr="00A75D61" w:rsidRDefault="00000000" w:rsidP="00A75D61">
      <w:pPr>
        <w:jc w:val="center"/>
        <w:rPr>
          <w:lang w:val="en-GB"/>
        </w:rPr>
      </w:pPr>
      <w:r w:rsidRPr="00A75D61">
        <w:rPr>
          <w:noProof/>
          <w:lang w:val="en-GB"/>
        </w:rPr>
        <w:lastRenderedPageBreak/>
        <w:drawing>
          <wp:inline distT="114300" distB="114300" distL="114300" distR="114300" wp14:anchorId="774351C3" wp14:editId="6CA4A36B">
            <wp:extent cx="5943600" cy="547370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4"/>
                    <a:stretch>
                      <a:fillRect/>
                    </a:stretch>
                  </pic:blipFill>
                  <pic:spPr>
                    <a:xfrm>
                      <a:off x="0" y="0"/>
                      <a:ext cx="5943600" cy="5473700"/>
                    </a:xfrm>
                    <a:prstGeom prst="rect">
                      <a:avLst/>
                    </a:prstGeom>
                    <a:ln w="25400">
                      <a:solidFill>
                        <a:srgbClr val="000000"/>
                      </a:solidFill>
                      <a:prstDash val="solid"/>
                    </a:ln>
                  </pic:spPr>
                </pic:pic>
              </a:graphicData>
            </a:graphic>
          </wp:inline>
        </w:drawing>
      </w:r>
    </w:p>
    <w:p w14:paraId="005194E9" w14:textId="44F02E0A" w:rsidR="000E7AC7" w:rsidRPr="00A75D61" w:rsidRDefault="00000000" w:rsidP="00A75D61">
      <w:pPr>
        <w:jc w:val="center"/>
        <w:rPr>
          <w:b/>
          <w:lang w:val="en-GB"/>
        </w:rPr>
      </w:pPr>
      <w:r w:rsidRPr="00A75D61">
        <w:rPr>
          <w:b/>
          <w:lang w:val="en-GB"/>
        </w:rPr>
        <w:t>Figure</w:t>
      </w:r>
      <w:r w:rsidR="002D3120" w:rsidRPr="00A75D61">
        <w:rPr>
          <w:b/>
          <w:lang w:val="en-GB"/>
        </w:rPr>
        <w:t xml:space="preserve"> 6</w:t>
      </w:r>
      <w:r w:rsidRPr="00A75D61">
        <w:rPr>
          <w:b/>
          <w:lang w:val="en-GB"/>
        </w:rPr>
        <w:t>: Positioning Map</w:t>
      </w:r>
    </w:p>
    <w:p w14:paraId="54CA5ED3" w14:textId="77777777" w:rsidR="000E7AC7" w:rsidRPr="00A75D61" w:rsidRDefault="00000000" w:rsidP="00A75D61">
      <w:pPr>
        <w:jc w:val="center"/>
        <w:rPr>
          <w:lang w:val="en-GB"/>
        </w:rPr>
      </w:pPr>
      <w:r w:rsidRPr="00A75D61">
        <w:rPr>
          <w:lang w:val="en-GB"/>
        </w:rPr>
        <w:t>(Source: Self-created)</w:t>
      </w:r>
    </w:p>
    <w:p w14:paraId="72A4969F" w14:textId="77777777" w:rsidR="000E7AC7" w:rsidRPr="00A75D61" w:rsidRDefault="00000000" w:rsidP="00A75D61">
      <w:pPr>
        <w:pStyle w:val="Heading2"/>
        <w:rPr>
          <w:lang w:val="en-GB"/>
        </w:rPr>
      </w:pPr>
      <w:bookmarkStart w:id="12" w:name="_Toc216705425"/>
      <w:r w:rsidRPr="00A75D61">
        <w:rPr>
          <w:lang w:val="en-GB"/>
        </w:rPr>
        <w:t>4.3 VRIO Analysis for Market-based Competitive Advantages</w:t>
      </w:r>
      <w:bookmarkEnd w:id="12"/>
    </w:p>
    <w:tbl>
      <w:tblPr>
        <w:tblStyle w:val="Table6"/>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885"/>
        <w:gridCol w:w="930"/>
        <w:gridCol w:w="1350"/>
        <w:gridCol w:w="1695"/>
        <w:gridCol w:w="2745"/>
      </w:tblGrid>
      <w:tr w:rsidR="000E7AC7" w:rsidRPr="00A75D61" w14:paraId="49E29A61" w14:textId="77777777">
        <w:tc>
          <w:tcPr>
            <w:tcW w:w="1755" w:type="dxa"/>
            <w:tcMar>
              <w:top w:w="100" w:type="dxa"/>
              <w:left w:w="100" w:type="dxa"/>
              <w:bottom w:w="100" w:type="dxa"/>
              <w:right w:w="100" w:type="dxa"/>
            </w:tcMar>
          </w:tcPr>
          <w:p w14:paraId="2F335569"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Resources</w:t>
            </w:r>
          </w:p>
        </w:tc>
        <w:tc>
          <w:tcPr>
            <w:tcW w:w="885" w:type="dxa"/>
            <w:tcMar>
              <w:top w:w="100" w:type="dxa"/>
              <w:left w:w="100" w:type="dxa"/>
              <w:bottom w:w="100" w:type="dxa"/>
              <w:right w:w="100" w:type="dxa"/>
            </w:tcMar>
          </w:tcPr>
          <w:p w14:paraId="5F607C87"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Value (V)</w:t>
            </w:r>
          </w:p>
        </w:tc>
        <w:tc>
          <w:tcPr>
            <w:tcW w:w="930" w:type="dxa"/>
            <w:tcMar>
              <w:top w:w="100" w:type="dxa"/>
              <w:left w:w="100" w:type="dxa"/>
              <w:bottom w:w="100" w:type="dxa"/>
              <w:right w:w="100" w:type="dxa"/>
            </w:tcMar>
          </w:tcPr>
          <w:p w14:paraId="139629A7"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Rarity (R)</w:t>
            </w:r>
          </w:p>
        </w:tc>
        <w:tc>
          <w:tcPr>
            <w:tcW w:w="1350" w:type="dxa"/>
            <w:tcMar>
              <w:top w:w="100" w:type="dxa"/>
              <w:left w:w="100" w:type="dxa"/>
              <w:bottom w:w="100" w:type="dxa"/>
              <w:right w:w="100" w:type="dxa"/>
            </w:tcMar>
          </w:tcPr>
          <w:p w14:paraId="02C8A0A5"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Imitability (I)</w:t>
            </w:r>
          </w:p>
        </w:tc>
        <w:tc>
          <w:tcPr>
            <w:tcW w:w="1695" w:type="dxa"/>
            <w:tcMar>
              <w:top w:w="100" w:type="dxa"/>
              <w:left w:w="100" w:type="dxa"/>
              <w:bottom w:w="100" w:type="dxa"/>
              <w:right w:w="100" w:type="dxa"/>
            </w:tcMar>
          </w:tcPr>
          <w:p w14:paraId="65C79D86"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Organisation (O)</w:t>
            </w:r>
          </w:p>
        </w:tc>
        <w:tc>
          <w:tcPr>
            <w:tcW w:w="2745" w:type="dxa"/>
            <w:tcMar>
              <w:top w:w="100" w:type="dxa"/>
              <w:left w:w="100" w:type="dxa"/>
              <w:bottom w:w="100" w:type="dxa"/>
              <w:right w:w="100" w:type="dxa"/>
            </w:tcMar>
          </w:tcPr>
          <w:p w14:paraId="35F317BE" w14:textId="77777777" w:rsidR="000E7AC7" w:rsidRPr="00A75D61" w:rsidRDefault="00000000" w:rsidP="00A75D61">
            <w:pPr>
              <w:widowControl w:val="0"/>
              <w:pBdr>
                <w:top w:val="nil"/>
                <w:left w:val="nil"/>
                <w:bottom w:val="nil"/>
                <w:right w:val="nil"/>
                <w:between w:val="nil"/>
              </w:pBdr>
              <w:spacing w:before="0" w:after="0"/>
              <w:jc w:val="left"/>
              <w:rPr>
                <w:b/>
                <w:lang w:val="en-GB"/>
              </w:rPr>
            </w:pPr>
            <w:r w:rsidRPr="00A75D61">
              <w:rPr>
                <w:b/>
                <w:lang w:val="en-GB"/>
              </w:rPr>
              <w:t>Competitive strategic impact in Cuba</w:t>
            </w:r>
          </w:p>
        </w:tc>
      </w:tr>
      <w:tr w:rsidR="000E7AC7" w:rsidRPr="00A75D61" w14:paraId="74C4039A" w14:textId="77777777">
        <w:tc>
          <w:tcPr>
            <w:tcW w:w="1755" w:type="dxa"/>
            <w:tcMar>
              <w:top w:w="100" w:type="dxa"/>
              <w:left w:w="100" w:type="dxa"/>
              <w:bottom w:w="100" w:type="dxa"/>
              <w:right w:w="100" w:type="dxa"/>
            </w:tcMar>
          </w:tcPr>
          <w:p w14:paraId="15496A96"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Hybrid and EV </w:t>
            </w:r>
            <w:r w:rsidRPr="00A75D61">
              <w:rPr>
                <w:lang w:val="en-GB"/>
              </w:rPr>
              <w:lastRenderedPageBreak/>
              <w:t>technology</w:t>
            </w:r>
          </w:p>
        </w:tc>
        <w:tc>
          <w:tcPr>
            <w:tcW w:w="885" w:type="dxa"/>
            <w:tcMar>
              <w:top w:w="100" w:type="dxa"/>
              <w:left w:w="100" w:type="dxa"/>
              <w:bottom w:w="100" w:type="dxa"/>
              <w:right w:w="100" w:type="dxa"/>
            </w:tcMar>
          </w:tcPr>
          <w:p w14:paraId="3C8AACD2"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Yes</w:t>
            </w:r>
          </w:p>
        </w:tc>
        <w:tc>
          <w:tcPr>
            <w:tcW w:w="930" w:type="dxa"/>
            <w:tcMar>
              <w:top w:w="100" w:type="dxa"/>
              <w:left w:w="100" w:type="dxa"/>
              <w:bottom w:w="100" w:type="dxa"/>
              <w:right w:w="100" w:type="dxa"/>
            </w:tcMar>
          </w:tcPr>
          <w:p w14:paraId="2F14D433"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1350" w:type="dxa"/>
            <w:tcMar>
              <w:top w:w="100" w:type="dxa"/>
              <w:left w:w="100" w:type="dxa"/>
              <w:bottom w:w="100" w:type="dxa"/>
              <w:right w:w="100" w:type="dxa"/>
            </w:tcMar>
          </w:tcPr>
          <w:p w14:paraId="4D1D6F2F"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No</w:t>
            </w:r>
          </w:p>
        </w:tc>
        <w:tc>
          <w:tcPr>
            <w:tcW w:w="1695" w:type="dxa"/>
            <w:tcMar>
              <w:top w:w="100" w:type="dxa"/>
              <w:left w:w="100" w:type="dxa"/>
              <w:bottom w:w="100" w:type="dxa"/>
              <w:right w:w="100" w:type="dxa"/>
            </w:tcMar>
          </w:tcPr>
          <w:p w14:paraId="7D3F42ED"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2745" w:type="dxa"/>
            <w:tcMar>
              <w:top w:w="100" w:type="dxa"/>
              <w:left w:w="100" w:type="dxa"/>
              <w:bottom w:w="100" w:type="dxa"/>
              <w:right w:w="100" w:type="dxa"/>
            </w:tcMar>
          </w:tcPr>
          <w:p w14:paraId="7EF76AAA"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Directing Toyota to </w:t>
            </w:r>
            <w:r w:rsidRPr="00A75D61">
              <w:rPr>
                <w:lang w:val="en-GB"/>
              </w:rPr>
              <w:lastRenderedPageBreak/>
              <w:t xml:space="preserve">make its first move by enriching its portfolio with the hybrid and EV models, which helps to meet the sustainable law in Cuba. </w:t>
            </w:r>
          </w:p>
        </w:tc>
      </w:tr>
      <w:tr w:rsidR="000E7AC7" w:rsidRPr="00A75D61" w14:paraId="75846B9E" w14:textId="77777777">
        <w:tc>
          <w:tcPr>
            <w:tcW w:w="1755" w:type="dxa"/>
            <w:tcMar>
              <w:top w:w="100" w:type="dxa"/>
              <w:left w:w="100" w:type="dxa"/>
              <w:bottom w:w="100" w:type="dxa"/>
              <w:right w:w="100" w:type="dxa"/>
            </w:tcMar>
          </w:tcPr>
          <w:p w14:paraId="1ECB10ED"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Toyota Production Approaches and Systems </w:t>
            </w:r>
          </w:p>
        </w:tc>
        <w:tc>
          <w:tcPr>
            <w:tcW w:w="885" w:type="dxa"/>
            <w:tcMar>
              <w:top w:w="100" w:type="dxa"/>
              <w:left w:w="100" w:type="dxa"/>
              <w:bottom w:w="100" w:type="dxa"/>
              <w:right w:w="100" w:type="dxa"/>
            </w:tcMar>
          </w:tcPr>
          <w:p w14:paraId="6F550FD0"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930" w:type="dxa"/>
            <w:tcMar>
              <w:top w:w="100" w:type="dxa"/>
              <w:left w:w="100" w:type="dxa"/>
              <w:bottom w:w="100" w:type="dxa"/>
              <w:right w:w="100" w:type="dxa"/>
            </w:tcMar>
          </w:tcPr>
          <w:p w14:paraId="2D4C95DA"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1350" w:type="dxa"/>
            <w:tcMar>
              <w:top w:w="100" w:type="dxa"/>
              <w:left w:w="100" w:type="dxa"/>
              <w:bottom w:w="100" w:type="dxa"/>
              <w:right w:w="100" w:type="dxa"/>
            </w:tcMar>
          </w:tcPr>
          <w:p w14:paraId="6E1D8643"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Yes </w:t>
            </w:r>
          </w:p>
        </w:tc>
        <w:tc>
          <w:tcPr>
            <w:tcW w:w="1695" w:type="dxa"/>
            <w:tcMar>
              <w:top w:w="100" w:type="dxa"/>
              <w:left w:w="100" w:type="dxa"/>
              <w:bottom w:w="100" w:type="dxa"/>
              <w:right w:w="100" w:type="dxa"/>
            </w:tcMar>
          </w:tcPr>
          <w:p w14:paraId="7DB4AFC6"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2745" w:type="dxa"/>
            <w:tcMar>
              <w:top w:w="100" w:type="dxa"/>
              <w:left w:w="100" w:type="dxa"/>
              <w:bottom w:w="100" w:type="dxa"/>
              <w:right w:w="100" w:type="dxa"/>
            </w:tcMar>
          </w:tcPr>
          <w:p w14:paraId="17C82D74"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Efficient and advanced production operation with the assembled partnership of the local suppliers in Cuba</w:t>
            </w:r>
          </w:p>
        </w:tc>
      </w:tr>
      <w:tr w:rsidR="000E7AC7" w:rsidRPr="00A75D61" w14:paraId="55EA5AA0" w14:textId="77777777">
        <w:tc>
          <w:tcPr>
            <w:tcW w:w="1755" w:type="dxa"/>
            <w:tcMar>
              <w:top w:w="100" w:type="dxa"/>
              <w:left w:w="100" w:type="dxa"/>
              <w:bottom w:w="100" w:type="dxa"/>
              <w:right w:w="100" w:type="dxa"/>
            </w:tcMar>
          </w:tcPr>
          <w:p w14:paraId="74217A3E"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Strategic Partnership and Joint Venture</w:t>
            </w:r>
          </w:p>
        </w:tc>
        <w:tc>
          <w:tcPr>
            <w:tcW w:w="885" w:type="dxa"/>
            <w:tcMar>
              <w:top w:w="100" w:type="dxa"/>
              <w:left w:w="100" w:type="dxa"/>
              <w:bottom w:w="100" w:type="dxa"/>
              <w:right w:w="100" w:type="dxa"/>
            </w:tcMar>
          </w:tcPr>
          <w:p w14:paraId="435B8174"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930" w:type="dxa"/>
            <w:tcMar>
              <w:top w:w="100" w:type="dxa"/>
              <w:left w:w="100" w:type="dxa"/>
              <w:bottom w:w="100" w:type="dxa"/>
              <w:right w:w="100" w:type="dxa"/>
            </w:tcMar>
          </w:tcPr>
          <w:p w14:paraId="28820C65"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No </w:t>
            </w:r>
          </w:p>
        </w:tc>
        <w:tc>
          <w:tcPr>
            <w:tcW w:w="1350" w:type="dxa"/>
            <w:tcMar>
              <w:top w:w="100" w:type="dxa"/>
              <w:left w:w="100" w:type="dxa"/>
              <w:bottom w:w="100" w:type="dxa"/>
              <w:right w:w="100" w:type="dxa"/>
            </w:tcMar>
          </w:tcPr>
          <w:p w14:paraId="20223C96"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No</w:t>
            </w:r>
          </w:p>
        </w:tc>
        <w:tc>
          <w:tcPr>
            <w:tcW w:w="1695" w:type="dxa"/>
            <w:tcMar>
              <w:top w:w="100" w:type="dxa"/>
              <w:left w:w="100" w:type="dxa"/>
              <w:bottom w:w="100" w:type="dxa"/>
              <w:right w:w="100" w:type="dxa"/>
            </w:tcMar>
          </w:tcPr>
          <w:p w14:paraId="5C7AFB51"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2745" w:type="dxa"/>
            <w:tcMar>
              <w:top w:w="100" w:type="dxa"/>
              <w:left w:w="100" w:type="dxa"/>
              <w:bottom w:w="100" w:type="dxa"/>
              <w:right w:w="100" w:type="dxa"/>
            </w:tcMar>
          </w:tcPr>
          <w:p w14:paraId="75082E6F"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Connecting with the facilities alignment with the regulatory framework in Cuba. </w:t>
            </w:r>
          </w:p>
        </w:tc>
      </w:tr>
      <w:tr w:rsidR="000E7AC7" w:rsidRPr="00A75D61" w14:paraId="4AC6C37B" w14:textId="77777777">
        <w:tc>
          <w:tcPr>
            <w:tcW w:w="1755" w:type="dxa"/>
            <w:tcMar>
              <w:top w:w="100" w:type="dxa"/>
              <w:left w:w="100" w:type="dxa"/>
              <w:bottom w:w="100" w:type="dxa"/>
              <w:right w:w="100" w:type="dxa"/>
            </w:tcMar>
          </w:tcPr>
          <w:p w14:paraId="1AA3812C"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Environmental sustainability</w:t>
            </w:r>
          </w:p>
        </w:tc>
        <w:tc>
          <w:tcPr>
            <w:tcW w:w="885" w:type="dxa"/>
            <w:tcMar>
              <w:top w:w="100" w:type="dxa"/>
              <w:left w:w="100" w:type="dxa"/>
              <w:bottom w:w="100" w:type="dxa"/>
              <w:right w:w="100" w:type="dxa"/>
            </w:tcMar>
          </w:tcPr>
          <w:p w14:paraId="0D9F2EAF"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930" w:type="dxa"/>
            <w:tcMar>
              <w:top w:w="100" w:type="dxa"/>
              <w:left w:w="100" w:type="dxa"/>
              <w:bottom w:w="100" w:type="dxa"/>
              <w:right w:w="100" w:type="dxa"/>
            </w:tcMar>
          </w:tcPr>
          <w:p w14:paraId="2ECE9DCE"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1350" w:type="dxa"/>
            <w:tcMar>
              <w:top w:w="100" w:type="dxa"/>
              <w:left w:w="100" w:type="dxa"/>
              <w:bottom w:w="100" w:type="dxa"/>
              <w:right w:w="100" w:type="dxa"/>
            </w:tcMar>
          </w:tcPr>
          <w:p w14:paraId="4788C472"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1695" w:type="dxa"/>
            <w:tcMar>
              <w:top w:w="100" w:type="dxa"/>
              <w:left w:w="100" w:type="dxa"/>
              <w:bottom w:w="100" w:type="dxa"/>
              <w:right w:w="100" w:type="dxa"/>
            </w:tcMar>
          </w:tcPr>
          <w:p w14:paraId="64E536BC"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Yes</w:t>
            </w:r>
          </w:p>
        </w:tc>
        <w:tc>
          <w:tcPr>
            <w:tcW w:w="2745" w:type="dxa"/>
            <w:tcMar>
              <w:top w:w="100" w:type="dxa"/>
              <w:left w:w="100" w:type="dxa"/>
              <w:bottom w:w="100" w:type="dxa"/>
              <w:right w:w="100" w:type="dxa"/>
            </w:tcMar>
          </w:tcPr>
          <w:p w14:paraId="4871A4A9"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Development of social trust and loyalty, which is connected with the enhancement of CO2 emission regulation. Focusing on better connections with the government regarding following the sustainable approaches and agenda. </w:t>
            </w:r>
          </w:p>
        </w:tc>
      </w:tr>
    </w:tbl>
    <w:p w14:paraId="46462897" w14:textId="52D3A09F" w:rsidR="000E7AC7" w:rsidRPr="00A75D61" w:rsidRDefault="00000000" w:rsidP="00A75D61">
      <w:pPr>
        <w:jc w:val="center"/>
        <w:rPr>
          <w:b/>
          <w:lang w:val="en-GB"/>
        </w:rPr>
      </w:pPr>
      <w:r w:rsidRPr="00A75D61">
        <w:rPr>
          <w:b/>
          <w:lang w:val="en-GB"/>
        </w:rPr>
        <w:t>Table</w:t>
      </w:r>
      <w:r w:rsidR="002D3120" w:rsidRPr="00A75D61">
        <w:rPr>
          <w:b/>
          <w:lang w:val="en-GB"/>
        </w:rPr>
        <w:t xml:space="preserve"> 6</w:t>
      </w:r>
      <w:r w:rsidRPr="00A75D61">
        <w:rPr>
          <w:b/>
          <w:lang w:val="en-GB"/>
        </w:rPr>
        <w:t>: VRIO Framework</w:t>
      </w:r>
    </w:p>
    <w:p w14:paraId="0C8FF9B5" w14:textId="77777777" w:rsidR="000E7AC7" w:rsidRPr="00A75D61" w:rsidRDefault="00000000" w:rsidP="00A75D61">
      <w:pPr>
        <w:jc w:val="center"/>
        <w:rPr>
          <w:lang w:val="en-GB"/>
        </w:rPr>
      </w:pPr>
      <w:r w:rsidRPr="00A75D61">
        <w:rPr>
          <w:lang w:val="en-GB"/>
        </w:rPr>
        <w:t>(Source: Self-created)</w:t>
      </w:r>
    </w:p>
    <w:p w14:paraId="0A6B47DC" w14:textId="77777777" w:rsidR="000E7AC7" w:rsidRPr="00A75D61" w:rsidRDefault="00000000" w:rsidP="00A75D61">
      <w:pPr>
        <w:rPr>
          <w:lang w:val="en-GB"/>
        </w:rPr>
      </w:pPr>
      <w:r w:rsidRPr="00A75D61">
        <w:rPr>
          <w:b/>
          <w:lang w:val="en-GB"/>
        </w:rPr>
        <w:lastRenderedPageBreak/>
        <w:t>Value (V):</w:t>
      </w:r>
      <w:r w:rsidRPr="00A75D61">
        <w:rPr>
          <w:lang w:val="en-GB"/>
        </w:rPr>
        <w:t xml:space="preserve"> Focusing on environmental benefits and developing the infrastructure in Cuba leads Toyota to access proper R&amp;D initiation and production structure, which leads to enhanced sustainable competitiveness. Moreover, driving the integration of cost efficiency, reduction of the waste and controlling the quality by Toyota emphasises achieving a highly competitive evaluation. </w:t>
      </w:r>
    </w:p>
    <w:p w14:paraId="50B071C0" w14:textId="77777777" w:rsidR="000E7AC7" w:rsidRPr="00A75D61" w:rsidRDefault="00000000" w:rsidP="00A75D61">
      <w:pPr>
        <w:rPr>
          <w:lang w:val="en-GB"/>
        </w:rPr>
      </w:pPr>
      <w:r w:rsidRPr="00A75D61">
        <w:rPr>
          <w:b/>
          <w:lang w:val="en-GB"/>
        </w:rPr>
        <w:t>Rarity (R):</w:t>
      </w:r>
      <w:r w:rsidRPr="00A75D61">
        <w:rPr>
          <w:lang w:val="en-GB"/>
        </w:rPr>
        <w:t xml:space="preserve"> Availability of low competitors in the market for the enhancement of the hybrid or EV vehicles, which allows Toyota to evaluate the effectiveness of expanding into the Cuban market. Furthermore, different automobile firms are available in Cuba, although with issues. For instance, Cuba's 2014 Foreign Investment Act directs that foreign investors can develop a new or separate legal entity linking with the Cuban partners (investmentpolicy.unctad.org, 2020). </w:t>
      </w:r>
    </w:p>
    <w:p w14:paraId="1C08C0BF" w14:textId="77777777" w:rsidR="000E7AC7" w:rsidRPr="00A75D61" w:rsidRDefault="00000000" w:rsidP="00A75D61">
      <w:pPr>
        <w:rPr>
          <w:lang w:val="en-GB"/>
        </w:rPr>
      </w:pPr>
      <w:r w:rsidRPr="00A75D61">
        <w:rPr>
          <w:b/>
          <w:lang w:val="en-GB"/>
        </w:rPr>
        <w:t>Imitability (I):</w:t>
      </w:r>
      <w:r w:rsidRPr="00A75D61">
        <w:rPr>
          <w:lang w:val="en-GB"/>
        </w:rPr>
        <w:t xml:space="preserve"> Cuba has low access to technologies, which might affect the technological expansion for Toyota, which requires a huge investment and experience in terms of expansion in the market. However, low local experiences in the automobile market affect the company's expansion initiation. However, under the organisational integration, which has low imitable complexities, the sustainable practices by the company are implemented while entering the market. </w:t>
      </w:r>
    </w:p>
    <w:p w14:paraId="16D72BBE" w14:textId="3603EB40" w:rsidR="000E7AC7" w:rsidRPr="00A75D61" w:rsidRDefault="00000000" w:rsidP="00A75D61">
      <w:pPr>
        <w:rPr>
          <w:lang w:val="en-GB"/>
        </w:rPr>
      </w:pPr>
      <w:r w:rsidRPr="00A75D61">
        <w:rPr>
          <w:b/>
          <w:lang w:val="en-GB"/>
        </w:rPr>
        <w:t>Organisation (O):</w:t>
      </w:r>
      <w:r w:rsidRPr="00A75D61">
        <w:rPr>
          <w:lang w:val="en-GB"/>
        </w:rPr>
        <w:t xml:space="preserve"> Toyota focuses highly </w:t>
      </w:r>
      <w:r w:rsidR="0042721B" w:rsidRPr="00A75D61">
        <w:rPr>
          <w:lang w:val="en-GB"/>
        </w:rPr>
        <w:t>on</w:t>
      </w:r>
      <w:r w:rsidRPr="00A75D61">
        <w:rPr>
          <w:lang w:val="en-GB"/>
        </w:rPr>
        <w:t xml:space="preserve"> the R&amp;D initiation and continuous improvement of the production structure in the company (Toyota, 2025). Moreover. Toyota's global vision and policies are highly connected to the sustainable approaches, as outlined in "Toyota Philosophy" (Toyota, 2024). </w:t>
      </w:r>
    </w:p>
    <w:p w14:paraId="57B5CF05" w14:textId="77777777" w:rsidR="000E7AC7" w:rsidRPr="00A75D61" w:rsidRDefault="00000000" w:rsidP="00A75D61">
      <w:pPr>
        <w:pStyle w:val="Heading2"/>
        <w:rPr>
          <w:lang w:val="en-GB"/>
        </w:rPr>
      </w:pPr>
      <w:bookmarkStart w:id="13" w:name="_Toc216705426"/>
      <w:r w:rsidRPr="00A75D61">
        <w:rPr>
          <w:lang w:val="en-GB"/>
        </w:rPr>
        <w:t>4.4 Ansoff Matrix for the Identification of Market Entry Approach</w:t>
      </w:r>
      <w:bookmarkEnd w:id="13"/>
    </w:p>
    <w:p w14:paraId="74D3D917" w14:textId="77777777" w:rsidR="000E7AC7" w:rsidRPr="00A75D61" w:rsidRDefault="00000000" w:rsidP="00A75D61">
      <w:pPr>
        <w:rPr>
          <w:lang w:val="en-GB"/>
        </w:rPr>
      </w:pPr>
      <w:r w:rsidRPr="00A75D61">
        <w:rPr>
          <w:lang w:val="en-GB"/>
        </w:rPr>
        <w:t>The Ansoff Matrix is a kind of time-tested strategic tool which examines identification of pathways regarding business expansion under the evaluation of market penetration, development, diversification and product innovation (Qomaro</w:t>
      </w:r>
      <w:r w:rsidRPr="00A75D61">
        <w:rPr>
          <w:i/>
          <w:lang w:val="en-GB"/>
        </w:rPr>
        <w:t xml:space="preserve"> et al</w:t>
      </w:r>
      <w:r w:rsidRPr="00A75D61">
        <w:rPr>
          <w:lang w:val="en-GB"/>
        </w:rPr>
        <w:t>., 2024). The implications of the strategic development for Toyota's expansion in the target Cuba market.</w:t>
      </w:r>
    </w:p>
    <w:p w14:paraId="7E3C453B" w14:textId="77777777" w:rsidR="000E7AC7" w:rsidRPr="00A75D61" w:rsidRDefault="00000000" w:rsidP="00A75D61">
      <w:pPr>
        <w:rPr>
          <w:lang w:val="en-GB"/>
        </w:rPr>
      </w:pPr>
      <w:r w:rsidRPr="00A75D61">
        <w:rPr>
          <w:b/>
          <w:i/>
          <w:lang w:val="en-GB"/>
        </w:rPr>
        <w:lastRenderedPageBreak/>
        <w:t>Market Penetration</w:t>
      </w:r>
      <w:r w:rsidRPr="00A75D61">
        <w:rPr>
          <w:lang w:val="en-GB"/>
        </w:rPr>
        <w:t>: Toyota needs to increase its market share while entering Cuba by building brand loyalty and establishing market presence. This approach is accessed with the competitiveness, due to its presence of rivalries such as Nissan, and Citroen has its strategic evaluation in the Cuban market. Collaboration with the local suppliers and presentation of the after-sales services by Toyota can help evaluate effective outcomes in the new market region. Toyota Motor Corp's focus on after-sales and services helps to validate an increase in sales by almost 150 million cars (Bloomberg, 2025).</w:t>
      </w:r>
    </w:p>
    <w:p w14:paraId="6938EEA1" w14:textId="77777777" w:rsidR="000E7AC7" w:rsidRPr="00A75D61" w:rsidRDefault="00000000" w:rsidP="00A75D61">
      <w:pPr>
        <w:rPr>
          <w:lang w:val="en-GB"/>
        </w:rPr>
      </w:pPr>
      <w:r w:rsidRPr="00A75D61">
        <w:rPr>
          <w:b/>
          <w:i/>
          <w:lang w:val="en-GB"/>
        </w:rPr>
        <w:t xml:space="preserve">Market Development: </w:t>
      </w:r>
      <w:r w:rsidRPr="00A75D61">
        <w:rPr>
          <w:lang w:val="en-GB"/>
        </w:rPr>
        <w:t xml:space="preserve">This segment helps to involve the existing products in the new geographical marketplace. Determination of the primary strategy, such as the potential usage of hybrid and EV, which are fuel-efficient models by Toyota. For instance. Toyota Corolla Hybrid boasts access with fuel economy, which has low fuel economy, accessing 3.4l/100km (Toyota CY. 2024). This model leads to access to the emerging Cuban automotive market through the application of proper partnership emphasis to attract more target audiences due to its advanced technological support. </w:t>
      </w:r>
    </w:p>
    <w:p w14:paraId="48277C9E" w14:textId="77777777" w:rsidR="000E7AC7" w:rsidRPr="00A75D61" w:rsidRDefault="00000000" w:rsidP="00A75D61">
      <w:pPr>
        <w:rPr>
          <w:lang w:val="en-GB"/>
        </w:rPr>
      </w:pPr>
      <w:r w:rsidRPr="00A75D61">
        <w:rPr>
          <w:b/>
          <w:i/>
          <w:lang w:val="en-GB"/>
        </w:rPr>
        <w:t xml:space="preserve">Product Development: </w:t>
      </w:r>
      <w:r w:rsidRPr="00A75D61">
        <w:rPr>
          <w:lang w:val="en-GB"/>
        </w:rPr>
        <w:t xml:space="preserve">Enhancing with the new as well as the modified versions of vehicles is reliable for target market entry. Cuba focuses on economic and infrastructural conditions and shows concern towards the affordable model vehicles. Toyota launches EV Corolla Hybrid Model, which has a starting range of 28,890 USD (Toyota, 2023). Furthermore, the enhancement with the local adaptation and the price-sensitive vehicles is highly preferable for the Cuban adaptation and enforcing effective competitive advantages. </w:t>
      </w:r>
    </w:p>
    <w:p w14:paraId="2DE482FB" w14:textId="77777777" w:rsidR="000E7AC7" w:rsidRPr="00A75D61" w:rsidRDefault="00000000" w:rsidP="00A75D61">
      <w:pPr>
        <w:rPr>
          <w:lang w:val="en-GB"/>
        </w:rPr>
      </w:pPr>
      <w:r w:rsidRPr="00A75D61">
        <w:rPr>
          <w:b/>
          <w:i/>
          <w:lang w:val="en-GB"/>
        </w:rPr>
        <w:t>Diversification</w:t>
      </w:r>
      <w:r w:rsidRPr="00A75D61">
        <w:rPr>
          <w:lang w:val="en-GB"/>
        </w:rPr>
        <w:t xml:space="preserve">: The inclusion of entering into the new markets, reliable to access new products as well as entering into the new markets. Toyota needs to focus on the expansion of the product line from the car models to the electric buses, and mobility services are more by collaboration with the Cuban mobility authorities. These facilities are efficient as they lead to access to sustainable public transportation due to the Toyota EV manufacturing of vehicles. This helps to emphasise strong CSR initiatives and is determined to reduce CO2 emissions. </w:t>
      </w:r>
    </w:p>
    <w:p w14:paraId="328198E6" w14:textId="77777777" w:rsidR="000E7AC7" w:rsidRPr="00A75D61" w:rsidRDefault="00000000" w:rsidP="00A75D61">
      <w:pPr>
        <w:pStyle w:val="Heading2"/>
        <w:rPr>
          <w:lang w:val="en-GB"/>
        </w:rPr>
      </w:pPr>
      <w:bookmarkStart w:id="14" w:name="_Toc216705427"/>
      <w:r w:rsidRPr="00A75D61">
        <w:rPr>
          <w:lang w:val="en-GB"/>
        </w:rPr>
        <w:lastRenderedPageBreak/>
        <w:t>4.5 Uppsala for the evaluation of the mode of market entry</w:t>
      </w:r>
      <w:bookmarkEnd w:id="14"/>
    </w:p>
    <w:p w14:paraId="30D36E7F" w14:textId="77777777" w:rsidR="000E7AC7" w:rsidRPr="00A75D61" w:rsidRDefault="00000000" w:rsidP="00A75D61">
      <w:pPr>
        <w:rPr>
          <w:b/>
          <w:i/>
          <w:lang w:val="en-GB"/>
        </w:rPr>
      </w:pPr>
      <w:r w:rsidRPr="00A75D61">
        <w:rPr>
          <w:b/>
          <w:i/>
          <w:lang w:val="en-GB"/>
        </w:rPr>
        <w:t>Stage 1: Limitation to the export and testing phase</w:t>
      </w:r>
    </w:p>
    <w:p w14:paraId="3A42C7CB" w14:textId="77777777" w:rsidR="000E7AC7" w:rsidRPr="00A75D61" w:rsidRDefault="00000000" w:rsidP="00A75D61">
      <w:pPr>
        <w:rPr>
          <w:lang w:val="en-GB"/>
        </w:rPr>
      </w:pPr>
      <w:r w:rsidRPr="00A75D61">
        <w:rPr>
          <w:lang w:val="en-GB"/>
        </w:rPr>
        <w:t xml:space="preserve">Toyota engaged with the hybrid and EV expansion, which is determined by low-emission initiatives (Kawai, 2022). In order to fulfil the needs of the Cuban people, the company is essential to demonstrate with the Cuban government channel authorisation in order to operate within Cuba. As per the findings of Coyne </w:t>
      </w:r>
      <w:r w:rsidRPr="00A75D61">
        <w:rPr>
          <w:i/>
          <w:lang w:val="en-GB"/>
        </w:rPr>
        <w:t>et al</w:t>
      </w:r>
      <w:r w:rsidRPr="00A75D61">
        <w:rPr>
          <w:lang w:val="en-GB"/>
        </w:rPr>
        <w:t xml:space="preserve">. (2022), the US government focuses on maintaining an embargo against Cuba, which integrates a tight control over foreign trading initiatives. The market entry for Toyota requires controlled exports and state-approved authorisation for the business expansion in Cuba. </w:t>
      </w:r>
    </w:p>
    <w:p w14:paraId="2EF77F6E" w14:textId="77777777" w:rsidR="000E7AC7" w:rsidRPr="00A75D61" w:rsidRDefault="00000000" w:rsidP="00A75D61">
      <w:pPr>
        <w:rPr>
          <w:b/>
          <w:i/>
          <w:lang w:val="en-GB"/>
        </w:rPr>
      </w:pPr>
      <w:r w:rsidRPr="00A75D61">
        <w:rPr>
          <w:b/>
          <w:i/>
          <w:lang w:val="en-GB"/>
        </w:rPr>
        <w:t>Stage 2: Collaboration with the local distributors</w:t>
      </w:r>
    </w:p>
    <w:p w14:paraId="67E059C7" w14:textId="77777777" w:rsidR="000E7AC7" w:rsidRPr="00A75D61" w:rsidRDefault="00000000" w:rsidP="00A75D61">
      <w:pPr>
        <w:rPr>
          <w:lang w:val="en-GB"/>
        </w:rPr>
      </w:pPr>
      <w:r w:rsidRPr="00A75D61">
        <w:rPr>
          <w:lang w:val="en-GB"/>
        </w:rPr>
        <w:t xml:space="preserve">Toyota is a commercial formulation which focuses on commercial partnership action for market entry to different regions. Hence, to enter the Cuban market, the company requires a commercial partnership with a licensed distributor of Cuba who is recognised under the state-owned firm or enterprise, useful to handle the sales evaluation, better services and support. As per the government initiative, Cuba's partnership laws are accessed with two different kinds of joint ventures for foreign investors, which include joint ventures and contractual economic international associations. As per Article 26.1 of Chapter X, the Law of 118 under the Foreign Investment demonstrates the forms of investment which are entitled to export as well as import directly linked to the needs of the operation according to the provision (Havana, 2016). </w:t>
      </w:r>
    </w:p>
    <w:p w14:paraId="24E117B0" w14:textId="77777777" w:rsidR="000E7AC7" w:rsidRPr="00A75D61" w:rsidRDefault="00000000" w:rsidP="00A75D61">
      <w:pPr>
        <w:rPr>
          <w:b/>
          <w:i/>
          <w:lang w:val="en-GB"/>
        </w:rPr>
      </w:pPr>
      <w:r w:rsidRPr="00A75D61">
        <w:rPr>
          <w:b/>
          <w:i/>
          <w:lang w:val="en-GB"/>
        </w:rPr>
        <w:t>Stage 3: Joint Venture with the owned Enterprise</w:t>
      </w:r>
    </w:p>
    <w:p w14:paraId="6A568018" w14:textId="77777777" w:rsidR="000E7AC7" w:rsidRPr="00A75D61" w:rsidRDefault="00000000" w:rsidP="00A75D61">
      <w:pPr>
        <w:rPr>
          <w:lang w:val="en-GB"/>
        </w:rPr>
      </w:pPr>
      <w:r w:rsidRPr="00A75D61">
        <w:rPr>
          <w:lang w:val="en-GB"/>
        </w:rPr>
        <w:t xml:space="preserve">Cuba market empathises with the Joint venture (JV) model, which forces Toyota to enter the market under the JV model, which is in accordance with the Cuba FDI guidelines and foreign investment partnership. Under the evaluation of Law no. 118 of 2014, it has been determined that subsidiary or joint ventures associated with the state-owned enterprise are effective for foreign companies to enter Cuba and can operate without any disruption in the market (Šmelc and Vlčková, 2022). </w:t>
      </w:r>
    </w:p>
    <w:p w14:paraId="137D0BA9" w14:textId="77777777" w:rsidR="000E7AC7" w:rsidRPr="00A75D61" w:rsidRDefault="00000000" w:rsidP="00A75D61">
      <w:pPr>
        <w:rPr>
          <w:b/>
          <w:i/>
          <w:lang w:val="en-GB"/>
        </w:rPr>
      </w:pPr>
      <w:r w:rsidRPr="00A75D61">
        <w:rPr>
          <w:b/>
          <w:i/>
          <w:lang w:val="en-GB"/>
        </w:rPr>
        <w:t>Stage 4: Localised Production and R&amp;D determination</w:t>
      </w:r>
    </w:p>
    <w:p w14:paraId="3F351E4C" w14:textId="77777777" w:rsidR="000E7AC7" w:rsidRPr="00A75D61" w:rsidRDefault="00000000" w:rsidP="00A75D61">
      <w:pPr>
        <w:rPr>
          <w:lang w:val="en-GB"/>
        </w:rPr>
      </w:pPr>
      <w:r w:rsidRPr="00A75D61">
        <w:rPr>
          <w:lang w:val="en-GB"/>
        </w:rPr>
        <w:lastRenderedPageBreak/>
        <w:t xml:space="preserve">Toyota can establish the operational and production segment in Cuba, which includes local manufacturing and component sourcing. This is also efficient for the application of the R&amp;D in the local area, which can focus on the climatic conditions and the demand of the local consumers. For instance, Toyota Motor Manufacturing UK (TMUK) production has provided effective success for more than 20 years (Toyota Media Site, 2016). </w:t>
      </w:r>
    </w:p>
    <w:p w14:paraId="73D82385" w14:textId="77777777" w:rsidR="000E7AC7" w:rsidRPr="00A75D61" w:rsidRDefault="00000000" w:rsidP="00A75D61">
      <w:pPr>
        <w:jc w:val="center"/>
        <w:rPr>
          <w:lang w:val="en-GB"/>
        </w:rPr>
      </w:pPr>
      <w:r w:rsidRPr="00A75D61">
        <w:rPr>
          <w:noProof/>
          <w:lang w:val="en-GB"/>
        </w:rPr>
        <w:drawing>
          <wp:inline distT="114300" distB="114300" distL="114300" distR="114300" wp14:anchorId="031E2A33" wp14:editId="3745906A">
            <wp:extent cx="5943600" cy="3289300"/>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5"/>
                    <a:stretch>
                      <a:fillRect/>
                    </a:stretch>
                  </pic:blipFill>
                  <pic:spPr>
                    <a:xfrm>
                      <a:off x="0" y="0"/>
                      <a:ext cx="5943600" cy="3289300"/>
                    </a:xfrm>
                    <a:prstGeom prst="rect">
                      <a:avLst/>
                    </a:prstGeom>
                    <a:ln w="25400">
                      <a:solidFill>
                        <a:srgbClr val="000000"/>
                      </a:solidFill>
                      <a:prstDash val="solid"/>
                    </a:ln>
                  </pic:spPr>
                </pic:pic>
              </a:graphicData>
            </a:graphic>
          </wp:inline>
        </w:drawing>
      </w:r>
    </w:p>
    <w:p w14:paraId="45D7A452" w14:textId="04848652" w:rsidR="000E7AC7" w:rsidRPr="00A75D61" w:rsidRDefault="00000000" w:rsidP="00A75D61">
      <w:pPr>
        <w:jc w:val="center"/>
        <w:rPr>
          <w:b/>
          <w:lang w:val="en-GB"/>
        </w:rPr>
      </w:pPr>
      <w:r w:rsidRPr="00A75D61">
        <w:rPr>
          <w:b/>
          <w:lang w:val="en-GB"/>
        </w:rPr>
        <w:t>Figure</w:t>
      </w:r>
      <w:r w:rsidR="002D3120" w:rsidRPr="00A75D61">
        <w:rPr>
          <w:b/>
          <w:lang w:val="en-GB"/>
        </w:rPr>
        <w:t xml:space="preserve"> 7</w:t>
      </w:r>
      <w:r w:rsidRPr="00A75D61">
        <w:rPr>
          <w:b/>
          <w:lang w:val="en-GB"/>
        </w:rPr>
        <w:t>: Uppsala Model mechanism of internationalisation</w:t>
      </w:r>
    </w:p>
    <w:p w14:paraId="7CC7B321" w14:textId="77777777" w:rsidR="000E7AC7" w:rsidRPr="00A75D61" w:rsidRDefault="00000000" w:rsidP="00A75D61">
      <w:pPr>
        <w:jc w:val="center"/>
        <w:rPr>
          <w:lang w:val="en-GB"/>
        </w:rPr>
      </w:pPr>
      <w:r w:rsidRPr="00A75D61">
        <w:rPr>
          <w:lang w:val="en-GB"/>
        </w:rPr>
        <w:t>(Source: Radmanesh, 2018)</w:t>
      </w:r>
    </w:p>
    <w:p w14:paraId="142FF4EC" w14:textId="77777777" w:rsidR="000E7AC7" w:rsidRPr="00A75D61" w:rsidRDefault="00000000" w:rsidP="00A75D61">
      <w:pPr>
        <w:pStyle w:val="Heading2"/>
        <w:rPr>
          <w:lang w:val="en-GB"/>
        </w:rPr>
      </w:pPr>
      <w:bookmarkStart w:id="15" w:name="_Toc216705428"/>
      <w:r w:rsidRPr="00A75D61">
        <w:rPr>
          <w:lang w:val="en-GB"/>
        </w:rPr>
        <w:t>4.6 Market Entry Strategy</w:t>
      </w:r>
      <w:bookmarkEnd w:id="15"/>
    </w:p>
    <w:p w14:paraId="0ED3C5FF" w14:textId="77777777" w:rsidR="000E7AC7" w:rsidRPr="00A75D61" w:rsidRDefault="00000000" w:rsidP="00A75D61">
      <w:pPr>
        <w:rPr>
          <w:lang w:val="en-GB"/>
        </w:rPr>
      </w:pPr>
      <w:r w:rsidRPr="00A75D61">
        <w:rPr>
          <w:lang w:val="en-GB"/>
        </w:rPr>
        <w:t xml:space="preserve">Evaluation of the market entry option is essential for exporting and importing approaches for Cuba, which determines that using a Joint Venture (JV) leads to strategic viability for Toyota to expand within Cuba. The application of the Cuba Foreign Investment Act 2014, which aims to establish the legal framework for foreign investors in Cuba, is effective as it contributes to the development of the economic initiative and leads to facilities, as well as guarantees the foreign investor's expansion in the region (Cuba Foreign Investment Act, 2014). The rationale of the JV's access to the Cuban foreign market entry, where </w:t>
      </w:r>
      <w:r w:rsidRPr="00A75D61">
        <w:rPr>
          <w:lang w:val="en-GB"/>
        </w:rPr>
        <w:lastRenderedPageBreak/>
        <w:t xml:space="preserve">Cuba authorised with 51% of ownership under the Foreign Investment Act Law no 118 (U.S. Department of State, 2017). The adaptation of the joint venture-based Market Development Strategies allows for enrichment with the commitment which are guided by the government bodies, and the experiential learning facilities help in building sustainable as well as competitive approaches within Cuba. However, the potential risk factors associated with Cuba's 51% share might affect the profit margin of Toyota while expanding the market within Cuba. </w:t>
      </w:r>
    </w:p>
    <w:p w14:paraId="6D5F8D51" w14:textId="77777777" w:rsidR="000E7AC7" w:rsidRPr="00A75D61" w:rsidRDefault="00000000" w:rsidP="00A75D61">
      <w:pPr>
        <w:rPr>
          <w:b/>
          <w:lang w:val="en-GB"/>
        </w:rPr>
      </w:pPr>
      <w:r w:rsidRPr="00A75D61">
        <w:rPr>
          <w:b/>
          <w:lang w:val="en-GB"/>
        </w:rPr>
        <w:t>4.7 Summarising the Market Entry Strategy</w:t>
      </w:r>
    </w:p>
    <w:tbl>
      <w:tblPr>
        <w:tblStyle w:val="Table7"/>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1"/>
        <w:gridCol w:w="4220"/>
        <w:gridCol w:w="2859"/>
      </w:tblGrid>
      <w:tr w:rsidR="000E7AC7" w:rsidRPr="00A75D61" w14:paraId="38E354EE" w14:textId="77777777">
        <w:trPr>
          <w:trHeight w:val="741"/>
        </w:trPr>
        <w:tc>
          <w:tcPr>
            <w:tcW w:w="2280" w:type="dxa"/>
            <w:tcMar>
              <w:top w:w="100" w:type="dxa"/>
              <w:left w:w="100" w:type="dxa"/>
              <w:bottom w:w="100" w:type="dxa"/>
              <w:right w:w="100" w:type="dxa"/>
            </w:tcMar>
          </w:tcPr>
          <w:p w14:paraId="05BD59C9"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b/>
                <w:lang w:val="en-GB"/>
              </w:rPr>
              <w:t>Strategic Model</w:t>
            </w:r>
          </w:p>
        </w:tc>
        <w:tc>
          <w:tcPr>
            <w:tcW w:w="4220" w:type="dxa"/>
            <w:tcMar>
              <w:top w:w="100" w:type="dxa"/>
              <w:left w:w="100" w:type="dxa"/>
              <w:bottom w:w="100" w:type="dxa"/>
              <w:right w:w="100" w:type="dxa"/>
            </w:tcMar>
          </w:tcPr>
          <w:p w14:paraId="4C2A2326"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b/>
                <w:lang w:val="en-GB"/>
              </w:rPr>
              <w:t xml:space="preserve">Application to Toyota </w:t>
            </w:r>
          </w:p>
        </w:tc>
        <w:tc>
          <w:tcPr>
            <w:tcW w:w="2859" w:type="dxa"/>
            <w:tcMar>
              <w:top w:w="100" w:type="dxa"/>
              <w:left w:w="100" w:type="dxa"/>
              <w:bottom w:w="100" w:type="dxa"/>
              <w:right w:w="100" w:type="dxa"/>
            </w:tcMar>
          </w:tcPr>
          <w:p w14:paraId="07934C50" w14:textId="77777777" w:rsidR="000E7AC7" w:rsidRPr="00A75D61" w:rsidRDefault="00000000" w:rsidP="00A75D61">
            <w:pPr>
              <w:widowControl w:val="0"/>
              <w:pBdr>
                <w:top w:val="nil"/>
                <w:left w:val="nil"/>
                <w:bottom w:val="nil"/>
                <w:right w:val="nil"/>
                <w:between w:val="nil"/>
              </w:pBdr>
              <w:spacing w:before="0" w:after="0"/>
              <w:rPr>
                <w:b/>
                <w:lang w:val="en-GB"/>
              </w:rPr>
            </w:pPr>
            <w:r w:rsidRPr="00A75D61">
              <w:rPr>
                <w:b/>
                <w:lang w:val="en-GB"/>
              </w:rPr>
              <w:t>Market entry strategic outcomes</w:t>
            </w:r>
          </w:p>
        </w:tc>
      </w:tr>
      <w:tr w:rsidR="000E7AC7" w:rsidRPr="00A75D61" w14:paraId="324F8AB1" w14:textId="77777777">
        <w:tc>
          <w:tcPr>
            <w:tcW w:w="2280" w:type="dxa"/>
            <w:tcMar>
              <w:top w:w="100" w:type="dxa"/>
              <w:left w:w="100" w:type="dxa"/>
              <w:bottom w:w="100" w:type="dxa"/>
              <w:right w:w="100" w:type="dxa"/>
            </w:tcMar>
          </w:tcPr>
          <w:p w14:paraId="043E0D53"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Ansoff Matrix</w:t>
            </w:r>
          </w:p>
        </w:tc>
        <w:tc>
          <w:tcPr>
            <w:tcW w:w="4220" w:type="dxa"/>
            <w:tcMar>
              <w:top w:w="100" w:type="dxa"/>
              <w:left w:w="100" w:type="dxa"/>
              <w:bottom w:w="100" w:type="dxa"/>
              <w:right w:w="100" w:type="dxa"/>
            </w:tcMar>
          </w:tcPr>
          <w:p w14:paraId="5B91DAFA"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The model highlights that Toyota needs to focus on the product development initiatives, such as the hybrid model and EV mode, under the price-sensitive activities, which are likely to add value in fulfilling the needs of the Cuban audiences. </w:t>
            </w:r>
          </w:p>
        </w:tc>
        <w:tc>
          <w:tcPr>
            <w:tcW w:w="2859" w:type="dxa"/>
            <w:tcMar>
              <w:top w:w="100" w:type="dxa"/>
              <w:left w:w="100" w:type="dxa"/>
              <w:bottom w:w="100" w:type="dxa"/>
              <w:right w:w="100" w:type="dxa"/>
            </w:tcMar>
          </w:tcPr>
          <w:p w14:paraId="058AA102"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Cost-effectiveness and a new hybrid model controlled the climatic evaluation in Cuba, helping to enhance the market entry and growth. </w:t>
            </w:r>
          </w:p>
        </w:tc>
      </w:tr>
      <w:tr w:rsidR="000E7AC7" w:rsidRPr="00A75D61" w14:paraId="7830E091" w14:textId="77777777">
        <w:tc>
          <w:tcPr>
            <w:tcW w:w="2280" w:type="dxa"/>
            <w:tcMar>
              <w:top w:w="100" w:type="dxa"/>
              <w:left w:w="100" w:type="dxa"/>
              <w:bottom w:w="100" w:type="dxa"/>
              <w:right w:w="100" w:type="dxa"/>
            </w:tcMar>
          </w:tcPr>
          <w:p w14:paraId="30886E49"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VRIO Model</w:t>
            </w:r>
          </w:p>
        </w:tc>
        <w:tc>
          <w:tcPr>
            <w:tcW w:w="4220" w:type="dxa"/>
            <w:tcMar>
              <w:top w:w="100" w:type="dxa"/>
              <w:left w:w="100" w:type="dxa"/>
              <w:bottom w:w="100" w:type="dxa"/>
              <w:right w:w="100" w:type="dxa"/>
            </w:tcMar>
          </w:tcPr>
          <w:p w14:paraId="7CFBB305"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Inclusion of the hybrid technologies, with the efficiency of the strategic partnership followed by the TPS system, is likely to embrace competitiveness in the Cuban market.</w:t>
            </w:r>
          </w:p>
        </w:tc>
        <w:tc>
          <w:tcPr>
            <w:tcW w:w="2859" w:type="dxa"/>
            <w:tcMar>
              <w:top w:w="100" w:type="dxa"/>
              <w:left w:w="100" w:type="dxa"/>
              <w:bottom w:w="100" w:type="dxa"/>
              <w:right w:w="100" w:type="dxa"/>
            </w:tcMar>
          </w:tcPr>
          <w:p w14:paraId="5F0FB21D"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Adhering to the competitive differences with an effective partnership with the local suppliers allows for enriching the economic development, as well as the evaluation of the competitive advantages. </w:t>
            </w:r>
          </w:p>
        </w:tc>
      </w:tr>
      <w:tr w:rsidR="000E7AC7" w:rsidRPr="00A75D61" w14:paraId="749EC984" w14:textId="77777777">
        <w:tc>
          <w:tcPr>
            <w:tcW w:w="2280" w:type="dxa"/>
            <w:tcMar>
              <w:top w:w="100" w:type="dxa"/>
              <w:left w:w="100" w:type="dxa"/>
              <w:bottom w:w="100" w:type="dxa"/>
              <w:right w:w="100" w:type="dxa"/>
            </w:tcMar>
          </w:tcPr>
          <w:p w14:paraId="0624194F"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Uppsala Model</w:t>
            </w:r>
          </w:p>
        </w:tc>
        <w:tc>
          <w:tcPr>
            <w:tcW w:w="4220" w:type="dxa"/>
            <w:tcMar>
              <w:top w:w="100" w:type="dxa"/>
              <w:left w:w="100" w:type="dxa"/>
              <w:bottom w:w="100" w:type="dxa"/>
              <w:right w:w="100" w:type="dxa"/>
            </w:tcMar>
          </w:tcPr>
          <w:p w14:paraId="31EB9E47"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t xml:space="preserve">JV progresses with the exporting </w:t>
            </w:r>
            <w:r w:rsidRPr="00A75D61">
              <w:rPr>
                <w:lang w:val="en-GB"/>
              </w:rPr>
              <w:lastRenderedPageBreak/>
              <w:t>facilities and sustaining within Cuba by Toyota</w:t>
            </w:r>
          </w:p>
        </w:tc>
        <w:tc>
          <w:tcPr>
            <w:tcW w:w="2859" w:type="dxa"/>
            <w:tcMar>
              <w:top w:w="100" w:type="dxa"/>
              <w:left w:w="100" w:type="dxa"/>
              <w:bottom w:w="100" w:type="dxa"/>
              <w:right w:w="100" w:type="dxa"/>
            </w:tcMar>
          </w:tcPr>
          <w:p w14:paraId="3723D493" w14:textId="77777777" w:rsidR="000E7AC7" w:rsidRPr="00A75D61" w:rsidRDefault="00000000" w:rsidP="00A75D61">
            <w:pPr>
              <w:widowControl w:val="0"/>
              <w:pBdr>
                <w:top w:val="nil"/>
                <w:left w:val="nil"/>
                <w:bottom w:val="nil"/>
                <w:right w:val="nil"/>
                <w:between w:val="nil"/>
              </w:pBdr>
              <w:spacing w:before="0" w:after="0"/>
              <w:rPr>
                <w:lang w:val="en-GB"/>
              </w:rPr>
            </w:pPr>
            <w:r w:rsidRPr="00A75D61">
              <w:rPr>
                <w:lang w:val="en-GB"/>
              </w:rPr>
              <w:lastRenderedPageBreak/>
              <w:t xml:space="preserve">Embraces the risk </w:t>
            </w:r>
            <w:r w:rsidRPr="00A75D61">
              <w:rPr>
                <w:lang w:val="en-GB"/>
              </w:rPr>
              <w:lastRenderedPageBreak/>
              <w:t xml:space="preserve">management and adaptation of the hybrid model. </w:t>
            </w:r>
          </w:p>
        </w:tc>
      </w:tr>
    </w:tbl>
    <w:p w14:paraId="0AA5BD0D" w14:textId="0363FC05" w:rsidR="000E7AC7" w:rsidRPr="00A75D61" w:rsidRDefault="00000000" w:rsidP="00A75D61">
      <w:pPr>
        <w:jc w:val="center"/>
        <w:rPr>
          <w:b/>
          <w:lang w:val="en-GB"/>
        </w:rPr>
      </w:pPr>
      <w:r w:rsidRPr="00A75D61">
        <w:rPr>
          <w:b/>
          <w:lang w:val="en-GB"/>
        </w:rPr>
        <w:t>Table</w:t>
      </w:r>
      <w:r w:rsidR="002D3120" w:rsidRPr="00A75D61">
        <w:rPr>
          <w:b/>
          <w:lang w:val="en-GB"/>
        </w:rPr>
        <w:t xml:space="preserve"> 7</w:t>
      </w:r>
      <w:r w:rsidRPr="00A75D61">
        <w:rPr>
          <w:b/>
          <w:lang w:val="en-GB"/>
        </w:rPr>
        <w:t>: Market entry strategies summarisation</w:t>
      </w:r>
    </w:p>
    <w:p w14:paraId="13524503" w14:textId="77777777" w:rsidR="000E7AC7" w:rsidRPr="00A75D61" w:rsidRDefault="00000000" w:rsidP="00A75D61">
      <w:pPr>
        <w:jc w:val="center"/>
        <w:rPr>
          <w:lang w:val="en-GB"/>
        </w:rPr>
      </w:pPr>
      <w:r w:rsidRPr="00A75D61">
        <w:rPr>
          <w:lang w:val="en-GB"/>
        </w:rPr>
        <w:t>(Source: Self-created)</w:t>
      </w:r>
    </w:p>
    <w:p w14:paraId="562E3AC9" w14:textId="77777777" w:rsidR="000E7AC7" w:rsidRPr="00A75D61" w:rsidRDefault="00000000" w:rsidP="00A75D61">
      <w:pPr>
        <w:pStyle w:val="Heading1"/>
        <w:rPr>
          <w:sz w:val="24"/>
          <w:szCs w:val="24"/>
          <w:lang w:val="en-GB"/>
        </w:rPr>
      </w:pPr>
      <w:bookmarkStart w:id="16" w:name="_Toc216705429"/>
      <w:r w:rsidRPr="00A75D61">
        <w:rPr>
          <w:sz w:val="24"/>
          <w:szCs w:val="24"/>
          <w:lang w:val="en-GB"/>
        </w:rPr>
        <w:t>5.0 Performance Evaluation Framework using TBL Approach</w:t>
      </w:r>
      <w:bookmarkEnd w:id="16"/>
    </w:p>
    <w:p w14:paraId="469221C9" w14:textId="77777777" w:rsidR="000E7AC7" w:rsidRPr="00A75D61" w:rsidRDefault="00000000" w:rsidP="00A75D61">
      <w:pPr>
        <w:rPr>
          <w:lang w:val="en-GB"/>
        </w:rPr>
      </w:pPr>
      <w:r w:rsidRPr="00A75D61">
        <w:rPr>
          <w:lang w:val="en-GB"/>
        </w:rPr>
        <w:t xml:space="preserve">In order to expand in Cuba, Toyota needs to focus on the financial, social and environmental performances, which requires demonstrating the need to enhance sustainable principles that are linked to the Cuban environmental law. These strategies help to enhance the reputation and high competitiveness in the Cuban market expansion for Toyota. The application of the Triple Bottom Line (TBL) framework is a part of the sustainability framework, which helps in measuring the performance of the firm, which goes through three pillars: people, planet and profit (Sathiyamoorthy and Roxia, 2025). </w:t>
      </w:r>
    </w:p>
    <w:tbl>
      <w:tblPr>
        <w:tblStyle w:val="Table8"/>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E7AC7" w:rsidRPr="00A75D61" w14:paraId="4F4ED732" w14:textId="77777777">
        <w:tc>
          <w:tcPr>
            <w:tcW w:w="1872" w:type="dxa"/>
            <w:tcMar>
              <w:top w:w="100" w:type="dxa"/>
              <w:left w:w="100" w:type="dxa"/>
              <w:bottom w:w="100" w:type="dxa"/>
              <w:right w:w="100" w:type="dxa"/>
            </w:tcMar>
          </w:tcPr>
          <w:p w14:paraId="6F270404"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Factors</w:t>
            </w:r>
          </w:p>
        </w:tc>
        <w:tc>
          <w:tcPr>
            <w:tcW w:w="1872" w:type="dxa"/>
            <w:tcMar>
              <w:top w:w="100" w:type="dxa"/>
              <w:left w:w="100" w:type="dxa"/>
              <w:bottom w:w="100" w:type="dxa"/>
              <w:right w:w="100" w:type="dxa"/>
            </w:tcMar>
          </w:tcPr>
          <w:p w14:paraId="46D21227"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Strategic evaluation</w:t>
            </w:r>
          </w:p>
        </w:tc>
        <w:tc>
          <w:tcPr>
            <w:tcW w:w="1872" w:type="dxa"/>
            <w:tcMar>
              <w:top w:w="100" w:type="dxa"/>
              <w:left w:w="100" w:type="dxa"/>
              <w:bottom w:w="100" w:type="dxa"/>
              <w:right w:w="100" w:type="dxa"/>
            </w:tcMar>
          </w:tcPr>
          <w:p w14:paraId="040F3006"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KPI</w:t>
            </w:r>
          </w:p>
        </w:tc>
        <w:tc>
          <w:tcPr>
            <w:tcW w:w="1872" w:type="dxa"/>
            <w:tcMar>
              <w:top w:w="100" w:type="dxa"/>
              <w:left w:w="100" w:type="dxa"/>
              <w:bottom w:w="100" w:type="dxa"/>
              <w:right w:w="100" w:type="dxa"/>
            </w:tcMar>
          </w:tcPr>
          <w:p w14:paraId="55B1FF17"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Measurements</w:t>
            </w:r>
          </w:p>
        </w:tc>
        <w:tc>
          <w:tcPr>
            <w:tcW w:w="1872" w:type="dxa"/>
            <w:tcMar>
              <w:top w:w="100" w:type="dxa"/>
              <w:left w:w="100" w:type="dxa"/>
              <w:bottom w:w="100" w:type="dxa"/>
              <w:right w:w="100" w:type="dxa"/>
            </w:tcMar>
          </w:tcPr>
          <w:p w14:paraId="2893F5F1"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Time-bound</w:t>
            </w:r>
          </w:p>
        </w:tc>
      </w:tr>
      <w:tr w:rsidR="000E7AC7" w:rsidRPr="00A75D61" w14:paraId="53660596" w14:textId="77777777">
        <w:tc>
          <w:tcPr>
            <w:tcW w:w="1872" w:type="dxa"/>
            <w:tcMar>
              <w:top w:w="100" w:type="dxa"/>
              <w:left w:w="100" w:type="dxa"/>
              <w:bottom w:w="100" w:type="dxa"/>
              <w:right w:w="100" w:type="dxa"/>
            </w:tcMar>
          </w:tcPr>
          <w:p w14:paraId="1EA27F4B"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People</w:t>
            </w:r>
          </w:p>
        </w:tc>
        <w:tc>
          <w:tcPr>
            <w:tcW w:w="1872" w:type="dxa"/>
            <w:tcMar>
              <w:top w:w="100" w:type="dxa"/>
              <w:left w:w="100" w:type="dxa"/>
              <w:bottom w:w="100" w:type="dxa"/>
              <w:right w:w="100" w:type="dxa"/>
            </w:tcMar>
          </w:tcPr>
          <w:p w14:paraId="5AFA29D3"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The strategic focus requires evaluating under capital development, stakeholder well-being and the community development integrity.</w:t>
            </w:r>
          </w:p>
        </w:tc>
        <w:tc>
          <w:tcPr>
            <w:tcW w:w="1872" w:type="dxa"/>
            <w:tcMar>
              <w:top w:w="100" w:type="dxa"/>
              <w:left w:w="100" w:type="dxa"/>
              <w:bottom w:w="100" w:type="dxa"/>
              <w:right w:w="100" w:type="dxa"/>
            </w:tcMar>
          </w:tcPr>
          <w:p w14:paraId="4A236BBA"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 xml:space="preserve">Employment with the generation of direct as well as indirect jobs is essential for the Cuban community. Prioritising the local employees' </w:t>
            </w:r>
            <w:r w:rsidRPr="00A75D61">
              <w:rPr>
                <w:lang w:val="en-GB"/>
              </w:rPr>
              <w:lastRenderedPageBreak/>
              <w:t xml:space="preserve">training and the cross-functional team formation (Fared and Darmawan, 2021). Inclusion of the employee satisfaction levels as well as the retention rates is essential to manage, which helps to increase trust and loyalty among the employees. </w:t>
            </w:r>
          </w:p>
        </w:tc>
        <w:tc>
          <w:tcPr>
            <w:tcW w:w="1872" w:type="dxa"/>
            <w:tcMar>
              <w:top w:w="100" w:type="dxa"/>
              <w:left w:w="100" w:type="dxa"/>
              <w:bottom w:w="100" w:type="dxa"/>
              <w:right w:w="100" w:type="dxa"/>
            </w:tcMar>
          </w:tcPr>
          <w:p w14:paraId="4BE8A3DF"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lastRenderedPageBreak/>
              <w:t xml:space="preserve">Analysing the HR training for the local employees in Cuba, and enriching it with the employee survey data, which was accessed under the </w:t>
            </w:r>
            <w:r w:rsidRPr="00A75D61">
              <w:rPr>
                <w:lang w:val="en-GB"/>
              </w:rPr>
              <w:lastRenderedPageBreak/>
              <w:t xml:space="preserve">validation of the CSR programmes and review mechanism. </w:t>
            </w:r>
          </w:p>
        </w:tc>
        <w:tc>
          <w:tcPr>
            <w:tcW w:w="1872" w:type="dxa"/>
            <w:tcMar>
              <w:top w:w="100" w:type="dxa"/>
              <w:left w:w="100" w:type="dxa"/>
              <w:bottom w:w="100" w:type="dxa"/>
              <w:right w:w="100" w:type="dxa"/>
            </w:tcMar>
          </w:tcPr>
          <w:p w14:paraId="36E39208"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lastRenderedPageBreak/>
              <w:t xml:space="preserve">Development of 1000 or more direct jobs in 2 years within Cuba. Furthermore, an increase of almost 80% staff training under the Toyota </w:t>
            </w:r>
            <w:r w:rsidRPr="00A75D61">
              <w:rPr>
                <w:lang w:val="en-GB"/>
              </w:rPr>
              <w:lastRenderedPageBreak/>
              <w:t xml:space="preserve">Production System within 5 years. </w:t>
            </w:r>
          </w:p>
        </w:tc>
      </w:tr>
      <w:tr w:rsidR="000E7AC7" w:rsidRPr="00A75D61" w14:paraId="2EF74D58" w14:textId="77777777">
        <w:tc>
          <w:tcPr>
            <w:tcW w:w="1872" w:type="dxa"/>
            <w:tcMar>
              <w:top w:w="100" w:type="dxa"/>
              <w:left w:w="100" w:type="dxa"/>
              <w:bottom w:w="100" w:type="dxa"/>
              <w:right w:w="100" w:type="dxa"/>
            </w:tcMar>
          </w:tcPr>
          <w:p w14:paraId="0BF12CAD"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Profit</w:t>
            </w:r>
          </w:p>
        </w:tc>
        <w:tc>
          <w:tcPr>
            <w:tcW w:w="1872" w:type="dxa"/>
            <w:tcMar>
              <w:top w:w="100" w:type="dxa"/>
              <w:left w:w="100" w:type="dxa"/>
              <w:bottom w:w="100" w:type="dxa"/>
              <w:right w:w="100" w:type="dxa"/>
            </w:tcMar>
          </w:tcPr>
          <w:p w14:paraId="3E4BB2E1"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 xml:space="preserve">The application of the sustainable features, which are reliable for financial performances and the growth of the market </w:t>
            </w:r>
            <w:r w:rsidRPr="00A75D61">
              <w:rPr>
                <w:lang w:val="en-GB"/>
              </w:rPr>
              <w:lastRenderedPageBreak/>
              <w:t>within Cuba.</w:t>
            </w:r>
          </w:p>
        </w:tc>
        <w:tc>
          <w:tcPr>
            <w:tcW w:w="1872" w:type="dxa"/>
            <w:tcMar>
              <w:top w:w="100" w:type="dxa"/>
              <w:left w:w="100" w:type="dxa"/>
              <w:bottom w:w="100" w:type="dxa"/>
              <w:right w:w="100" w:type="dxa"/>
            </w:tcMar>
          </w:tcPr>
          <w:p w14:paraId="791A26E5" w14:textId="67B2A97E" w:rsidR="000E7AC7" w:rsidRPr="00A75D61" w:rsidRDefault="00000000" w:rsidP="00A75D61">
            <w:pPr>
              <w:widowControl w:val="0"/>
              <w:spacing w:before="0" w:after="0"/>
              <w:jc w:val="left"/>
              <w:rPr>
                <w:lang w:val="en-GB"/>
              </w:rPr>
            </w:pPr>
            <w:r w:rsidRPr="00A75D61">
              <w:rPr>
                <w:lang w:val="en-GB"/>
              </w:rPr>
              <w:lastRenderedPageBreak/>
              <w:t xml:space="preserve">Determination of the revenue growth after expansion within Cuba must increase by 15% each year. Moreover, </w:t>
            </w:r>
            <w:r w:rsidRPr="00A75D61">
              <w:rPr>
                <w:lang w:val="en-GB"/>
              </w:rPr>
              <w:lastRenderedPageBreak/>
              <w:t xml:space="preserve">increasing the market share in the automotive sector in Cuba, as Renault holds the market share of 30.6% in the Cuban automobile market (Statista, 2025). Return on investment requires expanding by evaluating the production and logistical savings. Hence, Toyota needs to connect or partner with the local suppliers, which allows it to </w:t>
            </w:r>
            <w:r w:rsidR="0042721B" w:rsidRPr="00A75D61">
              <w:rPr>
                <w:lang w:val="en-GB"/>
              </w:rPr>
              <w:t>present</w:t>
            </w:r>
            <w:r w:rsidRPr="00A75D61">
              <w:rPr>
                <w:lang w:val="en-GB"/>
              </w:rPr>
              <w:t xml:space="preserve"> locally made car models in Cuba. </w:t>
            </w:r>
          </w:p>
        </w:tc>
        <w:tc>
          <w:tcPr>
            <w:tcW w:w="1872" w:type="dxa"/>
            <w:tcMar>
              <w:top w:w="100" w:type="dxa"/>
              <w:left w:w="100" w:type="dxa"/>
              <w:bottom w:w="100" w:type="dxa"/>
              <w:right w:w="100" w:type="dxa"/>
            </w:tcMar>
          </w:tcPr>
          <w:p w14:paraId="7B531221" w14:textId="77777777" w:rsidR="000E7AC7" w:rsidRPr="00A75D61" w:rsidRDefault="00000000" w:rsidP="00A75D61">
            <w:pPr>
              <w:widowControl w:val="0"/>
              <w:spacing w:before="0" w:after="0"/>
              <w:jc w:val="left"/>
              <w:rPr>
                <w:lang w:val="en-GB"/>
              </w:rPr>
            </w:pPr>
            <w:r w:rsidRPr="00A75D61">
              <w:rPr>
                <w:lang w:val="en-GB"/>
              </w:rPr>
              <w:lastRenderedPageBreak/>
              <w:t>Measuring from the annual financial reporting and market analysis under the partnership with the JV model</w:t>
            </w:r>
          </w:p>
        </w:tc>
        <w:tc>
          <w:tcPr>
            <w:tcW w:w="1872" w:type="dxa"/>
            <w:tcMar>
              <w:top w:w="100" w:type="dxa"/>
              <w:left w:w="100" w:type="dxa"/>
              <w:bottom w:w="100" w:type="dxa"/>
              <w:right w:w="100" w:type="dxa"/>
            </w:tcMar>
          </w:tcPr>
          <w:p w14:paraId="3CEB6E68" w14:textId="77777777" w:rsidR="000E7AC7" w:rsidRPr="00A75D61" w:rsidRDefault="00000000" w:rsidP="00A75D61">
            <w:pPr>
              <w:widowControl w:val="0"/>
              <w:spacing w:before="0" w:after="0"/>
              <w:jc w:val="left"/>
              <w:rPr>
                <w:lang w:val="en-GB"/>
              </w:rPr>
            </w:pPr>
            <w:r w:rsidRPr="00A75D61">
              <w:rPr>
                <w:lang w:val="en-GB"/>
              </w:rPr>
              <w:t xml:space="preserve">Positive ROI must be achieved within 3 years, and the market reach must be expanded to 5% increase in market share </w:t>
            </w:r>
            <w:r w:rsidRPr="00A75D61">
              <w:rPr>
                <w:lang w:val="en-GB"/>
              </w:rPr>
              <w:lastRenderedPageBreak/>
              <w:t xml:space="preserve">within 5 years. </w:t>
            </w:r>
          </w:p>
        </w:tc>
      </w:tr>
      <w:tr w:rsidR="000E7AC7" w:rsidRPr="00A75D61" w14:paraId="7DE4F2BA" w14:textId="77777777">
        <w:tc>
          <w:tcPr>
            <w:tcW w:w="1872" w:type="dxa"/>
            <w:tcMar>
              <w:top w:w="100" w:type="dxa"/>
              <w:left w:w="100" w:type="dxa"/>
              <w:bottom w:w="100" w:type="dxa"/>
              <w:right w:w="100" w:type="dxa"/>
            </w:tcMar>
          </w:tcPr>
          <w:p w14:paraId="605F0055"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lastRenderedPageBreak/>
              <w:t>Planet</w:t>
            </w:r>
          </w:p>
        </w:tc>
        <w:tc>
          <w:tcPr>
            <w:tcW w:w="1872" w:type="dxa"/>
            <w:tcMar>
              <w:top w:w="100" w:type="dxa"/>
              <w:left w:w="100" w:type="dxa"/>
              <w:bottom w:w="100" w:type="dxa"/>
              <w:right w:w="100" w:type="dxa"/>
            </w:tcMar>
          </w:tcPr>
          <w:p w14:paraId="379CB524"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Management of the carbon reduction process, sustainable practices and effective internal resourcing</w:t>
            </w:r>
          </w:p>
        </w:tc>
        <w:tc>
          <w:tcPr>
            <w:tcW w:w="1872" w:type="dxa"/>
            <w:tcMar>
              <w:top w:w="100" w:type="dxa"/>
              <w:left w:w="100" w:type="dxa"/>
              <w:bottom w:w="100" w:type="dxa"/>
              <w:right w:w="100" w:type="dxa"/>
            </w:tcMar>
          </w:tcPr>
          <w:p w14:paraId="11DDEE03"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 xml:space="preserve">Management of CO2 emission control for each car production. Furthermore, Toyota assessed its energy and water consumption processes by enriching the Toyota Environmental Challenge 2050 (toyota.com, 2022). Implementing the strategic plan in Cuba's manufacturing of vehicles adds value to meeting Cuba's environmental guidelines. Adding compliance with ISO 14001 </w:t>
            </w:r>
            <w:r w:rsidRPr="00A75D61">
              <w:rPr>
                <w:lang w:val="en-GB"/>
              </w:rPr>
              <w:lastRenderedPageBreak/>
              <w:t>standards allows for enhancing the sustainable certified vehicle operations by Toyota.</w:t>
            </w:r>
          </w:p>
        </w:tc>
        <w:tc>
          <w:tcPr>
            <w:tcW w:w="1872" w:type="dxa"/>
            <w:tcMar>
              <w:top w:w="100" w:type="dxa"/>
              <w:left w:w="100" w:type="dxa"/>
              <w:bottom w:w="100" w:type="dxa"/>
              <w:right w:w="100" w:type="dxa"/>
            </w:tcMar>
          </w:tcPr>
          <w:p w14:paraId="0A00AAF5"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lastRenderedPageBreak/>
              <w:t xml:space="preserve">Analysing the sustainable and environmental report. Energy and water consumption auditing. Analysing the vehicle manufacturing emission auditing through a third party. </w:t>
            </w:r>
          </w:p>
        </w:tc>
        <w:tc>
          <w:tcPr>
            <w:tcW w:w="1872" w:type="dxa"/>
            <w:tcMar>
              <w:top w:w="100" w:type="dxa"/>
              <w:left w:w="100" w:type="dxa"/>
              <w:bottom w:w="100" w:type="dxa"/>
              <w:right w:w="100" w:type="dxa"/>
            </w:tcMar>
          </w:tcPr>
          <w:p w14:paraId="56AB1F84" w14:textId="77777777" w:rsidR="000E7AC7" w:rsidRPr="00A75D61" w:rsidRDefault="00000000" w:rsidP="00A75D61">
            <w:pPr>
              <w:widowControl w:val="0"/>
              <w:pBdr>
                <w:top w:val="nil"/>
                <w:left w:val="nil"/>
                <w:bottom w:val="nil"/>
                <w:right w:val="nil"/>
                <w:between w:val="nil"/>
              </w:pBdr>
              <w:spacing w:before="0" w:after="0"/>
              <w:jc w:val="left"/>
              <w:rPr>
                <w:lang w:val="en-GB"/>
              </w:rPr>
            </w:pPr>
            <w:r w:rsidRPr="00A75D61">
              <w:rPr>
                <w:lang w:val="en-GB"/>
              </w:rPr>
              <w:t xml:space="preserve">65% of the vehicles must be sold in Cuba under hybrid or EV models, enrich with low emission of carbon emissions by the end of 5 years. Waste recycling approaches rates must be fulfilled within 3 years. </w:t>
            </w:r>
          </w:p>
        </w:tc>
      </w:tr>
    </w:tbl>
    <w:p w14:paraId="5340B95D" w14:textId="6D462A28" w:rsidR="000E7AC7" w:rsidRPr="00A75D61" w:rsidRDefault="00000000" w:rsidP="00A75D61">
      <w:pPr>
        <w:jc w:val="center"/>
        <w:rPr>
          <w:b/>
          <w:lang w:val="en-GB"/>
        </w:rPr>
      </w:pPr>
      <w:r w:rsidRPr="00A75D61">
        <w:rPr>
          <w:b/>
          <w:lang w:val="en-GB"/>
        </w:rPr>
        <w:t>Table</w:t>
      </w:r>
      <w:r w:rsidR="002D3120" w:rsidRPr="00A75D61">
        <w:rPr>
          <w:b/>
          <w:lang w:val="en-GB"/>
        </w:rPr>
        <w:t xml:space="preserve"> 8</w:t>
      </w:r>
      <w:r w:rsidRPr="00A75D61">
        <w:rPr>
          <w:b/>
          <w:lang w:val="en-GB"/>
        </w:rPr>
        <w:t>: TBL approaches measuring KPI for Toyota expansion in Cuba</w:t>
      </w:r>
    </w:p>
    <w:p w14:paraId="7513FEEC" w14:textId="77777777" w:rsidR="000E7AC7" w:rsidRPr="00A75D61" w:rsidRDefault="00000000" w:rsidP="00A75D61">
      <w:pPr>
        <w:jc w:val="center"/>
        <w:rPr>
          <w:lang w:val="en-GB"/>
        </w:rPr>
      </w:pPr>
      <w:r w:rsidRPr="00A75D61">
        <w:rPr>
          <w:lang w:val="en-GB"/>
        </w:rPr>
        <w:t>(Source: Self-created)</w:t>
      </w:r>
    </w:p>
    <w:p w14:paraId="1B279148" w14:textId="77777777" w:rsidR="000E7AC7" w:rsidRPr="00A75D61" w:rsidRDefault="00000000" w:rsidP="00A75D61">
      <w:pPr>
        <w:rPr>
          <w:lang w:val="en-GB"/>
        </w:rPr>
      </w:pPr>
      <w:r w:rsidRPr="00A75D61">
        <w:rPr>
          <w:lang w:val="en-GB"/>
        </w:rPr>
        <w:t xml:space="preserve">The integration of the TBL performance metrics helps Toyota to access the balanced approaches, which create an impact towards the expansion of Toyota in Cuba. However, managing the economic, environmental and social indicators allows for enhancing competitiveness and equitable sustainable practices. </w:t>
      </w:r>
    </w:p>
    <w:p w14:paraId="57FD4036" w14:textId="77777777" w:rsidR="000E7AC7" w:rsidRPr="00A75D61" w:rsidRDefault="00000000" w:rsidP="00A75D61">
      <w:pPr>
        <w:pStyle w:val="Heading1"/>
        <w:rPr>
          <w:sz w:val="24"/>
          <w:szCs w:val="24"/>
          <w:lang w:val="en-GB"/>
        </w:rPr>
      </w:pPr>
      <w:bookmarkStart w:id="17" w:name="_Toc216705430"/>
      <w:r w:rsidRPr="00A75D61">
        <w:rPr>
          <w:sz w:val="24"/>
          <w:szCs w:val="24"/>
          <w:lang w:val="en-GB"/>
        </w:rPr>
        <w:t>6.0 Conclusion</w:t>
      </w:r>
      <w:bookmarkEnd w:id="17"/>
    </w:p>
    <w:p w14:paraId="29953547" w14:textId="77777777" w:rsidR="000E7AC7" w:rsidRPr="00A75D61" w:rsidRDefault="00000000" w:rsidP="00A75D61">
      <w:pPr>
        <w:rPr>
          <w:lang w:val="en-GB"/>
        </w:rPr>
      </w:pPr>
      <w:r w:rsidRPr="00A75D61">
        <w:rPr>
          <w:lang w:val="en-GB"/>
        </w:rPr>
        <w:t xml:space="preserve">The purpose of the study is to understand the organisational expansion plan which helps Toyota Motor Corporation within the automobile sector in Cuba. The key findings analysed, where the PESTLE analysis has determined political effectiveness, provide an opportunity to Toyota, followed by social and technological advancement, which added potential to the organisation. However, estimating Porter's Five Forces, the competitive approaches have indicated that the Cuban market has a low threat to the new entrants, although it is assessed with a high threat in the threat of new entrants. Analysing the internal environmental evaluation, SWOT analysis signifies that Toyota has a global presence and an effective brand name, whereas threats are associated with low supplier availability.  However, SMART objectives target to launch the Cuba-based automobile vehicles in partnership with the government-owned organisation. Further, examining the overall approaches, the application of the Joint Venture model is effective for Toyota to access market entry and enhance competitive advantages within the Cuban market. </w:t>
      </w:r>
    </w:p>
    <w:p w14:paraId="5C29C094" w14:textId="77777777" w:rsidR="000E7AC7" w:rsidRPr="00A75D61" w:rsidRDefault="00000000" w:rsidP="00A75D61">
      <w:pPr>
        <w:pStyle w:val="Heading1"/>
        <w:rPr>
          <w:sz w:val="24"/>
          <w:szCs w:val="24"/>
          <w:lang w:val="en-GB"/>
        </w:rPr>
      </w:pPr>
      <w:bookmarkStart w:id="18" w:name="_a5rpxdd5caj0" w:colFirst="0" w:colLast="0"/>
      <w:bookmarkEnd w:id="18"/>
      <w:r w:rsidRPr="00A75D61">
        <w:rPr>
          <w:sz w:val="24"/>
          <w:szCs w:val="24"/>
          <w:lang w:val="en-GB"/>
        </w:rPr>
        <w:lastRenderedPageBreak/>
        <w:br w:type="page"/>
      </w:r>
    </w:p>
    <w:p w14:paraId="48CDDB29" w14:textId="77777777" w:rsidR="000E7AC7" w:rsidRPr="00A75D61" w:rsidRDefault="00000000" w:rsidP="00A75D61">
      <w:pPr>
        <w:pStyle w:val="Heading1"/>
        <w:rPr>
          <w:sz w:val="24"/>
          <w:szCs w:val="24"/>
          <w:lang w:val="en-GB"/>
        </w:rPr>
      </w:pPr>
      <w:bookmarkStart w:id="19" w:name="_Toc216705431"/>
      <w:r w:rsidRPr="00A75D61">
        <w:rPr>
          <w:sz w:val="24"/>
          <w:szCs w:val="24"/>
          <w:lang w:val="en-GB"/>
        </w:rPr>
        <w:lastRenderedPageBreak/>
        <w:t>7.0 References</w:t>
      </w:r>
      <w:bookmarkEnd w:id="19"/>
    </w:p>
    <w:p w14:paraId="0AE8A9D7" w14:textId="77777777" w:rsidR="002D3120" w:rsidRPr="00A75D61" w:rsidRDefault="002D3120" w:rsidP="00A75D61">
      <w:pPr>
        <w:rPr>
          <w:lang w:val="en-GB"/>
        </w:rPr>
      </w:pPr>
      <w:r w:rsidRPr="00A75D61">
        <w:rPr>
          <w:lang w:val="en-GB"/>
        </w:rPr>
        <w:t xml:space="preserve">Benzaghta, M.A., Elwalda, A., Mousa, M.M., Erkan, I. and Rahman, M., 2021. SWOT analysis applications: An integrative literature review. Journal of Global Business Insights, 6(1), pp.54-72. </w:t>
      </w:r>
      <w:hyperlink r:id="rId16">
        <w:r w:rsidRPr="00A75D61">
          <w:rPr>
            <w:color w:val="1155CC"/>
            <w:u w:val="single"/>
            <w:lang w:val="en-GB"/>
          </w:rPr>
          <w:t>https://pdfs.semanticscholar.org/1ce6/a88073a1fedd93547b395c7b1898970736ad.pdf?_gl</w:t>
        </w:r>
      </w:hyperlink>
      <w:r w:rsidRPr="00A75D61">
        <w:rPr>
          <w:lang w:val="en-GB"/>
        </w:rPr>
        <w:t xml:space="preserve"> </w:t>
      </w:r>
    </w:p>
    <w:p w14:paraId="1AC860B2" w14:textId="77777777" w:rsidR="002D3120" w:rsidRPr="00A75D61" w:rsidRDefault="002D3120" w:rsidP="00A75D61">
      <w:pPr>
        <w:spacing w:before="240" w:after="240"/>
        <w:rPr>
          <w:lang w:val="en-GB"/>
        </w:rPr>
      </w:pPr>
      <w:r w:rsidRPr="00A75D61">
        <w:rPr>
          <w:lang w:val="en-GB"/>
        </w:rPr>
        <w:t xml:space="preserve">Bloomberg, 2025. </w:t>
      </w:r>
      <w:r w:rsidRPr="00A75D61">
        <w:rPr>
          <w:i/>
          <w:lang w:val="en-GB"/>
        </w:rPr>
        <w:t>Toyota arm keeping 150 million cars on road emerges as top earner</w:t>
      </w:r>
      <w:r w:rsidRPr="00A75D61">
        <w:rPr>
          <w:lang w:val="en-GB"/>
        </w:rPr>
        <w:t xml:space="preserve">. [online] @bsindia. Available at: </w:t>
      </w:r>
      <w:hyperlink r:id="rId17" w:history="1">
        <w:r w:rsidRPr="00A75D61">
          <w:rPr>
            <w:rStyle w:val="Hyperlink"/>
            <w:lang w:val="en-GB"/>
          </w:rPr>
          <w:t>https://www.business-standard.com/industry/auto/toyota-arm-keeping-150-million-cars-on-road-emerges-as-top-earner-125100800106_1.html</w:t>
        </w:r>
      </w:hyperlink>
      <w:r w:rsidRPr="00A75D61">
        <w:rPr>
          <w:lang w:val="en-GB"/>
        </w:rPr>
        <w:t xml:space="preserve">  [Accessed 7 Nov. 2025].</w:t>
      </w:r>
    </w:p>
    <w:p w14:paraId="14323A00" w14:textId="77777777" w:rsidR="002D3120" w:rsidRPr="00A75D61" w:rsidRDefault="002D3120" w:rsidP="00A75D61">
      <w:pPr>
        <w:rPr>
          <w:lang w:val="en-GB"/>
        </w:rPr>
      </w:pPr>
      <w:r w:rsidRPr="00A75D61">
        <w:rPr>
          <w:lang w:val="en-GB"/>
        </w:rPr>
        <w:t>Buye, R., 2021. Critical examination of the PESTEL Analysis Model. Project: Action Research for Development, pp.1-12.</w:t>
      </w:r>
      <w:hyperlink r:id="rId18">
        <w:r w:rsidRPr="00A75D61">
          <w:rPr>
            <w:color w:val="1155CC"/>
            <w:u w:val="single"/>
            <w:lang w:val="en-GB"/>
          </w:rPr>
          <w:t>https://www.researchgate.net/profile/Ronald-Buye/publication/349506325_Critical_examination_of_the_PESTEL_Analysis_Model/links/6093f3fd92851c490fbd6e7e/Critical-examination-of-the-PESTEL-Analysis-Model</w:t>
        </w:r>
      </w:hyperlink>
      <w:r w:rsidRPr="00A75D61">
        <w:rPr>
          <w:lang w:val="en-GB"/>
        </w:rPr>
        <w:t xml:space="preserve"> </w:t>
      </w:r>
    </w:p>
    <w:p w14:paraId="65E7C15A" w14:textId="77777777" w:rsidR="002D3120" w:rsidRPr="00A75D61" w:rsidRDefault="002D3120" w:rsidP="00A75D61">
      <w:pPr>
        <w:spacing w:before="240" w:after="240"/>
        <w:rPr>
          <w:lang w:val="en-GB"/>
        </w:rPr>
      </w:pPr>
      <w:r w:rsidRPr="00A75D61">
        <w:rPr>
          <w:lang w:val="en-GB"/>
        </w:rPr>
        <w:t xml:space="preserve">Coyne, C.J., Hall, A.R. and Smith, N.W., 2022. International trade as a peace project.  </w:t>
      </w:r>
      <w:hyperlink r:id="rId19">
        <w:r w:rsidRPr="00A75D61">
          <w:rPr>
            <w:color w:val="1155CC"/>
            <w:u w:val="single"/>
            <w:lang w:val="en-GB"/>
          </w:rPr>
          <w:t>https://papers.ssrn.com/sol3/Delivery.cfm?abstractid=4196139</w:t>
        </w:r>
      </w:hyperlink>
    </w:p>
    <w:p w14:paraId="06F1921C" w14:textId="77777777" w:rsidR="002D3120" w:rsidRPr="00A75D61" w:rsidRDefault="002D3120" w:rsidP="00A75D61">
      <w:pPr>
        <w:spacing w:before="240" w:after="240"/>
        <w:rPr>
          <w:lang w:val="en-GB"/>
        </w:rPr>
      </w:pPr>
      <w:r w:rsidRPr="00A75D61">
        <w:rPr>
          <w:lang w:val="en-GB"/>
        </w:rPr>
        <w:t>Cuba Foreign Investment Act, 2014.  Available at:</w:t>
      </w:r>
      <w:hyperlink r:id="rId20">
        <w:r w:rsidRPr="00A75D61">
          <w:rPr>
            <w:lang w:val="en-GB"/>
          </w:rPr>
          <w:t xml:space="preserve"> </w:t>
        </w:r>
      </w:hyperlink>
      <w:hyperlink r:id="rId21">
        <w:r w:rsidRPr="00A75D61">
          <w:rPr>
            <w:color w:val="1155CC"/>
            <w:u w:val="single"/>
            <w:lang w:val="en-GB"/>
          </w:rPr>
          <w:t>https://investmentpolicy.unctad.org/investment-laws/laws/55/print/3</w:t>
        </w:r>
      </w:hyperlink>
      <w:r w:rsidRPr="00A75D61">
        <w:rPr>
          <w:lang w:val="en-GB"/>
        </w:rPr>
        <w:t>.</w:t>
      </w:r>
    </w:p>
    <w:p w14:paraId="7C7EEBAC" w14:textId="77777777" w:rsidR="002D3120" w:rsidRPr="00A75D61" w:rsidRDefault="002D3120" w:rsidP="00A75D61">
      <w:pPr>
        <w:spacing w:before="240" w:after="240"/>
        <w:rPr>
          <w:color w:val="1155CC"/>
          <w:u w:val="single"/>
          <w:lang w:val="en-GB"/>
        </w:rPr>
      </w:pPr>
      <w:r w:rsidRPr="00A75D61">
        <w:rPr>
          <w:lang w:val="en-GB"/>
        </w:rPr>
        <w:t xml:space="preserve">Fared, M.A. and Darmawan, D., 2021. Design and Implementation of Cross-Functional Training to Improve Team Collaboration. </w:t>
      </w:r>
      <w:r w:rsidRPr="00A75D61">
        <w:rPr>
          <w:i/>
          <w:lang w:val="en-GB"/>
        </w:rPr>
        <w:t>Journal of Social Science Studies</w:t>
      </w:r>
      <w:r w:rsidRPr="00A75D61">
        <w:rPr>
          <w:lang w:val="en-GB"/>
        </w:rPr>
        <w:t xml:space="preserve">, </w:t>
      </w:r>
      <w:r w:rsidRPr="00A75D61">
        <w:rPr>
          <w:i/>
          <w:lang w:val="en-GB"/>
        </w:rPr>
        <w:t>1</w:t>
      </w:r>
      <w:r w:rsidRPr="00A75D61">
        <w:rPr>
          <w:lang w:val="en-GB"/>
        </w:rPr>
        <w:t>(1), pp.215-220.</w:t>
      </w:r>
      <w:hyperlink r:id="rId22">
        <w:r w:rsidRPr="00A75D61">
          <w:rPr>
            <w:lang w:val="en-GB"/>
          </w:rPr>
          <w:t xml:space="preserve"> </w:t>
        </w:r>
      </w:hyperlink>
      <w:hyperlink r:id="rId23">
        <w:r w:rsidRPr="00A75D61">
          <w:rPr>
            <w:color w:val="1155CC"/>
            <w:u w:val="single"/>
            <w:lang w:val="en-GB"/>
          </w:rPr>
          <w:t>https://jos3journals.id/index.php/jos3/article/download/102/145</w:t>
        </w:r>
      </w:hyperlink>
    </w:p>
    <w:p w14:paraId="2C242BD5" w14:textId="77777777" w:rsidR="002D3120" w:rsidRPr="00A75D61" w:rsidRDefault="002D3120" w:rsidP="00A75D61">
      <w:pPr>
        <w:rPr>
          <w:lang w:val="en-GB"/>
        </w:rPr>
      </w:pPr>
      <w:r w:rsidRPr="00A75D61">
        <w:rPr>
          <w:lang w:val="en-GB"/>
        </w:rPr>
        <w:t>Ferrer, E., 2023. Can We Learn From Cuba’s Sustainable Revolution? Available at:</w:t>
      </w:r>
      <w:hyperlink r:id="rId24">
        <w:r w:rsidRPr="00A75D61">
          <w:rPr>
            <w:color w:val="1155CC"/>
            <w:u w:val="single"/>
            <w:lang w:val="en-GB"/>
          </w:rPr>
          <w:t>https://www.forbes.com/sites/eliasferrerbreda/2023/08/24/can-we-learn-from-cubas-sustainable-revolution/</w:t>
        </w:r>
      </w:hyperlink>
      <w:r w:rsidRPr="00A75D61">
        <w:rPr>
          <w:lang w:val="en-GB"/>
        </w:rPr>
        <w:t xml:space="preserve"> [Accessed 07 November 2025]  </w:t>
      </w:r>
    </w:p>
    <w:p w14:paraId="02B25815" w14:textId="77777777" w:rsidR="002D3120" w:rsidRPr="00A75D61" w:rsidRDefault="002D3120" w:rsidP="00A75D61">
      <w:pPr>
        <w:spacing w:before="240" w:after="240"/>
        <w:rPr>
          <w:lang w:val="en-GB"/>
        </w:rPr>
      </w:pPr>
      <w:r w:rsidRPr="00A75D61">
        <w:rPr>
          <w:lang w:val="en-GB"/>
        </w:rPr>
        <w:lastRenderedPageBreak/>
        <w:t xml:space="preserve">Havana, 2016. </w:t>
      </w:r>
      <w:r w:rsidRPr="00A75D61">
        <w:rPr>
          <w:i/>
          <w:lang w:val="en-GB"/>
        </w:rPr>
        <w:t>Switzerland Global Enterprise -Legal Provisions Cuba Legal Provisions Embassy of Switzerland in Cuba</w:t>
      </w:r>
      <w:r w:rsidRPr="00A75D61">
        <w:rPr>
          <w:lang w:val="en-GB"/>
        </w:rPr>
        <w:t>. [online] Available at:</w:t>
      </w:r>
      <w:hyperlink r:id="rId25">
        <w:r w:rsidRPr="00A75D61">
          <w:rPr>
            <w:lang w:val="en-GB"/>
          </w:rPr>
          <w:t xml:space="preserve"> </w:t>
        </w:r>
      </w:hyperlink>
      <w:hyperlink r:id="rId26">
        <w:r w:rsidRPr="00A75D61">
          <w:rPr>
            <w:color w:val="1155CC"/>
            <w:u w:val="single"/>
            <w:lang w:val="en-GB"/>
          </w:rPr>
          <w:t>https://www.iberglobal.com/files/2017-2/cuba_legal.pdf</w:t>
        </w:r>
      </w:hyperlink>
      <w:r w:rsidRPr="00A75D61">
        <w:rPr>
          <w:lang w:val="en-GB"/>
        </w:rPr>
        <w:t>.</w:t>
      </w:r>
    </w:p>
    <w:p w14:paraId="0EE9DEF8" w14:textId="77777777" w:rsidR="002D3120" w:rsidRPr="00A75D61" w:rsidRDefault="002D3120" w:rsidP="00A75D61">
      <w:pPr>
        <w:rPr>
          <w:lang w:val="en-GB"/>
        </w:rPr>
      </w:pPr>
      <w:r w:rsidRPr="00A75D61">
        <w:rPr>
          <w:lang w:val="en-GB"/>
        </w:rPr>
        <w:t>Helgilibrary, 2025. Passenger Cars Per 1,000 People in Cuba. Available at:</w:t>
      </w:r>
      <w:hyperlink r:id="rId27">
        <w:r w:rsidRPr="00A75D61">
          <w:rPr>
            <w:color w:val="1155CC"/>
            <w:u w:val="single"/>
            <w:lang w:val="en-GB"/>
          </w:rPr>
          <w:t>https://www.helgilibrary.com/indicators/passenger-cars-per-1000-people/cuba/</w:t>
        </w:r>
      </w:hyperlink>
      <w:r w:rsidRPr="00A75D61">
        <w:rPr>
          <w:lang w:val="en-GB"/>
        </w:rPr>
        <w:t xml:space="preserve"> [Accessed 07 November 2025]  </w:t>
      </w:r>
    </w:p>
    <w:p w14:paraId="3D1B928F" w14:textId="77777777" w:rsidR="002D3120" w:rsidRPr="00A75D61" w:rsidRDefault="002D3120" w:rsidP="00A75D61">
      <w:pPr>
        <w:rPr>
          <w:lang w:val="en-GB"/>
        </w:rPr>
      </w:pPr>
      <w:r w:rsidRPr="00A75D61">
        <w:rPr>
          <w:lang w:val="en-GB"/>
        </w:rPr>
        <w:t>Helms, M.M. and Nixon, J., 2010. Exploring SWOT analysis–where are we now? A review of academic research from the last decade. Journal of strategy and management, 3(3), pp.215-251.</w:t>
      </w:r>
      <w:hyperlink r:id="rId28">
        <w:r w:rsidRPr="00A75D61">
          <w:rPr>
            <w:color w:val="1155CC"/>
            <w:u w:val="single"/>
            <w:lang w:val="en-GB"/>
          </w:rPr>
          <w:t>https://members.bestbusinesscoach.ca/wp-content/uploads/2022/11/Exploring-SWOT-analysis-%E2%80%93-where-are-we-now-A-review-of-academic-research-from-the-last-decade-2.pdf</w:t>
        </w:r>
      </w:hyperlink>
      <w:r w:rsidRPr="00A75D61">
        <w:rPr>
          <w:lang w:val="en-GB"/>
        </w:rPr>
        <w:t xml:space="preserve"> </w:t>
      </w:r>
    </w:p>
    <w:p w14:paraId="65D246D9" w14:textId="77777777" w:rsidR="002D3120" w:rsidRPr="00A75D61" w:rsidRDefault="002D3120" w:rsidP="00A75D61">
      <w:pPr>
        <w:spacing w:before="240" w:after="240"/>
        <w:rPr>
          <w:color w:val="1155CC"/>
          <w:u w:val="single"/>
          <w:lang w:val="en-GB"/>
        </w:rPr>
      </w:pPr>
      <w:r w:rsidRPr="00A75D61">
        <w:rPr>
          <w:lang w:val="en-GB"/>
        </w:rPr>
        <w:t xml:space="preserve">Hernández, A.M., Cervera, M.M.G. and Peláez, Y.P., 2022. IV. 1. Environmental management and energy policy in Cuba. </w:t>
      </w:r>
      <w:r w:rsidRPr="00A75D61">
        <w:rPr>
          <w:i/>
          <w:lang w:val="en-GB"/>
        </w:rPr>
        <w:t>Copyright© 2022 Writers &amp; Finland Futures Research Centre, University of Turku</w:t>
      </w:r>
      <w:r w:rsidRPr="00A75D61">
        <w:rPr>
          <w:lang w:val="en-GB"/>
        </w:rPr>
        <w:t xml:space="preserve">, p.300.  </w:t>
      </w:r>
      <w:hyperlink r:id="rId29" w:anchor="page=300">
        <w:r w:rsidRPr="00A75D61">
          <w:rPr>
            <w:color w:val="1155CC"/>
            <w:u w:val="single"/>
            <w:lang w:val="en-GB"/>
          </w:rPr>
          <w:t>https://www.researchgate.net/profile/Anaely-Saunders-Vazquez/publication/361471019_CUBAN_ENERGY_FUTURES_The_Transition_towards_a_Renewable_Energy_System_-_Political_Economic_Social_and_Environmental_Factors_FFRC_eBooks_32022/links/62b3608cdc817901fc737629/CUBAN-ENERGY-FUTURES-The-Transition-towards-a-Renewable-Energy-System-Political-Economic-Social-and-Environmental-Factors-FFRC-eBooks-3-2022.pdf#page=300</w:t>
        </w:r>
      </w:hyperlink>
    </w:p>
    <w:p w14:paraId="4EF4D6F0" w14:textId="77777777" w:rsidR="002D3120" w:rsidRPr="00A75D61" w:rsidRDefault="002D3120" w:rsidP="00A75D61">
      <w:pPr>
        <w:spacing w:before="240" w:after="240"/>
        <w:rPr>
          <w:lang w:val="en-GB"/>
        </w:rPr>
      </w:pPr>
      <w:r w:rsidRPr="00A75D61">
        <w:rPr>
          <w:lang w:val="en-GB"/>
        </w:rPr>
        <w:t xml:space="preserve">huffpost.com, 2013. </w:t>
      </w:r>
      <w:r w:rsidRPr="00A75D61">
        <w:rPr>
          <w:i/>
          <w:lang w:val="en-GB"/>
        </w:rPr>
        <w:t>Cuba’s Emerging Middle Class And Growing Private Sector</w:t>
      </w:r>
      <w:r w:rsidRPr="00A75D61">
        <w:rPr>
          <w:lang w:val="en-GB"/>
        </w:rPr>
        <w:t xml:space="preserve">. [online] HuffPost. Available at: </w:t>
      </w:r>
      <w:hyperlink r:id="rId30" w:history="1">
        <w:r w:rsidRPr="00A75D61">
          <w:rPr>
            <w:rStyle w:val="Hyperlink"/>
            <w:lang w:val="en-GB"/>
          </w:rPr>
          <w:t>https://www.huffpost.com/entry/cuba-middle-class_n_4260021</w:t>
        </w:r>
      </w:hyperlink>
      <w:r w:rsidRPr="00A75D61">
        <w:rPr>
          <w:lang w:val="en-GB"/>
        </w:rPr>
        <w:t xml:space="preserve">  [Accessed 7 Nov. 2025].</w:t>
      </w:r>
    </w:p>
    <w:p w14:paraId="21E68271" w14:textId="77777777" w:rsidR="002D3120" w:rsidRPr="00A75D61" w:rsidRDefault="002D3120" w:rsidP="00A75D61">
      <w:pPr>
        <w:spacing w:before="240" w:after="240"/>
        <w:rPr>
          <w:lang w:val="en-GB"/>
        </w:rPr>
      </w:pPr>
      <w:r w:rsidRPr="00A75D61">
        <w:rPr>
          <w:lang w:val="en-GB"/>
        </w:rPr>
        <w:t xml:space="preserve">investmentpolicy.unctad.org, 2020. </w:t>
      </w:r>
      <w:r w:rsidRPr="00A75D61">
        <w:rPr>
          <w:i/>
          <w:lang w:val="en-GB"/>
        </w:rPr>
        <w:t>Cuba - Foreign Investment Act | Investment Laws Navigator | UNCTAD Investment Policy Hub</w:t>
      </w:r>
      <w:r w:rsidRPr="00A75D61">
        <w:rPr>
          <w:lang w:val="en-GB"/>
        </w:rPr>
        <w:t>. [online] Available at:</w:t>
      </w:r>
      <w:hyperlink r:id="rId31">
        <w:r w:rsidRPr="00A75D61">
          <w:rPr>
            <w:lang w:val="en-GB"/>
          </w:rPr>
          <w:t xml:space="preserve"> </w:t>
        </w:r>
      </w:hyperlink>
      <w:hyperlink r:id="rId32">
        <w:r w:rsidRPr="00A75D61">
          <w:rPr>
            <w:color w:val="1155CC"/>
            <w:u w:val="single"/>
            <w:lang w:val="en-GB"/>
          </w:rPr>
          <w:t>https://investmentpolicy.unctad.org/investment-laws/laws/55/cuba-foreign-investment-act</w:t>
        </w:r>
      </w:hyperlink>
      <w:r w:rsidRPr="00A75D61">
        <w:rPr>
          <w:lang w:val="en-GB"/>
        </w:rPr>
        <w:t>.</w:t>
      </w:r>
    </w:p>
    <w:p w14:paraId="2326E6F2" w14:textId="77777777" w:rsidR="002D3120" w:rsidRPr="00A75D61" w:rsidRDefault="002D3120" w:rsidP="00A75D61">
      <w:pPr>
        <w:rPr>
          <w:lang w:val="en-GB"/>
        </w:rPr>
      </w:pPr>
      <w:r w:rsidRPr="00A75D61">
        <w:rPr>
          <w:lang w:val="en-GB"/>
        </w:rPr>
        <w:lastRenderedPageBreak/>
        <w:t>Isabelle, D., Horak, K., McKinnon, S. and Palumbo, C., 2020. Is Porter's Five Forces Framework Still Relevant? A study of the capital/labour intensity continuum via mining and IT industries. Technology innovation management review, 10(6).</w:t>
      </w:r>
      <w:hyperlink r:id="rId33">
        <w:r w:rsidRPr="00A75D61">
          <w:rPr>
            <w:color w:val="1155CC"/>
            <w:u w:val="single"/>
            <w:lang w:val="en-GB"/>
          </w:rPr>
          <w:t>https://www.timreview.ca/sites/default/files/article_PDF/TIMReview_2020_June%20-%203.pdf</w:t>
        </w:r>
      </w:hyperlink>
      <w:r w:rsidRPr="00A75D61">
        <w:rPr>
          <w:lang w:val="en-GB"/>
        </w:rPr>
        <w:t xml:space="preserve"> </w:t>
      </w:r>
    </w:p>
    <w:p w14:paraId="267686BE" w14:textId="77777777" w:rsidR="002D3120" w:rsidRPr="00A75D61" w:rsidRDefault="002D3120" w:rsidP="00A75D61">
      <w:pPr>
        <w:rPr>
          <w:lang w:val="en-GB"/>
        </w:rPr>
      </w:pPr>
      <w:r w:rsidRPr="00A75D61">
        <w:rPr>
          <w:lang w:val="en-GB"/>
        </w:rPr>
        <w:t>Kageyama, Y., 2023. Toyota’s CEO-to-be outlines leadership team bullish on EVs. Available at:</w:t>
      </w:r>
      <w:hyperlink r:id="rId34">
        <w:r w:rsidRPr="00A75D61">
          <w:rPr>
            <w:color w:val="1155CC"/>
            <w:u w:val="single"/>
            <w:lang w:val="en-GB"/>
          </w:rPr>
          <w:t>https://apnews.com/article/toyota-motor-corp-japan-business-ba481e3067d04520b99d2be8ce51ac5a</w:t>
        </w:r>
      </w:hyperlink>
      <w:r w:rsidRPr="00A75D61">
        <w:rPr>
          <w:lang w:val="en-GB"/>
        </w:rPr>
        <w:t xml:space="preserve"> [Accessed 07 November 2025]</w:t>
      </w:r>
    </w:p>
    <w:p w14:paraId="2C1BDCAC" w14:textId="77777777" w:rsidR="002D3120" w:rsidRPr="00A75D61" w:rsidRDefault="002D3120" w:rsidP="00A75D61">
      <w:pPr>
        <w:rPr>
          <w:lang w:val="en-GB"/>
        </w:rPr>
      </w:pPr>
      <w:r w:rsidRPr="00A75D61">
        <w:rPr>
          <w:lang w:val="en-GB"/>
        </w:rPr>
        <w:t>Kageyama, Y., 2024. Toyota apologises for cheating on vehicle testing and halts production of three models. Available at:</w:t>
      </w:r>
      <w:hyperlink r:id="rId35">
        <w:r w:rsidRPr="00A75D61">
          <w:rPr>
            <w:color w:val="1155CC"/>
            <w:u w:val="single"/>
            <w:lang w:val="en-GB"/>
          </w:rPr>
          <w:t>https://apnews.com/article/toyota-certification-cheating-japan-automakers-scandal-26585a96df2a32f7d67a4011a0a98772</w:t>
        </w:r>
      </w:hyperlink>
      <w:r w:rsidRPr="00A75D61">
        <w:rPr>
          <w:lang w:val="en-GB"/>
        </w:rPr>
        <w:t xml:space="preserve"> [Accessed 07 November 2025]</w:t>
      </w:r>
    </w:p>
    <w:p w14:paraId="43ED8E6C" w14:textId="77777777" w:rsidR="002D3120" w:rsidRPr="00A75D61" w:rsidRDefault="002D3120" w:rsidP="00A75D61">
      <w:pPr>
        <w:spacing w:before="240" w:after="240"/>
        <w:rPr>
          <w:color w:val="1155CC"/>
          <w:u w:val="single"/>
          <w:lang w:val="en-GB"/>
        </w:rPr>
      </w:pPr>
      <w:r w:rsidRPr="00A75D61">
        <w:rPr>
          <w:lang w:val="en-GB"/>
        </w:rPr>
        <w:t xml:space="preserve">Kawai, T., 2022. Evaluation of Toyota’s Strategy for Electric Vehicles in Counteracting Platformers—Based on the Theories of Dynamic Managerial Capabilities and Dynamic Platform Strategy—. </w:t>
      </w:r>
      <w:r w:rsidRPr="00A75D61">
        <w:rPr>
          <w:i/>
          <w:lang w:val="en-GB"/>
        </w:rPr>
        <w:t>Journal of Strategic Management Studies</w:t>
      </w:r>
      <w:r w:rsidRPr="00A75D61">
        <w:rPr>
          <w:lang w:val="en-GB"/>
        </w:rPr>
        <w:t xml:space="preserve">, </w:t>
      </w:r>
      <w:r w:rsidRPr="00A75D61">
        <w:rPr>
          <w:i/>
          <w:lang w:val="en-GB"/>
        </w:rPr>
        <w:t>14</w:t>
      </w:r>
      <w:r w:rsidRPr="00A75D61">
        <w:rPr>
          <w:lang w:val="en-GB"/>
        </w:rPr>
        <w:t xml:space="preserve">(1), pp.67-87.  </w:t>
      </w:r>
      <w:hyperlink r:id="rId36">
        <w:r w:rsidRPr="00A75D61">
          <w:rPr>
            <w:color w:val="1155CC"/>
            <w:u w:val="single"/>
            <w:lang w:val="en-GB"/>
          </w:rPr>
          <w:t>https://www.jstage.jst.go.jp/article/iasme/14/1/14_140105/_pdf</w:t>
        </w:r>
      </w:hyperlink>
    </w:p>
    <w:p w14:paraId="0B7D9A35" w14:textId="77777777" w:rsidR="002D3120" w:rsidRPr="00A75D61" w:rsidRDefault="002D3120" w:rsidP="00A75D61">
      <w:pPr>
        <w:spacing w:before="240" w:after="240"/>
        <w:rPr>
          <w:color w:val="1155CC"/>
          <w:u w:val="single"/>
          <w:lang w:val="en-GB"/>
        </w:rPr>
      </w:pPr>
      <w:r w:rsidRPr="00A75D61">
        <w:rPr>
          <w:lang w:val="en-GB"/>
        </w:rPr>
        <w:t xml:space="preserve">Qomaro, G.W., Nasrulloh, N. and Salleh, A.Z., 2024. Leveraging The Ansoff Matrix for Strategic Growth in Packaged Food Micro-Enterprises. </w:t>
      </w:r>
      <w:r w:rsidRPr="00A75D61">
        <w:rPr>
          <w:i/>
          <w:lang w:val="en-GB"/>
        </w:rPr>
        <w:t>Dinar: Jurnal Ekonomi dan Keuangan Islam</w:t>
      </w:r>
      <w:r w:rsidRPr="00A75D61">
        <w:rPr>
          <w:lang w:val="en-GB"/>
        </w:rPr>
        <w:t xml:space="preserve">, </w:t>
      </w:r>
      <w:r w:rsidRPr="00A75D61">
        <w:rPr>
          <w:i/>
          <w:lang w:val="en-GB"/>
        </w:rPr>
        <w:t>11</w:t>
      </w:r>
      <w:r w:rsidRPr="00A75D61">
        <w:rPr>
          <w:lang w:val="en-GB"/>
        </w:rPr>
        <w:t xml:space="preserve">(1), pp.51-66.  </w:t>
      </w:r>
      <w:hyperlink r:id="rId37">
        <w:r w:rsidRPr="00A75D61">
          <w:rPr>
            <w:color w:val="1155CC"/>
            <w:u w:val="single"/>
            <w:lang w:val="en-GB"/>
          </w:rPr>
          <w:t>https://journal.trunojoyo.ac.id/dinar/article/download/27163/10382</w:t>
        </w:r>
      </w:hyperlink>
    </w:p>
    <w:p w14:paraId="6C9195FA" w14:textId="77777777" w:rsidR="002D3120" w:rsidRPr="00A75D61" w:rsidRDefault="002D3120" w:rsidP="00A75D61">
      <w:pPr>
        <w:spacing w:before="240" w:after="240"/>
        <w:rPr>
          <w:color w:val="1155CC"/>
          <w:u w:val="single"/>
          <w:lang w:val="en-GB"/>
        </w:rPr>
      </w:pPr>
      <w:r w:rsidRPr="00A75D61">
        <w:rPr>
          <w:lang w:val="en-GB"/>
        </w:rPr>
        <w:t xml:space="preserve">Radmanesh, H., 2018. Marketing Challenges and Strategies for Internationalization of Service Firms. </w:t>
      </w:r>
      <w:r w:rsidRPr="00A75D61">
        <w:rPr>
          <w:i/>
          <w:lang w:val="en-GB"/>
        </w:rPr>
        <w:t>International Research in Economics and Finance</w:t>
      </w:r>
      <w:r w:rsidRPr="00A75D61">
        <w:rPr>
          <w:lang w:val="en-GB"/>
        </w:rPr>
        <w:t xml:space="preserve">, </w:t>
      </w:r>
      <w:r w:rsidRPr="00A75D61">
        <w:rPr>
          <w:i/>
          <w:lang w:val="en-GB"/>
        </w:rPr>
        <w:t>2</w:t>
      </w:r>
      <w:r w:rsidRPr="00A75D61">
        <w:rPr>
          <w:lang w:val="en-GB"/>
        </w:rPr>
        <w:t>(2), p.33.</w:t>
      </w:r>
      <w:hyperlink r:id="rId38">
        <w:r w:rsidRPr="00A75D61">
          <w:rPr>
            <w:lang w:val="en-GB"/>
          </w:rPr>
          <w:t xml:space="preserve"> </w:t>
        </w:r>
      </w:hyperlink>
      <w:hyperlink r:id="rId39">
        <w:r w:rsidRPr="00A75D61">
          <w:rPr>
            <w:color w:val="1155CC"/>
            <w:u w:val="single"/>
            <w:lang w:val="en-GB"/>
          </w:rPr>
          <w:t>https://www.researchgate.net/profile/Hamidreza-Radmanesh/publication/328448705_Marketing_Challenges_and_Strategies_for_Internationalization_of_Service_Firms/links/5bceba06a6fdcc204a0133e9/Marketing-Challenges-and-Strategies-for-Internationalization-of-Service-Firms.pdf?_sg%5B0%5D=started_experiment_milestone&amp;origin=journalDetail</w:t>
        </w:r>
      </w:hyperlink>
    </w:p>
    <w:p w14:paraId="283396E7" w14:textId="77777777" w:rsidR="002D3120" w:rsidRPr="00A75D61" w:rsidRDefault="002D3120" w:rsidP="00A75D61">
      <w:pPr>
        <w:spacing w:before="240" w:after="240"/>
        <w:rPr>
          <w:color w:val="1155CC"/>
          <w:u w:val="single"/>
          <w:lang w:val="en-GB"/>
        </w:rPr>
      </w:pPr>
      <w:r w:rsidRPr="00A75D61">
        <w:rPr>
          <w:lang w:val="en-GB"/>
        </w:rPr>
        <w:lastRenderedPageBreak/>
        <w:t xml:space="preserve">Sathiyamoorthy, G. and Roxia, R., 2025. The Triple Bottom Line Approach Fundamentals. </w:t>
      </w:r>
      <w:r w:rsidRPr="00A75D61">
        <w:rPr>
          <w:i/>
          <w:lang w:val="en-GB"/>
        </w:rPr>
        <w:t>Green Solutions A Handbook for Sustainable Business Strategies and Models</w:t>
      </w:r>
      <w:r w:rsidRPr="00A75D61">
        <w:rPr>
          <w:lang w:val="en-GB"/>
        </w:rPr>
        <w:t>, p.330.</w:t>
      </w:r>
      <w:hyperlink r:id="rId40">
        <w:r w:rsidRPr="00A75D61">
          <w:rPr>
            <w:lang w:val="en-GB"/>
          </w:rPr>
          <w:t xml:space="preserve"> </w:t>
        </w:r>
      </w:hyperlink>
      <w:hyperlink r:id="rId41">
        <w:r w:rsidRPr="00A75D61">
          <w:rPr>
            <w:color w:val="1155CC"/>
            <w:u w:val="single"/>
            <w:lang w:val="en-GB"/>
          </w:rPr>
          <w:t>https://www.researchgate.net/profile/Roxia-R/publication/387424174_The_Triple_Bottom_Line_Approach_Fundamentals/links/6811a965bd3f1930dd67f891/The-Triple-Bottom-Line-Approach-Fundamentals.pdf</w:t>
        </w:r>
      </w:hyperlink>
    </w:p>
    <w:p w14:paraId="5E30D1CA" w14:textId="77777777" w:rsidR="002D3120" w:rsidRPr="00A75D61" w:rsidRDefault="002D3120" w:rsidP="00A75D61">
      <w:pPr>
        <w:rPr>
          <w:lang w:val="en-GB"/>
        </w:rPr>
      </w:pPr>
      <w:r w:rsidRPr="00A75D61">
        <w:rPr>
          <w:lang w:val="en-GB"/>
        </w:rPr>
        <w:t>Siddiqui, A.A., 2021. The use of Pestel analysis tool of quality management in the health care business and its advantages. Am J Biochem Biotechnol, 14, pp.507-12.</w:t>
      </w:r>
      <w:hyperlink r:id="rId42">
        <w:r w:rsidRPr="00A75D61">
          <w:rPr>
            <w:color w:val="1155CC"/>
            <w:u w:val="single"/>
            <w:lang w:val="en-GB"/>
          </w:rPr>
          <w: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w:t>
        </w:r>
      </w:hyperlink>
      <w:r w:rsidRPr="00A75D61">
        <w:rPr>
          <w:lang w:val="en-GB"/>
        </w:rPr>
        <w:t xml:space="preserve"> </w:t>
      </w:r>
    </w:p>
    <w:p w14:paraId="11ED233A" w14:textId="77777777" w:rsidR="002D3120" w:rsidRPr="00A75D61" w:rsidRDefault="002D3120" w:rsidP="00A75D61">
      <w:pPr>
        <w:spacing w:before="240" w:after="240"/>
        <w:rPr>
          <w:color w:val="1155CC"/>
          <w:u w:val="single"/>
          <w:lang w:val="en-GB"/>
        </w:rPr>
      </w:pPr>
      <w:r w:rsidRPr="00A75D61">
        <w:rPr>
          <w:lang w:val="en-GB"/>
        </w:rPr>
        <w:t xml:space="preserve">Šmelc, P. and Vlčková, J., 2022. Mapping MNEs in Cuba and barriers to their growth. </w:t>
      </w:r>
      <w:r w:rsidRPr="00A75D61">
        <w:rPr>
          <w:i/>
          <w:lang w:val="en-GB"/>
        </w:rPr>
        <w:t>AUC GEOGRAPHICA</w:t>
      </w:r>
      <w:r w:rsidRPr="00A75D61">
        <w:rPr>
          <w:lang w:val="en-GB"/>
        </w:rPr>
        <w:t xml:space="preserve">, </w:t>
      </w:r>
      <w:r w:rsidRPr="00A75D61">
        <w:rPr>
          <w:i/>
          <w:lang w:val="en-GB"/>
        </w:rPr>
        <w:t>57</w:t>
      </w:r>
      <w:r w:rsidRPr="00A75D61">
        <w:rPr>
          <w:lang w:val="en-GB"/>
        </w:rPr>
        <w:t>(2), pp.189-204.</w:t>
      </w:r>
      <w:hyperlink r:id="rId43">
        <w:r w:rsidRPr="00A75D61">
          <w:rPr>
            <w:lang w:val="en-GB"/>
          </w:rPr>
          <w:t xml:space="preserve"> </w:t>
        </w:r>
      </w:hyperlink>
      <w:hyperlink r:id="rId44">
        <w:r w:rsidRPr="00A75D61">
          <w:rPr>
            <w:color w:val="1155CC"/>
            <w:u w:val="single"/>
            <w:lang w:val="en-GB"/>
          </w:rPr>
          <w:t>https://karolinum.cz/data/clanek/10922/Geogr_57_2_0189.pdf</w:t>
        </w:r>
      </w:hyperlink>
    </w:p>
    <w:p w14:paraId="516D30AD" w14:textId="77777777" w:rsidR="002D3120" w:rsidRPr="00A75D61" w:rsidRDefault="002D3120" w:rsidP="00A75D61">
      <w:pPr>
        <w:spacing w:before="240" w:after="240"/>
        <w:rPr>
          <w:lang w:val="en-GB"/>
        </w:rPr>
      </w:pPr>
      <w:r w:rsidRPr="00A75D61">
        <w:rPr>
          <w:lang w:val="en-GB"/>
        </w:rPr>
        <w:t xml:space="preserve">Statista, 2025. </w:t>
      </w:r>
      <w:r w:rsidRPr="00A75D61">
        <w:rPr>
          <w:i/>
          <w:lang w:val="en-GB"/>
        </w:rPr>
        <w:t>Passenger Cars - Cuba | Statista Market Forecast</w:t>
      </w:r>
      <w:r w:rsidRPr="00A75D61">
        <w:rPr>
          <w:lang w:val="en-GB"/>
        </w:rPr>
        <w:t>. [online] Available at:</w:t>
      </w:r>
      <w:hyperlink r:id="rId45">
        <w:r w:rsidRPr="00A75D61">
          <w:rPr>
            <w:lang w:val="en-GB"/>
          </w:rPr>
          <w:t xml:space="preserve"> </w:t>
        </w:r>
      </w:hyperlink>
      <w:hyperlink r:id="rId46">
        <w:r w:rsidRPr="00A75D61">
          <w:rPr>
            <w:color w:val="1155CC"/>
            <w:u w:val="single"/>
            <w:lang w:val="en-GB"/>
          </w:rPr>
          <w:t>https://www.statista.com/outlook/mmo/passenger-cars/cuba</w:t>
        </w:r>
      </w:hyperlink>
      <w:r w:rsidRPr="00A75D61">
        <w:rPr>
          <w:lang w:val="en-GB"/>
        </w:rPr>
        <w:t xml:space="preserve">. </w:t>
      </w:r>
    </w:p>
    <w:p w14:paraId="64F1370F" w14:textId="77777777" w:rsidR="002D3120" w:rsidRPr="00A75D61" w:rsidRDefault="002D3120" w:rsidP="00A75D61">
      <w:pPr>
        <w:rPr>
          <w:lang w:val="en-GB"/>
        </w:rPr>
      </w:pPr>
      <w:r w:rsidRPr="00A75D61">
        <w:rPr>
          <w:lang w:val="en-GB"/>
        </w:rPr>
        <w:t>Statista, 2025. Passenger Cars - Cuba. Available at:</w:t>
      </w:r>
      <w:hyperlink r:id="rId47">
        <w:r w:rsidRPr="00A75D61">
          <w:rPr>
            <w:color w:val="1155CC"/>
            <w:u w:val="single"/>
            <w:lang w:val="en-GB"/>
          </w:rPr>
          <w:t>https://www.statista.com/outlook/mmo/passenger-cars/cuba</w:t>
        </w:r>
      </w:hyperlink>
      <w:r w:rsidRPr="00A75D61">
        <w:rPr>
          <w:lang w:val="en-GB"/>
        </w:rPr>
        <w:t xml:space="preserve"> [Accessed 07 November 2025] </w:t>
      </w:r>
    </w:p>
    <w:p w14:paraId="14DA2EF7" w14:textId="77777777" w:rsidR="002D3120" w:rsidRPr="00A75D61" w:rsidRDefault="002D3120" w:rsidP="00A75D61">
      <w:pPr>
        <w:rPr>
          <w:lang w:val="en-GB"/>
        </w:rPr>
      </w:pPr>
      <w:r w:rsidRPr="00A75D61">
        <w:rPr>
          <w:lang w:val="en-GB"/>
        </w:rPr>
        <w:t>The Global Economy, 2022. Cuba: Social globalisation. Available at:</w:t>
      </w:r>
      <w:hyperlink r:id="rId48">
        <w:r w:rsidRPr="00A75D61">
          <w:rPr>
            <w:color w:val="1155CC"/>
            <w:u w:val="single"/>
            <w:lang w:val="en-GB"/>
          </w:rPr>
          <w:t>https://www.theglobaleconomy.com/Cuba/kof_soc_glob/</w:t>
        </w:r>
      </w:hyperlink>
      <w:r w:rsidRPr="00A75D61">
        <w:rPr>
          <w:lang w:val="en-GB"/>
        </w:rPr>
        <w:t xml:space="preserve"> [Accessed 07 November 2025]  </w:t>
      </w:r>
    </w:p>
    <w:p w14:paraId="11487E85" w14:textId="77777777" w:rsidR="002D3120" w:rsidRPr="00A75D61" w:rsidRDefault="002D3120" w:rsidP="00A75D61">
      <w:pPr>
        <w:rPr>
          <w:lang w:val="en-GB"/>
        </w:rPr>
      </w:pPr>
      <w:r w:rsidRPr="00A75D61">
        <w:rPr>
          <w:lang w:val="en-GB"/>
        </w:rPr>
        <w:t xml:space="preserve">The Global Economy, 2025. Cuba: Business freedom. Available at: </w:t>
      </w:r>
      <w:hyperlink r:id="rId49">
        <w:r w:rsidRPr="00A75D61">
          <w:rPr>
            <w:color w:val="1155CC"/>
            <w:u w:val="single"/>
            <w:lang w:val="en-GB"/>
          </w:rPr>
          <w:t>https://www.theglobaleconomy.com/Cuba/herit_business_freedom/</w:t>
        </w:r>
      </w:hyperlink>
      <w:r w:rsidRPr="00A75D61">
        <w:rPr>
          <w:lang w:val="en-GB"/>
        </w:rPr>
        <w:t xml:space="preserve"> [Accessed 07 November 2025]  </w:t>
      </w:r>
    </w:p>
    <w:p w14:paraId="252A5E0E" w14:textId="77777777" w:rsidR="002D3120" w:rsidRPr="00A75D61" w:rsidRDefault="002D3120" w:rsidP="00A75D61">
      <w:pPr>
        <w:spacing w:before="240" w:after="240"/>
        <w:rPr>
          <w:lang w:val="en-GB"/>
        </w:rPr>
      </w:pPr>
      <w:r w:rsidRPr="00A75D61">
        <w:rPr>
          <w:lang w:val="en-GB"/>
        </w:rPr>
        <w:lastRenderedPageBreak/>
        <w:t xml:space="preserve">Toyota CY. 2024. </w:t>
      </w:r>
      <w:r w:rsidRPr="00A75D61">
        <w:rPr>
          <w:i/>
          <w:lang w:val="en-GB"/>
        </w:rPr>
        <w:t>Are hybrids fuel efficient?</w:t>
      </w:r>
      <w:r w:rsidRPr="00A75D61">
        <w:rPr>
          <w:lang w:val="en-GB"/>
        </w:rPr>
        <w:t xml:space="preserve"> [online] Available at:</w:t>
      </w:r>
      <w:hyperlink r:id="rId50">
        <w:r w:rsidRPr="00A75D61">
          <w:rPr>
            <w:lang w:val="en-GB"/>
          </w:rPr>
          <w:t xml:space="preserve"> </w:t>
        </w:r>
      </w:hyperlink>
      <w:hyperlink r:id="rId51">
        <w:r w:rsidRPr="00A75D61">
          <w:rPr>
            <w:color w:val="1155CC"/>
            <w:u w:val="single"/>
            <w:lang w:val="en-GB"/>
          </w:rPr>
          <w:t>https://www.toyota.com.cy/electrified/hybrid/are-hybrids-fuel-efficient</w:t>
        </w:r>
      </w:hyperlink>
      <w:r w:rsidRPr="00A75D61">
        <w:rPr>
          <w:lang w:val="en-GB"/>
        </w:rPr>
        <w:t>.</w:t>
      </w:r>
    </w:p>
    <w:p w14:paraId="6566F93A" w14:textId="77777777" w:rsidR="002D3120" w:rsidRPr="00A75D61" w:rsidRDefault="002D3120" w:rsidP="00A75D61">
      <w:pPr>
        <w:rPr>
          <w:lang w:val="en-GB"/>
        </w:rPr>
      </w:pPr>
      <w:r w:rsidRPr="00A75D61">
        <w:rPr>
          <w:lang w:val="en-GB"/>
        </w:rPr>
        <w:t xml:space="preserve">Toyota Global, 2025. Overview. Available at: </w:t>
      </w:r>
      <w:hyperlink r:id="rId52">
        <w:r w:rsidRPr="00A75D61">
          <w:rPr>
            <w:color w:val="1155CC"/>
            <w:u w:val="single"/>
            <w:lang w:val="en-GB"/>
          </w:rPr>
          <w:t>https://global.toyota/en/company/profile/overview/?padid=ag478_from_header_menu</w:t>
        </w:r>
      </w:hyperlink>
      <w:r w:rsidRPr="00A75D61">
        <w:rPr>
          <w:lang w:val="en-GB"/>
        </w:rPr>
        <w:t xml:space="preserve"> [Accessed 07 November 2025]</w:t>
      </w:r>
    </w:p>
    <w:p w14:paraId="3A74247A" w14:textId="77777777" w:rsidR="002D3120" w:rsidRPr="00A75D61" w:rsidRDefault="002D3120" w:rsidP="00A75D61">
      <w:pPr>
        <w:rPr>
          <w:lang w:val="en-GB"/>
        </w:rPr>
      </w:pPr>
      <w:r w:rsidRPr="00A75D61">
        <w:rPr>
          <w:lang w:val="en-GB"/>
        </w:rPr>
        <w:t>Toyota Global, 2025a. Toyota in the world. Available at:</w:t>
      </w:r>
      <w:hyperlink r:id="rId53">
        <w:r w:rsidRPr="00A75D61">
          <w:rPr>
            <w:color w:val="1155CC"/>
            <w:u w:val="single"/>
            <w:lang w:val="en-GB"/>
          </w:rPr>
          <w:t>https://www.toyota.ie/discover-toyota/about-us/toyota-in-the-world</w:t>
        </w:r>
      </w:hyperlink>
      <w:r w:rsidRPr="00A75D61">
        <w:rPr>
          <w:lang w:val="en-GB"/>
        </w:rPr>
        <w:t xml:space="preserve"> [Accessed 07 November 2025] </w:t>
      </w:r>
    </w:p>
    <w:p w14:paraId="14A82035" w14:textId="77777777" w:rsidR="002D3120" w:rsidRPr="00A75D61" w:rsidRDefault="002D3120" w:rsidP="00A75D61">
      <w:pPr>
        <w:spacing w:before="240" w:after="240"/>
        <w:rPr>
          <w:lang w:val="en-GB"/>
        </w:rPr>
      </w:pPr>
      <w:r w:rsidRPr="00A75D61">
        <w:rPr>
          <w:lang w:val="en-GB"/>
        </w:rPr>
        <w:t xml:space="preserve">Toyota Media Site, 2016. </w:t>
      </w:r>
      <w:r w:rsidRPr="00A75D61">
        <w:rPr>
          <w:i/>
          <w:lang w:val="en-GB"/>
        </w:rPr>
        <w:t>Toyota Motor Manufacturing UK: 20 Years Of Quality And Progress</w:t>
      </w:r>
      <w:r w:rsidRPr="00A75D61">
        <w:rPr>
          <w:lang w:val="en-GB"/>
        </w:rPr>
        <w:t>. [online] Available at:</w:t>
      </w:r>
      <w:hyperlink r:id="rId54">
        <w:r w:rsidRPr="00A75D61">
          <w:rPr>
            <w:lang w:val="en-GB"/>
          </w:rPr>
          <w:t xml:space="preserve"> </w:t>
        </w:r>
      </w:hyperlink>
      <w:hyperlink r:id="rId55">
        <w:r w:rsidRPr="00A75D61">
          <w:rPr>
            <w:color w:val="1155CC"/>
            <w:u w:val="single"/>
            <w:lang w:val="en-GB"/>
          </w:rPr>
          <w:t>https://media.toyota.co.uk/toyota-motor-manufacturing-uk-20-years-of-quality-and-progress/</w:t>
        </w:r>
      </w:hyperlink>
      <w:r w:rsidRPr="00A75D61">
        <w:rPr>
          <w:lang w:val="en-GB"/>
        </w:rPr>
        <w:t>.</w:t>
      </w:r>
    </w:p>
    <w:p w14:paraId="10E85A76" w14:textId="77777777" w:rsidR="002D3120" w:rsidRPr="00A75D61" w:rsidRDefault="002D3120" w:rsidP="00A75D61">
      <w:pPr>
        <w:spacing w:before="240" w:after="240"/>
        <w:rPr>
          <w:lang w:val="en-GB"/>
        </w:rPr>
      </w:pPr>
      <w:r w:rsidRPr="00A75D61">
        <w:rPr>
          <w:lang w:val="en-GB"/>
        </w:rPr>
        <w:t xml:space="preserve">Toyota, 2023. </w:t>
      </w:r>
      <w:r w:rsidRPr="00A75D61">
        <w:rPr>
          <w:i/>
          <w:lang w:val="en-GB"/>
        </w:rPr>
        <w:t>Electrified</w:t>
      </w:r>
      <w:r w:rsidRPr="00A75D61">
        <w:rPr>
          <w:lang w:val="en-GB"/>
        </w:rPr>
        <w:t>. [online] www.toyota.com. Available at:</w:t>
      </w:r>
      <w:hyperlink r:id="rId56">
        <w:r w:rsidRPr="00A75D61">
          <w:rPr>
            <w:lang w:val="en-GB"/>
          </w:rPr>
          <w:t xml:space="preserve"> </w:t>
        </w:r>
      </w:hyperlink>
      <w:hyperlink r:id="rId57">
        <w:r w:rsidRPr="00A75D61">
          <w:rPr>
            <w:color w:val="1155CC"/>
            <w:u w:val="single"/>
            <w:lang w:val="en-GB"/>
          </w:rPr>
          <w:t>https://www.toyota.com/electrified-vehicles/</w:t>
        </w:r>
      </w:hyperlink>
      <w:r w:rsidRPr="00A75D61">
        <w:rPr>
          <w:lang w:val="en-GB"/>
        </w:rPr>
        <w:t>.</w:t>
      </w:r>
    </w:p>
    <w:p w14:paraId="3CE3261A" w14:textId="77777777" w:rsidR="002D3120" w:rsidRPr="00A75D61" w:rsidRDefault="002D3120" w:rsidP="00A75D61">
      <w:pPr>
        <w:spacing w:before="240" w:after="240"/>
        <w:rPr>
          <w:lang w:val="en-GB"/>
        </w:rPr>
      </w:pPr>
      <w:r w:rsidRPr="00A75D61">
        <w:rPr>
          <w:lang w:val="en-GB"/>
        </w:rPr>
        <w:t xml:space="preserve">Toyota, 2024. </w:t>
      </w:r>
      <w:r w:rsidRPr="00A75D61">
        <w:rPr>
          <w:i/>
          <w:lang w:val="en-GB"/>
        </w:rPr>
        <w:t>Sustainability | Toyota Motor Corporation Official Global Website</w:t>
      </w:r>
      <w:r w:rsidRPr="00A75D61">
        <w:rPr>
          <w:lang w:val="en-GB"/>
        </w:rPr>
        <w:t>. [online] Toyota Motor Corporation Official Global Website. Available at:</w:t>
      </w:r>
      <w:hyperlink r:id="rId58">
        <w:r w:rsidRPr="00A75D61">
          <w:rPr>
            <w:lang w:val="en-GB"/>
          </w:rPr>
          <w:t xml:space="preserve"> </w:t>
        </w:r>
      </w:hyperlink>
      <w:hyperlink r:id="rId59">
        <w:r w:rsidRPr="00A75D61">
          <w:rPr>
            <w:color w:val="1155CC"/>
            <w:u w:val="single"/>
            <w:lang w:val="en-GB"/>
          </w:rPr>
          <w:t>https://global.toyota/en/sustainability/</w:t>
        </w:r>
      </w:hyperlink>
      <w:r w:rsidRPr="00A75D61">
        <w:rPr>
          <w:lang w:val="en-GB"/>
        </w:rPr>
        <w:t>.</w:t>
      </w:r>
    </w:p>
    <w:p w14:paraId="713986FD" w14:textId="77777777" w:rsidR="002D3120" w:rsidRPr="00A75D61" w:rsidRDefault="002D3120" w:rsidP="00A75D61">
      <w:pPr>
        <w:spacing w:before="240" w:after="240"/>
        <w:rPr>
          <w:lang w:val="en-GB"/>
        </w:rPr>
      </w:pPr>
      <w:r w:rsidRPr="00A75D61">
        <w:rPr>
          <w:lang w:val="en-GB"/>
        </w:rPr>
        <w:t xml:space="preserve">Toyota, 2025. </w:t>
      </w:r>
      <w:r w:rsidRPr="00A75D61">
        <w:rPr>
          <w:i/>
          <w:lang w:val="en-GB"/>
        </w:rPr>
        <w:t>Toyota Production System</w:t>
      </w:r>
      <w:r w:rsidRPr="00A75D61">
        <w:rPr>
          <w:lang w:val="en-GB"/>
        </w:rPr>
        <w:t>. [online] Toyota Motor Corporation Official Global Website. Available at:</w:t>
      </w:r>
      <w:hyperlink r:id="rId60">
        <w:r w:rsidRPr="00A75D61">
          <w:rPr>
            <w:lang w:val="en-GB"/>
          </w:rPr>
          <w:t xml:space="preserve"> </w:t>
        </w:r>
      </w:hyperlink>
      <w:hyperlink r:id="rId61">
        <w:r w:rsidRPr="00A75D61">
          <w:rPr>
            <w:color w:val="1155CC"/>
            <w:u w:val="single"/>
            <w:lang w:val="en-GB"/>
          </w:rPr>
          <w:t>https://global.toyota/en/company/vision-and-philosophy/production-system/</w:t>
        </w:r>
      </w:hyperlink>
      <w:r w:rsidRPr="00A75D61">
        <w:rPr>
          <w:lang w:val="en-GB"/>
        </w:rPr>
        <w:t>.</w:t>
      </w:r>
    </w:p>
    <w:p w14:paraId="46FC860E" w14:textId="77777777" w:rsidR="002D3120" w:rsidRPr="00A75D61" w:rsidRDefault="002D3120" w:rsidP="00A75D61">
      <w:pPr>
        <w:spacing w:before="240" w:after="240"/>
        <w:rPr>
          <w:lang w:val="en-GB"/>
        </w:rPr>
      </w:pPr>
      <w:r w:rsidRPr="00A75D61">
        <w:rPr>
          <w:lang w:val="en-GB"/>
        </w:rPr>
        <w:t xml:space="preserve">toyota.com, 2022. </w:t>
      </w:r>
      <w:r w:rsidRPr="00A75D61">
        <w:rPr>
          <w:i/>
          <w:lang w:val="en-GB"/>
        </w:rPr>
        <w:t>Water</w:t>
      </w:r>
      <w:r w:rsidRPr="00A75D61">
        <w:rPr>
          <w:lang w:val="en-GB"/>
        </w:rPr>
        <w:t xml:space="preserve">. [online] Available at: </w:t>
      </w:r>
      <w:hyperlink r:id="rId62" w:history="1">
        <w:r w:rsidRPr="00A75D61">
          <w:rPr>
            <w:rStyle w:val="Hyperlink"/>
            <w:lang w:val="en-GB"/>
          </w:rPr>
          <w:t>https://www.toyota.com/usa/environmentalsustainability/water</w:t>
        </w:r>
      </w:hyperlink>
      <w:r w:rsidRPr="00A75D61">
        <w:rPr>
          <w:lang w:val="en-GB"/>
        </w:rPr>
        <w:t xml:space="preserve">. </w:t>
      </w:r>
    </w:p>
    <w:p w14:paraId="60AFA186" w14:textId="77777777" w:rsidR="002D3120" w:rsidRPr="00A75D61" w:rsidRDefault="002D3120" w:rsidP="00A75D61">
      <w:pPr>
        <w:spacing w:before="240" w:after="240"/>
        <w:rPr>
          <w:lang w:val="en-GB"/>
        </w:rPr>
      </w:pPr>
      <w:r w:rsidRPr="00A75D61">
        <w:rPr>
          <w:lang w:val="en-GB"/>
        </w:rPr>
        <w:t xml:space="preserve">U.S. Department of State. 2017. </w:t>
      </w:r>
      <w:r w:rsidRPr="00A75D61">
        <w:rPr>
          <w:i/>
          <w:lang w:val="en-GB"/>
        </w:rPr>
        <w:t>Cuba (05/07)</w:t>
      </w:r>
      <w:r w:rsidRPr="00A75D61">
        <w:rPr>
          <w:lang w:val="en-GB"/>
        </w:rPr>
        <w:t>. [online] Available at:</w:t>
      </w:r>
      <w:hyperlink r:id="rId63">
        <w:r w:rsidRPr="00A75D61">
          <w:rPr>
            <w:lang w:val="en-GB"/>
          </w:rPr>
          <w:t xml:space="preserve"> </w:t>
        </w:r>
      </w:hyperlink>
      <w:hyperlink r:id="rId64">
        <w:r w:rsidRPr="00A75D61">
          <w:rPr>
            <w:color w:val="1155CC"/>
            <w:u w:val="single"/>
            <w:lang w:val="en-GB"/>
          </w:rPr>
          <w:t>https://2009-2017.state.gov/outofdate/bgn/cuba/85033.htm</w:t>
        </w:r>
      </w:hyperlink>
      <w:r w:rsidRPr="00A75D61">
        <w:rPr>
          <w:lang w:val="en-GB"/>
        </w:rPr>
        <w:t>.</w:t>
      </w:r>
    </w:p>
    <w:p w14:paraId="4CD474BC" w14:textId="77777777" w:rsidR="002D3120" w:rsidRPr="00A75D61" w:rsidRDefault="002D3120" w:rsidP="00A75D61">
      <w:pPr>
        <w:spacing w:before="240" w:after="240"/>
        <w:rPr>
          <w:b/>
          <w:color w:val="1155CC"/>
          <w:u w:val="single"/>
          <w:lang w:val="en-GB"/>
        </w:rPr>
      </w:pPr>
      <w:r w:rsidRPr="00A75D61">
        <w:rPr>
          <w:lang w:val="en-GB"/>
        </w:rPr>
        <w:t xml:space="preserve">Vergel-Alfonso, A.A., Acosta-Martínez, D.R., Arencibia-Sánchez, J.A., Rodríguez-Félix, F., Reyes-Delgado, Y., González-Morales, R.V., Benítez-Sánchez, R., Gonzalez-Bravo, A.L. and Tapia-Hernández, J.A., 2024. Engineering Implementation of the Acosta </w:t>
      </w:r>
      <w:r w:rsidRPr="00A75D61">
        <w:rPr>
          <w:lang w:val="en-GB"/>
        </w:rPr>
        <w:lastRenderedPageBreak/>
        <w:t xml:space="preserve">Fermentation Method to Obtain Cuban Schnapps with Reduced Concentrations of Higher Alcohols. </w:t>
      </w:r>
      <w:r w:rsidRPr="00A75D61">
        <w:rPr>
          <w:i/>
          <w:lang w:val="en-GB"/>
        </w:rPr>
        <w:t>Processes</w:t>
      </w:r>
      <w:r w:rsidRPr="00A75D61">
        <w:rPr>
          <w:lang w:val="en-GB"/>
        </w:rPr>
        <w:t xml:space="preserve">, </w:t>
      </w:r>
      <w:r w:rsidRPr="00A75D61">
        <w:rPr>
          <w:i/>
          <w:lang w:val="en-GB"/>
        </w:rPr>
        <w:t>12</w:t>
      </w:r>
      <w:r w:rsidRPr="00A75D61">
        <w:rPr>
          <w:lang w:val="en-GB"/>
        </w:rPr>
        <w:t>(6), p.1064. DOI:</w:t>
      </w:r>
      <w:hyperlink r:id="rId65">
        <w:r w:rsidRPr="00A75D61">
          <w:rPr>
            <w:lang w:val="en-GB"/>
          </w:rPr>
          <w:t xml:space="preserve"> </w:t>
        </w:r>
      </w:hyperlink>
      <w:hyperlink r:id="rId66">
        <w:r w:rsidRPr="00A75D61">
          <w:rPr>
            <w:b/>
            <w:color w:val="1155CC"/>
            <w:u w:val="single"/>
            <w:lang w:val="en-GB"/>
          </w:rPr>
          <w:t>https://doi.org/10.3390/pr12061064</w:t>
        </w:r>
      </w:hyperlink>
    </w:p>
    <w:p w14:paraId="0D8F2F16" w14:textId="77777777" w:rsidR="002D3120" w:rsidRPr="00A75D61" w:rsidRDefault="002D3120" w:rsidP="00A75D61">
      <w:pPr>
        <w:rPr>
          <w:lang w:val="en-GB"/>
        </w:rPr>
      </w:pPr>
      <w:r w:rsidRPr="00A75D61">
        <w:rPr>
          <w:lang w:val="en-GB"/>
        </w:rPr>
        <w:t xml:space="preserve">World Bank, 2023. GDP growth (annual %) - Cuba. Available at: </w:t>
      </w:r>
      <w:hyperlink r:id="rId67">
        <w:r w:rsidRPr="00A75D61">
          <w:rPr>
            <w:color w:val="1155CC"/>
            <w:u w:val="single"/>
            <w:lang w:val="en-GB"/>
          </w:rPr>
          <w:t>https://data.worldbank.org/indicator/NY.GDP.MKTP.KD.ZG?locations=CU</w:t>
        </w:r>
      </w:hyperlink>
      <w:r w:rsidRPr="00A75D61">
        <w:rPr>
          <w:lang w:val="en-GB"/>
        </w:rPr>
        <w:t xml:space="preserve"> [Accessed 07 November 2025]  </w:t>
      </w:r>
    </w:p>
    <w:p w14:paraId="490E09DA" w14:textId="77777777" w:rsidR="002D3120" w:rsidRPr="00A75D61" w:rsidRDefault="002D3120" w:rsidP="00A75D61">
      <w:pPr>
        <w:rPr>
          <w:lang w:val="en-GB"/>
        </w:rPr>
      </w:pPr>
      <w:r w:rsidRPr="00A75D61">
        <w:rPr>
          <w:lang w:val="en-GB"/>
        </w:rPr>
        <w:t>World Population Review, 2024. Corporate Tax Rates by Country 2025. Available at:</w:t>
      </w:r>
      <w:hyperlink r:id="rId68">
        <w:r w:rsidRPr="00A75D61">
          <w:rPr>
            <w:color w:val="1155CC"/>
            <w:u w:val="single"/>
            <w:lang w:val="en-GB"/>
          </w:rPr>
          <w:t>https://worldpopulationreview.com/country-rankings/corporate-tax-rates-by-country</w:t>
        </w:r>
      </w:hyperlink>
      <w:r w:rsidRPr="00A75D61">
        <w:rPr>
          <w:lang w:val="en-GB"/>
        </w:rPr>
        <w:t xml:space="preserve"> [Accessed 07 November 2025]  </w:t>
      </w:r>
    </w:p>
    <w:p w14:paraId="3A9CC624" w14:textId="77777777" w:rsidR="002D3120" w:rsidRPr="00A75D61" w:rsidRDefault="002D3120" w:rsidP="00A75D61">
      <w:pPr>
        <w:rPr>
          <w:lang w:val="en-GB"/>
        </w:rPr>
      </w:pPr>
      <w:r w:rsidRPr="00A75D61">
        <w:rPr>
          <w:lang w:val="en-GB"/>
        </w:rPr>
        <w:t xml:space="preserve">XinhuaNet, 2018. Spotlight: Chinese car maker lands in the Cuban tourism market. Available at: </w:t>
      </w:r>
      <w:hyperlink r:id="rId69">
        <w:r w:rsidRPr="00A75D61">
          <w:rPr>
            <w:color w:val="1155CC"/>
            <w:u w:val="single"/>
            <w:lang w:val="en-GB"/>
          </w:rPr>
          <w:t>http://www.xinhuanet.com/english/2018-01/18/c_136904918.htm</w:t>
        </w:r>
      </w:hyperlink>
      <w:r w:rsidRPr="00A75D61">
        <w:rPr>
          <w:lang w:val="en-GB"/>
        </w:rPr>
        <w:t xml:space="preserve"> [Accessed 07 November 2025]</w:t>
      </w:r>
    </w:p>
    <w:p w14:paraId="2C9895B0" w14:textId="77777777" w:rsidR="000E7AC7" w:rsidRPr="00A75D61" w:rsidRDefault="000E7AC7" w:rsidP="00A75D61">
      <w:pPr>
        <w:rPr>
          <w:lang w:val="en-GB"/>
        </w:rPr>
      </w:pPr>
    </w:p>
    <w:sectPr w:rsidR="000E7AC7" w:rsidRPr="00A75D61">
      <w:footerReference w:type="default" r:id="rId70"/>
      <w:footerReference w:type="first" r:id="rId7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DB681" w14:textId="77777777" w:rsidR="00207BB4" w:rsidRDefault="00207BB4">
      <w:pPr>
        <w:spacing w:before="0" w:after="0" w:line="240" w:lineRule="auto"/>
      </w:pPr>
      <w:r>
        <w:separator/>
      </w:r>
    </w:p>
  </w:endnote>
  <w:endnote w:type="continuationSeparator" w:id="0">
    <w:p w14:paraId="49A2C238" w14:textId="77777777" w:rsidR="00207BB4" w:rsidRDefault="00207B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7D800A3-4042-4BC9-85ED-1E431D46F84E}"/>
  </w:font>
  <w:font w:name="Calibri">
    <w:panose1 w:val="020F0502020204030204"/>
    <w:charset w:val="00"/>
    <w:family w:val="swiss"/>
    <w:pitch w:val="variable"/>
    <w:sig w:usb0="E4002EFF" w:usb1="C200247B" w:usb2="00000009" w:usb3="00000000" w:csb0="000001FF" w:csb1="00000000"/>
    <w:embedRegular r:id="rId2" w:fontKey="{919F287D-1068-43B2-A880-0D5574B9C24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3EACF" w14:textId="77777777" w:rsidR="000E7AC7" w:rsidRDefault="00000000">
    <w:pPr>
      <w:jc w:val="right"/>
    </w:pPr>
    <w:r>
      <w:rPr>
        <w:b/>
      </w:rPr>
      <w:fldChar w:fldCharType="begin"/>
    </w:r>
    <w:r>
      <w:rPr>
        <w:b/>
      </w:rPr>
      <w:instrText>PAGE</w:instrText>
    </w:r>
    <w:r>
      <w:rPr>
        <w:b/>
      </w:rPr>
      <w:fldChar w:fldCharType="separate"/>
    </w:r>
    <w:r w:rsidR="002D3120">
      <w:rPr>
        <w:b/>
        <w:noProof/>
      </w:rPr>
      <w:t>1</w:t>
    </w:r>
    <w:r>
      <w:rPr>
        <w: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96FFD" w14:textId="77777777" w:rsidR="000E7AC7" w:rsidRDefault="000E7AC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262F8" w14:textId="77777777" w:rsidR="00207BB4" w:rsidRDefault="00207BB4">
      <w:pPr>
        <w:spacing w:before="0" w:after="0" w:line="240" w:lineRule="auto"/>
      </w:pPr>
      <w:r>
        <w:separator/>
      </w:r>
    </w:p>
  </w:footnote>
  <w:footnote w:type="continuationSeparator" w:id="0">
    <w:p w14:paraId="2F8BB4B2" w14:textId="77777777" w:rsidR="00207BB4" w:rsidRDefault="00207BB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1723A"/>
    <w:multiLevelType w:val="hybridMultilevel"/>
    <w:tmpl w:val="00000000"/>
    <w:lvl w:ilvl="0" w:tplc="848EC49A">
      <w:start w:val="1"/>
      <w:numFmt w:val="bullet"/>
      <w:lvlText w:val="●"/>
      <w:lvlJc w:val="left"/>
      <w:pPr>
        <w:ind w:left="720" w:hanging="360"/>
      </w:pPr>
      <w:rPr>
        <w:u w:val="none"/>
      </w:rPr>
    </w:lvl>
    <w:lvl w:ilvl="1" w:tplc="DCD46CC8">
      <w:start w:val="1"/>
      <w:numFmt w:val="bullet"/>
      <w:lvlText w:val="○"/>
      <w:lvlJc w:val="left"/>
      <w:pPr>
        <w:ind w:left="1440" w:hanging="360"/>
      </w:pPr>
      <w:rPr>
        <w:u w:val="none"/>
      </w:rPr>
    </w:lvl>
    <w:lvl w:ilvl="2" w:tplc="A0E6348E">
      <w:start w:val="1"/>
      <w:numFmt w:val="bullet"/>
      <w:lvlText w:val="■"/>
      <w:lvlJc w:val="left"/>
      <w:pPr>
        <w:ind w:left="2160" w:hanging="360"/>
      </w:pPr>
      <w:rPr>
        <w:u w:val="none"/>
      </w:rPr>
    </w:lvl>
    <w:lvl w:ilvl="3" w:tplc="93968D0A">
      <w:start w:val="1"/>
      <w:numFmt w:val="bullet"/>
      <w:lvlText w:val="●"/>
      <w:lvlJc w:val="left"/>
      <w:pPr>
        <w:ind w:left="2880" w:hanging="360"/>
      </w:pPr>
      <w:rPr>
        <w:u w:val="none"/>
      </w:rPr>
    </w:lvl>
    <w:lvl w:ilvl="4" w:tplc="519AD3E6">
      <w:start w:val="1"/>
      <w:numFmt w:val="bullet"/>
      <w:lvlText w:val="○"/>
      <w:lvlJc w:val="left"/>
      <w:pPr>
        <w:ind w:left="3600" w:hanging="360"/>
      </w:pPr>
      <w:rPr>
        <w:u w:val="none"/>
      </w:rPr>
    </w:lvl>
    <w:lvl w:ilvl="5" w:tplc="C7302A44">
      <w:start w:val="1"/>
      <w:numFmt w:val="bullet"/>
      <w:lvlText w:val="■"/>
      <w:lvlJc w:val="left"/>
      <w:pPr>
        <w:ind w:left="4320" w:hanging="360"/>
      </w:pPr>
      <w:rPr>
        <w:u w:val="none"/>
      </w:rPr>
    </w:lvl>
    <w:lvl w:ilvl="6" w:tplc="D528EAEC">
      <w:start w:val="1"/>
      <w:numFmt w:val="bullet"/>
      <w:lvlText w:val="●"/>
      <w:lvlJc w:val="left"/>
      <w:pPr>
        <w:ind w:left="5040" w:hanging="360"/>
      </w:pPr>
      <w:rPr>
        <w:u w:val="none"/>
      </w:rPr>
    </w:lvl>
    <w:lvl w:ilvl="7" w:tplc="19B0FDF4">
      <w:start w:val="1"/>
      <w:numFmt w:val="bullet"/>
      <w:lvlText w:val="○"/>
      <w:lvlJc w:val="left"/>
      <w:pPr>
        <w:ind w:left="5760" w:hanging="360"/>
      </w:pPr>
      <w:rPr>
        <w:u w:val="none"/>
      </w:rPr>
    </w:lvl>
    <w:lvl w:ilvl="8" w:tplc="1938FC4A">
      <w:start w:val="1"/>
      <w:numFmt w:val="bullet"/>
      <w:lvlText w:val="■"/>
      <w:lvlJc w:val="left"/>
      <w:pPr>
        <w:ind w:left="6480" w:hanging="360"/>
      </w:pPr>
      <w:rPr>
        <w:u w:val="none"/>
      </w:rPr>
    </w:lvl>
  </w:abstractNum>
  <w:abstractNum w:abstractNumId="1" w15:restartNumberingAfterBreak="0">
    <w:nsid w:val="0DBE1465"/>
    <w:multiLevelType w:val="hybridMultilevel"/>
    <w:tmpl w:val="00000000"/>
    <w:lvl w:ilvl="0" w:tplc="EE40B1C8">
      <w:start w:val="1"/>
      <w:numFmt w:val="bullet"/>
      <w:lvlText w:val="●"/>
      <w:lvlJc w:val="left"/>
      <w:pPr>
        <w:ind w:left="720" w:hanging="360"/>
      </w:pPr>
      <w:rPr>
        <w:u w:val="none"/>
      </w:rPr>
    </w:lvl>
    <w:lvl w:ilvl="1" w:tplc="CA2455DE">
      <w:start w:val="1"/>
      <w:numFmt w:val="bullet"/>
      <w:lvlText w:val="○"/>
      <w:lvlJc w:val="left"/>
      <w:pPr>
        <w:ind w:left="1440" w:hanging="360"/>
      </w:pPr>
      <w:rPr>
        <w:u w:val="none"/>
      </w:rPr>
    </w:lvl>
    <w:lvl w:ilvl="2" w:tplc="7ECA773E">
      <w:start w:val="1"/>
      <w:numFmt w:val="bullet"/>
      <w:lvlText w:val="■"/>
      <w:lvlJc w:val="left"/>
      <w:pPr>
        <w:ind w:left="2160" w:hanging="360"/>
      </w:pPr>
      <w:rPr>
        <w:u w:val="none"/>
      </w:rPr>
    </w:lvl>
    <w:lvl w:ilvl="3" w:tplc="FA1A7474">
      <w:start w:val="1"/>
      <w:numFmt w:val="bullet"/>
      <w:lvlText w:val="●"/>
      <w:lvlJc w:val="left"/>
      <w:pPr>
        <w:ind w:left="2880" w:hanging="360"/>
      </w:pPr>
      <w:rPr>
        <w:u w:val="none"/>
      </w:rPr>
    </w:lvl>
    <w:lvl w:ilvl="4" w:tplc="0C4C050A">
      <w:start w:val="1"/>
      <w:numFmt w:val="bullet"/>
      <w:lvlText w:val="○"/>
      <w:lvlJc w:val="left"/>
      <w:pPr>
        <w:ind w:left="3600" w:hanging="360"/>
      </w:pPr>
      <w:rPr>
        <w:u w:val="none"/>
      </w:rPr>
    </w:lvl>
    <w:lvl w:ilvl="5" w:tplc="D2FC998C">
      <w:start w:val="1"/>
      <w:numFmt w:val="bullet"/>
      <w:lvlText w:val="■"/>
      <w:lvlJc w:val="left"/>
      <w:pPr>
        <w:ind w:left="4320" w:hanging="360"/>
      </w:pPr>
      <w:rPr>
        <w:u w:val="none"/>
      </w:rPr>
    </w:lvl>
    <w:lvl w:ilvl="6" w:tplc="FCE6AE84">
      <w:start w:val="1"/>
      <w:numFmt w:val="bullet"/>
      <w:lvlText w:val="●"/>
      <w:lvlJc w:val="left"/>
      <w:pPr>
        <w:ind w:left="5040" w:hanging="360"/>
      </w:pPr>
      <w:rPr>
        <w:u w:val="none"/>
      </w:rPr>
    </w:lvl>
    <w:lvl w:ilvl="7" w:tplc="79DC649A">
      <w:start w:val="1"/>
      <w:numFmt w:val="bullet"/>
      <w:lvlText w:val="○"/>
      <w:lvlJc w:val="left"/>
      <w:pPr>
        <w:ind w:left="5760" w:hanging="360"/>
      </w:pPr>
      <w:rPr>
        <w:u w:val="none"/>
      </w:rPr>
    </w:lvl>
    <w:lvl w:ilvl="8" w:tplc="F3EC2B7C">
      <w:start w:val="1"/>
      <w:numFmt w:val="bullet"/>
      <w:lvlText w:val="■"/>
      <w:lvlJc w:val="left"/>
      <w:pPr>
        <w:ind w:left="6480" w:hanging="360"/>
      </w:pPr>
      <w:rPr>
        <w:u w:val="none"/>
      </w:rPr>
    </w:lvl>
  </w:abstractNum>
  <w:abstractNum w:abstractNumId="2" w15:restartNumberingAfterBreak="0">
    <w:nsid w:val="21EF1B05"/>
    <w:multiLevelType w:val="hybridMultilevel"/>
    <w:tmpl w:val="00000000"/>
    <w:lvl w:ilvl="0" w:tplc="34121370">
      <w:start w:val="1"/>
      <w:numFmt w:val="bullet"/>
      <w:lvlText w:val="●"/>
      <w:lvlJc w:val="left"/>
      <w:pPr>
        <w:ind w:left="720" w:hanging="360"/>
      </w:pPr>
      <w:rPr>
        <w:u w:val="none"/>
      </w:rPr>
    </w:lvl>
    <w:lvl w:ilvl="1" w:tplc="1B32A528">
      <w:start w:val="1"/>
      <w:numFmt w:val="bullet"/>
      <w:lvlText w:val="○"/>
      <w:lvlJc w:val="left"/>
      <w:pPr>
        <w:ind w:left="1440" w:hanging="360"/>
      </w:pPr>
      <w:rPr>
        <w:u w:val="none"/>
      </w:rPr>
    </w:lvl>
    <w:lvl w:ilvl="2" w:tplc="9E2EE342">
      <w:start w:val="1"/>
      <w:numFmt w:val="bullet"/>
      <w:lvlText w:val="■"/>
      <w:lvlJc w:val="left"/>
      <w:pPr>
        <w:ind w:left="2160" w:hanging="360"/>
      </w:pPr>
      <w:rPr>
        <w:u w:val="none"/>
      </w:rPr>
    </w:lvl>
    <w:lvl w:ilvl="3" w:tplc="10D8AF1C">
      <w:start w:val="1"/>
      <w:numFmt w:val="bullet"/>
      <w:lvlText w:val="●"/>
      <w:lvlJc w:val="left"/>
      <w:pPr>
        <w:ind w:left="2880" w:hanging="360"/>
      </w:pPr>
      <w:rPr>
        <w:u w:val="none"/>
      </w:rPr>
    </w:lvl>
    <w:lvl w:ilvl="4" w:tplc="524811EE">
      <w:start w:val="1"/>
      <w:numFmt w:val="bullet"/>
      <w:lvlText w:val="○"/>
      <w:lvlJc w:val="left"/>
      <w:pPr>
        <w:ind w:left="3600" w:hanging="360"/>
      </w:pPr>
      <w:rPr>
        <w:u w:val="none"/>
      </w:rPr>
    </w:lvl>
    <w:lvl w:ilvl="5" w:tplc="1E1C84B4">
      <w:start w:val="1"/>
      <w:numFmt w:val="bullet"/>
      <w:lvlText w:val="■"/>
      <w:lvlJc w:val="left"/>
      <w:pPr>
        <w:ind w:left="4320" w:hanging="360"/>
      </w:pPr>
      <w:rPr>
        <w:u w:val="none"/>
      </w:rPr>
    </w:lvl>
    <w:lvl w:ilvl="6" w:tplc="7848F402">
      <w:start w:val="1"/>
      <w:numFmt w:val="bullet"/>
      <w:lvlText w:val="●"/>
      <w:lvlJc w:val="left"/>
      <w:pPr>
        <w:ind w:left="5040" w:hanging="360"/>
      </w:pPr>
      <w:rPr>
        <w:u w:val="none"/>
      </w:rPr>
    </w:lvl>
    <w:lvl w:ilvl="7" w:tplc="95CE97EC">
      <w:start w:val="1"/>
      <w:numFmt w:val="bullet"/>
      <w:lvlText w:val="○"/>
      <w:lvlJc w:val="left"/>
      <w:pPr>
        <w:ind w:left="5760" w:hanging="360"/>
      </w:pPr>
      <w:rPr>
        <w:u w:val="none"/>
      </w:rPr>
    </w:lvl>
    <w:lvl w:ilvl="8" w:tplc="E37239EA">
      <w:start w:val="1"/>
      <w:numFmt w:val="bullet"/>
      <w:lvlText w:val="■"/>
      <w:lvlJc w:val="left"/>
      <w:pPr>
        <w:ind w:left="6480" w:hanging="360"/>
      </w:pPr>
      <w:rPr>
        <w:u w:val="none"/>
      </w:rPr>
    </w:lvl>
  </w:abstractNum>
  <w:abstractNum w:abstractNumId="3" w15:restartNumberingAfterBreak="0">
    <w:nsid w:val="591F7D3F"/>
    <w:multiLevelType w:val="hybridMultilevel"/>
    <w:tmpl w:val="00000000"/>
    <w:lvl w:ilvl="0" w:tplc="8C6A3AE8">
      <w:start w:val="1"/>
      <w:numFmt w:val="bullet"/>
      <w:lvlText w:val="●"/>
      <w:lvlJc w:val="left"/>
      <w:pPr>
        <w:ind w:left="720" w:hanging="360"/>
      </w:pPr>
      <w:rPr>
        <w:u w:val="none"/>
      </w:rPr>
    </w:lvl>
    <w:lvl w:ilvl="1" w:tplc="3692D46E">
      <w:start w:val="1"/>
      <w:numFmt w:val="bullet"/>
      <w:lvlText w:val="○"/>
      <w:lvlJc w:val="left"/>
      <w:pPr>
        <w:ind w:left="1440" w:hanging="360"/>
      </w:pPr>
      <w:rPr>
        <w:u w:val="none"/>
      </w:rPr>
    </w:lvl>
    <w:lvl w:ilvl="2" w:tplc="222C53C8">
      <w:start w:val="1"/>
      <w:numFmt w:val="bullet"/>
      <w:lvlText w:val="■"/>
      <w:lvlJc w:val="left"/>
      <w:pPr>
        <w:ind w:left="2160" w:hanging="360"/>
      </w:pPr>
      <w:rPr>
        <w:u w:val="none"/>
      </w:rPr>
    </w:lvl>
    <w:lvl w:ilvl="3" w:tplc="9D3A5116">
      <w:start w:val="1"/>
      <w:numFmt w:val="bullet"/>
      <w:lvlText w:val="●"/>
      <w:lvlJc w:val="left"/>
      <w:pPr>
        <w:ind w:left="2880" w:hanging="360"/>
      </w:pPr>
      <w:rPr>
        <w:u w:val="none"/>
      </w:rPr>
    </w:lvl>
    <w:lvl w:ilvl="4" w:tplc="0DFA8826">
      <w:start w:val="1"/>
      <w:numFmt w:val="bullet"/>
      <w:lvlText w:val="○"/>
      <w:lvlJc w:val="left"/>
      <w:pPr>
        <w:ind w:left="3600" w:hanging="360"/>
      </w:pPr>
      <w:rPr>
        <w:u w:val="none"/>
      </w:rPr>
    </w:lvl>
    <w:lvl w:ilvl="5" w:tplc="A4EEDD40">
      <w:start w:val="1"/>
      <w:numFmt w:val="bullet"/>
      <w:lvlText w:val="■"/>
      <w:lvlJc w:val="left"/>
      <w:pPr>
        <w:ind w:left="4320" w:hanging="360"/>
      </w:pPr>
      <w:rPr>
        <w:u w:val="none"/>
      </w:rPr>
    </w:lvl>
    <w:lvl w:ilvl="6" w:tplc="6CB61E78">
      <w:start w:val="1"/>
      <w:numFmt w:val="bullet"/>
      <w:lvlText w:val="●"/>
      <w:lvlJc w:val="left"/>
      <w:pPr>
        <w:ind w:left="5040" w:hanging="360"/>
      </w:pPr>
      <w:rPr>
        <w:u w:val="none"/>
      </w:rPr>
    </w:lvl>
    <w:lvl w:ilvl="7" w:tplc="53FEB4B2">
      <w:start w:val="1"/>
      <w:numFmt w:val="bullet"/>
      <w:lvlText w:val="○"/>
      <w:lvlJc w:val="left"/>
      <w:pPr>
        <w:ind w:left="5760" w:hanging="360"/>
      </w:pPr>
      <w:rPr>
        <w:u w:val="none"/>
      </w:rPr>
    </w:lvl>
    <w:lvl w:ilvl="8" w:tplc="8BEE94EE">
      <w:start w:val="1"/>
      <w:numFmt w:val="bullet"/>
      <w:lvlText w:val="■"/>
      <w:lvlJc w:val="left"/>
      <w:pPr>
        <w:ind w:left="6480" w:hanging="360"/>
      </w:pPr>
      <w:rPr>
        <w:u w:val="none"/>
      </w:rPr>
    </w:lvl>
  </w:abstractNum>
  <w:num w:numId="1" w16cid:durableId="816848532">
    <w:abstractNumId w:val="0"/>
  </w:num>
  <w:num w:numId="2" w16cid:durableId="1112169968">
    <w:abstractNumId w:val="1"/>
  </w:num>
  <w:num w:numId="3" w16cid:durableId="1879078522">
    <w:abstractNumId w:val="2"/>
  </w:num>
  <w:num w:numId="4" w16cid:durableId="5179327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AC7"/>
    <w:rsid w:val="00015354"/>
    <w:rsid w:val="000D5B19"/>
    <w:rsid w:val="000E7AC7"/>
    <w:rsid w:val="00166E48"/>
    <w:rsid w:val="00182679"/>
    <w:rsid w:val="001A5A4F"/>
    <w:rsid w:val="001F52BC"/>
    <w:rsid w:val="00207BB4"/>
    <w:rsid w:val="00273A61"/>
    <w:rsid w:val="002D3120"/>
    <w:rsid w:val="0032663C"/>
    <w:rsid w:val="0042721B"/>
    <w:rsid w:val="00574FEC"/>
    <w:rsid w:val="005D26A4"/>
    <w:rsid w:val="0060499C"/>
    <w:rsid w:val="006345D5"/>
    <w:rsid w:val="00644EE4"/>
    <w:rsid w:val="007145E5"/>
    <w:rsid w:val="00787ABD"/>
    <w:rsid w:val="007D441E"/>
    <w:rsid w:val="007F3FB6"/>
    <w:rsid w:val="0083379C"/>
    <w:rsid w:val="00873853"/>
    <w:rsid w:val="00963EBD"/>
    <w:rsid w:val="00985634"/>
    <w:rsid w:val="009A3AEC"/>
    <w:rsid w:val="00A61CCB"/>
    <w:rsid w:val="00A75D61"/>
    <w:rsid w:val="00C116BC"/>
    <w:rsid w:val="00C12E44"/>
    <w:rsid w:val="00C62258"/>
    <w:rsid w:val="00D366D7"/>
    <w:rsid w:val="00E00651"/>
    <w:rsid w:val="00E018E4"/>
    <w:rsid w:val="00E05938"/>
    <w:rsid w:val="00EB60C8"/>
    <w:rsid w:val="00F903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44176"/>
  <w15:docId w15:val="{383C70FE-CBDE-4A73-8097-AD2D49083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6"/>
      <w:szCs w:val="26"/>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table" w:customStyle="1" w:styleId="Table4">
    <w:name w:val="Table4"/>
    <w:basedOn w:val="TableNormal0"/>
    <w:tblPr>
      <w:tblStyleRowBandSize w:val="1"/>
      <w:tblStyleColBandSize w:val="1"/>
    </w:tblPr>
  </w:style>
  <w:style w:type="table" w:customStyle="1" w:styleId="Table5">
    <w:name w:val="Table5"/>
    <w:basedOn w:val="TableNormal0"/>
    <w:tblPr>
      <w:tblStyleRowBandSize w:val="1"/>
      <w:tblStyleColBandSize w:val="1"/>
    </w:tblPr>
  </w:style>
  <w:style w:type="table" w:customStyle="1" w:styleId="Table6">
    <w:name w:val="Table6"/>
    <w:basedOn w:val="TableNormal0"/>
    <w:tblPr>
      <w:tblStyleRowBandSize w:val="1"/>
      <w:tblStyleColBandSize w:val="1"/>
    </w:tblPr>
  </w:style>
  <w:style w:type="table" w:customStyle="1" w:styleId="Table7">
    <w:name w:val="Table7"/>
    <w:basedOn w:val="TableNormal0"/>
    <w:tblPr>
      <w:tblStyleRowBandSize w:val="1"/>
      <w:tblStyleColBandSize w:val="1"/>
    </w:tblPr>
  </w:style>
  <w:style w:type="table" w:customStyle="1" w:styleId="Table8">
    <w:name w:val="Table8"/>
    <w:basedOn w:val="TableNormal0"/>
    <w:tblPr>
      <w:tblStyleRowBandSize w:val="1"/>
      <w:tblStyleColBandSize w:val="1"/>
    </w:tblPr>
  </w:style>
  <w:style w:type="character" w:styleId="Hyperlink">
    <w:name w:val="Hyperlink"/>
    <w:basedOn w:val="DefaultParagraphFont"/>
    <w:uiPriority w:val="99"/>
    <w:unhideWhenUsed/>
    <w:rsid w:val="002D3120"/>
    <w:rPr>
      <w:color w:val="0000FF" w:themeColor="hyperlink"/>
      <w:u w:val="single"/>
    </w:rPr>
  </w:style>
  <w:style w:type="character" w:styleId="UnresolvedMention">
    <w:name w:val="Unresolved Mention"/>
    <w:basedOn w:val="DefaultParagraphFont"/>
    <w:uiPriority w:val="99"/>
    <w:semiHidden/>
    <w:unhideWhenUsed/>
    <w:rsid w:val="002D3120"/>
    <w:rPr>
      <w:color w:val="605E5C"/>
      <w:shd w:val="clear" w:color="auto" w:fill="E1DFDD"/>
    </w:rPr>
  </w:style>
  <w:style w:type="paragraph" w:styleId="TOC1">
    <w:name w:val="toc 1"/>
    <w:basedOn w:val="Normal"/>
    <w:next w:val="Normal"/>
    <w:autoRedefine/>
    <w:uiPriority w:val="39"/>
    <w:unhideWhenUsed/>
    <w:rsid w:val="0032663C"/>
    <w:pPr>
      <w:spacing w:after="100"/>
    </w:pPr>
  </w:style>
  <w:style w:type="paragraph" w:styleId="TOC2">
    <w:name w:val="toc 2"/>
    <w:basedOn w:val="Normal"/>
    <w:next w:val="Normal"/>
    <w:autoRedefine/>
    <w:uiPriority w:val="39"/>
    <w:unhideWhenUsed/>
    <w:rsid w:val="003266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iberglobal.com/files/2017-2/cuba_legal.pdf" TargetMode="External"/><Relationship Id="rId21" Type="http://schemas.openxmlformats.org/officeDocument/2006/relationships/hyperlink" Target="https://investmentpolicy.unctad.org/investment-laws/laws/55/print/3" TargetMode="External"/><Relationship Id="rId42" Type="http://schemas.openxmlformats.org/officeDocument/2006/relationships/hyperlink" Targe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 TargetMode="External"/><Relationship Id="rId47" Type="http://schemas.openxmlformats.org/officeDocument/2006/relationships/hyperlink" Target="https://www.statista.com/outlook/mmo/passenger-cars/cuba" TargetMode="External"/><Relationship Id="rId63" Type="http://schemas.openxmlformats.org/officeDocument/2006/relationships/hyperlink" Target="https://2009-2017.state.gov/outofdate/bgn/cuba/85033.htm" TargetMode="External"/><Relationship Id="rId68" Type="http://schemas.openxmlformats.org/officeDocument/2006/relationships/hyperlink" Target="https://worldpopulationreview.com/country-rankings/corporate-tax-rates-by-country" TargetMode="External"/><Relationship Id="rId2" Type="http://schemas.openxmlformats.org/officeDocument/2006/relationships/numbering" Target="numbering.xml"/><Relationship Id="rId16" Type="http://schemas.openxmlformats.org/officeDocument/2006/relationships/hyperlink" Target="https://pdfs.semanticscholar.org/1ce6/a88073a1fedd93547b395c7b1898970736ad.pdf?_gl" TargetMode="External"/><Relationship Id="rId29" Type="http://schemas.openxmlformats.org/officeDocument/2006/relationships/hyperlink" Target="https://www.researchgate.net/profile/Anaely-Saunders-Vazquez/publication/361471019_CUBAN_ENERGY_FUTURES_The_Transition_towards_a_Renewable_Energy_System_-_Political_Economic_Social_and_Environmental_Factors_FFRC_eBooks_32022/links/62b3608cdc817901fc737629/CUBAN-ENERGY-FUTURES-The-Transition-towards-a-Renewable-Energy-System-Political-Economic-Social-and-Environmental-Factors-FFRC-eBooks-3-2022.pdf" TargetMode="External"/><Relationship Id="rId11" Type="http://schemas.openxmlformats.org/officeDocument/2006/relationships/image" Target="media/image4.png"/><Relationship Id="rId24" Type="http://schemas.openxmlformats.org/officeDocument/2006/relationships/hyperlink" Target="https://www.forbes.com/sites/eliasferrerbreda/2023/08/24/can-we-learn-from-cubas-sustainable-revolution/" TargetMode="External"/><Relationship Id="rId32" Type="http://schemas.openxmlformats.org/officeDocument/2006/relationships/hyperlink" Target="https://investmentpolicy.unctad.org/investment-laws/laws/55/cuba-foreign-investment-act" TargetMode="External"/><Relationship Id="rId37" Type="http://schemas.openxmlformats.org/officeDocument/2006/relationships/hyperlink" Target="https://journal.trunojoyo.ac.id/dinar/article/download/27163/10382" TargetMode="External"/><Relationship Id="rId40" Type="http://schemas.openxmlformats.org/officeDocument/2006/relationships/hyperlink" Target="https://www.researchgate.net/profile/Roxia-R/publication/387424174_The_Triple_Bottom_Line_Approach_Fundamentals/links/6811a965bd3f1930dd67f891/The-Triple-Bottom-Line-Approach-Fundamentals.pdf" TargetMode="External"/><Relationship Id="rId45" Type="http://schemas.openxmlformats.org/officeDocument/2006/relationships/hyperlink" Target="https://www.statista.com/outlook/mmo/passenger-cars/cuba" TargetMode="External"/><Relationship Id="rId53" Type="http://schemas.openxmlformats.org/officeDocument/2006/relationships/hyperlink" Target="https://www.toyota.ie/discover-toyota/about-us/toyota-in-the-world" TargetMode="External"/><Relationship Id="rId58" Type="http://schemas.openxmlformats.org/officeDocument/2006/relationships/hyperlink" Target="https://global.toyota/en/sustainability/" TargetMode="External"/><Relationship Id="rId66" Type="http://schemas.openxmlformats.org/officeDocument/2006/relationships/hyperlink" Target="https://doi.org/10.3390/pr12061064" TargetMode="External"/><Relationship Id="rId5" Type="http://schemas.openxmlformats.org/officeDocument/2006/relationships/webSettings" Target="webSettings.xml"/><Relationship Id="rId61" Type="http://schemas.openxmlformats.org/officeDocument/2006/relationships/hyperlink" Target="https://global.toyota/en/company/vision-and-philosophy/production-system/" TargetMode="External"/><Relationship Id="rId19" Type="http://schemas.openxmlformats.org/officeDocument/2006/relationships/hyperlink" Target="https://papers.ssrn.com/sol3/Delivery.cfm?abstractid=4196139" TargetMode="External"/><Relationship Id="rId14" Type="http://schemas.openxmlformats.org/officeDocument/2006/relationships/image" Target="media/image7.png"/><Relationship Id="rId22" Type="http://schemas.openxmlformats.org/officeDocument/2006/relationships/hyperlink" Target="https://jos3journals.id/index.php/jos3/article/download/102/145" TargetMode="External"/><Relationship Id="rId27" Type="http://schemas.openxmlformats.org/officeDocument/2006/relationships/hyperlink" Target="https://www.helgilibrary.com/indicators/passenger-cars-per-1000-people/cuba/" TargetMode="External"/><Relationship Id="rId30" Type="http://schemas.openxmlformats.org/officeDocument/2006/relationships/hyperlink" Target="https://www.huffpost.com/entry/cuba-middle-class_n_4260021" TargetMode="External"/><Relationship Id="rId35" Type="http://schemas.openxmlformats.org/officeDocument/2006/relationships/hyperlink" Target="https://apnews.com/article/toyota-certification-cheating-japan-automakers-scandal-26585a96df2a32f7d67a4011a0a98772" TargetMode="External"/><Relationship Id="rId43" Type="http://schemas.openxmlformats.org/officeDocument/2006/relationships/hyperlink" Target="https://karolinum.cz/data/clanek/10922/Geogr_57_2_0189.pdf" TargetMode="External"/><Relationship Id="rId48" Type="http://schemas.openxmlformats.org/officeDocument/2006/relationships/hyperlink" Target="https://www.theglobaleconomy.com/Cuba/kof_soc_glob/" TargetMode="External"/><Relationship Id="rId56" Type="http://schemas.openxmlformats.org/officeDocument/2006/relationships/hyperlink" Target="https://www.toyota.com/electrified-vehicles/" TargetMode="External"/><Relationship Id="rId64" Type="http://schemas.openxmlformats.org/officeDocument/2006/relationships/hyperlink" Target="https://2009-2017.state.gov/outofdate/bgn/cuba/85033.htm" TargetMode="External"/><Relationship Id="rId69" Type="http://schemas.openxmlformats.org/officeDocument/2006/relationships/hyperlink" Target="http://www.xinhuanet.com/english/2018-01/18/c_136904918.htm" TargetMode="External"/><Relationship Id="rId8" Type="http://schemas.openxmlformats.org/officeDocument/2006/relationships/image" Target="media/image1.jpeg"/><Relationship Id="rId51" Type="http://schemas.openxmlformats.org/officeDocument/2006/relationships/hyperlink" Target="https://www.toyota.com.cy/electrified/hybrid/are-hybrids-fuel-efficient"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usiness-standard.com/industry/auto/toyota-arm-keeping-150-million-cars-on-road-emerges-as-top-earner-125100800106_1.html" TargetMode="External"/><Relationship Id="rId25" Type="http://schemas.openxmlformats.org/officeDocument/2006/relationships/hyperlink" Target="https://www.iberglobal.com/files/2017-2/cuba_legal.pdf" TargetMode="External"/><Relationship Id="rId33" Type="http://schemas.openxmlformats.org/officeDocument/2006/relationships/hyperlink" Target="https://www.timreview.ca/sites/default/files/article_PDF/TIMReview_2020_June%20-%203.pdf" TargetMode="External"/><Relationship Id="rId38" Type="http://schemas.openxmlformats.org/officeDocument/2006/relationships/hyperlink" Target="https://www.researchgate.net/profile/Hamidreza-Radmanesh/publication/328448705_Marketing_Challenges_and_Strategies_for_Internationalization_of_Service_Firms/links/5bceba06a6fdcc204a0133e9/Marketing-Challenges-and-Strategies-for-Internationalization-of-Service-Firms.pdf?_sg%5B0%5D=started_experiment_milestone&amp;origin=journalDetail" TargetMode="External"/><Relationship Id="rId46" Type="http://schemas.openxmlformats.org/officeDocument/2006/relationships/hyperlink" Target="https://www.statista.com/outlook/mmo/passenger-cars/cuba" TargetMode="External"/><Relationship Id="rId59" Type="http://schemas.openxmlformats.org/officeDocument/2006/relationships/hyperlink" Target="https://global.toyota/en/sustainability/" TargetMode="External"/><Relationship Id="rId67" Type="http://schemas.openxmlformats.org/officeDocument/2006/relationships/hyperlink" Target="https://data.worldbank.org/indicator/NY.GDP.MKTP.KD.ZG?locations=CU" TargetMode="External"/><Relationship Id="rId20" Type="http://schemas.openxmlformats.org/officeDocument/2006/relationships/hyperlink" Target="https://investmentpolicy.unctad.org/investment-laws/laws/55/print/3" TargetMode="External"/><Relationship Id="rId41" Type="http://schemas.openxmlformats.org/officeDocument/2006/relationships/hyperlink" Target="https://www.researchgate.net/profile/Roxia-R/publication/387424174_The_Triple_Bottom_Line_Approach_Fundamentals/links/6811a965bd3f1930dd67f891/The-Triple-Bottom-Line-Approach-Fundamentals.pdf" TargetMode="External"/><Relationship Id="rId54" Type="http://schemas.openxmlformats.org/officeDocument/2006/relationships/hyperlink" Target="https://media.toyota.co.uk/toyota-motor-manufacturing-uk-20-years-of-quality-and-progress/" TargetMode="External"/><Relationship Id="rId62" Type="http://schemas.openxmlformats.org/officeDocument/2006/relationships/hyperlink" Target="https://www.toyota.com/usa/environmentalsustainability/water"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jos3journals.id/index.php/jos3/article/download/102/145" TargetMode="External"/><Relationship Id="rId28" Type="http://schemas.openxmlformats.org/officeDocument/2006/relationships/hyperlink" Target="https://members.bestbusinesscoach.ca/wp-content/uploads/2022/11/Exploring-SWOT-analysis-%E2%80%93-where-are-we-now-A-review-of-academic-research-from-the-last-decade-2.pdf" TargetMode="External"/><Relationship Id="rId36" Type="http://schemas.openxmlformats.org/officeDocument/2006/relationships/hyperlink" Target="https://www.jstage.jst.go.jp/article/iasme/14/1/14_140105/_pdf" TargetMode="External"/><Relationship Id="rId49" Type="http://schemas.openxmlformats.org/officeDocument/2006/relationships/hyperlink" Target="https://www.theglobaleconomy.com/Cuba/herit_business_freedom/" TargetMode="External"/><Relationship Id="rId57" Type="http://schemas.openxmlformats.org/officeDocument/2006/relationships/hyperlink" Target="https://www.toyota.com/electrified-vehicles/" TargetMode="External"/><Relationship Id="rId10" Type="http://schemas.openxmlformats.org/officeDocument/2006/relationships/image" Target="media/image3.png"/><Relationship Id="rId31" Type="http://schemas.openxmlformats.org/officeDocument/2006/relationships/hyperlink" Target="https://investmentpolicy.unctad.org/investment-laws/laws/55/cuba-foreign-investment-act" TargetMode="External"/><Relationship Id="rId44" Type="http://schemas.openxmlformats.org/officeDocument/2006/relationships/hyperlink" Target="https://karolinum.cz/data/clanek/10922/Geogr_57_2_0189.pdf" TargetMode="External"/><Relationship Id="rId52" Type="http://schemas.openxmlformats.org/officeDocument/2006/relationships/hyperlink" Target="https://global.toyota/en/company/profile/overview/?padid=ag478_from_header_menu" TargetMode="External"/><Relationship Id="rId60" Type="http://schemas.openxmlformats.org/officeDocument/2006/relationships/hyperlink" Target="https://global.toyota/en/company/vision-and-philosophy/production-system/" TargetMode="External"/><Relationship Id="rId65" Type="http://schemas.openxmlformats.org/officeDocument/2006/relationships/hyperlink" Target="https://doi.org/10.3390/pr12061064"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39" Type="http://schemas.openxmlformats.org/officeDocument/2006/relationships/hyperlink" Target="https://www.researchgate.net/profile/Hamidreza-Radmanesh/publication/328448705_Marketing_Challenges_and_Strategies_for_Internationalization_of_Service_Firms/links/5bceba06a6fdcc204a0133e9/Marketing-Challenges-and-Strategies-for-Internationalization-of-Service-Firms.pdf?_sg%5B0%5D=started_experiment_milestone&amp;origin=journalDetail" TargetMode="External"/><Relationship Id="rId34" Type="http://schemas.openxmlformats.org/officeDocument/2006/relationships/hyperlink" Target="https://apnews.com/article/toyota-motor-corp-japan-business-ba481e3067d04520b99d2be8ce51ac5a" TargetMode="External"/><Relationship Id="rId50" Type="http://schemas.openxmlformats.org/officeDocument/2006/relationships/hyperlink" Target="https://www.toyota.com.cy/electrified/hybrid/are-hybrids-fuel-efficient" TargetMode="External"/><Relationship Id="rId55" Type="http://schemas.openxmlformats.org/officeDocument/2006/relationships/hyperlink" Target="https://media.toyota.co.uk/toyota-motor-manufacturing-uk-20-years-of-quality-and-progress/" TargetMode="External"/><Relationship Id="rId7" Type="http://schemas.openxmlformats.org/officeDocument/2006/relationships/endnotes" Target="endnotes.xml"/><Relationship Id="rId71"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F46E1-D7A2-4692-B9E7-F1BCD0F5A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35</Pages>
  <Words>6926</Words>
  <Characters>44332</Characters>
  <Application>Microsoft Office Word</Application>
  <DocSecurity>0</DocSecurity>
  <Lines>1266</Lines>
  <Paragraphs>388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Sakib</dc:creator>
  <cp:lastModifiedBy>Sakib Hassan Tonmoy (2428326)</cp:lastModifiedBy>
  <cp:revision>48</cp:revision>
  <dcterms:created xsi:type="dcterms:W3CDTF">2025-11-07T13:06:00Z</dcterms:created>
  <dcterms:modified xsi:type="dcterms:W3CDTF">2025-12-15T15:43:00Z</dcterms:modified>
</cp:coreProperties>
</file>