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91F460" w14:textId="17A19350" w:rsidR="00123662" w:rsidRPr="00930081" w:rsidRDefault="00CB4477" w:rsidP="00CB4477">
      <w:pPr>
        <w:spacing w:line="240" w:lineRule="auto"/>
        <w:ind w:firstLine="0"/>
        <w:jc w:val="center"/>
      </w:pPr>
      <w:r w:rsidRPr="00930081">
        <w:rPr>
          <w:noProof/>
        </w:rPr>
        <w:drawing>
          <wp:inline distT="0" distB="0" distL="0" distR="0" wp14:anchorId="6A78CA88" wp14:editId="0E46FFA0">
            <wp:extent cx="2827655" cy="1200150"/>
            <wp:effectExtent l="0" t="0" r="0" b="0"/>
            <wp:docPr id="993936487" name="Picture 1" descr="Prifysgol Cymru Y Drindod Dewi Sant | University of Wales Trinity Saint  David - NP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fysgol Cymru Y Drindod Dewi Sant | University of Wales Trinity Saint  David - NPL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46440" cy="1208123"/>
                    </a:xfrm>
                    <a:prstGeom prst="rect">
                      <a:avLst/>
                    </a:prstGeom>
                    <a:noFill/>
                    <a:ln>
                      <a:noFill/>
                    </a:ln>
                  </pic:spPr>
                </pic:pic>
              </a:graphicData>
            </a:graphic>
          </wp:inline>
        </w:drawing>
      </w:r>
    </w:p>
    <w:p w14:paraId="4CC8F024" w14:textId="77777777" w:rsidR="00321D9C" w:rsidRPr="00930081" w:rsidRDefault="00321D9C" w:rsidP="00BC01F0">
      <w:pPr>
        <w:spacing w:line="240" w:lineRule="auto"/>
        <w:ind w:firstLine="0"/>
      </w:pPr>
    </w:p>
    <w:p w14:paraId="4B055F66" w14:textId="77777777" w:rsidR="00BC01F0" w:rsidRPr="00930081" w:rsidRDefault="00BC01F0" w:rsidP="00BC01F0">
      <w:pPr>
        <w:spacing w:line="240" w:lineRule="auto"/>
        <w:ind w:firstLine="0"/>
      </w:pPr>
    </w:p>
    <w:p w14:paraId="103A4533" w14:textId="77777777" w:rsidR="00BC01F0" w:rsidRPr="00930081" w:rsidRDefault="00BC01F0" w:rsidP="00BC01F0">
      <w:pPr>
        <w:spacing w:line="240" w:lineRule="auto"/>
        <w:ind w:firstLine="0"/>
      </w:pPr>
    </w:p>
    <w:p w14:paraId="6C58BC26" w14:textId="77777777" w:rsidR="00123662" w:rsidRPr="00930081" w:rsidRDefault="00123662" w:rsidP="00391B28">
      <w:pPr>
        <w:spacing w:line="240" w:lineRule="auto"/>
        <w:rPr>
          <w:b/>
        </w:rPr>
      </w:pPr>
      <w:bookmarkStart w:id="0" w:name="_Hlk163053958"/>
    </w:p>
    <w:p w14:paraId="2336DD44" w14:textId="77777777" w:rsidR="007970BE" w:rsidRPr="00930081" w:rsidRDefault="007970BE" w:rsidP="00391B28">
      <w:pPr>
        <w:spacing w:line="240" w:lineRule="auto"/>
        <w:rPr>
          <w:b/>
        </w:rPr>
      </w:pPr>
    </w:p>
    <w:p w14:paraId="64DA73F7" w14:textId="77777777" w:rsidR="004802AB" w:rsidRPr="00930081" w:rsidRDefault="004802AB" w:rsidP="00391B28">
      <w:pPr>
        <w:spacing w:line="240" w:lineRule="auto"/>
        <w:rPr>
          <w:b/>
        </w:rPr>
      </w:pPr>
      <w:bookmarkStart w:id="1" w:name="_Hlk162882859"/>
    </w:p>
    <w:p w14:paraId="52A37EBD" w14:textId="3BBA30AC" w:rsidR="000811BD" w:rsidRPr="00930081" w:rsidRDefault="000811BD" w:rsidP="00CB4477">
      <w:pPr>
        <w:spacing w:line="240" w:lineRule="auto"/>
        <w:ind w:firstLine="0"/>
        <w:jc w:val="center"/>
        <w:rPr>
          <w:rFonts w:cs="Times New Roman"/>
          <w:b/>
          <w:bCs/>
          <w:szCs w:val="24"/>
        </w:rPr>
      </w:pPr>
      <w:bookmarkStart w:id="2" w:name="_Hlk169107884"/>
      <w:r w:rsidRPr="00930081">
        <w:rPr>
          <w:rFonts w:cs="Times New Roman"/>
          <w:b/>
          <w:bCs/>
          <w:szCs w:val="24"/>
        </w:rPr>
        <w:t>Strategic Management</w:t>
      </w:r>
      <w:r w:rsidR="00CB4477" w:rsidRPr="00930081">
        <w:rPr>
          <w:rFonts w:cs="Times New Roman"/>
          <w:b/>
          <w:bCs/>
          <w:szCs w:val="24"/>
        </w:rPr>
        <w:t xml:space="preserve"> - </w:t>
      </w:r>
      <w:r w:rsidRPr="00930081">
        <w:rPr>
          <w:rFonts w:cs="Times New Roman"/>
          <w:b/>
          <w:bCs/>
          <w:szCs w:val="24"/>
        </w:rPr>
        <w:t>LCMB7003</w:t>
      </w:r>
    </w:p>
    <w:p w14:paraId="06923B51" w14:textId="1825A682" w:rsidR="00CB4477" w:rsidRPr="00930081" w:rsidRDefault="00CB4477" w:rsidP="00CB4477">
      <w:pPr>
        <w:spacing w:line="240" w:lineRule="auto"/>
        <w:ind w:firstLine="0"/>
        <w:jc w:val="center"/>
        <w:rPr>
          <w:rFonts w:cs="Times New Roman"/>
          <w:b/>
          <w:bCs/>
          <w:szCs w:val="24"/>
        </w:rPr>
      </w:pPr>
      <w:r w:rsidRPr="00930081">
        <w:rPr>
          <w:rFonts w:cs="Times New Roman"/>
          <w:b/>
          <w:bCs/>
          <w:szCs w:val="24"/>
        </w:rPr>
        <w:t xml:space="preserve">Assessment Component: Individual </w:t>
      </w:r>
      <w:r w:rsidR="007E7807" w:rsidRPr="00930081">
        <w:rPr>
          <w:rFonts w:cs="Times New Roman"/>
          <w:b/>
          <w:bCs/>
          <w:szCs w:val="24"/>
        </w:rPr>
        <w:t>R</w:t>
      </w:r>
      <w:r w:rsidRPr="00930081">
        <w:rPr>
          <w:rFonts w:cs="Times New Roman"/>
          <w:b/>
          <w:bCs/>
          <w:szCs w:val="24"/>
        </w:rPr>
        <w:t>eport</w:t>
      </w:r>
    </w:p>
    <w:p w14:paraId="32AC4955" w14:textId="343EB422" w:rsidR="00A948DA" w:rsidRPr="00930081" w:rsidRDefault="00A948DA" w:rsidP="00CB4477">
      <w:pPr>
        <w:spacing w:line="240" w:lineRule="auto"/>
        <w:ind w:firstLine="0"/>
        <w:jc w:val="center"/>
        <w:rPr>
          <w:rFonts w:cs="Times New Roman"/>
          <w:b/>
          <w:bCs/>
          <w:szCs w:val="24"/>
        </w:rPr>
      </w:pPr>
      <w:r w:rsidRPr="00930081">
        <w:rPr>
          <w:rFonts w:cs="Times New Roman"/>
          <w:b/>
          <w:bCs/>
          <w:szCs w:val="24"/>
        </w:rPr>
        <w:t>Strategic Expansion Plan for Greggs plc: Entering the German Bakery-to-Go Market</w:t>
      </w:r>
    </w:p>
    <w:bookmarkEnd w:id="2"/>
    <w:p w14:paraId="7D05623B" w14:textId="01E59815" w:rsidR="005425F6" w:rsidRPr="00930081" w:rsidRDefault="005425F6" w:rsidP="00391B28">
      <w:pPr>
        <w:spacing w:line="240" w:lineRule="auto"/>
        <w:ind w:firstLine="0"/>
        <w:jc w:val="center"/>
        <w:rPr>
          <w:rFonts w:cs="Times New Roman"/>
          <w:szCs w:val="24"/>
        </w:rPr>
      </w:pPr>
      <w:r w:rsidRPr="00930081">
        <w:rPr>
          <w:rFonts w:cs="Times New Roman"/>
          <w:szCs w:val="24"/>
        </w:rPr>
        <w:t xml:space="preserve">Name of </w:t>
      </w:r>
      <w:r w:rsidR="00747CC7" w:rsidRPr="00930081">
        <w:rPr>
          <w:rFonts w:cs="Times New Roman"/>
          <w:szCs w:val="24"/>
        </w:rPr>
        <w:t>S</w:t>
      </w:r>
      <w:r w:rsidRPr="00930081">
        <w:rPr>
          <w:rFonts w:cs="Times New Roman"/>
          <w:szCs w:val="24"/>
        </w:rPr>
        <w:t>tudent:</w:t>
      </w:r>
      <w:r w:rsidR="007A4F7B">
        <w:rPr>
          <w:rFonts w:cs="Times New Roman"/>
          <w:szCs w:val="24"/>
        </w:rPr>
        <w:t xml:space="preserve"> Samuel Kirvej</w:t>
      </w:r>
    </w:p>
    <w:p w14:paraId="5D3CF2A2" w14:textId="16F73255" w:rsidR="00123662" w:rsidRPr="00930081" w:rsidRDefault="005425F6" w:rsidP="00391B28">
      <w:pPr>
        <w:spacing w:line="240" w:lineRule="auto"/>
        <w:ind w:firstLine="0"/>
        <w:jc w:val="center"/>
        <w:rPr>
          <w:rFonts w:cs="Times New Roman"/>
          <w:b/>
          <w:szCs w:val="24"/>
        </w:rPr>
      </w:pPr>
      <w:r w:rsidRPr="00930081">
        <w:rPr>
          <w:rFonts w:cs="Times New Roman"/>
          <w:szCs w:val="24"/>
        </w:rPr>
        <w:t>Student ID:</w:t>
      </w:r>
      <w:r w:rsidR="007A4F7B">
        <w:rPr>
          <w:rFonts w:cs="Times New Roman"/>
          <w:szCs w:val="24"/>
        </w:rPr>
        <w:t xml:space="preserve"> 2120449</w:t>
      </w:r>
    </w:p>
    <w:p w14:paraId="3B721F47" w14:textId="77777777" w:rsidR="00123662" w:rsidRPr="00930081" w:rsidRDefault="00123662" w:rsidP="00391B28">
      <w:pPr>
        <w:spacing w:line="240" w:lineRule="auto"/>
        <w:rPr>
          <w:rFonts w:cs="Times New Roman"/>
          <w:b/>
          <w:szCs w:val="24"/>
        </w:rPr>
      </w:pPr>
    </w:p>
    <w:p w14:paraId="2426A955" w14:textId="77777777" w:rsidR="00123662" w:rsidRPr="00930081" w:rsidRDefault="00123662" w:rsidP="00391B28">
      <w:pPr>
        <w:spacing w:line="240" w:lineRule="auto"/>
        <w:rPr>
          <w:rFonts w:cs="Times New Roman"/>
          <w:b/>
          <w:szCs w:val="24"/>
        </w:rPr>
      </w:pPr>
    </w:p>
    <w:p w14:paraId="315ED322" w14:textId="77777777" w:rsidR="00DC3070" w:rsidRPr="00930081" w:rsidRDefault="00DC3070" w:rsidP="00391B28">
      <w:pPr>
        <w:spacing w:line="240" w:lineRule="auto"/>
        <w:rPr>
          <w:rFonts w:cs="Times New Roman"/>
          <w:b/>
          <w:szCs w:val="24"/>
        </w:rPr>
      </w:pPr>
    </w:p>
    <w:p w14:paraId="2ADD8230" w14:textId="77777777" w:rsidR="00A934DE" w:rsidRPr="00930081" w:rsidRDefault="00A934DE" w:rsidP="00391B28">
      <w:pPr>
        <w:spacing w:line="240" w:lineRule="auto"/>
        <w:rPr>
          <w:rFonts w:cs="Times New Roman"/>
          <w:b/>
          <w:szCs w:val="24"/>
        </w:rPr>
      </w:pPr>
    </w:p>
    <w:p w14:paraId="7A3AE0BE" w14:textId="77777777" w:rsidR="00123662" w:rsidRPr="00930081" w:rsidRDefault="00123662" w:rsidP="00391B28">
      <w:pPr>
        <w:spacing w:line="240" w:lineRule="auto"/>
        <w:rPr>
          <w:rFonts w:cs="Times New Roman"/>
          <w:b/>
          <w:szCs w:val="24"/>
        </w:rPr>
      </w:pPr>
    </w:p>
    <w:p w14:paraId="3B737C97" w14:textId="77777777" w:rsidR="002120CE" w:rsidRPr="00930081" w:rsidRDefault="002120CE" w:rsidP="00391B28">
      <w:pPr>
        <w:spacing w:line="240" w:lineRule="auto"/>
        <w:rPr>
          <w:rFonts w:cs="Times New Roman"/>
          <w:b/>
          <w:szCs w:val="24"/>
        </w:rPr>
      </w:pPr>
    </w:p>
    <w:p w14:paraId="3FCCC213" w14:textId="77777777" w:rsidR="00123662" w:rsidRPr="00930081" w:rsidRDefault="00123662" w:rsidP="00391B28">
      <w:pPr>
        <w:spacing w:line="240" w:lineRule="auto"/>
        <w:rPr>
          <w:rFonts w:cs="Times New Roman"/>
          <w:b/>
          <w:szCs w:val="24"/>
        </w:rPr>
      </w:pPr>
    </w:p>
    <w:p w14:paraId="02B0C557" w14:textId="77777777" w:rsidR="006F5ADF" w:rsidRDefault="006F5ADF" w:rsidP="00391B28">
      <w:pPr>
        <w:pStyle w:val="TOCHeading"/>
        <w:spacing w:line="240" w:lineRule="auto"/>
        <w:jc w:val="center"/>
        <w:rPr>
          <w:rFonts w:ascii="Times New Roman" w:eastAsiaTheme="minorHAnsi" w:hAnsi="Times New Roman" w:cstheme="minorBidi"/>
          <w:color w:val="auto"/>
          <w:sz w:val="24"/>
          <w:szCs w:val="22"/>
          <w:lang w:val="en-GB"/>
        </w:rPr>
      </w:pPr>
    </w:p>
    <w:p w14:paraId="2CA07B6B" w14:textId="77777777" w:rsidR="00DF4F65" w:rsidRPr="00DF4F65" w:rsidRDefault="00DF4F65" w:rsidP="00DF4F65"/>
    <w:p w14:paraId="7C389E3B" w14:textId="77777777" w:rsidR="006F5ADF" w:rsidRPr="00930081" w:rsidRDefault="006F5ADF" w:rsidP="00391B28">
      <w:pPr>
        <w:spacing w:line="240" w:lineRule="auto"/>
      </w:pPr>
    </w:p>
    <w:p w14:paraId="5D96BA1B" w14:textId="77777777" w:rsidR="006F5ADF" w:rsidRPr="00930081" w:rsidRDefault="006F5ADF" w:rsidP="00391B28">
      <w:pPr>
        <w:pStyle w:val="TOCHeading"/>
        <w:spacing w:line="240" w:lineRule="auto"/>
        <w:jc w:val="center"/>
        <w:rPr>
          <w:rFonts w:ascii="Times New Roman" w:eastAsiaTheme="minorHAnsi" w:hAnsi="Times New Roman" w:cstheme="minorBidi"/>
          <w:color w:val="auto"/>
          <w:sz w:val="24"/>
          <w:szCs w:val="22"/>
          <w:lang w:val="en-GB"/>
        </w:rPr>
      </w:pPr>
    </w:p>
    <w:p w14:paraId="7A22D6E8" w14:textId="77777777" w:rsidR="006F5ADF" w:rsidRPr="00930081" w:rsidRDefault="006F5ADF" w:rsidP="00BC01F0">
      <w:pPr>
        <w:spacing w:line="240" w:lineRule="auto"/>
        <w:ind w:firstLine="0"/>
      </w:pPr>
    </w:p>
    <w:sdt>
      <w:sdtPr>
        <w:rPr>
          <w:rFonts w:ascii="Times New Roman" w:eastAsiaTheme="minorHAnsi" w:hAnsi="Times New Roman" w:cstheme="minorBidi"/>
          <w:i w:val="0"/>
          <w:color w:val="auto"/>
          <w:sz w:val="24"/>
          <w:szCs w:val="22"/>
          <w:lang w:val="en-GB"/>
        </w:rPr>
        <w:id w:val="-1171488788"/>
        <w:docPartObj>
          <w:docPartGallery w:val="Table of Contents"/>
          <w:docPartUnique/>
        </w:docPartObj>
      </w:sdtPr>
      <w:sdtEndPr>
        <w:rPr>
          <w:b/>
          <w:bCs/>
          <w:noProof/>
        </w:rPr>
      </w:sdtEndPr>
      <w:sdtContent>
        <w:p w14:paraId="4358DCF0" w14:textId="528F46AA" w:rsidR="00123662" w:rsidRPr="00930081" w:rsidRDefault="00123662" w:rsidP="00391B28">
          <w:pPr>
            <w:pStyle w:val="TOCHeading"/>
            <w:spacing w:line="240" w:lineRule="auto"/>
            <w:jc w:val="center"/>
            <w:rPr>
              <w:rFonts w:ascii="Times New Roman" w:hAnsi="Times New Roman" w:cs="Times New Roman"/>
              <w:b/>
              <w:bCs/>
              <w:i w:val="0"/>
              <w:iCs/>
              <w:color w:val="auto"/>
              <w:sz w:val="24"/>
            </w:rPr>
          </w:pPr>
          <w:r w:rsidRPr="00930081">
            <w:rPr>
              <w:rFonts w:ascii="Times New Roman" w:hAnsi="Times New Roman" w:cs="Times New Roman"/>
              <w:b/>
              <w:bCs/>
              <w:i w:val="0"/>
              <w:iCs/>
              <w:color w:val="auto"/>
              <w:sz w:val="24"/>
            </w:rPr>
            <w:t>Table of Contents</w:t>
          </w:r>
        </w:p>
        <w:p w14:paraId="51926D54" w14:textId="006FDD70" w:rsidR="00DF4F65" w:rsidRDefault="00001058" w:rsidP="00DF4F65">
          <w:pPr>
            <w:pStyle w:val="TOC1"/>
            <w:tabs>
              <w:tab w:val="left" w:pos="284"/>
              <w:tab w:val="left" w:pos="851"/>
              <w:tab w:val="left" w:pos="1276"/>
              <w:tab w:val="right" w:leader="dot" w:pos="9350"/>
            </w:tabs>
            <w:ind w:firstLine="0"/>
            <w:rPr>
              <w:rFonts w:asciiTheme="minorHAnsi" w:eastAsiaTheme="minorEastAsia" w:hAnsiTheme="minorHAnsi"/>
              <w:noProof/>
              <w:kern w:val="2"/>
              <w:szCs w:val="24"/>
              <w:lang w:eastAsia="en-GB"/>
              <w14:ligatures w14:val="standardContextual"/>
            </w:rPr>
          </w:pPr>
          <w:r w:rsidRPr="00930081">
            <w:fldChar w:fldCharType="begin"/>
          </w:r>
          <w:r w:rsidR="00123662" w:rsidRPr="00930081">
            <w:instrText xml:space="preserve"> TOC \o "1-3" \h \z \u </w:instrText>
          </w:r>
          <w:r w:rsidRPr="00930081">
            <w:fldChar w:fldCharType="separate"/>
          </w:r>
          <w:hyperlink w:anchor="_Toc213255101" w:history="1">
            <w:r w:rsidR="00DF4F65" w:rsidRPr="00975227">
              <w:rPr>
                <w:rStyle w:val="Hyperlink"/>
                <w:rFonts w:eastAsia="Calibri"/>
                <w:iCs/>
                <w:noProof/>
              </w:rPr>
              <w:t>Executive Summary</w:t>
            </w:r>
            <w:r w:rsidR="00DF4F65">
              <w:rPr>
                <w:noProof/>
                <w:webHidden/>
              </w:rPr>
              <w:tab/>
            </w:r>
            <w:r w:rsidR="00DF4F65">
              <w:rPr>
                <w:noProof/>
                <w:webHidden/>
              </w:rPr>
              <w:fldChar w:fldCharType="begin"/>
            </w:r>
            <w:r w:rsidR="00DF4F65">
              <w:rPr>
                <w:noProof/>
                <w:webHidden/>
              </w:rPr>
              <w:instrText xml:space="preserve"> PAGEREF _Toc213255101 \h </w:instrText>
            </w:r>
            <w:r w:rsidR="00DF4F65">
              <w:rPr>
                <w:noProof/>
                <w:webHidden/>
              </w:rPr>
            </w:r>
            <w:r w:rsidR="00DF4F65">
              <w:rPr>
                <w:noProof/>
                <w:webHidden/>
              </w:rPr>
              <w:fldChar w:fldCharType="separate"/>
            </w:r>
            <w:r w:rsidR="00DF4F65">
              <w:rPr>
                <w:noProof/>
                <w:webHidden/>
              </w:rPr>
              <w:t>4</w:t>
            </w:r>
            <w:r w:rsidR="00DF4F65">
              <w:rPr>
                <w:noProof/>
                <w:webHidden/>
              </w:rPr>
              <w:fldChar w:fldCharType="end"/>
            </w:r>
          </w:hyperlink>
        </w:p>
        <w:p w14:paraId="79791172" w14:textId="2781DEAC" w:rsidR="00DF4F65" w:rsidRDefault="00DF4F65" w:rsidP="00DF4F65">
          <w:pPr>
            <w:pStyle w:val="TOC1"/>
            <w:tabs>
              <w:tab w:val="left" w:pos="284"/>
              <w:tab w:val="left" w:pos="851"/>
              <w:tab w:val="left" w:pos="1200"/>
              <w:tab w:val="left" w:pos="1276"/>
              <w:tab w:val="right" w:leader="dot" w:pos="9350"/>
            </w:tabs>
            <w:ind w:firstLine="0"/>
            <w:rPr>
              <w:rFonts w:asciiTheme="minorHAnsi" w:eastAsiaTheme="minorEastAsia" w:hAnsiTheme="minorHAnsi"/>
              <w:noProof/>
              <w:kern w:val="2"/>
              <w:szCs w:val="24"/>
              <w:lang w:eastAsia="en-GB"/>
              <w14:ligatures w14:val="standardContextual"/>
            </w:rPr>
          </w:pPr>
          <w:hyperlink w:anchor="_Toc213255102" w:history="1">
            <w:r w:rsidRPr="00975227">
              <w:rPr>
                <w:rStyle w:val="Hyperlink"/>
                <w:noProof/>
              </w:rPr>
              <w:t>1</w:t>
            </w:r>
            <w:r>
              <w:rPr>
                <w:rFonts w:asciiTheme="minorHAnsi" w:eastAsiaTheme="minorEastAsia" w:hAnsiTheme="minorHAnsi"/>
                <w:noProof/>
                <w:kern w:val="2"/>
                <w:szCs w:val="24"/>
                <w:lang w:eastAsia="en-GB"/>
                <w14:ligatures w14:val="standardContextual"/>
              </w:rPr>
              <w:tab/>
            </w:r>
            <w:r w:rsidRPr="00975227">
              <w:rPr>
                <w:rStyle w:val="Hyperlink"/>
                <w:noProof/>
              </w:rPr>
              <w:t>Introduction</w:t>
            </w:r>
            <w:r>
              <w:rPr>
                <w:noProof/>
                <w:webHidden/>
              </w:rPr>
              <w:tab/>
            </w:r>
            <w:r>
              <w:rPr>
                <w:noProof/>
                <w:webHidden/>
              </w:rPr>
              <w:fldChar w:fldCharType="begin"/>
            </w:r>
            <w:r>
              <w:rPr>
                <w:noProof/>
                <w:webHidden/>
              </w:rPr>
              <w:instrText xml:space="preserve"> PAGEREF _Toc213255102 \h </w:instrText>
            </w:r>
            <w:r>
              <w:rPr>
                <w:noProof/>
                <w:webHidden/>
              </w:rPr>
            </w:r>
            <w:r>
              <w:rPr>
                <w:noProof/>
                <w:webHidden/>
              </w:rPr>
              <w:fldChar w:fldCharType="separate"/>
            </w:r>
            <w:r>
              <w:rPr>
                <w:noProof/>
                <w:webHidden/>
              </w:rPr>
              <w:t>5</w:t>
            </w:r>
            <w:r>
              <w:rPr>
                <w:noProof/>
                <w:webHidden/>
              </w:rPr>
              <w:fldChar w:fldCharType="end"/>
            </w:r>
          </w:hyperlink>
        </w:p>
        <w:p w14:paraId="349F2BC4" w14:textId="3982A990" w:rsidR="00DF4F65" w:rsidRDefault="00DF4F65" w:rsidP="00DF4F65">
          <w:pPr>
            <w:pStyle w:val="TOC1"/>
            <w:tabs>
              <w:tab w:val="left" w:pos="284"/>
              <w:tab w:val="left" w:pos="851"/>
              <w:tab w:val="left" w:pos="1200"/>
              <w:tab w:val="left" w:pos="1276"/>
              <w:tab w:val="right" w:leader="dot" w:pos="9350"/>
            </w:tabs>
            <w:ind w:firstLine="0"/>
            <w:rPr>
              <w:rFonts w:asciiTheme="minorHAnsi" w:eastAsiaTheme="minorEastAsia" w:hAnsiTheme="minorHAnsi"/>
              <w:noProof/>
              <w:kern w:val="2"/>
              <w:szCs w:val="24"/>
              <w:lang w:eastAsia="en-GB"/>
              <w14:ligatures w14:val="standardContextual"/>
            </w:rPr>
          </w:pPr>
          <w:hyperlink w:anchor="_Toc213255103" w:history="1">
            <w:r w:rsidRPr="00975227">
              <w:rPr>
                <w:rStyle w:val="Hyperlink"/>
                <w:rFonts w:eastAsia="Calibri"/>
                <w:noProof/>
              </w:rPr>
              <w:t>2</w:t>
            </w:r>
            <w:r>
              <w:rPr>
                <w:rFonts w:asciiTheme="minorHAnsi" w:eastAsiaTheme="minorEastAsia" w:hAnsiTheme="minorHAnsi"/>
                <w:noProof/>
                <w:kern w:val="2"/>
                <w:szCs w:val="24"/>
                <w:lang w:eastAsia="en-GB"/>
                <w14:ligatures w14:val="standardContextual"/>
              </w:rPr>
              <w:tab/>
            </w:r>
            <w:r w:rsidRPr="00975227">
              <w:rPr>
                <w:rStyle w:val="Hyperlink"/>
                <w:rFonts w:eastAsia="Calibri"/>
                <w:noProof/>
              </w:rPr>
              <w:t>Selection of Greggs Organisation and Target Market</w:t>
            </w:r>
            <w:r>
              <w:rPr>
                <w:noProof/>
                <w:webHidden/>
              </w:rPr>
              <w:tab/>
            </w:r>
            <w:r>
              <w:rPr>
                <w:noProof/>
                <w:webHidden/>
              </w:rPr>
              <w:fldChar w:fldCharType="begin"/>
            </w:r>
            <w:r>
              <w:rPr>
                <w:noProof/>
                <w:webHidden/>
              </w:rPr>
              <w:instrText xml:space="preserve"> PAGEREF _Toc213255103 \h </w:instrText>
            </w:r>
            <w:r>
              <w:rPr>
                <w:noProof/>
                <w:webHidden/>
              </w:rPr>
            </w:r>
            <w:r>
              <w:rPr>
                <w:noProof/>
                <w:webHidden/>
              </w:rPr>
              <w:fldChar w:fldCharType="separate"/>
            </w:r>
            <w:r>
              <w:rPr>
                <w:noProof/>
                <w:webHidden/>
              </w:rPr>
              <w:t>6</w:t>
            </w:r>
            <w:r>
              <w:rPr>
                <w:noProof/>
                <w:webHidden/>
              </w:rPr>
              <w:fldChar w:fldCharType="end"/>
            </w:r>
          </w:hyperlink>
        </w:p>
        <w:p w14:paraId="595EC0AA" w14:textId="449E1ADF" w:rsidR="00DF4F65" w:rsidRDefault="00DF4F65" w:rsidP="00DF4F65">
          <w:pPr>
            <w:pStyle w:val="TOC2"/>
            <w:tabs>
              <w:tab w:val="left" w:pos="284"/>
              <w:tab w:val="left" w:pos="851"/>
              <w:tab w:val="left" w:pos="1276"/>
              <w:tab w:val="left" w:pos="1680"/>
              <w:tab w:val="right" w:leader="dot" w:pos="9350"/>
            </w:tabs>
            <w:ind w:firstLine="0"/>
            <w:rPr>
              <w:rFonts w:asciiTheme="minorHAnsi" w:eastAsiaTheme="minorEastAsia" w:hAnsiTheme="minorHAnsi"/>
              <w:noProof/>
              <w:kern w:val="2"/>
              <w:szCs w:val="24"/>
              <w:lang w:eastAsia="en-GB"/>
              <w14:ligatures w14:val="standardContextual"/>
            </w:rPr>
          </w:pPr>
          <w:hyperlink w:anchor="_Toc213255104" w:history="1">
            <w:r w:rsidRPr="00975227">
              <w:rPr>
                <w:rStyle w:val="Hyperlink"/>
                <w:noProof/>
              </w:rPr>
              <w:t>2.1</w:t>
            </w:r>
            <w:r>
              <w:rPr>
                <w:rFonts w:asciiTheme="minorHAnsi" w:eastAsiaTheme="minorEastAsia" w:hAnsiTheme="minorHAnsi"/>
                <w:noProof/>
                <w:kern w:val="2"/>
                <w:szCs w:val="24"/>
                <w:lang w:eastAsia="en-GB"/>
                <w14:ligatures w14:val="standardContextual"/>
              </w:rPr>
              <w:tab/>
            </w:r>
            <w:r w:rsidRPr="00975227">
              <w:rPr>
                <w:rStyle w:val="Hyperlink"/>
                <w:rFonts w:eastAsia="Calibri"/>
                <w:noProof/>
              </w:rPr>
              <w:t>Overview of Greggs plc</w:t>
            </w:r>
            <w:r>
              <w:rPr>
                <w:noProof/>
                <w:webHidden/>
              </w:rPr>
              <w:tab/>
            </w:r>
            <w:r>
              <w:rPr>
                <w:noProof/>
                <w:webHidden/>
              </w:rPr>
              <w:fldChar w:fldCharType="begin"/>
            </w:r>
            <w:r>
              <w:rPr>
                <w:noProof/>
                <w:webHidden/>
              </w:rPr>
              <w:instrText xml:space="preserve"> PAGEREF _Toc213255104 \h </w:instrText>
            </w:r>
            <w:r>
              <w:rPr>
                <w:noProof/>
                <w:webHidden/>
              </w:rPr>
            </w:r>
            <w:r>
              <w:rPr>
                <w:noProof/>
                <w:webHidden/>
              </w:rPr>
              <w:fldChar w:fldCharType="separate"/>
            </w:r>
            <w:r>
              <w:rPr>
                <w:noProof/>
                <w:webHidden/>
              </w:rPr>
              <w:t>6</w:t>
            </w:r>
            <w:r>
              <w:rPr>
                <w:noProof/>
                <w:webHidden/>
              </w:rPr>
              <w:fldChar w:fldCharType="end"/>
            </w:r>
          </w:hyperlink>
        </w:p>
        <w:p w14:paraId="23121805" w14:textId="57D60176" w:rsidR="00DF4F65" w:rsidRDefault="00DF4F65" w:rsidP="00DF4F65">
          <w:pPr>
            <w:pStyle w:val="TOC2"/>
            <w:tabs>
              <w:tab w:val="left" w:pos="284"/>
              <w:tab w:val="left" w:pos="851"/>
              <w:tab w:val="left" w:pos="1276"/>
              <w:tab w:val="left" w:pos="1680"/>
              <w:tab w:val="right" w:leader="dot" w:pos="9350"/>
            </w:tabs>
            <w:ind w:firstLine="0"/>
            <w:rPr>
              <w:rFonts w:asciiTheme="minorHAnsi" w:eastAsiaTheme="minorEastAsia" w:hAnsiTheme="minorHAnsi"/>
              <w:noProof/>
              <w:kern w:val="2"/>
              <w:szCs w:val="24"/>
              <w:lang w:eastAsia="en-GB"/>
              <w14:ligatures w14:val="standardContextual"/>
            </w:rPr>
          </w:pPr>
          <w:hyperlink w:anchor="_Toc213255105" w:history="1">
            <w:r w:rsidRPr="00975227">
              <w:rPr>
                <w:rStyle w:val="Hyperlink"/>
                <w:noProof/>
              </w:rPr>
              <w:t>2.2</w:t>
            </w:r>
            <w:r>
              <w:rPr>
                <w:rFonts w:asciiTheme="minorHAnsi" w:eastAsiaTheme="minorEastAsia" w:hAnsiTheme="minorHAnsi"/>
                <w:noProof/>
                <w:kern w:val="2"/>
                <w:szCs w:val="24"/>
                <w:lang w:eastAsia="en-GB"/>
                <w14:ligatures w14:val="standardContextual"/>
              </w:rPr>
              <w:tab/>
            </w:r>
            <w:r w:rsidRPr="00975227">
              <w:rPr>
                <w:rStyle w:val="Hyperlink"/>
                <w:rFonts w:eastAsia="Calibri"/>
                <w:noProof/>
              </w:rPr>
              <w:t>Rationale for International Expansion</w:t>
            </w:r>
            <w:r>
              <w:rPr>
                <w:noProof/>
                <w:webHidden/>
              </w:rPr>
              <w:tab/>
            </w:r>
            <w:r>
              <w:rPr>
                <w:noProof/>
                <w:webHidden/>
              </w:rPr>
              <w:fldChar w:fldCharType="begin"/>
            </w:r>
            <w:r>
              <w:rPr>
                <w:noProof/>
                <w:webHidden/>
              </w:rPr>
              <w:instrText xml:space="preserve"> PAGEREF _Toc213255105 \h </w:instrText>
            </w:r>
            <w:r>
              <w:rPr>
                <w:noProof/>
                <w:webHidden/>
              </w:rPr>
            </w:r>
            <w:r>
              <w:rPr>
                <w:noProof/>
                <w:webHidden/>
              </w:rPr>
              <w:fldChar w:fldCharType="separate"/>
            </w:r>
            <w:r>
              <w:rPr>
                <w:noProof/>
                <w:webHidden/>
              </w:rPr>
              <w:t>6</w:t>
            </w:r>
            <w:r>
              <w:rPr>
                <w:noProof/>
                <w:webHidden/>
              </w:rPr>
              <w:fldChar w:fldCharType="end"/>
            </w:r>
          </w:hyperlink>
        </w:p>
        <w:p w14:paraId="08303EA1" w14:textId="34E22EFB" w:rsidR="00DF4F65" w:rsidRDefault="00DF4F65" w:rsidP="00DF4F65">
          <w:pPr>
            <w:pStyle w:val="TOC2"/>
            <w:tabs>
              <w:tab w:val="left" w:pos="284"/>
              <w:tab w:val="left" w:pos="851"/>
              <w:tab w:val="left" w:pos="1276"/>
              <w:tab w:val="left" w:pos="1680"/>
              <w:tab w:val="right" w:leader="dot" w:pos="9350"/>
            </w:tabs>
            <w:ind w:firstLine="0"/>
            <w:rPr>
              <w:rFonts w:asciiTheme="minorHAnsi" w:eastAsiaTheme="minorEastAsia" w:hAnsiTheme="minorHAnsi"/>
              <w:noProof/>
              <w:kern w:val="2"/>
              <w:szCs w:val="24"/>
              <w:lang w:eastAsia="en-GB"/>
              <w14:ligatures w14:val="standardContextual"/>
            </w:rPr>
          </w:pPr>
          <w:hyperlink w:anchor="_Toc213255106" w:history="1">
            <w:r w:rsidRPr="00975227">
              <w:rPr>
                <w:rStyle w:val="Hyperlink"/>
                <w:noProof/>
              </w:rPr>
              <w:t>2.3</w:t>
            </w:r>
            <w:r>
              <w:rPr>
                <w:rFonts w:asciiTheme="minorHAnsi" w:eastAsiaTheme="minorEastAsia" w:hAnsiTheme="minorHAnsi"/>
                <w:noProof/>
                <w:kern w:val="2"/>
                <w:szCs w:val="24"/>
                <w:lang w:eastAsia="en-GB"/>
                <w14:ligatures w14:val="standardContextual"/>
              </w:rPr>
              <w:tab/>
            </w:r>
            <w:r w:rsidRPr="00975227">
              <w:rPr>
                <w:rStyle w:val="Hyperlink"/>
                <w:rFonts w:eastAsia="Calibri"/>
                <w:noProof/>
              </w:rPr>
              <w:t>Market Selection: Why Germany?</w:t>
            </w:r>
            <w:r>
              <w:rPr>
                <w:noProof/>
                <w:webHidden/>
              </w:rPr>
              <w:tab/>
            </w:r>
            <w:r>
              <w:rPr>
                <w:noProof/>
                <w:webHidden/>
              </w:rPr>
              <w:fldChar w:fldCharType="begin"/>
            </w:r>
            <w:r>
              <w:rPr>
                <w:noProof/>
                <w:webHidden/>
              </w:rPr>
              <w:instrText xml:space="preserve"> PAGEREF _Toc213255106 \h </w:instrText>
            </w:r>
            <w:r>
              <w:rPr>
                <w:noProof/>
                <w:webHidden/>
              </w:rPr>
            </w:r>
            <w:r>
              <w:rPr>
                <w:noProof/>
                <w:webHidden/>
              </w:rPr>
              <w:fldChar w:fldCharType="separate"/>
            </w:r>
            <w:r>
              <w:rPr>
                <w:noProof/>
                <w:webHidden/>
              </w:rPr>
              <w:t>7</w:t>
            </w:r>
            <w:r>
              <w:rPr>
                <w:noProof/>
                <w:webHidden/>
              </w:rPr>
              <w:fldChar w:fldCharType="end"/>
            </w:r>
          </w:hyperlink>
        </w:p>
        <w:p w14:paraId="3DDF4C8D" w14:textId="4E3449DE" w:rsidR="00DF4F65" w:rsidRDefault="00DF4F65" w:rsidP="00DF4F65">
          <w:pPr>
            <w:pStyle w:val="TOC2"/>
            <w:tabs>
              <w:tab w:val="left" w:pos="284"/>
              <w:tab w:val="left" w:pos="851"/>
              <w:tab w:val="left" w:pos="1276"/>
              <w:tab w:val="left" w:pos="1680"/>
              <w:tab w:val="right" w:leader="dot" w:pos="9350"/>
            </w:tabs>
            <w:ind w:firstLine="0"/>
            <w:rPr>
              <w:rFonts w:asciiTheme="minorHAnsi" w:eastAsiaTheme="minorEastAsia" w:hAnsiTheme="minorHAnsi"/>
              <w:noProof/>
              <w:kern w:val="2"/>
              <w:szCs w:val="24"/>
              <w:lang w:eastAsia="en-GB"/>
              <w14:ligatures w14:val="standardContextual"/>
            </w:rPr>
          </w:pPr>
          <w:hyperlink w:anchor="_Toc213255107" w:history="1">
            <w:r w:rsidRPr="00975227">
              <w:rPr>
                <w:rStyle w:val="Hyperlink"/>
                <w:noProof/>
              </w:rPr>
              <w:t>2.4</w:t>
            </w:r>
            <w:r>
              <w:rPr>
                <w:rFonts w:asciiTheme="minorHAnsi" w:eastAsiaTheme="minorEastAsia" w:hAnsiTheme="minorHAnsi"/>
                <w:noProof/>
                <w:kern w:val="2"/>
                <w:szCs w:val="24"/>
                <w:lang w:eastAsia="en-GB"/>
                <w14:ligatures w14:val="standardContextual"/>
              </w:rPr>
              <w:tab/>
            </w:r>
            <w:r w:rsidRPr="00975227">
              <w:rPr>
                <w:rStyle w:val="Hyperlink"/>
                <w:rFonts w:eastAsia="Calibri"/>
                <w:noProof/>
              </w:rPr>
              <w:t>Strategic Justification</w:t>
            </w:r>
            <w:r>
              <w:rPr>
                <w:noProof/>
                <w:webHidden/>
              </w:rPr>
              <w:tab/>
            </w:r>
            <w:r>
              <w:rPr>
                <w:noProof/>
                <w:webHidden/>
              </w:rPr>
              <w:fldChar w:fldCharType="begin"/>
            </w:r>
            <w:r>
              <w:rPr>
                <w:noProof/>
                <w:webHidden/>
              </w:rPr>
              <w:instrText xml:space="preserve"> PAGEREF _Toc213255107 \h </w:instrText>
            </w:r>
            <w:r>
              <w:rPr>
                <w:noProof/>
                <w:webHidden/>
              </w:rPr>
            </w:r>
            <w:r>
              <w:rPr>
                <w:noProof/>
                <w:webHidden/>
              </w:rPr>
              <w:fldChar w:fldCharType="separate"/>
            </w:r>
            <w:r>
              <w:rPr>
                <w:noProof/>
                <w:webHidden/>
              </w:rPr>
              <w:t>8</w:t>
            </w:r>
            <w:r>
              <w:rPr>
                <w:noProof/>
                <w:webHidden/>
              </w:rPr>
              <w:fldChar w:fldCharType="end"/>
            </w:r>
          </w:hyperlink>
        </w:p>
        <w:p w14:paraId="3A88A18D" w14:textId="4C5AB7AB" w:rsidR="00DF4F65" w:rsidRDefault="00DF4F65" w:rsidP="00DF4F65">
          <w:pPr>
            <w:pStyle w:val="TOC2"/>
            <w:tabs>
              <w:tab w:val="left" w:pos="284"/>
              <w:tab w:val="left" w:pos="851"/>
              <w:tab w:val="left" w:pos="1276"/>
              <w:tab w:val="left" w:pos="1680"/>
              <w:tab w:val="right" w:leader="dot" w:pos="9350"/>
            </w:tabs>
            <w:ind w:firstLine="0"/>
            <w:rPr>
              <w:rFonts w:asciiTheme="minorHAnsi" w:eastAsiaTheme="minorEastAsia" w:hAnsiTheme="minorHAnsi"/>
              <w:noProof/>
              <w:kern w:val="2"/>
              <w:szCs w:val="24"/>
              <w:lang w:eastAsia="en-GB"/>
              <w14:ligatures w14:val="standardContextual"/>
            </w:rPr>
          </w:pPr>
          <w:hyperlink w:anchor="_Toc213255108" w:history="1">
            <w:r w:rsidRPr="00975227">
              <w:rPr>
                <w:rStyle w:val="Hyperlink"/>
                <w:rFonts w:eastAsia="Calibri"/>
                <w:noProof/>
              </w:rPr>
              <w:t>2.5</w:t>
            </w:r>
            <w:r>
              <w:rPr>
                <w:rFonts w:asciiTheme="minorHAnsi" w:eastAsiaTheme="minorEastAsia" w:hAnsiTheme="minorHAnsi"/>
                <w:noProof/>
                <w:kern w:val="2"/>
                <w:szCs w:val="24"/>
                <w:lang w:eastAsia="en-GB"/>
                <w14:ligatures w14:val="standardContextual"/>
              </w:rPr>
              <w:tab/>
            </w:r>
            <w:r w:rsidRPr="00975227">
              <w:rPr>
                <w:rStyle w:val="Hyperlink"/>
                <w:rFonts w:eastAsia="Calibri"/>
                <w:noProof/>
              </w:rPr>
              <w:t>Market Segmentation, Targeting and Positioning (STP Framework)</w:t>
            </w:r>
            <w:r>
              <w:rPr>
                <w:noProof/>
                <w:webHidden/>
              </w:rPr>
              <w:tab/>
            </w:r>
            <w:r>
              <w:rPr>
                <w:noProof/>
                <w:webHidden/>
              </w:rPr>
              <w:fldChar w:fldCharType="begin"/>
            </w:r>
            <w:r>
              <w:rPr>
                <w:noProof/>
                <w:webHidden/>
              </w:rPr>
              <w:instrText xml:space="preserve"> PAGEREF _Toc213255108 \h </w:instrText>
            </w:r>
            <w:r>
              <w:rPr>
                <w:noProof/>
                <w:webHidden/>
              </w:rPr>
            </w:r>
            <w:r>
              <w:rPr>
                <w:noProof/>
                <w:webHidden/>
              </w:rPr>
              <w:fldChar w:fldCharType="separate"/>
            </w:r>
            <w:r>
              <w:rPr>
                <w:noProof/>
                <w:webHidden/>
              </w:rPr>
              <w:t>9</w:t>
            </w:r>
            <w:r>
              <w:rPr>
                <w:noProof/>
                <w:webHidden/>
              </w:rPr>
              <w:fldChar w:fldCharType="end"/>
            </w:r>
          </w:hyperlink>
        </w:p>
        <w:p w14:paraId="26AA8061" w14:textId="21992882" w:rsidR="00DF4F65" w:rsidRDefault="00DF4F65" w:rsidP="00DF4F65">
          <w:pPr>
            <w:pStyle w:val="TOC3"/>
            <w:tabs>
              <w:tab w:val="left" w:pos="284"/>
              <w:tab w:val="left" w:pos="851"/>
              <w:tab w:val="left" w:pos="1276"/>
              <w:tab w:val="left" w:pos="1920"/>
              <w:tab w:val="right" w:leader="dot" w:pos="9350"/>
            </w:tabs>
            <w:ind w:firstLine="0"/>
            <w:rPr>
              <w:rFonts w:asciiTheme="minorHAnsi" w:eastAsiaTheme="minorEastAsia" w:hAnsiTheme="minorHAnsi"/>
              <w:noProof/>
              <w:kern w:val="2"/>
              <w:szCs w:val="24"/>
              <w:lang w:eastAsia="en-GB"/>
              <w14:ligatures w14:val="standardContextual"/>
            </w:rPr>
          </w:pPr>
          <w:hyperlink w:anchor="_Toc213255109" w:history="1">
            <w:r w:rsidRPr="00975227">
              <w:rPr>
                <w:rStyle w:val="Hyperlink"/>
                <w:rFonts w:eastAsia="Calibri"/>
                <w:noProof/>
              </w:rPr>
              <w:t>2.5.1</w:t>
            </w:r>
            <w:r>
              <w:rPr>
                <w:rFonts w:asciiTheme="minorHAnsi" w:eastAsiaTheme="minorEastAsia" w:hAnsiTheme="minorHAnsi"/>
                <w:noProof/>
                <w:kern w:val="2"/>
                <w:szCs w:val="24"/>
                <w:lang w:eastAsia="en-GB"/>
                <w14:ligatures w14:val="standardContextual"/>
              </w:rPr>
              <w:tab/>
            </w:r>
            <w:r w:rsidRPr="00975227">
              <w:rPr>
                <w:rStyle w:val="Hyperlink"/>
                <w:rFonts w:eastAsia="Calibri"/>
                <w:noProof/>
              </w:rPr>
              <w:t>Segmentation</w:t>
            </w:r>
            <w:r>
              <w:rPr>
                <w:noProof/>
                <w:webHidden/>
              </w:rPr>
              <w:tab/>
            </w:r>
            <w:r>
              <w:rPr>
                <w:noProof/>
                <w:webHidden/>
              </w:rPr>
              <w:fldChar w:fldCharType="begin"/>
            </w:r>
            <w:r>
              <w:rPr>
                <w:noProof/>
                <w:webHidden/>
              </w:rPr>
              <w:instrText xml:space="preserve"> PAGEREF _Toc213255109 \h </w:instrText>
            </w:r>
            <w:r>
              <w:rPr>
                <w:noProof/>
                <w:webHidden/>
              </w:rPr>
            </w:r>
            <w:r>
              <w:rPr>
                <w:noProof/>
                <w:webHidden/>
              </w:rPr>
              <w:fldChar w:fldCharType="separate"/>
            </w:r>
            <w:r>
              <w:rPr>
                <w:noProof/>
                <w:webHidden/>
              </w:rPr>
              <w:t>9</w:t>
            </w:r>
            <w:r>
              <w:rPr>
                <w:noProof/>
                <w:webHidden/>
              </w:rPr>
              <w:fldChar w:fldCharType="end"/>
            </w:r>
          </w:hyperlink>
        </w:p>
        <w:p w14:paraId="760BE120" w14:textId="0D2C32C0" w:rsidR="00DF4F65" w:rsidRDefault="00DF4F65" w:rsidP="00DF4F65">
          <w:pPr>
            <w:pStyle w:val="TOC3"/>
            <w:tabs>
              <w:tab w:val="left" w:pos="284"/>
              <w:tab w:val="left" w:pos="851"/>
              <w:tab w:val="left" w:pos="1276"/>
              <w:tab w:val="left" w:pos="1920"/>
              <w:tab w:val="right" w:leader="dot" w:pos="9350"/>
            </w:tabs>
            <w:ind w:firstLine="0"/>
            <w:rPr>
              <w:rFonts w:asciiTheme="minorHAnsi" w:eastAsiaTheme="minorEastAsia" w:hAnsiTheme="minorHAnsi"/>
              <w:noProof/>
              <w:kern w:val="2"/>
              <w:szCs w:val="24"/>
              <w:lang w:eastAsia="en-GB"/>
              <w14:ligatures w14:val="standardContextual"/>
            </w:rPr>
          </w:pPr>
          <w:hyperlink w:anchor="_Toc213255110" w:history="1">
            <w:r w:rsidRPr="00975227">
              <w:rPr>
                <w:rStyle w:val="Hyperlink"/>
                <w:rFonts w:eastAsia="Calibri"/>
                <w:noProof/>
              </w:rPr>
              <w:t>2.5.2</w:t>
            </w:r>
            <w:r>
              <w:rPr>
                <w:rFonts w:asciiTheme="minorHAnsi" w:eastAsiaTheme="minorEastAsia" w:hAnsiTheme="minorHAnsi"/>
                <w:noProof/>
                <w:kern w:val="2"/>
                <w:szCs w:val="24"/>
                <w:lang w:eastAsia="en-GB"/>
                <w14:ligatures w14:val="standardContextual"/>
              </w:rPr>
              <w:tab/>
            </w:r>
            <w:r w:rsidRPr="00975227">
              <w:rPr>
                <w:rStyle w:val="Hyperlink"/>
                <w:rFonts w:eastAsia="Calibri"/>
                <w:noProof/>
              </w:rPr>
              <w:t>Targeting</w:t>
            </w:r>
            <w:r>
              <w:rPr>
                <w:noProof/>
                <w:webHidden/>
              </w:rPr>
              <w:tab/>
            </w:r>
            <w:r>
              <w:rPr>
                <w:noProof/>
                <w:webHidden/>
              </w:rPr>
              <w:fldChar w:fldCharType="begin"/>
            </w:r>
            <w:r>
              <w:rPr>
                <w:noProof/>
                <w:webHidden/>
              </w:rPr>
              <w:instrText xml:space="preserve"> PAGEREF _Toc213255110 \h </w:instrText>
            </w:r>
            <w:r>
              <w:rPr>
                <w:noProof/>
                <w:webHidden/>
              </w:rPr>
            </w:r>
            <w:r>
              <w:rPr>
                <w:noProof/>
                <w:webHidden/>
              </w:rPr>
              <w:fldChar w:fldCharType="separate"/>
            </w:r>
            <w:r>
              <w:rPr>
                <w:noProof/>
                <w:webHidden/>
              </w:rPr>
              <w:t>10</w:t>
            </w:r>
            <w:r>
              <w:rPr>
                <w:noProof/>
                <w:webHidden/>
              </w:rPr>
              <w:fldChar w:fldCharType="end"/>
            </w:r>
          </w:hyperlink>
        </w:p>
        <w:p w14:paraId="40C88B4D" w14:textId="66FC0247" w:rsidR="00DF4F65" w:rsidRDefault="00DF4F65" w:rsidP="00DF4F65">
          <w:pPr>
            <w:pStyle w:val="TOC3"/>
            <w:tabs>
              <w:tab w:val="left" w:pos="284"/>
              <w:tab w:val="left" w:pos="851"/>
              <w:tab w:val="left" w:pos="1276"/>
              <w:tab w:val="left" w:pos="1920"/>
              <w:tab w:val="right" w:leader="dot" w:pos="9350"/>
            </w:tabs>
            <w:ind w:firstLine="0"/>
            <w:rPr>
              <w:rFonts w:asciiTheme="minorHAnsi" w:eastAsiaTheme="minorEastAsia" w:hAnsiTheme="minorHAnsi"/>
              <w:noProof/>
              <w:kern w:val="2"/>
              <w:szCs w:val="24"/>
              <w:lang w:eastAsia="en-GB"/>
              <w14:ligatures w14:val="standardContextual"/>
            </w:rPr>
          </w:pPr>
          <w:hyperlink w:anchor="_Toc213255111" w:history="1">
            <w:r w:rsidRPr="00975227">
              <w:rPr>
                <w:rStyle w:val="Hyperlink"/>
                <w:rFonts w:eastAsia="Calibri"/>
                <w:noProof/>
              </w:rPr>
              <w:t>2.5.3</w:t>
            </w:r>
            <w:r>
              <w:rPr>
                <w:rFonts w:asciiTheme="minorHAnsi" w:eastAsiaTheme="minorEastAsia" w:hAnsiTheme="minorHAnsi"/>
                <w:noProof/>
                <w:kern w:val="2"/>
                <w:szCs w:val="24"/>
                <w:lang w:eastAsia="en-GB"/>
                <w14:ligatures w14:val="standardContextual"/>
              </w:rPr>
              <w:tab/>
            </w:r>
            <w:r w:rsidRPr="00975227">
              <w:rPr>
                <w:rStyle w:val="Hyperlink"/>
                <w:rFonts w:eastAsia="Calibri"/>
                <w:noProof/>
              </w:rPr>
              <w:t>Positioning</w:t>
            </w:r>
            <w:r>
              <w:rPr>
                <w:noProof/>
                <w:webHidden/>
              </w:rPr>
              <w:tab/>
            </w:r>
            <w:r>
              <w:rPr>
                <w:noProof/>
                <w:webHidden/>
              </w:rPr>
              <w:fldChar w:fldCharType="begin"/>
            </w:r>
            <w:r>
              <w:rPr>
                <w:noProof/>
                <w:webHidden/>
              </w:rPr>
              <w:instrText xml:space="preserve"> PAGEREF _Toc213255111 \h </w:instrText>
            </w:r>
            <w:r>
              <w:rPr>
                <w:noProof/>
                <w:webHidden/>
              </w:rPr>
            </w:r>
            <w:r>
              <w:rPr>
                <w:noProof/>
                <w:webHidden/>
              </w:rPr>
              <w:fldChar w:fldCharType="separate"/>
            </w:r>
            <w:r>
              <w:rPr>
                <w:noProof/>
                <w:webHidden/>
              </w:rPr>
              <w:t>10</w:t>
            </w:r>
            <w:r>
              <w:rPr>
                <w:noProof/>
                <w:webHidden/>
              </w:rPr>
              <w:fldChar w:fldCharType="end"/>
            </w:r>
          </w:hyperlink>
        </w:p>
        <w:p w14:paraId="6894DA6B" w14:textId="57060E59" w:rsidR="00DF4F65" w:rsidRDefault="00DF4F65" w:rsidP="00DF4F65">
          <w:pPr>
            <w:pStyle w:val="TOC1"/>
            <w:tabs>
              <w:tab w:val="left" w:pos="284"/>
              <w:tab w:val="left" w:pos="851"/>
              <w:tab w:val="left" w:pos="1200"/>
              <w:tab w:val="left" w:pos="1276"/>
              <w:tab w:val="right" w:leader="dot" w:pos="9350"/>
            </w:tabs>
            <w:ind w:firstLine="0"/>
            <w:rPr>
              <w:rFonts w:asciiTheme="minorHAnsi" w:eastAsiaTheme="minorEastAsia" w:hAnsiTheme="minorHAnsi"/>
              <w:noProof/>
              <w:kern w:val="2"/>
              <w:szCs w:val="24"/>
              <w:lang w:eastAsia="en-GB"/>
              <w14:ligatures w14:val="standardContextual"/>
            </w:rPr>
          </w:pPr>
          <w:hyperlink w:anchor="_Toc213255112" w:history="1">
            <w:r w:rsidRPr="00975227">
              <w:rPr>
                <w:rStyle w:val="Hyperlink"/>
                <w:rFonts w:eastAsia="Calibri"/>
                <w:noProof/>
              </w:rPr>
              <w:t>3</w:t>
            </w:r>
            <w:r>
              <w:rPr>
                <w:rFonts w:asciiTheme="minorHAnsi" w:eastAsiaTheme="minorEastAsia" w:hAnsiTheme="minorHAnsi"/>
                <w:noProof/>
                <w:kern w:val="2"/>
                <w:szCs w:val="24"/>
                <w:lang w:eastAsia="en-GB"/>
                <w14:ligatures w14:val="standardContextual"/>
              </w:rPr>
              <w:tab/>
            </w:r>
            <w:r w:rsidRPr="00975227">
              <w:rPr>
                <w:rStyle w:val="Hyperlink"/>
                <w:rFonts w:eastAsia="Calibri"/>
                <w:noProof/>
              </w:rPr>
              <w:t>Comprehensive Strategic Analysis</w:t>
            </w:r>
            <w:r>
              <w:rPr>
                <w:noProof/>
                <w:webHidden/>
              </w:rPr>
              <w:tab/>
            </w:r>
            <w:r>
              <w:rPr>
                <w:noProof/>
                <w:webHidden/>
              </w:rPr>
              <w:fldChar w:fldCharType="begin"/>
            </w:r>
            <w:r>
              <w:rPr>
                <w:noProof/>
                <w:webHidden/>
              </w:rPr>
              <w:instrText xml:space="preserve"> PAGEREF _Toc213255112 \h </w:instrText>
            </w:r>
            <w:r>
              <w:rPr>
                <w:noProof/>
                <w:webHidden/>
              </w:rPr>
            </w:r>
            <w:r>
              <w:rPr>
                <w:noProof/>
                <w:webHidden/>
              </w:rPr>
              <w:fldChar w:fldCharType="separate"/>
            </w:r>
            <w:r>
              <w:rPr>
                <w:noProof/>
                <w:webHidden/>
              </w:rPr>
              <w:t>11</w:t>
            </w:r>
            <w:r>
              <w:rPr>
                <w:noProof/>
                <w:webHidden/>
              </w:rPr>
              <w:fldChar w:fldCharType="end"/>
            </w:r>
          </w:hyperlink>
        </w:p>
        <w:p w14:paraId="318C25B8" w14:textId="18CD299E" w:rsidR="00DF4F65" w:rsidRDefault="00DF4F65" w:rsidP="00DF4F65">
          <w:pPr>
            <w:pStyle w:val="TOC2"/>
            <w:tabs>
              <w:tab w:val="left" w:pos="284"/>
              <w:tab w:val="left" w:pos="851"/>
              <w:tab w:val="left" w:pos="1276"/>
              <w:tab w:val="left" w:pos="1680"/>
              <w:tab w:val="right" w:leader="dot" w:pos="9350"/>
            </w:tabs>
            <w:ind w:firstLine="0"/>
            <w:rPr>
              <w:rFonts w:asciiTheme="minorHAnsi" w:eastAsiaTheme="minorEastAsia" w:hAnsiTheme="minorHAnsi"/>
              <w:noProof/>
              <w:kern w:val="2"/>
              <w:szCs w:val="24"/>
              <w:lang w:eastAsia="en-GB"/>
              <w14:ligatures w14:val="standardContextual"/>
            </w:rPr>
          </w:pPr>
          <w:hyperlink w:anchor="_Toc213255113" w:history="1">
            <w:r w:rsidRPr="00975227">
              <w:rPr>
                <w:rStyle w:val="Hyperlink"/>
                <w:noProof/>
              </w:rPr>
              <w:t>3.1</w:t>
            </w:r>
            <w:r>
              <w:rPr>
                <w:rFonts w:asciiTheme="minorHAnsi" w:eastAsiaTheme="minorEastAsia" w:hAnsiTheme="minorHAnsi"/>
                <w:noProof/>
                <w:kern w:val="2"/>
                <w:szCs w:val="24"/>
                <w:lang w:eastAsia="en-GB"/>
                <w14:ligatures w14:val="standardContextual"/>
              </w:rPr>
              <w:tab/>
            </w:r>
            <w:r w:rsidRPr="00975227">
              <w:rPr>
                <w:rStyle w:val="Hyperlink"/>
                <w:noProof/>
              </w:rPr>
              <w:t>Macro-Environmental Analysis – PESTLE Framework</w:t>
            </w:r>
            <w:r>
              <w:rPr>
                <w:noProof/>
                <w:webHidden/>
              </w:rPr>
              <w:tab/>
            </w:r>
            <w:r>
              <w:rPr>
                <w:noProof/>
                <w:webHidden/>
              </w:rPr>
              <w:fldChar w:fldCharType="begin"/>
            </w:r>
            <w:r>
              <w:rPr>
                <w:noProof/>
                <w:webHidden/>
              </w:rPr>
              <w:instrText xml:space="preserve"> PAGEREF _Toc213255113 \h </w:instrText>
            </w:r>
            <w:r>
              <w:rPr>
                <w:noProof/>
                <w:webHidden/>
              </w:rPr>
            </w:r>
            <w:r>
              <w:rPr>
                <w:noProof/>
                <w:webHidden/>
              </w:rPr>
              <w:fldChar w:fldCharType="separate"/>
            </w:r>
            <w:r>
              <w:rPr>
                <w:noProof/>
                <w:webHidden/>
              </w:rPr>
              <w:t>11</w:t>
            </w:r>
            <w:r>
              <w:rPr>
                <w:noProof/>
                <w:webHidden/>
              </w:rPr>
              <w:fldChar w:fldCharType="end"/>
            </w:r>
          </w:hyperlink>
        </w:p>
        <w:p w14:paraId="688FDE6E" w14:textId="694982A4" w:rsidR="00DF4F65" w:rsidRDefault="00DF4F65" w:rsidP="00DF4F65">
          <w:pPr>
            <w:pStyle w:val="TOC3"/>
            <w:tabs>
              <w:tab w:val="left" w:pos="284"/>
              <w:tab w:val="left" w:pos="851"/>
              <w:tab w:val="left" w:pos="1276"/>
              <w:tab w:val="left" w:pos="1920"/>
              <w:tab w:val="right" w:leader="dot" w:pos="9350"/>
            </w:tabs>
            <w:ind w:firstLine="0"/>
            <w:rPr>
              <w:rFonts w:asciiTheme="minorHAnsi" w:eastAsiaTheme="minorEastAsia" w:hAnsiTheme="minorHAnsi"/>
              <w:noProof/>
              <w:kern w:val="2"/>
              <w:szCs w:val="24"/>
              <w:lang w:eastAsia="en-GB"/>
              <w14:ligatures w14:val="standardContextual"/>
            </w:rPr>
          </w:pPr>
          <w:hyperlink w:anchor="_Toc213255114" w:history="1">
            <w:r w:rsidRPr="00975227">
              <w:rPr>
                <w:rStyle w:val="Hyperlink"/>
                <w:noProof/>
              </w:rPr>
              <w:t>3.1.1</w:t>
            </w:r>
            <w:r>
              <w:rPr>
                <w:rFonts w:asciiTheme="minorHAnsi" w:eastAsiaTheme="minorEastAsia" w:hAnsiTheme="minorHAnsi"/>
                <w:noProof/>
                <w:kern w:val="2"/>
                <w:szCs w:val="24"/>
                <w:lang w:eastAsia="en-GB"/>
                <w14:ligatures w14:val="standardContextual"/>
              </w:rPr>
              <w:tab/>
            </w:r>
            <w:r w:rsidRPr="00975227">
              <w:rPr>
                <w:rStyle w:val="Hyperlink"/>
                <w:noProof/>
              </w:rPr>
              <w:t>Political Factors</w:t>
            </w:r>
            <w:r>
              <w:rPr>
                <w:noProof/>
                <w:webHidden/>
              </w:rPr>
              <w:tab/>
            </w:r>
            <w:r>
              <w:rPr>
                <w:noProof/>
                <w:webHidden/>
              </w:rPr>
              <w:fldChar w:fldCharType="begin"/>
            </w:r>
            <w:r>
              <w:rPr>
                <w:noProof/>
                <w:webHidden/>
              </w:rPr>
              <w:instrText xml:space="preserve"> PAGEREF _Toc213255114 \h </w:instrText>
            </w:r>
            <w:r>
              <w:rPr>
                <w:noProof/>
                <w:webHidden/>
              </w:rPr>
            </w:r>
            <w:r>
              <w:rPr>
                <w:noProof/>
                <w:webHidden/>
              </w:rPr>
              <w:fldChar w:fldCharType="separate"/>
            </w:r>
            <w:r>
              <w:rPr>
                <w:noProof/>
                <w:webHidden/>
              </w:rPr>
              <w:t>12</w:t>
            </w:r>
            <w:r>
              <w:rPr>
                <w:noProof/>
                <w:webHidden/>
              </w:rPr>
              <w:fldChar w:fldCharType="end"/>
            </w:r>
          </w:hyperlink>
        </w:p>
        <w:p w14:paraId="725512F3" w14:textId="790F466E" w:rsidR="00DF4F65" w:rsidRDefault="00DF4F65" w:rsidP="00DF4F65">
          <w:pPr>
            <w:pStyle w:val="TOC3"/>
            <w:tabs>
              <w:tab w:val="left" w:pos="284"/>
              <w:tab w:val="left" w:pos="851"/>
              <w:tab w:val="left" w:pos="1276"/>
              <w:tab w:val="left" w:pos="1920"/>
              <w:tab w:val="right" w:leader="dot" w:pos="9350"/>
            </w:tabs>
            <w:ind w:firstLine="0"/>
            <w:rPr>
              <w:rFonts w:asciiTheme="minorHAnsi" w:eastAsiaTheme="minorEastAsia" w:hAnsiTheme="minorHAnsi"/>
              <w:noProof/>
              <w:kern w:val="2"/>
              <w:szCs w:val="24"/>
              <w:lang w:eastAsia="en-GB"/>
              <w14:ligatures w14:val="standardContextual"/>
            </w:rPr>
          </w:pPr>
          <w:hyperlink w:anchor="_Toc213255115" w:history="1">
            <w:r w:rsidRPr="00975227">
              <w:rPr>
                <w:rStyle w:val="Hyperlink"/>
                <w:noProof/>
              </w:rPr>
              <w:t>3.1.2</w:t>
            </w:r>
            <w:r>
              <w:rPr>
                <w:rFonts w:asciiTheme="minorHAnsi" w:eastAsiaTheme="minorEastAsia" w:hAnsiTheme="minorHAnsi"/>
                <w:noProof/>
                <w:kern w:val="2"/>
                <w:szCs w:val="24"/>
                <w:lang w:eastAsia="en-GB"/>
                <w14:ligatures w14:val="standardContextual"/>
              </w:rPr>
              <w:tab/>
            </w:r>
            <w:r w:rsidRPr="00975227">
              <w:rPr>
                <w:rStyle w:val="Hyperlink"/>
                <w:noProof/>
              </w:rPr>
              <w:t>Economic Factors</w:t>
            </w:r>
            <w:r>
              <w:rPr>
                <w:noProof/>
                <w:webHidden/>
              </w:rPr>
              <w:tab/>
            </w:r>
            <w:r>
              <w:rPr>
                <w:noProof/>
                <w:webHidden/>
              </w:rPr>
              <w:fldChar w:fldCharType="begin"/>
            </w:r>
            <w:r>
              <w:rPr>
                <w:noProof/>
                <w:webHidden/>
              </w:rPr>
              <w:instrText xml:space="preserve"> PAGEREF _Toc213255115 \h </w:instrText>
            </w:r>
            <w:r>
              <w:rPr>
                <w:noProof/>
                <w:webHidden/>
              </w:rPr>
            </w:r>
            <w:r>
              <w:rPr>
                <w:noProof/>
                <w:webHidden/>
              </w:rPr>
              <w:fldChar w:fldCharType="separate"/>
            </w:r>
            <w:r>
              <w:rPr>
                <w:noProof/>
                <w:webHidden/>
              </w:rPr>
              <w:t>12</w:t>
            </w:r>
            <w:r>
              <w:rPr>
                <w:noProof/>
                <w:webHidden/>
              </w:rPr>
              <w:fldChar w:fldCharType="end"/>
            </w:r>
          </w:hyperlink>
        </w:p>
        <w:p w14:paraId="44C4F12F" w14:textId="605EFBB7" w:rsidR="00DF4F65" w:rsidRDefault="00DF4F65" w:rsidP="00DF4F65">
          <w:pPr>
            <w:pStyle w:val="TOC3"/>
            <w:tabs>
              <w:tab w:val="left" w:pos="284"/>
              <w:tab w:val="left" w:pos="851"/>
              <w:tab w:val="left" w:pos="1276"/>
              <w:tab w:val="left" w:pos="1920"/>
              <w:tab w:val="right" w:leader="dot" w:pos="9350"/>
            </w:tabs>
            <w:ind w:firstLine="0"/>
            <w:rPr>
              <w:rFonts w:asciiTheme="minorHAnsi" w:eastAsiaTheme="minorEastAsia" w:hAnsiTheme="minorHAnsi"/>
              <w:noProof/>
              <w:kern w:val="2"/>
              <w:szCs w:val="24"/>
              <w:lang w:eastAsia="en-GB"/>
              <w14:ligatures w14:val="standardContextual"/>
            </w:rPr>
          </w:pPr>
          <w:hyperlink w:anchor="_Toc213255116" w:history="1">
            <w:r w:rsidRPr="00975227">
              <w:rPr>
                <w:rStyle w:val="Hyperlink"/>
                <w:noProof/>
              </w:rPr>
              <w:t>3.1.3</w:t>
            </w:r>
            <w:r>
              <w:rPr>
                <w:rFonts w:asciiTheme="minorHAnsi" w:eastAsiaTheme="minorEastAsia" w:hAnsiTheme="minorHAnsi"/>
                <w:noProof/>
                <w:kern w:val="2"/>
                <w:szCs w:val="24"/>
                <w:lang w:eastAsia="en-GB"/>
                <w14:ligatures w14:val="standardContextual"/>
              </w:rPr>
              <w:tab/>
            </w:r>
            <w:r w:rsidRPr="00975227">
              <w:rPr>
                <w:rStyle w:val="Hyperlink"/>
                <w:noProof/>
              </w:rPr>
              <w:t>Sociocultural Factors</w:t>
            </w:r>
            <w:r>
              <w:rPr>
                <w:noProof/>
                <w:webHidden/>
              </w:rPr>
              <w:tab/>
            </w:r>
            <w:r>
              <w:rPr>
                <w:noProof/>
                <w:webHidden/>
              </w:rPr>
              <w:fldChar w:fldCharType="begin"/>
            </w:r>
            <w:r>
              <w:rPr>
                <w:noProof/>
                <w:webHidden/>
              </w:rPr>
              <w:instrText xml:space="preserve"> PAGEREF _Toc213255116 \h </w:instrText>
            </w:r>
            <w:r>
              <w:rPr>
                <w:noProof/>
                <w:webHidden/>
              </w:rPr>
            </w:r>
            <w:r>
              <w:rPr>
                <w:noProof/>
                <w:webHidden/>
              </w:rPr>
              <w:fldChar w:fldCharType="separate"/>
            </w:r>
            <w:r>
              <w:rPr>
                <w:noProof/>
                <w:webHidden/>
              </w:rPr>
              <w:t>13</w:t>
            </w:r>
            <w:r>
              <w:rPr>
                <w:noProof/>
                <w:webHidden/>
              </w:rPr>
              <w:fldChar w:fldCharType="end"/>
            </w:r>
          </w:hyperlink>
        </w:p>
        <w:p w14:paraId="52656A1F" w14:textId="021A7B4D" w:rsidR="00DF4F65" w:rsidRDefault="00DF4F65" w:rsidP="00DF4F65">
          <w:pPr>
            <w:pStyle w:val="TOC3"/>
            <w:tabs>
              <w:tab w:val="left" w:pos="284"/>
              <w:tab w:val="left" w:pos="851"/>
              <w:tab w:val="left" w:pos="1276"/>
              <w:tab w:val="left" w:pos="1920"/>
              <w:tab w:val="right" w:leader="dot" w:pos="9350"/>
            </w:tabs>
            <w:ind w:firstLine="0"/>
            <w:rPr>
              <w:rFonts w:asciiTheme="minorHAnsi" w:eastAsiaTheme="minorEastAsia" w:hAnsiTheme="minorHAnsi"/>
              <w:noProof/>
              <w:kern w:val="2"/>
              <w:szCs w:val="24"/>
              <w:lang w:eastAsia="en-GB"/>
              <w14:ligatures w14:val="standardContextual"/>
            </w:rPr>
          </w:pPr>
          <w:hyperlink w:anchor="_Toc213255117" w:history="1">
            <w:r w:rsidRPr="00975227">
              <w:rPr>
                <w:rStyle w:val="Hyperlink"/>
                <w:noProof/>
              </w:rPr>
              <w:t>3.1.4</w:t>
            </w:r>
            <w:r>
              <w:rPr>
                <w:rFonts w:asciiTheme="minorHAnsi" w:eastAsiaTheme="minorEastAsia" w:hAnsiTheme="minorHAnsi"/>
                <w:noProof/>
                <w:kern w:val="2"/>
                <w:szCs w:val="24"/>
                <w:lang w:eastAsia="en-GB"/>
                <w14:ligatures w14:val="standardContextual"/>
              </w:rPr>
              <w:tab/>
            </w:r>
            <w:r w:rsidRPr="00975227">
              <w:rPr>
                <w:rStyle w:val="Hyperlink"/>
                <w:noProof/>
              </w:rPr>
              <w:t>Technological Factors</w:t>
            </w:r>
            <w:r>
              <w:rPr>
                <w:noProof/>
                <w:webHidden/>
              </w:rPr>
              <w:tab/>
            </w:r>
            <w:r>
              <w:rPr>
                <w:noProof/>
                <w:webHidden/>
              </w:rPr>
              <w:fldChar w:fldCharType="begin"/>
            </w:r>
            <w:r>
              <w:rPr>
                <w:noProof/>
                <w:webHidden/>
              </w:rPr>
              <w:instrText xml:space="preserve"> PAGEREF _Toc213255117 \h </w:instrText>
            </w:r>
            <w:r>
              <w:rPr>
                <w:noProof/>
                <w:webHidden/>
              </w:rPr>
            </w:r>
            <w:r>
              <w:rPr>
                <w:noProof/>
                <w:webHidden/>
              </w:rPr>
              <w:fldChar w:fldCharType="separate"/>
            </w:r>
            <w:r>
              <w:rPr>
                <w:noProof/>
                <w:webHidden/>
              </w:rPr>
              <w:t>14</w:t>
            </w:r>
            <w:r>
              <w:rPr>
                <w:noProof/>
                <w:webHidden/>
              </w:rPr>
              <w:fldChar w:fldCharType="end"/>
            </w:r>
          </w:hyperlink>
        </w:p>
        <w:p w14:paraId="17A4FD22" w14:textId="04B36808" w:rsidR="00DF4F65" w:rsidRDefault="00DF4F65" w:rsidP="00DF4F65">
          <w:pPr>
            <w:pStyle w:val="TOC3"/>
            <w:tabs>
              <w:tab w:val="left" w:pos="284"/>
              <w:tab w:val="left" w:pos="851"/>
              <w:tab w:val="left" w:pos="1276"/>
              <w:tab w:val="left" w:pos="1920"/>
              <w:tab w:val="right" w:leader="dot" w:pos="9350"/>
            </w:tabs>
            <w:ind w:firstLine="0"/>
            <w:rPr>
              <w:rFonts w:asciiTheme="minorHAnsi" w:eastAsiaTheme="minorEastAsia" w:hAnsiTheme="minorHAnsi"/>
              <w:noProof/>
              <w:kern w:val="2"/>
              <w:szCs w:val="24"/>
              <w:lang w:eastAsia="en-GB"/>
              <w14:ligatures w14:val="standardContextual"/>
            </w:rPr>
          </w:pPr>
          <w:hyperlink w:anchor="_Toc213255118" w:history="1">
            <w:r w:rsidRPr="00975227">
              <w:rPr>
                <w:rStyle w:val="Hyperlink"/>
                <w:noProof/>
              </w:rPr>
              <w:t>3.1.5</w:t>
            </w:r>
            <w:r>
              <w:rPr>
                <w:rFonts w:asciiTheme="minorHAnsi" w:eastAsiaTheme="minorEastAsia" w:hAnsiTheme="minorHAnsi"/>
                <w:noProof/>
                <w:kern w:val="2"/>
                <w:szCs w:val="24"/>
                <w:lang w:eastAsia="en-GB"/>
                <w14:ligatures w14:val="standardContextual"/>
              </w:rPr>
              <w:tab/>
            </w:r>
            <w:r w:rsidRPr="00975227">
              <w:rPr>
                <w:rStyle w:val="Hyperlink"/>
                <w:noProof/>
              </w:rPr>
              <w:t>Legal Factors</w:t>
            </w:r>
            <w:r>
              <w:rPr>
                <w:noProof/>
                <w:webHidden/>
              </w:rPr>
              <w:tab/>
            </w:r>
            <w:r>
              <w:rPr>
                <w:noProof/>
                <w:webHidden/>
              </w:rPr>
              <w:fldChar w:fldCharType="begin"/>
            </w:r>
            <w:r>
              <w:rPr>
                <w:noProof/>
                <w:webHidden/>
              </w:rPr>
              <w:instrText xml:space="preserve"> PAGEREF _Toc213255118 \h </w:instrText>
            </w:r>
            <w:r>
              <w:rPr>
                <w:noProof/>
                <w:webHidden/>
              </w:rPr>
            </w:r>
            <w:r>
              <w:rPr>
                <w:noProof/>
                <w:webHidden/>
              </w:rPr>
              <w:fldChar w:fldCharType="separate"/>
            </w:r>
            <w:r>
              <w:rPr>
                <w:noProof/>
                <w:webHidden/>
              </w:rPr>
              <w:t>14</w:t>
            </w:r>
            <w:r>
              <w:rPr>
                <w:noProof/>
                <w:webHidden/>
              </w:rPr>
              <w:fldChar w:fldCharType="end"/>
            </w:r>
          </w:hyperlink>
        </w:p>
        <w:p w14:paraId="2F8FBAF9" w14:textId="3E469C60" w:rsidR="00DF4F65" w:rsidRDefault="00DF4F65" w:rsidP="00DF4F65">
          <w:pPr>
            <w:pStyle w:val="TOC3"/>
            <w:tabs>
              <w:tab w:val="left" w:pos="284"/>
              <w:tab w:val="left" w:pos="851"/>
              <w:tab w:val="left" w:pos="1276"/>
              <w:tab w:val="left" w:pos="1920"/>
              <w:tab w:val="right" w:leader="dot" w:pos="9350"/>
            </w:tabs>
            <w:ind w:firstLine="0"/>
            <w:rPr>
              <w:rFonts w:asciiTheme="minorHAnsi" w:eastAsiaTheme="minorEastAsia" w:hAnsiTheme="minorHAnsi"/>
              <w:noProof/>
              <w:kern w:val="2"/>
              <w:szCs w:val="24"/>
              <w:lang w:eastAsia="en-GB"/>
              <w14:ligatures w14:val="standardContextual"/>
            </w:rPr>
          </w:pPr>
          <w:hyperlink w:anchor="_Toc213255119" w:history="1">
            <w:r w:rsidRPr="00975227">
              <w:rPr>
                <w:rStyle w:val="Hyperlink"/>
                <w:noProof/>
              </w:rPr>
              <w:t>3.1.6</w:t>
            </w:r>
            <w:r>
              <w:rPr>
                <w:rFonts w:asciiTheme="minorHAnsi" w:eastAsiaTheme="minorEastAsia" w:hAnsiTheme="minorHAnsi"/>
                <w:noProof/>
                <w:kern w:val="2"/>
                <w:szCs w:val="24"/>
                <w:lang w:eastAsia="en-GB"/>
                <w14:ligatures w14:val="standardContextual"/>
              </w:rPr>
              <w:tab/>
            </w:r>
            <w:r w:rsidRPr="00975227">
              <w:rPr>
                <w:rStyle w:val="Hyperlink"/>
                <w:noProof/>
              </w:rPr>
              <w:t>Environmental Factors</w:t>
            </w:r>
            <w:r>
              <w:rPr>
                <w:noProof/>
                <w:webHidden/>
              </w:rPr>
              <w:tab/>
            </w:r>
            <w:r>
              <w:rPr>
                <w:noProof/>
                <w:webHidden/>
              </w:rPr>
              <w:fldChar w:fldCharType="begin"/>
            </w:r>
            <w:r>
              <w:rPr>
                <w:noProof/>
                <w:webHidden/>
              </w:rPr>
              <w:instrText xml:space="preserve"> PAGEREF _Toc213255119 \h </w:instrText>
            </w:r>
            <w:r>
              <w:rPr>
                <w:noProof/>
                <w:webHidden/>
              </w:rPr>
            </w:r>
            <w:r>
              <w:rPr>
                <w:noProof/>
                <w:webHidden/>
              </w:rPr>
              <w:fldChar w:fldCharType="separate"/>
            </w:r>
            <w:r>
              <w:rPr>
                <w:noProof/>
                <w:webHidden/>
              </w:rPr>
              <w:t>15</w:t>
            </w:r>
            <w:r>
              <w:rPr>
                <w:noProof/>
                <w:webHidden/>
              </w:rPr>
              <w:fldChar w:fldCharType="end"/>
            </w:r>
          </w:hyperlink>
        </w:p>
        <w:p w14:paraId="3804B015" w14:textId="678C1D6E" w:rsidR="00DF4F65" w:rsidRDefault="00DF4F65" w:rsidP="00DF4F65">
          <w:pPr>
            <w:pStyle w:val="TOC2"/>
            <w:tabs>
              <w:tab w:val="left" w:pos="284"/>
              <w:tab w:val="left" w:pos="851"/>
              <w:tab w:val="left" w:pos="1276"/>
              <w:tab w:val="left" w:pos="1680"/>
              <w:tab w:val="right" w:leader="dot" w:pos="9350"/>
            </w:tabs>
            <w:ind w:firstLine="0"/>
            <w:rPr>
              <w:rFonts w:asciiTheme="minorHAnsi" w:eastAsiaTheme="minorEastAsia" w:hAnsiTheme="minorHAnsi"/>
              <w:noProof/>
              <w:kern w:val="2"/>
              <w:szCs w:val="24"/>
              <w:lang w:eastAsia="en-GB"/>
              <w14:ligatures w14:val="standardContextual"/>
            </w:rPr>
          </w:pPr>
          <w:hyperlink w:anchor="_Toc213255120" w:history="1">
            <w:r w:rsidRPr="00975227">
              <w:rPr>
                <w:rStyle w:val="Hyperlink"/>
                <w:noProof/>
              </w:rPr>
              <w:t>3.2</w:t>
            </w:r>
            <w:r>
              <w:rPr>
                <w:rFonts w:asciiTheme="minorHAnsi" w:eastAsiaTheme="minorEastAsia" w:hAnsiTheme="minorHAnsi"/>
                <w:noProof/>
                <w:kern w:val="2"/>
                <w:szCs w:val="24"/>
                <w:lang w:eastAsia="en-GB"/>
                <w14:ligatures w14:val="standardContextual"/>
              </w:rPr>
              <w:tab/>
            </w:r>
            <w:r w:rsidRPr="00975227">
              <w:rPr>
                <w:rStyle w:val="Hyperlink"/>
                <w:noProof/>
              </w:rPr>
              <w:t>Industry and Competitive Analysis – Porter’s Five Forces</w:t>
            </w:r>
            <w:r>
              <w:rPr>
                <w:noProof/>
                <w:webHidden/>
              </w:rPr>
              <w:tab/>
            </w:r>
            <w:r>
              <w:rPr>
                <w:noProof/>
                <w:webHidden/>
              </w:rPr>
              <w:fldChar w:fldCharType="begin"/>
            </w:r>
            <w:r>
              <w:rPr>
                <w:noProof/>
                <w:webHidden/>
              </w:rPr>
              <w:instrText xml:space="preserve"> PAGEREF _Toc213255120 \h </w:instrText>
            </w:r>
            <w:r>
              <w:rPr>
                <w:noProof/>
                <w:webHidden/>
              </w:rPr>
            </w:r>
            <w:r>
              <w:rPr>
                <w:noProof/>
                <w:webHidden/>
              </w:rPr>
              <w:fldChar w:fldCharType="separate"/>
            </w:r>
            <w:r>
              <w:rPr>
                <w:noProof/>
                <w:webHidden/>
              </w:rPr>
              <w:t>16</w:t>
            </w:r>
            <w:r>
              <w:rPr>
                <w:noProof/>
                <w:webHidden/>
              </w:rPr>
              <w:fldChar w:fldCharType="end"/>
            </w:r>
          </w:hyperlink>
        </w:p>
        <w:p w14:paraId="26E3F65D" w14:textId="32BA5AAD" w:rsidR="00DF4F65" w:rsidRDefault="00DF4F65" w:rsidP="00DF4F65">
          <w:pPr>
            <w:pStyle w:val="TOC3"/>
            <w:tabs>
              <w:tab w:val="left" w:pos="284"/>
              <w:tab w:val="left" w:pos="851"/>
              <w:tab w:val="left" w:pos="1276"/>
              <w:tab w:val="left" w:pos="1920"/>
              <w:tab w:val="right" w:leader="dot" w:pos="9350"/>
            </w:tabs>
            <w:ind w:firstLine="0"/>
            <w:rPr>
              <w:rFonts w:asciiTheme="minorHAnsi" w:eastAsiaTheme="minorEastAsia" w:hAnsiTheme="minorHAnsi"/>
              <w:noProof/>
              <w:kern w:val="2"/>
              <w:szCs w:val="24"/>
              <w:lang w:eastAsia="en-GB"/>
              <w14:ligatures w14:val="standardContextual"/>
            </w:rPr>
          </w:pPr>
          <w:hyperlink w:anchor="_Toc213255121" w:history="1">
            <w:r w:rsidRPr="00975227">
              <w:rPr>
                <w:rStyle w:val="Hyperlink"/>
                <w:noProof/>
              </w:rPr>
              <w:t>3.2.1</w:t>
            </w:r>
            <w:r>
              <w:rPr>
                <w:rFonts w:asciiTheme="minorHAnsi" w:eastAsiaTheme="minorEastAsia" w:hAnsiTheme="minorHAnsi"/>
                <w:noProof/>
                <w:kern w:val="2"/>
                <w:szCs w:val="24"/>
                <w:lang w:eastAsia="en-GB"/>
                <w14:ligatures w14:val="standardContextual"/>
              </w:rPr>
              <w:tab/>
            </w:r>
            <w:r w:rsidRPr="00975227">
              <w:rPr>
                <w:rStyle w:val="Hyperlink"/>
                <w:noProof/>
              </w:rPr>
              <w:t>Threat of New Entrants</w:t>
            </w:r>
            <w:r>
              <w:rPr>
                <w:noProof/>
                <w:webHidden/>
              </w:rPr>
              <w:tab/>
            </w:r>
            <w:r>
              <w:rPr>
                <w:noProof/>
                <w:webHidden/>
              </w:rPr>
              <w:fldChar w:fldCharType="begin"/>
            </w:r>
            <w:r>
              <w:rPr>
                <w:noProof/>
                <w:webHidden/>
              </w:rPr>
              <w:instrText xml:space="preserve"> PAGEREF _Toc213255121 \h </w:instrText>
            </w:r>
            <w:r>
              <w:rPr>
                <w:noProof/>
                <w:webHidden/>
              </w:rPr>
            </w:r>
            <w:r>
              <w:rPr>
                <w:noProof/>
                <w:webHidden/>
              </w:rPr>
              <w:fldChar w:fldCharType="separate"/>
            </w:r>
            <w:r>
              <w:rPr>
                <w:noProof/>
                <w:webHidden/>
              </w:rPr>
              <w:t>16</w:t>
            </w:r>
            <w:r>
              <w:rPr>
                <w:noProof/>
                <w:webHidden/>
              </w:rPr>
              <w:fldChar w:fldCharType="end"/>
            </w:r>
          </w:hyperlink>
        </w:p>
        <w:p w14:paraId="126F145F" w14:textId="4949BF43" w:rsidR="00DF4F65" w:rsidRDefault="00DF4F65" w:rsidP="00DF4F65">
          <w:pPr>
            <w:pStyle w:val="TOC3"/>
            <w:tabs>
              <w:tab w:val="left" w:pos="284"/>
              <w:tab w:val="left" w:pos="851"/>
              <w:tab w:val="left" w:pos="1276"/>
              <w:tab w:val="left" w:pos="1920"/>
              <w:tab w:val="right" w:leader="dot" w:pos="9350"/>
            </w:tabs>
            <w:ind w:firstLine="0"/>
            <w:rPr>
              <w:rFonts w:asciiTheme="minorHAnsi" w:eastAsiaTheme="minorEastAsia" w:hAnsiTheme="minorHAnsi"/>
              <w:noProof/>
              <w:kern w:val="2"/>
              <w:szCs w:val="24"/>
              <w:lang w:eastAsia="en-GB"/>
              <w14:ligatures w14:val="standardContextual"/>
            </w:rPr>
          </w:pPr>
          <w:hyperlink w:anchor="_Toc213255122" w:history="1">
            <w:r w:rsidRPr="00975227">
              <w:rPr>
                <w:rStyle w:val="Hyperlink"/>
                <w:noProof/>
              </w:rPr>
              <w:t>3.2.2</w:t>
            </w:r>
            <w:r>
              <w:rPr>
                <w:rFonts w:asciiTheme="minorHAnsi" w:eastAsiaTheme="minorEastAsia" w:hAnsiTheme="minorHAnsi"/>
                <w:noProof/>
                <w:kern w:val="2"/>
                <w:szCs w:val="24"/>
                <w:lang w:eastAsia="en-GB"/>
                <w14:ligatures w14:val="standardContextual"/>
              </w:rPr>
              <w:tab/>
            </w:r>
            <w:r w:rsidRPr="00975227">
              <w:rPr>
                <w:rStyle w:val="Hyperlink"/>
                <w:noProof/>
              </w:rPr>
              <w:t>Bargaining Power of Suppliers</w:t>
            </w:r>
            <w:r>
              <w:rPr>
                <w:noProof/>
                <w:webHidden/>
              </w:rPr>
              <w:tab/>
            </w:r>
            <w:r>
              <w:rPr>
                <w:noProof/>
                <w:webHidden/>
              </w:rPr>
              <w:fldChar w:fldCharType="begin"/>
            </w:r>
            <w:r>
              <w:rPr>
                <w:noProof/>
                <w:webHidden/>
              </w:rPr>
              <w:instrText xml:space="preserve"> PAGEREF _Toc213255122 \h </w:instrText>
            </w:r>
            <w:r>
              <w:rPr>
                <w:noProof/>
                <w:webHidden/>
              </w:rPr>
            </w:r>
            <w:r>
              <w:rPr>
                <w:noProof/>
                <w:webHidden/>
              </w:rPr>
              <w:fldChar w:fldCharType="separate"/>
            </w:r>
            <w:r>
              <w:rPr>
                <w:noProof/>
                <w:webHidden/>
              </w:rPr>
              <w:t>17</w:t>
            </w:r>
            <w:r>
              <w:rPr>
                <w:noProof/>
                <w:webHidden/>
              </w:rPr>
              <w:fldChar w:fldCharType="end"/>
            </w:r>
          </w:hyperlink>
        </w:p>
        <w:p w14:paraId="4A6D3809" w14:textId="586B2742" w:rsidR="00DF4F65" w:rsidRDefault="00DF4F65" w:rsidP="00DF4F65">
          <w:pPr>
            <w:pStyle w:val="TOC3"/>
            <w:tabs>
              <w:tab w:val="left" w:pos="284"/>
              <w:tab w:val="left" w:pos="851"/>
              <w:tab w:val="left" w:pos="1276"/>
              <w:tab w:val="left" w:pos="1920"/>
              <w:tab w:val="right" w:leader="dot" w:pos="9350"/>
            </w:tabs>
            <w:ind w:firstLine="0"/>
            <w:rPr>
              <w:rFonts w:asciiTheme="minorHAnsi" w:eastAsiaTheme="minorEastAsia" w:hAnsiTheme="minorHAnsi"/>
              <w:noProof/>
              <w:kern w:val="2"/>
              <w:szCs w:val="24"/>
              <w:lang w:eastAsia="en-GB"/>
              <w14:ligatures w14:val="standardContextual"/>
            </w:rPr>
          </w:pPr>
          <w:hyperlink w:anchor="_Toc213255123" w:history="1">
            <w:r w:rsidRPr="00975227">
              <w:rPr>
                <w:rStyle w:val="Hyperlink"/>
                <w:noProof/>
              </w:rPr>
              <w:t>3.2.3</w:t>
            </w:r>
            <w:r>
              <w:rPr>
                <w:rFonts w:asciiTheme="minorHAnsi" w:eastAsiaTheme="minorEastAsia" w:hAnsiTheme="minorHAnsi"/>
                <w:noProof/>
                <w:kern w:val="2"/>
                <w:szCs w:val="24"/>
                <w:lang w:eastAsia="en-GB"/>
                <w14:ligatures w14:val="standardContextual"/>
              </w:rPr>
              <w:tab/>
            </w:r>
            <w:r w:rsidRPr="00975227">
              <w:rPr>
                <w:rStyle w:val="Hyperlink"/>
                <w:noProof/>
              </w:rPr>
              <w:t>Bargaining Power of Buyers</w:t>
            </w:r>
            <w:r>
              <w:rPr>
                <w:noProof/>
                <w:webHidden/>
              </w:rPr>
              <w:tab/>
            </w:r>
            <w:r>
              <w:rPr>
                <w:noProof/>
                <w:webHidden/>
              </w:rPr>
              <w:fldChar w:fldCharType="begin"/>
            </w:r>
            <w:r>
              <w:rPr>
                <w:noProof/>
                <w:webHidden/>
              </w:rPr>
              <w:instrText xml:space="preserve"> PAGEREF _Toc213255123 \h </w:instrText>
            </w:r>
            <w:r>
              <w:rPr>
                <w:noProof/>
                <w:webHidden/>
              </w:rPr>
            </w:r>
            <w:r>
              <w:rPr>
                <w:noProof/>
                <w:webHidden/>
              </w:rPr>
              <w:fldChar w:fldCharType="separate"/>
            </w:r>
            <w:r>
              <w:rPr>
                <w:noProof/>
                <w:webHidden/>
              </w:rPr>
              <w:t>17</w:t>
            </w:r>
            <w:r>
              <w:rPr>
                <w:noProof/>
                <w:webHidden/>
              </w:rPr>
              <w:fldChar w:fldCharType="end"/>
            </w:r>
          </w:hyperlink>
        </w:p>
        <w:p w14:paraId="5B0B7B99" w14:textId="7512D874" w:rsidR="00DF4F65" w:rsidRDefault="00DF4F65" w:rsidP="00DF4F65">
          <w:pPr>
            <w:pStyle w:val="TOC3"/>
            <w:tabs>
              <w:tab w:val="left" w:pos="284"/>
              <w:tab w:val="left" w:pos="851"/>
              <w:tab w:val="left" w:pos="1276"/>
              <w:tab w:val="left" w:pos="1920"/>
              <w:tab w:val="right" w:leader="dot" w:pos="9350"/>
            </w:tabs>
            <w:ind w:firstLine="0"/>
            <w:rPr>
              <w:rFonts w:asciiTheme="minorHAnsi" w:eastAsiaTheme="minorEastAsia" w:hAnsiTheme="minorHAnsi"/>
              <w:noProof/>
              <w:kern w:val="2"/>
              <w:szCs w:val="24"/>
              <w:lang w:eastAsia="en-GB"/>
              <w14:ligatures w14:val="standardContextual"/>
            </w:rPr>
          </w:pPr>
          <w:hyperlink w:anchor="_Toc213255124" w:history="1">
            <w:r w:rsidRPr="00975227">
              <w:rPr>
                <w:rStyle w:val="Hyperlink"/>
                <w:noProof/>
              </w:rPr>
              <w:t>3.2.4</w:t>
            </w:r>
            <w:r>
              <w:rPr>
                <w:rFonts w:asciiTheme="minorHAnsi" w:eastAsiaTheme="minorEastAsia" w:hAnsiTheme="minorHAnsi"/>
                <w:noProof/>
                <w:kern w:val="2"/>
                <w:szCs w:val="24"/>
                <w:lang w:eastAsia="en-GB"/>
                <w14:ligatures w14:val="standardContextual"/>
              </w:rPr>
              <w:tab/>
            </w:r>
            <w:r w:rsidRPr="00975227">
              <w:rPr>
                <w:rStyle w:val="Hyperlink"/>
                <w:noProof/>
              </w:rPr>
              <w:t>Threat of Substitutes</w:t>
            </w:r>
            <w:r>
              <w:rPr>
                <w:noProof/>
                <w:webHidden/>
              </w:rPr>
              <w:tab/>
            </w:r>
            <w:r>
              <w:rPr>
                <w:noProof/>
                <w:webHidden/>
              </w:rPr>
              <w:fldChar w:fldCharType="begin"/>
            </w:r>
            <w:r>
              <w:rPr>
                <w:noProof/>
                <w:webHidden/>
              </w:rPr>
              <w:instrText xml:space="preserve"> PAGEREF _Toc213255124 \h </w:instrText>
            </w:r>
            <w:r>
              <w:rPr>
                <w:noProof/>
                <w:webHidden/>
              </w:rPr>
            </w:r>
            <w:r>
              <w:rPr>
                <w:noProof/>
                <w:webHidden/>
              </w:rPr>
              <w:fldChar w:fldCharType="separate"/>
            </w:r>
            <w:r>
              <w:rPr>
                <w:noProof/>
                <w:webHidden/>
              </w:rPr>
              <w:t>17</w:t>
            </w:r>
            <w:r>
              <w:rPr>
                <w:noProof/>
                <w:webHidden/>
              </w:rPr>
              <w:fldChar w:fldCharType="end"/>
            </w:r>
          </w:hyperlink>
        </w:p>
        <w:p w14:paraId="62917D9D" w14:textId="75776DC3" w:rsidR="00DF4F65" w:rsidRDefault="00DF4F65" w:rsidP="00DF4F65">
          <w:pPr>
            <w:pStyle w:val="TOC3"/>
            <w:tabs>
              <w:tab w:val="left" w:pos="284"/>
              <w:tab w:val="left" w:pos="851"/>
              <w:tab w:val="left" w:pos="1276"/>
              <w:tab w:val="left" w:pos="1920"/>
              <w:tab w:val="right" w:leader="dot" w:pos="9350"/>
            </w:tabs>
            <w:ind w:firstLine="0"/>
            <w:rPr>
              <w:rFonts w:asciiTheme="minorHAnsi" w:eastAsiaTheme="minorEastAsia" w:hAnsiTheme="minorHAnsi"/>
              <w:noProof/>
              <w:kern w:val="2"/>
              <w:szCs w:val="24"/>
              <w:lang w:eastAsia="en-GB"/>
              <w14:ligatures w14:val="standardContextual"/>
            </w:rPr>
          </w:pPr>
          <w:hyperlink w:anchor="_Toc213255125" w:history="1">
            <w:r w:rsidRPr="00975227">
              <w:rPr>
                <w:rStyle w:val="Hyperlink"/>
                <w:noProof/>
              </w:rPr>
              <w:t>3.2.5</w:t>
            </w:r>
            <w:r>
              <w:rPr>
                <w:rFonts w:asciiTheme="minorHAnsi" w:eastAsiaTheme="minorEastAsia" w:hAnsiTheme="minorHAnsi"/>
                <w:noProof/>
                <w:kern w:val="2"/>
                <w:szCs w:val="24"/>
                <w:lang w:eastAsia="en-GB"/>
                <w14:ligatures w14:val="standardContextual"/>
              </w:rPr>
              <w:tab/>
            </w:r>
            <w:r w:rsidRPr="00975227">
              <w:rPr>
                <w:rStyle w:val="Hyperlink"/>
                <w:noProof/>
              </w:rPr>
              <w:t>Rivalry among Existing Competitors</w:t>
            </w:r>
            <w:r>
              <w:rPr>
                <w:noProof/>
                <w:webHidden/>
              </w:rPr>
              <w:tab/>
            </w:r>
            <w:r>
              <w:rPr>
                <w:noProof/>
                <w:webHidden/>
              </w:rPr>
              <w:fldChar w:fldCharType="begin"/>
            </w:r>
            <w:r>
              <w:rPr>
                <w:noProof/>
                <w:webHidden/>
              </w:rPr>
              <w:instrText xml:space="preserve"> PAGEREF _Toc213255125 \h </w:instrText>
            </w:r>
            <w:r>
              <w:rPr>
                <w:noProof/>
                <w:webHidden/>
              </w:rPr>
            </w:r>
            <w:r>
              <w:rPr>
                <w:noProof/>
                <w:webHidden/>
              </w:rPr>
              <w:fldChar w:fldCharType="separate"/>
            </w:r>
            <w:r>
              <w:rPr>
                <w:noProof/>
                <w:webHidden/>
              </w:rPr>
              <w:t>17</w:t>
            </w:r>
            <w:r>
              <w:rPr>
                <w:noProof/>
                <w:webHidden/>
              </w:rPr>
              <w:fldChar w:fldCharType="end"/>
            </w:r>
          </w:hyperlink>
        </w:p>
        <w:p w14:paraId="028CD27F" w14:textId="786BF27B" w:rsidR="00DF4F65" w:rsidRDefault="00DF4F65" w:rsidP="00DF4F65">
          <w:pPr>
            <w:pStyle w:val="TOC2"/>
            <w:tabs>
              <w:tab w:val="left" w:pos="284"/>
              <w:tab w:val="left" w:pos="851"/>
              <w:tab w:val="left" w:pos="1276"/>
              <w:tab w:val="left" w:pos="1680"/>
              <w:tab w:val="right" w:leader="dot" w:pos="9350"/>
            </w:tabs>
            <w:ind w:firstLine="0"/>
            <w:rPr>
              <w:rFonts w:asciiTheme="minorHAnsi" w:eastAsiaTheme="minorEastAsia" w:hAnsiTheme="minorHAnsi"/>
              <w:noProof/>
              <w:kern w:val="2"/>
              <w:szCs w:val="24"/>
              <w:lang w:eastAsia="en-GB"/>
              <w14:ligatures w14:val="standardContextual"/>
            </w:rPr>
          </w:pPr>
          <w:hyperlink w:anchor="_Toc213255126" w:history="1">
            <w:r w:rsidRPr="00975227">
              <w:rPr>
                <w:rStyle w:val="Hyperlink"/>
                <w:noProof/>
              </w:rPr>
              <w:t>3.3</w:t>
            </w:r>
            <w:r>
              <w:rPr>
                <w:rFonts w:asciiTheme="minorHAnsi" w:eastAsiaTheme="minorEastAsia" w:hAnsiTheme="minorHAnsi"/>
                <w:noProof/>
                <w:kern w:val="2"/>
                <w:szCs w:val="24"/>
                <w:lang w:eastAsia="en-GB"/>
                <w14:ligatures w14:val="standardContextual"/>
              </w:rPr>
              <w:tab/>
            </w:r>
            <w:r w:rsidRPr="00975227">
              <w:rPr>
                <w:rStyle w:val="Hyperlink"/>
                <w:noProof/>
              </w:rPr>
              <w:t>Internal Environment – VRIO Analysis</w:t>
            </w:r>
            <w:r>
              <w:rPr>
                <w:noProof/>
                <w:webHidden/>
              </w:rPr>
              <w:tab/>
            </w:r>
            <w:r>
              <w:rPr>
                <w:noProof/>
                <w:webHidden/>
              </w:rPr>
              <w:fldChar w:fldCharType="begin"/>
            </w:r>
            <w:r>
              <w:rPr>
                <w:noProof/>
                <w:webHidden/>
              </w:rPr>
              <w:instrText xml:space="preserve"> PAGEREF _Toc213255126 \h </w:instrText>
            </w:r>
            <w:r>
              <w:rPr>
                <w:noProof/>
                <w:webHidden/>
              </w:rPr>
            </w:r>
            <w:r>
              <w:rPr>
                <w:noProof/>
                <w:webHidden/>
              </w:rPr>
              <w:fldChar w:fldCharType="separate"/>
            </w:r>
            <w:r>
              <w:rPr>
                <w:noProof/>
                <w:webHidden/>
              </w:rPr>
              <w:t>18</w:t>
            </w:r>
            <w:r>
              <w:rPr>
                <w:noProof/>
                <w:webHidden/>
              </w:rPr>
              <w:fldChar w:fldCharType="end"/>
            </w:r>
          </w:hyperlink>
        </w:p>
        <w:p w14:paraId="6F73F92C" w14:textId="697066B5" w:rsidR="00DF4F65" w:rsidRDefault="00DF4F65" w:rsidP="00DF4F65">
          <w:pPr>
            <w:pStyle w:val="TOC2"/>
            <w:tabs>
              <w:tab w:val="left" w:pos="284"/>
              <w:tab w:val="left" w:pos="851"/>
              <w:tab w:val="left" w:pos="1276"/>
              <w:tab w:val="left" w:pos="1680"/>
              <w:tab w:val="right" w:leader="dot" w:pos="9350"/>
            </w:tabs>
            <w:ind w:firstLine="0"/>
            <w:rPr>
              <w:rFonts w:asciiTheme="minorHAnsi" w:eastAsiaTheme="minorEastAsia" w:hAnsiTheme="minorHAnsi"/>
              <w:noProof/>
              <w:kern w:val="2"/>
              <w:szCs w:val="24"/>
              <w:lang w:eastAsia="en-GB"/>
              <w14:ligatures w14:val="standardContextual"/>
            </w:rPr>
          </w:pPr>
          <w:hyperlink w:anchor="_Toc213255127" w:history="1">
            <w:r w:rsidRPr="00975227">
              <w:rPr>
                <w:rStyle w:val="Hyperlink"/>
                <w:noProof/>
              </w:rPr>
              <w:t>3.4</w:t>
            </w:r>
            <w:r>
              <w:rPr>
                <w:rFonts w:asciiTheme="minorHAnsi" w:eastAsiaTheme="minorEastAsia" w:hAnsiTheme="minorHAnsi"/>
                <w:noProof/>
                <w:kern w:val="2"/>
                <w:szCs w:val="24"/>
                <w:lang w:eastAsia="en-GB"/>
                <w14:ligatures w14:val="standardContextual"/>
              </w:rPr>
              <w:tab/>
            </w:r>
            <w:r w:rsidRPr="00975227">
              <w:rPr>
                <w:rStyle w:val="Hyperlink"/>
                <w:noProof/>
              </w:rPr>
              <w:t>Country Competitiveness – Porter’s Diamond Model</w:t>
            </w:r>
            <w:r>
              <w:rPr>
                <w:noProof/>
                <w:webHidden/>
              </w:rPr>
              <w:tab/>
            </w:r>
            <w:r>
              <w:rPr>
                <w:noProof/>
                <w:webHidden/>
              </w:rPr>
              <w:fldChar w:fldCharType="begin"/>
            </w:r>
            <w:r>
              <w:rPr>
                <w:noProof/>
                <w:webHidden/>
              </w:rPr>
              <w:instrText xml:space="preserve"> PAGEREF _Toc213255127 \h </w:instrText>
            </w:r>
            <w:r>
              <w:rPr>
                <w:noProof/>
                <w:webHidden/>
              </w:rPr>
            </w:r>
            <w:r>
              <w:rPr>
                <w:noProof/>
                <w:webHidden/>
              </w:rPr>
              <w:fldChar w:fldCharType="separate"/>
            </w:r>
            <w:r>
              <w:rPr>
                <w:noProof/>
                <w:webHidden/>
              </w:rPr>
              <w:t>19</w:t>
            </w:r>
            <w:r>
              <w:rPr>
                <w:noProof/>
                <w:webHidden/>
              </w:rPr>
              <w:fldChar w:fldCharType="end"/>
            </w:r>
          </w:hyperlink>
        </w:p>
        <w:p w14:paraId="4F2AFF2D" w14:textId="4A8591D7" w:rsidR="00DF4F65" w:rsidRDefault="00DF4F65" w:rsidP="00DF4F65">
          <w:pPr>
            <w:pStyle w:val="TOC3"/>
            <w:tabs>
              <w:tab w:val="left" w:pos="284"/>
              <w:tab w:val="left" w:pos="851"/>
              <w:tab w:val="left" w:pos="1276"/>
              <w:tab w:val="left" w:pos="1920"/>
              <w:tab w:val="right" w:leader="dot" w:pos="9350"/>
            </w:tabs>
            <w:ind w:firstLine="0"/>
            <w:rPr>
              <w:rFonts w:asciiTheme="minorHAnsi" w:eastAsiaTheme="minorEastAsia" w:hAnsiTheme="minorHAnsi"/>
              <w:noProof/>
              <w:kern w:val="2"/>
              <w:szCs w:val="24"/>
              <w:lang w:eastAsia="en-GB"/>
              <w14:ligatures w14:val="standardContextual"/>
            </w:rPr>
          </w:pPr>
          <w:hyperlink w:anchor="_Toc213255128" w:history="1">
            <w:r w:rsidRPr="00975227">
              <w:rPr>
                <w:rStyle w:val="Hyperlink"/>
                <w:noProof/>
              </w:rPr>
              <w:t>3.4.1</w:t>
            </w:r>
            <w:r>
              <w:rPr>
                <w:rFonts w:asciiTheme="minorHAnsi" w:eastAsiaTheme="minorEastAsia" w:hAnsiTheme="minorHAnsi"/>
                <w:noProof/>
                <w:kern w:val="2"/>
                <w:szCs w:val="24"/>
                <w:lang w:eastAsia="en-GB"/>
                <w14:ligatures w14:val="standardContextual"/>
              </w:rPr>
              <w:tab/>
            </w:r>
            <w:r w:rsidRPr="00975227">
              <w:rPr>
                <w:rStyle w:val="Hyperlink"/>
                <w:noProof/>
              </w:rPr>
              <w:t>Factor Conditions</w:t>
            </w:r>
            <w:r>
              <w:rPr>
                <w:noProof/>
                <w:webHidden/>
              </w:rPr>
              <w:tab/>
            </w:r>
            <w:r>
              <w:rPr>
                <w:noProof/>
                <w:webHidden/>
              </w:rPr>
              <w:fldChar w:fldCharType="begin"/>
            </w:r>
            <w:r>
              <w:rPr>
                <w:noProof/>
                <w:webHidden/>
              </w:rPr>
              <w:instrText xml:space="preserve"> PAGEREF _Toc213255128 \h </w:instrText>
            </w:r>
            <w:r>
              <w:rPr>
                <w:noProof/>
                <w:webHidden/>
              </w:rPr>
            </w:r>
            <w:r>
              <w:rPr>
                <w:noProof/>
                <w:webHidden/>
              </w:rPr>
              <w:fldChar w:fldCharType="separate"/>
            </w:r>
            <w:r>
              <w:rPr>
                <w:noProof/>
                <w:webHidden/>
              </w:rPr>
              <w:t>20</w:t>
            </w:r>
            <w:r>
              <w:rPr>
                <w:noProof/>
                <w:webHidden/>
              </w:rPr>
              <w:fldChar w:fldCharType="end"/>
            </w:r>
          </w:hyperlink>
        </w:p>
        <w:p w14:paraId="3F8C4B5F" w14:textId="7B666009" w:rsidR="00DF4F65" w:rsidRDefault="00DF4F65" w:rsidP="00DF4F65">
          <w:pPr>
            <w:pStyle w:val="TOC3"/>
            <w:tabs>
              <w:tab w:val="left" w:pos="284"/>
              <w:tab w:val="left" w:pos="851"/>
              <w:tab w:val="left" w:pos="1276"/>
              <w:tab w:val="left" w:pos="1920"/>
              <w:tab w:val="right" w:leader="dot" w:pos="9350"/>
            </w:tabs>
            <w:ind w:firstLine="0"/>
            <w:rPr>
              <w:rFonts w:asciiTheme="minorHAnsi" w:eastAsiaTheme="minorEastAsia" w:hAnsiTheme="minorHAnsi"/>
              <w:noProof/>
              <w:kern w:val="2"/>
              <w:szCs w:val="24"/>
              <w:lang w:eastAsia="en-GB"/>
              <w14:ligatures w14:val="standardContextual"/>
            </w:rPr>
          </w:pPr>
          <w:hyperlink w:anchor="_Toc213255129" w:history="1">
            <w:r w:rsidRPr="00975227">
              <w:rPr>
                <w:rStyle w:val="Hyperlink"/>
                <w:noProof/>
              </w:rPr>
              <w:t>3.4.2</w:t>
            </w:r>
            <w:r>
              <w:rPr>
                <w:rFonts w:asciiTheme="minorHAnsi" w:eastAsiaTheme="minorEastAsia" w:hAnsiTheme="minorHAnsi"/>
                <w:noProof/>
                <w:kern w:val="2"/>
                <w:szCs w:val="24"/>
                <w:lang w:eastAsia="en-GB"/>
                <w14:ligatures w14:val="standardContextual"/>
              </w:rPr>
              <w:tab/>
            </w:r>
            <w:r w:rsidRPr="00975227">
              <w:rPr>
                <w:rStyle w:val="Hyperlink"/>
                <w:noProof/>
              </w:rPr>
              <w:t>Demand Conditions</w:t>
            </w:r>
            <w:r>
              <w:rPr>
                <w:noProof/>
                <w:webHidden/>
              </w:rPr>
              <w:tab/>
            </w:r>
            <w:r>
              <w:rPr>
                <w:noProof/>
                <w:webHidden/>
              </w:rPr>
              <w:fldChar w:fldCharType="begin"/>
            </w:r>
            <w:r>
              <w:rPr>
                <w:noProof/>
                <w:webHidden/>
              </w:rPr>
              <w:instrText xml:space="preserve"> PAGEREF _Toc213255129 \h </w:instrText>
            </w:r>
            <w:r>
              <w:rPr>
                <w:noProof/>
                <w:webHidden/>
              </w:rPr>
            </w:r>
            <w:r>
              <w:rPr>
                <w:noProof/>
                <w:webHidden/>
              </w:rPr>
              <w:fldChar w:fldCharType="separate"/>
            </w:r>
            <w:r>
              <w:rPr>
                <w:noProof/>
                <w:webHidden/>
              </w:rPr>
              <w:t>20</w:t>
            </w:r>
            <w:r>
              <w:rPr>
                <w:noProof/>
                <w:webHidden/>
              </w:rPr>
              <w:fldChar w:fldCharType="end"/>
            </w:r>
          </w:hyperlink>
        </w:p>
        <w:p w14:paraId="0434562E" w14:textId="296ACD0E" w:rsidR="00DF4F65" w:rsidRDefault="00DF4F65" w:rsidP="00DF4F65">
          <w:pPr>
            <w:pStyle w:val="TOC3"/>
            <w:tabs>
              <w:tab w:val="left" w:pos="284"/>
              <w:tab w:val="left" w:pos="851"/>
              <w:tab w:val="left" w:pos="1276"/>
              <w:tab w:val="left" w:pos="1920"/>
              <w:tab w:val="right" w:leader="dot" w:pos="9350"/>
            </w:tabs>
            <w:ind w:firstLine="0"/>
            <w:rPr>
              <w:rFonts w:asciiTheme="minorHAnsi" w:eastAsiaTheme="minorEastAsia" w:hAnsiTheme="minorHAnsi"/>
              <w:noProof/>
              <w:kern w:val="2"/>
              <w:szCs w:val="24"/>
              <w:lang w:eastAsia="en-GB"/>
              <w14:ligatures w14:val="standardContextual"/>
            </w:rPr>
          </w:pPr>
          <w:hyperlink w:anchor="_Toc213255130" w:history="1">
            <w:r w:rsidRPr="00975227">
              <w:rPr>
                <w:rStyle w:val="Hyperlink"/>
                <w:noProof/>
              </w:rPr>
              <w:t>3.4.3</w:t>
            </w:r>
            <w:r>
              <w:rPr>
                <w:rFonts w:asciiTheme="minorHAnsi" w:eastAsiaTheme="minorEastAsia" w:hAnsiTheme="minorHAnsi"/>
                <w:noProof/>
                <w:kern w:val="2"/>
                <w:szCs w:val="24"/>
                <w:lang w:eastAsia="en-GB"/>
                <w14:ligatures w14:val="standardContextual"/>
              </w:rPr>
              <w:tab/>
            </w:r>
            <w:r w:rsidRPr="00975227">
              <w:rPr>
                <w:rStyle w:val="Hyperlink"/>
                <w:noProof/>
              </w:rPr>
              <w:t>Related and Supporting Industries</w:t>
            </w:r>
            <w:r>
              <w:rPr>
                <w:noProof/>
                <w:webHidden/>
              </w:rPr>
              <w:tab/>
            </w:r>
            <w:r>
              <w:rPr>
                <w:noProof/>
                <w:webHidden/>
              </w:rPr>
              <w:fldChar w:fldCharType="begin"/>
            </w:r>
            <w:r>
              <w:rPr>
                <w:noProof/>
                <w:webHidden/>
              </w:rPr>
              <w:instrText xml:space="preserve"> PAGEREF _Toc213255130 \h </w:instrText>
            </w:r>
            <w:r>
              <w:rPr>
                <w:noProof/>
                <w:webHidden/>
              </w:rPr>
            </w:r>
            <w:r>
              <w:rPr>
                <w:noProof/>
                <w:webHidden/>
              </w:rPr>
              <w:fldChar w:fldCharType="separate"/>
            </w:r>
            <w:r>
              <w:rPr>
                <w:noProof/>
                <w:webHidden/>
              </w:rPr>
              <w:t>20</w:t>
            </w:r>
            <w:r>
              <w:rPr>
                <w:noProof/>
                <w:webHidden/>
              </w:rPr>
              <w:fldChar w:fldCharType="end"/>
            </w:r>
          </w:hyperlink>
        </w:p>
        <w:p w14:paraId="66DACDF1" w14:textId="790BD146" w:rsidR="00DF4F65" w:rsidRDefault="00DF4F65" w:rsidP="00DF4F65">
          <w:pPr>
            <w:pStyle w:val="TOC3"/>
            <w:tabs>
              <w:tab w:val="left" w:pos="284"/>
              <w:tab w:val="left" w:pos="851"/>
              <w:tab w:val="left" w:pos="1276"/>
              <w:tab w:val="left" w:pos="1920"/>
              <w:tab w:val="right" w:leader="dot" w:pos="9350"/>
            </w:tabs>
            <w:ind w:firstLine="0"/>
            <w:rPr>
              <w:rFonts w:asciiTheme="minorHAnsi" w:eastAsiaTheme="minorEastAsia" w:hAnsiTheme="minorHAnsi"/>
              <w:noProof/>
              <w:kern w:val="2"/>
              <w:szCs w:val="24"/>
              <w:lang w:eastAsia="en-GB"/>
              <w14:ligatures w14:val="standardContextual"/>
            </w:rPr>
          </w:pPr>
          <w:hyperlink w:anchor="_Toc213255131" w:history="1">
            <w:r w:rsidRPr="00975227">
              <w:rPr>
                <w:rStyle w:val="Hyperlink"/>
                <w:noProof/>
              </w:rPr>
              <w:t>3.4.4</w:t>
            </w:r>
            <w:r>
              <w:rPr>
                <w:rFonts w:asciiTheme="minorHAnsi" w:eastAsiaTheme="minorEastAsia" w:hAnsiTheme="minorHAnsi"/>
                <w:noProof/>
                <w:kern w:val="2"/>
                <w:szCs w:val="24"/>
                <w:lang w:eastAsia="en-GB"/>
                <w14:ligatures w14:val="standardContextual"/>
              </w:rPr>
              <w:tab/>
            </w:r>
            <w:r w:rsidRPr="00975227">
              <w:rPr>
                <w:rStyle w:val="Hyperlink"/>
                <w:noProof/>
              </w:rPr>
              <w:t>Firm Strategy, Structure and Rivalry</w:t>
            </w:r>
            <w:r>
              <w:rPr>
                <w:noProof/>
                <w:webHidden/>
              </w:rPr>
              <w:tab/>
            </w:r>
            <w:r>
              <w:rPr>
                <w:noProof/>
                <w:webHidden/>
              </w:rPr>
              <w:fldChar w:fldCharType="begin"/>
            </w:r>
            <w:r>
              <w:rPr>
                <w:noProof/>
                <w:webHidden/>
              </w:rPr>
              <w:instrText xml:space="preserve"> PAGEREF _Toc213255131 \h </w:instrText>
            </w:r>
            <w:r>
              <w:rPr>
                <w:noProof/>
                <w:webHidden/>
              </w:rPr>
            </w:r>
            <w:r>
              <w:rPr>
                <w:noProof/>
                <w:webHidden/>
              </w:rPr>
              <w:fldChar w:fldCharType="separate"/>
            </w:r>
            <w:r>
              <w:rPr>
                <w:noProof/>
                <w:webHidden/>
              </w:rPr>
              <w:t>20</w:t>
            </w:r>
            <w:r>
              <w:rPr>
                <w:noProof/>
                <w:webHidden/>
              </w:rPr>
              <w:fldChar w:fldCharType="end"/>
            </w:r>
          </w:hyperlink>
        </w:p>
        <w:p w14:paraId="731B8F55" w14:textId="2251003F" w:rsidR="00DF4F65" w:rsidRDefault="00DF4F65" w:rsidP="00DF4F65">
          <w:pPr>
            <w:pStyle w:val="TOC2"/>
            <w:tabs>
              <w:tab w:val="left" w:pos="284"/>
              <w:tab w:val="left" w:pos="851"/>
              <w:tab w:val="left" w:pos="1276"/>
              <w:tab w:val="left" w:pos="1680"/>
              <w:tab w:val="right" w:leader="dot" w:pos="9350"/>
            </w:tabs>
            <w:ind w:firstLine="0"/>
            <w:rPr>
              <w:rFonts w:asciiTheme="minorHAnsi" w:eastAsiaTheme="minorEastAsia" w:hAnsiTheme="minorHAnsi"/>
              <w:noProof/>
              <w:kern w:val="2"/>
              <w:szCs w:val="24"/>
              <w:lang w:eastAsia="en-GB"/>
              <w14:ligatures w14:val="standardContextual"/>
            </w:rPr>
          </w:pPr>
          <w:hyperlink w:anchor="_Toc213255132" w:history="1">
            <w:r w:rsidRPr="00975227">
              <w:rPr>
                <w:rStyle w:val="Hyperlink"/>
                <w:noProof/>
              </w:rPr>
              <w:t>3.5</w:t>
            </w:r>
            <w:r>
              <w:rPr>
                <w:rFonts w:asciiTheme="minorHAnsi" w:eastAsiaTheme="minorEastAsia" w:hAnsiTheme="minorHAnsi"/>
                <w:noProof/>
                <w:kern w:val="2"/>
                <w:szCs w:val="24"/>
                <w:lang w:eastAsia="en-GB"/>
                <w14:ligatures w14:val="standardContextual"/>
              </w:rPr>
              <w:tab/>
            </w:r>
            <w:r w:rsidRPr="00975227">
              <w:rPr>
                <w:rStyle w:val="Hyperlink"/>
                <w:noProof/>
              </w:rPr>
              <w:t>SWOT Summary</w:t>
            </w:r>
            <w:r>
              <w:rPr>
                <w:noProof/>
                <w:webHidden/>
              </w:rPr>
              <w:tab/>
            </w:r>
            <w:r>
              <w:rPr>
                <w:noProof/>
                <w:webHidden/>
              </w:rPr>
              <w:fldChar w:fldCharType="begin"/>
            </w:r>
            <w:r>
              <w:rPr>
                <w:noProof/>
                <w:webHidden/>
              </w:rPr>
              <w:instrText xml:space="preserve"> PAGEREF _Toc213255132 \h </w:instrText>
            </w:r>
            <w:r>
              <w:rPr>
                <w:noProof/>
                <w:webHidden/>
              </w:rPr>
            </w:r>
            <w:r>
              <w:rPr>
                <w:noProof/>
                <w:webHidden/>
              </w:rPr>
              <w:fldChar w:fldCharType="separate"/>
            </w:r>
            <w:r>
              <w:rPr>
                <w:noProof/>
                <w:webHidden/>
              </w:rPr>
              <w:t>21</w:t>
            </w:r>
            <w:r>
              <w:rPr>
                <w:noProof/>
                <w:webHidden/>
              </w:rPr>
              <w:fldChar w:fldCharType="end"/>
            </w:r>
          </w:hyperlink>
        </w:p>
        <w:p w14:paraId="0356A898" w14:textId="7AD1AD0C" w:rsidR="00DF4F65" w:rsidRDefault="00DF4F65" w:rsidP="00DF4F65">
          <w:pPr>
            <w:pStyle w:val="TOC1"/>
            <w:tabs>
              <w:tab w:val="left" w:pos="284"/>
              <w:tab w:val="left" w:pos="851"/>
              <w:tab w:val="left" w:pos="1200"/>
              <w:tab w:val="left" w:pos="1276"/>
              <w:tab w:val="right" w:leader="dot" w:pos="9350"/>
            </w:tabs>
            <w:ind w:firstLine="0"/>
            <w:rPr>
              <w:rFonts w:asciiTheme="minorHAnsi" w:eastAsiaTheme="minorEastAsia" w:hAnsiTheme="minorHAnsi"/>
              <w:noProof/>
              <w:kern w:val="2"/>
              <w:szCs w:val="24"/>
              <w:lang w:eastAsia="en-GB"/>
              <w14:ligatures w14:val="standardContextual"/>
            </w:rPr>
          </w:pPr>
          <w:hyperlink w:anchor="_Toc213255133" w:history="1">
            <w:r w:rsidRPr="00975227">
              <w:rPr>
                <w:rStyle w:val="Hyperlink"/>
                <w:noProof/>
              </w:rPr>
              <w:t>4</w:t>
            </w:r>
            <w:r>
              <w:rPr>
                <w:rFonts w:asciiTheme="minorHAnsi" w:eastAsiaTheme="minorEastAsia" w:hAnsiTheme="minorHAnsi"/>
                <w:noProof/>
                <w:kern w:val="2"/>
                <w:szCs w:val="24"/>
                <w:lang w:eastAsia="en-GB"/>
                <w14:ligatures w14:val="standardContextual"/>
              </w:rPr>
              <w:tab/>
            </w:r>
            <w:r w:rsidRPr="00975227">
              <w:rPr>
                <w:rStyle w:val="Hyperlink"/>
                <w:noProof/>
              </w:rPr>
              <w:t>Conclusion</w:t>
            </w:r>
            <w:r>
              <w:rPr>
                <w:noProof/>
                <w:webHidden/>
              </w:rPr>
              <w:tab/>
            </w:r>
            <w:r>
              <w:rPr>
                <w:noProof/>
                <w:webHidden/>
              </w:rPr>
              <w:fldChar w:fldCharType="begin"/>
            </w:r>
            <w:r>
              <w:rPr>
                <w:noProof/>
                <w:webHidden/>
              </w:rPr>
              <w:instrText xml:space="preserve"> PAGEREF _Toc213255133 \h </w:instrText>
            </w:r>
            <w:r>
              <w:rPr>
                <w:noProof/>
                <w:webHidden/>
              </w:rPr>
            </w:r>
            <w:r>
              <w:rPr>
                <w:noProof/>
                <w:webHidden/>
              </w:rPr>
              <w:fldChar w:fldCharType="separate"/>
            </w:r>
            <w:r>
              <w:rPr>
                <w:noProof/>
                <w:webHidden/>
              </w:rPr>
              <w:t>22</w:t>
            </w:r>
            <w:r>
              <w:rPr>
                <w:noProof/>
                <w:webHidden/>
              </w:rPr>
              <w:fldChar w:fldCharType="end"/>
            </w:r>
          </w:hyperlink>
        </w:p>
        <w:p w14:paraId="2E8E744F" w14:textId="702CF6BE" w:rsidR="00DF4F65" w:rsidRDefault="00DF4F65" w:rsidP="00DF4F65">
          <w:pPr>
            <w:pStyle w:val="TOC1"/>
            <w:tabs>
              <w:tab w:val="left" w:pos="284"/>
              <w:tab w:val="left" w:pos="851"/>
              <w:tab w:val="left" w:pos="1276"/>
              <w:tab w:val="right" w:leader="dot" w:pos="9350"/>
            </w:tabs>
            <w:ind w:firstLine="0"/>
            <w:rPr>
              <w:rFonts w:asciiTheme="minorHAnsi" w:eastAsiaTheme="minorEastAsia" w:hAnsiTheme="minorHAnsi"/>
              <w:noProof/>
              <w:kern w:val="2"/>
              <w:szCs w:val="24"/>
              <w:lang w:eastAsia="en-GB"/>
              <w14:ligatures w14:val="standardContextual"/>
            </w:rPr>
          </w:pPr>
          <w:hyperlink w:anchor="_Toc213255134" w:history="1">
            <w:r w:rsidRPr="00975227">
              <w:rPr>
                <w:rStyle w:val="Hyperlink"/>
                <w:noProof/>
              </w:rPr>
              <w:t>References</w:t>
            </w:r>
            <w:r>
              <w:rPr>
                <w:noProof/>
                <w:webHidden/>
              </w:rPr>
              <w:tab/>
            </w:r>
            <w:r>
              <w:rPr>
                <w:noProof/>
                <w:webHidden/>
              </w:rPr>
              <w:fldChar w:fldCharType="begin"/>
            </w:r>
            <w:r>
              <w:rPr>
                <w:noProof/>
                <w:webHidden/>
              </w:rPr>
              <w:instrText xml:space="preserve"> PAGEREF _Toc213255134 \h </w:instrText>
            </w:r>
            <w:r>
              <w:rPr>
                <w:noProof/>
                <w:webHidden/>
              </w:rPr>
            </w:r>
            <w:r>
              <w:rPr>
                <w:noProof/>
                <w:webHidden/>
              </w:rPr>
              <w:fldChar w:fldCharType="separate"/>
            </w:r>
            <w:r>
              <w:rPr>
                <w:noProof/>
                <w:webHidden/>
              </w:rPr>
              <w:t>24</w:t>
            </w:r>
            <w:r>
              <w:rPr>
                <w:noProof/>
                <w:webHidden/>
              </w:rPr>
              <w:fldChar w:fldCharType="end"/>
            </w:r>
          </w:hyperlink>
        </w:p>
        <w:p w14:paraId="35DCB99D" w14:textId="2A10D12B" w:rsidR="00422FAE" w:rsidRPr="00930081" w:rsidRDefault="00001058" w:rsidP="00391B28">
          <w:pPr>
            <w:spacing w:line="240" w:lineRule="auto"/>
          </w:pPr>
          <w:r w:rsidRPr="00930081">
            <w:rPr>
              <w:b/>
              <w:bCs/>
              <w:noProof/>
            </w:rPr>
            <w:fldChar w:fldCharType="end"/>
          </w:r>
        </w:p>
      </w:sdtContent>
    </w:sdt>
    <w:p w14:paraId="6FC97A26" w14:textId="77777777" w:rsidR="00B621A2" w:rsidRPr="00930081" w:rsidRDefault="00B621A2" w:rsidP="00391B28">
      <w:pPr>
        <w:pStyle w:val="Heading1"/>
        <w:numPr>
          <w:ilvl w:val="0"/>
          <w:numId w:val="0"/>
        </w:numPr>
        <w:spacing w:line="240" w:lineRule="auto"/>
        <w:ind w:left="432"/>
      </w:pPr>
    </w:p>
    <w:p w14:paraId="1D67B364" w14:textId="2A7DBCAB" w:rsidR="007A0FC1" w:rsidRPr="00930081" w:rsidRDefault="007A0FC1">
      <w:pPr>
        <w:spacing w:before="0" w:after="200" w:line="276" w:lineRule="auto"/>
        <w:ind w:firstLine="0"/>
        <w:jc w:val="left"/>
        <w:rPr>
          <w:rFonts w:eastAsia="Calibri" w:cstheme="majorBidi"/>
          <w:b/>
          <w:iCs/>
          <w:szCs w:val="32"/>
        </w:rPr>
      </w:pPr>
    </w:p>
    <w:p w14:paraId="1D96BC9B" w14:textId="5BAC8266" w:rsidR="00606568" w:rsidRPr="00930081" w:rsidRDefault="00606568" w:rsidP="007A0FC1">
      <w:pPr>
        <w:pStyle w:val="Heading1"/>
        <w:numPr>
          <w:ilvl w:val="0"/>
          <w:numId w:val="0"/>
        </w:numPr>
        <w:jc w:val="center"/>
        <w:rPr>
          <w:rFonts w:eastAsia="Calibri"/>
          <w:i/>
          <w:iCs/>
        </w:rPr>
      </w:pPr>
      <w:bookmarkStart w:id="3" w:name="_Toc213255101"/>
      <w:r w:rsidRPr="00930081">
        <w:rPr>
          <w:rFonts w:eastAsia="Calibri"/>
          <w:iCs/>
        </w:rPr>
        <w:lastRenderedPageBreak/>
        <w:t>Executive Summary</w:t>
      </w:r>
      <w:bookmarkEnd w:id="3"/>
    </w:p>
    <w:p w14:paraId="74B5CA67" w14:textId="11CE1B7E" w:rsidR="005047DA" w:rsidRPr="00930081" w:rsidRDefault="00881D7C" w:rsidP="001B46C2">
      <w:r w:rsidRPr="00930081">
        <w:t xml:space="preserve">This report </w:t>
      </w:r>
      <w:r w:rsidR="00451847">
        <w:t>examines</w:t>
      </w:r>
      <w:r w:rsidRPr="00930081">
        <w:t xml:space="preserve"> a strategic growth plan of Greggs plc, the leading bakery and food to go retailer company in the United Kingdom with an aim of venturing into the German market. Greggs has more than 2,500 stores around the country and a solid cost-leadership model</w:t>
      </w:r>
      <w:r w:rsidR="007418A8">
        <w:t>.</w:t>
      </w:r>
      <w:r w:rsidRPr="00930081">
        <w:t xml:space="preserve"> </w:t>
      </w:r>
      <w:r w:rsidR="007418A8">
        <w:t>I</w:t>
      </w:r>
      <w:r w:rsidRPr="00930081">
        <w:t xml:space="preserve">t pursues international diversification due to a domestic growth trend that is going flat. German market with an estimated worth of around 18 billion Euros per annum is an attractive target owing to the fixed bakery culture, stability in the macroeconomy and the growing consumer need to consume economical, portable and environmentally friendly food products. The complex strategic analysis based on the PESTLE, Porters Five Forces, VRIO, and Porters Diamond models demonstrates the presence of favourable macroeconomic conditions, a developed infrastructure, and a rather large urban professional population, whereas the competition intensity and the increasing labour cost can be regarded as the risk factors. The prescribed action is based on a market-development approach which will see Greggs as a value-based, sustainable British bakery-to-go brand. A Balanced Scorecard, which is an integration of financial, customer, operational, and sustainability measures, will be used to monitor performance. The expected results are brand differentiation, market-share increase and DAC region scalability. The main threats include the regulatory complexity and cultural adaptation, which require a proactive localisation and strong local partnerships. </w:t>
      </w:r>
      <w:bookmarkEnd w:id="0"/>
      <w:bookmarkEnd w:id="1"/>
    </w:p>
    <w:p w14:paraId="53A4401D" w14:textId="77777777" w:rsidR="00E74C68" w:rsidRPr="00930081" w:rsidRDefault="00E74C68">
      <w:pPr>
        <w:spacing w:before="0" w:after="200" w:line="276" w:lineRule="auto"/>
        <w:ind w:firstLine="0"/>
        <w:jc w:val="left"/>
        <w:rPr>
          <w:rFonts w:eastAsiaTheme="majorEastAsia" w:cstheme="majorBidi"/>
          <w:b/>
          <w:i/>
          <w:szCs w:val="32"/>
        </w:rPr>
      </w:pPr>
      <w:bookmarkStart w:id="4" w:name="_Hlk167797372"/>
      <w:r w:rsidRPr="00930081">
        <w:br w:type="page"/>
      </w:r>
    </w:p>
    <w:p w14:paraId="081CA556" w14:textId="36C3C6D1" w:rsidR="00C96C63" w:rsidRPr="00930081" w:rsidRDefault="00407885" w:rsidP="00391B28">
      <w:pPr>
        <w:pStyle w:val="Heading1"/>
        <w:spacing w:line="240" w:lineRule="auto"/>
      </w:pPr>
      <w:bookmarkStart w:id="5" w:name="_Toc213255102"/>
      <w:r w:rsidRPr="00930081">
        <w:lastRenderedPageBreak/>
        <w:t>Introduction</w:t>
      </w:r>
      <w:bookmarkEnd w:id="5"/>
      <w:r w:rsidR="00661D0D" w:rsidRPr="00930081">
        <w:t xml:space="preserve"> </w:t>
      </w:r>
    </w:p>
    <w:p w14:paraId="545A899E" w14:textId="77777777" w:rsidR="00881D7C" w:rsidRPr="00930081" w:rsidRDefault="00881D7C" w:rsidP="00FE1ED2">
      <w:r w:rsidRPr="00930081">
        <w:t xml:space="preserve">In the modern and fast changing world of global business, the world has forced business enterprises to develop strategic agility to maintain growth/competitive advantage. Founded in 1939 in Newcastle upon Tyne, Greggs plc has risen to become the leading bakery and food-to-go retailer in the United Kingdom, and it has over 2,500 stores across the country (Greggs plc, 2024). It has its success pegged in integrated supply chain, cost leadership and a reputation of affordability and high quality of bakery products. However, as the UK market moves towards maturity and domestic growth opportunities start to become saturated, Greggs faces the strategic challenge of seeking new areas of growth outside of its core business (Greggs plc, 2025). Expanding internationally is thus the next right move by the company. </w:t>
      </w:r>
    </w:p>
    <w:p w14:paraId="732D1BCE" w14:textId="661108CC" w:rsidR="00453496" w:rsidRPr="00930081" w:rsidRDefault="0041508A" w:rsidP="00FE1ED2">
      <w:pPr>
        <w:rPr>
          <w:lang w:val="en-US"/>
        </w:rPr>
      </w:pPr>
      <w:r>
        <w:t>In addition to this, m</w:t>
      </w:r>
      <w:r w:rsidR="00881D7C" w:rsidRPr="00930081">
        <w:t>arket potential and mitigation of strategic risks in the post Brexit environment are present in expansion to continental Europe (CBI – Ministry of Foreign Affairs, 2025). Germany with an estimated sum of about 18billion euro per year, is the biggest bakery and convenience food market in Europe. High economy of the country, density of the urban area and coffee culture are in line with the strengths of Greggs on affordability, convenience, and operational efficiency. Furthermore, the consumer trends that prefer sustainable and on-the-go meals create a favourable environment to the entry of Greggs (BMEL, 2024). In the industry, other sources like IBISWorld and the Financial Times highlight that the bakery industry in Germany is dynamic but fragmented thus providing room to institute new formats and value-based brands.</w:t>
      </w:r>
    </w:p>
    <w:p w14:paraId="3D62208A" w14:textId="4E000E30" w:rsidR="00C85D9A" w:rsidRPr="00930081" w:rsidRDefault="00C85D9A" w:rsidP="001C32C9">
      <w:pPr>
        <w:rPr>
          <w:lang w:eastAsia="en-GB"/>
        </w:rPr>
      </w:pPr>
    </w:p>
    <w:p w14:paraId="4B752A87" w14:textId="77777777" w:rsidR="00021B86" w:rsidRPr="00930081" w:rsidRDefault="00021B86" w:rsidP="00391B28">
      <w:pPr>
        <w:spacing w:after="40" w:line="240" w:lineRule="auto"/>
        <w:rPr>
          <w:rFonts w:ascii="Calibri" w:eastAsia="Calibri" w:hAnsi="Calibri" w:cs="Calibri"/>
          <w:b/>
          <w:sz w:val="20"/>
        </w:rPr>
      </w:pPr>
    </w:p>
    <w:p w14:paraId="4840F6BF" w14:textId="77777777" w:rsidR="00721057" w:rsidRPr="00930081" w:rsidRDefault="00721057" w:rsidP="00391B28">
      <w:pPr>
        <w:spacing w:after="40" w:line="240" w:lineRule="auto"/>
        <w:rPr>
          <w:rFonts w:ascii="Calibri" w:eastAsia="Calibri" w:hAnsi="Calibri" w:cs="Calibri"/>
          <w:b/>
          <w:sz w:val="20"/>
        </w:rPr>
      </w:pPr>
    </w:p>
    <w:p w14:paraId="5AB220C3" w14:textId="2DC9AF7B" w:rsidR="00476169" w:rsidRPr="00930081" w:rsidRDefault="00476169" w:rsidP="00166FFD">
      <w:pPr>
        <w:pStyle w:val="Heading1"/>
        <w:rPr>
          <w:rFonts w:eastAsia="Calibri"/>
        </w:rPr>
      </w:pPr>
      <w:bookmarkStart w:id="6" w:name="_Toc213255103"/>
      <w:r w:rsidRPr="00930081">
        <w:rPr>
          <w:rFonts w:eastAsia="Calibri"/>
        </w:rPr>
        <w:lastRenderedPageBreak/>
        <w:t xml:space="preserve">Selection of </w:t>
      </w:r>
      <w:r w:rsidR="0009302E" w:rsidRPr="00930081">
        <w:rPr>
          <w:rFonts w:eastAsia="Calibri"/>
        </w:rPr>
        <w:t xml:space="preserve">Greggs </w:t>
      </w:r>
      <w:r w:rsidRPr="00930081">
        <w:rPr>
          <w:rFonts w:eastAsia="Calibri"/>
        </w:rPr>
        <w:t>Organisation and Target Market</w:t>
      </w:r>
      <w:bookmarkEnd w:id="6"/>
    </w:p>
    <w:p w14:paraId="50CC996B" w14:textId="54267683" w:rsidR="00F738A8" w:rsidRPr="00930081" w:rsidRDefault="00715E1A" w:rsidP="00F738A8">
      <w:pPr>
        <w:pStyle w:val="Heading2"/>
      </w:pPr>
      <w:bookmarkStart w:id="7" w:name="_Toc213255104"/>
      <w:r w:rsidRPr="00930081">
        <w:rPr>
          <w:rFonts w:eastAsia="Calibri"/>
        </w:rPr>
        <w:t>Overview of Greggs plc</w:t>
      </w:r>
      <w:bookmarkEnd w:id="7"/>
    </w:p>
    <w:p w14:paraId="27A75072" w14:textId="61DE422E" w:rsidR="00715E1A" w:rsidRPr="00930081" w:rsidRDefault="00881D7C" w:rsidP="00A53283">
      <w:r w:rsidRPr="00930081">
        <w:t>Greggs plc is the United Kingdom retailing leader of bakery and on-the-go food retailer, established in 1939 and with over 2,500 stores across the country (Greggs plc,</w:t>
      </w:r>
      <w:r w:rsidR="003E7043">
        <w:t xml:space="preserve"> </w:t>
      </w:r>
      <w:r w:rsidR="003E7043">
        <w:rPr>
          <w:rFonts w:cs="Times New Roman"/>
        </w:rPr>
        <w:t>2025</w:t>
      </w:r>
      <w:r w:rsidRPr="00930081">
        <w:t>). Its menu includes savoury pastries, sandwiches, salads and drinks, which are attractive to value-conscious clients who value convenience and freshness in their meals. The supply chain of Greggs is vertically integrated which gives it the control over the production and distribution which guarantees quality and cost-effectiveness. This is the basis of its cost-leadership approach as well as its operational consistency. Online innovation enhances the competitiveness of Greggs</w:t>
      </w:r>
      <w:r w:rsidR="006761A8">
        <w:t>,</w:t>
      </w:r>
      <w:r w:rsidRPr="00930081">
        <w:t xml:space="preserve"> the loyalty app allows repeat buyers and also provides the company with data about their behaviour based on which to market. Consumer habit shifts represented in 2023 make digital transactions about 13</w:t>
      </w:r>
      <w:r w:rsidR="00144AAA">
        <w:t>%</w:t>
      </w:r>
      <w:r w:rsidRPr="00930081">
        <w:t xml:space="preserve"> of the overall sales (Reuters, </w:t>
      </w:r>
      <w:r w:rsidR="00144AAA">
        <w:t>20</w:t>
      </w:r>
      <w:r w:rsidRPr="00930081">
        <w:t>24). The revenues have exceeded over a billion pounds but still the firm is financially strong even with the inflationary factors. Its brand also encompasses sustainability by sourcing ethically, minimising wastes, and a Net 0 2040 promise.</w:t>
      </w:r>
    </w:p>
    <w:p w14:paraId="19ED5C98" w14:textId="4206032B" w:rsidR="00F738A8" w:rsidRPr="00930081" w:rsidRDefault="00715E1A" w:rsidP="00F738A8">
      <w:pPr>
        <w:pStyle w:val="Heading2"/>
      </w:pPr>
      <w:bookmarkStart w:id="8" w:name="_Toc213255105"/>
      <w:r w:rsidRPr="00930081">
        <w:rPr>
          <w:rFonts w:eastAsia="Calibri"/>
        </w:rPr>
        <w:t>Rationale for International Expansion</w:t>
      </w:r>
      <w:bookmarkEnd w:id="8"/>
    </w:p>
    <w:p w14:paraId="15D1B6EA" w14:textId="2F647150" w:rsidR="00715E1A" w:rsidRPr="00930081" w:rsidRDefault="00881D7C" w:rsidP="00881D7C">
      <w:pPr>
        <w:rPr>
          <w:lang w:val="en-US"/>
        </w:rPr>
      </w:pPr>
      <w:r w:rsidRPr="00930081">
        <w:t>The domestic market of Greggs is mature and it is a strategic requirement to expand internationally. The lack of space to develop the UK market is a reason to seek foreign markets to develop new sources of revenue and no longer rely on the domestic market (Financial Times, 2024). In the line with the Market Development strategy developed by Ansoff, Greggs plans to transfer the current competencies to new geographical locations. The trends of consumers also serve as an additional indication of expansion opportunities</w:t>
      </w:r>
      <w:r w:rsidR="006761A8">
        <w:t>,</w:t>
      </w:r>
      <w:r w:rsidRPr="00930081">
        <w:t xml:space="preserve"> busy workers are more willing to consume rapid, nutritious, and cheap food, and online ordering became a norm throughout Europe. The efficient model of the service and mobile application at Greggs is highly adapted to these behaviours (Greggs plc, 2024). The post-Brexit uncertainties are also reduced through international diversification. </w:t>
      </w:r>
      <w:r w:rsidR="00F3358E">
        <w:t>The figure 1 shows o</w:t>
      </w:r>
      <w:r w:rsidRPr="00930081">
        <w:t>ther similar brands like Costa Coffee and Pret A Manager, have been able to expand abroad by adjusting to the local tastes and prove that British food to go brands can compete effectively in Europe.</w:t>
      </w:r>
    </w:p>
    <w:p w14:paraId="7A39AACC" w14:textId="77777777" w:rsidR="00E61D88" w:rsidRPr="00930081" w:rsidRDefault="00E61D88" w:rsidP="002F5508">
      <w:pPr>
        <w:keepNext/>
        <w:ind w:firstLine="0"/>
        <w:jc w:val="center"/>
      </w:pPr>
      <w:r w:rsidRPr="00930081">
        <w:rPr>
          <w:noProof/>
        </w:rPr>
        <w:drawing>
          <wp:inline distT="0" distB="0" distL="0" distR="0" wp14:anchorId="264D666F" wp14:editId="31B53AED">
            <wp:extent cx="5296937" cy="2838615"/>
            <wp:effectExtent l="76200" t="76200" r="113665" b="114300"/>
            <wp:docPr id="1734435203" name="Picture 7" descr="Global Gross Domestic Product (GDP) Growth Quarter-over-quarter percentage change, annualized Source: IMF World Economic Outlook Update, July 2009. Note: Quarter-over-quarter changes in GDP differ from yearly figures. * In all graphs, 2009 and 2010 figures reflect estimates and projections, respectivel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Global Gross Domestic Product (GDP) Growth Quarter-over-quarter percentage change, annualized Source: IMF World Economic Outlook Update, July 2009. Note: Quarter-over-quarter changes in GDP differ from yearly figures. * In all graphs, 2009 and 2010 figures reflect estimates and projections, respectively.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98679" cy="283954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A22FC89" w14:textId="2FC7AE30" w:rsidR="00E61D88" w:rsidRPr="00930081" w:rsidRDefault="00E61D88" w:rsidP="002F5508">
      <w:pPr>
        <w:pStyle w:val="Caption"/>
        <w:ind w:firstLine="0"/>
        <w:jc w:val="center"/>
        <w:rPr>
          <w:color w:val="000000" w:themeColor="text1"/>
        </w:rPr>
      </w:pPr>
      <w:r w:rsidRPr="00930081">
        <w:rPr>
          <w:color w:val="000000" w:themeColor="text1"/>
        </w:rPr>
        <w:t xml:space="preserve">Figure </w:t>
      </w:r>
      <w:r w:rsidRPr="00930081">
        <w:rPr>
          <w:color w:val="000000" w:themeColor="text1"/>
        </w:rPr>
        <w:fldChar w:fldCharType="begin"/>
      </w:r>
      <w:r w:rsidRPr="00930081">
        <w:rPr>
          <w:color w:val="000000" w:themeColor="text1"/>
        </w:rPr>
        <w:instrText xml:space="preserve"> SEQ Figure \* ARABIC </w:instrText>
      </w:r>
      <w:r w:rsidRPr="00930081">
        <w:rPr>
          <w:color w:val="000000" w:themeColor="text1"/>
        </w:rPr>
        <w:fldChar w:fldCharType="separate"/>
      </w:r>
      <w:r w:rsidR="0004483D" w:rsidRPr="00930081">
        <w:rPr>
          <w:noProof/>
          <w:color w:val="000000" w:themeColor="text1"/>
        </w:rPr>
        <w:t>1</w:t>
      </w:r>
      <w:r w:rsidRPr="00930081">
        <w:rPr>
          <w:color w:val="000000" w:themeColor="text1"/>
        </w:rPr>
        <w:fldChar w:fldCharType="end"/>
      </w:r>
      <w:r w:rsidRPr="00930081">
        <w:rPr>
          <w:color w:val="000000" w:themeColor="text1"/>
        </w:rPr>
        <w:t xml:space="preserve"> Global Gross Domestic Product (GDP) Growth Quarter-over-quarter percentage change</w:t>
      </w:r>
    </w:p>
    <w:p w14:paraId="032C5BC6" w14:textId="32906FEF" w:rsidR="00E61D88" w:rsidRPr="00930081" w:rsidRDefault="00E61D88" w:rsidP="002F5508">
      <w:pPr>
        <w:pStyle w:val="Caption"/>
        <w:ind w:firstLine="0"/>
        <w:jc w:val="center"/>
        <w:rPr>
          <w:bCs/>
          <w:color w:val="000000" w:themeColor="text1"/>
        </w:rPr>
      </w:pPr>
      <w:r w:rsidRPr="00930081">
        <w:rPr>
          <w:color w:val="000000" w:themeColor="text1"/>
        </w:rPr>
        <w:t>Source: Melecky and Macháček (2010)</w:t>
      </w:r>
    </w:p>
    <w:p w14:paraId="3AD90F25" w14:textId="3426D609" w:rsidR="00F738A8" w:rsidRPr="00930081" w:rsidRDefault="00715E1A" w:rsidP="00F738A8">
      <w:pPr>
        <w:pStyle w:val="Heading2"/>
      </w:pPr>
      <w:bookmarkStart w:id="9" w:name="_Toc213255106"/>
      <w:r w:rsidRPr="00930081">
        <w:rPr>
          <w:rFonts w:eastAsia="Calibri"/>
        </w:rPr>
        <w:t>Market Selection: Why Germany?</w:t>
      </w:r>
      <w:bookmarkEnd w:id="9"/>
    </w:p>
    <w:p w14:paraId="2964BB4C" w14:textId="77777777" w:rsidR="00F33485" w:rsidRDefault="00AD5E3B" w:rsidP="00564B7E">
      <w:r w:rsidRPr="00930081">
        <w:t xml:space="preserve">Germany is the most strategically opportune point of entry as it has a large market base, macroeconomically stable, and cultural fit with the product, and is estimated at around 18 billion euros of annual turnover, thus it is the largest bakery market in Europe (World Bakers, 2023). The high disposable income of the people, the established culture of coffee, and the fast urbanisation process all support the success of the fast-service model of Greggs. German consumers have a dualistic taste to both quality and affordability qualities, which are closely related to the core competencies at Greggs. </w:t>
      </w:r>
    </w:p>
    <w:p w14:paraId="0B14BA46" w14:textId="212CF9C0" w:rsidR="00715E1A" w:rsidRPr="00930081" w:rsidRDefault="00F33485" w:rsidP="00564B7E">
      <w:pPr>
        <w:rPr>
          <w:bCs/>
        </w:rPr>
      </w:pPr>
      <w:r>
        <w:t>Moreover, t</w:t>
      </w:r>
      <w:r w:rsidR="00AD5E3B" w:rsidRPr="00930081">
        <w:t>he country has a history of a long tradition of bakery practises, which creates a sense of familiarity with the product category of Greggs, but there is a clear disconnect between high-end artisanal bakery products and low-cost products at the supermarket (Verband Deutscher Großbackereien, 2024). Therefore, Greggs stands at a good position to fill this middle market segment at affordable prices with fresh products. The strength of the logistics networks of Germany allows distributing product all over the country, and strategic partnerships with on-demand delivery systems like Lieferando or Uber Eats may speed up the expansion into the market. Lastly, the operational risk is reduced due to the stable regulatory environment and a ready access to skilled labour force compared to the more volatile emerging markets.</w:t>
      </w:r>
    </w:p>
    <w:p w14:paraId="02DE4597" w14:textId="24205F0A" w:rsidR="00F738A8" w:rsidRPr="00930081" w:rsidRDefault="00715E1A" w:rsidP="00F738A8">
      <w:pPr>
        <w:pStyle w:val="Heading2"/>
      </w:pPr>
      <w:bookmarkStart w:id="10" w:name="_Toc213255107"/>
      <w:r w:rsidRPr="00930081">
        <w:rPr>
          <w:rFonts w:eastAsia="Calibri"/>
        </w:rPr>
        <w:t>Strategic Justification</w:t>
      </w:r>
      <w:bookmarkEnd w:id="10"/>
    </w:p>
    <w:p w14:paraId="5FAC4EDF" w14:textId="63CC1BB3" w:rsidR="00715E1A" w:rsidRPr="00930081" w:rsidRDefault="00881D7C" w:rsidP="00564B7E">
      <w:pPr>
        <w:ind w:firstLine="578"/>
        <w:rPr>
          <w:bCs/>
        </w:rPr>
      </w:pPr>
      <w:r w:rsidRPr="00930081">
        <w:t>The growth of Greggs can be oriented along the Matrix by Ansoff as a Market Development strategy, where the already existing products are implemented in a new market. The cost-effectiveness and good brand image of the company have a basis to compete with chains like BackWerk and Kamps, which mainly concentrate on price (Kamps, 2025). Competitive advantage can be developed through differentiation based on digital interaction and quality across the board. The venture also provides a small first-mover market in the niche of the British bakery-to-go. The effectiveness of Pret A Manager in Paris shows that the international consumers are ready to react positively to the unique Britain brands. Nevertheless, Greggs will have to modify tastes, prices, and store architecture in accordance with the domestic tastes (</w:t>
      </w:r>
      <w:r w:rsidR="009202BD" w:rsidRPr="00930081">
        <w:t>Verband Deutscher Großbäckereien</w:t>
      </w:r>
      <w:r w:rsidRPr="00930081">
        <w:t>, 2024). German labour rates and regulations would limit margins hence a joint venture or franchise arrangement would reduce such a financial risk whilst ensuring market familiarity. In general, Germany has got growth opportunities and moderate risks, though operations have to be efficiently localised.</w:t>
      </w:r>
    </w:p>
    <w:p w14:paraId="25230DB8" w14:textId="4CD20D8E" w:rsidR="00F738A8" w:rsidRDefault="00715E1A" w:rsidP="00F738A8">
      <w:pPr>
        <w:pStyle w:val="Heading2"/>
        <w:rPr>
          <w:rFonts w:eastAsia="Calibri"/>
        </w:rPr>
      </w:pPr>
      <w:bookmarkStart w:id="11" w:name="_Toc213255108"/>
      <w:r w:rsidRPr="00930081">
        <w:rPr>
          <w:rFonts w:eastAsia="Calibri"/>
        </w:rPr>
        <w:t>Market Segmentation, Targeting and Positioning (STP Framework)</w:t>
      </w:r>
      <w:bookmarkEnd w:id="11"/>
    </w:p>
    <w:p w14:paraId="654063C6" w14:textId="3095329F" w:rsidR="008C41C7" w:rsidRPr="008C41C7" w:rsidRDefault="0079729A" w:rsidP="008C41C7">
      <w:pPr>
        <w:rPr>
          <w:bCs/>
        </w:rPr>
      </w:pPr>
      <w:r>
        <w:t>It is certain that a</w:t>
      </w:r>
      <w:r w:rsidR="008C41C7" w:rsidRPr="00930081">
        <w:t>pplying the STP framework clarifies Greggs’ market focus in Germany.</w:t>
      </w:r>
    </w:p>
    <w:p w14:paraId="14886732" w14:textId="77777777" w:rsidR="00706651" w:rsidRPr="00930081" w:rsidRDefault="00706651" w:rsidP="002F5508">
      <w:pPr>
        <w:keepNext/>
        <w:ind w:firstLine="0"/>
        <w:jc w:val="center"/>
      </w:pPr>
      <w:r w:rsidRPr="00930081">
        <w:rPr>
          <w:noProof/>
        </w:rPr>
        <w:drawing>
          <wp:inline distT="0" distB="0" distL="0" distR="0" wp14:anchorId="12C45E28" wp14:editId="71E8B1D3">
            <wp:extent cx="5130165" cy="2635250"/>
            <wp:effectExtent l="76200" t="76200" r="108585" b="107950"/>
            <wp:docPr id="394148761" name="Picture 1" descr="STP theory (drafted by auth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P theory (drafted by autho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33276" cy="263684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C2535D1" w14:textId="0C33D722" w:rsidR="00706651" w:rsidRPr="00930081" w:rsidRDefault="00706651" w:rsidP="002F5508">
      <w:pPr>
        <w:pStyle w:val="Caption"/>
        <w:ind w:firstLine="0"/>
        <w:jc w:val="center"/>
        <w:rPr>
          <w:color w:val="000000" w:themeColor="text1"/>
        </w:rPr>
      </w:pPr>
      <w:r w:rsidRPr="00930081">
        <w:rPr>
          <w:color w:val="000000" w:themeColor="text1"/>
        </w:rPr>
        <w:t xml:space="preserve">Figure </w:t>
      </w:r>
      <w:r w:rsidRPr="00930081">
        <w:rPr>
          <w:color w:val="000000" w:themeColor="text1"/>
        </w:rPr>
        <w:fldChar w:fldCharType="begin"/>
      </w:r>
      <w:r w:rsidRPr="00930081">
        <w:rPr>
          <w:color w:val="000000" w:themeColor="text1"/>
        </w:rPr>
        <w:instrText xml:space="preserve"> SEQ Figure \* ARABIC </w:instrText>
      </w:r>
      <w:r w:rsidRPr="00930081">
        <w:rPr>
          <w:color w:val="000000" w:themeColor="text1"/>
        </w:rPr>
        <w:fldChar w:fldCharType="separate"/>
      </w:r>
      <w:r w:rsidR="0004483D" w:rsidRPr="00930081">
        <w:rPr>
          <w:noProof/>
          <w:color w:val="000000" w:themeColor="text1"/>
        </w:rPr>
        <w:t>2</w:t>
      </w:r>
      <w:r w:rsidRPr="00930081">
        <w:rPr>
          <w:color w:val="000000" w:themeColor="text1"/>
        </w:rPr>
        <w:fldChar w:fldCharType="end"/>
      </w:r>
      <w:r w:rsidRPr="00930081">
        <w:rPr>
          <w:color w:val="000000" w:themeColor="text1"/>
        </w:rPr>
        <w:t xml:space="preserve"> STP theory </w:t>
      </w:r>
    </w:p>
    <w:p w14:paraId="5897645B" w14:textId="0B9A5E6D" w:rsidR="00706651" w:rsidRPr="00930081" w:rsidRDefault="00706651" w:rsidP="002F5508">
      <w:pPr>
        <w:pStyle w:val="Caption"/>
        <w:ind w:firstLine="0"/>
        <w:jc w:val="center"/>
        <w:rPr>
          <w:color w:val="000000" w:themeColor="text1"/>
        </w:rPr>
      </w:pPr>
      <w:r w:rsidRPr="00930081">
        <w:rPr>
          <w:color w:val="000000" w:themeColor="text1"/>
        </w:rPr>
        <w:t>Source: Li (2024)</w:t>
      </w:r>
    </w:p>
    <w:p w14:paraId="4B091784" w14:textId="77777777" w:rsidR="00715E1A" w:rsidRPr="00930081" w:rsidRDefault="00715E1A" w:rsidP="00F738A8">
      <w:pPr>
        <w:pStyle w:val="Heading3"/>
        <w:rPr>
          <w:rFonts w:eastAsia="Calibri"/>
        </w:rPr>
      </w:pPr>
      <w:bookmarkStart w:id="12" w:name="_Toc213255109"/>
      <w:r w:rsidRPr="00930081">
        <w:rPr>
          <w:rFonts w:eastAsia="Calibri"/>
        </w:rPr>
        <w:t>Segmentation</w:t>
      </w:r>
      <w:bookmarkEnd w:id="12"/>
    </w:p>
    <w:p w14:paraId="2D5708F5" w14:textId="506335C7" w:rsidR="00D05F0E" w:rsidRPr="00930081" w:rsidRDefault="00881D7C" w:rsidP="00D05F0E">
      <w:r w:rsidRPr="00930081">
        <w:t>The demographic, geographic, psychographic, and behavioural segmentation is possible in the market (Kumar</w:t>
      </w:r>
      <w:r w:rsidRPr="00930081">
        <w:rPr>
          <w:rFonts w:cs="Times New Roman"/>
        </w:rPr>
        <w:t xml:space="preserve"> </w:t>
      </w:r>
      <w:r w:rsidRPr="00930081">
        <w:t>et al., 2025). The core clientele includes 18-45 years old professionals and students in the large cities like Berlin, Munich, and Hamburg. They are characterised by a lack of time, value orientation and growing sustainability awareness. In terms of behaviour, they have a liking towards low-cost breakfast and lunches and often rely on mobile ordering applications. The popularity of fast value-oriented service demonstrated by BackWerk in train stations can be adopted by Greggs (BackWerk, 2025).</w:t>
      </w:r>
    </w:p>
    <w:p w14:paraId="1D1C336C" w14:textId="77777777" w:rsidR="00D05F0E" w:rsidRPr="00930081" w:rsidRDefault="00D05F0E" w:rsidP="002F5508">
      <w:pPr>
        <w:keepNext/>
        <w:tabs>
          <w:tab w:val="left" w:pos="426"/>
        </w:tabs>
        <w:ind w:firstLine="0"/>
        <w:jc w:val="center"/>
      </w:pPr>
      <w:r w:rsidRPr="00930081">
        <w:rPr>
          <w:noProof/>
        </w:rPr>
        <w:drawing>
          <wp:inline distT="0" distB="0" distL="0" distR="0" wp14:anchorId="5BF941EE" wp14:editId="32110CD4">
            <wp:extent cx="4314190" cy="3302000"/>
            <wp:effectExtent l="76200" t="76200" r="105410" b="107950"/>
            <wp:docPr id="777714396" name="Picture 9" descr="Sustainability 14 01795 g001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Sustainability 14 01795 g001 550"/>
                    <pic:cNvPicPr>
                      <a:picLocks noChangeAspect="1" noChangeArrowheads="1"/>
                    </pic:cNvPicPr>
                  </pic:nvPicPr>
                  <pic:blipFill>
                    <a:blip r:embed="rId11">
                      <a:extLst>
                        <a:ext uri="{BEBA8EAE-BF5A-486C-A8C5-ECC9F3942E4B}">
                          <a14:imgProps xmlns:a14="http://schemas.microsoft.com/office/drawing/2010/main">
                            <a14:imgLayer r:embed="rId12">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4316572" cy="330382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E721E88" w14:textId="088EEF97" w:rsidR="00D05F0E" w:rsidRPr="00930081" w:rsidRDefault="00D05F0E" w:rsidP="002F5508">
      <w:pPr>
        <w:pStyle w:val="Caption"/>
        <w:tabs>
          <w:tab w:val="left" w:pos="426"/>
        </w:tabs>
        <w:ind w:firstLine="0"/>
        <w:jc w:val="center"/>
        <w:rPr>
          <w:color w:val="000000" w:themeColor="text1"/>
        </w:rPr>
      </w:pPr>
      <w:r w:rsidRPr="00930081">
        <w:rPr>
          <w:color w:val="000000" w:themeColor="text1"/>
        </w:rPr>
        <w:t xml:space="preserve">Figure </w:t>
      </w:r>
      <w:r w:rsidRPr="00930081">
        <w:rPr>
          <w:color w:val="000000" w:themeColor="text1"/>
        </w:rPr>
        <w:fldChar w:fldCharType="begin"/>
      </w:r>
      <w:r w:rsidRPr="00930081">
        <w:rPr>
          <w:color w:val="000000" w:themeColor="text1"/>
        </w:rPr>
        <w:instrText xml:space="preserve"> SEQ Figure \* ARABIC </w:instrText>
      </w:r>
      <w:r w:rsidRPr="00930081">
        <w:rPr>
          <w:color w:val="000000" w:themeColor="text1"/>
        </w:rPr>
        <w:fldChar w:fldCharType="separate"/>
      </w:r>
      <w:r w:rsidR="0004483D" w:rsidRPr="00930081">
        <w:rPr>
          <w:noProof/>
          <w:color w:val="000000" w:themeColor="text1"/>
        </w:rPr>
        <w:t>3</w:t>
      </w:r>
      <w:r w:rsidRPr="00930081">
        <w:rPr>
          <w:color w:val="000000" w:themeColor="text1"/>
        </w:rPr>
        <w:fldChar w:fldCharType="end"/>
      </w:r>
      <w:r w:rsidRPr="00930081">
        <w:rPr>
          <w:color w:val="000000" w:themeColor="text1"/>
        </w:rPr>
        <w:t xml:space="preserve"> The selection probability of each result as the delivery charge changes. </w:t>
      </w:r>
    </w:p>
    <w:p w14:paraId="2498698B" w14:textId="798A01C0" w:rsidR="00D05F0E" w:rsidRPr="00930081" w:rsidRDefault="00D05F0E" w:rsidP="002F5508">
      <w:pPr>
        <w:pStyle w:val="Caption"/>
        <w:tabs>
          <w:tab w:val="left" w:pos="426"/>
        </w:tabs>
        <w:ind w:firstLine="0"/>
        <w:jc w:val="center"/>
        <w:rPr>
          <w:color w:val="000000" w:themeColor="text1"/>
        </w:rPr>
      </w:pPr>
      <w:r w:rsidRPr="00930081">
        <w:rPr>
          <w:color w:val="000000" w:themeColor="text1"/>
        </w:rPr>
        <w:t>Source: Wu et al. (2022)</w:t>
      </w:r>
    </w:p>
    <w:p w14:paraId="18E9D3D3" w14:textId="77777777" w:rsidR="00715E1A" w:rsidRPr="00930081" w:rsidRDefault="00715E1A" w:rsidP="00F738A8">
      <w:pPr>
        <w:pStyle w:val="Heading3"/>
        <w:rPr>
          <w:rFonts w:eastAsia="Calibri"/>
        </w:rPr>
      </w:pPr>
      <w:bookmarkStart w:id="13" w:name="_Toc213255110"/>
      <w:r w:rsidRPr="00930081">
        <w:rPr>
          <w:rFonts w:eastAsia="Calibri"/>
        </w:rPr>
        <w:t>Targeting</w:t>
      </w:r>
      <w:bookmarkEnd w:id="13"/>
    </w:p>
    <w:p w14:paraId="5D6FFB00" w14:textId="1DDB31E7" w:rsidR="00715E1A" w:rsidRPr="00930081" w:rsidRDefault="00881D7C" w:rsidP="0009302E">
      <w:r w:rsidRPr="00930081">
        <w:t xml:space="preserve">The main audience of Greggs is professionals and commuters in the city, who </w:t>
      </w:r>
      <w:r w:rsidR="00062607" w:rsidRPr="00930081">
        <w:t>need</w:t>
      </w:r>
      <w:r w:rsidRPr="00930081">
        <w:t xml:space="preserve"> fast and regular food (Greggs plc, 2024). The secondary audience is the students and young adults who utilise online platforms and react to loyalty programmes. This would strike a balance between the in-store and online demand, following a similar approach in the UK of Greggs combining high-street stores with click-and-collect and delivery. </w:t>
      </w:r>
    </w:p>
    <w:p w14:paraId="2BFD156E" w14:textId="77777777" w:rsidR="00715E1A" w:rsidRPr="00930081" w:rsidRDefault="00715E1A" w:rsidP="00F738A8">
      <w:pPr>
        <w:pStyle w:val="Heading3"/>
        <w:rPr>
          <w:rFonts w:eastAsia="Calibri"/>
        </w:rPr>
      </w:pPr>
      <w:bookmarkStart w:id="14" w:name="_Toc213255111"/>
      <w:r w:rsidRPr="00930081">
        <w:rPr>
          <w:rFonts w:eastAsia="Calibri"/>
        </w:rPr>
        <w:t>Positioning</w:t>
      </w:r>
      <w:bookmarkEnd w:id="14"/>
    </w:p>
    <w:p w14:paraId="72410C3C" w14:textId="1230ABE5" w:rsidR="00F738A8" w:rsidRPr="00930081" w:rsidRDefault="00881D7C" w:rsidP="00564B7E">
      <w:r w:rsidRPr="00930081">
        <w:t xml:space="preserve">Greggs has to position itself as a low-price and yet high-quality bakery cafe which is going to serve freshly made food-to-go with a mix of the British convenience and local flavour (Greggs plc, 2024). Its price, quality, and ethical sourcing are expressed in its value proposition in form of fast, fresh, and fair. Greggs would have a niche in Germany between low-end chains like BackWerk and high-end cafes like Starbucks ( Food Drink Europe, 2024). Localisation of menus, </w:t>
      </w:r>
      <w:r w:rsidR="00AD16ED">
        <w:t>for example,</w:t>
      </w:r>
      <w:r w:rsidRPr="00930081">
        <w:t xml:space="preserve"> pretzels sandwiches or rye-based, and a clear sustainability communication will enhance differentiation and cultural relevancy.</w:t>
      </w:r>
    </w:p>
    <w:p w14:paraId="0007A221" w14:textId="7B9B6D88" w:rsidR="00476169" w:rsidRPr="00930081" w:rsidRDefault="00476169" w:rsidP="00166FFD">
      <w:pPr>
        <w:pStyle w:val="Heading1"/>
        <w:rPr>
          <w:rFonts w:eastAsia="Calibri"/>
        </w:rPr>
      </w:pPr>
      <w:bookmarkStart w:id="15" w:name="_Toc213255112"/>
      <w:r w:rsidRPr="00930081">
        <w:rPr>
          <w:rFonts w:eastAsia="Calibri"/>
        </w:rPr>
        <w:t>Comprehensive Strategic Analysis</w:t>
      </w:r>
      <w:bookmarkEnd w:id="15"/>
      <w:r w:rsidRPr="00930081">
        <w:rPr>
          <w:rFonts w:eastAsia="Calibri"/>
        </w:rPr>
        <w:t xml:space="preserve"> </w:t>
      </w:r>
    </w:p>
    <w:p w14:paraId="3763A8B6" w14:textId="366E4C1A" w:rsidR="001A1F2C" w:rsidRPr="00930081" w:rsidRDefault="00881D7C" w:rsidP="00564B7E">
      <w:r w:rsidRPr="00930081">
        <w:t>This part is a critical analysis of the strategic environment that affects the expansion of Greggs plc into Germany in terms of the PESTLE, Porters five forces, VRIO, and Porters diamond frameworks. They jointly determine those external opportunities, internal strengths, and competitive challenges. Each framework has its own contribution but has to be implemented dynamically since the food retail sector is evolving at a very fast rate and therefore what was applicable a few years ago may not be applicable today.</w:t>
      </w:r>
    </w:p>
    <w:p w14:paraId="21725FE1" w14:textId="3BD509B7" w:rsidR="0056295B" w:rsidRPr="00930081" w:rsidRDefault="001A1F2C" w:rsidP="0056295B">
      <w:pPr>
        <w:pStyle w:val="Heading2"/>
      </w:pPr>
      <w:bookmarkStart w:id="16" w:name="_Toc213255113"/>
      <w:r w:rsidRPr="00930081">
        <w:t>Macro-Environmental Analysis – PESTLE Framework</w:t>
      </w:r>
      <w:bookmarkEnd w:id="16"/>
    </w:p>
    <w:p w14:paraId="54190586" w14:textId="0BC03FA3" w:rsidR="001A1F2C" w:rsidRPr="00930081" w:rsidRDefault="00881D7C" w:rsidP="0056295B">
      <w:r w:rsidRPr="00930081">
        <w:t>PESTLE model analyses the political, economic, sociocultural, technological, legal and environmental factors that influence entry of Greggs into the market. It provides a systematic summary but it is restrained by its lack of dynamism and only gives a picture as opposed to a glimpse into the future.</w:t>
      </w:r>
      <w:r w:rsidR="001A1F2C" w:rsidRPr="00930081">
        <w:t>.</w:t>
      </w:r>
    </w:p>
    <w:p w14:paraId="56DB591D" w14:textId="77777777" w:rsidR="00D00095" w:rsidRPr="00930081" w:rsidRDefault="00D00095" w:rsidP="005B4553">
      <w:pPr>
        <w:keepNext/>
        <w:ind w:firstLine="0"/>
        <w:jc w:val="center"/>
      </w:pPr>
      <w:r w:rsidRPr="00930081">
        <w:rPr>
          <w:noProof/>
        </w:rPr>
        <w:drawing>
          <wp:inline distT="0" distB="0" distL="0" distR="0" wp14:anchorId="0A8D9451" wp14:editId="21D16FB1">
            <wp:extent cx="3955415" cy="3994150"/>
            <wp:effectExtent l="76200" t="76200" r="121285" b="120650"/>
            <wp:docPr id="1403938629" name="Picture 2" descr="2: The PESTEL analysis frame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 The PESTEL analysis framework"/>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962187" cy="400098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E20D117" w14:textId="64B7B9C5" w:rsidR="00D00095" w:rsidRPr="00930081" w:rsidRDefault="00D00095" w:rsidP="005B4553">
      <w:pPr>
        <w:pStyle w:val="Caption"/>
        <w:ind w:firstLine="0"/>
        <w:jc w:val="center"/>
        <w:rPr>
          <w:color w:val="000000" w:themeColor="text1"/>
        </w:rPr>
      </w:pPr>
      <w:r w:rsidRPr="00930081">
        <w:rPr>
          <w:color w:val="000000" w:themeColor="text1"/>
        </w:rPr>
        <w:t xml:space="preserve">Figure </w:t>
      </w:r>
      <w:r w:rsidRPr="00930081">
        <w:rPr>
          <w:color w:val="000000" w:themeColor="text1"/>
        </w:rPr>
        <w:fldChar w:fldCharType="begin"/>
      </w:r>
      <w:r w:rsidRPr="00930081">
        <w:rPr>
          <w:color w:val="000000" w:themeColor="text1"/>
        </w:rPr>
        <w:instrText xml:space="preserve"> SEQ Figure \* ARABIC </w:instrText>
      </w:r>
      <w:r w:rsidRPr="00930081">
        <w:rPr>
          <w:color w:val="000000" w:themeColor="text1"/>
        </w:rPr>
        <w:fldChar w:fldCharType="separate"/>
      </w:r>
      <w:r w:rsidR="0004483D" w:rsidRPr="00930081">
        <w:rPr>
          <w:noProof/>
          <w:color w:val="000000" w:themeColor="text1"/>
        </w:rPr>
        <w:t>4</w:t>
      </w:r>
      <w:r w:rsidRPr="00930081">
        <w:rPr>
          <w:color w:val="000000" w:themeColor="text1"/>
        </w:rPr>
        <w:fldChar w:fldCharType="end"/>
      </w:r>
      <w:r w:rsidRPr="00930081">
        <w:rPr>
          <w:color w:val="000000" w:themeColor="text1"/>
        </w:rPr>
        <w:t xml:space="preserve"> The PESTEL analysis framework </w:t>
      </w:r>
    </w:p>
    <w:p w14:paraId="6C2C3C28" w14:textId="1280B15C" w:rsidR="00D00095" w:rsidRPr="00930081" w:rsidRDefault="00D00095" w:rsidP="005B4553">
      <w:pPr>
        <w:pStyle w:val="Caption"/>
        <w:ind w:firstLine="0"/>
        <w:jc w:val="center"/>
        <w:rPr>
          <w:color w:val="000000" w:themeColor="text1"/>
        </w:rPr>
      </w:pPr>
      <w:r w:rsidRPr="00930081">
        <w:rPr>
          <w:color w:val="000000" w:themeColor="text1"/>
        </w:rPr>
        <w:t>Source: Sansa (2020)</w:t>
      </w:r>
    </w:p>
    <w:p w14:paraId="5EF5B853" w14:textId="77777777" w:rsidR="001A1F2C" w:rsidRPr="00930081" w:rsidRDefault="001A1F2C" w:rsidP="00006C63">
      <w:pPr>
        <w:pStyle w:val="Heading3"/>
      </w:pPr>
      <w:bookmarkStart w:id="17" w:name="_Toc213255114"/>
      <w:r w:rsidRPr="00930081">
        <w:t>Political Factors</w:t>
      </w:r>
      <w:bookmarkEnd w:id="17"/>
    </w:p>
    <w:p w14:paraId="13AD2F68" w14:textId="586BADD6" w:rsidR="001A1F2C" w:rsidRPr="00930081" w:rsidRDefault="00881D7C" w:rsidP="00991D03">
      <w:r w:rsidRPr="00930081">
        <w:t>The government in Germany is stable and the country is in the EU, which makes the business environment low-risk (BMAS, 2024). The UK</w:t>
      </w:r>
      <w:r w:rsidR="00C92608">
        <w:t>,</w:t>
      </w:r>
      <w:r w:rsidRPr="00930081">
        <w:t xml:space="preserve"> EU Trade and Cooperation Agreement permits tariff-free trade with the added responsibility of more paperwork in terms of custom. Germany is ranked in the top ten countries in the world by the OECD in terms of political stability, which will give Greggs a lot of confidence in entering the market (Maddren, 2024). But the changing EU food labelling and labour regulations can drive up the cost of compliance, which will demand local legal knowledge.</w:t>
      </w:r>
    </w:p>
    <w:p w14:paraId="760067CB" w14:textId="77777777" w:rsidR="001A1F2C" w:rsidRPr="00930081" w:rsidRDefault="001A1F2C" w:rsidP="00006C63">
      <w:pPr>
        <w:pStyle w:val="Heading3"/>
      </w:pPr>
      <w:bookmarkStart w:id="18" w:name="_Toc213255115"/>
      <w:r w:rsidRPr="00930081">
        <w:t>Economic Factors</w:t>
      </w:r>
      <w:bookmarkEnd w:id="18"/>
    </w:p>
    <w:p w14:paraId="089ACDBC" w14:textId="5725E45A" w:rsidR="001A1F2C" w:rsidRPr="00930081" w:rsidRDefault="001730F2" w:rsidP="00991D03">
      <w:r w:rsidRPr="00930081">
        <w:t>Germany is the largest economy in Europe contributing about 24</w:t>
      </w:r>
      <w:r w:rsidR="00AB095F">
        <w:t>%</w:t>
      </w:r>
      <w:r w:rsidRPr="00930081">
        <w:t xml:space="preserve"> of the gross domestic product of the European Union (USDA Foreign Agricultural Service, 2024). Demand in the convenience foods market is strong given the bakery industry in the country dominated by 18 billion Euros. However, Greggs may lose its cost-leadership margins due to the high city rent prices and labour expense (BMAS 2025). The efficiency-oriented model of the firm has to, therefore, balance between the affordability and profitability.</w:t>
      </w:r>
    </w:p>
    <w:p w14:paraId="35D369DB" w14:textId="77777777" w:rsidR="001A1F2C" w:rsidRPr="00930081" w:rsidRDefault="001A1F2C" w:rsidP="00006C63">
      <w:pPr>
        <w:pStyle w:val="Heading3"/>
      </w:pPr>
      <w:bookmarkStart w:id="19" w:name="_Toc213255116"/>
      <w:r w:rsidRPr="00930081">
        <w:t>Sociocultural Factors</w:t>
      </w:r>
      <w:bookmarkEnd w:id="19"/>
    </w:p>
    <w:p w14:paraId="0A90D81E" w14:textId="68A8A278" w:rsidR="001A1F2C" w:rsidRPr="00930081" w:rsidRDefault="001730F2" w:rsidP="00991D03">
      <w:r w:rsidRPr="00930081">
        <w:t>The German cafe culture and the emphasis on bakery products produced freshly are in line with the Greggs brand ethos (European Coffee Federation, 2024). However, the consumers are mostly concerned with quality and local authenticity in the event of price. The percentage of vegetarians in Germany is around 10</w:t>
      </w:r>
      <w:r w:rsidR="00AB095F">
        <w:t>%</w:t>
      </w:r>
      <w:r w:rsidRPr="00930081">
        <w:t>, indicating there could be interest in vegan and balanced product lines of Greggs (BMEL, 2024). Greggs will have to localise its recipes, reinforce freshness and promote health and ethical values to become successful. The pie chart provided shows that grass and leaves (46%) and crop residues (19%) make up the majority of livestock feed in the world, with grains (8%) and other edible substances (1%) contributing a minor portion, meaning that most livestock feed is non-edible to humans.</w:t>
      </w:r>
    </w:p>
    <w:p w14:paraId="7237BFB0" w14:textId="77777777" w:rsidR="00D05F0E" w:rsidRPr="00930081" w:rsidRDefault="00D05F0E" w:rsidP="002F5508">
      <w:pPr>
        <w:keepNext/>
        <w:ind w:firstLine="0"/>
        <w:jc w:val="center"/>
      </w:pPr>
      <w:r w:rsidRPr="00930081">
        <w:rPr>
          <w:noProof/>
        </w:rPr>
        <w:drawing>
          <wp:inline distT="0" distB="0" distL="0" distR="0" wp14:anchorId="70D1353A" wp14:editId="61828D01">
            <wp:extent cx="4967982" cy="3114392"/>
            <wp:effectExtent l="76200" t="76200" r="118745" b="105410"/>
            <wp:docPr id="763548221" name="Picture 10" descr="Agriculture 12 01518 g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Agriculture 12 01518 g00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969364" cy="311525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FD2366F" w14:textId="0BBF25BA" w:rsidR="00D05F0E" w:rsidRPr="00930081" w:rsidRDefault="00D05F0E" w:rsidP="002F5508">
      <w:pPr>
        <w:pStyle w:val="Caption"/>
        <w:ind w:firstLine="0"/>
        <w:jc w:val="center"/>
        <w:rPr>
          <w:color w:val="000000" w:themeColor="text1"/>
        </w:rPr>
      </w:pPr>
      <w:r w:rsidRPr="00930081">
        <w:rPr>
          <w:color w:val="000000" w:themeColor="text1"/>
        </w:rPr>
        <w:t xml:space="preserve">Figure </w:t>
      </w:r>
      <w:r w:rsidRPr="00930081">
        <w:rPr>
          <w:color w:val="000000" w:themeColor="text1"/>
        </w:rPr>
        <w:fldChar w:fldCharType="begin"/>
      </w:r>
      <w:r w:rsidRPr="00930081">
        <w:rPr>
          <w:color w:val="000000" w:themeColor="text1"/>
        </w:rPr>
        <w:instrText xml:space="preserve"> SEQ Figure \* ARABIC </w:instrText>
      </w:r>
      <w:r w:rsidRPr="00930081">
        <w:rPr>
          <w:color w:val="000000" w:themeColor="text1"/>
        </w:rPr>
        <w:fldChar w:fldCharType="separate"/>
      </w:r>
      <w:r w:rsidR="0004483D" w:rsidRPr="00930081">
        <w:rPr>
          <w:noProof/>
          <w:color w:val="000000" w:themeColor="text1"/>
        </w:rPr>
        <w:t>5</w:t>
      </w:r>
      <w:r w:rsidRPr="00930081">
        <w:rPr>
          <w:color w:val="000000" w:themeColor="text1"/>
        </w:rPr>
        <w:fldChar w:fldCharType="end"/>
      </w:r>
      <w:r w:rsidRPr="00930081">
        <w:rPr>
          <w:color w:val="000000" w:themeColor="text1"/>
        </w:rPr>
        <w:t xml:space="preserve"> Distribution (%) of global livestock feed dry matter intake </w:t>
      </w:r>
    </w:p>
    <w:p w14:paraId="1DB08D36" w14:textId="03730D4F" w:rsidR="00D05F0E" w:rsidRPr="00930081" w:rsidRDefault="00D05F0E" w:rsidP="002F5508">
      <w:pPr>
        <w:pStyle w:val="Caption"/>
        <w:ind w:firstLine="0"/>
        <w:jc w:val="center"/>
        <w:rPr>
          <w:color w:val="000000" w:themeColor="text1"/>
        </w:rPr>
      </w:pPr>
      <w:r w:rsidRPr="00930081">
        <w:rPr>
          <w:color w:val="000000" w:themeColor="text1"/>
        </w:rPr>
        <w:t>Source: Dorgbetor et al. (2022)</w:t>
      </w:r>
    </w:p>
    <w:p w14:paraId="71BFBD67" w14:textId="77777777" w:rsidR="001A1F2C" w:rsidRPr="00930081" w:rsidRDefault="001A1F2C" w:rsidP="00006C63">
      <w:pPr>
        <w:pStyle w:val="Heading3"/>
      </w:pPr>
      <w:bookmarkStart w:id="20" w:name="_Toc213255117"/>
      <w:r w:rsidRPr="00930081">
        <w:t>Technological Factors</w:t>
      </w:r>
      <w:bookmarkEnd w:id="20"/>
    </w:p>
    <w:p w14:paraId="63D215B2" w14:textId="45C25A05" w:rsidR="001A1F2C" w:rsidRPr="00930081" w:rsidRDefault="001730F2" w:rsidP="00991D03">
      <w:r w:rsidRPr="00930081">
        <w:t xml:space="preserve">Greggs can rely on technology-based strategy as it is highly adopted in digital. In Germany, more than 90% of people have smartphones, and apps like Lieferando are the leaders in online delivery of food (Bitkom, 2023). The mobile application and the loyalty system that Greggs has developed can also be used, as they need to be in agreement with GDPR. The use of the delivery options through the local applications could expand the coverage and convenience, thus emulating the successful digital experience of the firm in the UK (Bitkom, 2023). </w:t>
      </w:r>
    </w:p>
    <w:p w14:paraId="0D97427B" w14:textId="77777777" w:rsidR="001A1F2C" w:rsidRPr="00930081" w:rsidRDefault="001A1F2C" w:rsidP="00006C63">
      <w:pPr>
        <w:pStyle w:val="Heading3"/>
      </w:pPr>
      <w:bookmarkStart w:id="21" w:name="_Toc213255118"/>
      <w:r w:rsidRPr="00930081">
        <w:t>Legal Factors</w:t>
      </w:r>
      <w:bookmarkEnd w:id="21"/>
    </w:p>
    <w:p w14:paraId="7EDE22F9" w14:textId="1C0DEFB2" w:rsidR="001A1F2C" w:rsidRPr="00930081" w:rsidRDefault="001730F2" w:rsidP="00991D03">
      <w:r w:rsidRPr="00930081">
        <w:t xml:space="preserve">Germany has a strict labour, food safety, and franchising law. The German Labour Code imposes more minimum wages and sets the number of working hours, which influences the work of stores (Minimum Wage Commission, 2023). It will be necessary to comply with the EU General Food Law and open franchising conditions. </w:t>
      </w:r>
      <w:r w:rsidR="008D059D">
        <w:t>The figure 6</w:t>
      </w:r>
      <w:r w:rsidRPr="00930081">
        <w:t xml:space="preserve"> represents the employment rate in Germany in 2001 2016 on the overall, males and females. The total employment was steady (ranging between 25 and 30</w:t>
      </w:r>
      <w:r w:rsidR="00AB095F">
        <w:t>%</w:t>
      </w:r>
      <w:r w:rsidRPr="00930081">
        <w:t xml:space="preserve">) with a higher percentage of males employed than the females. There is a slight downturn at 2008-2009, which coincides with the world financial crisis, after which there is a slow recovery. </w:t>
      </w:r>
    </w:p>
    <w:p w14:paraId="33F5DEB3" w14:textId="77777777" w:rsidR="0004483D" w:rsidRPr="00930081" w:rsidRDefault="0004483D" w:rsidP="002F5508">
      <w:pPr>
        <w:keepNext/>
        <w:ind w:firstLine="0"/>
        <w:jc w:val="center"/>
      </w:pPr>
      <w:r w:rsidRPr="00930081">
        <w:rPr>
          <w:noProof/>
        </w:rPr>
        <w:drawing>
          <wp:inline distT="0" distB="0" distL="0" distR="0" wp14:anchorId="7E7F68F4" wp14:editId="23A7C855">
            <wp:extent cx="4875874" cy="2743200"/>
            <wp:effectExtent l="76200" t="76200" r="115570" b="114300"/>
            <wp:docPr id="1531846145" name="Picture 11" descr="1 Employment rate in Germany (%), 200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1 Employment rate in Germany (%), 2001-17"/>
                    <pic:cNvPicPr>
                      <a:picLocks noChangeAspect="1" noChangeArrowheads="1"/>
                    </pic:cNvPicPr>
                  </pic:nvPicPr>
                  <pic:blipFill>
                    <a:blip r:embed="rId15">
                      <a:extLst>
                        <a:ext uri="{BEBA8EAE-BF5A-486C-A8C5-ECC9F3942E4B}">
                          <a14:imgProps xmlns:a14="http://schemas.microsoft.com/office/drawing/2010/main">
                            <a14:imgLayer r:embed="rId16">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4876218" cy="274339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3C66871" w14:textId="77777777" w:rsidR="0004483D" w:rsidRPr="00930081" w:rsidRDefault="0004483D" w:rsidP="002F5508">
      <w:pPr>
        <w:pStyle w:val="Caption"/>
        <w:ind w:firstLine="0"/>
        <w:jc w:val="center"/>
        <w:rPr>
          <w:color w:val="000000" w:themeColor="text1"/>
        </w:rPr>
      </w:pPr>
      <w:r w:rsidRPr="00930081">
        <w:rPr>
          <w:color w:val="000000" w:themeColor="text1"/>
        </w:rPr>
        <w:t xml:space="preserve">Figure </w:t>
      </w:r>
      <w:r w:rsidRPr="00930081">
        <w:rPr>
          <w:color w:val="000000" w:themeColor="text1"/>
        </w:rPr>
        <w:fldChar w:fldCharType="begin"/>
      </w:r>
      <w:r w:rsidRPr="00930081">
        <w:rPr>
          <w:color w:val="000000" w:themeColor="text1"/>
        </w:rPr>
        <w:instrText xml:space="preserve"> SEQ Figure \* ARABIC </w:instrText>
      </w:r>
      <w:r w:rsidRPr="00930081">
        <w:rPr>
          <w:color w:val="000000" w:themeColor="text1"/>
        </w:rPr>
        <w:fldChar w:fldCharType="separate"/>
      </w:r>
      <w:r w:rsidRPr="00930081">
        <w:rPr>
          <w:noProof/>
          <w:color w:val="000000" w:themeColor="text1"/>
        </w:rPr>
        <w:t>6</w:t>
      </w:r>
      <w:r w:rsidRPr="00930081">
        <w:rPr>
          <w:color w:val="000000" w:themeColor="text1"/>
        </w:rPr>
        <w:fldChar w:fldCharType="end"/>
      </w:r>
      <w:r w:rsidRPr="00930081">
        <w:rPr>
          <w:color w:val="000000" w:themeColor="text1"/>
        </w:rPr>
        <w:t xml:space="preserve"> Employment rate in Germany (%), 2001-17 </w:t>
      </w:r>
    </w:p>
    <w:p w14:paraId="283D6DCD" w14:textId="0FC14024" w:rsidR="0004483D" w:rsidRPr="00930081" w:rsidRDefault="0004483D" w:rsidP="002F5508">
      <w:pPr>
        <w:pStyle w:val="Caption"/>
        <w:ind w:firstLine="0"/>
        <w:jc w:val="center"/>
        <w:rPr>
          <w:color w:val="000000" w:themeColor="text1"/>
        </w:rPr>
      </w:pPr>
      <w:r w:rsidRPr="00930081">
        <w:rPr>
          <w:color w:val="000000" w:themeColor="text1"/>
        </w:rPr>
        <w:t>Source: Weishaupt (2021)</w:t>
      </w:r>
    </w:p>
    <w:p w14:paraId="2AF0B6CD" w14:textId="77777777" w:rsidR="001A1F2C" w:rsidRPr="00930081" w:rsidRDefault="001A1F2C" w:rsidP="00006C63">
      <w:pPr>
        <w:pStyle w:val="Heading3"/>
      </w:pPr>
      <w:bookmarkStart w:id="22" w:name="_Toc213255119"/>
      <w:r w:rsidRPr="00930081">
        <w:t>Environmental Factors</w:t>
      </w:r>
      <w:bookmarkEnd w:id="22"/>
    </w:p>
    <w:p w14:paraId="6FA19230" w14:textId="0C61EBFC" w:rsidR="001A1F2C" w:rsidRPr="00930081" w:rsidRDefault="001730F2" w:rsidP="0015588C">
      <w:pPr>
        <w:rPr>
          <w:lang w:val="en-US"/>
        </w:rPr>
      </w:pPr>
      <w:r w:rsidRPr="00930081">
        <w:t>The German Packaging Act deems recycling and sustainability. The Net Zero 2040 target and recyclable packaging of Greggs fits the requirements of the country (Greggs plc, 2025). A brand image can be enhanced by proving to be environmental-responsible and being non-responsible means reputational risks.</w:t>
      </w:r>
    </w:p>
    <w:p w14:paraId="3EA9C69F" w14:textId="1235A45F" w:rsidR="00006C63" w:rsidRPr="00930081" w:rsidRDefault="001A1F2C" w:rsidP="00006C63">
      <w:pPr>
        <w:pStyle w:val="Heading2"/>
      </w:pPr>
      <w:bookmarkStart w:id="23" w:name="_Toc213255120"/>
      <w:r w:rsidRPr="00930081">
        <w:t>Industry and Competitive Analysis – Porter’s Five Forces</w:t>
      </w:r>
      <w:bookmarkEnd w:id="23"/>
    </w:p>
    <w:p w14:paraId="1AB33DAD" w14:textId="0556B2D5" w:rsidR="001A1F2C" w:rsidRPr="00930081" w:rsidRDefault="001730F2" w:rsidP="00006C63">
      <w:r w:rsidRPr="00930081">
        <w:t>This model identifies competition forces in Germany bakery-to-go market. Even though it provides structural insights, it presupposes the competition being static and the underrepresentation of the dynamic power of digital platforms (Bitkom, 2023).</w:t>
      </w:r>
    </w:p>
    <w:p w14:paraId="6B8D556B" w14:textId="77777777" w:rsidR="003C6807" w:rsidRPr="00930081" w:rsidRDefault="003C6807" w:rsidP="002F5508">
      <w:pPr>
        <w:keepNext/>
        <w:ind w:firstLine="0"/>
        <w:jc w:val="center"/>
      </w:pPr>
      <w:r w:rsidRPr="00930081">
        <w:rPr>
          <w:noProof/>
        </w:rPr>
        <w:drawing>
          <wp:inline distT="0" distB="0" distL="0" distR="0" wp14:anchorId="5B3C6D92" wp14:editId="32EC0DD8">
            <wp:extent cx="5081270" cy="3124200"/>
            <wp:effectExtent l="76200" t="76200" r="119380" b="114300"/>
            <wp:docPr id="773213013" name="Picture 3" descr="Porter's five forces model of enterp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orter's five forces model of enterprises."/>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083692" cy="312568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AE59B78" w14:textId="14E64019" w:rsidR="003C6807" w:rsidRPr="00930081" w:rsidRDefault="003C6807" w:rsidP="002F5508">
      <w:pPr>
        <w:pStyle w:val="Caption"/>
        <w:ind w:firstLine="0"/>
        <w:jc w:val="center"/>
        <w:rPr>
          <w:color w:val="000000" w:themeColor="text1"/>
        </w:rPr>
      </w:pPr>
      <w:r w:rsidRPr="00930081">
        <w:rPr>
          <w:color w:val="000000" w:themeColor="text1"/>
        </w:rPr>
        <w:t xml:space="preserve">Figure </w:t>
      </w:r>
      <w:r w:rsidRPr="00930081">
        <w:rPr>
          <w:color w:val="000000" w:themeColor="text1"/>
        </w:rPr>
        <w:fldChar w:fldCharType="begin"/>
      </w:r>
      <w:r w:rsidRPr="00930081">
        <w:rPr>
          <w:color w:val="000000" w:themeColor="text1"/>
        </w:rPr>
        <w:instrText xml:space="preserve"> SEQ Figure \* ARABIC </w:instrText>
      </w:r>
      <w:r w:rsidRPr="00930081">
        <w:rPr>
          <w:color w:val="000000" w:themeColor="text1"/>
        </w:rPr>
        <w:fldChar w:fldCharType="separate"/>
      </w:r>
      <w:r w:rsidR="0004483D" w:rsidRPr="00930081">
        <w:rPr>
          <w:noProof/>
          <w:color w:val="000000" w:themeColor="text1"/>
        </w:rPr>
        <w:t>7</w:t>
      </w:r>
      <w:r w:rsidRPr="00930081">
        <w:rPr>
          <w:color w:val="000000" w:themeColor="text1"/>
        </w:rPr>
        <w:fldChar w:fldCharType="end"/>
      </w:r>
      <w:r w:rsidRPr="00930081">
        <w:rPr>
          <w:color w:val="000000" w:themeColor="text1"/>
        </w:rPr>
        <w:t xml:space="preserve"> Porter's five forces model  </w:t>
      </w:r>
    </w:p>
    <w:p w14:paraId="119C4190" w14:textId="31CAC49D" w:rsidR="003C6807" w:rsidRPr="00930081" w:rsidRDefault="003C6807" w:rsidP="002F5508">
      <w:pPr>
        <w:pStyle w:val="Caption"/>
        <w:ind w:firstLine="0"/>
        <w:jc w:val="center"/>
        <w:rPr>
          <w:color w:val="000000" w:themeColor="text1"/>
        </w:rPr>
      </w:pPr>
      <w:r w:rsidRPr="00930081">
        <w:rPr>
          <w:color w:val="000000" w:themeColor="text1"/>
        </w:rPr>
        <w:t>Source: Mao (2023)</w:t>
      </w:r>
    </w:p>
    <w:p w14:paraId="6951DEAD" w14:textId="77777777" w:rsidR="001A1F2C" w:rsidRPr="00930081" w:rsidRDefault="001A1F2C" w:rsidP="00006C63">
      <w:pPr>
        <w:pStyle w:val="Heading3"/>
      </w:pPr>
      <w:bookmarkStart w:id="24" w:name="_Toc213255121"/>
      <w:r w:rsidRPr="00930081">
        <w:t>Threat of New Entrants</w:t>
      </w:r>
      <w:bookmarkEnd w:id="24"/>
    </w:p>
    <w:p w14:paraId="04D881F8" w14:textId="6527680A" w:rsidR="001A1F2C" w:rsidRPr="00930081" w:rsidRDefault="001730F2" w:rsidP="00991D03">
      <w:r w:rsidRPr="00930081">
        <w:t>It is found that there are moderate barriers to entry. The high set up costs are accompanied by low brand loyalty in the value segment. The success of BackWerk franchise proves the willingness of the market to scalable chains (BackWerk, 2025). The fact that Greggs is capital strong and its operations are vertically integrated minimises the risks of entry.</w:t>
      </w:r>
    </w:p>
    <w:p w14:paraId="00FEC8E3" w14:textId="77777777" w:rsidR="001A1F2C" w:rsidRPr="00930081" w:rsidRDefault="001A1F2C" w:rsidP="00006C63">
      <w:pPr>
        <w:pStyle w:val="Heading3"/>
      </w:pPr>
      <w:bookmarkStart w:id="25" w:name="_Toc213255122"/>
      <w:r w:rsidRPr="00930081">
        <w:t>Bargaining Power of Suppliers</w:t>
      </w:r>
      <w:bookmarkEnd w:id="25"/>
    </w:p>
    <w:p w14:paraId="496D4C02" w14:textId="031038BE" w:rsidR="001A1F2C" w:rsidRPr="00930081" w:rsidRDefault="001730F2" w:rsidP="00991D03">
      <w:r w:rsidRPr="00930081">
        <w:t>The power of suppliers is low due to the integrated supply chain of Greggs and the possible local sourcing (USDA Foreign Agricultural Service, 2024). However, the price of raw material and energy is unstable. The input risks can be reduced by keeping costs in cheque and forming local alliances.</w:t>
      </w:r>
    </w:p>
    <w:p w14:paraId="0109D4A1" w14:textId="77777777" w:rsidR="001A1F2C" w:rsidRPr="00930081" w:rsidRDefault="001A1F2C" w:rsidP="00006C63">
      <w:pPr>
        <w:pStyle w:val="Heading3"/>
      </w:pPr>
      <w:bookmarkStart w:id="26" w:name="_Toc213255123"/>
      <w:r w:rsidRPr="00930081">
        <w:t>Bargaining Power of Buyers</w:t>
      </w:r>
      <w:bookmarkEnd w:id="26"/>
    </w:p>
    <w:p w14:paraId="712ED2A4" w14:textId="1488CD82" w:rsidR="001A1F2C" w:rsidRPr="00930081" w:rsidRDefault="001730F2" w:rsidP="00991D03">
      <w:r w:rsidRPr="00930081">
        <w:t>The consumers are powerful in the sense that they are price sensitive and quality conscious. The number of options of bakery is high, so the switching costs are low (World Bakers, 2023). Buyer power can be mitigated by the use of loyalty programmes and product differentiation which has been illustrated by Starbucks capacity to charge its customers premiums in order to get a consistent quality.</w:t>
      </w:r>
    </w:p>
    <w:p w14:paraId="2C53D996" w14:textId="77777777" w:rsidR="001A1F2C" w:rsidRPr="00930081" w:rsidRDefault="001A1F2C" w:rsidP="00006C63">
      <w:pPr>
        <w:pStyle w:val="Heading3"/>
      </w:pPr>
      <w:bookmarkStart w:id="27" w:name="_Toc213255124"/>
      <w:r w:rsidRPr="00930081">
        <w:t>Threat of Substitutes</w:t>
      </w:r>
      <w:bookmarkEnd w:id="27"/>
    </w:p>
    <w:p w14:paraId="27CF2630" w14:textId="63378EC8" w:rsidR="001A1F2C" w:rsidRPr="00930081" w:rsidRDefault="001730F2" w:rsidP="00991D03">
      <w:r w:rsidRPr="00930081">
        <w:t>Supermarkets, cafes, and in-store bakeries represent a high threat of substitution (Amin et al., 2025). The proposition made by Greggs competes with the coffee shops of Lidl and McCafes. In response to this, Greggs should emphasise speed, freshness and ethical sourcing as the points of differentiation.</w:t>
      </w:r>
    </w:p>
    <w:p w14:paraId="50F8B8FB" w14:textId="77777777" w:rsidR="001A1F2C" w:rsidRPr="00930081" w:rsidRDefault="001A1F2C" w:rsidP="00006C63">
      <w:pPr>
        <w:pStyle w:val="Heading3"/>
      </w:pPr>
      <w:bookmarkStart w:id="28" w:name="_Toc213255125"/>
      <w:r w:rsidRPr="00930081">
        <w:t>Rivalry among Existing Competitors</w:t>
      </w:r>
      <w:bookmarkEnd w:id="28"/>
    </w:p>
    <w:p w14:paraId="780D49BE" w14:textId="49D352CE" w:rsidR="001A1F2C" w:rsidRPr="00930081" w:rsidRDefault="001730F2" w:rsidP="00E435F9">
      <w:r w:rsidRPr="00930081">
        <w:t>Competition is also high and there are other brands like BackWerk, Kamps, and Le Crobag. The level of price competition has been the norm and thus restrained the margins (Saha et al., 2022). The process of differentiation of Greggs according to the British bakery-to-go identity and sustainability branding can give Greggs a clear positioning, but permanent innovation will be essential.</w:t>
      </w:r>
    </w:p>
    <w:p w14:paraId="239318E1" w14:textId="5D2E3BF0" w:rsidR="00CE6E91" w:rsidRPr="00930081" w:rsidRDefault="001A1F2C" w:rsidP="00CE6E91">
      <w:pPr>
        <w:pStyle w:val="Heading2"/>
      </w:pPr>
      <w:bookmarkStart w:id="29" w:name="_Toc213255126"/>
      <w:r w:rsidRPr="00930081">
        <w:t>Internal Environment – VRIO Analysis</w:t>
      </w:r>
      <w:bookmarkEnd w:id="29"/>
    </w:p>
    <w:p w14:paraId="54D1DCCD" w14:textId="77777777" w:rsidR="008F38FA" w:rsidRPr="00930081" w:rsidRDefault="008F38FA" w:rsidP="002F5508">
      <w:pPr>
        <w:keepNext/>
        <w:ind w:firstLine="0"/>
        <w:jc w:val="center"/>
      </w:pPr>
      <w:r w:rsidRPr="00930081">
        <w:rPr>
          <w:noProof/>
        </w:rPr>
        <w:drawing>
          <wp:inline distT="0" distB="0" distL="0" distR="0" wp14:anchorId="1047262E" wp14:editId="5B568B72">
            <wp:extent cx="5179060" cy="3175000"/>
            <wp:effectExtent l="76200" t="76200" r="116840" b="120650"/>
            <wp:docPr id="21612626" name="Picture 4" descr="2: The VRIO framework Source: Chapman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2: The VRIO framework Source: Chapman (201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182971" cy="317739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93166F8" w14:textId="45C8DB61" w:rsidR="008F38FA" w:rsidRPr="00930081" w:rsidRDefault="008F38FA" w:rsidP="002F5508">
      <w:pPr>
        <w:pStyle w:val="Caption"/>
        <w:ind w:firstLine="0"/>
        <w:jc w:val="center"/>
        <w:rPr>
          <w:color w:val="000000" w:themeColor="text1"/>
        </w:rPr>
      </w:pPr>
      <w:r w:rsidRPr="00930081">
        <w:rPr>
          <w:color w:val="000000" w:themeColor="text1"/>
        </w:rPr>
        <w:t xml:space="preserve">Figure </w:t>
      </w:r>
      <w:r w:rsidRPr="00930081">
        <w:rPr>
          <w:color w:val="000000" w:themeColor="text1"/>
        </w:rPr>
        <w:fldChar w:fldCharType="begin"/>
      </w:r>
      <w:r w:rsidRPr="00930081">
        <w:rPr>
          <w:color w:val="000000" w:themeColor="text1"/>
        </w:rPr>
        <w:instrText xml:space="preserve"> SEQ Figure \* ARABIC </w:instrText>
      </w:r>
      <w:r w:rsidRPr="00930081">
        <w:rPr>
          <w:color w:val="000000" w:themeColor="text1"/>
        </w:rPr>
        <w:fldChar w:fldCharType="separate"/>
      </w:r>
      <w:r w:rsidR="0004483D" w:rsidRPr="00930081">
        <w:rPr>
          <w:noProof/>
          <w:color w:val="000000" w:themeColor="text1"/>
        </w:rPr>
        <w:t>8</w:t>
      </w:r>
      <w:r w:rsidRPr="00930081">
        <w:rPr>
          <w:color w:val="000000" w:themeColor="text1"/>
        </w:rPr>
        <w:fldChar w:fldCharType="end"/>
      </w:r>
      <w:r w:rsidRPr="00930081">
        <w:rPr>
          <w:color w:val="000000" w:themeColor="text1"/>
        </w:rPr>
        <w:t xml:space="preserve"> The VRIO framework </w:t>
      </w:r>
    </w:p>
    <w:p w14:paraId="1CA28728" w14:textId="6571C8CE" w:rsidR="008F38FA" w:rsidRPr="00930081" w:rsidRDefault="008F38FA" w:rsidP="002F5508">
      <w:pPr>
        <w:pStyle w:val="Caption"/>
        <w:ind w:firstLine="0"/>
        <w:jc w:val="center"/>
        <w:rPr>
          <w:color w:val="000000" w:themeColor="text1"/>
        </w:rPr>
      </w:pPr>
      <w:r w:rsidRPr="00930081">
        <w:rPr>
          <w:color w:val="000000" w:themeColor="text1"/>
        </w:rPr>
        <w:t>Source: Mazikana (2023)</w:t>
      </w:r>
    </w:p>
    <w:p w14:paraId="26846A72" w14:textId="715193A4" w:rsidR="001A1F2C" w:rsidRPr="00930081" w:rsidRDefault="001730F2" w:rsidP="008872B8">
      <w:r w:rsidRPr="00930081">
        <w:t>The vertically integrated logistics and digital systems of Greggs produce sustainable cost and service benefits (Greggs plc, 2024). Nevertheless, it has not yet been able to transfer its brand equity to the international market, which requires new positioning and local involvement.</w:t>
      </w:r>
    </w:p>
    <w:p w14:paraId="48939911" w14:textId="0345E757" w:rsidR="00F82FA1" w:rsidRPr="00F82FA1" w:rsidRDefault="00F82FA1" w:rsidP="00F82FA1">
      <w:pPr>
        <w:pStyle w:val="Caption"/>
        <w:keepNext/>
        <w:ind w:firstLine="0"/>
        <w:jc w:val="center"/>
        <w:rPr>
          <w:color w:val="02060A"/>
        </w:rPr>
      </w:pPr>
      <w:r w:rsidRPr="00F82FA1">
        <w:rPr>
          <w:color w:val="02060A"/>
        </w:rPr>
        <w:t xml:space="preserve">Table </w:t>
      </w:r>
      <w:r w:rsidRPr="00F82FA1">
        <w:rPr>
          <w:color w:val="02060A"/>
        </w:rPr>
        <w:fldChar w:fldCharType="begin"/>
      </w:r>
      <w:r w:rsidRPr="00F82FA1">
        <w:rPr>
          <w:color w:val="02060A"/>
        </w:rPr>
        <w:instrText xml:space="preserve"> SEQ Table \* ARABIC </w:instrText>
      </w:r>
      <w:r w:rsidRPr="00F82FA1">
        <w:rPr>
          <w:color w:val="02060A"/>
        </w:rPr>
        <w:fldChar w:fldCharType="separate"/>
      </w:r>
      <w:r w:rsidRPr="00F82FA1">
        <w:rPr>
          <w:noProof/>
          <w:color w:val="02060A"/>
        </w:rPr>
        <w:t>1</w:t>
      </w:r>
      <w:r w:rsidRPr="00F82FA1">
        <w:rPr>
          <w:color w:val="02060A"/>
        </w:rPr>
        <w:fldChar w:fldCharType="end"/>
      </w:r>
      <w:r w:rsidRPr="00F82FA1">
        <w:rPr>
          <w:color w:val="02060A"/>
        </w:rPr>
        <w:t xml:space="preserve"> VRIO Analysis</w:t>
      </w:r>
    </w:p>
    <w:tbl>
      <w:tblPr>
        <w:tblStyle w:val="TableGrid"/>
        <w:tblW w:w="0" w:type="auto"/>
        <w:tblLook w:val="04A0" w:firstRow="1" w:lastRow="0" w:firstColumn="1" w:lastColumn="0" w:noHBand="0" w:noVBand="1"/>
      </w:tblPr>
      <w:tblGrid>
        <w:gridCol w:w="2956"/>
        <w:gridCol w:w="1137"/>
        <w:gridCol w:w="723"/>
        <w:gridCol w:w="1283"/>
        <w:gridCol w:w="1283"/>
        <w:gridCol w:w="1968"/>
      </w:tblGrid>
      <w:tr w:rsidR="001A1F2C" w:rsidRPr="00930081" w14:paraId="0C644A6F" w14:textId="77777777" w:rsidTr="00CE6E91">
        <w:tc>
          <w:tcPr>
            <w:tcW w:w="0" w:type="auto"/>
            <w:hideMark/>
          </w:tcPr>
          <w:p w14:paraId="40F44EB6" w14:textId="77777777" w:rsidR="001A1F2C" w:rsidRPr="00930081" w:rsidRDefault="001A1F2C" w:rsidP="00CE6E91">
            <w:pPr>
              <w:ind w:firstLine="0"/>
              <w:rPr>
                <w:b/>
                <w:bCs/>
              </w:rPr>
            </w:pPr>
            <w:r w:rsidRPr="00930081">
              <w:rPr>
                <w:b/>
                <w:bCs/>
              </w:rPr>
              <w:t>Resource/Capability</w:t>
            </w:r>
          </w:p>
        </w:tc>
        <w:tc>
          <w:tcPr>
            <w:tcW w:w="0" w:type="auto"/>
            <w:hideMark/>
          </w:tcPr>
          <w:p w14:paraId="777C77E7" w14:textId="77777777" w:rsidR="001A1F2C" w:rsidRPr="00930081" w:rsidRDefault="001A1F2C" w:rsidP="00CE6E91">
            <w:pPr>
              <w:ind w:firstLine="0"/>
              <w:rPr>
                <w:b/>
                <w:bCs/>
              </w:rPr>
            </w:pPr>
            <w:r w:rsidRPr="00930081">
              <w:rPr>
                <w:b/>
                <w:bCs/>
              </w:rPr>
              <w:t>Valuable</w:t>
            </w:r>
          </w:p>
        </w:tc>
        <w:tc>
          <w:tcPr>
            <w:tcW w:w="0" w:type="auto"/>
            <w:hideMark/>
          </w:tcPr>
          <w:p w14:paraId="7D10C64F" w14:textId="77777777" w:rsidR="001A1F2C" w:rsidRPr="00930081" w:rsidRDefault="001A1F2C" w:rsidP="00CE6E91">
            <w:pPr>
              <w:ind w:firstLine="0"/>
              <w:rPr>
                <w:b/>
                <w:bCs/>
              </w:rPr>
            </w:pPr>
            <w:r w:rsidRPr="00930081">
              <w:rPr>
                <w:b/>
                <w:bCs/>
              </w:rPr>
              <w:t>Rare</w:t>
            </w:r>
          </w:p>
        </w:tc>
        <w:tc>
          <w:tcPr>
            <w:tcW w:w="0" w:type="auto"/>
            <w:hideMark/>
          </w:tcPr>
          <w:p w14:paraId="0794CC66" w14:textId="77777777" w:rsidR="001A1F2C" w:rsidRPr="00930081" w:rsidRDefault="001A1F2C" w:rsidP="00CE6E91">
            <w:pPr>
              <w:ind w:firstLine="0"/>
              <w:rPr>
                <w:b/>
                <w:bCs/>
              </w:rPr>
            </w:pPr>
            <w:r w:rsidRPr="00930081">
              <w:rPr>
                <w:b/>
                <w:bCs/>
              </w:rPr>
              <w:t>Inimitable</w:t>
            </w:r>
          </w:p>
        </w:tc>
        <w:tc>
          <w:tcPr>
            <w:tcW w:w="0" w:type="auto"/>
            <w:hideMark/>
          </w:tcPr>
          <w:p w14:paraId="727216BB" w14:textId="77777777" w:rsidR="001A1F2C" w:rsidRPr="00930081" w:rsidRDefault="001A1F2C" w:rsidP="00CE6E91">
            <w:pPr>
              <w:ind w:firstLine="0"/>
              <w:rPr>
                <w:b/>
                <w:bCs/>
              </w:rPr>
            </w:pPr>
            <w:r w:rsidRPr="00930081">
              <w:rPr>
                <w:b/>
                <w:bCs/>
              </w:rPr>
              <w:t>Organised</w:t>
            </w:r>
          </w:p>
        </w:tc>
        <w:tc>
          <w:tcPr>
            <w:tcW w:w="0" w:type="auto"/>
            <w:hideMark/>
          </w:tcPr>
          <w:p w14:paraId="1DDEEE2F" w14:textId="77777777" w:rsidR="001A1F2C" w:rsidRPr="00930081" w:rsidRDefault="001A1F2C" w:rsidP="00CE6E91">
            <w:pPr>
              <w:ind w:firstLine="0"/>
              <w:rPr>
                <w:b/>
                <w:bCs/>
              </w:rPr>
            </w:pPr>
            <w:r w:rsidRPr="00930081">
              <w:rPr>
                <w:b/>
                <w:bCs/>
              </w:rPr>
              <w:t>Competitive Implication</w:t>
            </w:r>
          </w:p>
        </w:tc>
      </w:tr>
      <w:tr w:rsidR="001A1F2C" w:rsidRPr="00930081" w14:paraId="4A621509" w14:textId="77777777" w:rsidTr="008872B8">
        <w:tc>
          <w:tcPr>
            <w:tcW w:w="0" w:type="auto"/>
            <w:hideMark/>
          </w:tcPr>
          <w:p w14:paraId="7E883121" w14:textId="77777777" w:rsidR="001A1F2C" w:rsidRPr="00930081" w:rsidRDefault="001A1F2C" w:rsidP="00CE6E91">
            <w:pPr>
              <w:ind w:firstLine="0"/>
              <w:rPr>
                <w:b/>
                <w:bCs/>
              </w:rPr>
            </w:pPr>
            <w:r w:rsidRPr="00930081">
              <w:rPr>
                <w:b/>
                <w:bCs/>
              </w:rPr>
              <w:t>Integrated supply chain</w:t>
            </w:r>
          </w:p>
        </w:tc>
        <w:tc>
          <w:tcPr>
            <w:tcW w:w="0" w:type="auto"/>
            <w:shd w:val="clear" w:color="auto" w:fill="00B050"/>
            <w:hideMark/>
          </w:tcPr>
          <w:p w14:paraId="49D1B0A7" w14:textId="3931C477" w:rsidR="001A1F2C" w:rsidRPr="00930081" w:rsidRDefault="008872B8" w:rsidP="00CE6E91">
            <w:pPr>
              <w:ind w:firstLine="0"/>
            </w:pPr>
            <w:r w:rsidRPr="00930081">
              <w:t>Yes</w:t>
            </w:r>
          </w:p>
        </w:tc>
        <w:tc>
          <w:tcPr>
            <w:tcW w:w="0" w:type="auto"/>
            <w:shd w:val="clear" w:color="auto" w:fill="00B050"/>
            <w:hideMark/>
          </w:tcPr>
          <w:p w14:paraId="0C72E5A4" w14:textId="69AFDA3F" w:rsidR="001A1F2C" w:rsidRPr="00930081" w:rsidRDefault="008872B8" w:rsidP="00CE6E91">
            <w:pPr>
              <w:ind w:firstLine="0"/>
            </w:pPr>
            <w:r w:rsidRPr="00930081">
              <w:t>Yes</w:t>
            </w:r>
          </w:p>
        </w:tc>
        <w:tc>
          <w:tcPr>
            <w:tcW w:w="0" w:type="auto"/>
            <w:shd w:val="clear" w:color="auto" w:fill="00B050"/>
            <w:hideMark/>
          </w:tcPr>
          <w:p w14:paraId="2EE0786E" w14:textId="1A548A4A" w:rsidR="001A1F2C" w:rsidRPr="00930081" w:rsidRDefault="008872B8" w:rsidP="00CE6E91">
            <w:pPr>
              <w:ind w:firstLine="0"/>
            </w:pPr>
            <w:r w:rsidRPr="00930081">
              <w:t>Yes</w:t>
            </w:r>
          </w:p>
        </w:tc>
        <w:tc>
          <w:tcPr>
            <w:tcW w:w="0" w:type="auto"/>
            <w:shd w:val="clear" w:color="auto" w:fill="00B050"/>
            <w:hideMark/>
          </w:tcPr>
          <w:p w14:paraId="7478E21C" w14:textId="384A05D6" w:rsidR="001A1F2C" w:rsidRPr="00930081" w:rsidRDefault="008872B8" w:rsidP="00CE6E91">
            <w:pPr>
              <w:ind w:firstLine="0"/>
            </w:pPr>
            <w:r w:rsidRPr="00930081">
              <w:t>Yes</w:t>
            </w:r>
          </w:p>
        </w:tc>
        <w:tc>
          <w:tcPr>
            <w:tcW w:w="0" w:type="auto"/>
            <w:hideMark/>
          </w:tcPr>
          <w:p w14:paraId="5C873751" w14:textId="77777777" w:rsidR="001A1F2C" w:rsidRPr="00930081" w:rsidRDefault="001A1F2C" w:rsidP="00CE6E91">
            <w:pPr>
              <w:ind w:firstLine="0"/>
            </w:pPr>
            <w:r w:rsidRPr="00930081">
              <w:t>Sustainable advantage</w:t>
            </w:r>
          </w:p>
        </w:tc>
      </w:tr>
      <w:tr w:rsidR="001A1F2C" w:rsidRPr="00930081" w14:paraId="4D19E975" w14:textId="77777777" w:rsidTr="008872B8">
        <w:tc>
          <w:tcPr>
            <w:tcW w:w="0" w:type="auto"/>
            <w:hideMark/>
          </w:tcPr>
          <w:p w14:paraId="2FCDE8B7" w14:textId="77777777" w:rsidR="001A1F2C" w:rsidRPr="00930081" w:rsidRDefault="001A1F2C" w:rsidP="00CE6E91">
            <w:pPr>
              <w:ind w:firstLine="0"/>
              <w:rPr>
                <w:b/>
                <w:bCs/>
              </w:rPr>
            </w:pPr>
            <w:r w:rsidRPr="00930081">
              <w:rPr>
                <w:b/>
                <w:bCs/>
              </w:rPr>
              <w:t>Brand reputation (value-for-money)</w:t>
            </w:r>
          </w:p>
        </w:tc>
        <w:tc>
          <w:tcPr>
            <w:tcW w:w="0" w:type="auto"/>
            <w:shd w:val="clear" w:color="auto" w:fill="00B050"/>
            <w:hideMark/>
          </w:tcPr>
          <w:p w14:paraId="09658448" w14:textId="31753E57" w:rsidR="001A1F2C" w:rsidRPr="00930081" w:rsidRDefault="008872B8" w:rsidP="00CE6E91">
            <w:pPr>
              <w:ind w:firstLine="0"/>
            </w:pPr>
            <w:r w:rsidRPr="00930081">
              <w:t>Yes</w:t>
            </w:r>
          </w:p>
        </w:tc>
        <w:tc>
          <w:tcPr>
            <w:tcW w:w="0" w:type="auto"/>
            <w:shd w:val="clear" w:color="auto" w:fill="00B050"/>
            <w:hideMark/>
          </w:tcPr>
          <w:p w14:paraId="169082CB" w14:textId="3587AFEF" w:rsidR="001A1F2C" w:rsidRPr="00930081" w:rsidRDefault="008872B8" w:rsidP="00CE6E91">
            <w:pPr>
              <w:ind w:firstLine="0"/>
            </w:pPr>
            <w:r w:rsidRPr="00930081">
              <w:t>Yes</w:t>
            </w:r>
          </w:p>
        </w:tc>
        <w:tc>
          <w:tcPr>
            <w:tcW w:w="0" w:type="auto"/>
            <w:shd w:val="clear" w:color="auto" w:fill="EE0000"/>
            <w:hideMark/>
          </w:tcPr>
          <w:p w14:paraId="40F667E8" w14:textId="6794B372" w:rsidR="001A1F2C" w:rsidRPr="00930081" w:rsidRDefault="008872B8" w:rsidP="00CE6E91">
            <w:pPr>
              <w:ind w:firstLine="0"/>
            </w:pPr>
            <w:r w:rsidRPr="00930081">
              <w:t>No</w:t>
            </w:r>
          </w:p>
        </w:tc>
        <w:tc>
          <w:tcPr>
            <w:tcW w:w="0" w:type="auto"/>
            <w:shd w:val="clear" w:color="auto" w:fill="00B050"/>
            <w:hideMark/>
          </w:tcPr>
          <w:p w14:paraId="47FD1808" w14:textId="0ACEAB20" w:rsidR="001A1F2C" w:rsidRPr="00930081" w:rsidRDefault="008872B8" w:rsidP="00CE6E91">
            <w:pPr>
              <w:ind w:firstLine="0"/>
            </w:pPr>
            <w:r w:rsidRPr="00930081">
              <w:t>Yes</w:t>
            </w:r>
          </w:p>
        </w:tc>
        <w:tc>
          <w:tcPr>
            <w:tcW w:w="0" w:type="auto"/>
            <w:hideMark/>
          </w:tcPr>
          <w:p w14:paraId="538FC232" w14:textId="77777777" w:rsidR="001A1F2C" w:rsidRPr="00930081" w:rsidRDefault="001A1F2C" w:rsidP="00CE6E91">
            <w:pPr>
              <w:ind w:firstLine="0"/>
            </w:pPr>
            <w:r w:rsidRPr="00930081">
              <w:t>Temporary advantage</w:t>
            </w:r>
          </w:p>
        </w:tc>
      </w:tr>
      <w:tr w:rsidR="001A1F2C" w:rsidRPr="00930081" w14:paraId="2515225D" w14:textId="77777777" w:rsidTr="008872B8">
        <w:tc>
          <w:tcPr>
            <w:tcW w:w="0" w:type="auto"/>
            <w:hideMark/>
          </w:tcPr>
          <w:p w14:paraId="761DF98E" w14:textId="77777777" w:rsidR="001A1F2C" w:rsidRPr="00930081" w:rsidRDefault="001A1F2C" w:rsidP="00CE6E91">
            <w:pPr>
              <w:ind w:firstLine="0"/>
              <w:rPr>
                <w:b/>
                <w:bCs/>
              </w:rPr>
            </w:pPr>
            <w:r w:rsidRPr="00930081">
              <w:rPr>
                <w:b/>
                <w:bCs/>
              </w:rPr>
              <w:t>Product innovation (vegan range)</w:t>
            </w:r>
          </w:p>
        </w:tc>
        <w:tc>
          <w:tcPr>
            <w:tcW w:w="0" w:type="auto"/>
            <w:shd w:val="clear" w:color="auto" w:fill="00B050"/>
            <w:hideMark/>
          </w:tcPr>
          <w:p w14:paraId="76FBA46F" w14:textId="79E55343" w:rsidR="001A1F2C" w:rsidRPr="00930081" w:rsidRDefault="008872B8" w:rsidP="00CE6E91">
            <w:pPr>
              <w:ind w:firstLine="0"/>
            </w:pPr>
            <w:r w:rsidRPr="00930081">
              <w:t>Yes</w:t>
            </w:r>
          </w:p>
        </w:tc>
        <w:tc>
          <w:tcPr>
            <w:tcW w:w="0" w:type="auto"/>
            <w:shd w:val="clear" w:color="auto" w:fill="EE0000"/>
            <w:hideMark/>
          </w:tcPr>
          <w:p w14:paraId="2EE02D3D" w14:textId="6D996DB3" w:rsidR="001A1F2C" w:rsidRPr="00930081" w:rsidRDefault="008872B8" w:rsidP="00CE6E91">
            <w:pPr>
              <w:ind w:firstLine="0"/>
            </w:pPr>
            <w:r w:rsidRPr="00930081">
              <w:t>No</w:t>
            </w:r>
          </w:p>
        </w:tc>
        <w:tc>
          <w:tcPr>
            <w:tcW w:w="0" w:type="auto"/>
            <w:shd w:val="clear" w:color="auto" w:fill="EE0000"/>
            <w:hideMark/>
          </w:tcPr>
          <w:p w14:paraId="69343AD3" w14:textId="60F30F09" w:rsidR="001A1F2C" w:rsidRPr="00930081" w:rsidRDefault="008872B8" w:rsidP="00CE6E91">
            <w:pPr>
              <w:ind w:firstLine="0"/>
            </w:pPr>
            <w:r w:rsidRPr="00930081">
              <w:t>No</w:t>
            </w:r>
          </w:p>
        </w:tc>
        <w:tc>
          <w:tcPr>
            <w:tcW w:w="0" w:type="auto"/>
            <w:shd w:val="clear" w:color="auto" w:fill="00B050"/>
            <w:hideMark/>
          </w:tcPr>
          <w:p w14:paraId="13C19D4D" w14:textId="6DB8325D" w:rsidR="001A1F2C" w:rsidRPr="00930081" w:rsidRDefault="008872B8" w:rsidP="00CE6E91">
            <w:pPr>
              <w:ind w:firstLine="0"/>
            </w:pPr>
            <w:r w:rsidRPr="00930081">
              <w:t>Yes</w:t>
            </w:r>
          </w:p>
        </w:tc>
        <w:tc>
          <w:tcPr>
            <w:tcW w:w="0" w:type="auto"/>
            <w:hideMark/>
          </w:tcPr>
          <w:p w14:paraId="05BC54FD" w14:textId="77777777" w:rsidR="001A1F2C" w:rsidRPr="00930081" w:rsidRDefault="001A1F2C" w:rsidP="00CE6E91">
            <w:pPr>
              <w:ind w:firstLine="0"/>
            </w:pPr>
            <w:r w:rsidRPr="00930081">
              <w:t>Competitive parity</w:t>
            </w:r>
          </w:p>
        </w:tc>
      </w:tr>
      <w:tr w:rsidR="001A1F2C" w:rsidRPr="00930081" w14:paraId="49918FBB" w14:textId="77777777" w:rsidTr="008872B8">
        <w:tc>
          <w:tcPr>
            <w:tcW w:w="0" w:type="auto"/>
            <w:hideMark/>
          </w:tcPr>
          <w:p w14:paraId="36D402F5" w14:textId="77777777" w:rsidR="001A1F2C" w:rsidRPr="00930081" w:rsidRDefault="001A1F2C" w:rsidP="00CE6E91">
            <w:pPr>
              <w:ind w:firstLine="0"/>
              <w:rPr>
                <w:b/>
                <w:bCs/>
              </w:rPr>
            </w:pPr>
            <w:r w:rsidRPr="00930081">
              <w:rPr>
                <w:b/>
                <w:bCs/>
              </w:rPr>
              <w:t>Digital platform (Greggs App)</w:t>
            </w:r>
          </w:p>
        </w:tc>
        <w:tc>
          <w:tcPr>
            <w:tcW w:w="0" w:type="auto"/>
            <w:shd w:val="clear" w:color="auto" w:fill="00B050"/>
            <w:hideMark/>
          </w:tcPr>
          <w:p w14:paraId="7E823B2E" w14:textId="0C4BF989" w:rsidR="001A1F2C" w:rsidRPr="00930081" w:rsidRDefault="008872B8" w:rsidP="00CE6E91">
            <w:pPr>
              <w:ind w:firstLine="0"/>
            </w:pPr>
            <w:r w:rsidRPr="00930081">
              <w:t>Yes</w:t>
            </w:r>
          </w:p>
        </w:tc>
        <w:tc>
          <w:tcPr>
            <w:tcW w:w="0" w:type="auto"/>
            <w:shd w:val="clear" w:color="auto" w:fill="00B050"/>
            <w:hideMark/>
          </w:tcPr>
          <w:p w14:paraId="65254D2B" w14:textId="3BE2F133" w:rsidR="001A1F2C" w:rsidRPr="00930081" w:rsidRDefault="008872B8" w:rsidP="00CE6E91">
            <w:pPr>
              <w:ind w:firstLine="0"/>
            </w:pPr>
            <w:r w:rsidRPr="00930081">
              <w:t>Yes</w:t>
            </w:r>
          </w:p>
        </w:tc>
        <w:tc>
          <w:tcPr>
            <w:tcW w:w="0" w:type="auto"/>
            <w:shd w:val="clear" w:color="auto" w:fill="00B050"/>
            <w:hideMark/>
          </w:tcPr>
          <w:p w14:paraId="630E5564" w14:textId="62C85E9F" w:rsidR="001A1F2C" w:rsidRPr="00930081" w:rsidRDefault="008872B8" w:rsidP="00CE6E91">
            <w:pPr>
              <w:ind w:firstLine="0"/>
            </w:pPr>
            <w:r w:rsidRPr="00930081">
              <w:t>Yes</w:t>
            </w:r>
          </w:p>
        </w:tc>
        <w:tc>
          <w:tcPr>
            <w:tcW w:w="0" w:type="auto"/>
            <w:shd w:val="clear" w:color="auto" w:fill="00B050"/>
            <w:hideMark/>
          </w:tcPr>
          <w:p w14:paraId="37EED750" w14:textId="4E7111E5" w:rsidR="001A1F2C" w:rsidRPr="00930081" w:rsidRDefault="008872B8" w:rsidP="00CE6E91">
            <w:pPr>
              <w:ind w:firstLine="0"/>
            </w:pPr>
            <w:r w:rsidRPr="00930081">
              <w:t>Yes</w:t>
            </w:r>
          </w:p>
        </w:tc>
        <w:tc>
          <w:tcPr>
            <w:tcW w:w="0" w:type="auto"/>
            <w:hideMark/>
          </w:tcPr>
          <w:p w14:paraId="60C6E6CF" w14:textId="77777777" w:rsidR="001A1F2C" w:rsidRPr="00930081" w:rsidRDefault="001A1F2C" w:rsidP="00CE6E91">
            <w:pPr>
              <w:ind w:firstLine="0"/>
            </w:pPr>
            <w:r w:rsidRPr="00930081">
              <w:t>Sustainable advantage</w:t>
            </w:r>
          </w:p>
        </w:tc>
      </w:tr>
    </w:tbl>
    <w:p w14:paraId="74530F19" w14:textId="76BCCA4C" w:rsidR="001A1F2C" w:rsidRPr="00930081" w:rsidRDefault="001A1F2C" w:rsidP="00991D03"/>
    <w:p w14:paraId="796D70B2" w14:textId="76895705" w:rsidR="008872B8" w:rsidRPr="00930081" w:rsidRDefault="001A1F2C" w:rsidP="008872B8">
      <w:pPr>
        <w:pStyle w:val="Heading2"/>
      </w:pPr>
      <w:bookmarkStart w:id="30" w:name="_Toc213255127"/>
      <w:r w:rsidRPr="00930081">
        <w:t>Country Competitiveness – Porter’s Diamond Model</w:t>
      </w:r>
      <w:bookmarkEnd w:id="30"/>
    </w:p>
    <w:p w14:paraId="4612DDC8" w14:textId="425FFC38" w:rsidR="001A1F2C" w:rsidRPr="00930081" w:rsidRDefault="001730F2" w:rsidP="008872B8">
      <w:r w:rsidRPr="00930081">
        <w:t xml:space="preserve">The Porters Diamond will help in evaluating the level of national competitiveness of Germany to the bakery industry (USDA Foreign Agricultural Service, 2024). </w:t>
      </w:r>
    </w:p>
    <w:p w14:paraId="7DCACBCC" w14:textId="77777777" w:rsidR="008A6F1F" w:rsidRPr="00930081" w:rsidRDefault="008A6F1F" w:rsidP="002F5508">
      <w:pPr>
        <w:keepNext/>
        <w:ind w:firstLine="0"/>
        <w:jc w:val="center"/>
      </w:pPr>
      <w:r w:rsidRPr="00930081">
        <w:rPr>
          <w:noProof/>
        </w:rPr>
        <w:drawing>
          <wp:inline distT="0" distB="0" distL="0" distR="0" wp14:anchorId="3F7C76CD" wp14:editId="1E65501D">
            <wp:extent cx="5236845" cy="2990498"/>
            <wp:effectExtent l="76200" t="76200" r="116205" b="114935"/>
            <wp:docPr id="153140290" name="Picture 5" descr="The Porter Diamond Model (Álvarez et al., 2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he Porter Diamond Model (Álvarez et al., 201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254931" cy="300082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DA5182C" w14:textId="27ED27E9" w:rsidR="008A6F1F" w:rsidRPr="00930081" w:rsidRDefault="008A6F1F" w:rsidP="002F5508">
      <w:pPr>
        <w:pStyle w:val="Caption"/>
        <w:ind w:firstLine="0"/>
        <w:jc w:val="center"/>
        <w:rPr>
          <w:color w:val="000000" w:themeColor="text1"/>
        </w:rPr>
      </w:pPr>
      <w:r w:rsidRPr="00930081">
        <w:rPr>
          <w:color w:val="000000" w:themeColor="text1"/>
        </w:rPr>
        <w:t xml:space="preserve">Figure </w:t>
      </w:r>
      <w:r w:rsidRPr="00930081">
        <w:rPr>
          <w:color w:val="000000" w:themeColor="text1"/>
        </w:rPr>
        <w:fldChar w:fldCharType="begin"/>
      </w:r>
      <w:r w:rsidRPr="00930081">
        <w:rPr>
          <w:color w:val="000000" w:themeColor="text1"/>
        </w:rPr>
        <w:instrText xml:space="preserve"> SEQ Figure \* ARABIC </w:instrText>
      </w:r>
      <w:r w:rsidRPr="00930081">
        <w:rPr>
          <w:color w:val="000000" w:themeColor="text1"/>
        </w:rPr>
        <w:fldChar w:fldCharType="separate"/>
      </w:r>
      <w:r w:rsidR="0004483D" w:rsidRPr="00930081">
        <w:rPr>
          <w:noProof/>
          <w:color w:val="000000" w:themeColor="text1"/>
        </w:rPr>
        <w:t>9</w:t>
      </w:r>
      <w:r w:rsidRPr="00930081">
        <w:rPr>
          <w:color w:val="000000" w:themeColor="text1"/>
        </w:rPr>
        <w:fldChar w:fldCharType="end"/>
      </w:r>
      <w:r w:rsidRPr="00930081">
        <w:rPr>
          <w:color w:val="000000" w:themeColor="text1"/>
        </w:rPr>
        <w:t xml:space="preserve"> The Porter Diamond Model </w:t>
      </w:r>
    </w:p>
    <w:p w14:paraId="470BF69C" w14:textId="1119B98D" w:rsidR="002F2642" w:rsidRPr="00930081" w:rsidRDefault="008A6F1F" w:rsidP="002F5508">
      <w:pPr>
        <w:pStyle w:val="Caption"/>
        <w:ind w:firstLine="0"/>
        <w:jc w:val="center"/>
        <w:rPr>
          <w:color w:val="000000" w:themeColor="text1"/>
        </w:rPr>
      </w:pPr>
      <w:r w:rsidRPr="00930081">
        <w:rPr>
          <w:color w:val="000000" w:themeColor="text1"/>
        </w:rPr>
        <w:t xml:space="preserve">Source: </w:t>
      </w:r>
      <w:r w:rsidR="002F2642" w:rsidRPr="00930081">
        <w:rPr>
          <w:color w:val="000000" w:themeColor="text1"/>
        </w:rPr>
        <w:t>Bhaskar et al. (2019)</w:t>
      </w:r>
    </w:p>
    <w:p w14:paraId="5CD320D0" w14:textId="77777777" w:rsidR="001A1F2C" w:rsidRPr="00930081" w:rsidRDefault="001A1F2C" w:rsidP="00BF3F56">
      <w:pPr>
        <w:pStyle w:val="Heading3"/>
      </w:pPr>
      <w:bookmarkStart w:id="31" w:name="_Toc213255128"/>
      <w:r w:rsidRPr="00930081">
        <w:t>Factor Conditions</w:t>
      </w:r>
      <w:bookmarkEnd w:id="31"/>
    </w:p>
    <w:p w14:paraId="2A9EBFA1" w14:textId="18D00128" w:rsidR="001A1F2C" w:rsidRPr="00930081" w:rsidRDefault="001730F2" w:rsidP="00991D03">
      <w:r w:rsidRPr="00930081">
        <w:t xml:space="preserve">The high infrastructure and skilled labour of Germany facilitate effective logistics. But increased wages and strict labour regulations put pressure on the cost of Greggs value-based model (Minimum Wage Commission, 2023). </w:t>
      </w:r>
    </w:p>
    <w:p w14:paraId="272A44D4" w14:textId="77777777" w:rsidR="001A1F2C" w:rsidRPr="00930081" w:rsidRDefault="001A1F2C" w:rsidP="00BF3F56">
      <w:pPr>
        <w:pStyle w:val="Heading3"/>
      </w:pPr>
      <w:bookmarkStart w:id="32" w:name="_Toc213255129"/>
      <w:r w:rsidRPr="00930081">
        <w:t>Demand Conditions</w:t>
      </w:r>
      <w:bookmarkEnd w:id="32"/>
    </w:p>
    <w:p w14:paraId="1B9F3B7B" w14:textId="58B6B4E4" w:rsidR="001A1F2C" w:rsidRPr="00930081" w:rsidRDefault="001730F2" w:rsidP="00991D03">
      <w:r w:rsidRPr="00930081">
        <w:t>Demand of convenience and sustainable food is driven by sophisticated, health-conscious consumers. This is in line with vegan products that Greggs already has but it increases pressure on consistent innovation (European Coffee Federation, 2024).</w:t>
      </w:r>
    </w:p>
    <w:p w14:paraId="46B99594" w14:textId="77777777" w:rsidR="001A1F2C" w:rsidRPr="00930081" w:rsidRDefault="001A1F2C" w:rsidP="00BF3F56">
      <w:pPr>
        <w:pStyle w:val="Heading3"/>
      </w:pPr>
      <w:bookmarkStart w:id="33" w:name="_Toc213255130"/>
      <w:r w:rsidRPr="00930081">
        <w:t>Related and Supporting Industries</w:t>
      </w:r>
      <w:bookmarkEnd w:id="33"/>
    </w:p>
    <w:p w14:paraId="58AC3BEF" w14:textId="5A30239D" w:rsidR="001A1F2C" w:rsidRPr="00930081" w:rsidRDefault="001730F2" w:rsidP="00991D03">
      <w:r w:rsidRPr="00930081">
        <w:t>The local supply-chain is sufficiently resilient, and stable food-tech, logistic, and packaging are presented to provide collaboration opportunities to improve both the sustainability and compliance of the local supply-chain (Central Agency Packaging Register, 2025).</w:t>
      </w:r>
    </w:p>
    <w:p w14:paraId="6284329D" w14:textId="77777777" w:rsidR="001A1F2C" w:rsidRPr="00930081" w:rsidRDefault="001A1F2C" w:rsidP="00BF3F56">
      <w:pPr>
        <w:pStyle w:val="Heading3"/>
      </w:pPr>
      <w:bookmarkStart w:id="34" w:name="_Toc213255131"/>
      <w:r w:rsidRPr="00930081">
        <w:t>Firm Strategy, Structure and Rivalry</w:t>
      </w:r>
      <w:bookmarkEnd w:id="34"/>
    </w:p>
    <w:p w14:paraId="0DCE1718" w14:textId="39D68876" w:rsidR="00BE6E73" w:rsidRPr="00930081" w:rsidRDefault="001730F2" w:rsidP="00077000">
      <w:pPr>
        <w:rPr>
          <w:lang w:val="en-US"/>
        </w:rPr>
      </w:pPr>
      <w:r w:rsidRPr="00930081">
        <w:t>Innovation and efficiency are the two main factors that German companies compete on and not just on price. This environment will be able to motivate Greggs to persist in improving operations performance and be more responsive to the market trends (Verband Deutscher Großbäckereien, 2024).</w:t>
      </w:r>
    </w:p>
    <w:p w14:paraId="6030DF71" w14:textId="3DDACBED" w:rsidR="001A1F2C" w:rsidRPr="00930081" w:rsidRDefault="001A1F2C" w:rsidP="00BE6E73">
      <w:pPr>
        <w:pStyle w:val="Heading2"/>
      </w:pPr>
      <w:bookmarkStart w:id="35" w:name="_Toc213255132"/>
      <w:r w:rsidRPr="00930081">
        <w:t>SWOT Summary</w:t>
      </w:r>
      <w:bookmarkEnd w:id="35"/>
    </w:p>
    <w:p w14:paraId="1DEF0B49" w14:textId="09D2141F" w:rsidR="00453496" w:rsidRPr="00930081" w:rsidRDefault="001730F2" w:rsidP="00453496">
      <w:pPr>
        <w:rPr>
          <w:lang w:val="en-US"/>
        </w:rPr>
      </w:pPr>
      <w:r w:rsidRPr="00930081">
        <w:t>The SWOT synthesis demonstrates that Greggs has excellent operational fundamentals and brand reputation but needs to change its product, pricing, and communication policies to suit the local tastes to succeed in a competitive market (Greggs plc, 2025)</w:t>
      </w:r>
      <w:r w:rsidR="00453496" w:rsidRPr="00930081">
        <w:rPr>
          <w:lang w:val="en-US"/>
        </w:rPr>
        <w:t>.</w:t>
      </w:r>
    </w:p>
    <w:p w14:paraId="7029EB66" w14:textId="77777777" w:rsidR="004102F1" w:rsidRPr="00930081" w:rsidRDefault="004102F1" w:rsidP="002F5508">
      <w:pPr>
        <w:keepNext/>
        <w:ind w:firstLine="0"/>
        <w:jc w:val="center"/>
      </w:pPr>
      <w:r w:rsidRPr="00930081">
        <w:rPr>
          <w:noProof/>
        </w:rPr>
        <w:drawing>
          <wp:inline distT="0" distB="0" distL="0" distR="0" wp14:anchorId="0A02360E" wp14:editId="029C25FB">
            <wp:extent cx="4935855" cy="3505200"/>
            <wp:effectExtent l="76200" t="76200" r="112395" b="114300"/>
            <wp:docPr id="1512421816" name="Picture 6" descr="The structure of SWOT The analysis consists of two major items of external and internal factors. Table 1 demonstrates the summary of opportunities and threats associated with external factors. Let Rij be the score of factor j in group i, Si be the Likert scale point given to group i and Fi be the frequency of each group. Therefore, the score given to each factor is measured as follows, =∑.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he structure of SWOT The analysis consists of two major items of external and internal factors. Table 1 demonstrates the summary of opportunities and threats associated with external factors. Let Rij be the score of factor j in group i, Si be the Likert scale point given to group i and Fi be the frequency of each group. Therefore, the score given to each factor is measured as follows, =∑.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947844" cy="351371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89CEE5A" w14:textId="17E07DA7" w:rsidR="004102F1" w:rsidRPr="00930081" w:rsidRDefault="004102F1" w:rsidP="002F5508">
      <w:pPr>
        <w:pStyle w:val="Caption"/>
        <w:ind w:firstLine="0"/>
        <w:jc w:val="center"/>
        <w:rPr>
          <w:noProof/>
          <w:color w:val="000000" w:themeColor="text1"/>
        </w:rPr>
      </w:pPr>
      <w:r w:rsidRPr="00930081">
        <w:rPr>
          <w:color w:val="000000" w:themeColor="text1"/>
        </w:rPr>
        <w:t xml:space="preserve">Figure </w:t>
      </w:r>
      <w:r w:rsidRPr="00930081">
        <w:rPr>
          <w:color w:val="000000" w:themeColor="text1"/>
        </w:rPr>
        <w:fldChar w:fldCharType="begin"/>
      </w:r>
      <w:r w:rsidRPr="00930081">
        <w:rPr>
          <w:color w:val="000000" w:themeColor="text1"/>
        </w:rPr>
        <w:instrText xml:space="preserve"> SEQ Figure \* ARABIC </w:instrText>
      </w:r>
      <w:r w:rsidRPr="00930081">
        <w:rPr>
          <w:color w:val="000000" w:themeColor="text1"/>
        </w:rPr>
        <w:fldChar w:fldCharType="separate"/>
      </w:r>
      <w:r w:rsidR="0004483D" w:rsidRPr="00930081">
        <w:rPr>
          <w:noProof/>
          <w:color w:val="000000" w:themeColor="text1"/>
        </w:rPr>
        <w:t>10</w:t>
      </w:r>
      <w:r w:rsidRPr="00930081">
        <w:rPr>
          <w:color w:val="000000" w:themeColor="text1"/>
        </w:rPr>
        <w:fldChar w:fldCharType="end"/>
      </w:r>
      <w:r w:rsidRPr="00930081">
        <w:rPr>
          <w:color w:val="000000" w:themeColor="text1"/>
        </w:rPr>
        <w:t xml:space="preserve"> SWOT analysis</w:t>
      </w:r>
      <w:r w:rsidRPr="00930081">
        <w:rPr>
          <w:noProof/>
          <w:color w:val="000000" w:themeColor="text1"/>
        </w:rPr>
        <w:t xml:space="preserve"> </w:t>
      </w:r>
    </w:p>
    <w:p w14:paraId="390D72C1" w14:textId="0DBA8C16" w:rsidR="004102F1" w:rsidRPr="00930081" w:rsidRDefault="004102F1" w:rsidP="002F5508">
      <w:pPr>
        <w:pStyle w:val="Caption"/>
        <w:ind w:firstLine="0"/>
        <w:jc w:val="center"/>
        <w:rPr>
          <w:color w:val="000000" w:themeColor="text1"/>
          <w:lang w:val="en-US"/>
        </w:rPr>
      </w:pPr>
      <w:r w:rsidRPr="00930081">
        <w:rPr>
          <w:noProof/>
          <w:color w:val="000000" w:themeColor="text1"/>
        </w:rPr>
        <w:t>Source: Bhaskar et al. (2019)</w:t>
      </w:r>
    </w:p>
    <w:p w14:paraId="3F64E2B1" w14:textId="7DCA9C36" w:rsidR="007F4E21" w:rsidRPr="00930081" w:rsidRDefault="007F4E21" w:rsidP="007F4E21">
      <w:pPr>
        <w:pStyle w:val="Caption"/>
        <w:keepNext/>
        <w:ind w:firstLine="0"/>
        <w:jc w:val="center"/>
        <w:rPr>
          <w:color w:val="auto"/>
        </w:rPr>
      </w:pPr>
      <w:r w:rsidRPr="00930081">
        <w:rPr>
          <w:color w:val="auto"/>
        </w:rPr>
        <w:t xml:space="preserve">Table </w:t>
      </w:r>
      <w:r w:rsidRPr="00930081">
        <w:rPr>
          <w:color w:val="auto"/>
        </w:rPr>
        <w:fldChar w:fldCharType="begin"/>
      </w:r>
      <w:r w:rsidRPr="00930081">
        <w:rPr>
          <w:color w:val="auto"/>
        </w:rPr>
        <w:instrText xml:space="preserve"> SEQ Table \* ARABIC </w:instrText>
      </w:r>
      <w:r w:rsidRPr="00930081">
        <w:rPr>
          <w:color w:val="auto"/>
        </w:rPr>
        <w:fldChar w:fldCharType="separate"/>
      </w:r>
      <w:r w:rsidR="00F82FA1">
        <w:rPr>
          <w:noProof/>
          <w:color w:val="auto"/>
        </w:rPr>
        <w:t>2</w:t>
      </w:r>
      <w:r w:rsidRPr="00930081">
        <w:rPr>
          <w:color w:val="auto"/>
        </w:rPr>
        <w:fldChar w:fldCharType="end"/>
      </w:r>
      <w:r w:rsidRPr="00930081">
        <w:rPr>
          <w:color w:val="auto"/>
        </w:rPr>
        <w:t xml:space="preserve"> SWOT Analysis</w:t>
      </w:r>
    </w:p>
    <w:tbl>
      <w:tblPr>
        <w:tblStyle w:val="GridTable5Dark-Accent1"/>
        <w:tblW w:w="0" w:type="auto"/>
        <w:tblLook w:val="04A0" w:firstRow="1" w:lastRow="0" w:firstColumn="1" w:lastColumn="0" w:noHBand="0" w:noVBand="1"/>
      </w:tblPr>
      <w:tblGrid>
        <w:gridCol w:w="2559"/>
        <w:gridCol w:w="2209"/>
        <w:gridCol w:w="2452"/>
        <w:gridCol w:w="2130"/>
      </w:tblGrid>
      <w:tr w:rsidR="007F4E21" w:rsidRPr="00930081" w14:paraId="4B3331AA" w14:textId="77777777" w:rsidTr="007F4E2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hideMark/>
          </w:tcPr>
          <w:p w14:paraId="5C4A9D2C" w14:textId="77777777" w:rsidR="007F4E21" w:rsidRPr="00930081" w:rsidRDefault="007F4E21" w:rsidP="007F4E21">
            <w:pPr>
              <w:ind w:firstLine="0"/>
              <w:rPr>
                <w:color w:val="auto"/>
              </w:rPr>
            </w:pPr>
            <w:r w:rsidRPr="00930081">
              <w:rPr>
                <w:color w:val="auto"/>
              </w:rPr>
              <w:t>Strengths</w:t>
            </w:r>
          </w:p>
        </w:tc>
        <w:tc>
          <w:tcPr>
            <w:tcW w:w="0" w:type="auto"/>
            <w:tcBorders>
              <w:top w:val="single" w:sz="4" w:space="0" w:color="auto"/>
              <w:left w:val="single" w:sz="4" w:space="0" w:color="auto"/>
              <w:bottom w:val="single" w:sz="4" w:space="0" w:color="auto"/>
              <w:right w:val="single" w:sz="4" w:space="0" w:color="auto"/>
            </w:tcBorders>
            <w:hideMark/>
          </w:tcPr>
          <w:p w14:paraId="357C8996" w14:textId="77777777" w:rsidR="007F4E21" w:rsidRPr="00930081" w:rsidRDefault="007F4E21" w:rsidP="007F4E21">
            <w:pPr>
              <w:ind w:firstLine="0"/>
              <w:cnfStyle w:val="100000000000" w:firstRow="1" w:lastRow="0" w:firstColumn="0" w:lastColumn="0" w:oddVBand="0" w:evenVBand="0" w:oddHBand="0" w:evenHBand="0" w:firstRowFirstColumn="0" w:firstRowLastColumn="0" w:lastRowFirstColumn="0" w:lastRowLastColumn="0"/>
              <w:rPr>
                <w:color w:val="auto"/>
              </w:rPr>
            </w:pPr>
            <w:r w:rsidRPr="00930081">
              <w:rPr>
                <w:color w:val="auto"/>
              </w:rPr>
              <w:t>Weaknesses</w:t>
            </w:r>
          </w:p>
        </w:tc>
        <w:tc>
          <w:tcPr>
            <w:tcW w:w="0" w:type="auto"/>
            <w:tcBorders>
              <w:top w:val="single" w:sz="4" w:space="0" w:color="auto"/>
              <w:left w:val="single" w:sz="4" w:space="0" w:color="auto"/>
              <w:bottom w:val="single" w:sz="4" w:space="0" w:color="auto"/>
              <w:right w:val="single" w:sz="4" w:space="0" w:color="auto"/>
            </w:tcBorders>
            <w:hideMark/>
          </w:tcPr>
          <w:p w14:paraId="05B708DA" w14:textId="77777777" w:rsidR="007F4E21" w:rsidRPr="00930081" w:rsidRDefault="007F4E21" w:rsidP="007F4E21">
            <w:pPr>
              <w:ind w:firstLine="0"/>
              <w:cnfStyle w:val="100000000000" w:firstRow="1" w:lastRow="0" w:firstColumn="0" w:lastColumn="0" w:oddVBand="0" w:evenVBand="0" w:oddHBand="0" w:evenHBand="0" w:firstRowFirstColumn="0" w:firstRowLastColumn="0" w:lastRowFirstColumn="0" w:lastRowLastColumn="0"/>
              <w:rPr>
                <w:color w:val="auto"/>
              </w:rPr>
            </w:pPr>
            <w:r w:rsidRPr="00930081">
              <w:rPr>
                <w:color w:val="auto"/>
              </w:rPr>
              <w:t>Opportunities</w:t>
            </w:r>
          </w:p>
        </w:tc>
        <w:tc>
          <w:tcPr>
            <w:tcW w:w="0" w:type="auto"/>
            <w:tcBorders>
              <w:top w:val="single" w:sz="4" w:space="0" w:color="auto"/>
              <w:left w:val="single" w:sz="4" w:space="0" w:color="auto"/>
              <w:bottom w:val="single" w:sz="4" w:space="0" w:color="auto"/>
              <w:right w:val="single" w:sz="4" w:space="0" w:color="auto"/>
            </w:tcBorders>
            <w:hideMark/>
          </w:tcPr>
          <w:p w14:paraId="59DB4000" w14:textId="77777777" w:rsidR="007F4E21" w:rsidRPr="00930081" w:rsidRDefault="007F4E21" w:rsidP="007F4E21">
            <w:pPr>
              <w:ind w:firstLine="0"/>
              <w:cnfStyle w:val="100000000000" w:firstRow="1" w:lastRow="0" w:firstColumn="0" w:lastColumn="0" w:oddVBand="0" w:evenVBand="0" w:oddHBand="0" w:evenHBand="0" w:firstRowFirstColumn="0" w:firstRowLastColumn="0" w:lastRowFirstColumn="0" w:lastRowLastColumn="0"/>
              <w:rPr>
                <w:color w:val="auto"/>
              </w:rPr>
            </w:pPr>
            <w:r w:rsidRPr="00930081">
              <w:rPr>
                <w:color w:val="auto"/>
              </w:rPr>
              <w:t>Threats</w:t>
            </w:r>
          </w:p>
        </w:tc>
      </w:tr>
      <w:tr w:rsidR="007F4E21" w:rsidRPr="00930081" w14:paraId="18CDE14C" w14:textId="77777777" w:rsidTr="007F4E2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hideMark/>
          </w:tcPr>
          <w:p w14:paraId="060535A8" w14:textId="77777777" w:rsidR="007F4E21" w:rsidRPr="00930081" w:rsidRDefault="007F4E21" w:rsidP="007F4E21">
            <w:pPr>
              <w:ind w:firstLine="0"/>
              <w:rPr>
                <w:color w:val="auto"/>
              </w:rPr>
            </w:pPr>
            <w:r w:rsidRPr="00930081">
              <w:rPr>
                <w:color w:val="auto"/>
              </w:rPr>
              <w:t>1. Vertically integrated supply chain ensuring cost control and product consistency.</w:t>
            </w:r>
          </w:p>
        </w:tc>
        <w:tc>
          <w:tcPr>
            <w:tcW w:w="0" w:type="auto"/>
            <w:tcBorders>
              <w:top w:val="single" w:sz="4" w:space="0" w:color="auto"/>
              <w:left w:val="single" w:sz="4" w:space="0" w:color="auto"/>
              <w:bottom w:val="single" w:sz="4" w:space="0" w:color="auto"/>
              <w:right w:val="single" w:sz="4" w:space="0" w:color="auto"/>
            </w:tcBorders>
            <w:hideMark/>
          </w:tcPr>
          <w:p w14:paraId="10E81AEB" w14:textId="77777777" w:rsidR="007F4E21" w:rsidRPr="00930081" w:rsidRDefault="007F4E21" w:rsidP="007F4E21">
            <w:pPr>
              <w:ind w:firstLine="0"/>
              <w:cnfStyle w:val="000000100000" w:firstRow="0" w:lastRow="0" w:firstColumn="0" w:lastColumn="0" w:oddVBand="0" w:evenVBand="0" w:oddHBand="1" w:evenHBand="0" w:firstRowFirstColumn="0" w:firstRowLastColumn="0" w:lastRowFirstColumn="0" w:lastRowLastColumn="0"/>
            </w:pPr>
            <w:r w:rsidRPr="00930081">
              <w:t>1. No established presence or brand recognition in the German market.</w:t>
            </w:r>
          </w:p>
        </w:tc>
        <w:tc>
          <w:tcPr>
            <w:tcW w:w="0" w:type="auto"/>
            <w:tcBorders>
              <w:top w:val="single" w:sz="4" w:space="0" w:color="auto"/>
              <w:left w:val="single" w:sz="4" w:space="0" w:color="auto"/>
              <w:bottom w:val="single" w:sz="4" w:space="0" w:color="auto"/>
              <w:right w:val="single" w:sz="4" w:space="0" w:color="auto"/>
            </w:tcBorders>
            <w:hideMark/>
          </w:tcPr>
          <w:p w14:paraId="335D5548" w14:textId="77777777" w:rsidR="007F4E21" w:rsidRPr="00930081" w:rsidRDefault="007F4E21" w:rsidP="007F4E21">
            <w:pPr>
              <w:ind w:firstLine="0"/>
              <w:cnfStyle w:val="000000100000" w:firstRow="0" w:lastRow="0" w:firstColumn="0" w:lastColumn="0" w:oddVBand="0" w:evenVBand="0" w:oddHBand="1" w:evenHBand="0" w:firstRowFirstColumn="0" w:firstRowLastColumn="0" w:lastRowFirstColumn="0" w:lastRowLastColumn="0"/>
            </w:pPr>
            <w:r w:rsidRPr="00930081">
              <w:t>1. Access to Europe’s largest bakery sector worth approximately €18 billion annually.</w:t>
            </w:r>
          </w:p>
        </w:tc>
        <w:tc>
          <w:tcPr>
            <w:tcW w:w="0" w:type="auto"/>
            <w:tcBorders>
              <w:top w:val="single" w:sz="4" w:space="0" w:color="auto"/>
              <w:left w:val="single" w:sz="4" w:space="0" w:color="auto"/>
              <w:bottom w:val="single" w:sz="4" w:space="0" w:color="auto"/>
              <w:right w:val="single" w:sz="4" w:space="0" w:color="auto"/>
            </w:tcBorders>
            <w:hideMark/>
          </w:tcPr>
          <w:p w14:paraId="1E9D6F91" w14:textId="5AB4E608" w:rsidR="007F4E21" w:rsidRPr="00930081" w:rsidRDefault="007F4E21" w:rsidP="007F4E21">
            <w:pPr>
              <w:ind w:firstLine="0"/>
              <w:cnfStyle w:val="000000100000" w:firstRow="0" w:lastRow="0" w:firstColumn="0" w:lastColumn="0" w:oddVBand="0" w:evenVBand="0" w:oddHBand="1" w:evenHBand="0" w:firstRowFirstColumn="0" w:firstRowLastColumn="0" w:lastRowFirstColumn="0" w:lastRowLastColumn="0"/>
            </w:pPr>
            <w:r w:rsidRPr="00930081">
              <w:t>1. Intense rivalry from established German chains such as BackWerk, Kamps, and Le Crobag.</w:t>
            </w:r>
          </w:p>
        </w:tc>
      </w:tr>
      <w:tr w:rsidR="007F4E21" w:rsidRPr="00930081" w14:paraId="709088F8" w14:textId="77777777" w:rsidTr="007F4E21">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hideMark/>
          </w:tcPr>
          <w:p w14:paraId="2D48EF5C" w14:textId="77777777" w:rsidR="007F4E21" w:rsidRPr="00930081" w:rsidRDefault="007F4E21" w:rsidP="007F4E21">
            <w:pPr>
              <w:ind w:firstLine="0"/>
              <w:rPr>
                <w:color w:val="auto"/>
              </w:rPr>
            </w:pPr>
            <w:r w:rsidRPr="00930081">
              <w:rPr>
                <w:color w:val="auto"/>
              </w:rPr>
              <w:t>2. Strong UK brand reputation for value, convenience, and ethical operations.</w:t>
            </w:r>
          </w:p>
        </w:tc>
        <w:tc>
          <w:tcPr>
            <w:tcW w:w="0" w:type="auto"/>
            <w:tcBorders>
              <w:top w:val="single" w:sz="4" w:space="0" w:color="auto"/>
              <w:left w:val="single" w:sz="4" w:space="0" w:color="auto"/>
              <w:bottom w:val="single" w:sz="4" w:space="0" w:color="auto"/>
              <w:right w:val="single" w:sz="4" w:space="0" w:color="auto"/>
            </w:tcBorders>
            <w:hideMark/>
          </w:tcPr>
          <w:p w14:paraId="62137296" w14:textId="77777777" w:rsidR="007F4E21" w:rsidRPr="00930081" w:rsidRDefault="007F4E21" w:rsidP="007F4E21">
            <w:pPr>
              <w:ind w:firstLine="0"/>
              <w:cnfStyle w:val="000000000000" w:firstRow="0" w:lastRow="0" w:firstColumn="0" w:lastColumn="0" w:oddVBand="0" w:evenVBand="0" w:oddHBand="0" w:evenHBand="0" w:firstRowFirstColumn="0" w:firstRowLastColumn="0" w:lastRowFirstColumn="0" w:lastRowLastColumn="0"/>
            </w:pPr>
            <w:r w:rsidRPr="00930081">
              <w:t>2. Limited understanding of local consumer preferences and cultural tastes.</w:t>
            </w:r>
          </w:p>
        </w:tc>
        <w:tc>
          <w:tcPr>
            <w:tcW w:w="0" w:type="auto"/>
            <w:tcBorders>
              <w:top w:val="single" w:sz="4" w:space="0" w:color="auto"/>
              <w:left w:val="single" w:sz="4" w:space="0" w:color="auto"/>
              <w:bottom w:val="single" w:sz="4" w:space="0" w:color="auto"/>
              <w:right w:val="single" w:sz="4" w:space="0" w:color="auto"/>
            </w:tcBorders>
            <w:hideMark/>
          </w:tcPr>
          <w:p w14:paraId="1F1FE05A" w14:textId="77777777" w:rsidR="007F4E21" w:rsidRPr="00930081" w:rsidRDefault="007F4E21" w:rsidP="007F4E21">
            <w:pPr>
              <w:ind w:firstLine="0"/>
              <w:cnfStyle w:val="000000000000" w:firstRow="0" w:lastRow="0" w:firstColumn="0" w:lastColumn="0" w:oddVBand="0" w:evenVBand="0" w:oddHBand="0" w:evenHBand="0" w:firstRowFirstColumn="0" w:firstRowLastColumn="0" w:lastRowFirstColumn="0" w:lastRowLastColumn="0"/>
            </w:pPr>
            <w:r w:rsidRPr="00930081">
              <w:t>2. High digital adoption enabling app-based sales and loyalty engagement.</w:t>
            </w:r>
          </w:p>
        </w:tc>
        <w:tc>
          <w:tcPr>
            <w:tcW w:w="0" w:type="auto"/>
            <w:tcBorders>
              <w:top w:val="single" w:sz="4" w:space="0" w:color="auto"/>
              <w:left w:val="single" w:sz="4" w:space="0" w:color="auto"/>
              <w:bottom w:val="single" w:sz="4" w:space="0" w:color="auto"/>
              <w:right w:val="single" w:sz="4" w:space="0" w:color="auto"/>
            </w:tcBorders>
            <w:hideMark/>
          </w:tcPr>
          <w:p w14:paraId="24EE99D7" w14:textId="68E9B2CC" w:rsidR="007F4E21" w:rsidRPr="00930081" w:rsidRDefault="007F4E21" w:rsidP="007F4E21">
            <w:pPr>
              <w:ind w:firstLine="0"/>
              <w:cnfStyle w:val="000000000000" w:firstRow="0" w:lastRow="0" w:firstColumn="0" w:lastColumn="0" w:oddVBand="0" w:evenVBand="0" w:oddHBand="0" w:evenHBand="0" w:firstRowFirstColumn="0" w:firstRowLastColumn="0" w:lastRowFirstColumn="0" w:lastRowLastColumn="0"/>
            </w:pPr>
            <w:r w:rsidRPr="00930081">
              <w:t>2. Rising labour and energy costs reducing operational margins.</w:t>
            </w:r>
          </w:p>
        </w:tc>
      </w:tr>
      <w:tr w:rsidR="007F4E21" w:rsidRPr="00930081" w14:paraId="0D759AA3" w14:textId="77777777" w:rsidTr="007F4E2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hideMark/>
          </w:tcPr>
          <w:p w14:paraId="73E39750" w14:textId="49B4B55F" w:rsidR="007F4E21" w:rsidRPr="00930081" w:rsidRDefault="007F4E21" w:rsidP="007F4E21">
            <w:pPr>
              <w:ind w:firstLine="0"/>
              <w:rPr>
                <w:color w:val="auto"/>
              </w:rPr>
            </w:pPr>
            <w:r w:rsidRPr="00930081">
              <w:rPr>
                <w:color w:val="auto"/>
              </w:rPr>
              <w:t xml:space="preserve">3. Advanced digital infrastructure (Greggs App, click </w:t>
            </w:r>
            <w:r w:rsidR="008C0982" w:rsidRPr="00930081">
              <w:rPr>
                <w:color w:val="auto"/>
              </w:rPr>
              <w:t>and</w:t>
            </w:r>
            <w:r w:rsidRPr="00930081">
              <w:rPr>
                <w:color w:val="auto"/>
              </w:rPr>
              <w:t xml:space="preserve"> collect) supporting operational efficiency.</w:t>
            </w:r>
          </w:p>
        </w:tc>
        <w:tc>
          <w:tcPr>
            <w:tcW w:w="0" w:type="auto"/>
            <w:tcBorders>
              <w:top w:val="single" w:sz="4" w:space="0" w:color="auto"/>
              <w:left w:val="single" w:sz="4" w:space="0" w:color="auto"/>
              <w:bottom w:val="single" w:sz="4" w:space="0" w:color="auto"/>
              <w:right w:val="single" w:sz="4" w:space="0" w:color="auto"/>
            </w:tcBorders>
            <w:hideMark/>
          </w:tcPr>
          <w:p w14:paraId="7D30D6C3" w14:textId="77777777" w:rsidR="007F4E21" w:rsidRPr="00930081" w:rsidRDefault="007F4E21" w:rsidP="007F4E21">
            <w:pPr>
              <w:ind w:firstLine="0"/>
              <w:cnfStyle w:val="000000100000" w:firstRow="0" w:lastRow="0" w:firstColumn="0" w:lastColumn="0" w:oddVBand="0" w:evenVBand="0" w:oddHBand="1" w:evenHBand="0" w:firstRowFirstColumn="0" w:firstRowLastColumn="0" w:lastRowFirstColumn="0" w:lastRowLastColumn="0"/>
            </w:pPr>
            <w:r w:rsidRPr="00930081">
              <w:t>3. Dependence on UK-centric menu and pricing strategy requiring localisation.</w:t>
            </w:r>
          </w:p>
        </w:tc>
        <w:tc>
          <w:tcPr>
            <w:tcW w:w="0" w:type="auto"/>
            <w:tcBorders>
              <w:top w:val="single" w:sz="4" w:space="0" w:color="auto"/>
              <w:left w:val="single" w:sz="4" w:space="0" w:color="auto"/>
              <w:bottom w:val="single" w:sz="4" w:space="0" w:color="auto"/>
              <w:right w:val="single" w:sz="4" w:space="0" w:color="auto"/>
            </w:tcBorders>
            <w:hideMark/>
          </w:tcPr>
          <w:p w14:paraId="55ABFD09" w14:textId="77777777" w:rsidR="007F4E21" w:rsidRPr="00930081" w:rsidRDefault="007F4E21" w:rsidP="007F4E21">
            <w:pPr>
              <w:ind w:firstLine="0"/>
              <w:cnfStyle w:val="000000100000" w:firstRow="0" w:lastRow="0" w:firstColumn="0" w:lastColumn="0" w:oddVBand="0" w:evenVBand="0" w:oddHBand="1" w:evenHBand="0" w:firstRowFirstColumn="0" w:firstRowLastColumn="0" w:lastRowFirstColumn="0" w:lastRowLastColumn="0"/>
            </w:pPr>
            <w:r w:rsidRPr="00930081">
              <w:t>3. Growing demand for healthier and sustainable food options aligning with Greggs’ CSR goals.</w:t>
            </w:r>
          </w:p>
        </w:tc>
        <w:tc>
          <w:tcPr>
            <w:tcW w:w="0" w:type="auto"/>
            <w:tcBorders>
              <w:top w:val="single" w:sz="4" w:space="0" w:color="auto"/>
              <w:left w:val="single" w:sz="4" w:space="0" w:color="auto"/>
              <w:bottom w:val="single" w:sz="4" w:space="0" w:color="auto"/>
              <w:right w:val="single" w:sz="4" w:space="0" w:color="auto"/>
            </w:tcBorders>
            <w:hideMark/>
          </w:tcPr>
          <w:p w14:paraId="42172866" w14:textId="687D198B" w:rsidR="007F4E21" w:rsidRPr="00930081" w:rsidRDefault="007F4E21" w:rsidP="007F4E21">
            <w:pPr>
              <w:ind w:firstLine="0"/>
              <w:cnfStyle w:val="000000100000" w:firstRow="0" w:lastRow="0" w:firstColumn="0" w:lastColumn="0" w:oddVBand="0" w:evenVBand="0" w:oddHBand="1" w:evenHBand="0" w:firstRowFirstColumn="0" w:firstRowLastColumn="0" w:lastRowFirstColumn="0" w:lastRowLastColumn="0"/>
            </w:pPr>
            <w:r w:rsidRPr="00930081">
              <w:t>3. Complex EU labour, food, and packaging regulations increasing compliance costs.</w:t>
            </w:r>
          </w:p>
        </w:tc>
      </w:tr>
      <w:tr w:rsidR="007F4E21" w:rsidRPr="00930081" w14:paraId="2AC2A050" w14:textId="77777777" w:rsidTr="007F4E21">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tcBorders>
            <w:hideMark/>
          </w:tcPr>
          <w:p w14:paraId="73BA20ED" w14:textId="77777777" w:rsidR="007F4E21" w:rsidRPr="00930081" w:rsidRDefault="007F4E21" w:rsidP="007F4E21">
            <w:pPr>
              <w:rPr>
                <w:color w:val="auto"/>
              </w:rPr>
            </w:pPr>
          </w:p>
        </w:tc>
        <w:tc>
          <w:tcPr>
            <w:tcW w:w="0" w:type="auto"/>
            <w:tcBorders>
              <w:top w:val="single" w:sz="4" w:space="0" w:color="auto"/>
            </w:tcBorders>
            <w:hideMark/>
          </w:tcPr>
          <w:p w14:paraId="468E0967" w14:textId="77777777" w:rsidR="007F4E21" w:rsidRPr="00930081" w:rsidRDefault="007F4E21" w:rsidP="007F4E21">
            <w:pPr>
              <w:cnfStyle w:val="000000000000" w:firstRow="0" w:lastRow="0" w:firstColumn="0" w:lastColumn="0" w:oddVBand="0" w:evenVBand="0" w:oddHBand="0" w:evenHBand="0" w:firstRowFirstColumn="0" w:firstRowLastColumn="0" w:lastRowFirstColumn="0" w:lastRowLastColumn="0"/>
            </w:pPr>
          </w:p>
        </w:tc>
        <w:tc>
          <w:tcPr>
            <w:tcW w:w="0" w:type="auto"/>
            <w:tcBorders>
              <w:top w:val="single" w:sz="4" w:space="0" w:color="auto"/>
            </w:tcBorders>
            <w:hideMark/>
          </w:tcPr>
          <w:p w14:paraId="520B7E12" w14:textId="77777777" w:rsidR="007F4E21" w:rsidRPr="00930081" w:rsidRDefault="007F4E21" w:rsidP="007F4E21">
            <w:pPr>
              <w:cnfStyle w:val="000000000000" w:firstRow="0" w:lastRow="0" w:firstColumn="0" w:lastColumn="0" w:oddVBand="0" w:evenVBand="0" w:oddHBand="0" w:evenHBand="0" w:firstRowFirstColumn="0" w:firstRowLastColumn="0" w:lastRowFirstColumn="0" w:lastRowLastColumn="0"/>
            </w:pPr>
          </w:p>
        </w:tc>
        <w:tc>
          <w:tcPr>
            <w:tcW w:w="0" w:type="auto"/>
            <w:tcBorders>
              <w:top w:val="single" w:sz="4" w:space="0" w:color="auto"/>
            </w:tcBorders>
            <w:hideMark/>
          </w:tcPr>
          <w:p w14:paraId="1DF06796" w14:textId="77777777" w:rsidR="007F4E21" w:rsidRPr="00930081" w:rsidRDefault="007F4E21" w:rsidP="007F4E21">
            <w:pPr>
              <w:cnfStyle w:val="000000000000" w:firstRow="0" w:lastRow="0" w:firstColumn="0" w:lastColumn="0" w:oddVBand="0" w:evenVBand="0" w:oddHBand="0" w:evenHBand="0" w:firstRowFirstColumn="0" w:firstRowLastColumn="0" w:lastRowFirstColumn="0" w:lastRowLastColumn="0"/>
            </w:pPr>
          </w:p>
        </w:tc>
      </w:tr>
    </w:tbl>
    <w:p w14:paraId="27978675" w14:textId="77777777" w:rsidR="00D938D2" w:rsidRDefault="00D938D2" w:rsidP="00077000">
      <w:pPr>
        <w:spacing w:line="240" w:lineRule="auto"/>
        <w:ind w:firstLine="0"/>
      </w:pPr>
    </w:p>
    <w:p w14:paraId="7E543A31" w14:textId="77777777" w:rsidR="00A806D9" w:rsidRPr="00F85F2E" w:rsidRDefault="00A806D9" w:rsidP="00A806D9">
      <w:pPr>
        <w:pStyle w:val="Heading1"/>
      </w:pPr>
      <w:bookmarkStart w:id="36" w:name="_Toc213255142"/>
      <w:r w:rsidRPr="00F85F2E">
        <w:t>Strategy Development and Formulation</w:t>
      </w:r>
      <w:bookmarkEnd w:id="36"/>
      <w:r w:rsidRPr="00F85F2E">
        <w:t xml:space="preserve"> </w:t>
      </w:r>
    </w:p>
    <w:p w14:paraId="004959AC" w14:textId="77777777" w:rsidR="00A806D9" w:rsidRDefault="00A806D9" w:rsidP="00A806D9">
      <w:pPr>
        <w:pStyle w:val="Heading2"/>
        <w:rPr>
          <w:rFonts w:eastAsia="Calibri"/>
        </w:rPr>
      </w:pPr>
      <w:bookmarkStart w:id="37" w:name="_Toc213255143"/>
      <w:r w:rsidRPr="00333FA7">
        <w:rPr>
          <w:rFonts w:eastAsia="Calibri"/>
        </w:rPr>
        <w:t>Strategic Objectives</w:t>
      </w:r>
      <w:bookmarkEnd w:id="37"/>
    </w:p>
    <w:p w14:paraId="1901D64E" w14:textId="77777777" w:rsidR="00A806D9" w:rsidRPr="00994F74" w:rsidRDefault="00A806D9" w:rsidP="00A806D9">
      <w:r>
        <w:t>The strategic objectives of Gregg’s to make expansion in the German market will be:</w:t>
      </w:r>
    </w:p>
    <w:p w14:paraId="7687385D" w14:textId="77777777" w:rsidR="00A806D9" w:rsidRPr="00994F74" w:rsidRDefault="00A806D9" w:rsidP="007E0808">
      <w:pPr>
        <w:pStyle w:val="ListParagraph"/>
        <w:numPr>
          <w:ilvl w:val="0"/>
          <w:numId w:val="2"/>
        </w:numPr>
        <w:spacing w:line="360" w:lineRule="auto"/>
        <w:ind w:hanging="720"/>
        <w:jc w:val="both"/>
        <w:rPr>
          <w:rFonts w:ascii="Times New Roman" w:hAnsi="Times New Roman" w:cs="Times New Roman"/>
          <w:sz w:val="24"/>
          <w:szCs w:val="24"/>
        </w:rPr>
      </w:pPr>
      <w:r w:rsidRPr="00994F74">
        <w:rPr>
          <w:rFonts w:ascii="Times New Roman" w:hAnsi="Times New Roman" w:cs="Times New Roman"/>
          <w:sz w:val="24"/>
          <w:szCs w:val="24"/>
        </w:rPr>
        <w:t xml:space="preserve">To </w:t>
      </w:r>
      <w:r>
        <w:rPr>
          <w:rFonts w:ascii="Times New Roman" w:hAnsi="Times New Roman" w:cs="Times New Roman"/>
          <w:sz w:val="24"/>
          <w:szCs w:val="24"/>
        </w:rPr>
        <w:t>establish</w:t>
      </w:r>
      <w:r w:rsidRPr="00994F74">
        <w:rPr>
          <w:rFonts w:ascii="Times New Roman" w:hAnsi="Times New Roman" w:cs="Times New Roman"/>
          <w:sz w:val="24"/>
          <w:szCs w:val="24"/>
        </w:rPr>
        <w:t xml:space="preserve"> almost </w:t>
      </w:r>
      <w:r>
        <w:rPr>
          <w:rFonts w:ascii="Times New Roman" w:hAnsi="Times New Roman" w:cs="Times New Roman"/>
          <w:sz w:val="24"/>
          <w:szCs w:val="24"/>
        </w:rPr>
        <w:t>20-</w:t>
      </w:r>
      <w:r w:rsidRPr="00994F74">
        <w:rPr>
          <w:rFonts w:ascii="Times New Roman" w:hAnsi="Times New Roman" w:cs="Times New Roman"/>
          <w:sz w:val="24"/>
          <w:szCs w:val="24"/>
        </w:rPr>
        <w:t xml:space="preserve">25 bakery-to-go outlets of Gregg’s in all the larger cities of Germany in the first 3 years which can be by 2028. It will help in expanding the business in other areas in short time. </w:t>
      </w:r>
    </w:p>
    <w:p w14:paraId="3C8A41AD" w14:textId="77777777" w:rsidR="00A806D9" w:rsidRPr="00994F74" w:rsidRDefault="00A806D9" w:rsidP="007E0808">
      <w:pPr>
        <w:pStyle w:val="ListParagraph"/>
        <w:numPr>
          <w:ilvl w:val="0"/>
          <w:numId w:val="2"/>
        </w:numPr>
        <w:spacing w:line="360" w:lineRule="auto"/>
        <w:ind w:hanging="720"/>
        <w:jc w:val="both"/>
        <w:rPr>
          <w:rFonts w:ascii="Times New Roman" w:hAnsi="Times New Roman" w:cs="Times New Roman"/>
          <w:sz w:val="24"/>
          <w:szCs w:val="24"/>
        </w:rPr>
      </w:pPr>
      <w:r w:rsidRPr="00994F74">
        <w:rPr>
          <w:rFonts w:ascii="Times New Roman" w:hAnsi="Times New Roman" w:cs="Times New Roman"/>
          <w:sz w:val="24"/>
          <w:szCs w:val="24"/>
        </w:rPr>
        <w:t xml:space="preserve">To gain a greater level of brand recognition of almost 50% awareness within the selected target market in Germany in the first 3 years. It will help in increasing more sales in the new industry. </w:t>
      </w:r>
    </w:p>
    <w:p w14:paraId="1F065980" w14:textId="77777777" w:rsidR="00A806D9" w:rsidRPr="00994F74" w:rsidRDefault="00A806D9" w:rsidP="007E0808">
      <w:pPr>
        <w:pStyle w:val="ListParagraph"/>
        <w:numPr>
          <w:ilvl w:val="0"/>
          <w:numId w:val="2"/>
        </w:numPr>
        <w:spacing w:line="360" w:lineRule="auto"/>
        <w:ind w:hanging="720"/>
        <w:jc w:val="both"/>
        <w:rPr>
          <w:rFonts w:ascii="Times New Roman" w:hAnsi="Times New Roman" w:cs="Times New Roman"/>
          <w:sz w:val="24"/>
          <w:szCs w:val="24"/>
        </w:rPr>
      </w:pPr>
      <w:r w:rsidRPr="00994F74">
        <w:rPr>
          <w:rFonts w:ascii="Times New Roman" w:hAnsi="Times New Roman" w:cs="Times New Roman"/>
          <w:sz w:val="24"/>
          <w:szCs w:val="24"/>
        </w:rPr>
        <w:t xml:space="preserve">To make successful achievement of repeating customer rate of 75% by year 3 by building effective brand loyalty and driving the sustained sales growth in the new market. It will help in attracting larger base of customers towards new brand. </w:t>
      </w:r>
    </w:p>
    <w:p w14:paraId="51A43A32" w14:textId="77777777" w:rsidR="00A806D9" w:rsidRPr="00994F74" w:rsidRDefault="00A806D9" w:rsidP="007E0808">
      <w:pPr>
        <w:pStyle w:val="ListParagraph"/>
        <w:numPr>
          <w:ilvl w:val="0"/>
          <w:numId w:val="2"/>
        </w:numPr>
        <w:spacing w:line="360" w:lineRule="auto"/>
        <w:ind w:hanging="720"/>
        <w:jc w:val="both"/>
        <w:rPr>
          <w:rFonts w:ascii="Times New Roman" w:hAnsi="Times New Roman" w:cs="Times New Roman"/>
          <w:sz w:val="24"/>
          <w:szCs w:val="24"/>
        </w:rPr>
      </w:pPr>
      <w:r w:rsidRPr="00994F74">
        <w:rPr>
          <w:rFonts w:ascii="Times New Roman" w:hAnsi="Times New Roman" w:cs="Times New Roman"/>
          <w:sz w:val="24"/>
          <w:szCs w:val="24"/>
        </w:rPr>
        <w:t xml:space="preserve">To achieve break-even profitability in 4 years that will be end of 2029 in all over the German outlets. It will help in gaining successful position in the new competitive market. </w:t>
      </w:r>
    </w:p>
    <w:p w14:paraId="245980EF" w14:textId="77777777" w:rsidR="00A806D9" w:rsidRPr="00E775BB" w:rsidRDefault="00A806D9" w:rsidP="007E0808">
      <w:pPr>
        <w:pStyle w:val="ListParagraph"/>
        <w:numPr>
          <w:ilvl w:val="0"/>
          <w:numId w:val="2"/>
        </w:numPr>
        <w:spacing w:line="360" w:lineRule="auto"/>
        <w:ind w:hanging="720"/>
        <w:jc w:val="both"/>
      </w:pPr>
      <w:r w:rsidRPr="00994F74">
        <w:rPr>
          <w:rFonts w:ascii="Times New Roman" w:hAnsi="Times New Roman" w:cs="Times New Roman"/>
          <w:sz w:val="24"/>
          <w:szCs w:val="24"/>
        </w:rPr>
        <w:t xml:space="preserve">To gain almost 30-40% of the product menu to the significant local tastes with the preferences in the market entry. It will ensure the cultural fit </w:t>
      </w:r>
      <w:r>
        <w:t>and related customer acceptance.</w:t>
      </w:r>
    </w:p>
    <w:p w14:paraId="18B41277" w14:textId="77777777" w:rsidR="00A806D9" w:rsidRPr="002A752E" w:rsidRDefault="00A806D9" w:rsidP="002A752E">
      <w:pPr>
        <w:pStyle w:val="Heading2"/>
        <w:rPr>
          <w:rStyle w:val="Heading2Char"/>
          <w:b/>
        </w:rPr>
      </w:pPr>
      <w:bookmarkStart w:id="38" w:name="_Toc213255144"/>
      <w:r w:rsidRPr="002A752E">
        <w:rPr>
          <w:rStyle w:val="Heading2Char"/>
          <w:b/>
        </w:rPr>
        <w:t>Market Entry Strategy</w:t>
      </w:r>
      <w:bookmarkEnd w:id="38"/>
    </w:p>
    <w:p w14:paraId="19DEA702" w14:textId="77777777" w:rsidR="00ED41FE" w:rsidRDefault="00A806D9" w:rsidP="00A806D9">
      <w:r>
        <w:t>In the new German market, Gregg’s needs implication of the joint venture and pursuing franchising for the creation of local bakery chain. Therefore, the application of Dunning’s Eclectic Paradigm seems effective. The theory defines effective choices of entry mode with three significant advantages such as ownership, location development, and internalisation (</w:t>
      </w:r>
      <w:r>
        <w:rPr>
          <w:rFonts w:cs="Times New Roman"/>
          <w:color w:val="222222"/>
          <w:szCs w:val="24"/>
          <w:shd w:val="clear" w:color="auto" w:fill="FFFFFF"/>
        </w:rPr>
        <w:t xml:space="preserve">Singh </w:t>
      </w:r>
      <w:r w:rsidRPr="00E1588A">
        <w:rPr>
          <w:rFonts w:cs="Times New Roman"/>
          <w:color w:val="222222"/>
          <w:szCs w:val="24"/>
          <w:shd w:val="clear" w:color="auto" w:fill="FFFFFF"/>
        </w:rPr>
        <w:t>and Sudha,</w:t>
      </w:r>
      <w:r>
        <w:rPr>
          <w:rFonts w:cs="Times New Roman"/>
          <w:color w:val="222222"/>
          <w:szCs w:val="24"/>
          <w:shd w:val="clear" w:color="auto" w:fill="FFFFFF"/>
        </w:rPr>
        <w:t>, 2024)</w:t>
      </w:r>
      <w:r>
        <w:t>. Gregg’s implicates ownership advantage due to the stronger UK brand and provision of efficient bakery products. Whereas; for the local partner, it will offer several location advantages such as use of market knowledge, management of existing customer base, and consideration of the operational infrastructure. Internalisation benefits occur due to the controlling management of brand standards and leveraging partners towards local adaptation (</w:t>
      </w:r>
      <w:r>
        <w:rPr>
          <w:rFonts w:cs="Times New Roman"/>
          <w:color w:val="222222"/>
          <w:szCs w:val="24"/>
          <w:shd w:val="clear" w:color="auto" w:fill="FFFFFF"/>
        </w:rPr>
        <w:t xml:space="preserve">Semenova </w:t>
      </w:r>
      <w:r w:rsidRPr="00E1588A">
        <w:rPr>
          <w:rFonts w:cs="Times New Roman"/>
          <w:color w:val="222222"/>
          <w:szCs w:val="24"/>
          <w:shd w:val="clear" w:color="auto" w:fill="FFFFFF"/>
        </w:rPr>
        <w:t>and Semenov</w:t>
      </w:r>
      <w:r>
        <w:rPr>
          <w:rFonts w:cs="Times New Roman"/>
          <w:color w:val="222222"/>
          <w:szCs w:val="24"/>
          <w:shd w:val="clear" w:color="auto" w:fill="FFFFFF"/>
        </w:rPr>
        <w:t>, 2023)</w:t>
      </w:r>
      <w:r>
        <w:t xml:space="preserve">. </w:t>
      </w:r>
    </w:p>
    <w:p w14:paraId="42C7F3AB" w14:textId="3BA87840" w:rsidR="00A806D9" w:rsidRPr="00B50B14" w:rsidRDefault="00ED41FE" w:rsidP="00ED41FE">
      <w:r>
        <w:t>Moreover, t</w:t>
      </w:r>
      <w:r w:rsidR="00A806D9">
        <w:t>here is a comparison of the Greenfield investments which needs 45-50% higher initial capital and greater setup times for new entry.</w:t>
      </w:r>
      <w:r>
        <w:t xml:space="preserve"> </w:t>
      </w:r>
      <w:r w:rsidR="00247C15">
        <w:t>In addition to this, o</w:t>
      </w:r>
      <w:r w:rsidR="00A806D9">
        <w:t>n the financial aspect, the franchising allows stability to the royalty revenues. There must be 5-7% increases in the turnover with reducing the upfront costs of Gregg’s. It needs alignment with targets for the management of break even in the first four years. The business selects leading regions like Berlin and Munich, where sales of food retail exceed by €30 billion annually and the bakery-to-go products capture almost 12-24% of overall market share (Statista, 2025).</w:t>
      </w:r>
    </w:p>
    <w:p w14:paraId="0BDBAF6E" w14:textId="77777777" w:rsidR="00A806D9" w:rsidRDefault="00A806D9" w:rsidP="00A806D9">
      <w:pPr>
        <w:pStyle w:val="Heading2"/>
        <w:rPr>
          <w:rFonts w:eastAsia="Calibri"/>
        </w:rPr>
      </w:pPr>
      <w:bookmarkStart w:id="39" w:name="_Toc213255145"/>
      <w:r w:rsidRPr="00706AFE">
        <w:rPr>
          <w:rFonts w:eastAsia="Calibri"/>
        </w:rPr>
        <w:t>Competitive Strategy – Porter’s Generic Strategies</w:t>
      </w:r>
      <w:bookmarkEnd w:id="39"/>
    </w:p>
    <w:p w14:paraId="0636AF33" w14:textId="77777777" w:rsidR="00036344" w:rsidRDefault="00A806D9" w:rsidP="00A806D9">
      <w:r>
        <w:t>Gregg’s needs adaptation to a hybrid competitive strategy which combined cost leadership and differentiation from the model of Porter’s Generic Strategies. The implementation of cost leadership is associated with the management of supply chain services and automation technology (</w:t>
      </w:r>
      <w:r w:rsidRPr="00E1588A">
        <w:rPr>
          <w:rFonts w:cs="Times New Roman"/>
          <w:color w:val="222222"/>
          <w:szCs w:val="24"/>
          <w:shd w:val="clear" w:color="auto" w:fill="FFFFFF"/>
        </w:rPr>
        <w:t>Rögner</w:t>
      </w:r>
      <w:r>
        <w:rPr>
          <w:rFonts w:cs="Times New Roman"/>
          <w:color w:val="222222"/>
          <w:szCs w:val="24"/>
          <w:shd w:val="clear" w:color="auto" w:fill="FFFFFF"/>
        </w:rPr>
        <w:t xml:space="preserve"> et al., 2021)</w:t>
      </w:r>
      <w:r>
        <w:t>. For Gregg’s, it will be applied to make reduction in the production and logistics costs by almost 15-20% which enables competitive management of prices in the price-sensitive bakery industry of Germany. The efficiency will be helpful for Gregg’s to achieve the strategic objective as the successful bakery-to-go brand in the new market to prioritise value by the consumers. The application of differentiation seems in managing product innovation (</w:t>
      </w:r>
      <w:r w:rsidRPr="00E1588A">
        <w:rPr>
          <w:rFonts w:cs="Times New Roman"/>
          <w:color w:val="222222"/>
          <w:szCs w:val="24"/>
          <w:shd w:val="clear" w:color="auto" w:fill="FFFFFF"/>
        </w:rPr>
        <w:t>Pietrangeli</w:t>
      </w:r>
      <w:r>
        <w:rPr>
          <w:rFonts w:cs="Times New Roman"/>
          <w:color w:val="222222"/>
          <w:szCs w:val="24"/>
          <w:shd w:val="clear" w:color="auto" w:fill="FFFFFF"/>
        </w:rPr>
        <w:t xml:space="preserve"> et al., 2023)</w:t>
      </w:r>
      <w:r>
        <w:t xml:space="preserve">. </w:t>
      </w:r>
    </w:p>
    <w:p w14:paraId="5C01E19B" w14:textId="7CEC3FFE" w:rsidR="00A806D9" w:rsidRDefault="00A806D9" w:rsidP="00036344">
      <w:r>
        <w:t xml:space="preserve">The introduction of </w:t>
      </w:r>
      <w:r w:rsidR="00062607">
        <w:t>new</w:t>
      </w:r>
      <w:r>
        <w:t xml:space="preserve"> brand in the German-preferred like pretzels, the use of rye-based sandwiches, and introduction of the vegan pastries which will address the increasing demand for plant-based services of almost 10% in the German market. </w:t>
      </w:r>
      <w:r w:rsidR="00036344">
        <w:t xml:space="preserve"> </w:t>
      </w:r>
      <w:r>
        <w:t xml:space="preserve">Additionally, the ethical sourcing and sustainability commitments of Gregg’s will allow differentiation of the brand in the German consumers. There are almost 75% of environmentally responsible companies who are already existing in the market (Report Linker, 2025). Therefore, the technology-driven aspects and use of digital customer engagement will help in reducing the waste by 20% for the improvements in the loyalty. </w:t>
      </w:r>
    </w:p>
    <w:p w14:paraId="4F38E0F5" w14:textId="77777777" w:rsidR="00A806D9" w:rsidRPr="00706AFE" w:rsidRDefault="00A806D9" w:rsidP="00A806D9">
      <w:pPr>
        <w:pStyle w:val="Heading2"/>
        <w:rPr>
          <w:rFonts w:eastAsia="Calibri"/>
        </w:rPr>
      </w:pPr>
      <w:bookmarkStart w:id="40" w:name="_Toc213255146"/>
      <w:r w:rsidRPr="00706AFE">
        <w:rPr>
          <w:rFonts w:eastAsia="Calibri"/>
        </w:rPr>
        <w:t>Strategic Positioning – SAF Model (Suitability, Acceptability, Feasibility)</w:t>
      </w:r>
      <w:bookmarkEnd w:id="40"/>
    </w:p>
    <w:p w14:paraId="2E10D822" w14:textId="77777777" w:rsidR="007B1839" w:rsidRDefault="00A806D9" w:rsidP="007B1839">
      <w:r w:rsidRPr="00617EFB">
        <w:t xml:space="preserve">Gregg’s </w:t>
      </w:r>
      <w:r>
        <w:t xml:space="preserve">applied </w:t>
      </w:r>
      <w:r w:rsidRPr="00617EFB">
        <w:t xml:space="preserve">strategic approach </w:t>
      </w:r>
      <w:r>
        <w:t xml:space="preserve">with the help of SAF framework. It ensures </w:t>
      </w:r>
      <w:r w:rsidRPr="00617EFB">
        <w:t xml:space="preserve">alignment </w:t>
      </w:r>
      <w:r>
        <w:t>of the</w:t>
      </w:r>
      <w:r w:rsidRPr="00617EFB">
        <w:t xml:space="preserve"> company goals </w:t>
      </w:r>
      <w:r>
        <w:t>with the market realities. There is a s</w:t>
      </w:r>
      <w:r w:rsidRPr="00617EFB">
        <w:t xml:space="preserve">uitability </w:t>
      </w:r>
      <w:r>
        <w:t>of</w:t>
      </w:r>
      <w:r w:rsidRPr="00617EFB">
        <w:t xml:space="preserve"> strong</w:t>
      </w:r>
      <w:r>
        <w:t>er aspects</w:t>
      </w:r>
      <w:r w:rsidRPr="00617EFB">
        <w:t xml:space="preserve"> </w:t>
      </w:r>
      <w:r>
        <w:t>where the</w:t>
      </w:r>
      <w:r w:rsidRPr="00617EFB">
        <w:t xml:space="preserve"> strategy directly correlates with </w:t>
      </w:r>
      <w:r>
        <w:t>the mission of the company (</w:t>
      </w:r>
      <w:r w:rsidRPr="00E1588A">
        <w:rPr>
          <w:rFonts w:cs="Times New Roman"/>
          <w:color w:val="222222"/>
          <w:szCs w:val="24"/>
          <w:shd w:val="clear" w:color="auto" w:fill="FFFFFF"/>
        </w:rPr>
        <w:t>Nakatani</w:t>
      </w:r>
      <w:r>
        <w:rPr>
          <w:rFonts w:cs="Times New Roman"/>
          <w:color w:val="222222"/>
          <w:szCs w:val="24"/>
          <w:shd w:val="clear" w:color="auto" w:fill="FFFFFF"/>
        </w:rPr>
        <w:t>, 2024)</w:t>
      </w:r>
      <w:r>
        <w:t xml:space="preserve">. </w:t>
      </w:r>
      <w:r w:rsidRPr="00617EFB">
        <w:t xml:space="preserve">Gregg’s </w:t>
      </w:r>
      <w:r>
        <w:t>offers efficiency of the effective</w:t>
      </w:r>
      <w:r w:rsidRPr="00617EFB">
        <w:t xml:space="preserve"> food accessible to </w:t>
      </w:r>
      <w:r>
        <w:t>all eth consumers. There is an estimation of €5</w:t>
      </w:r>
      <w:r w:rsidRPr="00617EFB">
        <w:t xml:space="preserve"> billion </w:t>
      </w:r>
      <w:r>
        <w:t>for the products</w:t>
      </w:r>
      <w:r w:rsidRPr="00617EFB">
        <w:t xml:space="preserve"> </w:t>
      </w:r>
      <w:r>
        <w:t xml:space="preserve">in the </w:t>
      </w:r>
      <w:r w:rsidRPr="00617EFB">
        <w:t xml:space="preserve">market </w:t>
      </w:r>
      <w:r>
        <w:t>which is growing at 3.5</w:t>
      </w:r>
      <w:r w:rsidRPr="00617EFB">
        <w:t>% annually in German</w:t>
      </w:r>
      <w:r>
        <w:t>y (</w:t>
      </w:r>
      <w:r w:rsidRPr="00E1588A">
        <w:rPr>
          <w:rFonts w:cs="Times New Roman"/>
          <w:szCs w:val="24"/>
        </w:rPr>
        <w:t>Fortune Business Insights</w:t>
      </w:r>
      <w:r>
        <w:rPr>
          <w:rFonts w:cs="Times New Roman"/>
          <w:szCs w:val="24"/>
        </w:rPr>
        <w:t>, 2025)</w:t>
      </w:r>
      <w:r>
        <w:t>. The product value proposition is affordable which offers</w:t>
      </w:r>
      <w:r w:rsidRPr="00617EFB">
        <w:t xml:space="preserve"> high-quality bakery </w:t>
      </w:r>
      <w:r>
        <w:t xml:space="preserve">products for meeting the demands of </w:t>
      </w:r>
      <w:r w:rsidRPr="00617EFB">
        <w:t xml:space="preserve">local consumer </w:t>
      </w:r>
      <w:r>
        <w:t>towards fulfilment of</w:t>
      </w:r>
      <w:r w:rsidRPr="00617EFB">
        <w:t xml:space="preserve"> convenience and</w:t>
      </w:r>
      <w:r>
        <w:t xml:space="preserve"> overall quality (</w:t>
      </w:r>
      <w:r w:rsidRPr="00E1588A">
        <w:rPr>
          <w:rFonts w:cs="Times New Roman"/>
          <w:color w:val="222222"/>
          <w:szCs w:val="24"/>
          <w:shd w:val="clear" w:color="auto" w:fill="FFFFFF"/>
        </w:rPr>
        <w:t>Mehdi</w:t>
      </w:r>
      <w:r>
        <w:t xml:space="preserve"> et al., 2022). </w:t>
      </w:r>
    </w:p>
    <w:p w14:paraId="293D18A4" w14:textId="3EED73B0" w:rsidR="00A806D9" w:rsidRDefault="007B1839" w:rsidP="007B1839">
      <w:r>
        <w:t>Moreoer, t</w:t>
      </w:r>
      <w:r w:rsidR="00A806D9">
        <w:t>here must be adaptation of</w:t>
      </w:r>
      <w:r w:rsidR="00A806D9" w:rsidRPr="00617EFB">
        <w:t xml:space="preserve"> local menus </w:t>
      </w:r>
      <w:r w:rsidR="00A806D9">
        <w:t xml:space="preserve">for making </w:t>
      </w:r>
      <w:r w:rsidR="00A806D9" w:rsidRPr="00617EFB">
        <w:t>increase</w:t>
      </w:r>
      <w:r w:rsidR="00A806D9">
        <w:t>s in the product relevance and enhancement in the</w:t>
      </w:r>
      <w:r w:rsidR="00A806D9" w:rsidRPr="00617EFB">
        <w:t xml:space="preserve"> suitability </w:t>
      </w:r>
      <w:r w:rsidR="00A806D9">
        <w:t>for the achievement of competitive</w:t>
      </w:r>
      <w:r w:rsidR="00A806D9" w:rsidRPr="00617EFB">
        <w:t xml:space="preserve"> cultural context.</w:t>
      </w:r>
      <w:r>
        <w:t xml:space="preserve"> </w:t>
      </w:r>
      <w:r w:rsidR="00A806D9">
        <w:t>The ac</w:t>
      </w:r>
      <w:r w:rsidR="00A806D9" w:rsidRPr="00617EFB">
        <w:t xml:space="preserve">ceptability </w:t>
      </w:r>
      <w:r w:rsidR="00A806D9">
        <w:t>imposes</w:t>
      </w:r>
      <w:r w:rsidR="00A806D9" w:rsidRPr="00617EFB">
        <w:t xml:space="preserve"> </w:t>
      </w:r>
      <w:r w:rsidR="00A806D9">
        <w:t xml:space="preserve">some risk which are </w:t>
      </w:r>
      <w:r w:rsidR="00A806D9" w:rsidRPr="00617EFB">
        <w:t xml:space="preserve">mitigated by culturally aligned </w:t>
      </w:r>
      <w:r w:rsidR="00A806D9">
        <w:t xml:space="preserve">use of the </w:t>
      </w:r>
      <w:r w:rsidR="00A806D9" w:rsidRPr="00617EFB">
        <w:t xml:space="preserve">products and local </w:t>
      </w:r>
      <w:r w:rsidR="00A806D9">
        <w:t>management in the</w:t>
      </w:r>
      <w:r w:rsidR="00A806D9" w:rsidRPr="00617EFB">
        <w:t xml:space="preserve"> market entry. </w:t>
      </w:r>
      <w:r w:rsidR="00A806D9">
        <w:t>The estimation showed that</w:t>
      </w:r>
      <w:r w:rsidR="00A806D9" w:rsidRPr="00617EFB">
        <w:t xml:space="preserve"> </w:t>
      </w:r>
      <w:r w:rsidR="00A806D9">
        <w:t xml:space="preserve">the German market </w:t>
      </w:r>
      <w:r w:rsidR="00A806D9" w:rsidRPr="00617EFB">
        <w:t>forecast</w:t>
      </w:r>
      <w:r w:rsidR="00A806D9">
        <w:t>s</w:t>
      </w:r>
      <w:r w:rsidR="00A806D9" w:rsidRPr="00617EFB">
        <w:t xml:space="preserve"> </w:t>
      </w:r>
      <w:r w:rsidR="00A806D9">
        <w:t>the</w:t>
      </w:r>
      <w:r w:rsidR="00A806D9" w:rsidRPr="00617EFB">
        <w:t xml:space="preserve"> achievable brand </w:t>
      </w:r>
      <w:r w:rsidR="00A806D9">
        <w:t>management of 5</w:t>
      </w:r>
      <w:r w:rsidR="00A806D9" w:rsidRPr="00617EFB">
        <w:t xml:space="preserve">0% by year </w:t>
      </w:r>
      <w:r w:rsidR="00A806D9">
        <w:t>within the</w:t>
      </w:r>
      <w:r w:rsidR="00A806D9" w:rsidRPr="00617EFB">
        <w:t xml:space="preserve"> targeted marketing. Feasibility is </w:t>
      </w:r>
      <w:r w:rsidR="00A806D9">
        <w:t>offered b</w:t>
      </w:r>
      <w:r w:rsidR="00A806D9" w:rsidRPr="00617EFB">
        <w:t>y Gregg’s</w:t>
      </w:r>
      <w:r w:rsidR="00A806D9">
        <w:t xml:space="preserve"> to maintain strong financial performance which can be £1.2 billion revenue in the UK as shown in the year 2024 (</w:t>
      </w:r>
      <w:r w:rsidR="00A806D9" w:rsidRPr="00E1588A">
        <w:rPr>
          <w:rFonts w:cs="Times New Roman"/>
          <w:szCs w:val="24"/>
        </w:rPr>
        <w:t>Novonesis</w:t>
      </w:r>
      <w:r w:rsidR="00A806D9">
        <w:rPr>
          <w:rFonts w:cs="Times New Roman"/>
          <w:szCs w:val="24"/>
        </w:rPr>
        <w:t>, 2024)</w:t>
      </w:r>
      <w:r w:rsidR="00A806D9">
        <w:t xml:space="preserve">. There is an </w:t>
      </w:r>
      <w:r w:rsidR="00A806D9" w:rsidRPr="00617EFB">
        <w:t xml:space="preserve">operational expertise in </w:t>
      </w:r>
      <w:r w:rsidR="00A806D9">
        <w:t>the management</w:t>
      </w:r>
      <w:r w:rsidR="00A806D9" w:rsidRPr="00617EFB">
        <w:t xml:space="preserve"> </w:t>
      </w:r>
      <w:r w:rsidR="00A806D9">
        <w:t>of</w:t>
      </w:r>
      <w:r w:rsidR="00A806D9" w:rsidRPr="00617EFB">
        <w:t xml:space="preserve"> expansion and </w:t>
      </w:r>
      <w:r w:rsidR="00A806D9">
        <w:t xml:space="preserve">successful </w:t>
      </w:r>
      <w:r w:rsidR="00A806D9" w:rsidRPr="00617EFB">
        <w:t xml:space="preserve">franchising. </w:t>
      </w:r>
    </w:p>
    <w:p w14:paraId="27E71C21" w14:textId="77777777" w:rsidR="00A806D9" w:rsidRPr="00333FA7" w:rsidRDefault="00A806D9" w:rsidP="00A806D9">
      <w:pPr>
        <w:pStyle w:val="Heading2"/>
        <w:rPr>
          <w:rFonts w:eastAsia="Calibri"/>
        </w:rPr>
      </w:pPr>
      <w:bookmarkStart w:id="41" w:name="_Toc213255147"/>
      <w:r w:rsidRPr="00333FA7">
        <w:rPr>
          <w:rFonts w:eastAsia="Calibri"/>
        </w:rPr>
        <w:t>Risk Assessment and Mitigation</w:t>
      </w:r>
      <w:bookmarkEnd w:id="41"/>
    </w:p>
    <w:tbl>
      <w:tblPr>
        <w:tblStyle w:val="TableGrid"/>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1512"/>
        <w:gridCol w:w="1656"/>
        <w:gridCol w:w="1433"/>
        <w:gridCol w:w="1023"/>
        <w:gridCol w:w="1023"/>
        <w:gridCol w:w="1431"/>
        <w:gridCol w:w="1498"/>
      </w:tblGrid>
      <w:tr w:rsidR="00A806D9" w:rsidRPr="0038430E" w14:paraId="3B7B9611" w14:textId="77777777" w:rsidTr="008D0774">
        <w:trPr>
          <w:jc w:val="center"/>
        </w:trPr>
        <w:tc>
          <w:tcPr>
            <w:tcW w:w="1512" w:type="dxa"/>
            <w:shd w:val="clear" w:color="auto" w:fill="B8CCE4" w:themeFill="accent1" w:themeFillTint="66"/>
          </w:tcPr>
          <w:p w14:paraId="682EDB94" w14:textId="77777777" w:rsidR="00A806D9" w:rsidRPr="0038430E" w:rsidRDefault="00A806D9" w:rsidP="002A752E">
            <w:pPr>
              <w:spacing w:after="40"/>
              <w:ind w:firstLine="0"/>
              <w:jc w:val="center"/>
              <w:rPr>
                <w:rFonts w:eastAsia="Calibri" w:cs="Times New Roman"/>
                <w:b/>
                <w:szCs w:val="24"/>
              </w:rPr>
            </w:pPr>
            <w:r w:rsidRPr="0038430E">
              <w:rPr>
                <w:rFonts w:eastAsia="Calibri" w:cs="Times New Roman"/>
                <w:b/>
                <w:szCs w:val="24"/>
              </w:rPr>
              <w:t>Risk Category</w:t>
            </w:r>
          </w:p>
        </w:tc>
        <w:tc>
          <w:tcPr>
            <w:tcW w:w="1656" w:type="dxa"/>
            <w:shd w:val="clear" w:color="auto" w:fill="B8CCE4" w:themeFill="accent1" w:themeFillTint="66"/>
          </w:tcPr>
          <w:p w14:paraId="68AAA271" w14:textId="77777777" w:rsidR="00A806D9" w:rsidRPr="0038430E" w:rsidRDefault="00A806D9" w:rsidP="002A752E">
            <w:pPr>
              <w:spacing w:after="40"/>
              <w:ind w:firstLine="0"/>
              <w:jc w:val="center"/>
              <w:rPr>
                <w:rFonts w:eastAsia="Calibri" w:cs="Times New Roman"/>
                <w:b/>
                <w:szCs w:val="24"/>
              </w:rPr>
            </w:pPr>
            <w:r w:rsidRPr="0038430E">
              <w:rPr>
                <w:rFonts w:eastAsia="Calibri" w:cs="Times New Roman"/>
                <w:b/>
                <w:szCs w:val="24"/>
              </w:rPr>
              <w:t>Description</w:t>
            </w:r>
          </w:p>
        </w:tc>
        <w:tc>
          <w:tcPr>
            <w:tcW w:w="1433" w:type="dxa"/>
            <w:shd w:val="clear" w:color="auto" w:fill="B8CCE4" w:themeFill="accent1" w:themeFillTint="66"/>
          </w:tcPr>
          <w:p w14:paraId="7526B58B" w14:textId="77777777" w:rsidR="00A806D9" w:rsidRPr="0038430E" w:rsidRDefault="00A806D9" w:rsidP="002A752E">
            <w:pPr>
              <w:spacing w:after="40"/>
              <w:ind w:firstLine="0"/>
              <w:jc w:val="center"/>
              <w:rPr>
                <w:rFonts w:eastAsia="Calibri" w:cs="Times New Roman"/>
                <w:b/>
                <w:szCs w:val="24"/>
              </w:rPr>
            </w:pPr>
            <w:r w:rsidRPr="0038430E">
              <w:rPr>
                <w:rFonts w:eastAsia="Calibri" w:cs="Times New Roman"/>
                <w:b/>
                <w:szCs w:val="24"/>
              </w:rPr>
              <w:t>Likelihood</w:t>
            </w:r>
          </w:p>
        </w:tc>
        <w:tc>
          <w:tcPr>
            <w:tcW w:w="1023" w:type="dxa"/>
            <w:shd w:val="clear" w:color="auto" w:fill="B8CCE4" w:themeFill="accent1" w:themeFillTint="66"/>
          </w:tcPr>
          <w:p w14:paraId="690F964C" w14:textId="77777777" w:rsidR="00A806D9" w:rsidRPr="0038430E" w:rsidRDefault="00A806D9" w:rsidP="002A752E">
            <w:pPr>
              <w:spacing w:after="40"/>
              <w:ind w:firstLine="0"/>
              <w:jc w:val="center"/>
              <w:rPr>
                <w:rFonts w:eastAsia="Calibri" w:cs="Times New Roman"/>
                <w:b/>
                <w:szCs w:val="24"/>
              </w:rPr>
            </w:pPr>
            <w:r w:rsidRPr="0038430E">
              <w:rPr>
                <w:rFonts w:eastAsia="Calibri" w:cs="Times New Roman"/>
                <w:b/>
                <w:szCs w:val="24"/>
              </w:rPr>
              <w:t>Impact</w:t>
            </w:r>
          </w:p>
        </w:tc>
        <w:tc>
          <w:tcPr>
            <w:tcW w:w="1023" w:type="dxa"/>
            <w:shd w:val="clear" w:color="auto" w:fill="B8CCE4" w:themeFill="accent1" w:themeFillTint="66"/>
          </w:tcPr>
          <w:p w14:paraId="1605C4BE" w14:textId="77777777" w:rsidR="00A806D9" w:rsidRPr="0038430E" w:rsidRDefault="00A806D9" w:rsidP="002A752E">
            <w:pPr>
              <w:spacing w:after="40"/>
              <w:ind w:firstLine="0"/>
              <w:jc w:val="center"/>
              <w:rPr>
                <w:rFonts w:eastAsia="Calibri" w:cs="Times New Roman"/>
                <w:b/>
                <w:szCs w:val="24"/>
              </w:rPr>
            </w:pPr>
            <w:r w:rsidRPr="0038430E">
              <w:rPr>
                <w:rFonts w:eastAsia="Calibri" w:cs="Times New Roman"/>
                <w:b/>
                <w:szCs w:val="24"/>
              </w:rPr>
              <w:t>Risk Rating</w:t>
            </w:r>
          </w:p>
        </w:tc>
        <w:tc>
          <w:tcPr>
            <w:tcW w:w="1431" w:type="dxa"/>
            <w:shd w:val="clear" w:color="auto" w:fill="B8CCE4" w:themeFill="accent1" w:themeFillTint="66"/>
          </w:tcPr>
          <w:p w14:paraId="76596C69" w14:textId="77777777" w:rsidR="00A806D9" w:rsidRPr="0038430E" w:rsidRDefault="00A806D9" w:rsidP="002A752E">
            <w:pPr>
              <w:spacing w:after="40"/>
              <w:ind w:firstLine="0"/>
              <w:jc w:val="center"/>
              <w:rPr>
                <w:rFonts w:eastAsia="Calibri" w:cs="Times New Roman"/>
                <w:b/>
                <w:szCs w:val="24"/>
              </w:rPr>
            </w:pPr>
            <w:r w:rsidRPr="0038430E">
              <w:rPr>
                <w:rFonts w:eastAsia="Calibri" w:cs="Times New Roman"/>
                <w:b/>
                <w:szCs w:val="24"/>
              </w:rPr>
              <w:t>Mitigation Strategy</w:t>
            </w:r>
          </w:p>
        </w:tc>
        <w:tc>
          <w:tcPr>
            <w:tcW w:w="1498" w:type="dxa"/>
            <w:shd w:val="clear" w:color="auto" w:fill="B8CCE4" w:themeFill="accent1" w:themeFillTint="66"/>
          </w:tcPr>
          <w:p w14:paraId="5FA0EB9C" w14:textId="77777777" w:rsidR="00A806D9" w:rsidRPr="0038430E" w:rsidRDefault="00A806D9" w:rsidP="002A752E">
            <w:pPr>
              <w:spacing w:after="40"/>
              <w:ind w:firstLine="0"/>
              <w:jc w:val="center"/>
              <w:rPr>
                <w:rFonts w:eastAsia="Calibri" w:cs="Times New Roman"/>
                <w:b/>
                <w:szCs w:val="24"/>
              </w:rPr>
            </w:pPr>
            <w:r w:rsidRPr="0038430E">
              <w:rPr>
                <w:rFonts w:eastAsia="Calibri" w:cs="Times New Roman"/>
                <w:b/>
                <w:szCs w:val="24"/>
              </w:rPr>
              <w:t>Responsible Party</w:t>
            </w:r>
          </w:p>
        </w:tc>
      </w:tr>
      <w:tr w:rsidR="00A806D9" w:rsidRPr="0038430E" w14:paraId="7B268D42" w14:textId="77777777" w:rsidTr="008D0774">
        <w:trPr>
          <w:jc w:val="center"/>
        </w:trPr>
        <w:tc>
          <w:tcPr>
            <w:tcW w:w="1512" w:type="dxa"/>
          </w:tcPr>
          <w:p w14:paraId="0F38CE37" w14:textId="77777777" w:rsidR="00A806D9" w:rsidRPr="0038430E" w:rsidRDefault="00A806D9" w:rsidP="002A752E">
            <w:pPr>
              <w:spacing w:after="40"/>
              <w:ind w:firstLine="0"/>
              <w:rPr>
                <w:rFonts w:eastAsia="Calibri" w:cs="Times New Roman"/>
                <w:szCs w:val="24"/>
              </w:rPr>
            </w:pPr>
            <w:r>
              <w:rPr>
                <w:rFonts w:eastAsia="Calibri" w:cs="Times New Roman"/>
                <w:szCs w:val="24"/>
              </w:rPr>
              <w:t>The slowdown in the e</w:t>
            </w:r>
            <w:r w:rsidRPr="0038430E">
              <w:rPr>
                <w:rFonts w:eastAsia="Calibri" w:cs="Times New Roman"/>
                <w:szCs w:val="24"/>
              </w:rPr>
              <w:t xml:space="preserve">conomic </w:t>
            </w:r>
            <w:r>
              <w:rPr>
                <w:rFonts w:eastAsia="Calibri" w:cs="Times New Roman"/>
                <w:szCs w:val="24"/>
              </w:rPr>
              <w:t>values.</w:t>
            </w:r>
          </w:p>
        </w:tc>
        <w:tc>
          <w:tcPr>
            <w:tcW w:w="1656" w:type="dxa"/>
          </w:tcPr>
          <w:p w14:paraId="114BC4C3" w14:textId="77777777" w:rsidR="00A806D9" w:rsidRPr="0038430E" w:rsidRDefault="00A806D9" w:rsidP="002A752E">
            <w:pPr>
              <w:spacing w:after="40"/>
              <w:ind w:firstLine="0"/>
              <w:rPr>
                <w:rFonts w:eastAsia="Calibri" w:cs="Times New Roman"/>
                <w:szCs w:val="24"/>
              </w:rPr>
            </w:pPr>
            <w:r>
              <w:rPr>
                <w:rFonts w:eastAsia="Calibri" w:cs="Times New Roman"/>
                <w:szCs w:val="24"/>
              </w:rPr>
              <w:t xml:space="preserve">There is a reduction of the </w:t>
            </w:r>
            <w:r w:rsidRPr="0038430E">
              <w:rPr>
                <w:rFonts w:eastAsia="Calibri" w:cs="Times New Roman"/>
                <w:szCs w:val="24"/>
              </w:rPr>
              <w:t xml:space="preserve">consumer spending </w:t>
            </w:r>
            <w:r>
              <w:rPr>
                <w:rFonts w:eastAsia="Calibri" w:cs="Times New Roman"/>
                <w:szCs w:val="24"/>
              </w:rPr>
              <w:t>which impacts directly on the</w:t>
            </w:r>
            <w:r w:rsidRPr="0038430E">
              <w:rPr>
                <w:rFonts w:eastAsia="Calibri" w:cs="Times New Roman"/>
                <w:szCs w:val="24"/>
              </w:rPr>
              <w:t xml:space="preserve"> sales growth</w:t>
            </w:r>
            <w:r>
              <w:rPr>
                <w:rFonts w:eastAsia="Calibri" w:cs="Times New Roman"/>
                <w:szCs w:val="24"/>
              </w:rPr>
              <w:t>.</w:t>
            </w:r>
          </w:p>
        </w:tc>
        <w:tc>
          <w:tcPr>
            <w:tcW w:w="1433" w:type="dxa"/>
          </w:tcPr>
          <w:p w14:paraId="22C829D5" w14:textId="77777777" w:rsidR="00A806D9" w:rsidRPr="0038430E" w:rsidRDefault="00A806D9" w:rsidP="002A752E">
            <w:pPr>
              <w:spacing w:after="40"/>
              <w:ind w:firstLine="0"/>
              <w:rPr>
                <w:rFonts w:eastAsia="Calibri" w:cs="Times New Roman"/>
                <w:szCs w:val="24"/>
              </w:rPr>
            </w:pPr>
            <w:r>
              <w:rPr>
                <w:rFonts w:eastAsia="Calibri" w:cs="Times New Roman"/>
                <w:szCs w:val="24"/>
              </w:rPr>
              <w:t>Moderate</w:t>
            </w:r>
          </w:p>
        </w:tc>
        <w:tc>
          <w:tcPr>
            <w:tcW w:w="1023" w:type="dxa"/>
          </w:tcPr>
          <w:p w14:paraId="73F9A4AC" w14:textId="77777777" w:rsidR="00A806D9" w:rsidRPr="0038430E" w:rsidRDefault="00A806D9" w:rsidP="002A752E">
            <w:pPr>
              <w:spacing w:after="40"/>
              <w:ind w:firstLine="0"/>
              <w:rPr>
                <w:rFonts w:eastAsia="Calibri" w:cs="Times New Roman"/>
                <w:szCs w:val="24"/>
              </w:rPr>
            </w:pPr>
            <w:r w:rsidRPr="0038430E">
              <w:rPr>
                <w:rFonts w:eastAsia="Calibri" w:cs="Times New Roman"/>
                <w:szCs w:val="24"/>
              </w:rPr>
              <w:t>High</w:t>
            </w:r>
          </w:p>
        </w:tc>
        <w:tc>
          <w:tcPr>
            <w:tcW w:w="1023" w:type="dxa"/>
          </w:tcPr>
          <w:p w14:paraId="4B2F4196" w14:textId="77777777" w:rsidR="00A806D9" w:rsidRPr="0038430E" w:rsidRDefault="00A806D9" w:rsidP="002A752E">
            <w:pPr>
              <w:spacing w:after="40"/>
              <w:ind w:firstLine="0"/>
              <w:rPr>
                <w:rFonts w:eastAsia="Calibri" w:cs="Times New Roman"/>
                <w:szCs w:val="24"/>
              </w:rPr>
            </w:pPr>
            <w:r w:rsidRPr="0038430E">
              <w:rPr>
                <w:rFonts w:eastAsia="Calibri" w:cs="Times New Roman"/>
                <w:szCs w:val="24"/>
              </w:rPr>
              <w:t>High</w:t>
            </w:r>
          </w:p>
        </w:tc>
        <w:tc>
          <w:tcPr>
            <w:tcW w:w="1431" w:type="dxa"/>
          </w:tcPr>
          <w:p w14:paraId="6EF3EEEE" w14:textId="77777777" w:rsidR="00A806D9" w:rsidRPr="0038430E" w:rsidRDefault="00A806D9" w:rsidP="002A752E">
            <w:pPr>
              <w:spacing w:after="40"/>
              <w:ind w:firstLine="0"/>
              <w:rPr>
                <w:rFonts w:eastAsia="Calibri" w:cs="Times New Roman"/>
                <w:szCs w:val="24"/>
              </w:rPr>
            </w:pPr>
            <w:r>
              <w:rPr>
                <w:rFonts w:eastAsia="Calibri" w:cs="Times New Roman"/>
                <w:szCs w:val="24"/>
              </w:rPr>
              <w:t>The company must f</w:t>
            </w:r>
            <w:r w:rsidRPr="0038430E">
              <w:rPr>
                <w:rFonts w:eastAsia="Calibri" w:cs="Times New Roman"/>
                <w:szCs w:val="24"/>
              </w:rPr>
              <w:t xml:space="preserve">ocus on </w:t>
            </w:r>
            <w:r>
              <w:rPr>
                <w:rFonts w:eastAsia="Calibri" w:cs="Times New Roman"/>
                <w:szCs w:val="24"/>
              </w:rPr>
              <w:t xml:space="preserve">offering affordable pricing. It needs monitoring of the economic indicators. There musts be maintenance of the flexible cost structure in the industry. </w:t>
            </w:r>
          </w:p>
        </w:tc>
        <w:tc>
          <w:tcPr>
            <w:tcW w:w="1498" w:type="dxa"/>
          </w:tcPr>
          <w:p w14:paraId="1F221FB1" w14:textId="77777777" w:rsidR="00A806D9" w:rsidRPr="0038430E" w:rsidRDefault="00A806D9" w:rsidP="002A752E">
            <w:pPr>
              <w:spacing w:after="40"/>
              <w:ind w:firstLine="0"/>
              <w:rPr>
                <w:rFonts w:eastAsia="Calibri" w:cs="Times New Roman"/>
                <w:szCs w:val="24"/>
              </w:rPr>
            </w:pPr>
            <w:r>
              <w:rPr>
                <w:rFonts w:eastAsia="Calibri" w:cs="Times New Roman"/>
                <w:szCs w:val="24"/>
              </w:rPr>
              <w:t>Marketing and</w:t>
            </w:r>
            <w:r w:rsidRPr="0038430E">
              <w:rPr>
                <w:rFonts w:eastAsia="Calibri" w:cs="Times New Roman"/>
                <w:szCs w:val="24"/>
              </w:rPr>
              <w:t xml:space="preserve"> Finance </w:t>
            </w:r>
            <w:r>
              <w:rPr>
                <w:rFonts w:eastAsia="Calibri" w:cs="Times New Roman"/>
                <w:szCs w:val="24"/>
              </w:rPr>
              <w:t xml:space="preserve">Department. </w:t>
            </w:r>
          </w:p>
        </w:tc>
      </w:tr>
      <w:tr w:rsidR="00A806D9" w:rsidRPr="0038430E" w14:paraId="3AB52169" w14:textId="77777777" w:rsidTr="008D0774">
        <w:trPr>
          <w:jc w:val="center"/>
        </w:trPr>
        <w:tc>
          <w:tcPr>
            <w:tcW w:w="1512" w:type="dxa"/>
          </w:tcPr>
          <w:p w14:paraId="11061384" w14:textId="77777777" w:rsidR="00A806D9" w:rsidRPr="0038430E" w:rsidRDefault="00A806D9" w:rsidP="002A752E">
            <w:pPr>
              <w:spacing w:after="40"/>
              <w:ind w:firstLine="0"/>
              <w:rPr>
                <w:rFonts w:eastAsia="Calibri" w:cs="Times New Roman"/>
                <w:szCs w:val="24"/>
              </w:rPr>
            </w:pPr>
            <w:r w:rsidRPr="0038430E">
              <w:rPr>
                <w:rFonts w:eastAsia="Calibri" w:cs="Times New Roman"/>
                <w:szCs w:val="24"/>
              </w:rPr>
              <w:t>Unfamiliarity</w:t>
            </w:r>
            <w:r>
              <w:rPr>
                <w:rFonts w:eastAsia="Calibri" w:cs="Times New Roman"/>
                <w:szCs w:val="24"/>
              </w:rPr>
              <w:t xml:space="preserve"> of the brand.</w:t>
            </w:r>
          </w:p>
        </w:tc>
        <w:tc>
          <w:tcPr>
            <w:tcW w:w="1656" w:type="dxa"/>
          </w:tcPr>
          <w:p w14:paraId="31277038" w14:textId="77777777" w:rsidR="00A806D9" w:rsidRPr="0038430E" w:rsidRDefault="00A806D9" w:rsidP="002A752E">
            <w:pPr>
              <w:spacing w:after="40"/>
              <w:ind w:firstLine="0"/>
              <w:rPr>
                <w:rFonts w:eastAsia="Calibri" w:cs="Times New Roman"/>
                <w:szCs w:val="24"/>
              </w:rPr>
            </w:pPr>
            <w:r>
              <w:rPr>
                <w:rFonts w:eastAsia="Calibri" w:cs="Times New Roman"/>
                <w:szCs w:val="24"/>
              </w:rPr>
              <w:t xml:space="preserve">There is a consideration of lower </w:t>
            </w:r>
            <w:r w:rsidRPr="0038430E">
              <w:rPr>
                <w:rFonts w:eastAsia="Calibri" w:cs="Times New Roman"/>
                <w:szCs w:val="24"/>
              </w:rPr>
              <w:t xml:space="preserve">initial brand awareness </w:t>
            </w:r>
            <w:r>
              <w:rPr>
                <w:rFonts w:eastAsia="Calibri" w:cs="Times New Roman"/>
                <w:szCs w:val="24"/>
              </w:rPr>
              <w:t>with possible level of</w:t>
            </w:r>
            <w:r w:rsidRPr="0038430E">
              <w:rPr>
                <w:rFonts w:eastAsia="Calibri" w:cs="Times New Roman"/>
                <w:szCs w:val="24"/>
              </w:rPr>
              <w:t xml:space="preserve"> acceptance</w:t>
            </w:r>
            <w:r>
              <w:rPr>
                <w:rFonts w:eastAsia="Calibri" w:cs="Times New Roman"/>
                <w:szCs w:val="24"/>
              </w:rPr>
              <w:t>.</w:t>
            </w:r>
          </w:p>
        </w:tc>
        <w:tc>
          <w:tcPr>
            <w:tcW w:w="1433" w:type="dxa"/>
          </w:tcPr>
          <w:p w14:paraId="5108CFD6" w14:textId="77777777" w:rsidR="00A806D9" w:rsidRPr="0038430E" w:rsidRDefault="00A806D9" w:rsidP="002A752E">
            <w:pPr>
              <w:spacing w:after="40"/>
              <w:ind w:firstLine="0"/>
              <w:rPr>
                <w:rFonts w:eastAsia="Calibri" w:cs="Times New Roman"/>
                <w:szCs w:val="24"/>
              </w:rPr>
            </w:pPr>
            <w:r w:rsidRPr="0038430E">
              <w:rPr>
                <w:rFonts w:eastAsia="Calibri" w:cs="Times New Roman"/>
                <w:szCs w:val="24"/>
              </w:rPr>
              <w:t>High</w:t>
            </w:r>
          </w:p>
        </w:tc>
        <w:tc>
          <w:tcPr>
            <w:tcW w:w="1023" w:type="dxa"/>
          </w:tcPr>
          <w:p w14:paraId="5A1A271F" w14:textId="77777777" w:rsidR="00A806D9" w:rsidRPr="0038430E" w:rsidRDefault="00A806D9" w:rsidP="002A752E">
            <w:pPr>
              <w:spacing w:after="40"/>
              <w:ind w:firstLine="0"/>
              <w:rPr>
                <w:rFonts w:eastAsia="Calibri" w:cs="Times New Roman"/>
                <w:szCs w:val="24"/>
              </w:rPr>
            </w:pPr>
            <w:r>
              <w:rPr>
                <w:rFonts w:eastAsia="Calibri" w:cs="Times New Roman"/>
                <w:szCs w:val="24"/>
              </w:rPr>
              <w:t>Moderate</w:t>
            </w:r>
          </w:p>
        </w:tc>
        <w:tc>
          <w:tcPr>
            <w:tcW w:w="1023" w:type="dxa"/>
          </w:tcPr>
          <w:p w14:paraId="385BBD0F" w14:textId="77777777" w:rsidR="00A806D9" w:rsidRPr="0038430E" w:rsidRDefault="00A806D9" w:rsidP="002A752E">
            <w:pPr>
              <w:spacing w:after="40"/>
              <w:ind w:firstLine="0"/>
              <w:rPr>
                <w:rFonts w:eastAsia="Calibri" w:cs="Times New Roman"/>
                <w:szCs w:val="24"/>
              </w:rPr>
            </w:pPr>
            <w:r w:rsidRPr="0038430E">
              <w:rPr>
                <w:rFonts w:eastAsia="Calibri" w:cs="Times New Roman"/>
                <w:szCs w:val="24"/>
              </w:rPr>
              <w:t>High</w:t>
            </w:r>
          </w:p>
        </w:tc>
        <w:tc>
          <w:tcPr>
            <w:tcW w:w="1431" w:type="dxa"/>
          </w:tcPr>
          <w:p w14:paraId="3270B866" w14:textId="77777777" w:rsidR="00A806D9" w:rsidRPr="0038430E" w:rsidRDefault="00A806D9" w:rsidP="002A752E">
            <w:pPr>
              <w:spacing w:after="40"/>
              <w:ind w:firstLine="0"/>
              <w:rPr>
                <w:rFonts w:eastAsia="Calibri" w:cs="Times New Roman"/>
                <w:szCs w:val="24"/>
              </w:rPr>
            </w:pPr>
            <w:r>
              <w:rPr>
                <w:rFonts w:eastAsia="Calibri" w:cs="Times New Roman"/>
                <w:szCs w:val="24"/>
              </w:rPr>
              <w:t>There are some definite p</w:t>
            </w:r>
            <w:r w:rsidRPr="0038430E">
              <w:rPr>
                <w:rFonts w:eastAsia="Calibri" w:cs="Times New Roman"/>
                <w:szCs w:val="24"/>
              </w:rPr>
              <w:t xml:space="preserve">artner </w:t>
            </w:r>
            <w:r>
              <w:rPr>
                <w:rFonts w:eastAsia="Calibri" w:cs="Times New Roman"/>
                <w:szCs w:val="24"/>
              </w:rPr>
              <w:t>to manage the local brands. There must be i</w:t>
            </w:r>
            <w:r w:rsidRPr="0038430E">
              <w:rPr>
                <w:rFonts w:eastAsia="Calibri" w:cs="Times New Roman"/>
                <w:szCs w:val="24"/>
              </w:rPr>
              <w:t>mplement</w:t>
            </w:r>
            <w:r>
              <w:rPr>
                <w:rFonts w:eastAsia="Calibri" w:cs="Times New Roman"/>
                <w:szCs w:val="24"/>
              </w:rPr>
              <w:t>ation of</w:t>
            </w:r>
            <w:r w:rsidRPr="0038430E">
              <w:rPr>
                <w:rFonts w:eastAsia="Calibri" w:cs="Times New Roman"/>
                <w:szCs w:val="24"/>
              </w:rPr>
              <w:t xml:space="preserve"> d</w:t>
            </w:r>
            <w:r>
              <w:rPr>
                <w:rFonts w:eastAsia="Calibri" w:cs="Times New Roman"/>
                <w:szCs w:val="24"/>
              </w:rPr>
              <w:t>igital marketing and promotional activities which develop effective</w:t>
            </w:r>
            <w:r w:rsidRPr="0038430E">
              <w:rPr>
                <w:rFonts w:eastAsia="Calibri" w:cs="Times New Roman"/>
                <w:szCs w:val="24"/>
              </w:rPr>
              <w:t xml:space="preserve"> cultural adaptation of </w:t>
            </w:r>
            <w:r>
              <w:rPr>
                <w:rFonts w:eastAsia="Calibri" w:cs="Times New Roman"/>
                <w:szCs w:val="24"/>
              </w:rPr>
              <w:t xml:space="preserve">the </w:t>
            </w:r>
            <w:r w:rsidRPr="0038430E">
              <w:rPr>
                <w:rFonts w:eastAsia="Calibri" w:cs="Times New Roman"/>
                <w:szCs w:val="24"/>
              </w:rPr>
              <w:t>products</w:t>
            </w:r>
            <w:r>
              <w:rPr>
                <w:rFonts w:eastAsia="Calibri" w:cs="Times New Roman"/>
                <w:szCs w:val="24"/>
              </w:rPr>
              <w:t xml:space="preserve">. </w:t>
            </w:r>
          </w:p>
        </w:tc>
        <w:tc>
          <w:tcPr>
            <w:tcW w:w="1498" w:type="dxa"/>
          </w:tcPr>
          <w:p w14:paraId="295EF3A1" w14:textId="77777777" w:rsidR="00A806D9" w:rsidRPr="0038430E" w:rsidRDefault="00A806D9" w:rsidP="002A752E">
            <w:pPr>
              <w:spacing w:after="40"/>
              <w:ind w:firstLine="0"/>
              <w:rPr>
                <w:rFonts w:eastAsia="Calibri" w:cs="Times New Roman"/>
                <w:szCs w:val="24"/>
              </w:rPr>
            </w:pPr>
            <w:r>
              <w:rPr>
                <w:rFonts w:eastAsia="Calibri" w:cs="Times New Roman"/>
                <w:szCs w:val="24"/>
              </w:rPr>
              <w:t>Sales, Marketing and</w:t>
            </w:r>
            <w:r w:rsidRPr="0038430E">
              <w:rPr>
                <w:rFonts w:eastAsia="Calibri" w:cs="Times New Roman"/>
                <w:szCs w:val="24"/>
              </w:rPr>
              <w:t xml:space="preserve"> Local Partners</w:t>
            </w:r>
            <w:r>
              <w:rPr>
                <w:rFonts w:eastAsia="Calibri" w:cs="Times New Roman"/>
                <w:szCs w:val="24"/>
              </w:rPr>
              <w:t xml:space="preserve"> in Germany.</w:t>
            </w:r>
          </w:p>
        </w:tc>
      </w:tr>
      <w:tr w:rsidR="00A806D9" w:rsidRPr="0038430E" w14:paraId="20C55461" w14:textId="77777777" w:rsidTr="008D0774">
        <w:trPr>
          <w:jc w:val="center"/>
        </w:trPr>
        <w:tc>
          <w:tcPr>
            <w:tcW w:w="1512" w:type="dxa"/>
          </w:tcPr>
          <w:p w14:paraId="51CF7C48" w14:textId="77777777" w:rsidR="00A806D9" w:rsidRPr="0038430E" w:rsidRDefault="00A806D9" w:rsidP="002A752E">
            <w:pPr>
              <w:spacing w:after="40"/>
              <w:ind w:firstLine="0"/>
              <w:rPr>
                <w:rFonts w:eastAsia="Calibri" w:cs="Times New Roman"/>
                <w:szCs w:val="24"/>
              </w:rPr>
            </w:pPr>
            <w:r w:rsidRPr="0038430E">
              <w:rPr>
                <w:rFonts w:eastAsia="Calibri" w:cs="Times New Roman"/>
                <w:szCs w:val="24"/>
              </w:rPr>
              <w:t xml:space="preserve">Regulatory </w:t>
            </w:r>
            <w:r>
              <w:rPr>
                <w:rFonts w:eastAsia="Calibri" w:cs="Times New Roman"/>
                <w:szCs w:val="24"/>
              </w:rPr>
              <w:t>c</w:t>
            </w:r>
            <w:r w:rsidRPr="0038430E">
              <w:rPr>
                <w:rFonts w:eastAsia="Calibri" w:cs="Times New Roman"/>
                <w:szCs w:val="24"/>
              </w:rPr>
              <w:t>ompliance</w:t>
            </w:r>
            <w:r>
              <w:rPr>
                <w:rFonts w:eastAsia="Calibri" w:cs="Times New Roman"/>
                <w:szCs w:val="24"/>
              </w:rPr>
              <w:t>s in the brand expansion.</w:t>
            </w:r>
          </w:p>
        </w:tc>
        <w:tc>
          <w:tcPr>
            <w:tcW w:w="1656" w:type="dxa"/>
          </w:tcPr>
          <w:p w14:paraId="1FDFA668" w14:textId="77777777" w:rsidR="00A806D9" w:rsidRPr="0038430E" w:rsidRDefault="00A806D9" w:rsidP="002A752E">
            <w:pPr>
              <w:spacing w:after="40"/>
              <w:ind w:firstLine="0"/>
              <w:rPr>
                <w:rFonts w:eastAsia="Calibri" w:cs="Times New Roman"/>
                <w:szCs w:val="24"/>
              </w:rPr>
            </w:pPr>
            <w:r>
              <w:rPr>
                <w:rFonts w:eastAsia="Calibri" w:cs="Times New Roman"/>
                <w:szCs w:val="24"/>
              </w:rPr>
              <w:t>There are some complex items and</w:t>
            </w:r>
            <w:r w:rsidRPr="0038430E">
              <w:rPr>
                <w:rFonts w:eastAsia="Calibri" w:cs="Times New Roman"/>
                <w:szCs w:val="24"/>
              </w:rPr>
              <w:t xml:space="preserve"> food </w:t>
            </w:r>
            <w:r>
              <w:rPr>
                <w:rFonts w:eastAsia="Calibri" w:cs="Times New Roman"/>
                <w:szCs w:val="24"/>
              </w:rPr>
              <w:t xml:space="preserve">to develop </w:t>
            </w:r>
            <w:r w:rsidRPr="0038430E">
              <w:rPr>
                <w:rFonts w:eastAsia="Calibri" w:cs="Times New Roman"/>
                <w:szCs w:val="24"/>
              </w:rPr>
              <w:t>safety and labo</w:t>
            </w:r>
            <w:r>
              <w:rPr>
                <w:rFonts w:eastAsia="Calibri" w:cs="Times New Roman"/>
                <w:szCs w:val="24"/>
              </w:rPr>
              <w:t>u</w:t>
            </w:r>
            <w:r w:rsidRPr="0038430E">
              <w:rPr>
                <w:rFonts w:eastAsia="Calibri" w:cs="Times New Roman"/>
                <w:szCs w:val="24"/>
              </w:rPr>
              <w:t>r laws</w:t>
            </w:r>
            <w:r>
              <w:rPr>
                <w:rFonts w:eastAsia="Calibri" w:cs="Times New Roman"/>
                <w:szCs w:val="24"/>
              </w:rPr>
              <w:t>.</w:t>
            </w:r>
          </w:p>
        </w:tc>
        <w:tc>
          <w:tcPr>
            <w:tcW w:w="1433" w:type="dxa"/>
          </w:tcPr>
          <w:p w14:paraId="61FFABDC" w14:textId="77777777" w:rsidR="00A806D9" w:rsidRPr="0038430E" w:rsidRDefault="00A806D9" w:rsidP="002A752E">
            <w:pPr>
              <w:spacing w:after="40"/>
              <w:ind w:firstLine="0"/>
              <w:rPr>
                <w:rFonts w:eastAsia="Calibri" w:cs="Times New Roman"/>
                <w:szCs w:val="24"/>
              </w:rPr>
            </w:pPr>
            <w:r>
              <w:rPr>
                <w:rFonts w:eastAsia="Calibri" w:cs="Times New Roman"/>
                <w:szCs w:val="24"/>
              </w:rPr>
              <w:t>Moderate</w:t>
            </w:r>
          </w:p>
        </w:tc>
        <w:tc>
          <w:tcPr>
            <w:tcW w:w="1023" w:type="dxa"/>
          </w:tcPr>
          <w:p w14:paraId="28710D16" w14:textId="77777777" w:rsidR="00A806D9" w:rsidRPr="0038430E" w:rsidRDefault="00A806D9" w:rsidP="002A752E">
            <w:pPr>
              <w:spacing w:after="40"/>
              <w:ind w:firstLine="0"/>
              <w:rPr>
                <w:rFonts w:eastAsia="Calibri" w:cs="Times New Roman"/>
                <w:szCs w:val="24"/>
              </w:rPr>
            </w:pPr>
            <w:r w:rsidRPr="0038430E">
              <w:rPr>
                <w:rFonts w:eastAsia="Calibri" w:cs="Times New Roman"/>
                <w:szCs w:val="24"/>
              </w:rPr>
              <w:t>High</w:t>
            </w:r>
          </w:p>
        </w:tc>
        <w:tc>
          <w:tcPr>
            <w:tcW w:w="1023" w:type="dxa"/>
          </w:tcPr>
          <w:p w14:paraId="140FC9A1" w14:textId="77777777" w:rsidR="00A806D9" w:rsidRPr="0038430E" w:rsidRDefault="00A806D9" w:rsidP="002A752E">
            <w:pPr>
              <w:spacing w:after="40"/>
              <w:ind w:firstLine="0"/>
              <w:rPr>
                <w:rFonts w:eastAsia="Calibri" w:cs="Times New Roman"/>
                <w:szCs w:val="24"/>
              </w:rPr>
            </w:pPr>
            <w:r w:rsidRPr="0038430E">
              <w:rPr>
                <w:rFonts w:eastAsia="Calibri" w:cs="Times New Roman"/>
                <w:szCs w:val="24"/>
              </w:rPr>
              <w:t>High</w:t>
            </w:r>
          </w:p>
        </w:tc>
        <w:tc>
          <w:tcPr>
            <w:tcW w:w="1431" w:type="dxa"/>
          </w:tcPr>
          <w:p w14:paraId="3CB6E7A7" w14:textId="77777777" w:rsidR="00A806D9" w:rsidRPr="0038430E" w:rsidRDefault="00A806D9" w:rsidP="002A752E">
            <w:pPr>
              <w:spacing w:after="40"/>
              <w:ind w:firstLine="0"/>
              <w:rPr>
                <w:rFonts w:eastAsia="Calibri" w:cs="Times New Roman"/>
                <w:szCs w:val="24"/>
              </w:rPr>
            </w:pPr>
            <w:r>
              <w:rPr>
                <w:rFonts w:eastAsia="Calibri" w:cs="Times New Roman"/>
                <w:szCs w:val="24"/>
              </w:rPr>
              <w:t xml:space="preserve">There must be engagement in the local legal advisors. It needs efficiency in providing the staff training. There must be </w:t>
            </w:r>
            <w:r w:rsidRPr="0038430E">
              <w:rPr>
                <w:rFonts w:eastAsia="Calibri" w:cs="Times New Roman"/>
                <w:szCs w:val="24"/>
              </w:rPr>
              <w:t xml:space="preserve">regular audits </w:t>
            </w:r>
            <w:r>
              <w:rPr>
                <w:rFonts w:eastAsia="Calibri" w:cs="Times New Roman"/>
                <w:szCs w:val="24"/>
              </w:rPr>
              <w:t xml:space="preserve">for ensuring the </w:t>
            </w:r>
            <w:r w:rsidRPr="0038430E">
              <w:rPr>
                <w:rFonts w:eastAsia="Calibri" w:cs="Times New Roman"/>
                <w:szCs w:val="24"/>
              </w:rPr>
              <w:t>compliance</w:t>
            </w:r>
            <w:r>
              <w:rPr>
                <w:rFonts w:eastAsia="Calibri" w:cs="Times New Roman"/>
                <w:szCs w:val="24"/>
              </w:rPr>
              <w:t>s.</w:t>
            </w:r>
          </w:p>
        </w:tc>
        <w:tc>
          <w:tcPr>
            <w:tcW w:w="1498" w:type="dxa"/>
          </w:tcPr>
          <w:p w14:paraId="4FE1B40E" w14:textId="77777777" w:rsidR="00A806D9" w:rsidRPr="0038430E" w:rsidRDefault="00A806D9" w:rsidP="002A752E">
            <w:pPr>
              <w:spacing w:after="40"/>
              <w:ind w:firstLine="0"/>
              <w:rPr>
                <w:rFonts w:eastAsia="Calibri" w:cs="Times New Roman"/>
                <w:szCs w:val="24"/>
              </w:rPr>
            </w:pPr>
            <w:r w:rsidRPr="0038430E">
              <w:rPr>
                <w:rFonts w:eastAsia="Calibri" w:cs="Times New Roman"/>
                <w:szCs w:val="24"/>
              </w:rPr>
              <w:t>L</w:t>
            </w:r>
            <w:r>
              <w:rPr>
                <w:rFonts w:eastAsia="Calibri" w:cs="Times New Roman"/>
                <w:szCs w:val="24"/>
              </w:rPr>
              <w:t>egal and</w:t>
            </w:r>
            <w:r w:rsidRPr="0038430E">
              <w:rPr>
                <w:rFonts w:eastAsia="Calibri" w:cs="Times New Roman"/>
                <w:szCs w:val="24"/>
              </w:rPr>
              <w:t xml:space="preserve"> Operations </w:t>
            </w:r>
            <w:r>
              <w:rPr>
                <w:rFonts w:eastAsia="Calibri" w:cs="Times New Roman"/>
                <w:szCs w:val="24"/>
              </w:rPr>
              <w:t xml:space="preserve">Managers. </w:t>
            </w:r>
          </w:p>
        </w:tc>
      </w:tr>
      <w:tr w:rsidR="00A806D9" w:rsidRPr="0038430E" w14:paraId="2C1F9C72" w14:textId="77777777" w:rsidTr="008D0774">
        <w:trPr>
          <w:jc w:val="center"/>
        </w:trPr>
        <w:tc>
          <w:tcPr>
            <w:tcW w:w="1512" w:type="dxa"/>
          </w:tcPr>
          <w:p w14:paraId="4D42D82B" w14:textId="77777777" w:rsidR="00A806D9" w:rsidRPr="0038430E" w:rsidRDefault="00A806D9" w:rsidP="002A752E">
            <w:pPr>
              <w:spacing w:after="40"/>
              <w:ind w:firstLine="0"/>
              <w:rPr>
                <w:rFonts w:eastAsia="Calibri" w:cs="Times New Roman"/>
                <w:szCs w:val="24"/>
              </w:rPr>
            </w:pPr>
            <w:r>
              <w:rPr>
                <w:rFonts w:eastAsia="Calibri" w:cs="Times New Roman"/>
                <w:szCs w:val="24"/>
              </w:rPr>
              <w:t>Cultural differences in the market.</w:t>
            </w:r>
          </w:p>
        </w:tc>
        <w:tc>
          <w:tcPr>
            <w:tcW w:w="1656" w:type="dxa"/>
          </w:tcPr>
          <w:p w14:paraId="186BB5AD" w14:textId="77777777" w:rsidR="00A806D9" w:rsidRPr="0038430E" w:rsidRDefault="00A806D9" w:rsidP="002A752E">
            <w:pPr>
              <w:spacing w:after="40"/>
              <w:ind w:firstLine="0"/>
              <w:rPr>
                <w:rFonts w:eastAsia="Calibri" w:cs="Times New Roman"/>
                <w:szCs w:val="24"/>
              </w:rPr>
            </w:pPr>
            <w:r>
              <w:rPr>
                <w:rFonts w:eastAsia="Calibri" w:cs="Times New Roman"/>
                <w:szCs w:val="24"/>
              </w:rPr>
              <w:t xml:space="preserve">There are some definite misalignments of product delivery with the </w:t>
            </w:r>
            <w:r w:rsidRPr="0038430E">
              <w:rPr>
                <w:rFonts w:eastAsia="Calibri" w:cs="Times New Roman"/>
                <w:szCs w:val="24"/>
              </w:rPr>
              <w:t>offering with tastes</w:t>
            </w:r>
            <w:r>
              <w:rPr>
                <w:rFonts w:eastAsia="Calibri" w:cs="Times New Roman"/>
                <w:szCs w:val="24"/>
              </w:rPr>
              <w:t xml:space="preserve"> in the German market.</w:t>
            </w:r>
          </w:p>
        </w:tc>
        <w:tc>
          <w:tcPr>
            <w:tcW w:w="1433" w:type="dxa"/>
          </w:tcPr>
          <w:p w14:paraId="77256F55" w14:textId="77777777" w:rsidR="00A806D9" w:rsidRPr="0038430E" w:rsidRDefault="00A806D9" w:rsidP="002A752E">
            <w:pPr>
              <w:spacing w:after="40"/>
              <w:ind w:firstLine="0"/>
              <w:rPr>
                <w:rFonts w:eastAsia="Calibri" w:cs="Times New Roman"/>
                <w:szCs w:val="24"/>
              </w:rPr>
            </w:pPr>
            <w:r w:rsidRPr="0038430E">
              <w:rPr>
                <w:rFonts w:eastAsia="Calibri" w:cs="Times New Roman"/>
                <w:szCs w:val="24"/>
              </w:rPr>
              <w:t>Low</w:t>
            </w:r>
          </w:p>
        </w:tc>
        <w:tc>
          <w:tcPr>
            <w:tcW w:w="1023" w:type="dxa"/>
          </w:tcPr>
          <w:p w14:paraId="722D06A3" w14:textId="77777777" w:rsidR="00A806D9" w:rsidRPr="0038430E" w:rsidRDefault="00A806D9" w:rsidP="002A752E">
            <w:pPr>
              <w:spacing w:after="40"/>
              <w:ind w:firstLine="0"/>
              <w:rPr>
                <w:rFonts w:eastAsia="Calibri" w:cs="Times New Roman"/>
                <w:szCs w:val="24"/>
              </w:rPr>
            </w:pPr>
            <w:r>
              <w:rPr>
                <w:rFonts w:eastAsia="Calibri" w:cs="Times New Roman"/>
                <w:szCs w:val="24"/>
              </w:rPr>
              <w:t>Moderate</w:t>
            </w:r>
          </w:p>
        </w:tc>
        <w:tc>
          <w:tcPr>
            <w:tcW w:w="1023" w:type="dxa"/>
          </w:tcPr>
          <w:p w14:paraId="446497AC" w14:textId="77777777" w:rsidR="00A806D9" w:rsidRPr="0038430E" w:rsidRDefault="00A806D9" w:rsidP="002A752E">
            <w:pPr>
              <w:spacing w:after="40"/>
              <w:ind w:firstLine="0"/>
              <w:rPr>
                <w:rFonts w:eastAsia="Calibri" w:cs="Times New Roman"/>
                <w:szCs w:val="24"/>
              </w:rPr>
            </w:pPr>
            <w:r>
              <w:rPr>
                <w:rFonts w:eastAsia="Calibri" w:cs="Times New Roman"/>
                <w:szCs w:val="24"/>
              </w:rPr>
              <w:t>Moderate</w:t>
            </w:r>
          </w:p>
        </w:tc>
        <w:tc>
          <w:tcPr>
            <w:tcW w:w="1431" w:type="dxa"/>
          </w:tcPr>
          <w:p w14:paraId="621B7015" w14:textId="77777777" w:rsidR="00A806D9" w:rsidRPr="0038430E" w:rsidRDefault="00A806D9" w:rsidP="002A752E">
            <w:pPr>
              <w:spacing w:after="40"/>
              <w:ind w:firstLine="0"/>
              <w:rPr>
                <w:rFonts w:eastAsia="Calibri" w:cs="Times New Roman"/>
                <w:szCs w:val="24"/>
              </w:rPr>
            </w:pPr>
            <w:r>
              <w:rPr>
                <w:rFonts w:eastAsia="Calibri" w:cs="Times New Roman"/>
                <w:szCs w:val="24"/>
              </w:rPr>
              <w:t>There must be</w:t>
            </w:r>
            <w:r w:rsidRPr="0038430E">
              <w:rPr>
                <w:rFonts w:eastAsia="Calibri" w:cs="Times New Roman"/>
                <w:szCs w:val="24"/>
              </w:rPr>
              <w:t xml:space="preserve"> extensive</w:t>
            </w:r>
            <w:r>
              <w:rPr>
                <w:rFonts w:eastAsia="Calibri" w:cs="Times New Roman"/>
                <w:szCs w:val="24"/>
              </w:rPr>
              <w:t xml:space="preserve"> management of the local consumer research. The brand should offer </w:t>
            </w:r>
            <w:r w:rsidRPr="0038430E">
              <w:rPr>
                <w:rFonts w:eastAsia="Calibri" w:cs="Times New Roman"/>
                <w:szCs w:val="24"/>
              </w:rPr>
              <w:t xml:space="preserve">adapt menu and service </w:t>
            </w:r>
            <w:r>
              <w:rPr>
                <w:rFonts w:eastAsia="Calibri" w:cs="Times New Roman"/>
                <w:szCs w:val="24"/>
              </w:rPr>
              <w:t xml:space="preserve">policies for the targeted customers. </w:t>
            </w:r>
          </w:p>
        </w:tc>
        <w:tc>
          <w:tcPr>
            <w:tcW w:w="1498" w:type="dxa"/>
          </w:tcPr>
          <w:p w14:paraId="51A7C439" w14:textId="77777777" w:rsidR="00A806D9" w:rsidRPr="0038430E" w:rsidRDefault="00A806D9" w:rsidP="002A752E">
            <w:pPr>
              <w:spacing w:after="40"/>
              <w:ind w:firstLine="0"/>
              <w:rPr>
                <w:rFonts w:eastAsia="Calibri" w:cs="Times New Roman"/>
                <w:szCs w:val="24"/>
              </w:rPr>
            </w:pPr>
            <w:r w:rsidRPr="0038430E">
              <w:rPr>
                <w:rFonts w:eastAsia="Calibri" w:cs="Times New Roman"/>
                <w:szCs w:val="24"/>
              </w:rPr>
              <w:t>P</w:t>
            </w:r>
            <w:r>
              <w:rPr>
                <w:rFonts w:eastAsia="Calibri" w:cs="Times New Roman"/>
                <w:szCs w:val="24"/>
              </w:rPr>
              <w:t>roduct Development and</w:t>
            </w:r>
            <w:r w:rsidRPr="0038430E">
              <w:rPr>
                <w:rFonts w:eastAsia="Calibri" w:cs="Times New Roman"/>
                <w:szCs w:val="24"/>
              </w:rPr>
              <w:t xml:space="preserve"> Marketing</w:t>
            </w:r>
            <w:r>
              <w:rPr>
                <w:rFonts w:eastAsia="Calibri" w:cs="Times New Roman"/>
                <w:szCs w:val="24"/>
              </w:rPr>
              <w:t xml:space="preserve"> Departments. </w:t>
            </w:r>
          </w:p>
        </w:tc>
      </w:tr>
      <w:tr w:rsidR="00A806D9" w:rsidRPr="0038430E" w14:paraId="462A81F5" w14:textId="77777777" w:rsidTr="008D0774">
        <w:trPr>
          <w:jc w:val="center"/>
        </w:trPr>
        <w:tc>
          <w:tcPr>
            <w:tcW w:w="1512" w:type="dxa"/>
          </w:tcPr>
          <w:p w14:paraId="53C17DCE" w14:textId="77777777" w:rsidR="00A806D9" w:rsidRPr="0038430E" w:rsidRDefault="00A806D9" w:rsidP="002A752E">
            <w:pPr>
              <w:spacing w:after="40"/>
              <w:ind w:firstLine="0"/>
              <w:rPr>
                <w:rFonts w:eastAsia="Calibri" w:cs="Times New Roman"/>
                <w:szCs w:val="24"/>
              </w:rPr>
            </w:pPr>
            <w:r>
              <w:rPr>
                <w:rFonts w:eastAsia="Calibri" w:cs="Times New Roman"/>
                <w:szCs w:val="24"/>
              </w:rPr>
              <w:t>Supply c</w:t>
            </w:r>
            <w:r w:rsidRPr="0038430E">
              <w:rPr>
                <w:rFonts w:eastAsia="Calibri" w:cs="Times New Roman"/>
                <w:szCs w:val="24"/>
              </w:rPr>
              <w:t xml:space="preserve">hain </w:t>
            </w:r>
            <w:r>
              <w:rPr>
                <w:rFonts w:eastAsia="Calibri" w:cs="Times New Roman"/>
                <w:szCs w:val="24"/>
              </w:rPr>
              <w:t xml:space="preserve">errors and challenges. </w:t>
            </w:r>
          </w:p>
        </w:tc>
        <w:tc>
          <w:tcPr>
            <w:tcW w:w="1656" w:type="dxa"/>
          </w:tcPr>
          <w:p w14:paraId="4104311C" w14:textId="77777777" w:rsidR="00A806D9" w:rsidRPr="0038430E" w:rsidRDefault="00A806D9" w:rsidP="002A752E">
            <w:pPr>
              <w:spacing w:after="40"/>
              <w:ind w:firstLine="0"/>
              <w:rPr>
                <w:rFonts w:eastAsia="Calibri" w:cs="Times New Roman"/>
                <w:szCs w:val="24"/>
              </w:rPr>
            </w:pPr>
            <w:r>
              <w:rPr>
                <w:rFonts w:eastAsia="Calibri" w:cs="Times New Roman"/>
                <w:szCs w:val="24"/>
              </w:rPr>
              <w:t>There are some d</w:t>
            </w:r>
            <w:r w:rsidRPr="0038430E">
              <w:rPr>
                <w:rFonts w:eastAsia="Calibri" w:cs="Times New Roman"/>
                <w:szCs w:val="24"/>
              </w:rPr>
              <w:t xml:space="preserve">elays </w:t>
            </w:r>
            <w:r>
              <w:rPr>
                <w:rFonts w:eastAsia="Calibri" w:cs="Times New Roman"/>
                <w:szCs w:val="24"/>
              </w:rPr>
              <w:t>in the</w:t>
            </w:r>
            <w:r w:rsidRPr="0038430E">
              <w:rPr>
                <w:rFonts w:eastAsia="Calibri" w:cs="Times New Roman"/>
                <w:szCs w:val="24"/>
              </w:rPr>
              <w:t xml:space="preserve"> local suppliers </w:t>
            </w:r>
            <w:r>
              <w:rPr>
                <w:rFonts w:eastAsia="Calibri" w:cs="Times New Roman"/>
                <w:szCs w:val="24"/>
              </w:rPr>
              <w:t>which are seen in the features of</w:t>
            </w:r>
            <w:r w:rsidRPr="0038430E">
              <w:rPr>
                <w:rFonts w:eastAsia="Calibri" w:cs="Times New Roman"/>
                <w:szCs w:val="24"/>
              </w:rPr>
              <w:t xml:space="preserve"> logistics</w:t>
            </w:r>
            <w:r>
              <w:rPr>
                <w:rFonts w:eastAsia="Calibri" w:cs="Times New Roman"/>
                <w:szCs w:val="24"/>
              </w:rPr>
              <w:t>.</w:t>
            </w:r>
          </w:p>
        </w:tc>
        <w:tc>
          <w:tcPr>
            <w:tcW w:w="1433" w:type="dxa"/>
          </w:tcPr>
          <w:p w14:paraId="58DCE0E1" w14:textId="77777777" w:rsidR="00A806D9" w:rsidRPr="0038430E" w:rsidRDefault="00A806D9" w:rsidP="002A752E">
            <w:pPr>
              <w:spacing w:after="40"/>
              <w:ind w:firstLine="0"/>
              <w:rPr>
                <w:rFonts w:eastAsia="Calibri" w:cs="Times New Roman"/>
                <w:szCs w:val="24"/>
              </w:rPr>
            </w:pPr>
            <w:r>
              <w:rPr>
                <w:rFonts w:eastAsia="Calibri" w:cs="Times New Roman"/>
                <w:szCs w:val="24"/>
              </w:rPr>
              <w:t>Moderate</w:t>
            </w:r>
          </w:p>
        </w:tc>
        <w:tc>
          <w:tcPr>
            <w:tcW w:w="1023" w:type="dxa"/>
          </w:tcPr>
          <w:p w14:paraId="2CABEC2F" w14:textId="77777777" w:rsidR="00A806D9" w:rsidRPr="0038430E" w:rsidRDefault="00A806D9" w:rsidP="002A752E">
            <w:pPr>
              <w:spacing w:after="40"/>
              <w:ind w:firstLine="0"/>
              <w:rPr>
                <w:rFonts w:eastAsia="Calibri" w:cs="Times New Roman"/>
                <w:szCs w:val="24"/>
              </w:rPr>
            </w:pPr>
            <w:r>
              <w:rPr>
                <w:rFonts w:eastAsia="Calibri" w:cs="Times New Roman"/>
                <w:szCs w:val="24"/>
              </w:rPr>
              <w:t>Moderate</w:t>
            </w:r>
          </w:p>
        </w:tc>
        <w:tc>
          <w:tcPr>
            <w:tcW w:w="1023" w:type="dxa"/>
          </w:tcPr>
          <w:p w14:paraId="5A9095BF" w14:textId="77777777" w:rsidR="00A806D9" w:rsidRPr="0038430E" w:rsidRDefault="00A806D9" w:rsidP="002A752E">
            <w:pPr>
              <w:spacing w:after="40"/>
              <w:ind w:firstLine="0"/>
              <w:rPr>
                <w:rFonts w:eastAsia="Calibri" w:cs="Times New Roman"/>
                <w:szCs w:val="24"/>
              </w:rPr>
            </w:pPr>
            <w:r>
              <w:rPr>
                <w:rFonts w:eastAsia="Calibri" w:cs="Times New Roman"/>
                <w:szCs w:val="24"/>
              </w:rPr>
              <w:t>Moderate</w:t>
            </w:r>
          </w:p>
        </w:tc>
        <w:tc>
          <w:tcPr>
            <w:tcW w:w="1431" w:type="dxa"/>
          </w:tcPr>
          <w:p w14:paraId="77CDB5F2" w14:textId="77777777" w:rsidR="00A806D9" w:rsidRPr="0038430E" w:rsidRDefault="00A806D9" w:rsidP="002A752E">
            <w:pPr>
              <w:spacing w:after="40"/>
              <w:ind w:firstLine="0"/>
              <w:rPr>
                <w:rFonts w:eastAsia="Calibri" w:cs="Times New Roman"/>
                <w:szCs w:val="24"/>
              </w:rPr>
            </w:pPr>
            <w:r>
              <w:rPr>
                <w:rFonts w:eastAsia="Calibri" w:cs="Times New Roman"/>
                <w:szCs w:val="24"/>
              </w:rPr>
              <w:t>There must be development of multiple sourcing policies. It needs maintenance of</w:t>
            </w:r>
            <w:r w:rsidRPr="0038430E">
              <w:rPr>
                <w:rFonts w:eastAsia="Calibri" w:cs="Times New Roman"/>
                <w:szCs w:val="24"/>
              </w:rPr>
              <w:t xml:space="preserve"> </w:t>
            </w:r>
            <w:r>
              <w:rPr>
                <w:rFonts w:eastAsia="Calibri" w:cs="Times New Roman"/>
                <w:szCs w:val="24"/>
              </w:rPr>
              <w:t>leading stock. There must be</w:t>
            </w:r>
            <w:r w:rsidRPr="0038430E">
              <w:rPr>
                <w:rFonts w:eastAsia="Calibri" w:cs="Times New Roman"/>
                <w:szCs w:val="24"/>
              </w:rPr>
              <w:t xml:space="preserve"> real-time </w:t>
            </w:r>
            <w:r>
              <w:rPr>
                <w:rFonts w:eastAsia="Calibri" w:cs="Times New Roman"/>
                <w:szCs w:val="24"/>
              </w:rPr>
              <w:t xml:space="preserve">management for </w:t>
            </w:r>
            <w:r w:rsidRPr="0038430E">
              <w:rPr>
                <w:rFonts w:eastAsia="Calibri" w:cs="Times New Roman"/>
                <w:szCs w:val="24"/>
              </w:rPr>
              <w:t>supply chain monitoring</w:t>
            </w:r>
            <w:r>
              <w:rPr>
                <w:rFonts w:eastAsia="Calibri" w:cs="Times New Roman"/>
                <w:szCs w:val="24"/>
              </w:rPr>
              <w:t xml:space="preserve"> system.</w:t>
            </w:r>
          </w:p>
        </w:tc>
        <w:tc>
          <w:tcPr>
            <w:tcW w:w="1498" w:type="dxa"/>
          </w:tcPr>
          <w:p w14:paraId="29CA04E5" w14:textId="77777777" w:rsidR="00A806D9" w:rsidRPr="0038430E" w:rsidRDefault="00A806D9" w:rsidP="002A752E">
            <w:pPr>
              <w:spacing w:after="40"/>
              <w:ind w:firstLine="0"/>
              <w:rPr>
                <w:rFonts w:eastAsia="Calibri" w:cs="Times New Roman"/>
                <w:szCs w:val="24"/>
              </w:rPr>
            </w:pPr>
            <w:r w:rsidRPr="0038430E">
              <w:rPr>
                <w:rFonts w:eastAsia="Calibri" w:cs="Times New Roman"/>
                <w:szCs w:val="24"/>
              </w:rPr>
              <w:t>O</w:t>
            </w:r>
            <w:r>
              <w:rPr>
                <w:rFonts w:eastAsia="Calibri" w:cs="Times New Roman"/>
                <w:szCs w:val="24"/>
              </w:rPr>
              <w:t>perations and</w:t>
            </w:r>
            <w:r w:rsidRPr="0038430E">
              <w:rPr>
                <w:rFonts w:eastAsia="Calibri" w:cs="Times New Roman"/>
                <w:szCs w:val="24"/>
              </w:rPr>
              <w:t xml:space="preserve"> Supply Chain</w:t>
            </w:r>
            <w:r>
              <w:rPr>
                <w:rFonts w:eastAsia="Calibri" w:cs="Times New Roman"/>
                <w:szCs w:val="24"/>
              </w:rPr>
              <w:t xml:space="preserve"> Teams. </w:t>
            </w:r>
          </w:p>
        </w:tc>
      </w:tr>
      <w:tr w:rsidR="00A806D9" w:rsidRPr="0038430E" w14:paraId="5D4F8F19" w14:textId="77777777" w:rsidTr="008D0774">
        <w:trPr>
          <w:jc w:val="center"/>
        </w:trPr>
        <w:tc>
          <w:tcPr>
            <w:tcW w:w="1512" w:type="dxa"/>
          </w:tcPr>
          <w:p w14:paraId="67C879C1" w14:textId="77777777" w:rsidR="00A806D9" w:rsidRPr="0038430E" w:rsidRDefault="00A806D9" w:rsidP="002A752E">
            <w:pPr>
              <w:spacing w:after="40"/>
              <w:ind w:firstLine="0"/>
              <w:rPr>
                <w:rFonts w:eastAsia="Calibri" w:cs="Times New Roman"/>
                <w:szCs w:val="24"/>
              </w:rPr>
            </w:pPr>
            <w:r>
              <w:rPr>
                <w:rFonts w:eastAsia="Calibri" w:cs="Times New Roman"/>
                <w:szCs w:val="24"/>
              </w:rPr>
              <w:t>Competitive p</w:t>
            </w:r>
            <w:r w:rsidRPr="0038430E">
              <w:rPr>
                <w:rFonts w:eastAsia="Calibri" w:cs="Times New Roman"/>
                <w:szCs w:val="24"/>
              </w:rPr>
              <w:t>ressure</w:t>
            </w:r>
            <w:r>
              <w:rPr>
                <w:rFonts w:eastAsia="Calibri" w:cs="Times New Roman"/>
                <w:szCs w:val="24"/>
              </w:rPr>
              <w:t xml:space="preserve"> in the market. </w:t>
            </w:r>
          </w:p>
        </w:tc>
        <w:tc>
          <w:tcPr>
            <w:tcW w:w="1656" w:type="dxa"/>
          </w:tcPr>
          <w:p w14:paraId="10F3D495" w14:textId="77777777" w:rsidR="00A806D9" w:rsidRPr="0038430E" w:rsidRDefault="00A806D9" w:rsidP="002A752E">
            <w:pPr>
              <w:spacing w:after="40"/>
              <w:ind w:firstLine="0"/>
              <w:rPr>
                <w:rFonts w:eastAsia="Calibri" w:cs="Times New Roman"/>
                <w:szCs w:val="24"/>
              </w:rPr>
            </w:pPr>
            <w:r>
              <w:rPr>
                <w:rFonts w:eastAsia="Calibri" w:cs="Times New Roman"/>
                <w:szCs w:val="24"/>
              </w:rPr>
              <w:t xml:space="preserve">There is an </w:t>
            </w:r>
            <w:r w:rsidRPr="0038430E">
              <w:rPr>
                <w:rFonts w:eastAsia="Calibri" w:cs="Times New Roman"/>
                <w:szCs w:val="24"/>
              </w:rPr>
              <w:t xml:space="preserve">aggressive competition </w:t>
            </w:r>
            <w:r>
              <w:rPr>
                <w:rFonts w:eastAsia="Calibri" w:cs="Times New Roman"/>
                <w:szCs w:val="24"/>
              </w:rPr>
              <w:t>considering the</w:t>
            </w:r>
            <w:r w:rsidRPr="0038430E">
              <w:rPr>
                <w:rFonts w:eastAsia="Calibri" w:cs="Times New Roman"/>
                <w:szCs w:val="24"/>
              </w:rPr>
              <w:t xml:space="preserve"> local bakeries</w:t>
            </w:r>
            <w:r>
              <w:rPr>
                <w:rFonts w:eastAsia="Calibri" w:cs="Times New Roman"/>
                <w:szCs w:val="24"/>
              </w:rPr>
              <w:t xml:space="preserve"> in the new market. </w:t>
            </w:r>
          </w:p>
        </w:tc>
        <w:tc>
          <w:tcPr>
            <w:tcW w:w="1433" w:type="dxa"/>
          </w:tcPr>
          <w:p w14:paraId="752F0815" w14:textId="77777777" w:rsidR="00A806D9" w:rsidRPr="0038430E" w:rsidRDefault="00A806D9" w:rsidP="002A752E">
            <w:pPr>
              <w:spacing w:after="40"/>
              <w:ind w:firstLine="0"/>
              <w:rPr>
                <w:rFonts w:eastAsia="Calibri" w:cs="Times New Roman"/>
                <w:szCs w:val="24"/>
              </w:rPr>
            </w:pPr>
            <w:r w:rsidRPr="0038430E">
              <w:rPr>
                <w:rFonts w:eastAsia="Calibri" w:cs="Times New Roman"/>
                <w:szCs w:val="24"/>
              </w:rPr>
              <w:t>High</w:t>
            </w:r>
          </w:p>
        </w:tc>
        <w:tc>
          <w:tcPr>
            <w:tcW w:w="1023" w:type="dxa"/>
          </w:tcPr>
          <w:p w14:paraId="2855F10F" w14:textId="77777777" w:rsidR="00A806D9" w:rsidRPr="0038430E" w:rsidRDefault="00A806D9" w:rsidP="002A752E">
            <w:pPr>
              <w:spacing w:after="40"/>
              <w:ind w:firstLine="0"/>
              <w:rPr>
                <w:rFonts w:eastAsia="Calibri" w:cs="Times New Roman"/>
                <w:szCs w:val="24"/>
              </w:rPr>
            </w:pPr>
            <w:r>
              <w:rPr>
                <w:rFonts w:eastAsia="Calibri" w:cs="Times New Roman"/>
                <w:szCs w:val="24"/>
              </w:rPr>
              <w:t>Moderate</w:t>
            </w:r>
          </w:p>
        </w:tc>
        <w:tc>
          <w:tcPr>
            <w:tcW w:w="1023" w:type="dxa"/>
          </w:tcPr>
          <w:p w14:paraId="040DA7CA" w14:textId="77777777" w:rsidR="00A806D9" w:rsidRPr="0038430E" w:rsidRDefault="00A806D9" w:rsidP="002A752E">
            <w:pPr>
              <w:spacing w:after="40"/>
              <w:ind w:firstLine="0"/>
              <w:rPr>
                <w:rFonts w:eastAsia="Calibri" w:cs="Times New Roman"/>
                <w:szCs w:val="24"/>
              </w:rPr>
            </w:pPr>
            <w:r w:rsidRPr="0038430E">
              <w:rPr>
                <w:rFonts w:eastAsia="Calibri" w:cs="Times New Roman"/>
                <w:szCs w:val="24"/>
              </w:rPr>
              <w:t>High</w:t>
            </w:r>
          </w:p>
        </w:tc>
        <w:tc>
          <w:tcPr>
            <w:tcW w:w="1431" w:type="dxa"/>
          </w:tcPr>
          <w:p w14:paraId="1AEAB3F9" w14:textId="4499A675" w:rsidR="00A806D9" w:rsidRPr="0038430E" w:rsidRDefault="00A806D9" w:rsidP="002A752E">
            <w:pPr>
              <w:spacing w:after="40"/>
              <w:ind w:firstLine="0"/>
              <w:rPr>
                <w:rFonts w:eastAsia="Calibri" w:cs="Times New Roman"/>
                <w:szCs w:val="24"/>
              </w:rPr>
            </w:pPr>
            <w:r>
              <w:rPr>
                <w:rFonts w:eastAsia="Calibri" w:cs="Times New Roman"/>
                <w:szCs w:val="24"/>
              </w:rPr>
              <w:t>There must be differentiation of the process</w:t>
            </w:r>
            <w:r w:rsidRPr="0038430E">
              <w:rPr>
                <w:rFonts w:eastAsia="Calibri" w:cs="Times New Roman"/>
                <w:szCs w:val="24"/>
              </w:rPr>
              <w:t xml:space="preserve"> </w:t>
            </w:r>
            <w:r>
              <w:rPr>
                <w:rFonts w:eastAsia="Calibri" w:cs="Times New Roman"/>
                <w:szCs w:val="24"/>
              </w:rPr>
              <w:t>using</w:t>
            </w:r>
            <w:r w:rsidRPr="0038430E">
              <w:rPr>
                <w:rFonts w:eastAsia="Calibri" w:cs="Times New Roman"/>
                <w:szCs w:val="24"/>
              </w:rPr>
              <w:t xml:space="preserve"> ethical sourcing and </w:t>
            </w:r>
            <w:r>
              <w:rPr>
                <w:rFonts w:eastAsia="Calibri" w:cs="Times New Roman"/>
                <w:szCs w:val="24"/>
              </w:rPr>
              <w:t xml:space="preserve">implication of unique product offerings. The </w:t>
            </w:r>
            <w:r w:rsidRPr="0038430E">
              <w:rPr>
                <w:rFonts w:eastAsia="Calibri" w:cs="Times New Roman"/>
                <w:szCs w:val="24"/>
              </w:rPr>
              <w:t>competitive pricing strategy</w:t>
            </w:r>
            <w:r>
              <w:rPr>
                <w:rFonts w:eastAsia="Calibri" w:cs="Times New Roman"/>
                <w:szCs w:val="24"/>
              </w:rPr>
              <w:t xml:space="preserve"> will </w:t>
            </w:r>
            <w:r w:rsidR="00062607">
              <w:rPr>
                <w:rFonts w:eastAsia="Calibri" w:cs="Times New Roman"/>
                <w:szCs w:val="24"/>
              </w:rPr>
              <w:t>also be</w:t>
            </w:r>
            <w:r>
              <w:rPr>
                <w:rFonts w:eastAsia="Calibri" w:cs="Times New Roman"/>
                <w:szCs w:val="24"/>
              </w:rPr>
              <w:t xml:space="preserve"> helpful for the brand. </w:t>
            </w:r>
          </w:p>
        </w:tc>
        <w:tc>
          <w:tcPr>
            <w:tcW w:w="1498" w:type="dxa"/>
          </w:tcPr>
          <w:p w14:paraId="390704CA" w14:textId="77777777" w:rsidR="00A806D9" w:rsidRPr="0038430E" w:rsidRDefault="00A806D9" w:rsidP="002A752E">
            <w:pPr>
              <w:spacing w:after="40"/>
              <w:ind w:firstLine="0"/>
              <w:rPr>
                <w:rFonts w:eastAsia="Calibri" w:cs="Times New Roman"/>
                <w:szCs w:val="24"/>
                <w:highlight w:val="yellow"/>
              </w:rPr>
            </w:pPr>
            <w:r w:rsidRPr="0038430E">
              <w:rPr>
                <w:rFonts w:eastAsia="Calibri" w:cs="Times New Roman"/>
                <w:szCs w:val="24"/>
              </w:rPr>
              <w:t>S</w:t>
            </w:r>
            <w:r>
              <w:rPr>
                <w:rFonts w:eastAsia="Calibri" w:cs="Times New Roman"/>
                <w:szCs w:val="24"/>
              </w:rPr>
              <w:t>trategy and</w:t>
            </w:r>
            <w:r w:rsidRPr="0038430E">
              <w:rPr>
                <w:rFonts w:eastAsia="Calibri" w:cs="Times New Roman"/>
                <w:szCs w:val="24"/>
              </w:rPr>
              <w:t xml:space="preserve"> Marketing </w:t>
            </w:r>
            <w:r>
              <w:rPr>
                <w:rFonts w:eastAsia="Calibri" w:cs="Times New Roman"/>
                <w:szCs w:val="24"/>
              </w:rPr>
              <w:t>Departments.</w:t>
            </w:r>
          </w:p>
        </w:tc>
      </w:tr>
    </w:tbl>
    <w:p w14:paraId="5031AA7E" w14:textId="77777777" w:rsidR="00A806D9" w:rsidRPr="00476169" w:rsidRDefault="00A806D9" w:rsidP="00A806D9">
      <w:pPr>
        <w:spacing w:after="40" w:line="240" w:lineRule="auto"/>
        <w:rPr>
          <w:rFonts w:ascii="Calibri" w:eastAsia="Calibri" w:hAnsi="Calibri" w:cs="Calibri"/>
          <w:b/>
          <w:sz w:val="20"/>
          <w:highlight w:val="yellow"/>
        </w:rPr>
      </w:pPr>
    </w:p>
    <w:p w14:paraId="1C6679A5" w14:textId="77777777" w:rsidR="00A806D9" w:rsidRPr="003F119C" w:rsidRDefault="00A806D9" w:rsidP="00A806D9">
      <w:pPr>
        <w:pStyle w:val="Heading1"/>
      </w:pPr>
      <w:bookmarkStart w:id="42" w:name="_Toc213255148"/>
      <w:r w:rsidRPr="003F119C">
        <w:t>Performance Evaluation Framework</w:t>
      </w:r>
      <w:bookmarkEnd w:id="42"/>
    </w:p>
    <w:p w14:paraId="22556890" w14:textId="77777777" w:rsidR="00A806D9" w:rsidRDefault="00A806D9" w:rsidP="00A806D9">
      <w:pPr>
        <w:pStyle w:val="Heading2"/>
        <w:rPr>
          <w:rFonts w:eastAsia="Calibri"/>
        </w:rPr>
      </w:pPr>
      <w:bookmarkStart w:id="43" w:name="_Toc213255149"/>
      <w:r w:rsidRPr="003F119C">
        <w:rPr>
          <w:rFonts w:eastAsia="Calibri"/>
        </w:rPr>
        <w:t>Designing of a Balanced Scorecard (BSC)</w:t>
      </w:r>
      <w:bookmarkEnd w:id="43"/>
      <w:r w:rsidRPr="003F119C">
        <w:rPr>
          <w:rFonts w:eastAsia="Calibri"/>
        </w:rPr>
        <w:t xml:space="preserve"> </w:t>
      </w:r>
    </w:p>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336"/>
        <w:gridCol w:w="2338"/>
        <w:gridCol w:w="2337"/>
        <w:gridCol w:w="2319"/>
      </w:tblGrid>
      <w:tr w:rsidR="00A806D9" w:rsidRPr="00E63BC3" w14:paraId="1B2A1465" w14:textId="77777777" w:rsidTr="008D0774">
        <w:tc>
          <w:tcPr>
            <w:tcW w:w="2394" w:type="dxa"/>
            <w:shd w:val="clear" w:color="auto" w:fill="F2DBDB" w:themeFill="accent2" w:themeFillTint="33"/>
          </w:tcPr>
          <w:p w14:paraId="419929F0" w14:textId="77777777" w:rsidR="00A806D9" w:rsidRPr="00E63BC3" w:rsidRDefault="00A806D9" w:rsidP="002A752E">
            <w:pPr>
              <w:ind w:firstLine="0"/>
              <w:jc w:val="center"/>
              <w:rPr>
                <w:b/>
                <w:szCs w:val="24"/>
              </w:rPr>
            </w:pPr>
            <w:r w:rsidRPr="00E63BC3">
              <w:rPr>
                <w:b/>
                <w:szCs w:val="24"/>
              </w:rPr>
              <w:t>Perspective</w:t>
            </w:r>
            <w:r>
              <w:rPr>
                <w:b/>
                <w:szCs w:val="24"/>
              </w:rPr>
              <w:t>s</w:t>
            </w:r>
          </w:p>
        </w:tc>
        <w:tc>
          <w:tcPr>
            <w:tcW w:w="2394" w:type="dxa"/>
            <w:shd w:val="clear" w:color="auto" w:fill="F2DBDB" w:themeFill="accent2" w:themeFillTint="33"/>
          </w:tcPr>
          <w:p w14:paraId="2BEABCEC" w14:textId="77777777" w:rsidR="00A806D9" w:rsidRPr="00E63BC3" w:rsidRDefault="00A806D9" w:rsidP="002A752E">
            <w:pPr>
              <w:ind w:firstLine="0"/>
              <w:jc w:val="center"/>
              <w:rPr>
                <w:b/>
                <w:szCs w:val="24"/>
              </w:rPr>
            </w:pPr>
            <w:r w:rsidRPr="00E63BC3">
              <w:rPr>
                <w:b/>
                <w:szCs w:val="24"/>
              </w:rPr>
              <w:t>Strategic Objective</w:t>
            </w:r>
          </w:p>
        </w:tc>
        <w:tc>
          <w:tcPr>
            <w:tcW w:w="2394" w:type="dxa"/>
            <w:shd w:val="clear" w:color="auto" w:fill="F2DBDB" w:themeFill="accent2" w:themeFillTint="33"/>
          </w:tcPr>
          <w:p w14:paraId="675E7051" w14:textId="77777777" w:rsidR="00A806D9" w:rsidRPr="00E63BC3" w:rsidRDefault="00A806D9" w:rsidP="002A752E">
            <w:pPr>
              <w:ind w:firstLine="0"/>
              <w:jc w:val="center"/>
              <w:rPr>
                <w:b/>
                <w:szCs w:val="24"/>
              </w:rPr>
            </w:pPr>
            <w:r w:rsidRPr="00E63BC3">
              <w:rPr>
                <w:b/>
                <w:szCs w:val="24"/>
              </w:rPr>
              <w:t>KPI</w:t>
            </w:r>
            <w:r>
              <w:rPr>
                <w:b/>
                <w:szCs w:val="24"/>
              </w:rPr>
              <w:t>s</w:t>
            </w:r>
          </w:p>
        </w:tc>
        <w:tc>
          <w:tcPr>
            <w:tcW w:w="2394" w:type="dxa"/>
            <w:shd w:val="clear" w:color="auto" w:fill="F2DBDB" w:themeFill="accent2" w:themeFillTint="33"/>
          </w:tcPr>
          <w:p w14:paraId="2D07B150" w14:textId="77777777" w:rsidR="00A806D9" w:rsidRPr="00E63BC3" w:rsidRDefault="00A806D9" w:rsidP="002A752E">
            <w:pPr>
              <w:ind w:firstLine="0"/>
              <w:jc w:val="center"/>
              <w:rPr>
                <w:b/>
                <w:szCs w:val="24"/>
              </w:rPr>
            </w:pPr>
            <w:r>
              <w:rPr>
                <w:b/>
                <w:szCs w:val="24"/>
              </w:rPr>
              <w:t>Targets and</w:t>
            </w:r>
            <w:r w:rsidRPr="00E63BC3">
              <w:rPr>
                <w:b/>
                <w:szCs w:val="24"/>
              </w:rPr>
              <w:t xml:space="preserve"> Measure</w:t>
            </w:r>
            <w:r>
              <w:rPr>
                <w:b/>
                <w:szCs w:val="24"/>
              </w:rPr>
              <w:t>s</w:t>
            </w:r>
          </w:p>
        </w:tc>
      </w:tr>
      <w:tr w:rsidR="00A806D9" w:rsidRPr="00E63BC3" w14:paraId="790EBC39" w14:textId="77777777" w:rsidTr="008D0774">
        <w:tc>
          <w:tcPr>
            <w:tcW w:w="2394" w:type="dxa"/>
          </w:tcPr>
          <w:p w14:paraId="385D215C" w14:textId="77777777" w:rsidR="00A806D9" w:rsidRPr="00E63BC3" w:rsidRDefault="00A806D9" w:rsidP="002A752E">
            <w:pPr>
              <w:ind w:firstLine="0"/>
              <w:jc w:val="center"/>
              <w:rPr>
                <w:szCs w:val="24"/>
              </w:rPr>
            </w:pPr>
            <w:r w:rsidRPr="00E63BC3">
              <w:rPr>
                <w:szCs w:val="24"/>
              </w:rPr>
              <w:t>Financial</w:t>
            </w:r>
            <w:r>
              <w:rPr>
                <w:szCs w:val="24"/>
              </w:rPr>
              <w:t xml:space="preserve"> Aspects</w:t>
            </w:r>
          </w:p>
        </w:tc>
        <w:tc>
          <w:tcPr>
            <w:tcW w:w="2394" w:type="dxa"/>
          </w:tcPr>
          <w:p w14:paraId="67D5A8E0" w14:textId="77777777" w:rsidR="00A806D9" w:rsidRPr="00E63BC3" w:rsidRDefault="00A806D9" w:rsidP="002A752E">
            <w:pPr>
              <w:ind w:firstLine="0"/>
              <w:rPr>
                <w:szCs w:val="24"/>
              </w:rPr>
            </w:pPr>
            <w:r>
              <w:rPr>
                <w:szCs w:val="24"/>
              </w:rPr>
              <w:t>To make a</w:t>
            </w:r>
            <w:r w:rsidRPr="00E63BC3">
              <w:rPr>
                <w:szCs w:val="24"/>
              </w:rPr>
              <w:t>chieve</w:t>
            </w:r>
            <w:r>
              <w:rPr>
                <w:szCs w:val="24"/>
              </w:rPr>
              <w:t>ment of profitability in four</w:t>
            </w:r>
            <w:r w:rsidRPr="00E63BC3">
              <w:rPr>
                <w:szCs w:val="24"/>
              </w:rPr>
              <w:t xml:space="preserve"> years</w:t>
            </w:r>
            <w:r>
              <w:rPr>
                <w:szCs w:val="24"/>
              </w:rPr>
              <w:t>.</w:t>
            </w:r>
          </w:p>
        </w:tc>
        <w:tc>
          <w:tcPr>
            <w:tcW w:w="2394" w:type="dxa"/>
          </w:tcPr>
          <w:p w14:paraId="0ABC8D25" w14:textId="77777777" w:rsidR="00A806D9" w:rsidRPr="00E63BC3" w:rsidRDefault="00A806D9" w:rsidP="002A752E">
            <w:pPr>
              <w:ind w:firstLine="0"/>
              <w:rPr>
                <w:szCs w:val="24"/>
              </w:rPr>
            </w:pPr>
            <w:r>
              <w:rPr>
                <w:szCs w:val="24"/>
              </w:rPr>
              <w:t xml:space="preserve">There are some Return on Investment (ROI) and </w:t>
            </w:r>
            <w:r w:rsidRPr="00E63BC3">
              <w:rPr>
                <w:szCs w:val="24"/>
              </w:rPr>
              <w:t>Revenue per store</w:t>
            </w:r>
            <w:r>
              <w:rPr>
                <w:szCs w:val="24"/>
              </w:rPr>
              <w:t>.</w:t>
            </w:r>
          </w:p>
        </w:tc>
        <w:tc>
          <w:tcPr>
            <w:tcW w:w="2394" w:type="dxa"/>
          </w:tcPr>
          <w:p w14:paraId="7E7F69E7" w14:textId="77777777" w:rsidR="00A806D9" w:rsidRPr="00E63BC3" w:rsidRDefault="00A806D9" w:rsidP="002A752E">
            <w:pPr>
              <w:ind w:firstLine="0"/>
              <w:rPr>
                <w:szCs w:val="24"/>
              </w:rPr>
            </w:pPr>
            <w:r>
              <w:rPr>
                <w:szCs w:val="24"/>
              </w:rPr>
              <w:t>The estimation of €1.3</w:t>
            </w:r>
            <w:r w:rsidRPr="00E63BC3">
              <w:rPr>
                <w:szCs w:val="24"/>
              </w:rPr>
              <w:t xml:space="preserve"> million </w:t>
            </w:r>
            <w:r>
              <w:rPr>
                <w:szCs w:val="24"/>
              </w:rPr>
              <w:t xml:space="preserve">for the </w:t>
            </w:r>
            <w:r w:rsidRPr="00E63BC3">
              <w:rPr>
                <w:szCs w:val="24"/>
              </w:rPr>
              <w:t>average revenue per outlet</w:t>
            </w:r>
            <w:r>
              <w:rPr>
                <w:szCs w:val="24"/>
              </w:rPr>
              <w:t>.</w:t>
            </w:r>
          </w:p>
        </w:tc>
      </w:tr>
      <w:tr w:rsidR="00A806D9" w:rsidRPr="00E63BC3" w14:paraId="4A9078E2" w14:textId="77777777" w:rsidTr="008D0774">
        <w:tc>
          <w:tcPr>
            <w:tcW w:w="2394" w:type="dxa"/>
          </w:tcPr>
          <w:p w14:paraId="4557D9E8" w14:textId="77777777" w:rsidR="00A806D9" w:rsidRPr="00E63BC3" w:rsidRDefault="00A806D9" w:rsidP="002A752E">
            <w:pPr>
              <w:ind w:firstLine="0"/>
              <w:jc w:val="center"/>
              <w:rPr>
                <w:szCs w:val="24"/>
              </w:rPr>
            </w:pPr>
            <w:r w:rsidRPr="00E63BC3">
              <w:rPr>
                <w:szCs w:val="24"/>
              </w:rPr>
              <w:t>Customer</w:t>
            </w:r>
            <w:r>
              <w:rPr>
                <w:szCs w:val="24"/>
              </w:rPr>
              <w:t xml:space="preserve"> Management</w:t>
            </w:r>
          </w:p>
        </w:tc>
        <w:tc>
          <w:tcPr>
            <w:tcW w:w="2394" w:type="dxa"/>
          </w:tcPr>
          <w:p w14:paraId="564F7538" w14:textId="77777777" w:rsidR="00A806D9" w:rsidRPr="00E63BC3" w:rsidRDefault="00A806D9" w:rsidP="002A752E">
            <w:pPr>
              <w:ind w:firstLine="0"/>
              <w:rPr>
                <w:szCs w:val="24"/>
              </w:rPr>
            </w:pPr>
            <w:r>
              <w:rPr>
                <w:szCs w:val="24"/>
              </w:rPr>
              <w:t>To create</w:t>
            </w:r>
            <w:r w:rsidRPr="00E63BC3">
              <w:rPr>
                <w:szCs w:val="24"/>
              </w:rPr>
              <w:t xml:space="preserve"> strong</w:t>
            </w:r>
            <w:r>
              <w:rPr>
                <w:szCs w:val="24"/>
              </w:rPr>
              <w:t>er management of</w:t>
            </w:r>
            <w:r w:rsidRPr="00E63BC3">
              <w:rPr>
                <w:szCs w:val="24"/>
              </w:rPr>
              <w:t xml:space="preserve"> brand awareness</w:t>
            </w:r>
            <w:r>
              <w:rPr>
                <w:szCs w:val="24"/>
              </w:rPr>
              <w:t xml:space="preserve">. </w:t>
            </w:r>
          </w:p>
        </w:tc>
        <w:tc>
          <w:tcPr>
            <w:tcW w:w="2394" w:type="dxa"/>
          </w:tcPr>
          <w:p w14:paraId="4150BA50" w14:textId="77777777" w:rsidR="00A806D9" w:rsidRPr="00E63BC3" w:rsidRDefault="00A806D9" w:rsidP="002A752E">
            <w:pPr>
              <w:ind w:firstLine="0"/>
              <w:rPr>
                <w:szCs w:val="24"/>
              </w:rPr>
            </w:pPr>
            <w:r>
              <w:rPr>
                <w:szCs w:val="24"/>
              </w:rPr>
              <w:t>The use of C</w:t>
            </w:r>
            <w:r w:rsidRPr="00E63BC3">
              <w:rPr>
                <w:szCs w:val="24"/>
              </w:rPr>
              <w:t>ustomer Satisfaction (CSAT),</w:t>
            </w:r>
            <w:r>
              <w:rPr>
                <w:szCs w:val="24"/>
              </w:rPr>
              <w:t xml:space="preserve"> The use of</w:t>
            </w:r>
            <w:r w:rsidRPr="00E63BC3">
              <w:rPr>
                <w:szCs w:val="24"/>
              </w:rPr>
              <w:t xml:space="preserve"> Repeat purchase rate</w:t>
            </w:r>
            <w:r>
              <w:rPr>
                <w:szCs w:val="24"/>
              </w:rPr>
              <w:t>.</w:t>
            </w:r>
          </w:p>
        </w:tc>
        <w:tc>
          <w:tcPr>
            <w:tcW w:w="2394" w:type="dxa"/>
          </w:tcPr>
          <w:p w14:paraId="51086827" w14:textId="77777777" w:rsidR="00A806D9" w:rsidRPr="00E63BC3" w:rsidRDefault="00A806D9" w:rsidP="002A752E">
            <w:pPr>
              <w:ind w:firstLine="0"/>
              <w:rPr>
                <w:szCs w:val="24"/>
              </w:rPr>
            </w:pPr>
            <w:r>
              <w:rPr>
                <w:szCs w:val="24"/>
              </w:rPr>
              <w:t>There should be 75</w:t>
            </w:r>
            <w:r w:rsidRPr="00E63BC3">
              <w:rPr>
                <w:szCs w:val="24"/>
              </w:rPr>
              <w:t xml:space="preserve">%+ repeat </w:t>
            </w:r>
            <w:r>
              <w:rPr>
                <w:szCs w:val="24"/>
              </w:rPr>
              <w:t>in the rates of purchase.</w:t>
            </w:r>
          </w:p>
        </w:tc>
      </w:tr>
      <w:tr w:rsidR="00A806D9" w:rsidRPr="00E63BC3" w14:paraId="30147543" w14:textId="77777777" w:rsidTr="008D0774">
        <w:tc>
          <w:tcPr>
            <w:tcW w:w="2394" w:type="dxa"/>
          </w:tcPr>
          <w:p w14:paraId="237A5257" w14:textId="77777777" w:rsidR="00A806D9" w:rsidRPr="00E63BC3" w:rsidRDefault="00A806D9" w:rsidP="002A752E">
            <w:pPr>
              <w:ind w:firstLine="0"/>
              <w:jc w:val="center"/>
              <w:rPr>
                <w:szCs w:val="24"/>
              </w:rPr>
            </w:pPr>
            <w:r w:rsidRPr="00E63BC3">
              <w:rPr>
                <w:szCs w:val="24"/>
              </w:rPr>
              <w:t>Internal Process</w:t>
            </w:r>
            <w:r>
              <w:rPr>
                <w:szCs w:val="24"/>
              </w:rPr>
              <w:t xml:space="preserve"> Evaluation</w:t>
            </w:r>
          </w:p>
        </w:tc>
        <w:tc>
          <w:tcPr>
            <w:tcW w:w="2394" w:type="dxa"/>
          </w:tcPr>
          <w:p w14:paraId="26B59E16" w14:textId="77777777" w:rsidR="00A806D9" w:rsidRPr="00E63BC3" w:rsidRDefault="00A806D9" w:rsidP="002A752E">
            <w:pPr>
              <w:ind w:firstLine="0"/>
              <w:rPr>
                <w:szCs w:val="24"/>
              </w:rPr>
            </w:pPr>
            <w:r>
              <w:rPr>
                <w:szCs w:val="24"/>
              </w:rPr>
              <w:t>To provide efficient supply and definite operational policies.</w:t>
            </w:r>
          </w:p>
        </w:tc>
        <w:tc>
          <w:tcPr>
            <w:tcW w:w="2394" w:type="dxa"/>
          </w:tcPr>
          <w:p w14:paraId="207E7A9A" w14:textId="77777777" w:rsidR="00A806D9" w:rsidRPr="00E63BC3" w:rsidRDefault="00A806D9" w:rsidP="002A752E">
            <w:pPr>
              <w:ind w:firstLine="0"/>
              <w:rPr>
                <w:szCs w:val="24"/>
              </w:rPr>
            </w:pPr>
            <w:r>
              <w:rPr>
                <w:szCs w:val="24"/>
              </w:rPr>
              <w:t xml:space="preserve">There are some waste reduction percentage. There is delivery and </w:t>
            </w:r>
            <w:r w:rsidRPr="00E63BC3">
              <w:rPr>
                <w:szCs w:val="24"/>
              </w:rPr>
              <w:t>restock time</w:t>
            </w:r>
            <w:r>
              <w:rPr>
                <w:szCs w:val="24"/>
              </w:rPr>
              <w:t>.</w:t>
            </w:r>
          </w:p>
        </w:tc>
        <w:tc>
          <w:tcPr>
            <w:tcW w:w="2394" w:type="dxa"/>
          </w:tcPr>
          <w:p w14:paraId="2F3219CC" w14:textId="77777777" w:rsidR="00A806D9" w:rsidRPr="00E63BC3" w:rsidRDefault="00A806D9" w:rsidP="002A752E">
            <w:pPr>
              <w:ind w:firstLine="0"/>
              <w:rPr>
                <w:szCs w:val="24"/>
              </w:rPr>
            </w:pPr>
            <w:r>
              <w:rPr>
                <w:szCs w:val="24"/>
              </w:rPr>
              <w:t xml:space="preserve">There are less than 5% waste in the timeline of 24-hour restocks. </w:t>
            </w:r>
          </w:p>
        </w:tc>
      </w:tr>
      <w:tr w:rsidR="00A806D9" w:rsidRPr="00E63BC3" w14:paraId="28E304A4" w14:textId="77777777" w:rsidTr="008D0774">
        <w:tc>
          <w:tcPr>
            <w:tcW w:w="2394" w:type="dxa"/>
          </w:tcPr>
          <w:p w14:paraId="1BE35020" w14:textId="77777777" w:rsidR="00A806D9" w:rsidRPr="00E63BC3" w:rsidRDefault="00A806D9" w:rsidP="002A752E">
            <w:pPr>
              <w:ind w:firstLine="0"/>
              <w:jc w:val="center"/>
              <w:rPr>
                <w:szCs w:val="24"/>
              </w:rPr>
            </w:pPr>
            <w:r w:rsidRPr="00E63BC3">
              <w:rPr>
                <w:szCs w:val="24"/>
              </w:rPr>
              <w:t>Lea</w:t>
            </w:r>
            <w:r>
              <w:rPr>
                <w:szCs w:val="24"/>
              </w:rPr>
              <w:t>rning and</w:t>
            </w:r>
            <w:r w:rsidRPr="00E63BC3">
              <w:rPr>
                <w:szCs w:val="24"/>
              </w:rPr>
              <w:t xml:space="preserve"> Growth</w:t>
            </w:r>
            <w:r>
              <w:rPr>
                <w:szCs w:val="24"/>
              </w:rPr>
              <w:t xml:space="preserve"> Abilities</w:t>
            </w:r>
          </w:p>
        </w:tc>
        <w:tc>
          <w:tcPr>
            <w:tcW w:w="2394" w:type="dxa"/>
          </w:tcPr>
          <w:p w14:paraId="7A85ABB8" w14:textId="77777777" w:rsidR="00A806D9" w:rsidRPr="00E63BC3" w:rsidRDefault="00A806D9" w:rsidP="002A752E">
            <w:pPr>
              <w:ind w:firstLine="0"/>
              <w:rPr>
                <w:szCs w:val="24"/>
              </w:rPr>
            </w:pPr>
            <w:r>
              <w:rPr>
                <w:szCs w:val="24"/>
              </w:rPr>
              <w:t>To explore effective policies for the l</w:t>
            </w:r>
            <w:r w:rsidRPr="00E63BC3">
              <w:rPr>
                <w:szCs w:val="24"/>
              </w:rPr>
              <w:t>ocal workforce development</w:t>
            </w:r>
            <w:r>
              <w:rPr>
                <w:szCs w:val="24"/>
              </w:rPr>
              <w:t>.</w:t>
            </w:r>
          </w:p>
        </w:tc>
        <w:tc>
          <w:tcPr>
            <w:tcW w:w="2394" w:type="dxa"/>
          </w:tcPr>
          <w:p w14:paraId="7519B8B6" w14:textId="77777777" w:rsidR="00A806D9" w:rsidRPr="00E63BC3" w:rsidRDefault="00A806D9" w:rsidP="002A752E">
            <w:pPr>
              <w:ind w:firstLine="0"/>
              <w:rPr>
                <w:szCs w:val="24"/>
              </w:rPr>
            </w:pPr>
            <w:r>
              <w:rPr>
                <w:szCs w:val="24"/>
              </w:rPr>
              <w:t>The management of employee training hours and consideration of em</w:t>
            </w:r>
            <w:r w:rsidRPr="00E63BC3">
              <w:rPr>
                <w:szCs w:val="24"/>
              </w:rPr>
              <w:t>ployee retention rate</w:t>
            </w:r>
          </w:p>
        </w:tc>
        <w:tc>
          <w:tcPr>
            <w:tcW w:w="2394" w:type="dxa"/>
          </w:tcPr>
          <w:p w14:paraId="76D01C85" w14:textId="77777777" w:rsidR="00A806D9" w:rsidRPr="00E63BC3" w:rsidRDefault="00A806D9" w:rsidP="002A752E">
            <w:pPr>
              <w:ind w:firstLine="0"/>
              <w:rPr>
                <w:szCs w:val="24"/>
              </w:rPr>
            </w:pPr>
            <w:r>
              <w:rPr>
                <w:szCs w:val="24"/>
              </w:rPr>
              <w:t>There must be 42</w:t>
            </w:r>
            <w:r w:rsidRPr="00E63BC3">
              <w:rPr>
                <w:szCs w:val="24"/>
              </w:rPr>
              <w:t xml:space="preserve"> hours training </w:t>
            </w:r>
            <w:r>
              <w:rPr>
                <w:szCs w:val="24"/>
              </w:rPr>
              <w:t>annually to make increases in 80</w:t>
            </w:r>
            <w:r w:rsidRPr="00E63BC3">
              <w:rPr>
                <w:szCs w:val="24"/>
              </w:rPr>
              <w:t>%</w:t>
            </w:r>
            <w:r>
              <w:rPr>
                <w:szCs w:val="24"/>
              </w:rPr>
              <w:t xml:space="preserve"> of overall rate of</w:t>
            </w:r>
            <w:r w:rsidRPr="00E63BC3">
              <w:rPr>
                <w:szCs w:val="24"/>
              </w:rPr>
              <w:t xml:space="preserve"> retention</w:t>
            </w:r>
            <w:r>
              <w:rPr>
                <w:szCs w:val="24"/>
              </w:rPr>
              <w:t xml:space="preserve">. </w:t>
            </w:r>
          </w:p>
        </w:tc>
      </w:tr>
    </w:tbl>
    <w:p w14:paraId="2835D7D4" w14:textId="77777777" w:rsidR="00A806D9" w:rsidRDefault="00A806D9" w:rsidP="00A806D9">
      <w:pPr>
        <w:pStyle w:val="Heading2"/>
        <w:rPr>
          <w:rFonts w:eastAsia="Calibri"/>
        </w:rPr>
      </w:pPr>
      <w:bookmarkStart w:id="44" w:name="_Toc213255150"/>
      <w:r>
        <w:rPr>
          <w:rFonts w:eastAsia="Calibri"/>
        </w:rPr>
        <w:t>Critical Evaluation</w:t>
      </w:r>
      <w:bookmarkEnd w:id="44"/>
      <w:r>
        <w:rPr>
          <w:rFonts w:eastAsia="Calibri"/>
        </w:rPr>
        <w:t xml:space="preserve"> </w:t>
      </w:r>
    </w:p>
    <w:p w14:paraId="34A5A819" w14:textId="77777777" w:rsidR="00A806D9" w:rsidRDefault="00A806D9" w:rsidP="00A806D9">
      <w:r>
        <w:t>The Balanced Scorecard (BSC) determines that the Gregg’s should measure and manage the possibilities of the strategic objectives in different perspectives. It allows provision of a definite framework for tracking the progress and gain successful market entry in the competitive market of Germany (</w:t>
      </w:r>
      <w:r w:rsidRPr="00E1588A">
        <w:rPr>
          <w:rFonts w:cs="Times New Roman"/>
          <w:color w:val="222222"/>
          <w:szCs w:val="24"/>
          <w:shd w:val="clear" w:color="auto" w:fill="FFFFFF"/>
        </w:rPr>
        <w:t>Lederwascher</w:t>
      </w:r>
      <w:r>
        <w:rPr>
          <w:rFonts w:cs="Times New Roman"/>
          <w:color w:val="222222"/>
          <w:szCs w:val="24"/>
          <w:shd w:val="clear" w:color="auto" w:fill="FFFFFF"/>
        </w:rPr>
        <w:t>, 2022)</w:t>
      </w:r>
      <w:r>
        <w:t>. The financial perspective defined about the clear setting of the targeted system which needs €1.3 million average revenue in each outlets (</w:t>
      </w:r>
      <w:r w:rsidRPr="00E1588A">
        <w:rPr>
          <w:rFonts w:cs="Times New Roman"/>
          <w:szCs w:val="24"/>
        </w:rPr>
        <w:t>Market Research Future</w:t>
      </w:r>
      <w:r>
        <w:rPr>
          <w:rFonts w:cs="Times New Roman"/>
          <w:szCs w:val="24"/>
        </w:rPr>
        <w:t>, 2025)</w:t>
      </w:r>
      <w:r>
        <w:t>. It makes alignment with the break-even goal in the first four years with ensuring about the resource allocation efficiently and increases in the overall profitability. There is a measurable KPIs such as ROI and revenue per store to offer quantifiable indicators for the senior management to make monitoring of the system in the timely financial courses (</w:t>
      </w:r>
      <w:r w:rsidRPr="00E1588A">
        <w:rPr>
          <w:rFonts w:cs="Times New Roman"/>
          <w:color w:val="222222"/>
          <w:szCs w:val="24"/>
          <w:shd w:val="clear" w:color="auto" w:fill="FFFFFF"/>
        </w:rPr>
        <w:t>Hübner</w:t>
      </w:r>
      <w:r>
        <w:rPr>
          <w:rFonts w:cs="Times New Roman"/>
          <w:color w:val="222222"/>
          <w:szCs w:val="24"/>
          <w:shd w:val="clear" w:color="auto" w:fill="FFFFFF"/>
        </w:rPr>
        <w:t>, 2024)</w:t>
      </w:r>
      <w:r>
        <w:t>.</w:t>
      </w:r>
    </w:p>
    <w:p w14:paraId="522E96E1" w14:textId="77777777" w:rsidR="00A806D9" w:rsidRDefault="00A806D9" w:rsidP="00A806D9">
      <w:r>
        <w:t>The customer orientation is a significant pillar which develops the KPIs to manage customer satisfaction and make repetition of the purchase rate (</w:t>
      </w:r>
      <w:r>
        <w:rPr>
          <w:rFonts w:cs="Times New Roman"/>
          <w:color w:val="222222"/>
          <w:szCs w:val="24"/>
          <w:shd w:val="clear" w:color="auto" w:fill="FFFFFF"/>
        </w:rPr>
        <w:t xml:space="preserve">Guiné </w:t>
      </w:r>
      <w:r w:rsidRPr="00E1588A">
        <w:rPr>
          <w:rFonts w:cs="Times New Roman"/>
          <w:color w:val="222222"/>
          <w:szCs w:val="24"/>
          <w:shd w:val="clear" w:color="auto" w:fill="FFFFFF"/>
        </w:rPr>
        <w:t>and Florença</w:t>
      </w:r>
      <w:r>
        <w:rPr>
          <w:rFonts w:cs="Times New Roman"/>
          <w:color w:val="222222"/>
          <w:szCs w:val="24"/>
          <w:shd w:val="clear" w:color="auto" w:fill="FFFFFF"/>
        </w:rPr>
        <w:t>, 2024).</w:t>
      </w:r>
      <w:r>
        <w:t xml:space="preserve"> There is a targeting of 75%+ repeat purchase rate which reflects on the Gregg’s emphasis towards fulfilment of the brand loyalty and market penetration system. </w:t>
      </w:r>
      <w:r w:rsidRPr="00E1588A">
        <w:rPr>
          <w:rFonts w:cs="Times New Roman"/>
          <w:color w:val="222222"/>
          <w:szCs w:val="24"/>
          <w:shd w:val="clear" w:color="auto" w:fill="FFFFFF"/>
        </w:rPr>
        <w:t>Goryńska-Goldmann</w:t>
      </w:r>
      <w:r>
        <w:t xml:space="preserve"> et al. (2021) stated that the metrics allows effectiveness of the product adaptation, service quality management, and development of the marketing strategies. The integration of the customer feedback to the framework is effective for Gregg’s to make continuous development and improvements in the consumer experience. It seems essential for the Germany’s competitive bakery sector to manage brand recognition and lowering the brand trust for the expectations to be fulfilled (</w:t>
      </w:r>
      <w:r w:rsidRPr="00E1588A">
        <w:rPr>
          <w:rFonts w:cs="Times New Roman"/>
          <w:color w:val="222222"/>
          <w:szCs w:val="24"/>
          <w:shd w:val="clear" w:color="auto" w:fill="FFFFFF"/>
        </w:rPr>
        <w:t>Gmoser</w:t>
      </w:r>
      <w:r>
        <w:rPr>
          <w:rFonts w:cs="Times New Roman"/>
          <w:color w:val="222222"/>
          <w:szCs w:val="24"/>
          <w:shd w:val="clear" w:color="auto" w:fill="FFFFFF"/>
        </w:rPr>
        <w:t xml:space="preserve"> et al., 2021)</w:t>
      </w:r>
      <w:r>
        <w:t>.</w:t>
      </w:r>
    </w:p>
    <w:p w14:paraId="605F20BC" w14:textId="77777777" w:rsidR="00A806D9" w:rsidRDefault="00A806D9" w:rsidP="00A806D9">
      <w:r>
        <w:t>There is an internal process perspective for addressing the operational efficiency which critical for the development of the cost leadership. Therefore, the reduction in the waste to below 5% is associated with the maintenance of a 24-hour restock system in the cycle (</w:t>
      </w:r>
      <w:r w:rsidRPr="00E1588A">
        <w:rPr>
          <w:rFonts w:cs="Times New Roman"/>
          <w:color w:val="222222"/>
          <w:szCs w:val="24"/>
          <w:shd w:val="clear" w:color="auto" w:fill="FFFFFF"/>
        </w:rPr>
        <w:t>Fernandez‐Pan</w:t>
      </w:r>
      <w:r>
        <w:rPr>
          <w:rFonts w:cs="Times New Roman"/>
          <w:color w:val="222222"/>
          <w:szCs w:val="24"/>
          <w:shd w:val="clear" w:color="auto" w:fill="FFFFFF"/>
        </w:rPr>
        <w:t xml:space="preserve"> et al., 2023)</w:t>
      </w:r>
      <w:r>
        <w:t>. It seems reducing the supply chain disruptions and losing the product freshness in the system. There is an increases in the margins and overall customer satisfaction. The KPIs allows management of Gregg’s operational capabilities to develop the ability and replicate the UK supply chain efficiencies for the German context. Dossa et al. (2023) illustrated that it directly impacts on the cost control and service reliability management which seem essential for the maintenance of the sustainable competitive advantages in the market.</w:t>
      </w:r>
    </w:p>
    <w:p w14:paraId="3C77B4D3" w14:textId="77777777" w:rsidR="00A806D9" w:rsidRDefault="00A806D9" w:rsidP="00A806D9">
      <w:r>
        <w:t>The aspects of learning and growth must need effective development that allows support of the long-term sustainability and operational management system. There is an increase of 80% employee retention rate in the era of 42 hours of training demonstration. It seems committed to manage a skilled and motivated local workforce which is aligned with the overall values and operational standards of Gregg’s in the competitive market. The investment is associated with the management of reduction in the human capital and consideration of the overall costs of turnover (</w:t>
      </w:r>
      <w:r w:rsidRPr="00E1588A">
        <w:rPr>
          <w:rFonts w:cs="Times New Roman"/>
          <w:color w:val="222222"/>
          <w:szCs w:val="24"/>
          <w:shd w:val="clear" w:color="auto" w:fill="FFFFFF"/>
        </w:rPr>
        <w:t>Bordel</w:t>
      </w:r>
      <w:r>
        <w:t xml:space="preserve"> et al., 2022). It determines the maintenance of the consistent service quality, which is effective for the development of franchise-based expansion and ensuring efficiency in the brand promise to be applied on all the outlets.</w:t>
      </w:r>
    </w:p>
    <w:p w14:paraId="4D0CDF85" w14:textId="4DAF0B44" w:rsidR="00A806D9" w:rsidRPr="00930081" w:rsidRDefault="00A806D9" w:rsidP="0017759F">
      <w:r>
        <w:t>The BSC offers effective clarity for the balancing of the financial and non-financial aspects. It is linking with the possible strategic objectives with some of the limitations based on the sustainability. The use of Triple Bottom Line (TBL) model seems in integrating the environmental and social impacts that impact on the financial results, whereas; the traditional BSC allows primarily measurement of the internal and market-facing factors that are considered indirect allocation of the broader sustainability goals (</w:t>
      </w:r>
      <w:r w:rsidRPr="00E1588A">
        <w:rPr>
          <w:rFonts w:cs="Times New Roman"/>
          <w:color w:val="222222"/>
          <w:szCs w:val="24"/>
          <w:shd w:val="clear" w:color="auto" w:fill="FFFFFF"/>
        </w:rPr>
        <w:t>Babor</w:t>
      </w:r>
      <w:r>
        <w:rPr>
          <w:rFonts w:cs="Times New Roman"/>
          <w:color w:val="222222"/>
          <w:szCs w:val="24"/>
          <w:shd w:val="clear" w:color="auto" w:fill="FFFFFF"/>
        </w:rPr>
        <w:t xml:space="preserve"> et al., 2022)</w:t>
      </w:r>
      <w:r>
        <w:t>. Thus, the services of Gregg’s needs effective management of the operational and workforce metrics for the capturing of the social dimensions. There is a differences in the environmental metrics like consideration of the carbon emissions and use of the sustainable sourcing which are absent and can make emerging regulatory system for the market expectations in Germany and the services in the EU.</w:t>
      </w:r>
    </w:p>
    <w:p w14:paraId="76F563C3" w14:textId="09D848C4" w:rsidR="00DC57F5" w:rsidRPr="00930081" w:rsidRDefault="00FB4A48" w:rsidP="00391B28">
      <w:pPr>
        <w:pStyle w:val="Heading1"/>
        <w:spacing w:line="240" w:lineRule="auto"/>
      </w:pPr>
      <w:bookmarkStart w:id="45" w:name="_Toc213255133"/>
      <w:r w:rsidRPr="00930081">
        <w:t>Conclusion</w:t>
      </w:r>
      <w:bookmarkEnd w:id="45"/>
    </w:p>
    <w:bookmarkEnd w:id="4"/>
    <w:p w14:paraId="66FF9ED1" w14:textId="00C481F6" w:rsidR="001730F2" w:rsidRPr="00930081" w:rsidRDefault="00A43BC4" w:rsidP="001730F2">
      <w:r>
        <w:t>It is concluded that t</w:t>
      </w:r>
      <w:r w:rsidR="001730F2" w:rsidRPr="00930081">
        <w:t xml:space="preserve">he expansion to Germany as contained in the proposal by Greggs is a rational and well-timed move in the long-term development plan of the company. The choice is supported by strong internal strengths including its vertically integrated supply chain, model of cost-efficiency and a long-standing reputation of cheap quality. These strengths are highly congruent with the design of the bakery-to-go industry in Germany that brings together a high consumer demand with the rising focus on convenience, health, and sustainability. A macro-environment, competitive forces and industry analysis of Germany positively supports the appeal of the market although in a very competitive environment which will require a close adjustment. Three key success factors come up in order to succeed. To start with, establishing local collaboration with suppliers, logisticians, and online delivery services will provide an opportunity to integrate operations and be cost-effective. </w:t>
      </w:r>
    </w:p>
    <w:p w14:paraId="55F085B2" w14:textId="2A3218FC" w:rsidR="0004483D" w:rsidRPr="00930081" w:rsidRDefault="001730F2" w:rsidP="001730F2">
      <w:r w:rsidRPr="00930081">
        <w:t>Second</w:t>
      </w:r>
      <w:r w:rsidR="0073380D">
        <w:t>ly</w:t>
      </w:r>
      <w:r w:rsidRPr="00930081">
        <w:t>, the brand localisation will be necessary to appeal to German consumers</w:t>
      </w:r>
      <w:r w:rsidR="006761A8">
        <w:t>,</w:t>
      </w:r>
      <w:r w:rsidRPr="00930081">
        <w:t xml:space="preserve"> it means changing the menu items, the interior design, as well as the advertising messages to meet the local preferences yet preserve Greggs value-oriented brand image. Third, integrating sustainability into the packaging, sourcing, and operations will enhance the impression of the firm in a market where the environmental consciousness will be the final determinant in buying behaviours. The expansion can be strategically placed in the Market Development model of Ansoff and will be expansion of existing products into a new region with low product risk and high growth potential. Through considered immigration, Greggs will be able to gain a competitive presence in Germany, and thus establishing a pathway towards a gradual presence in the broader DACH region (Germany, Austria and Switzerland). This incremental strategy balances out opportunity and control, which make sure that both the international expansion of Greggs is both strategically viable and operationally sustainable.</w:t>
      </w:r>
    </w:p>
    <w:p w14:paraId="5E220D4D" w14:textId="3028919F" w:rsidR="00D938D2" w:rsidRPr="00930081" w:rsidRDefault="0004483D" w:rsidP="0004483D">
      <w:pPr>
        <w:spacing w:before="0" w:after="200" w:line="276" w:lineRule="auto"/>
        <w:ind w:firstLine="0"/>
        <w:jc w:val="left"/>
      </w:pPr>
      <w:r w:rsidRPr="00930081">
        <w:br w:type="page"/>
      </w:r>
    </w:p>
    <w:p w14:paraId="0336842F" w14:textId="77777777" w:rsidR="008B49C9" w:rsidRPr="00930081" w:rsidRDefault="00123662" w:rsidP="00391B28">
      <w:pPr>
        <w:pStyle w:val="Heading1"/>
        <w:numPr>
          <w:ilvl w:val="0"/>
          <w:numId w:val="0"/>
        </w:numPr>
        <w:spacing w:line="240" w:lineRule="auto"/>
        <w:ind w:left="432"/>
        <w:jc w:val="center"/>
        <w:rPr>
          <w:i/>
        </w:rPr>
      </w:pPr>
      <w:bookmarkStart w:id="46" w:name="_Toc110252969"/>
      <w:bookmarkStart w:id="47" w:name="_Toc213255134"/>
      <w:r w:rsidRPr="00930081">
        <w:t>References</w:t>
      </w:r>
      <w:bookmarkEnd w:id="46"/>
      <w:bookmarkEnd w:id="47"/>
    </w:p>
    <w:p w14:paraId="739B8C5A" w14:textId="77777777" w:rsidR="0027617E" w:rsidRPr="00930081" w:rsidRDefault="0027617E" w:rsidP="00C92608">
      <w:pPr>
        <w:ind w:left="720" w:hanging="720"/>
        <w:rPr>
          <w:shd w:val="clear" w:color="auto" w:fill="FFFFFF"/>
        </w:rPr>
      </w:pPr>
      <w:r w:rsidRPr="00930081">
        <w:rPr>
          <w:shd w:val="clear" w:color="auto" w:fill="FFFFFF"/>
        </w:rPr>
        <w:t>Amin, M. D., Badruddoza, S., and McCluskey, J. J. (2025</w:t>
      </w:r>
      <w:r>
        <w:rPr>
          <w:shd w:val="clear" w:color="auto" w:fill="FFFFFF"/>
        </w:rPr>
        <w:t>)</w:t>
      </w:r>
      <w:r w:rsidRPr="00930081">
        <w:rPr>
          <w:shd w:val="clear" w:color="auto" w:fill="FFFFFF"/>
        </w:rPr>
        <w:t xml:space="preserve"> Substitutes or complements? The effect of opening a food store on customer visits to neighborhood food stores. </w:t>
      </w:r>
      <w:r w:rsidRPr="00930081">
        <w:rPr>
          <w:i/>
          <w:iCs/>
          <w:shd w:val="clear" w:color="auto" w:fill="FFFFFF"/>
        </w:rPr>
        <w:t>American Journal of Agricultural Economics</w:t>
      </w:r>
      <w:r w:rsidRPr="00930081">
        <w:rPr>
          <w:shd w:val="clear" w:color="auto" w:fill="FFFFFF"/>
        </w:rPr>
        <w:t xml:space="preserve">. Available at: </w:t>
      </w:r>
      <w:hyperlink r:id="rId21" w:history="1">
        <w:r w:rsidRPr="00930081">
          <w:rPr>
            <w:rStyle w:val="Hyperlink"/>
            <w:shd w:val="clear" w:color="auto" w:fill="FFFFFF"/>
          </w:rPr>
          <w:t>https://onlinelibrary.wiley.com/doi/pdf/10.1111/ajae.12556</w:t>
        </w:r>
      </w:hyperlink>
      <w:r w:rsidRPr="00930081">
        <w:rPr>
          <w:shd w:val="clear" w:color="auto" w:fill="FFFFFF"/>
        </w:rPr>
        <w:t xml:space="preserve"> </w:t>
      </w:r>
    </w:p>
    <w:p w14:paraId="3164506F" w14:textId="77777777" w:rsidR="0027617E" w:rsidRPr="00E1588A" w:rsidRDefault="0027617E" w:rsidP="001B712F">
      <w:pPr>
        <w:ind w:left="720" w:hanging="720"/>
        <w:rPr>
          <w:rFonts w:cs="Times New Roman"/>
          <w:color w:val="222222"/>
          <w:szCs w:val="24"/>
          <w:shd w:val="clear" w:color="auto" w:fill="FFFFFF"/>
        </w:rPr>
      </w:pPr>
      <w:r w:rsidRPr="00E1588A">
        <w:rPr>
          <w:rFonts w:cs="Times New Roman"/>
          <w:color w:val="222222"/>
          <w:szCs w:val="24"/>
          <w:shd w:val="clear" w:color="auto" w:fill="FFFFFF"/>
        </w:rPr>
        <w:t>Babor, M., Pedersen, L., Kidmose, U., Paquet-Durand, O. and Hitzmann, B., (2022). Application of non-dominated sorting genetic algorithm (NSGA-II) to increase the efficiency of bakery production: A case study. </w:t>
      </w:r>
      <w:r w:rsidRPr="00E1588A">
        <w:rPr>
          <w:rFonts w:cs="Times New Roman"/>
          <w:i/>
          <w:iCs/>
          <w:color w:val="222222"/>
          <w:szCs w:val="24"/>
          <w:shd w:val="clear" w:color="auto" w:fill="FFFFFF"/>
        </w:rPr>
        <w:t>Processes</w:t>
      </w:r>
      <w:r w:rsidRPr="00E1588A">
        <w:rPr>
          <w:rFonts w:cs="Times New Roman"/>
          <w:color w:val="222222"/>
          <w:szCs w:val="24"/>
          <w:shd w:val="clear" w:color="auto" w:fill="FFFFFF"/>
        </w:rPr>
        <w:t>, </w:t>
      </w:r>
      <w:r w:rsidRPr="00E1588A">
        <w:rPr>
          <w:rFonts w:cs="Times New Roman"/>
          <w:i/>
          <w:iCs/>
          <w:color w:val="222222"/>
          <w:szCs w:val="24"/>
          <w:shd w:val="clear" w:color="auto" w:fill="FFFFFF"/>
        </w:rPr>
        <w:t>10</w:t>
      </w:r>
      <w:r w:rsidRPr="00E1588A">
        <w:rPr>
          <w:rFonts w:cs="Times New Roman"/>
          <w:color w:val="222222"/>
          <w:szCs w:val="24"/>
          <w:shd w:val="clear" w:color="auto" w:fill="FFFFFF"/>
        </w:rPr>
        <w:t>(8), p.1623.</w:t>
      </w:r>
    </w:p>
    <w:p w14:paraId="706E6FFD" w14:textId="77777777" w:rsidR="0027617E" w:rsidRPr="00930081" w:rsidRDefault="0027617E" w:rsidP="00C92608">
      <w:pPr>
        <w:ind w:left="720" w:hanging="720"/>
        <w:rPr>
          <w:shd w:val="clear" w:color="auto" w:fill="FFFFFF"/>
        </w:rPr>
      </w:pPr>
      <w:r w:rsidRPr="00930081">
        <w:rPr>
          <w:shd w:val="clear" w:color="auto" w:fill="FFFFFF"/>
        </w:rPr>
        <w:t>BackWerk (2025</w:t>
      </w:r>
      <w:r>
        <w:rPr>
          <w:shd w:val="clear" w:color="auto" w:fill="FFFFFF"/>
        </w:rPr>
        <w:t>)</w:t>
      </w:r>
      <w:r w:rsidRPr="00930081">
        <w:rPr>
          <w:shd w:val="clear" w:color="auto" w:fill="FFFFFF"/>
        </w:rPr>
        <w:t xml:space="preserve"> </w:t>
      </w:r>
      <w:r w:rsidRPr="00930081">
        <w:rPr>
          <w:i/>
          <w:iCs/>
          <w:shd w:val="clear" w:color="auto" w:fill="FFFFFF"/>
        </w:rPr>
        <w:t>Franchise information</w:t>
      </w:r>
      <w:r w:rsidRPr="00930081">
        <w:rPr>
          <w:shd w:val="clear" w:color="auto" w:fill="FFFFFF"/>
        </w:rPr>
        <w:t xml:space="preserve"> (web), BackWerk / Valora. Available at: </w:t>
      </w:r>
      <w:hyperlink r:id="rId22" w:tgtFrame="_new" w:history="1">
        <w:r w:rsidRPr="00930081">
          <w:rPr>
            <w:rStyle w:val="Hyperlink"/>
            <w:shd w:val="clear" w:color="auto" w:fill="FFFFFF"/>
            <w:lang w:val="en-US"/>
          </w:rPr>
          <w:t>https://www.back-werk.de/de/franchise</w:t>
        </w:r>
      </w:hyperlink>
      <w:r w:rsidRPr="00930081">
        <w:rPr>
          <w:shd w:val="clear" w:color="auto" w:fill="FFFFFF"/>
        </w:rPr>
        <w:t xml:space="preserve"> (Accessed 5 November 2025</w:t>
      </w:r>
      <w:r>
        <w:rPr>
          <w:shd w:val="clear" w:color="auto" w:fill="FFFFFF"/>
        </w:rPr>
        <w:t>)</w:t>
      </w:r>
    </w:p>
    <w:p w14:paraId="2806151D" w14:textId="77777777" w:rsidR="0027617E" w:rsidRPr="00930081" w:rsidRDefault="0027617E" w:rsidP="00C92608">
      <w:pPr>
        <w:ind w:left="720" w:hanging="720"/>
        <w:rPr>
          <w:shd w:val="clear" w:color="auto" w:fill="FFFFFF"/>
        </w:rPr>
      </w:pPr>
      <w:r w:rsidRPr="00930081">
        <w:rPr>
          <w:shd w:val="clear" w:color="auto" w:fill="FFFFFF"/>
        </w:rPr>
        <w:t xml:space="preserve">Bhaskar, M.P., Pawar, S. and Hole, Y. (2019) </w:t>
      </w:r>
      <w:r w:rsidRPr="00930081">
        <w:rPr>
          <w:i/>
          <w:iCs/>
          <w:shd w:val="clear" w:color="auto" w:fill="FFFFFF"/>
        </w:rPr>
        <w:t>The Porter Diamond Model (Álvarez et al., 2011)</w:t>
      </w:r>
      <w:r w:rsidRPr="00930081">
        <w:rPr>
          <w:shd w:val="clear" w:color="auto" w:fill="FFFFFF"/>
        </w:rPr>
        <w:t xml:space="preserve"> [online image]. ResearchGate, January. Available at: </w:t>
      </w:r>
      <w:hyperlink r:id="rId23" w:tgtFrame="_new" w:history="1">
        <w:r w:rsidRPr="00930081">
          <w:rPr>
            <w:rStyle w:val="Hyperlink"/>
            <w:shd w:val="clear" w:color="auto" w:fill="FFFFFF"/>
          </w:rPr>
          <w:t>https://www.researchgate.net/figure/The-Porter-Diamond-Model-Alvarez-et-al-2011_fig3_348351396</w:t>
        </w:r>
      </w:hyperlink>
      <w:r w:rsidRPr="00930081">
        <w:rPr>
          <w:shd w:val="clear" w:color="auto" w:fill="FFFFFF"/>
        </w:rPr>
        <w:t xml:space="preserve"> (Accessed: 5 November 2025</w:t>
      </w:r>
      <w:r>
        <w:rPr>
          <w:shd w:val="clear" w:color="auto" w:fill="FFFFFF"/>
        </w:rPr>
        <w:t>)</w:t>
      </w:r>
    </w:p>
    <w:p w14:paraId="0C64BBED" w14:textId="77777777" w:rsidR="0027617E" w:rsidRPr="00930081" w:rsidRDefault="0027617E" w:rsidP="00C92608">
      <w:pPr>
        <w:ind w:left="720" w:hanging="720"/>
        <w:rPr>
          <w:shd w:val="clear" w:color="auto" w:fill="FFFFFF"/>
        </w:rPr>
      </w:pPr>
      <w:r w:rsidRPr="00930081">
        <w:rPr>
          <w:shd w:val="clear" w:color="auto" w:fill="FFFFFF"/>
        </w:rPr>
        <w:t xml:space="preserve">Bitkom (2023) </w:t>
      </w:r>
      <w:r w:rsidRPr="00930081">
        <w:rPr>
          <w:i/>
          <w:iCs/>
          <w:shd w:val="clear" w:color="auto" w:fill="FFFFFF"/>
        </w:rPr>
        <w:t>Die Zukunft der Consumer Technology 2023</w:t>
      </w:r>
      <w:r w:rsidRPr="00930081">
        <w:rPr>
          <w:shd w:val="clear" w:color="auto" w:fill="FFFFFF"/>
        </w:rPr>
        <w:t xml:space="preserve"> (PDF), Bitkom e. V., Berlin. Available at: </w:t>
      </w:r>
      <w:hyperlink r:id="rId24" w:tgtFrame="_new" w:history="1">
        <w:r w:rsidRPr="00930081">
          <w:rPr>
            <w:rStyle w:val="Hyperlink"/>
            <w:shd w:val="clear" w:color="auto" w:fill="FFFFFF"/>
            <w:lang w:val="en-US"/>
          </w:rPr>
          <w:t>https://www.bitkom.org/sites/main/files/2023-08/bitkom-studie-die-zukunft-der-consumer-technology-2023.pdf</w:t>
        </w:r>
      </w:hyperlink>
      <w:r w:rsidRPr="00930081">
        <w:rPr>
          <w:shd w:val="clear" w:color="auto" w:fill="FFFFFF"/>
        </w:rPr>
        <w:t xml:space="preserve"> (Accessed 5 November 2025</w:t>
      </w:r>
      <w:r>
        <w:rPr>
          <w:shd w:val="clear" w:color="auto" w:fill="FFFFFF"/>
        </w:rPr>
        <w:t>)</w:t>
      </w:r>
    </w:p>
    <w:p w14:paraId="0F8A2407" w14:textId="77777777" w:rsidR="0027617E" w:rsidRPr="00930081" w:rsidRDefault="0027617E" w:rsidP="00C92608">
      <w:pPr>
        <w:ind w:left="720" w:hanging="720"/>
        <w:rPr>
          <w:shd w:val="clear" w:color="auto" w:fill="FFFFFF"/>
        </w:rPr>
      </w:pPr>
      <w:r w:rsidRPr="00930081">
        <w:rPr>
          <w:shd w:val="clear" w:color="auto" w:fill="FFFFFF"/>
        </w:rPr>
        <w:t>BMAS (2025</w:t>
      </w:r>
      <w:r>
        <w:rPr>
          <w:shd w:val="clear" w:color="auto" w:fill="FFFFFF"/>
        </w:rPr>
        <w:t>)</w:t>
      </w:r>
      <w:r w:rsidRPr="00930081">
        <w:rPr>
          <w:shd w:val="clear" w:color="auto" w:fill="FFFFFF"/>
        </w:rPr>
        <w:t xml:space="preserve"> </w:t>
      </w:r>
      <w:r w:rsidRPr="00930081">
        <w:rPr>
          <w:i/>
          <w:iCs/>
          <w:shd w:val="clear" w:color="auto" w:fill="FFFFFF"/>
        </w:rPr>
        <w:t>Der Mindestlohn – Informationsflyer (Deutsch)</w:t>
      </w:r>
      <w:r w:rsidRPr="00930081">
        <w:rPr>
          <w:shd w:val="clear" w:color="auto" w:fill="FFFFFF"/>
        </w:rPr>
        <w:t xml:space="preserve"> (web), BMAS, Berlin. Available at: </w:t>
      </w:r>
      <w:hyperlink r:id="rId25" w:tgtFrame="_new" w:history="1">
        <w:r w:rsidRPr="00930081">
          <w:rPr>
            <w:rStyle w:val="Hyperlink"/>
            <w:shd w:val="clear" w:color="auto" w:fill="FFFFFF"/>
            <w:lang w:val="en-US"/>
          </w:rPr>
          <w:t>https://www.bmas.de/DE/Service/Publikationen/Broschueren/a640d-mindestlohn-flyer-deutsch.html</w:t>
        </w:r>
      </w:hyperlink>
      <w:r w:rsidRPr="00930081">
        <w:rPr>
          <w:shd w:val="clear" w:color="auto" w:fill="FFFFFF"/>
        </w:rPr>
        <w:t xml:space="preserve"> (Accessed 5 November 2025</w:t>
      </w:r>
      <w:r>
        <w:rPr>
          <w:shd w:val="clear" w:color="auto" w:fill="FFFFFF"/>
        </w:rPr>
        <w:t>)</w:t>
      </w:r>
    </w:p>
    <w:p w14:paraId="4194EB79" w14:textId="77777777" w:rsidR="0027617E" w:rsidRPr="00930081" w:rsidRDefault="0027617E" w:rsidP="00C92608">
      <w:pPr>
        <w:ind w:left="720" w:hanging="720"/>
        <w:rPr>
          <w:shd w:val="clear" w:color="auto" w:fill="FFFFFF"/>
        </w:rPr>
      </w:pPr>
      <w:r w:rsidRPr="00930081">
        <w:rPr>
          <w:shd w:val="clear" w:color="auto" w:fill="FFFFFF"/>
        </w:rPr>
        <w:t>BMEL (2024</w:t>
      </w:r>
      <w:r>
        <w:rPr>
          <w:shd w:val="clear" w:color="auto" w:fill="FFFFFF"/>
        </w:rPr>
        <w:t>)</w:t>
      </w:r>
      <w:r w:rsidRPr="00930081">
        <w:rPr>
          <w:shd w:val="clear" w:color="auto" w:fill="FFFFFF"/>
        </w:rPr>
        <w:t xml:space="preserve"> </w:t>
      </w:r>
      <w:r w:rsidRPr="00930081">
        <w:rPr>
          <w:i/>
          <w:iCs/>
          <w:shd w:val="clear" w:color="auto" w:fill="FFFFFF"/>
        </w:rPr>
        <w:t>Ernährungsreport 2024: Tabellenband</w:t>
      </w:r>
      <w:r w:rsidRPr="00930081">
        <w:rPr>
          <w:shd w:val="clear" w:color="auto" w:fill="FFFFFF"/>
        </w:rPr>
        <w:t xml:space="preserve"> (PDF), BMEL, Berlin. Available at: </w:t>
      </w:r>
      <w:hyperlink r:id="rId26" w:history="1">
        <w:r w:rsidRPr="00930081">
          <w:rPr>
            <w:rStyle w:val="Hyperlink"/>
            <w:shd w:val="clear" w:color="auto" w:fill="FFFFFF"/>
          </w:rPr>
          <w:t>https://www.bmleh.de/SharedDocs/Downloads/DE/_Ernaehrung/forsa-ernaehrungsreport-2024-tabellen.pdf</w:t>
        </w:r>
      </w:hyperlink>
      <w:r w:rsidRPr="00930081">
        <w:rPr>
          <w:shd w:val="clear" w:color="auto" w:fill="FFFFFF"/>
        </w:rPr>
        <w:t xml:space="preserve"> (Accessed 5 November 2025</w:t>
      </w:r>
      <w:r>
        <w:rPr>
          <w:shd w:val="clear" w:color="auto" w:fill="FFFFFF"/>
        </w:rPr>
        <w:t>)</w:t>
      </w:r>
    </w:p>
    <w:p w14:paraId="091A4D03" w14:textId="77777777" w:rsidR="0027617E" w:rsidRPr="00E1588A" w:rsidRDefault="0027617E" w:rsidP="001B712F">
      <w:pPr>
        <w:ind w:left="720" w:hanging="720"/>
        <w:rPr>
          <w:rFonts w:cs="Times New Roman"/>
          <w:color w:val="222222"/>
          <w:szCs w:val="24"/>
          <w:shd w:val="clear" w:color="auto" w:fill="FFFFFF"/>
        </w:rPr>
      </w:pPr>
      <w:r w:rsidRPr="00E1588A">
        <w:rPr>
          <w:rFonts w:cs="Times New Roman"/>
          <w:color w:val="222222"/>
          <w:szCs w:val="24"/>
          <w:shd w:val="clear" w:color="auto" w:fill="FFFFFF"/>
        </w:rPr>
        <w:t>Bordel, B., Alcarria, R., de la Torre, G., Carretero, I. and Robles, T., (2022), February. Increasing the efficiency and workers wellbeing in the European bakery industry: An industry 4.0 case study. In </w:t>
      </w:r>
      <w:r w:rsidRPr="00E1588A">
        <w:rPr>
          <w:rFonts w:cs="Times New Roman"/>
          <w:i/>
          <w:iCs/>
          <w:color w:val="222222"/>
          <w:szCs w:val="24"/>
          <w:shd w:val="clear" w:color="auto" w:fill="FFFFFF"/>
        </w:rPr>
        <w:t>International Conference on Information Technology &amp; Systems</w:t>
      </w:r>
      <w:r w:rsidRPr="00E1588A">
        <w:rPr>
          <w:rFonts w:cs="Times New Roman"/>
          <w:color w:val="222222"/>
          <w:szCs w:val="24"/>
          <w:shd w:val="clear" w:color="auto" w:fill="FFFFFF"/>
        </w:rPr>
        <w:t> (pp. 646-658). Cham: Springer International Publishing.</w:t>
      </w:r>
    </w:p>
    <w:p w14:paraId="51092D94" w14:textId="77777777" w:rsidR="0027617E" w:rsidRPr="00930081" w:rsidRDefault="0027617E" w:rsidP="00C92608">
      <w:pPr>
        <w:ind w:left="720" w:hanging="720"/>
        <w:rPr>
          <w:shd w:val="clear" w:color="auto" w:fill="FFFFFF"/>
        </w:rPr>
      </w:pPr>
      <w:r w:rsidRPr="00930081">
        <w:rPr>
          <w:shd w:val="clear" w:color="auto" w:fill="FFFFFF"/>
        </w:rPr>
        <w:t>CBI – Ministry of Foreign Affairs (Netherlands) (2025</w:t>
      </w:r>
      <w:r>
        <w:rPr>
          <w:shd w:val="clear" w:color="auto" w:fill="FFFFFF"/>
        </w:rPr>
        <w:t>)</w:t>
      </w:r>
      <w:r w:rsidRPr="00930081">
        <w:rPr>
          <w:shd w:val="clear" w:color="auto" w:fill="FFFFFF"/>
        </w:rPr>
        <w:t xml:space="preserve"> </w:t>
      </w:r>
      <w:r w:rsidRPr="00930081">
        <w:rPr>
          <w:i/>
          <w:iCs/>
          <w:shd w:val="clear" w:color="auto" w:fill="FFFFFF"/>
        </w:rPr>
        <w:t>What is the demand for coffee on the European market?</w:t>
      </w:r>
      <w:r w:rsidRPr="00930081">
        <w:rPr>
          <w:shd w:val="clear" w:color="auto" w:fill="FFFFFF"/>
        </w:rPr>
        <w:t xml:space="preserve"> (PDF), The Hague. Available at: </w:t>
      </w:r>
      <w:hyperlink r:id="rId27" w:tgtFrame="_new" w:history="1">
        <w:r w:rsidRPr="00930081">
          <w:rPr>
            <w:rStyle w:val="Hyperlink"/>
            <w:shd w:val="clear" w:color="auto" w:fill="FFFFFF"/>
            <w:lang w:val="en-US"/>
          </w:rPr>
          <w:t>https://www.cbi.eu/sites/default/files/pdf/research/577.pdf</w:t>
        </w:r>
      </w:hyperlink>
      <w:r w:rsidRPr="00930081">
        <w:rPr>
          <w:shd w:val="clear" w:color="auto" w:fill="FFFFFF"/>
        </w:rPr>
        <w:t xml:space="preserve"> (Accessed 5 November 2025</w:t>
      </w:r>
      <w:r>
        <w:rPr>
          <w:shd w:val="clear" w:color="auto" w:fill="FFFFFF"/>
        </w:rPr>
        <w:t>)</w:t>
      </w:r>
    </w:p>
    <w:p w14:paraId="68265729" w14:textId="77777777" w:rsidR="0027617E" w:rsidRPr="00930081" w:rsidRDefault="0027617E" w:rsidP="00C92608">
      <w:pPr>
        <w:ind w:left="720" w:hanging="720"/>
        <w:rPr>
          <w:shd w:val="clear" w:color="auto" w:fill="FFFFFF"/>
        </w:rPr>
      </w:pPr>
      <w:r w:rsidRPr="00930081">
        <w:rPr>
          <w:shd w:val="clear" w:color="auto" w:fill="FFFFFF"/>
        </w:rPr>
        <w:t>Central Agency Packaging Register (ZSVR) (2025</w:t>
      </w:r>
      <w:r>
        <w:rPr>
          <w:shd w:val="clear" w:color="auto" w:fill="FFFFFF"/>
        </w:rPr>
        <w:t>)</w:t>
      </w:r>
      <w:r w:rsidRPr="00930081">
        <w:rPr>
          <w:shd w:val="clear" w:color="auto" w:fill="FFFFFF"/>
        </w:rPr>
        <w:t xml:space="preserve"> </w:t>
      </w:r>
      <w:r w:rsidRPr="00930081">
        <w:rPr>
          <w:i/>
          <w:iCs/>
          <w:shd w:val="clear" w:color="auto" w:fill="FFFFFF"/>
        </w:rPr>
        <w:t>Guideline Catalogue to the German Packaging Act (VerpackG)</w:t>
      </w:r>
      <w:r w:rsidRPr="00930081">
        <w:rPr>
          <w:shd w:val="clear" w:color="auto" w:fill="FFFFFF"/>
        </w:rPr>
        <w:t xml:space="preserve"> (PDF), Stiftung Zentrale Stelle Verpackungsregister, Osnabrück. Available at: </w:t>
      </w:r>
      <w:hyperlink r:id="rId28" w:tgtFrame="_new" w:history="1">
        <w:r w:rsidRPr="00930081">
          <w:rPr>
            <w:rStyle w:val="Hyperlink"/>
            <w:shd w:val="clear" w:color="auto" w:fill="FFFFFF"/>
            <w:lang w:val="en-US"/>
          </w:rPr>
          <w:t>https://www.verpackungsregister.org/fileadmin/files/Katalog/Guideline_catalogue.pdf</w:t>
        </w:r>
      </w:hyperlink>
      <w:r w:rsidRPr="00930081">
        <w:rPr>
          <w:shd w:val="clear" w:color="auto" w:fill="FFFFFF"/>
        </w:rPr>
        <w:t xml:space="preserve"> (Accessed 5 November 2025</w:t>
      </w:r>
      <w:r>
        <w:rPr>
          <w:shd w:val="clear" w:color="auto" w:fill="FFFFFF"/>
        </w:rPr>
        <w:t>)</w:t>
      </w:r>
    </w:p>
    <w:p w14:paraId="21EABC47" w14:textId="77777777" w:rsidR="0027617E" w:rsidRPr="00930081" w:rsidRDefault="0027617E" w:rsidP="00C92608">
      <w:pPr>
        <w:ind w:left="720" w:hanging="720"/>
        <w:rPr>
          <w:shd w:val="clear" w:color="auto" w:fill="FFFFFF"/>
        </w:rPr>
      </w:pPr>
      <w:r w:rsidRPr="00930081">
        <w:rPr>
          <w:shd w:val="clear" w:color="auto" w:fill="FFFFFF"/>
        </w:rPr>
        <w:t xml:space="preserve">Dorgbetor, I.K., Ondrasek, G., Kutnjak, H. and Mikuš, O. (2022) ‘What If the World Went Vegan? A Review of the Impact on Natural Resources, Climate Change, and Economies’, </w:t>
      </w:r>
      <w:r w:rsidRPr="00930081">
        <w:rPr>
          <w:i/>
          <w:iCs/>
          <w:shd w:val="clear" w:color="auto" w:fill="FFFFFF"/>
        </w:rPr>
        <w:t>Agriculture</w:t>
      </w:r>
      <w:r w:rsidRPr="00930081">
        <w:rPr>
          <w:shd w:val="clear" w:color="auto" w:fill="FFFFFF"/>
        </w:rPr>
        <w:t xml:space="preserve">, 12(10), 1518. Available at: </w:t>
      </w:r>
      <w:hyperlink r:id="rId29" w:tgtFrame="_new" w:history="1">
        <w:r w:rsidRPr="00930081">
          <w:rPr>
            <w:rStyle w:val="Hyperlink"/>
            <w:shd w:val="clear" w:color="auto" w:fill="FFFFFF"/>
          </w:rPr>
          <w:t>https://doi.org/10.3390/agriculture12101518</w:t>
        </w:r>
      </w:hyperlink>
      <w:r w:rsidRPr="00930081">
        <w:rPr>
          <w:shd w:val="clear" w:color="auto" w:fill="FFFFFF"/>
        </w:rPr>
        <w:t xml:space="preserve"> (Accessed: 5 November 2025</w:t>
      </w:r>
      <w:r>
        <w:rPr>
          <w:shd w:val="clear" w:color="auto" w:fill="FFFFFF"/>
        </w:rPr>
        <w:t>)</w:t>
      </w:r>
      <w:r w:rsidRPr="00930081">
        <w:rPr>
          <w:shd w:val="clear" w:color="auto" w:fill="FFFFFF"/>
        </w:rPr>
        <w:t xml:space="preserve"> </w:t>
      </w:r>
    </w:p>
    <w:p w14:paraId="4545B759" w14:textId="77777777" w:rsidR="0027617E" w:rsidRPr="00E1588A" w:rsidRDefault="0027617E" w:rsidP="001B712F">
      <w:pPr>
        <w:ind w:left="720" w:hanging="720"/>
        <w:rPr>
          <w:rFonts w:cs="Times New Roman"/>
          <w:color w:val="222222"/>
          <w:szCs w:val="24"/>
          <w:shd w:val="clear" w:color="auto" w:fill="FFFFFF"/>
        </w:rPr>
      </w:pPr>
      <w:r w:rsidRPr="00E1588A">
        <w:rPr>
          <w:rFonts w:cs="Times New Roman"/>
          <w:color w:val="222222"/>
          <w:szCs w:val="24"/>
          <w:shd w:val="clear" w:color="auto" w:fill="FFFFFF"/>
        </w:rPr>
        <w:t>DOSSA, S., DRAGOMIR, C., BIRTA, I., ARGYELAN, C. and RIVIȘ, A., (2023). The use of moringa oleifera as value-added ingredient in bakery industry. </w:t>
      </w:r>
      <w:r w:rsidRPr="00E1588A">
        <w:rPr>
          <w:rFonts w:cs="Times New Roman"/>
          <w:i/>
          <w:iCs/>
          <w:color w:val="222222"/>
          <w:szCs w:val="24"/>
          <w:shd w:val="clear" w:color="auto" w:fill="FFFFFF"/>
        </w:rPr>
        <w:t>Scientific Papers. Series D. Animal Science</w:t>
      </w:r>
      <w:r w:rsidRPr="00E1588A">
        <w:rPr>
          <w:rFonts w:cs="Times New Roman"/>
          <w:color w:val="222222"/>
          <w:szCs w:val="24"/>
          <w:shd w:val="clear" w:color="auto" w:fill="FFFFFF"/>
        </w:rPr>
        <w:t>, </w:t>
      </w:r>
      <w:r w:rsidRPr="00E1588A">
        <w:rPr>
          <w:rFonts w:cs="Times New Roman"/>
          <w:i/>
          <w:iCs/>
          <w:color w:val="222222"/>
          <w:szCs w:val="24"/>
          <w:shd w:val="clear" w:color="auto" w:fill="FFFFFF"/>
        </w:rPr>
        <w:t>66</w:t>
      </w:r>
      <w:r w:rsidRPr="00E1588A">
        <w:rPr>
          <w:rFonts w:cs="Times New Roman"/>
          <w:color w:val="222222"/>
          <w:szCs w:val="24"/>
          <w:shd w:val="clear" w:color="auto" w:fill="FFFFFF"/>
        </w:rPr>
        <w:t>(2).</w:t>
      </w:r>
    </w:p>
    <w:p w14:paraId="1E97BD15" w14:textId="77777777" w:rsidR="0027617E" w:rsidRPr="00930081" w:rsidRDefault="0027617E" w:rsidP="00C92608">
      <w:pPr>
        <w:ind w:left="720" w:hanging="720"/>
        <w:rPr>
          <w:shd w:val="clear" w:color="auto" w:fill="FFFFFF"/>
        </w:rPr>
      </w:pPr>
      <w:r w:rsidRPr="00930081">
        <w:rPr>
          <w:shd w:val="clear" w:color="auto" w:fill="FFFFFF"/>
        </w:rPr>
        <w:t>European Coffee Federation (2024</w:t>
      </w:r>
      <w:r>
        <w:rPr>
          <w:shd w:val="clear" w:color="auto" w:fill="FFFFFF"/>
        </w:rPr>
        <w:t>)</w:t>
      </w:r>
      <w:r w:rsidRPr="00930081">
        <w:rPr>
          <w:shd w:val="clear" w:color="auto" w:fill="FFFFFF"/>
        </w:rPr>
        <w:t xml:space="preserve"> </w:t>
      </w:r>
      <w:r w:rsidRPr="00930081">
        <w:rPr>
          <w:i/>
          <w:iCs/>
          <w:shd w:val="clear" w:color="auto" w:fill="FFFFFF"/>
        </w:rPr>
        <w:t>European Coffee Report 2023/2024</w:t>
      </w:r>
      <w:r w:rsidRPr="00930081">
        <w:rPr>
          <w:shd w:val="clear" w:color="auto" w:fill="FFFFFF"/>
        </w:rPr>
        <w:t xml:space="preserve"> (PDF), ECF, Brussels. Available at: </w:t>
      </w:r>
      <w:hyperlink r:id="rId30" w:tgtFrame="_new" w:history="1">
        <w:r w:rsidRPr="00930081">
          <w:rPr>
            <w:rStyle w:val="Hyperlink"/>
            <w:shd w:val="clear" w:color="auto" w:fill="FFFFFF"/>
            <w:lang w:val="en-US"/>
          </w:rPr>
          <w:t>https://www.ecf-coffee.org/wp-content/uploads/2024/07/European-Coffee-Report-2023-2024.pdf</w:t>
        </w:r>
      </w:hyperlink>
      <w:r w:rsidRPr="00930081">
        <w:rPr>
          <w:shd w:val="clear" w:color="auto" w:fill="FFFFFF"/>
        </w:rPr>
        <w:t xml:space="preserve"> (Accessed 5 November 2025</w:t>
      </w:r>
      <w:r>
        <w:rPr>
          <w:shd w:val="clear" w:color="auto" w:fill="FFFFFF"/>
        </w:rPr>
        <w:t>)</w:t>
      </w:r>
    </w:p>
    <w:p w14:paraId="3E3D89BF" w14:textId="77777777" w:rsidR="0027617E" w:rsidRPr="00930081" w:rsidRDefault="0027617E" w:rsidP="00C92608">
      <w:pPr>
        <w:ind w:left="720" w:hanging="720"/>
        <w:rPr>
          <w:shd w:val="clear" w:color="auto" w:fill="FFFFFF"/>
        </w:rPr>
      </w:pPr>
      <w:r w:rsidRPr="00930081">
        <w:rPr>
          <w:shd w:val="clear" w:color="auto" w:fill="FFFFFF"/>
        </w:rPr>
        <w:t>Federal Ministry of Labour and Social Affairs (BMAS) (2024</w:t>
      </w:r>
      <w:r>
        <w:rPr>
          <w:shd w:val="clear" w:color="auto" w:fill="FFFFFF"/>
        </w:rPr>
        <w:t>)</w:t>
      </w:r>
      <w:r w:rsidRPr="00930081">
        <w:rPr>
          <w:shd w:val="clear" w:color="auto" w:fill="FFFFFF"/>
        </w:rPr>
        <w:t xml:space="preserve"> </w:t>
      </w:r>
      <w:r w:rsidRPr="00930081">
        <w:rPr>
          <w:i/>
          <w:iCs/>
          <w:shd w:val="clear" w:color="auto" w:fill="FFFFFF"/>
        </w:rPr>
        <w:t>The minimum wage</w:t>
      </w:r>
      <w:r w:rsidRPr="00930081">
        <w:rPr>
          <w:shd w:val="clear" w:color="auto" w:fill="FFFFFF"/>
        </w:rPr>
        <w:t xml:space="preserve"> (web), BMAS, Berlin. Available at: </w:t>
      </w:r>
      <w:hyperlink r:id="rId31" w:tgtFrame="_new" w:history="1">
        <w:r w:rsidRPr="00930081">
          <w:rPr>
            <w:rStyle w:val="Hyperlink"/>
            <w:shd w:val="clear" w:color="auto" w:fill="FFFFFF"/>
            <w:lang w:val="en-US"/>
          </w:rPr>
          <w:t>https://www.bmas.de/EN/Services/Publications/a640e-mindestlohn-flyer-2023-english.html</w:t>
        </w:r>
      </w:hyperlink>
      <w:r w:rsidRPr="00930081">
        <w:rPr>
          <w:shd w:val="clear" w:color="auto" w:fill="FFFFFF"/>
        </w:rPr>
        <w:t xml:space="preserve"> (Accessed 5 November 2025</w:t>
      </w:r>
      <w:r>
        <w:rPr>
          <w:shd w:val="clear" w:color="auto" w:fill="FFFFFF"/>
        </w:rPr>
        <w:t>)</w:t>
      </w:r>
    </w:p>
    <w:p w14:paraId="59DA4A4A" w14:textId="77777777" w:rsidR="0027617E" w:rsidRPr="00E1588A" w:rsidRDefault="0027617E" w:rsidP="001B712F">
      <w:pPr>
        <w:ind w:left="720" w:hanging="720"/>
        <w:rPr>
          <w:rFonts w:cs="Times New Roman"/>
          <w:color w:val="222222"/>
          <w:szCs w:val="24"/>
          <w:shd w:val="clear" w:color="auto" w:fill="FFFFFF"/>
        </w:rPr>
      </w:pPr>
      <w:r w:rsidRPr="00E1588A">
        <w:rPr>
          <w:rFonts w:cs="Times New Roman"/>
          <w:color w:val="222222"/>
          <w:szCs w:val="24"/>
          <w:shd w:val="clear" w:color="auto" w:fill="FFFFFF"/>
        </w:rPr>
        <w:t>Fernandez‐Pan, I., Ibañez, F.C., Virseda, P., Arozarena, I. and Beriain, M.J., (2023). Stabilization and valorization of tomato byproduct: A case study for the bakery industry. </w:t>
      </w:r>
      <w:r w:rsidRPr="00E1588A">
        <w:rPr>
          <w:rFonts w:cs="Times New Roman"/>
          <w:i/>
          <w:iCs/>
          <w:color w:val="222222"/>
          <w:szCs w:val="24"/>
          <w:shd w:val="clear" w:color="auto" w:fill="FFFFFF"/>
        </w:rPr>
        <w:t>Journal of Food Science</w:t>
      </w:r>
      <w:r w:rsidRPr="00E1588A">
        <w:rPr>
          <w:rFonts w:cs="Times New Roman"/>
          <w:color w:val="222222"/>
          <w:szCs w:val="24"/>
          <w:shd w:val="clear" w:color="auto" w:fill="FFFFFF"/>
        </w:rPr>
        <w:t>, </w:t>
      </w:r>
      <w:r w:rsidRPr="00E1588A">
        <w:rPr>
          <w:rFonts w:cs="Times New Roman"/>
          <w:i/>
          <w:iCs/>
          <w:color w:val="222222"/>
          <w:szCs w:val="24"/>
          <w:shd w:val="clear" w:color="auto" w:fill="FFFFFF"/>
        </w:rPr>
        <w:t>88</w:t>
      </w:r>
      <w:r w:rsidRPr="00E1588A">
        <w:rPr>
          <w:rFonts w:cs="Times New Roman"/>
          <w:color w:val="222222"/>
          <w:szCs w:val="24"/>
          <w:shd w:val="clear" w:color="auto" w:fill="FFFFFF"/>
        </w:rPr>
        <w:t>(11), pp.4483-4494.</w:t>
      </w:r>
    </w:p>
    <w:p w14:paraId="2660D3EC" w14:textId="77777777" w:rsidR="0027617E" w:rsidRPr="00930081" w:rsidRDefault="0027617E" w:rsidP="00C92608">
      <w:pPr>
        <w:ind w:left="720" w:hanging="720"/>
        <w:rPr>
          <w:shd w:val="clear" w:color="auto" w:fill="FFFFFF"/>
        </w:rPr>
      </w:pPr>
      <w:r w:rsidRPr="00930081">
        <w:rPr>
          <w:shd w:val="clear" w:color="auto" w:fill="FFFFFF"/>
        </w:rPr>
        <w:t>Financial Times (2024</w:t>
      </w:r>
      <w:r>
        <w:rPr>
          <w:shd w:val="clear" w:color="auto" w:fill="FFFFFF"/>
        </w:rPr>
        <w:t>)</w:t>
      </w:r>
      <w:r w:rsidRPr="00930081">
        <w:rPr>
          <w:shd w:val="clear" w:color="auto" w:fill="FFFFFF"/>
        </w:rPr>
        <w:t xml:space="preserve"> ‘Greggs forecasts sales to double by 2026’, </w:t>
      </w:r>
      <w:r w:rsidRPr="00930081">
        <w:rPr>
          <w:i/>
          <w:iCs/>
          <w:shd w:val="clear" w:color="auto" w:fill="FFFFFF"/>
        </w:rPr>
        <w:t>Financial Times</w:t>
      </w:r>
      <w:r w:rsidRPr="00930081">
        <w:rPr>
          <w:shd w:val="clear" w:color="auto" w:fill="FFFFFF"/>
        </w:rPr>
        <w:t xml:space="preserve">, 5 March. Available at: </w:t>
      </w:r>
      <w:hyperlink r:id="rId32" w:history="1">
        <w:r w:rsidRPr="00930081">
          <w:rPr>
            <w:rStyle w:val="Hyperlink"/>
            <w:shd w:val="clear" w:color="auto" w:fill="FFFFFF"/>
          </w:rPr>
          <w:t>https://www.ft.com/content/9090049f-0368-41b3-943b-25c8e833d54e</w:t>
        </w:r>
      </w:hyperlink>
      <w:r w:rsidRPr="00930081">
        <w:rPr>
          <w:shd w:val="clear" w:color="auto" w:fill="FFFFFF"/>
        </w:rPr>
        <w:t xml:space="preserve">  (Accessed 5 November 2025</w:t>
      </w:r>
      <w:r>
        <w:rPr>
          <w:shd w:val="clear" w:color="auto" w:fill="FFFFFF"/>
        </w:rPr>
        <w:t>)</w:t>
      </w:r>
    </w:p>
    <w:p w14:paraId="6BAED2CF" w14:textId="77777777" w:rsidR="0027617E" w:rsidRPr="00930081" w:rsidRDefault="0027617E" w:rsidP="00C92608">
      <w:pPr>
        <w:ind w:left="720" w:hanging="720"/>
        <w:rPr>
          <w:shd w:val="clear" w:color="auto" w:fill="FFFFFF"/>
        </w:rPr>
      </w:pPr>
      <w:r w:rsidRPr="00930081">
        <w:rPr>
          <w:shd w:val="clear" w:color="auto" w:fill="FFFFFF"/>
        </w:rPr>
        <w:t>FoodDrinkEurope (2024</w:t>
      </w:r>
      <w:r>
        <w:rPr>
          <w:shd w:val="clear" w:color="auto" w:fill="FFFFFF"/>
        </w:rPr>
        <w:t>)</w:t>
      </w:r>
      <w:r w:rsidRPr="00930081">
        <w:rPr>
          <w:shd w:val="clear" w:color="auto" w:fill="FFFFFF"/>
        </w:rPr>
        <w:t xml:space="preserve"> </w:t>
      </w:r>
      <w:r w:rsidRPr="00930081">
        <w:rPr>
          <w:i/>
          <w:iCs/>
          <w:shd w:val="clear" w:color="auto" w:fill="FFFFFF"/>
        </w:rPr>
        <w:t>Data and Trends of the EU Food and Drink Industry 2024</w:t>
      </w:r>
      <w:r w:rsidRPr="00930081">
        <w:rPr>
          <w:shd w:val="clear" w:color="auto" w:fill="FFFFFF"/>
        </w:rPr>
        <w:t xml:space="preserve"> (PDF), FoodDrinkEurope, Brussels. Available at: </w:t>
      </w:r>
      <w:hyperlink r:id="rId33" w:tgtFrame="_new" w:history="1">
        <w:r w:rsidRPr="00930081">
          <w:rPr>
            <w:rStyle w:val="Hyperlink"/>
            <w:shd w:val="clear" w:color="auto" w:fill="FFFFFF"/>
            <w:lang w:val="en-US"/>
          </w:rPr>
          <w:t>https://www.fooddrinkeurope.eu/wp-content/uploads/2025/01/FoodDrinkEurope-Data-Trends-2024.pdf</w:t>
        </w:r>
      </w:hyperlink>
      <w:r w:rsidRPr="00930081">
        <w:rPr>
          <w:shd w:val="clear" w:color="auto" w:fill="FFFFFF"/>
        </w:rPr>
        <w:t xml:space="preserve"> (Accessed 5 November 2025</w:t>
      </w:r>
      <w:r>
        <w:rPr>
          <w:shd w:val="clear" w:color="auto" w:fill="FFFFFF"/>
        </w:rPr>
        <w:t>)</w:t>
      </w:r>
    </w:p>
    <w:p w14:paraId="2CDA3361" w14:textId="77777777" w:rsidR="0027617E" w:rsidRPr="00E1588A" w:rsidRDefault="0027617E" w:rsidP="001B712F">
      <w:pPr>
        <w:ind w:left="720" w:hanging="720"/>
        <w:rPr>
          <w:rFonts w:cs="Times New Roman"/>
          <w:szCs w:val="24"/>
        </w:rPr>
      </w:pPr>
      <w:r w:rsidRPr="00E1588A">
        <w:rPr>
          <w:rFonts w:cs="Times New Roman"/>
          <w:szCs w:val="24"/>
        </w:rPr>
        <w:t xml:space="preserve">Fortune Business Insights, (2025). </w:t>
      </w:r>
      <w:r w:rsidRPr="00E1588A">
        <w:rPr>
          <w:rFonts w:cs="Times New Roman"/>
          <w:i/>
          <w:szCs w:val="24"/>
        </w:rPr>
        <w:t>Bakery Products Market.</w:t>
      </w:r>
      <w:r w:rsidRPr="00E1588A">
        <w:rPr>
          <w:rFonts w:cs="Times New Roman"/>
          <w:szCs w:val="24"/>
        </w:rPr>
        <w:t xml:space="preserve"> [Online] Available at: </w:t>
      </w:r>
      <w:hyperlink r:id="rId34" w:history="1">
        <w:r w:rsidRPr="00E1588A">
          <w:rPr>
            <w:rStyle w:val="Hyperlink"/>
            <w:rFonts w:cs="Times New Roman"/>
            <w:szCs w:val="24"/>
          </w:rPr>
          <w:t>https://www.fortunebusinessinsights.com/industry-reports/bakery-products-market-101472</w:t>
        </w:r>
      </w:hyperlink>
      <w:r w:rsidRPr="00E1588A">
        <w:rPr>
          <w:rFonts w:cs="Times New Roman"/>
          <w:szCs w:val="24"/>
        </w:rPr>
        <w:t xml:space="preserve"> [Accessed 10 October 2025].</w:t>
      </w:r>
    </w:p>
    <w:p w14:paraId="49F1E488" w14:textId="77777777" w:rsidR="0027617E" w:rsidRPr="00E1588A" w:rsidRDefault="0027617E" w:rsidP="001B712F">
      <w:pPr>
        <w:ind w:left="720" w:hanging="720"/>
        <w:rPr>
          <w:rFonts w:cs="Times New Roman"/>
          <w:color w:val="222222"/>
          <w:szCs w:val="24"/>
          <w:shd w:val="clear" w:color="auto" w:fill="FFFFFF"/>
        </w:rPr>
      </w:pPr>
      <w:r w:rsidRPr="00E1588A">
        <w:rPr>
          <w:rFonts w:cs="Times New Roman"/>
          <w:color w:val="222222"/>
          <w:szCs w:val="24"/>
          <w:shd w:val="clear" w:color="auto" w:fill="FFFFFF"/>
        </w:rPr>
        <w:t>Gmoser, R., Lennartsson, P.R. and Taherzadeh, M.J., (2021). From surplus bread to burger using filamentous fungi at bakeries: Techno-economical evaluation. </w:t>
      </w:r>
      <w:r w:rsidRPr="00E1588A">
        <w:rPr>
          <w:rFonts w:cs="Times New Roman"/>
          <w:i/>
          <w:iCs/>
          <w:color w:val="222222"/>
          <w:szCs w:val="24"/>
          <w:shd w:val="clear" w:color="auto" w:fill="FFFFFF"/>
        </w:rPr>
        <w:t>Cleaner Environmental Systems</w:t>
      </w:r>
      <w:r w:rsidRPr="00E1588A">
        <w:rPr>
          <w:rFonts w:cs="Times New Roman"/>
          <w:color w:val="222222"/>
          <w:szCs w:val="24"/>
          <w:shd w:val="clear" w:color="auto" w:fill="FFFFFF"/>
        </w:rPr>
        <w:t>, </w:t>
      </w:r>
      <w:r w:rsidRPr="00E1588A">
        <w:rPr>
          <w:rFonts w:cs="Times New Roman"/>
          <w:i/>
          <w:iCs/>
          <w:color w:val="222222"/>
          <w:szCs w:val="24"/>
          <w:shd w:val="clear" w:color="auto" w:fill="FFFFFF"/>
        </w:rPr>
        <w:t>2</w:t>
      </w:r>
      <w:r w:rsidRPr="00E1588A">
        <w:rPr>
          <w:rFonts w:cs="Times New Roman"/>
          <w:color w:val="222222"/>
          <w:szCs w:val="24"/>
          <w:shd w:val="clear" w:color="auto" w:fill="FFFFFF"/>
        </w:rPr>
        <w:t>, p.100020.</w:t>
      </w:r>
    </w:p>
    <w:p w14:paraId="5FD91C82" w14:textId="77777777" w:rsidR="0027617E" w:rsidRPr="00E1588A" w:rsidRDefault="0027617E" w:rsidP="001B712F">
      <w:pPr>
        <w:ind w:left="720" w:hanging="720"/>
        <w:rPr>
          <w:rFonts w:cs="Times New Roman"/>
          <w:color w:val="222222"/>
          <w:szCs w:val="24"/>
          <w:shd w:val="clear" w:color="auto" w:fill="FFFFFF"/>
        </w:rPr>
      </w:pPr>
      <w:r w:rsidRPr="00E1588A">
        <w:rPr>
          <w:rFonts w:cs="Times New Roman"/>
          <w:color w:val="222222"/>
          <w:szCs w:val="24"/>
          <w:shd w:val="clear" w:color="auto" w:fill="FFFFFF"/>
        </w:rPr>
        <w:t>Goryńska-Goldmann, E., Gazdecki, M. and Rejman, K., (2021). Benefits and Limitations of Methods of Measuring Food Losses and Their Economic and Non-Economic Significance—The Case of Bakery and Confectionery Industry. </w:t>
      </w:r>
      <w:r w:rsidRPr="00E1588A">
        <w:rPr>
          <w:rFonts w:cs="Times New Roman"/>
          <w:i/>
          <w:iCs/>
          <w:color w:val="222222"/>
          <w:szCs w:val="24"/>
          <w:shd w:val="clear" w:color="auto" w:fill="FFFFFF"/>
        </w:rPr>
        <w:t>Environ. Nat. Resour. J</w:t>
      </w:r>
      <w:r w:rsidRPr="00E1588A">
        <w:rPr>
          <w:rFonts w:cs="Times New Roman"/>
          <w:color w:val="222222"/>
          <w:szCs w:val="24"/>
          <w:shd w:val="clear" w:color="auto" w:fill="FFFFFF"/>
        </w:rPr>
        <w:t>, </w:t>
      </w:r>
      <w:r w:rsidRPr="00E1588A">
        <w:rPr>
          <w:rFonts w:cs="Times New Roman"/>
          <w:i/>
          <w:iCs/>
          <w:color w:val="222222"/>
          <w:szCs w:val="24"/>
          <w:shd w:val="clear" w:color="auto" w:fill="FFFFFF"/>
        </w:rPr>
        <w:t>32</w:t>
      </w:r>
      <w:r w:rsidRPr="00E1588A">
        <w:rPr>
          <w:rFonts w:cs="Times New Roman"/>
          <w:color w:val="222222"/>
          <w:szCs w:val="24"/>
          <w:shd w:val="clear" w:color="auto" w:fill="FFFFFF"/>
        </w:rPr>
        <w:t>, pp.20-28.</w:t>
      </w:r>
    </w:p>
    <w:p w14:paraId="27277EAB" w14:textId="77777777" w:rsidR="0027617E" w:rsidRPr="00930081" w:rsidRDefault="0027617E" w:rsidP="00C92608">
      <w:pPr>
        <w:ind w:left="720" w:hanging="720"/>
        <w:rPr>
          <w:shd w:val="clear" w:color="auto" w:fill="FFFFFF"/>
        </w:rPr>
      </w:pPr>
      <w:r w:rsidRPr="00930081">
        <w:rPr>
          <w:shd w:val="clear" w:color="auto" w:fill="FFFFFF"/>
        </w:rPr>
        <w:t>Greggs plc (2024</w:t>
      </w:r>
      <w:r>
        <w:rPr>
          <w:shd w:val="clear" w:color="auto" w:fill="FFFFFF"/>
        </w:rPr>
        <w:t>)</w:t>
      </w:r>
      <w:r w:rsidRPr="00930081">
        <w:rPr>
          <w:shd w:val="clear" w:color="auto" w:fill="FFFFFF"/>
        </w:rPr>
        <w:t xml:space="preserve"> </w:t>
      </w:r>
      <w:r w:rsidRPr="00930081">
        <w:rPr>
          <w:i/>
          <w:iCs/>
          <w:shd w:val="clear" w:color="auto" w:fill="FFFFFF"/>
        </w:rPr>
        <w:t>Annual Report and Accounts 2023</w:t>
      </w:r>
      <w:r w:rsidRPr="00930081">
        <w:rPr>
          <w:shd w:val="clear" w:color="auto" w:fill="FFFFFF"/>
        </w:rPr>
        <w:t xml:space="preserve">, Greggs plc, Newcastle upon Tyne. Available at: </w:t>
      </w:r>
      <w:hyperlink r:id="rId35" w:tgtFrame="_new" w:history="1">
        <w:r w:rsidRPr="00930081">
          <w:rPr>
            <w:rStyle w:val="Hyperlink"/>
            <w:shd w:val="clear" w:color="auto" w:fill="FFFFFF"/>
            <w:lang w:val="en-US"/>
          </w:rPr>
          <w:t>https://a.storyblok.com/f/162306/x/6191f7066b/greggs-annual-report-and-accounts-2023.pdf</w:t>
        </w:r>
      </w:hyperlink>
      <w:r w:rsidRPr="00930081">
        <w:rPr>
          <w:shd w:val="clear" w:color="auto" w:fill="FFFFFF"/>
        </w:rPr>
        <w:t xml:space="preserve"> (Accessed 5 November 2025</w:t>
      </w:r>
      <w:r>
        <w:rPr>
          <w:shd w:val="clear" w:color="auto" w:fill="FFFFFF"/>
        </w:rPr>
        <w:t>)</w:t>
      </w:r>
    </w:p>
    <w:p w14:paraId="31333EFD" w14:textId="77777777" w:rsidR="0027617E" w:rsidRPr="00930081" w:rsidRDefault="0027617E" w:rsidP="00C92608">
      <w:pPr>
        <w:ind w:left="720" w:hanging="720"/>
        <w:rPr>
          <w:shd w:val="clear" w:color="auto" w:fill="FFFFFF"/>
        </w:rPr>
      </w:pPr>
      <w:r w:rsidRPr="00930081">
        <w:rPr>
          <w:shd w:val="clear" w:color="auto" w:fill="FFFFFF"/>
        </w:rPr>
        <w:t>Greggs plc (2025</w:t>
      </w:r>
      <w:r>
        <w:rPr>
          <w:shd w:val="clear" w:color="auto" w:fill="FFFFFF"/>
        </w:rPr>
        <w:t>)</w:t>
      </w:r>
      <w:r w:rsidRPr="00930081">
        <w:rPr>
          <w:shd w:val="clear" w:color="auto" w:fill="FFFFFF"/>
        </w:rPr>
        <w:t xml:space="preserve"> </w:t>
      </w:r>
      <w:r w:rsidRPr="00930081">
        <w:rPr>
          <w:i/>
          <w:iCs/>
          <w:shd w:val="clear" w:color="auto" w:fill="FFFFFF"/>
        </w:rPr>
        <w:t>Annual Report and Accounts 2024</w:t>
      </w:r>
      <w:r w:rsidRPr="00930081">
        <w:rPr>
          <w:shd w:val="clear" w:color="auto" w:fill="FFFFFF"/>
        </w:rPr>
        <w:t xml:space="preserve"> (FCA filing, PDF), Financial Conduct Authority archive. Available at: </w:t>
      </w:r>
      <w:hyperlink r:id="rId36" w:tgtFrame="_new" w:history="1">
        <w:r w:rsidRPr="00930081">
          <w:rPr>
            <w:rStyle w:val="Hyperlink"/>
            <w:shd w:val="clear" w:color="auto" w:fill="FFFFFF"/>
            <w:lang w:val="en-US"/>
          </w:rPr>
          <w:t>https://data.fca.org.uk/artefacts/NSM/Portal/NI-000118042/NI-000118042.pdf</w:t>
        </w:r>
      </w:hyperlink>
      <w:r w:rsidRPr="00930081">
        <w:rPr>
          <w:shd w:val="clear" w:color="auto" w:fill="FFFFFF"/>
        </w:rPr>
        <w:t xml:space="preserve"> (Accessed 5 November 2025</w:t>
      </w:r>
      <w:r>
        <w:rPr>
          <w:shd w:val="clear" w:color="auto" w:fill="FFFFFF"/>
        </w:rPr>
        <w:t>)</w:t>
      </w:r>
    </w:p>
    <w:p w14:paraId="160433B9" w14:textId="77777777" w:rsidR="0027617E" w:rsidRPr="00E1588A" w:rsidRDefault="0027617E" w:rsidP="001B712F">
      <w:pPr>
        <w:ind w:left="720" w:hanging="720"/>
        <w:rPr>
          <w:rFonts w:cs="Times New Roman"/>
          <w:color w:val="222222"/>
          <w:szCs w:val="24"/>
          <w:shd w:val="clear" w:color="auto" w:fill="FFFFFF"/>
        </w:rPr>
      </w:pPr>
      <w:r w:rsidRPr="00E1588A">
        <w:rPr>
          <w:rFonts w:cs="Times New Roman"/>
          <w:color w:val="222222"/>
          <w:szCs w:val="24"/>
          <w:shd w:val="clear" w:color="auto" w:fill="FFFFFF"/>
        </w:rPr>
        <w:t>Guiné, R.P. and Florença, S.G., (2024). Development and characterisation of functional bakery products. </w:t>
      </w:r>
      <w:r w:rsidRPr="00E1588A">
        <w:rPr>
          <w:rFonts w:cs="Times New Roman"/>
          <w:i/>
          <w:iCs/>
          <w:color w:val="222222"/>
          <w:szCs w:val="24"/>
          <w:shd w:val="clear" w:color="auto" w:fill="FFFFFF"/>
        </w:rPr>
        <w:t>Physchem</w:t>
      </w:r>
      <w:r w:rsidRPr="00E1588A">
        <w:rPr>
          <w:rFonts w:cs="Times New Roman"/>
          <w:color w:val="222222"/>
          <w:szCs w:val="24"/>
          <w:shd w:val="clear" w:color="auto" w:fill="FFFFFF"/>
        </w:rPr>
        <w:t>, </w:t>
      </w:r>
      <w:r w:rsidRPr="00E1588A">
        <w:rPr>
          <w:rFonts w:cs="Times New Roman"/>
          <w:i/>
          <w:iCs/>
          <w:color w:val="222222"/>
          <w:szCs w:val="24"/>
          <w:shd w:val="clear" w:color="auto" w:fill="FFFFFF"/>
        </w:rPr>
        <w:t>4</w:t>
      </w:r>
      <w:r w:rsidRPr="00E1588A">
        <w:rPr>
          <w:rFonts w:cs="Times New Roman"/>
          <w:color w:val="222222"/>
          <w:szCs w:val="24"/>
          <w:shd w:val="clear" w:color="auto" w:fill="FFFFFF"/>
        </w:rPr>
        <w:t>(3), pp.234-257.</w:t>
      </w:r>
    </w:p>
    <w:p w14:paraId="3A410272" w14:textId="77777777" w:rsidR="0027617E" w:rsidRPr="00E1588A" w:rsidRDefault="0027617E" w:rsidP="001B712F">
      <w:pPr>
        <w:ind w:left="720" w:hanging="720"/>
        <w:rPr>
          <w:rFonts w:cs="Times New Roman"/>
          <w:color w:val="222222"/>
          <w:szCs w:val="24"/>
          <w:shd w:val="clear" w:color="auto" w:fill="FFFFFF"/>
        </w:rPr>
      </w:pPr>
      <w:r w:rsidRPr="00E1588A">
        <w:rPr>
          <w:rFonts w:cs="Times New Roman"/>
          <w:color w:val="222222"/>
          <w:szCs w:val="24"/>
          <w:shd w:val="clear" w:color="auto" w:fill="FFFFFF"/>
        </w:rPr>
        <w:t>Hübner, D.S., (2024). Case study on sustainability as an influencing factor on the purchasing behaviour of bakery consumers-Consumption behaviour of baked goods among the urban population in Germany. Springer International Publishing.</w:t>
      </w:r>
    </w:p>
    <w:p w14:paraId="6B0798C4" w14:textId="77777777" w:rsidR="0027617E" w:rsidRPr="00930081" w:rsidRDefault="0027617E" w:rsidP="00C92608">
      <w:pPr>
        <w:ind w:left="720" w:hanging="720"/>
        <w:rPr>
          <w:shd w:val="clear" w:color="auto" w:fill="FFFFFF"/>
        </w:rPr>
      </w:pPr>
      <w:r w:rsidRPr="00930081">
        <w:rPr>
          <w:shd w:val="clear" w:color="auto" w:fill="FFFFFF"/>
        </w:rPr>
        <w:t>Kamps (2025</w:t>
      </w:r>
      <w:r>
        <w:rPr>
          <w:shd w:val="clear" w:color="auto" w:fill="FFFFFF"/>
        </w:rPr>
        <w:t>)</w:t>
      </w:r>
      <w:r w:rsidRPr="00930081">
        <w:rPr>
          <w:shd w:val="clear" w:color="auto" w:fill="FFFFFF"/>
        </w:rPr>
        <w:t xml:space="preserve"> </w:t>
      </w:r>
      <w:r w:rsidRPr="00930081">
        <w:rPr>
          <w:i/>
          <w:iCs/>
          <w:shd w:val="clear" w:color="auto" w:fill="FFFFFF"/>
        </w:rPr>
        <w:t>Brand overview</w:t>
      </w:r>
      <w:r w:rsidRPr="00930081">
        <w:rPr>
          <w:shd w:val="clear" w:color="auto" w:fill="FFFFFF"/>
        </w:rPr>
        <w:t xml:space="preserve"> (web), Groupe Le Duff / Kamps, Düsseldorf. Available at: </w:t>
      </w:r>
      <w:hyperlink r:id="rId37" w:tgtFrame="_new" w:history="1">
        <w:r w:rsidRPr="00930081">
          <w:rPr>
            <w:rStyle w:val="Hyperlink"/>
            <w:shd w:val="clear" w:color="auto" w:fill="FFFFFF"/>
            <w:lang w:val="en-US"/>
          </w:rPr>
          <w:t>https://en.groupeleduff.com/enseignes/kamps</w:t>
        </w:r>
      </w:hyperlink>
      <w:r w:rsidRPr="00930081">
        <w:rPr>
          <w:shd w:val="clear" w:color="auto" w:fill="FFFFFF"/>
        </w:rPr>
        <w:t xml:space="preserve"> (Accessed 5 November 2025</w:t>
      </w:r>
      <w:r>
        <w:rPr>
          <w:shd w:val="clear" w:color="auto" w:fill="FFFFFF"/>
        </w:rPr>
        <w:t>)</w:t>
      </w:r>
    </w:p>
    <w:p w14:paraId="1D7C90BD" w14:textId="77777777" w:rsidR="0027617E" w:rsidRPr="00930081" w:rsidRDefault="0027617E" w:rsidP="00C92608">
      <w:pPr>
        <w:ind w:left="720" w:hanging="720"/>
        <w:rPr>
          <w:shd w:val="clear" w:color="auto" w:fill="FFFFFF"/>
        </w:rPr>
      </w:pPr>
      <w:r w:rsidRPr="00930081">
        <w:rPr>
          <w:shd w:val="clear" w:color="auto" w:fill="FFFFFF"/>
        </w:rPr>
        <w:t>Kumar, P., Kashyap, S., Mandal, D. K., and Dhar, S. (2025</w:t>
      </w:r>
      <w:r>
        <w:rPr>
          <w:shd w:val="clear" w:color="auto" w:fill="FFFFFF"/>
        </w:rPr>
        <w:t>)</w:t>
      </w:r>
      <w:r w:rsidRPr="00930081">
        <w:rPr>
          <w:shd w:val="clear" w:color="auto" w:fill="FFFFFF"/>
        </w:rPr>
        <w:t xml:space="preserve"> The Shift From Demographics to Psychographics: New Era in Market Segmentation. In </w:t>
      </w:r>
      <w:r w:rsidRPr="00930081">
        <w:rPr>
          <w:i/>
          <w:iCs/>
          <w:shd w:val="clear" w:color="auto" w:fill="FFFFFF"/>
        </w:rPr>
        <w:t>Multiple-Criteria Decision-Making (MCDM) Techniques and Statistics in Marketing</w:t>
      </w:r>
      <w:r w:rsidRPr="00930081">
        <w:rPr>
          <w:shd w:val="clear" w:color="auto" w:fill="FFFFFF"/>
        </w:rPr>
        <w:t> (pp. 547-568</w:t>
      </w:r>
      <w:r>
        <w:rPr>
          <w:shd w:val="clear" w:color="auto" w:fill="FFFFFF"/>
        </w:rPr>
        <w:t>)</w:t>
      </w:r>
      <w:r w:rsidRPr="00930081">
        <w:rPr>
          <w:shd w:val="clear" w:color="auto" w:fill="FFFFFF"/>
        </w:rPr>
        <w:t xml:space="preserve"> IGI Global Scientific Publishing. Available at: </w:t>
      </w:r>
      <w:hyperlink r:id="rId38" w:history="1">
        <w:r w:rsidRPr="00930081">
          <w:rPr>
            <w:rStyle w:val="Hyperlink"/>
            <w:shd w:val="clear" w:color="auto" w:fill="FFFFFF"/>
          </w:rPr>
          <w:t>https://www.igi-global.com/chapter/the-shift-from-demographics-to-psychographics/372414</w:t>
        </w:r>
      </w:hyperlink>
      <w:r w:rsidRPr="00930081">
        <w:rPr>
          <w:shd w:val="clear" w:color="auto" w:fill="FFFFFF"/>
        </w:rPr>
        <w:t xml:space="preserve"> </w:t>
      </w:r>
    </w:p>
    <w:p w14:paraId="4EC96E1D" w14:textId="77777777" w:rsidR="0027617E" w:rsidRPr="00E1588A" w:rsidRDefault="0027617E" w:rsidP="001B712F">
      <w:pPr>
        <w:ind w:left="720" w:hanging="720"/>
        <w:rPr>
          <w:rFonts w:cs="Times New Roman"/>
          <w:color w:val="222222"/>
          <w:szCs w:val="24"/>
          <w:shd w:val="clear" w:color="auto" w:fill="FFFFFF"/>
        </w:rPr>
      </w:pPr>
      <w:r w:rsidRPr="00E1588A">
        <w:rPr>
          <w:rFonts w:cs="Times New Roman"/>
          <w:color w:val="222222"/>
          <w:szCs w:val="24"/>
          <w:shd w:val="clear" w:color="auto" w:fill="FFFFFF"/>
        </w:rPr>
        <w:t>Lederwascher, K.M., (2022). </w:t>
      </w:r>
      <w:r w:rsidRPr="00E1588A">
        <w:rPr>
          <w:rFonts w:cs="Times New Roman"/>
          <w:i/>
          <w:iCs/>
          <w:color w:val="222222"/>
          <w:szCs w:val="24"/>
          <w:shd w:val="clear" w:color="auto" w:fill="FFFFFF"/>
        </w:rPr>
        <w:t>Field Lab on Internationalisation-The Case of Bakery Goods in Germany</w:t>
      </w:r>
      <w:r w:rsidRPr="00E1588A">
        <w:rPr>
          <w:rFonts w:cs="Times New Roman"/>
          <w:color w:val="222222"/>
          <w:szCs w:val="24"/>
          <w:shd w:val="clear" w:color="auto" w:fill="FFFFFF"/>
        </w:rPr>
        <w:t> (Master's thesis, Universidade NOVA de Lisboa (Portugal)). Springer International Publishing.</w:t>
      </w:r>
    </w:p>
    <w:p w14:paraId="20922501" w14:textId="77777777" w:rsidR="0027617E" w:rsidRPr="00930081" w:rsidRDefault="0027617E" w:rsidP="00C92608">
      <w:pPr>
        <w:ind w:left="720" w:hanging="720"/>
        <w:rPr>
          <w:shd w:val="clear" w:color="auto" w:fill="FFFFFF"/>
        </w:rPr>
      </w:pPr>
      <w:r w:rsidRPr="00930081">
        <w:rPr>
          <w:shd w:val="clear" w:color="auto" w:fill="FFFFFF"/>
        </w:rPr>
        <w:t xml:space="preserve">Li, K. (2024) </w:t>
      </w:r>
      <w:r w:rsidRPr="00930081">
        <w:rPr>
          <w:i/>
          <w:iCs/>
          <w:shd w:val="clear" w:color="auto" w:fill="FFFFFF"/>
        </w:rPr>
        <w:t>“STP theory (drafted by author)”</w:t>
      </w:r>
      <w:r w:rsidRPr="00930081">
        <w:rPr>
          <w:shd w:val="clear" w:color="auto" w:fill="FFFFFF"/>
        </w:rPr>
        <w:t xml:space="preserve"> [online image]. In: Li K., “Analysis of the Marketing Strategy of HEYTEA” [article]. Available at: </w:t>
      </w:r>
      <w:hyperlink r:id="rId39" w:tgtFrame="_new" w:history="1">
        <w:r w:rsidRPr="00930081">
          <w:rPr>
            <w:rStyle w:val="Hyperlink"/>
            <w:shd w:val="clear" w:color="auto" w:fill="FFFFFF"/>
          </w:rPr>
          <w:t>https://www.researchgate.net/figure/STP-theory-drafted-by-author_fig1_368979292</w:t>
        </w:r>
      </w:hyperlink>
      <w:r w:rsidRPr="00930081">
        <w:rPr>
          <w:shd w:val="clear" w:color="auto" w:fill="FFFFFF"/>
        </w:rPr>
        <w:t xml:space="preserve"> (Accessed: 5 November 2025</w:t>
      </w:r>
      <w:r>
        <w:rPr>
          <w:shd w:val="clear" w:color="auto" w:fill="FFFFFF"/>
        </w:rPr>
        <w:t>)</w:t>
      </w:r>
    </w:p>
    <w:p w14:paraId="21A2625E" w14:textId="77777777" w:rsidR="0027617E" w:rsidRPr="00930081" w:rsidRDefault="0027617E" w:rsidP="00C92608">
      <w:pPr>
        <w:ind w:left="720" w:hanging="720"/>
        <w:rPr>
          <w:shd w:val="clear" w:color="auto" w:fill="FFFFFF"/>
        </w:rPr>
      </w:pPr>
      <w:r w:rsidRPr="00930081">
        <w:rPr>
          <w:shd w:val="clear" w:color="auto" w:fill="FFFFFF"/>
        </w:rPr>
        <w:t>Maddren, E. (2024</w:t>
      </w:r>
      <w:r>
        <w:rPr>
          <w:shd w:val="clear" w:color="auto" w:fill="FFFFFF"/>
        </w:rPr>
        <w:t>)</w:t>
      </w:r>
      <w:r w:rsidRPr="00930081">
        <w:rPr>
          <w:shd w:val="clear" w:color="auto" w:fill="FFFFFF"/>
        </w:rPr>
        <w:t xml:space="preserve"> </w:t>
      </w:r>
      <w:r w:rsidRPr="00930081">
        <w:rPr>
          <w:i/>
          <w:iCs/>
          <w:shd w:val="clear" w:color="auto" w:fill="FFFFFF"/>
        </w:rPr>
        <w:t>The Foodservice Landscape in Germany</w:t>
      </w:r>
      <w:r w:rsidRPr="00930081">
        <w:rPr>
          <w:shd w:val="clear" w:color="auto" w:fill="FFFFFF"/>
        </w:rPr>
        <w:t xml:space="preserve"> (PDF), NZTE Market Research, November 2024. Available at: </w:t>
      </w:r>
      <w:hyperlink r:id="rId40" w:tgtFrame="_new" w:history="1">
        <w:r w:rsidRPr="00930081">
          <w:rPr>
            <w:rStyle w:val="Hyperlink"/>
            <w:shd w:val="clear" w:color="auto" w:fill="FFFFFF"/>
            <w:lang w:val="en-US"/>
          </w:rPr>
          <w:t>https://assets.ctfassets.net/pn8wbiqtnzw9/pYLNDZOn9rZxkM6vOidhF/efd115ceb4b601afa74b83488f123521/Foodservice_in_Germany_-_Nov_24_update.pdf</w:t>
        </w:r>
      </w:hyperlink>
      <w:r w:rsidRPr="00930081">
        <w:rPr>
          <w:shd w:val="clear" w:color="auto" w:fill="FFFFFF"/>
        </w:rPr>
        <w:t xml:space="preserve"> (Accessed 5 November 2025</w:t>
      </w:r>
      <w:r>
        <w:rPr>
          <w:shd w:val="clear" w:color="auto" w:fill="FFFFFF"/>
        </w:rPr>
        <w:t>)</w:t>
      </w:r>
    </w:p>
    <w:p w14:paraId="6DA4832B" w14:textId="77777777" w:rsidR="0027617E" w:rsidRPr="00930081" w:rsidRDefault="0027617E" w:rsidP="00C92608">
      <w:pPr>
        <w:ind w:left="720" w:hanging="720"/>
        <w:rPr>
          <w:shd w:val="clear" w:color="auto" w:fill="FFFFFF"/>
        </w:rPr>
      </w:pPr>
      <w:r w:rsidRPr="00930081">
        <w:rPr>
          <w:shd w:val="clear" w:color="auto" w:fill="FFFFFF"/>
        </w:rPr>
        <w:t xml:space="preserve">Mao, N. (2023) </w:t>
      </w:r>
      <w:r w:rsidRPr="00930081">
        <w:rPr>
          <w:i/>
          <w:iCs/>
          <w:shd w:val="clear" w:color="auto" w:fill="FFFFFF"/>
        </w:rPr>
        <w:t>“Porter’s five forces model of enterprises”</w:t>
      </w:r>
      <w:r w:rsidRPr="00930081">
        <w:rPr>
          <w:shd w:val="clear" w:color="auto" w:fill="FFFFFF"/>
        </w:rPr>
        <w:t xml:space="preserve"> [online image]. Available at: </w:t>
      </w:r>
      <w:hyperlink r:id="rId41" w:tgtFrame="_new" w:history="1">
        <w:r w:rsidRPr="00930081">
          <w:rPr>
            <w:rStyle w:val="Hyperlink"/>
            <w:shd w:val="clear" w:color="auto" w:fill="FFFFFF"/>
          </w:rPr>
          <w:t>https://www.researchgate.net/figure/Porters-five-forces-model-of-enterprises_fig1_375864278</w:t>
        </w:r>
      </w:hyperlink>
      <w:r w:rsidRPr="00930081">
        <w:rPr>
          <w:shd w:val="clear" w:color="auto" w:fill="FFFFFF"/>
        </w:rPr>
        <w:t xml:space="preserve"> (Accessed: 5 November 2025</w:t>
      </w:r>
      <w:r>
        <w:rPr>
          <w:shd w:val="clear" w:color="auto" w:fill="FFFFFF"/>
        </w:rPr>
        <w:t>)</w:t>
      </w:r>
      <w:r w:rsidRPr="00930081">
        <w:rPr>
          <w:shd w:val="clear" w:color="auto" w:fill="FFFFFF"/>
        </w:rPr>
        <w:t xml:space="preserve"> </w:t>
      </w:r>
    </w:p>
    <w:p w14:paraId="5B48EC59" w14:textId="77777777" w:rsidR="0027617E" w:rsidRPr="00E1588A" w:rsidRDefault="0027617E" w:rsidP="001B712F">
      <w:pPr>
        <w:ind w:left="720" w:hanging="720"/>
        <w:rPr>
          <w:rFonts w:cs="Times New Roman"/>
          <w:szCs w:val="24"/>
        </w:rPr>
      </w:pPr>
      <w:r w:rsidRPr="00E1588A">
        <w:rPr>
          <w:rFonts w:cs="Times New Roman"/>
          <w:szCs w:val="24"/>
        </w:rPr>
        <w:t xml:space="preserve">Market Research Future, (2025). </w:t>
      </w:r>
      <w:r w:rsidRPr="00E1588A">
        <w:rPr>
          <w:rFonts w:cs="Times New Roman"/>
          <w:i/>
          <w:szCs w:val="24"/>
        </w:rPr>
        <w:t>Germany Bakery Products Market.</w:t>
      </w:r>
      <w:r w:rsidRPr="00E1588A">
        <w:rPr>
          <w:rFonts w:cs="Times New Roman"/>
          <w:szCs w:val="24"/>
        </w:rPr>
        <w:t xml:space="preserve"> [Online]  Available at: </w:t>
      </w:r>
      <w:hyperlink r:id="rId42" w:history="1">
        <w:r w:rsidRPr="00E1588A">
          <w:rPr>
            <w:rStyle w:val="Hyperlink"/>
            <w:rFonts w:cs="Times New Roman"/>
            <w:szCs w:val="24"/>
          </w:rPr>
          <w:t>https://www.marketresearchfuture.com/reports/germany-bakery-products-market-46412</w:t>
        </w:r>
      </w:hyperlink>
      <w:r w:rsidRPr="00E1588A">
        <w:rPr>
          <w:rFonts w:cs="Times New Roman"/>
          <w:szCs w:val="24"/>
        </w:rPr>
        <w:t xml:space="preserve"> [Accessed 5 October 2025].</w:t>
      </w:r>
    </w:p>
    <w:p w14:paraId="17A0098C" w14:textId="77777777" w:rsidR="0027617E" w:rsidRPr="00930081" w:rsidRDefault="0027617E" w:rsidP="00C92608">
      <w:pPr>
        <w:ind w:left="720" w:hanging="720"/>
        <w:rPr>
          <w:shd w:val="clear" w:color="auto" w:fill="FFFFFF"/>
        </w:rPr>
      </w:pPr>
      <w:r w:rsidRPr="00930081">
        <w:rPr>
          <w:shd w:val="clear" w:color="auto" w:fill="FFFFFF"/>
        </w:rPr>
        <w:t xml:space="preserve">Mazikana, A.T. (2023) </w:t>
      </w:r>
      <w:r w:rsidRPr="00930081">
        <w:rPr>
          <w:i/>
          <w:iCs/>
          <w:shd w:val="clear" w:color="auto" w:fill="FFFFFF"/>
        </w:rPr>
        <w:t>“The VRIO framework (Source: Chapman 2018)”</w:t>
      </w:r>
      <w:r w:rsidRPr="00930081">
        <w:rPr>
          <w:shd w:val="clear" w:color="auto" w:fill="FFFFFF"/>
        </w:rPr>
        <w:t xml:space="preserve"> [online image]. Available at: </w:t>
      </w:r>
      <w:hyperlink r:id="rId43" w:tgtFrame="_new" w:history="1">
        <w:r w:rsidRPr="00930081">
          <w:rPr>
            <w:rStyle w:val="Hyperlink"/>
            <w:shd w:val="clear" w:color="auto" w:fill="FFFFFF"/>
          </w:rPr>
          <w:t>https://www.researchgate.net/figure/The-VRIO-framework-Source-Chapman-2018_fig1_376076598</w:t>
        </w:r>
      </w:hyperlink>
      <w:r w:rsidRPr="00930081">
        <w:rPr>
          <w:shd w:val="clear" w:color="auto" w:fill="FFFFFF"/>
        </w:rPr>
        <w:t xml:space="preserve"> (Accessed: 5 November 2025</w:t>
      </w:r>
      <w:r>
        <w:rPr>
          <w:shd w:val="clear" w:color="auto" w:fill="FFFFFF"/>
        </w:rPr>
        <w:t>)</w:t>
      </w:r>
    </w:p>
    <w:p w14:paraId="719AF2F5" w14:textId="77777777" w:rsidR="0027617E" w:rsidRPr="00E1588A" w:rsidRDefault="0027617E" w:rsidP="001B712F">
      <w:pPr>
        <w:ind w:left="720" w:hanging="720"/>
        <w:rPr>
          <w:rFonts w:cs="Times New Roman"/>
          <w:color w:val="222222"/>
          <w:szCs w:val="24"/>
          <w:shd w:val="clear" w:color="auto" w:fill="FFFFFF"/>
        </w:rPr>
      </w:pPr>
      <w:r w:rsidRPr="00E1588A">
        <w:rPr>
          <w:rFonts w:cs="Times New Roman"/>
          <w:color w:val="222222"/>
          <w:szCs w:val="24"/>
          <w:shd w:val="clear" w:color="auto" w:fill="FFFFFF"/>
        </w:rPr>
        <w:t>Mehdi, M.M., Rakshit, S., Sarma, T.R., Joshi, M. and Nille, N., (2022). Entrepreneurship and innovation in the bakery industry: A case study of Ganesh Bakery. </w:t>
      </w:r>
      <w:r w:rsidRPr="00E1588A">
        <w:rPr>
          <w:rFonts w:cs="Times New Roman"/>
          <w:i/>
          <w:iCs/>
          <w:color w:val="222222"/>
          <w:szCs w:val="24"/>
          <w:shd w:val="clear" w:color="auto" w:fill="FFFFFF"/>
        </w:rPr>
        <w:t>FIIB Business Review</w:t>
      </w:r>
      <w:r w:rsidRPr="00E1588A">
        <w:rPr>
          <w:rFonts w:cs="Times New Roman"/>
          <w:color w:val="222222"/>
          <w:szCs w:val="24"/>
          <w:shd w:val="clear" w:color="auto" w:fill="FFFFFF"/>
        </w:rPr>
        <w:t>, </w:t>
      </w:r>
      <w:r w:rsidRPr="00E1588A">
        <w:rPr>
          <w:rFonts w:cs="Times New Roman"/>
          <w:i/>
          <w:iCs/>
          <w:color w:val="222222"/>
          <w:szCs w:val="24"/>
          <w:shd w:val="clear" w:color="auto" w:fill="FFFFFF"/>
        </w:rPr>
        <w:t>11</w:t>
      </w:r>
      <w:r w:rsidRPr="00E1588A">
        <w:rPr>
          <w:rFonts w:cs="Times New Roman"/>
          <w:color w:val="222222"/>
          <w:szCs w:val="24"/>
          <w:shd w:val="clear" w:color="auto" w:fill="FFFFFF"/>
        </w:rPr>
        <w:t>(1), pp.30-35.</w:t>
      </w:r>
    </w:p>
    <w:p w14:paraId="60679C8F" w14:textId="77777777" w:rsidR="0027617E" w:rsidRPr="00930081" w:rsidRDefault="0027617E" w:rsidP="00C92608">
      <w:pPr>
        <w:ind w:left="720" w:hanging="720"/>
        <w:rPr>
          <w:shd w:val="clear" w:color="auto" w:fill="FFFFFF"/>
        </w:rPr>
      </w:pPr>
      <w:r w:rsidRPr="00930081">
        <w:rPr>
          <w:shd w:val="clear" w:color="auto" w:fill="FFFFFF"/>
        </w:rPr>
        <w:t xml:space="preserve">Melecky, A. and Macháček, M. (2010) </w:t>
      </w:r>
      <w:r w:rsidRPr="00930081">
        <w:rPr>
          <w:i/>
          <w:iCs/>
          <w:shd w:val="clear" w:color="auto" w:fill="FFFFFF"/>
        </w:rPr>
        <w:t>Global Gross Domestic Product (GDP) Growth: Quarter-over-quarter percentage change</w:t>
      </w:r>
      <w:r w:rsidRPr="00930081">
        <w:rPr>
          <w:shd w:val="clear" w:color="auto" w:fill="FFFFFF"/>
        </w:rPr>
        <w:t xml:space="preserve"> [online image]. Uploaded at ResearchGate. Source: IMF World Economic Outlook Update, July 2009. Available at: </w:t>
      </w:r>
      <w:hyperlink r:id="rId44" w:tgtFrame="_new" w:history="1">
        <w:r w:rsidRPr="00930081">
          <w:rPr>
            <w:rStyle w:val="Hyperlink"/>
            <w:shd w:val="clear" w:color="auto" w:fill="FFFFFF"/>
          </w:rPr>
          <w:t>https://www.researchgate.net/figure/Global-Gross-Domestic-Product-GDP-Growth-Quarter-over-quarter-percentage-change_fig1_227636658</w:t>
        </w:r>
      </w:hyperlink>
      <w:r w:rsidRPr="00930081">
        <w:rPr>
          <w:shd w:val="clear" w:color="auto" w:fill="FFFFFF"/>
        </w:rPr>
        <w:t xml:space="preserve"> (Accessed: 5 November 2025</w:t>
      </w:r>
      <w:r>
        <w:rPr>
          <w:shd w:val="clear" w:color="auto" w:fill="FFFFFF"/>
        </w:rPr>
        <w:t>)</w:t>
      </w:r>
      <w:r w:rsidRPr="00930081">
        <w:rPr>
          <w:shd w:val="clear" w:color="auto" w:fill="FFFFFF"/>
        </w:rPr>
        <w:t xml:space="preserve"> </w:t>
      </w:r>
    </w:p>
    <w:p w14:paraId="01EE0806" w14:textId="77777777" w:rsidR="0027617E" w:rsidRPr="00930081" w:rsidRDefault="0027617E" w:rsidP="00C92608">
      <w:pPr>
        <w:ind w:left="720" w:hanging="720"/>
        <w:rPr>
          <w:shd w:val="clear" w:color="auto" w:fill="FFFFFF"/>
        </w:rPr>
      </w:pPr>
      <w:r w:rsidRPr="00930081">
        <w:rPr>
          <w:shd w:val="clear" w:color="auto" w:fill="FFFFFF"/>
        </w:rPr>
        <w:t>Minimum Wage Commission (Mindestlohnkommission) (2023</w:t>
      </w:r>
      <w:r>
        <w:rPr>
          <w:shd w:val="clear" w:color="auto" w:fill="FFFFFF"/>
        </w:rPr>
        <w:t>)</w:t>
      </w:r>
      <w:r w:rsidRPr="00930081">
        <w:rPr>
          <w:shd w:val="clear" w:color="auto" w:fill="FFFFFF"/>
        </w:rPr>
        <w:t xml:space="preserve"> </w:t>
      </w:r>
      <w:r w:rsidRPr="00930081">
        <w:rPr>
          <w:i/>
          <w:iCs/>
          <w:shd w:val="clear" w:color="auto" w:fill="FFFFFF"/>
        </w:rPr>
        <w:t>Evolution of the minimum wage</w:t>
      </w:r>
      <w:r w:rsidRPr="00930081">
        <w:rPr>
          <w:shd w:val="clear" w:color="auto" w:fill="FFFFFF"/>
        </w:rPr>
        <w:t xml:space="preserve"> (web), MLK, Berlin. Available at: </w:t>
      </w:r>
      <w:hyperlink r:id="rId45" w:tgtFrame="_new" w:history="1">
        <w:r w:rsidRPr="00930081">
          <w:rPr>
            <w:rStyle w:val="Hyperlink"/>
            <w:shd w:val="clear" w:color="auto" w:fill="FFFFFF"/>
            <w:lang w:val="en-US"/>
          </w:rPr>
          <w:t>https://www.mindestlohn-kommission.de/en/Information-on-the-minimum-wage/Evolution-of-the-minimum-wage</w:t>
        </w:r>
      </w:hyperlink>
      <w:r w:rsidRPr="00930081">
        <w:rPr>
          <w:shd w:val="clear" w:color="auto" w:fill="FFFFFF"/>
        </w:rPr>
        <w:t xml:space="preserve"> (Accessed 5 November 2025</w:t>
      </w:r>
      <w:r>
        <w:rPr>
          <w:shd w:val="clear" w:color="auto" w:fill="FFFFFF"/>
        </w:rPr>
        <w:t>)</w:t>
      </w:r>
    </w:p>
    <w:p w14:paraId="23B67B24" w14:textId="77777777" w:rsidR="0027617E" w:rsidRPr="00E1588A" w:rsidRDefault="0027617E" w:rsidP="001B712F">
      <w:pPr>
        <w:ind w:left="720" w:hanging="720"/>
        <w:rPr>
          <w:rFonts w:cs="Times New Roman"/>
          <w:color w:val="222222"/>
          <w:szCs w:val="24"/>
          <w:shd w:val="clear" w:color="auto" w:fill="FFFFFF"/>
        </w:rPr>
      </w:pPr>
      <w:r w:rsidRPr="00E1588A">
        <w:rPr>
          <w:rFonts w:cs="Times New Roman"/>
          <w:color w:val="222222"/>
          <w:szCs w:val="24"/>
          <w:shd w:val="clear" w:color="auto" w:fill="FFFFFF"/>
        </w:rPr>
        <w:t>Nakatani, R., (2024). Food companies' productivity dynamics: Exploring the role of intangible assets. </w:t>
      </w:r>
      <w:r w:rsidRPr="00E1588A">
        <w:rPr>
          <w:rFonts w:cs="Times New Roman"/>
          <w:i/>
          <w:iCs/>
          <w:color w:val="222222"/>
          <w:szCs w:val="24"/>
          <w:shd w:val="clear" w:color="auto" w:fill="FFFFFF"/>
        </w:rPr>
        <w:t>Agribusiness</w:t>
      </w:r>
      <w:r w:rsidRPr="00E1588A">
        <w:rPr>
          <w:rFonts w:cs="Times New Roman"/>
          <w:color w:val="222222"/>
          <w:szCs w:val="24"/>
          <w:shd w:val="clear" w:color="auto" w:fill="FFFFFF"/>
        </w:rPr>
        <w:t>, </w:t>
      </w:r>
      <w:r w:rsidRPr="00E1588A">
        <w:rPr>
          <w:rFonts w:cs="Times New Roman"/>
          <w:i/>
          <w:iCs/>
          <w:color w:val="222222"/>
          <w:szCs w:val="24"/>
          <w:shd w:val="clear" w:color="auto" w:fill="FFFFFF"/>
        </w:rPr>
        <w:t>40</w:t>
      </w:r>
      <w:r w:rsidRPr="00E1588A">
        <w:rPr>
          <w:rFonts w:cs="Times New Roman"/>
          <w:color w:val="222222"/>
          <w:szCs w:val="24"/>
          <w:shd w:val="clear" w:color="auto" w:fill="FFFFFF"/>
        </w:rPr>
        <w:t>(1), pp.185-226.</w:t>
      </w:r>
    </w:p>
    <w:p w14:paraId="2A9EC6F5" w14:textId="77777777" w:rsidR="0027617E" w:rsidRPr="00E1588A" w:rsidRDefault="0027617E" w:rsidP="001B712F">
      <w:pPr>
        <w:ind w:left="720" w:hanging="720"/>
        <w:rPr>
          <w:rFonts w:cs="Times New Roman"/>
          <w:szCs w:val="24"/>
        </w:rPr>
      </w:pPr>
      <w:r w:rsidRPr="00E1588A">
        <w:rPr>
          <w:rFonts w:cs="Times New Roman"/>
          <w:szCs w:val="24"/>
        </w:rPr>
        <w:t xml:space="preserve">Novonesis, (2024). </w:t>
      </w:r>
      <w:r w:rsidRPr="00E1588A">
        <w:rPr>
          <w:rFonts w:cs="Times New Roman"/>
          <w:i/>
          <w:szCs w:val="24"/>
        </w:rPr>
        <w:t>The time for baking biosolutions is now..</w:t>
      </w:r>
      <w:r w:rsidRPr="00E1588A">
        <w:rPr>
          <w:rFonts w:cs="Times New Roman"/>
          <w:szCs w:val="24"/>
        </w:rPr>
        <w:t xml:space="preserve"> [Online]  Available at: </w:t>
      </w:r>
      <w:hyperlink r:id="rId46" w:history="1">
        <w:r w:rsidRPr="00E1588A">
          <w:rPr>
            <w:rStyle w:val="Hyperlink"/>
            <w:rFonts w:cs="Times New Roman"/>
            <w:szCs w:val="24"/>
          </w:rPr>
          <w:t>https://www.novonesis.com/en/biosolutions/food-and-beverages/baking/newsletter?utm_source=google&amp;utm_medium=cpc&amp;utm_campaign=ba_gl_lead_newsletter&amp;utm_content=ge_defensivesem&amp;utm_term=baking%20industry%20trends&amp;gad_source=1&amp;gad_campaignid=23218763996&amp;gbra</w:t>
        </w:r>
      </w:hyperlink>
      <w:r w:rsidRPr="00E1588A">
        <w:rPr>
          <w:rFonts w:cs="Times New Roman"/>
          <w:szCs w:val="24"/>
        </w:rPr>
        <w:t xml:space="preserve"> [Accessed 2 October 2025].</w:t>
      </w:r>
    </w:p>
    <w:p w14:paraId="28437C4C" w14:textId="77777777" w:rsidR="0027617E" w:rsidRPr="00E1588A" w:rsidRDefault="0027617E" w:rsidP="001B712F">
      <w:pPr>
        <w:ind w:left="720" w:hanging="720"/>
        <w:rPr>
          <w:rFonts w:cs="Times New Roman"/>
          <w:color w:val="222222"/>
          <w:szCs w:val="24"/>
          <w:shd w:val="clear" w:color="auto" w:fill="FFFFFF"/>
        </w:rPr>
      </w:pPr>
      <w:r w:rsidRPr="00E1588A">
        <w:rPr>
          <w:rFonts w:cs="Times New Roman"/>
          <w:color w:val="222222"/>
          <w:szCs w:val="24"/>
          <w:shd w:val="clear" w:color="auto" w:fill="FFFFFF"/>
        </w:rPr>
        <w:t>Pietrangeli, R., Eriksson, M., Strotmann, C., Cicatiello, C., Nasso, M., Fanelli, L., Melaragni, L. and Blasi, E., (2023). Quantification and economic assessment of surplus bread in Italian small-scale bakeries: An explorative study. </w:t>
      </w:r>
      <w:r w:rsidRPr="00E1588A">
        <w:rPr>
          <w:rFonts w:cs="Times New Roman"/>
          <w:i/>
          <w:iCs/>
          <w:color w:val="222222"/>
          <w:szCs w:val="24"/>
          <w:shd w:val="clear" w:color="auto" w:fill="FFFFFF"/>
        </w:rPr>
        <w:t>Waste Management</w:t>
      </w:r>
      <w:r w:rsidRPr="00E1588A">
        <w:rPr>
          <w:rFonts w:cs="Times New Roman"/>
          <w:color w:val="222222"/>
          <w:szCs w:val="24"/>
          <w:shd w:val="clear" w:color="auto" w:fill="FFFFFF"/>
        </w:rPr>
        <w:t>, </w:t>
      </w:r>
      <w:r w:rsidRPr="00E1588A">
        <w:rPr>
          <w:rFonts w:cs="Times New Roman"/>
          <w:i/>
          <w:iCs/>
          <w:color w:val="222222"/>
          <w:szCs w:val="24"/>
          <w:shd w:val="clear" w:color="auto" w:fill="FFFFFF"/>
        </w:rPr>
        <w:t>169</w:t>
      </w:r>
      <w:r w:rsidRPr="00E1588A">
        <w:rPr>
          <w:rFonts w:cs="Times New Roman"/>
          <w:color w:val="222222"/>
          <w:szCs w:val="24"/>
          <w:shd w:val="clear" w:color="auto" w:fill="FFFFFF"/>
        </w:rPr>
        <w:t>, pp.301-309.</w:t>
      </w:r>
    </w:p>
    <w:p w14:paraId="40043A8A" w14:textId="77777777" w:rsidR="0027617E" w:rsidRPr="00E1588A" w:rsidRDefault="0027617E" w:rsidP="001B712F">
      <w:pPr>
        <w:ind w:left="720" w:hanging="720"/>
        <w:rPr>
          <w:rFonts w:cs="Times New Roman"/>
          <w:szCs w:val="24"/>
        </w:rPr>
      </w:pPr>
      <w:r w:rsidRPr="00E1588A">
        <w:rPr>
          <w:rFonts w:cs="Times New Roman"/>
          <w:szCs w:val="24"/>
        </w:rPr>
        <w:t xml:space="preserve">Report Linker, (2025). </w:t>
      </w:r>
      <w:r w:rsidRPr="00E1588A">
        <w:rPr>
          <w:rFonts w:cs="Times New Roman"/>
          <w:i/>
          <w:szCs w:val="24"/>
        </w:rPr>
        <w:t>Germany Bakery Market Report- Q4 2024.</w:t>
      </w:r>
      <w:r w:rsidRPr="00E1588A">
        <w:rPr>
          <w:rFonts w:cs="Times New Roman"/>
          <w:szCs w:val="24"/>
        </w:rPr>
        <w:t xml:space="preserve"> [Online]  Available at: </w:t>
      </w:r>
      <w:hyperlink r:id="rId47" w:history="1">
        <w:r w:rsidRPr="00E1588A">
          <w:rPr>
            <w:rStyle w:val="Hyperlink"/>
            <w:rFonts w:cs="Times New Roman"/>
            <w:szCs w:val="24"/>
          </w:rPr>
          <w:t>https://www.reportlinker.com/dlp/301afc577640d30633dae1e86bec9fc4</w:t>
        </w:r>
      </w:hyperlink>
      <w:r w:rsidRPr="00E1588A">
        <w:rPr>
          <w:rFonts w:cs="Times New Roman"/>
          <w:szCs w:val="24"/>
        </w:rPr>
        <w:t xml:space="preserve"> [Accessed 10 October 2025].</w:t>
      </w:r>
    </w:p>
    <w:p w14:paraId="7D468C2E" w14:textId="77777777" w:rsidR="0027617E" w:rsidRPr="00E1588A" w:rsidRDefault="0027617E" w:rsidP="001B712F">
      <w:pPr>
        <w:ind w:left="720" w:hanging="720"/>
        <w:rPr>
          <w:rFonts w:cs="Times New Roman"/>
          <w:color w:val="222222"/>
          <w:szCs w:val="24"/>
          <w:shd w:val="clear" w:color="auto" w:fill="FFFFFF"/>
        </w:rPr>
      </w:pPr>
      <w:r w:rsidRPr="00E1588A">
        <w:rPr>
          <w:rFonts w:cs="Times New Roman"/>
          <w:color w:val="222222"/>
          <w:szCs w:val="24"/>
          <w:shd w:val="clear" w:color="auto" w:fill="FFFFFF"/>
        </w:rPr>
        <w:t>Rögner, N.S., Mall, V. and Steinhaus, M., (2021). Odour-active compounds in liquid malt extracts for the baking industry. </w:t>
      </w:r>
      <w:r w:rsidRPr="00E1588A">
        <w:rPr>
          <w:rFonts w:cs="Times New Roman"/>
          <w:i/>
          <w:iCs/>
          <w:color w:val="222222"/>
          <w:szCs w:val="24"/>
          <w:shd w:val="clear" w:color="auto" w:fill="FFFFFF"/>
        </w:rPr>
        <w:t>European Food Research and Technology</w:t>
      </w:r>
      <w:r w:rsidRPr="00E1588A">
        <w:rPr>
          <w:rFonts w:cs="Times New Roman"/>
          <w:color w:val="222222"/>
          <w:szCs w:val="24"/>
          <w:shd w:val="clear" w:color="auto" w:fill="FFFFFF"/>
        </w:rPr>
        <w:t>, </w:t>
      </w:r>
      <w:r w:rsidRPr="00E1588A">
        <w:rPr>
          <w:rFonts w:cs="Times New Roman"/>
          <w:i/>
          <w:iCs/>
          <w:color w:val="222222"/>
          <w:szCs w:val="24"/>
          <w:shd w:val="clear" w:color="auto" w:fill="FFFFFF"/>
        </w:rPr>
        <w:t>247</w:t>
      </w:r>
      <w:r w:rsidRPr="00E1588A">
        <w:rPr>
          <w:rFonts w:cs="Times New Roman"/>
          <w:color w:val="222222"/>
          <w:szCs w:val="24"/>
          <w:shd w:val="clear" w:color="auto" w:fill="FFFFFF"/>
        </w:rPr>
        <w:t>(5), pp.1263-1275.</w:t>
      </w:r>
    </w:p>
    <w:p w14:paraId="167CCEED" w14:textId="77777777" w:rsidR="0027617E" w:rsidRPr="00930081" w:rsidRDefault="0027617E" w:rsidP="00C92608">
      <w:pPr>
        <w:ind w:left="720" w:hanging="720"/>
        <w:rPr>
          <w:shd w:val="clear" w:color="auto" w:fill="FFFFFF"/>
        </w:rPr>
      </w:pPr>
      <w:r w:rsidRPr="00930081">
        <w:rPr>
          <w:shd w:val="clear" w:color="auto" w:fill="FFFFFF"/>
        </w:rPr>
        <w:t>Saha, S., Banaszak, Z., Bocewicz, G., and Nielsen, I. E. (2022</w:t>
      </w:r>
      <w:r>
        <w:rPr>
          <w:shd w:val="clear" w:color="auto" w:fill="FFFFFF"/>
        </w:rPr>
        <w:t>)</w:t>
      </w:r>
      <w:r w:rsidRPr="00930081">
        <w:rPr>
          <w:shd w:val="clear" w:color="auto" w:fill="FFFFFF"/>
        </w:rPr>
        <w:t xml:space="preserve"> Pricing and quality competition for substitutable green products with a common retailer. </w:t>
      </w:r>
      <w:r w:rsidRPr="00930081">
        <w:rPr>
          <w:i/>
          <w:iCs/>
          <w:shd w:val="clear" w:color="auto" w:fill="FFFFFF"/>
        </w:rPr>
        <w:t>Operational Research</w:t>
      </w:r>
      <w:r w:rsidRPr="00930081">
        <w:rPr>
          <w:shd w:val="clear" w:color="auto" w:fill="FFFFFF"/>
        </w:rPr>
        <w:t>, </w:t>
      </w:r>
      <w:r w:rsidRPr="00930081">
        <w:rPr>
          <w:i/>
          <w:iCs/>
          <w:shd w:val="clear" w:color="auto" w:fill="FFFFFF"/>
        </w:rPr>
        <w:t>22</w:t>
      </w:r>
      <w:r w:rsidRPr="00930081">
        <w:rPr>
          <w:shd w:val="clear" w:color="auto" w:fill="FFFFFF"/>
        </w:rPr>
        <w:t xml:space="preserve">(4), 3713-3746. Available at: </w:t>
      </w:r>
      <w:hyperlink r:id="rId48" w:history="1">
        <w:r w:rsidRPr="00930081">
          <w:rPr>
            <w:rStyle w:val="Hyperlink"/>
            <w:shd w:val="clear" w:color="auto" w:fill="FFFFFF"/>
          </w:rPr>
          <w:t>https://link.springer.com/article/10.1007/s12351-021-00656-z</w:t>
        </w:r>
      </w:hyperlink>
    </w:p>
    <w:p w14:paraId="4D1B2AA5" w14:textId="77777777" w:rsidR="0027617E" w:rsidRPr="00930081" w:rsidRDefault="0027617E" w:rsidP="00C92608">
      <w:pPr>
        <w:ind w:left="720" w:hanging="720"/>
        <w:rPr>
          <w:shd w:val="clear" w:color="auto" w:fill="FFFFFF"/>
        </w:rPr>
      </w:pPr>
      <w:r w:rsidRPr="00930081">
        <w:rPr>
          <w:shd w:val="clear" w:color="auto" w:fill="FFFFFF"/>
        </w:rPr>
        <w:t xml:space="preserve">Sansa, M. (2020) </w:t>
      </w:r>
      <w:r w:rsidRPr="00930081">
        <w:rPr>
          <w:i/>
          <w:iCs/>
          <w:shd w:val="clear" w:color="auto" w:fill="FFFFFF"/>
        </w:rPr>
        <w:t>“2: The PESTEL analysis framework”</w:t>
      </w:r>
      <w:r w:rsidRPr="00930081">
        <w:rPr>
          <w:shd w:val="clear" w:color="auto" w:fill="FFFFFF"/>
        </w:rPr>
        <w:t xml:space="preserve"> [online image]. In: Sansa, M. </w:t>
      </w:r>
      <w:r w:rsidRPr="00930081">
        <w:rPr>
          <w:i/>
          <w:iCs/>
          <w:shd w:val="clear" w:color="auto" w:fill="FFFFFF"/>
        </w:rPr>
        <w:t>A new model to improve the life cycle of products since early design phase.</w:t>
      </w:r>
      <w:r w:rsidRPr="00930081">
        <w:rPr>
          <w:shd w:val="clear" w:color="auto" w:fill="FFFFFF"/>
        </w:rPr>
        <w:t xml:space="preserve"> Available at: </w:t>
      </w:r>
      <w:hyperlink r:id="rId49" w:tgtFrame="_new" w:history="1">
        <w:r w:rsidRPr="00930081">
          <w:rPr>
            <w:rStyle w:val="Hyperlink"/>
            <w:shd w:val="clear" w:color="auto" w:fill="FFFFFF"/>
          </w:rPr>
          <w:t>https://www.researchgate.net/figure/The-PESTEL-analysis-framework_fig11_353729691</w:t>
        </w:r>
      </w:hyperlink>
      <w:r w:rsidRPr="00930081">
        <w:rPr>
          <w:shd w:val="clear" w:color="auto" w:fill="FFFFFF"/>
        </w:rPr>
        <w:t xml:space="preserve"> (Accessed: 5 November 2025</w:t>
      </w:r>
      <w:r>
        <w:rPr>
          <w:shd w:val="clear" w:color="auto" w:fill="FFFFFF"/>
        </w:rPr>
        <w:t>)</w:t>
      </w:r>
      <w:r w:rsidRPr="00930081">
        <w:rPr>
          <w:shd w:val="clear" w:color="auto" w:fill="FFFFFF"/>
        </w:rPr>
        <w:t xml:space="preserve"> </w:t>
      </w:r>
    </w:p>
    <w:p w14:paraId="263FDFE6" w14:textId="77777777" w:rsidR="0027617E" w:rsidRPr="00E1588A" w:rsidRDefault="0027617E" w:rsidP="001B712F">
      <w:pPr>
        <w:ind w:left="720" w:hanging="720"/>
        <w:rPr>
          <w:rFonts w:cs="Times New Roman"/>
          <w:color w:val="222222"/>
          <w:szCs w:val="24"/>
          <w:shd w:val="clear" w:color="auto" w:fill="FFFFFF"/>
        </w:rPr>
      </w:pPr>
      <w:r w:rsidRPr="00E1588A">
        <w:rPr>
          <w:rFonts w:cs="Times New Roman"/>
          <w:color w:val="222222"/>
          <w:szCs w:val="24"/>
          <w:shd w:val="clear" w:color="auto" w:fill="FFFFFF"/>
        </w:rPr>
        <w:t>Semenova, E.I. and Semenov, A.V., (2023). Impact of bakery innovation on business resilience growth. In </w:t>
      </w:r>
      <w:r w:rsidRPr="00E1588A">
        <w:rPr>
          <w:rFonts w:cs="Times New Roman"/>
          <w:i/>
          <w:iCs/>
          <w:color w:val="222222"/>
          <w:szCs w:val="24"/>
          <w:shd w:val="clear" w:color="auto" w:fill="FFFFFF"/>
        </w:rPr>
        <w:t>Baking business sustainability through life cycle management</w:t>
      </w:r>
      <w:r w:rsidRPr="00E1588A">
        <w:rPr>
          <w:rFonts w:cs="Times New Roman"/>
          <w:color w:val="222222"/>
          <w:szCs w:val="24"/>
          <w:shd w:val="clear" w:color="auto" w:fill="FFFFFF"/>
        </w:rPr>
        <w:t> (pp. 241-259). Cham: Springer International Publishing.</w:t>
      </w:r>
    </w:p>
    <w:p w14:paraId="7B7D39DE" w14:textId="77777777" w:rsidR="0027617E" w:rsidRPr="00E1588A" w:rsidRDefault="0027617E" w:rsidP="001B712F">
      <w:pPr>
        <w:ind w:left="720" w:hanging="720"/>
        <w:rPr>
          <w:rFonts w:cs="Times New Roman"/>
          <w:color w:val="222222"/>
          <w:szCs w:val="24"/>
          <w:shd w:val="clear" w:color="auto" w:fill="FFFFFF"/>
        </w:rPr>
      </w:pPr>
      <w:r w:rsidRPr="00E1588A">
        <w:rPr>
          <w:rFonts w:cs="Times New Roman"/>
          <w:color w:val="222222"/>
          <w:szCs w:val="24"/>
          <w:shd w:val="clear" w:color="auto" w:fill="FFFFFF"/>
        </w:rPr>
        <w:t>Singh, N. and Sudha, M.L., (2024). Natural food flavours: a healthier alternative for bakery industry—a review. </w:t>
      </w:r>
      <w:r w:rsidRPr="00E1588A">
        <w:rPr>
          <w:rFonts w:cs="Times New Roman"/>
          <w:i/>
          <w:iCs/>
          <w:color w:val="222222"/>
          <w:szCs w:val="24"/>
          <w:shd w:val="clear" w:color="auto" w:fill="FFFFFF"/>
        </w:rPr>
        <w:t>Journal of food science and technology</w:t>
      </w:r>
      <w:r w:rsidRPr="00E1588A">
        <w:rPr>
          <w:rFonts w:cs="Times New Roman"/>
          <w:color w:val="222222"/>
          <w:szCs w:val="24"/>
          <w:shd w:val="clear" w:color="auto" w:fill="FFFFFF"/>
        </w:rPr>
        <w:t>, </w:t>
      </w:r>
      <w:r w:rsidRPr="00E1588A">
        <w:rPr>
          <w:rFonts w:cs="Times New Roman"/>
          <w:i/>
          <w:iCs/>
          <w:color w:val="222222"/>
          <w:szCs w:val="24"/>
          <w:shd w:val="clear" w:color="auto" w:fill="FFFFFF"/>
        </w:rPr>
        <w:t>61</w:t>
      </w:r>
      <w:r w:rsidRPr="00E1588A">
        <w:rPr>
          <w:rFonts w:cs="Times New Roman"/>
          <w:color w:val="222222"/>
          <w:szCs w:val="24"/>
          <w:shd w:val="clear" w:color="auto" w:fill="FFFFFF"/>
        </w:rPr>
        <w:t>(4), pp.642-650.</w:t>
      </w:r>
    </w:p>
    <w:p w14:paraId="0E21E626" w14:textId="77777777" w:rsidR="0027617E" w:rsidRPr="00E1588A" w:rsidRDefault="0027617E" w:rsidP="001B712F">
      <w:pPr>
        <w:ind w:left="720" w:hanging="720"/>
        <w:rPr>
          <w:rFonts w:cs="Times New Roman"/>
          <w:szCs w:val="24"/>
        </w:rPr>
      </w:pPr>
      <w:r w:rsidRPr="00E1588A">
        <w:rPr>
          <w:rFonts w:cs="Times New Roman"/>
          <w:szCs w:val="24"/>
        </w:rPr>
        <w:t xml:space="preserve">Statista, (2025). </w:t>
      </w:r>
      <w:r w:rsidRPr="00E1588A">
        <w:rPr>
          <w:rFonts w:cs="Times New Roman"/>
          <w:i/>
          <w:szCs w:val="24"/>
        </w:rPr>
        <w:t>Bread &amp; Cereal Products - Germany.</w:t>
      </w:r>
      <w:r w:rsidRPr="00E1588A">
        <w:rPr>
          <w:rFonts w:cs="Times New Roman"/>
          <w:szCs w:val="24"/>
        </w:rPr>
        <w:t xml:space="preserve"> [Online]  Available at: </w:t>
      </w:r>
      <w:hyperlink r:id="rId50" w:history="1">
        <w:r w:rsidRPr="00E1588A">
          <w:rPr>
            <w:rStyle w:val="Hyperlink"/>
            <w:rFonts w:cs="Times New Roman"/>
            <w:szCs w:val="24"/>
          </w:rPr>
          <w:t>https://www.statista.com/outlook/cmo/food/bread-cereal-products/germany?srsltid=AfmBOooyirOJojBDMWOEQgdHJYCY0y2IRVbwfvYwNkEZoDswrgqIGY0V</w:t>
        </w:r>
      </w:hyperlink>
      <w:r w:rsidRPr="00E1588A">
        <w:rPr>
          <w:rFonts w:cs="Times New Roman"/>
          <w:szCs w:val="24"/>
        </w:rPr>
        <w:t xml:space="preserve"> [Accessed 15 October 2025].</w:t>
      </w:r>
    </w:p>
    <w:p w14:paraId="4586F3E1" w14:textId="77777777" w:rsidR="0027617E" w:rsidRPr="00930081" w:rsidRDefault="0027617E" w:rsidP="00C92608">
      <w:pPr>
        <w:ind w:left="720" w:hanging="720"/>
        <w:rPr>
          <w:shd w:val="clear" w:color="auto" w:fill="FFFFFF"/>
        </w:rPr>
      </w:pPr>
      <w:r w:rsidRPr="00930081">
        <w:rPr>
          <w:shd w:val="clear" w:color="auto" w:fill="FFFFFF"/>
        </w:rPr>
        <w:t>USDA Foreign Agricultural Service (2024</w:t>
      </w:r>
      <w:r>
        <w:rPr>
          <w:shd w:val="clear" w:color="auto" w:fill="FFFFFF"/>
        </w:rPr>
        <w:t>)</w:t>
      </w:r>
      <w:r w:rsidRPr="00930081">
        <w:rPr>
          <w:shd w:val="clear" w:color="auto" w:fill="FFFFFF"/>
        </w:rPr>
        <w:t xml:space="preserve"> </w:t>
      </w:r>
      <w:r w:rsidRPr="00930081">
        <w:rPr>
          <w:i/>
          <w:iCs/>
          <w:shd w:val="clear" w:color="auto" w:fill="FFFFFF"/>
        </w:rPr>
        <w:t>Germany: Food Processing Ingredients Annual (GM2024-0003)</w:t>
      </w:r>
      <w:r w:rsidRPr="00930081">
        <w:rPr>
          <w:shd w:val="clear" w:color="auto" w:fill="FFFFFF"/>
        </w:rPr>
        <w:t xml:space="preserve"> (PDF), FAS Berlin. Available at: </w:t>
      </w:r>
      <w:hyperlink r:id="rId51" w:tgtFrame="_new" w:history="1">
        <w:r w:rsidRPr="00930081">
          <w:rPr>
            <w:rStyle w:val="Hyperlink"/>
            <w:shd w:val="clear" w:color="auto" w:fill="FFFFFF"/>
            <w:lang w:val="en-US"/>
          </w:rPr>
          <w:t>https://apps.fas.usda.gov/newgainapi/api/Report/DownloadReportByFileName?fileName=Food+Processing+Ingredients+Annual_Berlin_Germany_GM2024-0003.pdf</w:t>
        </w:r>
      </w:hyperlink>
      <w:r w:rsidRPr="00930081">
        <w:rPr>
          <w:shd w:val="clear" w:color="auto" w:fill="FFFFFF"/>
        </w:rPr>
        <w:t xml:space="preserve"> (Accessed 5 November 2025</w:t>
      </w:r>
      <w:r>
        <w:rPr>
          <w:shd w:val="clear" w:color="auto" w:fill="FFFFFF"/>
        </w:rPr>
        <w:t>)</w:t>
      </w:r>
    </w:p>
    <w:p w14:paraId="6546E1CB" w14:textId="77777777" w:rsidR="0027617E" w:rsidRPr="00930081" w:rsidRDefault="0027617E" w:rsidP="00C92608">
      <w:pPr>
        <w:ind w:left="720" w:hanging="720"/>
        <w:rPr>
          <w:shd w:val="clear" w:color="auto" w:fill="FFFFFF"/>
        </w:rPr>
      </w:pPr>
      <w:r w:rsidRPr="00930081">
        <w:rPr>
          <w:shd w:val="clear" w:color="auto" w:fill="FFFFFF"/>
        </w:rPr>
        <w:t>Verband Deutscher Großbäckereien (2024</w:t>
      </w:r>
      <w:r>
        <w:rPr>
          <w:shd w:val="clear" w:color="auto" w:fill="FFFFFF"/>
        </w:rPr>
        <w:t>)</w:t>
      </w:r>
      <w:r w:rsidRPr="00930081">
        <w:rPr>
          <w:shd w:val="clear" w:color="auto" w:fill="FFFFFF"/>
        </w:rPr>
        <w:t xml:space="preserve"> </w:t>
      </w:r>
      <w:r w:rsidRPr="00930081">
        <w:rPr>
          <w:i/>
          <w:iCs/>
          <w:shd w:val="clear" w:color="auto" w:fill="FFFFFF"/>
        </w:rPr>
        <w:t>Backwarenbranche: Daten and Fakten 2023</w:t>
      </w:r>
      <w:r w:rsidRPr="00930081">
        <w:rPr>
          <w:shd w:val="clear" w:color="auto" w:fill="FFFFFF"/>
        </w:rPr>
        <w:t xml:space="preserve"> (PDF), Düsseldorf. Available at: </w:t>
      </w:r>
      <w:hyperlink r:id="rId52" w:tgtFrame="_new" w:history="1">
        <w:r w:rsidRPr="00930081">
          <w:rPr>
            <w:rStyle w:val="Hyperlink"/>
            <w:shd w:val="clear" w:color="auto" w:fill="FFFFFF"/>
            <w:lang w:val="en-US"/>
          </w:rPr>
          <w:t>https://www.grossbaecker.de/wp-content/uploads/backwarenbranche-daten-fakten-2023-verband-grossbaecker.pdf</w:t>
        </w:r>
      </w:hyperlink>
      <w:r w:rsidRPr="00930081">
        <w:rPr>
          <w:shd w:val="clear" w:color="auto" w:fill="FFFFFF"/>
        </w:rPr>
        <w:t xml:space="preserve"> (Accessed 5 November 2025</w:t>
      </w:r>
      <w:r>
        <w:rPr>
          <w:shd w:val="clear" w:color="auto" w:fill="FFFFFF"/>
        </w:rPr>
        <w:t>)</w:t>
      </w:r>
    </w:p>
    <w:p w14:paraId="6B510787" w14:textId="77777777" w:rsidR="0027617E" w:rsidRPr="00930081" w:rsidRDefault="0027617E" w:rsidP="00C92608">
      <w:pPr>
        <w:ind w:left="720" w:hanging="720"/>
        <w:rPr>
          <w:shd w:val="clear" w:color="auto" w:fill="FFFFFF"/>
        </w:rPr>
      </w:pPr>
      <w:r w:rsidRPr="00930081">
        <w:rPr>
          <w:shd w:val="clear" w:color="auto" w:fill="FFFFFF"/>
        </w:rPr>
        <w:t xml:space="preserve">Weishaupt, T. (2021) </w:t>
      </w:r>
      <w:r w:rsidRPr="00930081">
        <w:rPr>
          <w:i/>
          <w:iCs/>
          <w:shd w:val="clear" w:color="auto" w:fill="FFFFFF"/>
        </w:rPr>
        <w:t>Employment rate in Germany (%) 2001-17</w:t>
      </w:r>
      <w:r w:rsidRPr="00930081">
        <w:rPr>
          <w:shd w:val="clear" w:color="auto" w:fill="FFFFFF"/>
        </w:rPr>
        <w:t xml:space="preserve"> [online image]. In: </w:t>
      </w:r>
      <w:r w:rsidRPr="00930081">
        <w:rPr>
          <w:i/>
          <w:iCs/>
          <w:shd w:val="clear" w:color="auto" w:fill="FFFFFF"/>
        </w:rPr>
        <w:t>Minimum wage(s) in Germany: origins, enforcement, effects.</w:t>
      </w:r>
      <w:r w:rsidRPr="00930081">
        <w:rPr>
          <w:shd w:val="clear" w:color="auto" w:fill="FFFFFF"/>
        </w:rPr>
        <w:t xml:space="preserve"> Available at: </w:t>
      </w:r>
      <w:hyperlink r:id="rId53" w:tgtFrame="_new" w:history="1">
        <w:r w:rsidRPr="00930081">
          <w:rPr>
            <w:rStyle w:val="Hyperlink"/>
            <w:shd w:val="clear" w:color="auto" w:fill="FFFFFF"/>
          </w:rPr>
          <w:t>https://www.researchgate.net/figure/Employment-rate-in-Germany-2001-17_fig1_356648618</w:t>
        </w:r>
      </w:hyperlink>
      <w:r w:rsidRPr="00930081">
        <w:rPr>
          <w:shd w:val="clear" w:color="auto" w:fill="FFFFFF"/>
        </w:rPr>
        <w:t xml:space="preserve"> (Accessed: 5 November 2025</w:t>
      </w:r>
      <w:r>
        <w:rPr>
          <w:shd w:val="clear" w:color="auto" w:fill="FFFFFF"/>
        </w:rPr>
        <w:t>)</w:t>
      </w:r>
    </w:p>
    <w:p w14:paraId="1E9ABDA2" w14:textId="77777777" w:rsidR="0027617E" w:rsidRPr="00930081" w:rsidRDefault="0027617E" w:rsidP="00C92608">
      <w:pPr>
        <w:ind w:left="720" w:hanging="720"/>
        <w:rPr>
          <w:shd w:val="clear" w:color="auto" w:fill="FFFFFF"/>
        </w:rPr>
      </w:pPr>
      <w:r w:rsidRPr="00930081">
        <w:rPr>
          <w:shd w:val="clear" w:color="auto" w:fill="FFFFFF"/>
        </w:rPr>
        <w:t>World Bakers (2023</w:t>
      </w:r>
      <w:r>
        <w:rPr>
          <w:shd w:val="clear" w:color="auto" w:fill="FFFFFF"/>
        </w:rPr>
        <w:t>)</w:t>
      </w:r>
      <w:r w:rsidRPr="00930081">
        <w:rPr>
          <w:shd w:val="clear" w:color="auto" w:fill="FFFFFF"/>
        </w:rPr>
        <w:t xml:space="preserve"> ‘The German bakery market, between inflation and convenience’, </w:t>
      </w:r>
      <w:r w:rsidRPr="00930081">
        <w:rPr>
          <w:i/>
          <w:iCs/>
          <w:shd w:val="clear" w:color="auto" w:fill="FFFFFF"/>
        </w:rPr>
        <w:t>World Bakers</w:t>
      </w:r>
      <w:r w:rsidRPr="00930081">
        <w:rPr>
          <w:shd w:val="clear" w:color="auto" w:fill="FFFFFF"/>
        </w:rPr>
        <w:t xml:space="preserve">, 18 October. Available at: </w:t>
      </w:r>
      <w:hyperlink r:id="rId54" w:tgtFrame="_new" w:history="1">
        <w:r w:rsidRPr="00930081">
          <w:rPr>
            <w:rStyle w:val="Hyperlink"/>
            <w:shd w:val="clear" w:color="auto" w:fill="FFFFFF"/>
            <w:lang w:val="en-US"/>
          </w:rPr>
          <w:t>https://www.worldbakers.com/the-german-bakery-market-between-inflation-and-convenience/</w:t>
        </w:r>
      </w:hyperlink>
      <w:r w:rsidRPr="00930081">
        <w:rPr>
          <w:shd w:val="clear" w:color="auto" w:fill="FFFFFF"/>
        </w:rPr>
        <w:t xml:space="preserve"> (Accessed 5 November 2025</w:t>
      </w:r>
      <w:r>
        <w:rPr>
          <w:shd w:val="clear" w:color="auto" w:fill="FFFFFF"/>
        </w:rPr>
        <w:t>)</w:t>
      </w:r>
    </w:p>
    <w:p w14:paraId="31699F6F" w14:textId="77777777" w:rsidR="0027617E" w:rsidRDefault="0027617E" w:rsidP="00C92608">
      <w:pPr>
        <w:ind w:left="720" w:hanging="720"/>
        <w:rPr>
          <w:shd w:val="clear" w:color="auto" w:fill="FFFFFF"/>
        </w:rPr>
      </w:pPr>
      <w:r w:rsidRPr="00930081">
        <w:rPr>
          <w:shd w:val="clear" w:color="auto" w:fill="FFFFFF"/>
        </w:rPr>
        <w:t xml:space="preserve">Wu, Y., Lu, Y. and Huang, S. (2022) ‘Impacts of delivery charge on the possibility of consumers using online food delivery’, </w:t>
      </w:r>
      <w:r w:rsidRPr="00930081">
        <w:rPr>
          <w:i/>
          <w:iCs/>
          <w:shd w:val="clear" w:color="auto" w:fill="FFFFFF"/>
        </w:rPr>
        <w:t>Sustainability</w:t>
      </w:r>
      <w:r w:rsidRPr="00930081">
        <w:rPr>
          <w:shd w:val="clear" w:color="auto" w:fill="FFFFFF"/>
        </w:rPr>
        <w:t xml:space="preserve">, 14(3), 1795. Available at: </w:t>
      </w:r>
      <w:hyperlink r:id="rId55" w:history="1">
        <w:r w:rsidRPr="00930081">
          <w:rPr>
            <w:rStyle w:val="Hyperlink"/>
            <w:shd w:val="clear" w:color="auto" w:fill="FFFFFF"/>
          </w:rPr>
          <w:t>https://doi.org/10.3390/su14031795</w:t>
        </w:r>
      </w:hyperlink>
      <w:r w:rsidRPr="00930081">
        <w:rPr>
          <w:shd w:val="clear" w:color="auto" w:fill="FFFFFF"/>
        </w:rPr>
        <w:t xml:space="preserve">  (Accessed: 5 November 2025</w:t>
      </w:r>
      <w:r>
        <w:rPr>
          <w:shd w:val="clear" w:color="auto" w:fill="FFFFFF"/>
        </w:rPr>
        <w:t>)</w:t>
      </w:r>
    </w:p>
    <w:p w14:paraId="6D598DFF" w14:textId="77777777" w:rsidR="001B712F" w:rsidRDefault="001B712F" w:rsidP="00C92608">
      <w:pPr>
        <w:ind w:left="720" w:hanging="720"/>
        <w:rPr>
          <w:shd w:val="clear" w:color="auto" w:fill="FFFFFF"/>
        </w:rPr>
      </w:pPr>
    </w:p>
    <w:sectPr w:rsidR="001B712F" w:rsidSect="009A0357">
      <w:headerReference w:type="default" r:id="rId5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7C336B" w14:textId="77777777" w:rsidR="000B631A" w:rsidRDefault="000B631A" w:rsidP="00123662">
      <w:pPr>
        <w:spacing w:before="0" w:after="0" w:line="240" w:lineRule="auto"/>
      </w:pPr>
      <w:r>
        <w:separator/>
      </w:r>
    </w:p>
  </w:endnote>
  <w:endnote w:type="continuationSeparator" w:id="0">
    <w:p w14:paraId="3F6B19B0" w14:textId="77777777" w:rsidR="000B631A" w:rsidRDefault="000B631A" w:rsidP="0012366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907530" w14:textId="77777777" w:rsidR="000B631A" w:rsidRDefault="000B631A" w:rsidP="00123662">
      <w:pPr>
        <w:spacing w:before="0" w:after="0" w:line="240" w:lineRule="auto"/>
      </w:pPr>
      <w:r>
        <w:separator/>
      </w:r>
    </w:p>
  </w:footnote>
  <w:footnote w:type="continuationSeparator" w:id="0">
    <w:p w14:paraId="59F0CFE9" w14:textId="77777777" w:rsidR="000B631A" w:rsidRDefault="000B631A" w:rsidP="00123662">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9903985"/>
      <w:docPartObj>
        <w:docPartGallery w:val="Page Numbers (Top of Page)"/>
        <w:docPartUnique/>
      </w:docPartObj>
    </w:sdtPr>
    <w:sdtEndPr/>
    <w:sdtContent>
      <w:p w14:paraId="4B4D8552" w14:textId="63BC6372" w:rsidR="00EE5682" w:rsidRDefault="007970BE" w:rsidP="00FD4257">
        <w:pPr>
          <w:pStyle w:val="Header"/>
          <w:jc w:val="right"/>
        </w:pPr>
        <w:r>
          <w:t xml:space="preserve"> </w:t>
        </w:r>
        <w:r w:rsidR="00EE5682">
          <w:t xml:space="preserve">              </w:t>
        </w:r>
        <w:r w:rsidR="00EE5682">
          <w:fldChar w:fldCharType="begin"/>
        </w:r>
        <w:r w:rsidR="00EE5682">
          <w:instrText xml:space="preserve"> PAGE   \* MERGEFORMAT </w:instrText>
        </w:r>
        <w:r w:rsidR="00EE5682">
          <w:fldChar w:fldCharType="separate"/>
        </w:r>
        <w:r w:rsidR="008F767A">
          <w:rPr>
            <w:noProof/>
          </w:rPr>
          <w:t>2</w:t>
        </w:r>
        <w:r w:rsidR="00EE5682">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71241F"/>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3CF53B7B"/>
    <w:multiLevelType w:val="multilevel"/>
    <w:tmpl w:val="025A8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34252983">
    <w:abstractNumId w:val="0"/>
  </w:num>
  <w:num w:numId="2" w16cid:durableId="1447047039">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662"/>
    <w:rsid w:val="00000483"/>
    <w:rsid w:val="00001058"/>
    <w:rsid w:val="000023EC"/>
    <w:rsid w:val="000047DF"/>
    <w:rsid w:val="000050DA"/>
    <w:rsid w:val="0000656C"/>
    <w:rsid w:val="00006C63"/>
    <w:rsid w:val="00006E8A"/>
    <w:rsid w:val="00012346"/>
    <w:rsid w:val="0001244C"/>
    <w:rsid w:val="00012907"/>
    <w:rsid w:val="00014216"/>
    <w:rsid w:val="0001638B"/>
    <w:rsid w:val="00016C17"/>
    <w:rsid w:val="00017C4A"/>
    <w:rsid w:val="00020B88"/>
    <w:rsid w:val="00021B86"/>
    <w:rsid w:val="00021DB7"/>
    <w:rsid w:val="00022A4F"/>
    <w:rsid w:val="00023AF4"/>
    <w:rsid w:val="00023EDD"/>
    <w:rsid w:val="000249B8"/>
    <w:rsid w:val="0002723E"/>
    <w:rsid w:val="000275BF"/>
    <w:rsid w:val="0003027D"/>
    <w:rsid w:val="00030311"/>
    <w:rsid w:val="00031E15"/>
    <w:rsid w:val="00032D32"/>
    <w:rsid w:val="0003537D"/>
    <w:rsid w:val="0003545F"/>
    <w:rsid w:val="00036344"/>
    <w:rsid w:val="00036B94"/>
    <w:rsid w:val="00037448"/>
    <w:rsid w:val="00037AFF"/>
    <w:rsid w:val="0004000C"/>
    <w:rsid w:val="000410D7"/>
    <w:rsid w:val="0004443F"/>
    <w:rsid w:val="0004483D"/>
    <w:rsid w:val="00044F36"/>
    <w:rsid w:val="00045901"/>
    <w:rsid w:val="000479D2"/>
    <w:rsid w:val="00047FAC"/>
    <w:rsid w:val="000509B7"/>
    <w:rsid w:val="00050EDC"/>
    <w:rsid w:val="00050F7F"/>
    <w:rsid w:val="000517FA"/>
    <w:rsid w:val="00051F83"/>
    <w:rsid w:val="00057525"/>
    <w:rsid w:val="00057D0E"/>
    <w:rsid w:val="00062607"/>
    <w:rsid w:val="000634D6"/>
    <w:rsid w:val="000644AE"/>
    <w:rsid w:val="0006659B"/>
    <w:rsid w:val="000669A1"/>
    <w:rsid w:val="00071E3E"/>
    <w:rsid w:val="000730A3"/>
    <w:rsid w:val="00074025"/>
    <w:rsid w:val="00077000"/>
    <w:rsid w:val="000774E3"/>
    <w:rsid w:val="000806AC"/>
    <w:rsid w:val="000811BD"/>
    <w:rsid w:val="00081E37"/>
    <w:rsid w:val="0008591F"/>
    <w:rsid w:val="000866BE"/>
    <w:rsid w:val="000871F0"/>
    <w:rsid w:val="0008737B"/>
    <w:rsid w:val="00087B75"/>
    <w:rsid w:val="00090C58"/>
    <w:rsid w:val="000914CA"/>
    <w:rsid w:val="0009302E"/>
    <w:rsid w:val="0009324B"/>
    <w:rsid w:val="00095146"/>
    <w:rsid w:val="00096D28"/>
    <w:rsid w:val="000A14B2"/>
    <w:rsid w:val="000A26C5"/>
    <w:rsid w:val="000A2F05"/>
    <w:rsid w:val="000A69A2"/>
    <w:rsid w:val="000A6EA3"/>
    <w:rsid w:val="000A77D9"/>
    <w:rsid w:val="000B4497"/>
    <w:rsid w:val="000B4DFB"/>
    <w:rsid w:val="000B4F15"/>
    <w:rsid w:val="000B631A"/>
    <w:rsid w:val="000B7CC3"/>
    <w:rsid w:val="000B7EEE"/>
    <w:rsid w:val="000C18BB"/>
    <w:rsid w:val="000C1DE3"/>
    <w:rsid w:val="000C223E"/>
    <w:rsid w:val="000C423C"/>
    <w:rsid w:val="000C4DB3"/>
    <w:rsid w:val="000C541C"/>
    <w:rsid w:val="000D241F"/>
    <w:rsid w:val="000D565B"/>
    <w:rsid w:val="000D70B6"/>
    <w:rsid w:val="000D7D5A"/>
    <w:rsid w:val="000E1D64"/>
    <w:rsid w:val="000E2509"/>
    <w:rsid w:val="000E2A3D"/>
    <w:rsid w:val="000E49B3"/>
    <w:rsid w:val="000E7E03"/>
    <w:rsid w:val="000F0334"/>
    <w:rsid w:val="000F05C1"/>
    <w:rsid w:val="000F3096"/>
    <w:rsid w:val="000F3877"/>
    <w:rsid w:val="000F5FD2"/>
    <w:rsid w:val="000F7C2C"/>
    <w:rsid w:val="00100A35"/>
    <w:rsid w:val="00101221"/>
    <w:rsid w:val="00102D03"/>
    <w:rsid w:val="00103005"/>
    <w:rsid w:val="00103BD7"/>
    <w:rsid w:val="0010416F"/>
    <w:rsid w:val="00110681"/>
    <w:rsid w:val="001112DA"/>
    <w:rsid w:val="0011288D"/>
    <w:rsid w:val="0011471F"/>
    <w:rsid w:val="0012086A"/>
    <w:rsid w:val="001216B9"/>
    <w:rsid w:val="00123061"/>
    <w:rsid w:val="00123662"/>
    <w:rsid w:val="00124FC9"/>
    <w:rsid w:val="00127E76"/>
    <w:rsid w:val="001307E4"/>
    <w:rsid w:val="00132476"/>
    <w:rsid w:val="001324D9"/>
    <w:rsid w:val="001333F1"/>
    <w:rsid w:val="0013374A"/>
    <w:rsid w:val="00133E32"/>
    <w:rsid w:val="001340A1"/>
    <w:rsid w:val="00137DB5"/>
    <w:rsid w:val="00140618"/>
    <w:rsid w:val="00142B6F"/>
    <w:rsid w:val="00144978"/>
    <w:rsid w:val="00144AAA"/>
    <w:rsid w:val="001463F4"/>
    <w:rsid w:val="0015316B"/>
    <w:rsid w:val="0015588C"/>
    <w:rsid w:val="00155C2E"/>
    <w:rsid w:val="001563BE"/>
    <w:rsid w:val="00156710"/>
    <w:rsid w:val="00160B90"/>
    <w:rsid w:val="001618A0"/>
    <w:rsid w:val="00163B8F"/>
    <w:rsid w:val="00164383"/>
    <w:rsid w:val="00166A7E"/>
    <w:rsid w:val="00166FFD"/>
    <w:rsid w:val="001728AE"/>
    <w:rsid w:val="00172B14"/>
    <w:rsid w:val="001730F2"/>
    <w:rsid w:val="00174B81"/>
    <w:rsid w:val="0017759F"/>
    <w:rsid w:val="0017782B"/>
    <w:rsid w:val="00177CD9"/>
    <w:rsid w:val="00180506"/>
    <w:rsid w:val="001844A8"/>
    <w:rsid w:val="00191FA0"/>
    <w:rsid w:val="001936D9"/>
    <w:rsid w:val="0019381C"/>
    <w:rsid w:val="00193FBF"/>
    <w:rsid w:val="00194889"/>
    <w:rsid w:val="001958B8"/>
    <w:rsid w:val="001967AE"/>
    <w:rsid w:val="00197A70"/>
    <w:rsid w:val="001A1A59"/>
    <w:rsid w:val="001A1F2C"/>
    <w:rsid w:val="001A5C84"/>
    <w:rsid w:val="001A6473"/>
    <w:rsid w:val="001A6F58"/>
    <w:rsid w:val="001A7F15"/>
    <w:rsid w:val="001B0396"/>
    <w:rsid w:val="001B323F"/>
    <w:rsid w:val="001B38EB"/>
    <w:rsid w:val="001B39B3"/>
    <w:rsid w:val="001B40B3"/>
    <w:rsid w:val="001B46C2"/>
    <w:rsid w:val="001B712F"/>
    <w:rsid w:val="001B723B"/>
    <w:rsid w:val="001B7306"/>
    <w:rsid w:val="001C2AF0"/>
    <w:rsid w:val="001C2EBD"/>
    <w:rsid w:val="001C32C9"/>
    <w:rsid w:val="001C3DBD"/>
    <w:rsid w:val="001C3DCC"/>
    <w:rsid w:val="001C500B"/>
    <w:rsid w:val="001C5421"/>
    <w:rsid w:val="001C5868"/>
    <w:rsid w:val="001D1681"/>
    <w:rsid w:val="001D18DF"/>
    <w:rsid w:val="001D1CC1"/>
    <w:rsid w:val="001D3B2C"/>
    <w:rsid w:val="001D4CE6"/>
    <w:rsid w:val="001D5A2F"/>
    <w:rsid w:val="001D5DEE"/>
    <w:rsid w:val="001D65D3"/>
    <w:rsid w:val="001E1991"/>
    <w:rsid w:val="001E24C6"/>
    <w:rsid w:val="001E2692"/>
    <w:rsid w:val="001E3508"/>
    <w:rsid w:val="001F0FEE"/>
    <w:rsid w:val="001F156A"/>
    <w:rsid w:val="001F2CF5"/>
    <w:rsid w:val="001F3392"/>
    <w:rsid w:val="001F3942"/>
    <w:rsid w:val="002018DD"/>
    <w:rsid w:val="00201E02"/>
    <w:rsid w:val="002057AE"/>
    <w:rsid w:val="002071BA"/>
    <w:rsid w:val="0020721A"/>
    <w:rsid w:val="00210236"/>
    <w:rsid w:val="002102FD"/>
    <w:rsid w:val="0021075D"/>
    <w:rsid w:val="00211072"/>
    <w:rsid w:val="002113AC"/>
    <w:rsid w:val="002120CE"/>
    <w:rsid w:val="00212AFC"/>
    <w:rsid w:val="00216732"/>
    <w:rsid w:val="00230B20"/>
    <w:rsid w:val="00230CAC"/>
    <w:rsid w:val="00230DBF"/>
    <w:rsid w:val="0023149C"/>
    <w:rsid w:val="00231627"/>
    <w:rsid w:val="00233E01"/>
    <w:rsid w:val="00235C8C"/>
    <w:rsid w:val="0023673F"/>
    <w:rsid w:val="0023688B"/>
    <w:rsid w:val="00236FF3"/>
    <w:rsid w:val="00237E3E"/>
    <w:rsid w:val="00241773"/>
    <w:rsid w:val="002430E2"/>
    <w:rsid w:val="002439E7"/>
    <w:rsid w:val="0024774E"/>
    <w:rsid w:val="00247C15"/>
    <w:rsid w:val="00254EC0"/>
    <w:rsid w:val="00260952"/>
    <w:rsid w:val="00260F7B"/>
    <w:rsid w:val="0026180A"/>
    <w:rsid w:val="00262FFF"/>
    <w:rsid w:val="002653AB"/>
    <w:rsid w:val="00265594"/>
    <w:rsid w:val="00265FA5"/>
    <w:rsid w:val="00266088"/>
    <w:rsid w:val="002717CA"/>
    <w:rsid w:val="00273DE1"/>
    <w:rsid w:val="002748D1"/>
    <w:rsid w:val="0027617E"/>
    <w:rsid w:val="002767BD"/>
    <w:rsid w:val="00276A82"/>
    <w:rsid w:val="0028129F"/>
    <w:rsid w:val="00281D56"/>
    <w:rsid w:val="002859AE"/>
    <w:rsid w:val="00290798"/>
    <w:rsid w:val="002919CC"/>
    <w:rsid w:val="00291F90"/>
    <w:rsid w:val="00295D19"/>
    <w:rsid w:val="00296572"/>
    <w:rsid w:val="002A0FDD"/>
    <w:rsid w:val="002A2181"/>
    <w:rsid w:val="002A29DC"/>
    <w:rsid w:val="002A6790"/>
    <w:rsid w:val="002A752E"/>
    <w:rsid w:val="002A775E"/>
    <w:rsid w:val="002B0679"/>
    <w:rsid w:val="002B10AD"/>
    <w:rsid w:val="002B4DB4"/>
    <w:rsid w:val="002C0716"/>
    <w:rsid w:val="002C1967"/>
    <w:rsid w:val="002C2013"/>
    <w:rsid w:val="002C3AB7"/>
    <w:rsid w:val="002C66A3"/>
    <w:rsid w:val="002C7090"/>
    <w:rsid w:val="002C7416"/>
    <w:rsid w:val="002D4A4D"/>
    <w:rsid w:val="002D4E59"/>
    <w:rsid w:val="002D5277"/>
    <w:rsid w:val="002D6221"/>
    <w:rsid w:val="002E001C"/>
    <w:rsid w:val="002E733C"/>
    <w:rsid w:val="002F050E"/>
    <w:rsid w:val="002F0BB1"/>
    <w:rsid w:val="002F2642"/>
    <w:rsid w:val="002F3860"/>
    <w:rsid w:val="002F3999"/>
    <w:rsid w:val="002F5508"/>
    <w:rsid w:val="002F5F9B"/>
    <w:rsid w:val="002F7A0A"/>
    <w:rsid w:val="00300E12"/>
    <w:rsid w:val="00300EF9"/>
    <w:rsid w:val="00301732"/>
    <w:rsid w:val="0030343E"/>
    <w:rsid w:val="00303CF5"/>
    <w:rsid w:val="00304595"/>
    <w:rsid w:val="00304DFB"/>
    <w:rsid w:val="003100C9"/>
    <w:rsid w:val="00312810"/>
    <w:rsid w:val="003130DF"/>
    <w:rsid w:val="00315D55"/>
    <w:rsid w:val="00316271"/>
    <w:rsid w:val="003164A3"/>
    <w:rsid w:val="00316E4F"/>
    <w:rsid w:val="00320742"/>
    <w:rsid w:val="00320F57"/>
    <w:rsid w:val="003216D9"/>
    <w:rsid w:val="00321D9C"/>
    <w:rsid w:val="0032225E"/>
    <w:rsid w:val="00322E39"/>
    <w:rsid w:val="00323098"/>
    <w:rsid w:val="003234A8"/>
    <w:rsid w:val="003240C6"/>
    <w:rsid w:val="00324894"/>
    <w:rsid w:val="00325A42"/>
    <w:rsid w:val="00330919"/>
    <w:rsid w:val="003313E9"/>
    <w:rsid w:val="0033170D"/>
    <w:rsid w:val="003323D4"/>
    <w:rsid w:val="003325F5"/>
    <w:rsid w:val="00334DAE"/>
    <w:rsid w:val="00335046"/>
    <w:rsid w:val="00336839"/>
    <w:rsid w:val="00340026"/>
    <w:rsid w:val="00343DE7"/>
    <w:rsid w:val="00344026"/>
    <w:rsid w:val="00344631"/>
    <w:rsid w:val="0034528E"/>
    <w:rsid w:val="00345B78"/>
    <w:rsid w:val="0034640F"/>
    <w:rsid w:val="0034690F"/>
    <w:rsid w:val="00347805"/>
    <w:rsid w:val="00347AFA"/>
    <w:rsid w:val="00351AE6"/>
    <w:rsid w:val="0035341C"/>
    <w:rsid w:val="0035375D"/>
    <w:rsid w:val="00355A24"/>
    <w:rsid w:val="00355EB9"/>
    <w:rsid w:val="003569CE"/>
    <w:rsid w:val="003604C2"/>
    <w:rsid w:val="00361650"/>
    <w:rsid w:val="00364AF6"/>
    <w:rsid w:val="00365BA6"/>
    <w:rsid w:val="00365BCC"/>
    <w:rsid w:val="00366D5F"/>
    <w:rsid w:val="00370764"/>
    <w:rsid w:val="003739F0"/>
    <w:rsid w:val="003766AD"/>
    <w:rsid w:val="00381BBA"/>
    <w:rsid w:val="00382EF6"/>
    <w:rsid w:val="00383026"/>
    <w:rsid w:val="00383091"/>
    <w:rsid w:val="0038321C"/>
    <w:rsid w:val="00384233"/>
    <w:rsid w:val="003873BE"/>
    <w:rsid w:val="00390232"/>
    <w:rsid w:val="00391B28"/>
    <w:rsid w:val="00391E69"/>
    <w:rsid w:val="00392273"/>
    <w:rsid w:val="00394282"/>
    <w:rsid w:val="00395398"/>
    <w:rsid w:val="003A3F99"/>
    <w:rsid w:val="003A4E60"/>
    <w:rsid w:val="003A7409"/>
    <w:rsid w:val="003A74C3"/>
    <w:rsid w:val="003B4DAF"/>
    <w:rsid w:val="003B589E"/>
    <w:rsid w:val="003B76DE"/>
    <w:rsid w:val="003B7FA9"/>
    <w:rsid w:val="003C064B"/>
    <w:rsid w:val="003C2F7E"/>
    <w:rsid w:val="003C34E1"/>
    <w:rsid w:val="003C405F"/>
    <w:rsid w:val="003C53F9"/>
    <w:rsid w:val="003C5F63"/>
    <w:rsid w:val="003C6807"/>
    <w:rsid w:val="003C6F68"/>
    <w:rsid w:val="003D0EA0"/>
    <w:rsid w:val="003D3034"/>
    <w:rsid w:val="003D42C1"/>
    <w:rsid w:val="003D61A2"/>
    <w:rsid w:val="003D79FE"/>
    <w:rsid w:val="003E1A9A"/>
    <w:rsid w:val="003E1D89"/>
    <w:rsid w:val="003E20F3"/>
    <w:rsid w:val="003E3381"/>
    <w:rsid w:val="003E4CF6"/>
    <w:rsid w:val="003E59D3"/>
    <w:rsid w:val="003E7043"/>
    <w:rsid w:val="003F0CDC"/>
    <w:rsid w:val="003F2B98"/>
    <w:rsid w:val="003F3AD3"/>
    <w:rsid w:val="003F4024"/>
    <w:rsid w:val="003F62C9"/>
    <w:rsid w:val="003F6C6E"/>
    <w:rsid w:val="003F6E29"/>
    <w:rsid w:val="004009A8"/>
    <w:rsid w:val="00402C49"/>
    <w:rsid w:val="004051F3"/>
    <w:rsid w:val="00405BDE"/>
    <w:rsid w:val="00405CE3"/>
    <w:rsid w:val="00406F4D"/>
    <w:rsid w:val="00407885"/>
    <w:rsid w:val="004102F1"/>
    <w:rsid w:val="0041508A"/>
    <w:rsid w:val="004154CF"/>
    <w:rsid w:val="00417B92"/>
    <w:rsid w:val="004204CA"/>
    <w:rsid w:val="004223F0"/>
    <w:rsid w:val="00422FAE"/>
    <w:rsid w:val="00423214"/>
    <w:rsid w:val="00423C62"/>
    <w:rsid w:val="00424E93"/>
    <w:rsid w:val="00425590"/>
    <w:rsid w:val="0043000F"/>
    <w:rsid w:val="00430046"/>
    <w:rsid w:val="00430B61"/>
    <w:rsid w:val="00432D18"/>
    <w:rsid w:val="00432ED7"/>
    <w:rsid w:val="00433315"/>
    <w:rsid w:val="004374AE"/>
    <w:rsid w:val="004375E6"/>
    <w:rsid w:val="0044003A"/>
    <w:rsid w:val="0044095D"/>
    <w:rsid w:val="00440ED0"/>
    <w:rsid w:val="0044128C"/>
    <w:rsid w:val="00442C07"/>
    <w:rsid w:val="00447FE2"/>
    <w:rsid w:val="00451847"/>
    <w:rsid w:val="00453496"/>
    <w:rsid w:val="004543DF"/>
    <w:rsid w:val="00454E26"/>
    <w:rsid w:val="004557CF"/>
    <w:rsid w:val="0046363B"/>
    <w:rsid w:val="004638D8"/>
    <w:rsid w:val="00463B1D"/>
    <w:rsid w:val="00463DF1"/>
    <w:rsid w:val="00465BD8"/>
    <w:rsid w:val="00466920"/>
    <w:rsid w:val="00467759"/>
    <w:rsid w:val="00467CAA"/>
    <w:rsid w:val="0047271D"/>
    <w:rsid w:val="004728B6"/>
    <w:rsid w:val="00474E8C"/>
    <w:rsid w:val="00476169"/>
    <w:rsid w:val="00476729"/>
    <w:rsid w:val="00476C93"/>
    <w:rsid w:val="004771EA"/>
    <w:rsid w:val="004802AB"/>
    <w:rsid w:val="0048234D"/>
    <w:rsid w:val="00482A1B"/>
    <w:rsid w:val="00482D2C"/>
    <w:rsid w:val="00483298"/>
    <w:rsid w:val="00483EDE"/>
    <w:rsid w:val="004860B5"/>
    <w:rsid w:val="004867E0"/>
    <w:rsid w:val="00487C3E"/>
    <w:rsid w:val="004918D8"/>
    <w:rsid w:val="00491985"/>
    <w:rsid w:val="004928D6"/>
    <w:rsid w:val="0049344F"/>
    <w:rsid w:val="00494050"/>
    <w:rsid w:val="00494BFA"/>
    <w:rsid w:val="0049666A"/>
    <w:rsid w:val="004977EB"/>
    <w:rsid w:val="004A0D2B"/>
    <w:rsid w:val="004B0070"/>
    <w:rsid w:val="004B2F71"/>
    <w:rsid w:val="004B369B"/>
    <w:rsid w:val="004B3E71"/>
    <w:rsid w:val="004B5124"/>
    <w:rsid w:val="004B60A1"/>
    <w:rsid w:val="004B67B6"/>
    <w:rsid w:val="004B7259"/>
    <w:rsid w:val="004C062C"/>
    <w:rsid w:val="004C0D5F"/>
    <w:rsid w:val="004C0FDE"/>
    <w:rsid w:val="004C100A"/>
    <w:rsid w:val="004C1C25"/>
    <w:rsid w:val="004C29D7"/>
    <w:rsid w:val="004C36E8"/>
    <w:rsid w:val="004C399C"/>
    <w:rsid w:val="004C460B"/>
    <w:rsid w:val="004C5825"/>
    <w:rsid w:val="004C6197"/>
    <w:rsid w:val="004C71F4"/>
    <w:rsid w:val="004C760D"/>
    <w:rsid w:val="004C786C"/>
    <w:rsid w:val="004D16A1"/>
    <w:rsid w:val="004D23B3"/>
    <w:rsid w:val="004D322B"/>
    <w:rsid w:val="004D3808"/>
    <w:rsid w:val="004D66BA"/>
    <w:rsid w:val="004D7480"/>
    <w:rsid w:val="004E42B0"/>
    <w:rsid w:val="004E51B9"/>
    <w:rsid w:val="004E7D04"/>
    <w:rsid w:val="004F04D6"/>
    <w:rsid w:val="004F23E0"/>
    <w:rsid w:val="004F3E6F"/>
    <w:rsid w:val="00502B8A"/>
    <w:rsid w:val="0050311D"/>
    <w:rsid w:val="00503D35"/>
    <w:rsid w:val="005047DA"/>
    <w:rsid w:val="005054F0"/>
    <w:rsid w:val="00505FC5"/>
    <w:rsid w:val="005065C2"/>
    <w:rsid w:val="005067CF"/>
    <w:rsid w:val="00510A5C"/>
    <w:rsid w:val="00511E40"/>
    <w:rsid w:val="00513172"/>
    <w:rsid w:val="00514484"/>
    <w:rsid w:val="00514C6A"/>
    <w:rsid w:val="00516023"/>
    <w:rsid w:val="00517309"/>
    <w:rsid w:val="00517413"/>
    <w:rsid w:val="00520C73"/>
    <w:rsid w:val="00522B18"/>
    <w:rsid w:val="005241E8"/>
    <w:rsid w:val="005303CA"/>
    <w:rsid w:val="005308E7"/>
    <w:rsid w:val="005318E0"/>
    <w:rsid w:val="00532896"/>
    <w:rsid w:val="0053487D"/>
    <w:rsid w:val="00535C92"/>
    <w:rsid w:val="00536502"/>
    <w:rsid w:val="0053650F"/>
    <w:rsid w:val="0053749D"/>
    <w:rsid w:val="005406FE"/>
    <w:rsid w:val="00542583"/>
    <w:rsid w:val="005425F6"/>
    <w:rsid w:val="00543000"/>
    <w:rsid w:val="00543B68"/>
    <w:rsid w:val="00546A07"/>
    <w:rsid w:val="00553BA4"/>
    <w:rsid w:val="00554306"/>
    <w:rsid w:val="00556520"/>
    <w:rsid w:val="005577CA"/>
    <w:rsid w:val="00560174"/>
    <w:rsid w:val="0056295B"/>
    <w:rsid w:val="005634AB"/>
    <w:rsid w:val="00564B7E"/>
    <w:rsid w:val="00564D91"/>
    <w:rsid w:val="00565E89"/>
    <w:rsid w:val="00565F34"/>
    <w:rsid w:val="00567BBB"/>
    <w:rsid w:val="00570353"/>
    <w:rsid w:val="00572520"/>
    <w:rsid w:val="00574AA1"/>
    <w:rsid w:val="0057653B"/>
    <w:rsid w:val="00576F00"/>
    <w:rsid w:val="005775BC"/>
    <w:rsid w:val="0058190E"/>
    <w:rsid w:val="00581995"/>
    <w:rsid w:val="00581AB4"/>
    <w:rsid w:val="00581C8E"/>
    <w:rsid w:val="00582C5B"/>
    <w:rsid w:val="00583186"/>
    <w:rsid w:val="00583D0D"/>
    <w:rsid w:val="00584BC0"/>
    <w:rsid w:val="00584D7B"/>
    <w:rsid w:val="0059039B"/>
    <w:rsid w:val="00595AE7"/>
    <w:rsid w:val="00596246"/>
    <w:rsid w:val="00596DA8"/>
    <w:rsid w:val="005A0E84"/>
    <w:rsid w:val="005A24EE"/>
    <w:rsid w:val="005A4394"/>
    <w:rsid w:val="005A43D3"/>
    <w:rsid w:val="005A4625"/>
    <w:rsid w:val="005A6618"/>
    <w:rsid w:val="005B0CBB"/>
    <w:rsid w:val="005B2188"/>
    <w:rsid w:val="005B2D01"/>
    <w:rsid w:val="005B36BD"/>
    <w:rsid w:val="005B4553"/>
    <w:rsid w:val="005B5AE2"/>
    <w:rsid w:val="005B751F"/>
    <w:rsid w:val="005B7554"/>
    <w:rsid w:val="005B7E10"/>
    <w:rsid w:val="005C11D1"/>
    <w:rsid w:val="005C2BAD"/>
    <w:rsid w:val="005C656D"/>
    <w:rsid w:val="005D037A"/>
    <w:rsid w:val="005D3349"/>
    <w:rsid w:val="005D7735"/>
    <w:rsid w:val="005E0398"/>
    <w:rsid w:val="005E135A"/>
    <w:rsid w:val="005E15BA"/>
    <w:rsid w:val="005E2FC8"/>
    <w:rsid w:val="005E304B"/>
    <w:rsid w:val="005E53D7"/>
    <w:rsid w:val="005E5A76"/>
    <w:rsid w:val="005E60F1"/>
    <w:rsid w:val="005F1142"/>
    <w:rsid w:val="005F28E0"/>
    <w:rsid w:val="005F56FB"/>
    <w:rsid w:val="005F7B29"/>
    <w:rsid w:val="00601C6B"/>
    <w:rsid w:val="006021FA"/>
    <w:rsid w:val="006023A9"/>
    <w:rsid w:val="00602524"/>
    <w:rsid w:val="00603348"/>
    <w:rsid w:val="00603C56"/>
    <w:rsid w:val="006051BB"/>
    <w:rsid w:val="00605E3C"/>
    <w:rsid w:val="00606568"/>
    <w:rsid w:val="0060755B"/>
    <w:rsid w:val="00607F1E"/>
    <w:rsid w:val="00611A09"/>
    <w:rsid w:val="0061485F"/>
    <w:rsid w:val="00615AFB"/>
    <w:rsid w:val="0062048D"/>
    <w:rsid w:val="00620A53"/>
    <w:rsid w:val="006219A0"/>
    <w:rsid w:val="00624F73"/>
    <w:rsid w:val="006253AD"/>
    <w:rsid w:val="0062540F"/>
    <w:rsid w:val="00625FF3"/>
    <w:rsid w:val="00632C7F"/>
    <w:rsid w:val="00636F54"/>
    <w:rsid w:val="00641667"/>
    <w:rsid w:val="006424B4"/>
    <w:rsid w:val="00643F9A"/>
    <w:rsid w:val="0065058F"/>
    <w:rsid w:val="00650A6C"/>
    <w:rsid w:val="006513A7"/>
    <w:rsid w:val="0065264F"/>
    <w:rsid w:val="006534B1"/>
    <w:rsid w:val="00657EB0"/>
    <w:rsid w:val="00660ACF"/>
    <w:rsid w:val="00660D55"/>
    <w:rsid w:val="006612E6"/>
    <w:rsid w:val="00661D0D"/>
    <w:rsid w:val="006621A7"/>
    <w:rsid w:val="00662271"/>
    <w:rsid w:val="00662284"/>
    <w:rsid w:val="00663431"/>
    <w:rsid w:val="00663433"/>
    <w:rsid w:val="006657EF"/>
    <w:rsid w:val="00666B14"/>
    <w:rsid w:val="00666EAE"/>
    <w:rsid w:val="00671577"/>
    <w:rsid w:val="00673125"/>
    <w:rsid w:val="00675917"/>
    <w:rsid w:val="00675D1C"/>
    <w:rsid w:val="006761A8"/>
    <w:rsid w:val="006769A5"/>
    <w:rsid w:val="006808BC"/>
    <w:rsid w:val="00681EB4"/>
    <w:rsid w:val="0068359B"/>
    <w:rsid w:val="00684C05"/>
    <w:rsid w:val="00685176"/>
    <w:rsid w:val="00685694"/>
    <w:rsid w:val="00690216"/>
    <w:rsid w:val="00691784"/>
    <w:rsid w:val="0069482B"/>
    <w:rsid w:val="006951A3"/>
    <w:rsid w:val="00695D86"/>
    <w:rsid w:val="006968CE"/>
    <w:rsid w:val="006A18F3"/>
    <w:rsid w:val="006A3E13"/>
    <w:rsid w:val="006A68F0"/>
    <w:rsid w:val="006A7DD5"/>
    <w:rsid w:val="006B02D7"/>
    <w:rsid w:val="006B06D4"/>
    <w:rsid w:val="006B094A"/>
    <w:rsid w:val="006B0B50"/>
    <w:rsid w:val="006B4E18"/>
    <w:rsid w:val="006B4E80"/>
    <w:rsid w:val="006B54E6"/>
    <w:rsid w:val="006C0179"/>
    <w:rsid w:val="006C5AFD"/>
    <w:rsid w:val="006C5B46"/>
    <w:rsid w:val="006C70C4"/>
    <w:rsid w:val="006D3001"/>
    <w:rsid w:val="006D3A10"/>
    <w:rsid w:val="006D3B94"/>
    <w:rsid w:val="006D4411"/>
    <w:rsid w:val="006D46DC"/>
    <w:rsid w:val="006D4856"/>
    <w:rsid w:val="006D4E76"/>
    <w:rsid w:val="006D5AF7"/>
    <w:rsid w:val="006D6712"/>
    <w:rsid w:val="006E06FE"/>
    <w:rsid w:val="006E0769"/>
    <w:rsid w:val="006E10C5"/>
    <w:rsid w:val="006E35F4"/>
    <w:rsid w:val="006E493B"/>
    <w:rsid w:val="006E4F20"/>
    <w:rsid w:val="006E7B0E"/>
    <w:rsid w:val="006E7B22"/>
    <w:rsid w:val="006F0A75"/>
    <w:rsid w:val="006F1A1A"/>
    <w:rsid w:val="006F1E32"/>
    <w:rsid w:val="006F23FE"/>
    <w:rsid w:val="006F5ADF"/>
    <w:rsid w:val="006F7378"/>
    <w:rsid w:val="007009EF"/>
    <w:rsid w:val="00701F3C"/>
    <w:rsid w:val="007028FD"/>
    <w:rsid w:val="007033A2"/>
    <w:rsid w:val="0070352E"/>
    <w:rsid w:val="00703C6B"/>
    <w:rsid w:val="00704490"/>
    <w:rsid w:val="00704655"/>
    <w:rsid w:val="00706651"/>
    <w:rsid w:val="007078EA"/>
    <w:rsid w:val="00710DA3"/>
    <w:rsid w:val="00712CCD"/>
    <w:rsid w:val="0071314A"/>
    <w:rsid w:val="0071390A"/>
    <w:rsid w:val="00714C35"/>
    <w:rsid w:val="00715E1A"/>
    <w:rsid w:val="0071670F"/>
    <w:rsid w:val="00716975"/>
    <w:rsid w:val="00717D84"/>
    <w:rsid w:val="007201DF"/>
    <w:rsid w:val="007208D5"/>
    <w:rsid w:val="00721057"/>
    <w:rsid w:val="007256C1"/>
    <w:rsid w:val="00727C87"/>
    <w:rsid w:val="007334D6"/>
    <w:rsid w:val="0073380D"/>
    <w:rsid w:val="00734F95"/>
    <w:rsid w:val="007376E3"/>
    <w:rsid w:val="00737C29"/>
    <w:rsid w:val="007418A8"/>
    <w:rsid w:val="00743ECE"/>
    <w:rsid w:val="00746532"/>
    <w:rsid w:val="00747CC7"/>
    <w:rsid w:val="007508C6"/>
    <w:rsid w:val="00752BB8"/>
    <w:rsid w:val="00753CFD"/>
    <w:rsid w:val="007546E1"/>
    <w:rsid w:val="0076226A"/>
    <w:rsid w:val="00764058"/>
    <w:rsid w:val="00765217"/>
    <w:rsid w:val="00766C02"/>
    <w:rsid w:val="0076730A"/>
    <w:rsid w:val="0076770F"/>
    <w:rsid w:val="00767839"/>
    <w:rsid w:val="007679BC"/>
    <w:rsid w:val="00771245"/>
    <w:rsid w:val="00773D19"/>
    <w:rsid w:val="00774C48"/>
    <w:rsid w:val="00780533"/>
    <w:rsid w:val="00781A42"/>
    <w:rsid w:val="00782DBF"/>
    <w:rsid w:val="00783DF0"/>
    <w:rsid w:val="00786200"/>
    <w:rsid w:val="007873C7"/>
    <w:rsid w:val="007876DF"/>
    <w:rsid w:val="0079115A"/>
    <w:rsid w:val="007942E9"/>
    <w:rsid w:val="00796107"/>
    <w:rsid w:val="007970BE"/>
    <w:rsid w:val="0079715D"/>
    <w:rsid w:val="0079729A"/>
    <w:rsid w:val="007977F4"/>
    <w:rsid w:val="00797A4F"/>
    <w:rsid w:val="007A0FC1"/>
    <w:rsid w:val="007A33C8"/>
    <w:rsid w:val="007A3458"/>
    <w:rsid w:val="007A474D"/>
    <w:rsid w:val="007A4F7B"/>
    <w:rsid w:val="007A583C"/>
    <w:rsid w:val="007B1839"/>
    <w:rsid w:val="007B22EC"/>
    <w:rsid w:val="007B4E49"/>
    <w:rsid w:val="007B5549"/>
    <w:rsid w:val="007B6D4E"/>
    <w:rsid w:val="007B73DA"/>
    <w:rsid w:val="007B77FD"/>
    <w:rsid w:val="007C0160"/>
    <w:rsid w:val="007C06C7"/>
    <w:rsid w:val="007C1E9F"/>
    <w:rsid w:val="007C1F7E"/>
    <w:rsid w:val="007C3AB6"/>
    <w:rsid w:val="007C435F"/>
    <w:rsid w:val="007C4D53"/>
    <w:rsid w:val="007C5326"/>
    <w:rsid w:val="007C7E99"/>
    <w:rsid w:val="007D3526"/>
    <w:rsid w:val="007D65EE"/>
    <w:rsid w:val="007E033F"/>
    <w:rsid w:val="007E0808"/>
    <w:rsid w:val="007E4981"/>
    <w:rsid w:val="007E7807"/>
    <w:rsid w:val="007E7D88"/>
    <w:rsid w:val="007F03AB"/>
    <w:rsid w:val="007F0873"/>
    <w:rsid w:val="007F174C"/>
    <w:rsid w:val="007F1929"/>
    <w:rsid w:val="007F4E21"/>
    <w:rsid w:val="007F6436"/>
    <w:rsid w:val="007F65F7"/>
    <w:rsid w:val="007F68C7"/>
    <w:rsid w:val="007F6BB6"/>
    <w:rsid w:val="007F746F"/>
    <w:rsid w:val="007F7829"/>
    <w:rsid w:val="00800B58"/>
    <w:rsid w:val="00801C05"/>
    <w:rsid w:val="00801E79"/>
    <w:rsid w:val="008020EB"/>
    <w:rsid w:val="0080223F"/>
    <w:rsid w:val="0080433E"/>
    <w:rsid w:val="008052F3"/>
    <w:rsid w:val="0080551D"/>
    <w:rsid w:val="008055B1"/>
    <w:rsid w:val="00806B76"/>
    <w:rsid w:val="00807B25"/>
    <w:rsid w:val="00810390"/>
    <w:rsid w:val="00810E4E"/>
    <w:rsid w:val="0081187C"/>
    <w:rsid w:val="00812286"/>
    <w:rsid w:val="008146AC"/>
    <w:rsid w:val="0081591D"/>
    <w:rsid w:val="00815BE1"/>
    <w:rsid w:val="008166E4"/>
    <w:rsid w:val="008173DA"/>
    <w:rsid w:val="00817F8C"/>
    <w:rsid w:val="00823019"/>
    <w:rsid w:val="00823A10"/>
    <w:rsid w:val="00823F66"/>
    <w:rsid w:val="00824D0F"/>
    <w:rsid w:val="008273B9"/>
    <w:rsid w:val="00831216"/>
    <w:rsid w:val="0083151F"/>
    <w:rsid w:val="008325E6"/>
    <w:rsid w:val="008358C6"/>
    <w:rsid w:val="008445FD"/>
    <w:rsid w:val="00845B53"/>
    <w:rsid w:val="00846721"/>
    <w:rsid w:val="008467A1"/>
    <w:rsid w:val="00846FF2"/>
    <w:rsid w:val="00847E03"/>
    <w:rsid w:val="00850608"/>
    <w:rsid w:val="00851BCA"/>
    <w:rsid w:val="00852F72"/>
    <w:rsid w:val="00853F66"/>
    <w:rsid w:val="00854222"/>
    <w:rsid w:val="00854328"/>
    <w:rsid w:val="008544FB"/>
    <w:rsid w:val="00857356"/>
    <w:rsid w:val="00861650"/>
    <w:rsid w:val="00861B2D"/>
    <w:rsid w:val="00862A9B"/>
    <w:rsid w:val="00862FE0"/>
    <w:rsid w:val="00863EB9"/>
    <w:rsid w:val="0086542D"/>
    <w:rsid w:val="00865F50"/>
    <w:rsid w:val="00867604"/>
    <w:rsid w:val="00867BB8"/>
    <w:rsid w:val="0087110B"/>
    <w:rsid w:val="008724C2"/>
    <w:rsid w:val="0087577A"/>
    <w:rsid w:val="0087600E"/>
    <w:rsid w:val="008768C7"/>
    <w:rsid w:val="00880975"/>
    <w:rsid w:val="00881D7C"/>
    <w:rsid w:val="008822E1"/>
    <w:rsid w:val="00883254"/>
    <w:rsid w:val="008854BB"/>
    <w:rsid w:val="00886F22"/>
    <w:rsid w:val="008872B8"/>
    <w:rsid w:val="00887378"/>
    <w:rsid w:val="0089058C"/>
    <w:rsid w:val="00892491"/>
    <w:rsid w:val="0089250D"/>
    <w:rsid w:val="0089277E"/>
    <w:rsid w:val="00894DEE"/>
    <w:rsid w:val="00895D2E"/>
    <w:rsid w:val="00896B45"/>
    <w:rsid w:val="008974CD"/>
    <w:rsid w:val="008A0092"/>
    <w:rsid w:val="008A0971"/>
    <w:rsid w:val="008A1B7F"/>
    <w:rsid w:val="008A20FF"/>
    <w:rsid w:val="008A3C52"/>
    <w:rsid w:val="008A3EF9"/>
    <w:rsid w:val="008A6F1F"/>
    <w:rsid w:val="008A73BB"/>
    <w:rsid w:val="008A7642"/>
    <w:rsid w:val="008B2789"/>
    <w:rsid w:val="008B40A0"/>
    <w:rsid w:val="008B49C9"/>
    <w:rsid w:val="008B6611"/>
    <w:rsid w:val="008B7980"/>
    <w:rsid w:val="008C0982"/>
    <w:rsid w:val="008C320B"/>
    <w:rsid w:val="008C414C"/>
    <w:rsid w:val="008C41C7"/>
    <w:rsid w:val="008C424C"/>
    <w:rsid w:val="008C4B81"/>
    <w:rsid w:val="008C5AC8"/>
    <w:rsid w:val="008C6624"/>
    <w:rsid w:val="008C695E"/>
    <w:rsid w:val="008C6D0D"/>
    <w:rsid w:val="008C711A"/>
    <w:rsid w:val="008D059D"/>
    <w:rsid w:val="008D11D6"/>
    <w:rsid w:val="008D12D8"/>
    <w:rsid w:val="008D19DE"/>
    <w:rsid w:val="008D4384"/>
    <w:rsid w:val="008D5BE9"/>
    <w:rsid w:val="008D74CC"/>
    <w:rsid w:val="008D7CA1"/>
    <w:rsid w:val="008E1344"/>
    <w:rsid w:val="008E52D5"/>
    <w:rsid w:val="008F033F"/>
    <w:rsid w:val="008F0CDF"/>
    <w:rsid w:val="008F38FA"/>
    <w:rsid w:val="008F46A9"/>
    <w:rsid w:val="008F5A12"/>
    <w:rsid w:val="008F728A"/>
    <w:rsid w:val="008F767A"/>
    <w:rsid w:val="00900A24"/>
    <w:rsid w:val="009031D7"/>
    <w:rsid w:val="00904B85"/>
    <w:rsid w:val="00904D75"/>
    <w:rsid w:val="0090638E"/>
    <w:rsid w:val="00906CEF"/>
    <w:rsid w:val="009110A4"/>
    <w:rsid w:val="00911DF9"/>
    <w:rsid w:val="00912723"/>
    <w:rsid w:val="00916D35"/>
    <w:rsid w:val="00917ABB"/>
    <w:rsid w:val="009202BD"/>
    <w:rsid w:val="00921570"/>
    <w:rsid w:val="0092190E"/>
    <w:rsid w:val="00921FA7"/>
    <w:rsid w:val="0092365B"/>
    <w:rsid w:val="00927350"/>
    <w:rsid w:val="00927404"/>
    <w:rsid w:val="00930081"/>
    <w:rsid w:val="0093139D"/>
    <w:rsid w:val="009336ED"/>
    <w:rsid w:val="0093585B"/>
    <w:rsid w:val="0094002B"/>
    <w:rsid w:val="00940138"/>
    <w:rsid w:val="00940AC7"/>
    <w:rsid w:val="00941C0B"/>
    <w:rsid w:val="009439D4"/>
    <w:rsid w:val="00944D94"/>
    <w:rsid w:val="009467DD"/>
    <w:rsid w:val="00946EE4"/>
    <w:rsid w:val="00950002"/>
    <w:rsid w:val="00951741"/>
    <w:rsid w:val="0095429E"/>
    <w:rsid w:val="00961D97"/>
    <w:rsid w:val="0096428D"/>
    <w:rsid w:val="00965492"/>
    <w:rsid w:val="00965E02"/>
    <w:rsid w:val="00970F11"/>
    <w:rsid w:val="00971F7B"/>
    <w:rsid w:val="00973757"/>
    <w:rsid w:val="009737C4"/>
    <w:rsid w:val="00973BCF"/>
    <w:rsid w:val="0097651C"/>
    <w:rsid w:val="009766FD"/>
    <w:rsid w:val="00980373"/>
    <w:rsid w:val="00981BBF"/>
    <w:rsid w:val="00981F48"/>
    <w:rsid w:val="00982310"/>
    <w:rsid w:val="00985B55"/>
    <w:rsid w:val="00987B8A"/>
    <w:rsid w:val="00991C0C"/>
    <w:rsid w:val="00991D03"/>
    <w:rsid w:val="00992C05"/>
    <w:rsid w:val="00995D31"/>
    <w:rsid w:val="009A0357"/>
    <w:rsid w:val="009A107E"/>
    <w:rsid w:val="009A20D2"/>
    <w:rsid w:val="009A3366"/>
    <w:rsid w:val="009A36EA"/>
    <w:rsid w:val="009A413E"/>
    <w:rsid w:val="009A47B8"/>
    <w:rsid w:val="009A4F06"/>
    <w:rsid w:val="009A5141"/>
    <w:rsid w:val="009A5EBE"/>
    <w:rsid w:val="009A6392"/>
    <w:rsid w:val="009B2C7B"/>
    <w:rsid w:val="009B3E18"/>
    <w:rsid w:val="009B5A8A"/>
    <w:rsid w:val="009B7555"/>
    <w:rsid w:val="009B75D2"/>
    <w:rsid w:val="009C030E"/>
    <w:rsid w:val="009C2D1C"/>
    <w:rsid w:val="009C2E76"/>
    <w:rsid w:val="009C6870"/>
    <w:rsid w:val="009C6980"/>
    <w:rsid w:val="009C6F37"/>
    <w:rsid w:val="009C7F4C"/>
    <w:rsid w:val="009D1DE7"/>
    <w:rsid w:val="009D1EBA"/>
    <w:rsid w:val="009D2D16"/>
    <w:rsid w:val="009D3C1A"/>
    <w:rsid w:val="009D4459"/>
    <w:rsid w:val="009D53DE"/>
    <w:rsid w:val="009D58EC"/>
    <w:rsid w:val="009D707D"/>
    <w:rsid w:val="009E0360"/>
    <w:rsid w:val="009E1700"/>
    <w:rsid w:val="009E2946"/>
    <w:rsid w:val="009E2A6B"/>
    <w:rsid w:val="009E48BB"/>
    <w:rsid w:val="009E5039"/>
    <w:rsid w:val="009E577C"/>
    <w:rsid w:val="009E7F24"/>
    <w:rsid w:val="009F1731"/>
    <w:rsid w:val="009F3831"/>
    <w:rsid w:val="009F3996"/>
    <w:rsid w:val="009F3F1F"/>
    <w:rsid w:val="009F6D9F"/>
    <w:rsid w:val="009F720B"/>
    <w:rsid w:val="00A002F6"/>
    <w:rsid w:val="00A0241B"/>
    <w:rsid w:val="00A02D54"/>
    <w:rsid w:val="00A0318D"/>
    <w:rsid w:val="00A03A3B"/>
    <w:rsid w:val="00A03BD7"/>
    <w:rsid w:val="00A03D68"/>
    <w:rsid w:val="00A04EC4"/>
    <w:rsid w:val="00A04F6C"/>
    <w:rsid w:val="00A05385"/>
    <w:rsid w:val="00A07259"/>
    <w:rsid w:val="00A10266"/>
    <w:rsid w:val="00A131D1"/>
    <w:rsid w:val="00A13438"/>
    <w:rsid w:val="00A145C1"/>
    <w:rsid w:val="00A15A98"/>
    <w:rsid w:val="00A16801"/>
    <w:rsid w:val="00A17491"/>
    <w:rsid w:val="00A20822"/>
    <w:rsid w:val="00A21294"/>
    <w:rsid w:val="00A2593B"/>
    <w:rsid w:val="00A31247"/>
    <w:rsid w:val="00A401C9"/>
    <w:rsid w:val="00A404C8"/>
    <w:rsid w:val="00A40773"/>
    <w:rsid w:val="00A43BC4"/>
    <w:rsid w:val="00A46CEA"/>
    <w:rsid w:val="00A47B1B"/>
    <w:rsid w:val="00A500D2"/>
    <w:rsid w:val="00A51D24"/>
    <w:rsid w:val="00A53283"/>
    <w:rsid w:val="00A53475"/>
    <w:rsid w:val="00A534EF"/>
    <w:rsid w:val="00A54415"/>
    <w:rsid w:val="00A570F8"/>
    <w:rsid w:val="00A57FD7"/>
    <w:rsid w:val="00A60302"/>
    <w:rsid w:val="00A62133"/>
    <w:rsid w:val="00A6267A"/>
    <w:rsid w:val="00A635E3"/>
    <w:rsid w:val="00A63D0F"/>
    <w:rsid w:val="00A63E5B"/>
    <w:rsid w:val="00A66B84"/>
    <w:rsid w:val="00A7012A"/>
    <w:rsid w:val="00A70579"/>
    <w:rsid w:val="00A7134B"/>
    <w:rsid w:val="00A7315B"/>
    <w:rsid w:val="00A73698"/>
    <w:rsid w:val="00A756D7"/>
    <w:rsid w:val="00A762F5"/>
    <w:rsid w:val="00A77001"/>
    <w:rsid w:val="00A806D9"/>
    <w:rsid w:val="00A81A36"/>
    <w:rsid w:val="00A81B31"/>
    <w:rsid w:val="00A836FA"/>
    <w:rsid w:val="00A83A9B"/>
    <w:rsid w:val="00A83B44"/>
    <w:rsid w:val="00A869CF"/>
    <w:rsid w:val="00A87878"/>
    <w:rsid w:val="00A90520"/>
    <w:rsid w:val="00A92524"/>
    <w:rsid w:val="00A92EC0"/>
    <w:rsid w:val="00A934DE"/>
    <w:rsid w:val="00A948DA"/>
    <w:rsid w:val="00A97A11"/>
    <w:rsid w:val="00AA1774"/>
    <w:rsid w:val="00AA1D08"/>
    <w:rsid w:val="00AA7336"/>
    <w:rsid w:val="00AB095F"/>
    <w:rsid w:val="00AB1244"/>
    <w:rsid w:val="00AB476E"/>
    <w:rsid w:val="00AC01BA"/>
    <w:rsid w:val="00AC0755"/>
    <w:rsid w:val="00AC3717"/>
    <w:rsid w:val="00AC7856"/>
    <w:rsid w:val="00AD0D7E"/>
    <w:rsid w:val="00AD0DB3"/>
    <w:rsid w:val="00AD16ED"/>
    <w:rsid w:val="00AD2C27"/>
    <w:rsid w:val="00AD4D4E"/>
    <w:rsid w:val="00AD5E3B"/>
    <w:rsid w:val="00AD6FFC"/>
    <w:rsid w:val="00AE6383"/>
    <w:rsid w:val="00AE65CB"/>
    <w:rsid w:val="00AE6B22"/>
    <w:rsid w:val="00AE775A"/>
    <w:rsid w:val="00AF0AA3"/>
    <w:rsid w:val="00AF17FA"/>
    <w:rsid w:val="00AF1E0A"/>
    <w:rsid w:val="00AF2971"/>
    <w:rsid w:val="00AF347F"/>
    <w:rsid w:val="00AF3D2D"/>
    <w:rsid w:val="00AF5522"/>
    <w:rsid w:val="00AF6F00"/>
    <w:rsid w:val="00AF6F76"/>
    <w:rsid w:val="00AF72F1"/>
    <w:rsid w:val="00AF7A31"/>
    <w:rsid w:val="00AF7CC6"/>
    <w:rsid w:val="00B031E5"/>
    <w:rsid w:val="00B04C34"/>
    <w:rsid w:val="00B0511A"/>
    <w:rsid w:val="00B124F7"/>
    <w:rsid w:val="00B137CE"/>
    <w:rsid w:val="00B16185"/>
    <w:rsid w:val="00B16927"/>
    <w:rsid w:val="00B20593"/>
    <w:rsid w:val="00B21D3A"/>
    <w:rsid w:val="00B22B0C"/>
    <w:rsid w:val="00B23477"/>
    <w:rsid w:val="00B23972"/>
    <w:rsid w:val="00B240C7"/>
    <w:rsid w:val="00B248A9"/>
    <w:rsid w:val="00B25096"/>
    <w:rsid w:val="00B257D8"/>
    <w:rsid w:val="00B25FE8"/>
    <w:rsid w:val="00B26813"/>
    <w:rsid w:val="00B26E48"/>
    <w:rsid w:val="00B27595"/>
    <w:rsid w:val="00B30DC9"/>
    <w:rsid w:val="00B3398D"/>
    <w:rsid w:val="00B33C96"/>
    <w:rsid w:val="00B348C4"/>
    <w:rsid w:val="00B368B7"/>
    <w:rsid w:val="00B36A3A"/>
    <w:rsid w:val="00B36FE8"/>
    <w:rsid w:val="00B4234E"/>
    <w:rsid w:val="00B426B1"/>
    <w:rsid w:val="00B42A16"/>
    <w:rsid w:val="00B42FB2"/>
    <w:rsid w:val="00B45D35"/>
    <w:rsid w:val="00B47186"/>
    <w:rsid w:val="00B54FEE"/>
    <w:rsid w:val="00B5506B"/>
    <w:rsid w:val="00B552B7"/>
    <w:rsid w:val="00B55747"/>
    <w:rsid w:val="00B55C43"/>
    <w:rsid w:val="00B55FE2"/>
    <w:rsid w:val="00B561F9"/>
    <w:rsid w:val="00B60FDB"/>
    <w:rsid w:val="00B621A2"/>
    <w:rsid w:val="00B64B99"/>
    <w:rsid w:val="00B653FE"/>
    <w:rsid w:val="00B6593F"/>
    <w:rsid w:val="00B660BD"/>
    <w:rsid w:val="00B675EA"/>
    <w:rsid w:val="00B72553"/>
    <w:rsid w:val="00B72E49"/>
    <w:rsid w:val="00B7659D"/>
    <w:rsid w:val="00B77A13"/>
    <w:rsid w:val="00B80909"/>
    <w:rsid w:val="00B80F99"/>
    <w:rsid w:val="00B81917"/>
    <w:rsid w:val="00B827A0"/>
    <w:rsid w:val="00B82B7B"/>
    <w:rsid w:val="00B82DBE"/>
    <w:rsid w:val="00B85495"/>
    <w:rsid w:val="00B866BF"/>
    <w:rsid w:val="00B90051"/>
    <w:rsid w:val="00B92D58"/>
    <w:rsid w:val="00B93C43"/>
    <w:rsid w:val="00B9621C"/>
    <w:rsid w:val="00B96A24"/>
    <w:rsid w:val="00B96D55"/>
    <w:rsid w:val="00B97AAB"/>
    <w:rsid w:val="00BA20DA"/>
    <w:rsid w:val="00BA21D5"/>
    <w:rsid w:val="00BA3376"/>
    <w:rsid w:val="00BA4909"/>
    <w:rsid w:val="00BA5512"/>
    <w:rsid w:val="00BA7088"/>
    <w:rsid w:val="00BB1383"/>
    <w:rsid w:val="00BB16E7"/>
    <w:rsid w:val="00BB2920"/>
    <w:rsid w:val="00BB4FC3"/>
    <w:rsid w:val="00BB5070"/>
    <w:rsid w:val="00BB796F"/>
    <w:rsid w:val="00BC01F0"/>
    <w:rsid w:val="00BC25E4"/>
    <w:rsid w:val="00BC2952"/>
    <w:rsid w:val="00BC32AF"/>
    <w:rsid w:val="00BC4929"/>
    <w:rsid w:val="00BC5678"/>
    <w:rsid w:val="00BC7BBB"/>
    <w:rsid w:val="00BD1212"/>
    <w:rsid w:val="00BD402F"/>
    <w:rsid w:val="00BD67DF"/>
    <w:rsid w:val="00BD7DDA"/>
    <w:rsid w:val="00BE3102"/>
    <w:rsid w:val="00BE4B15"/>
    <w:rsid w:val="00BE62CC"/>
    <w:rsid w:val="00BE6E73"/>
    <w:rsid w:val="00BE7A96"/>
    <w:rsid w:val="00BF291E"/>
    <w:rsid w:val="00BF2C11"/>
    <w:rsid w:val="00BF3F56"/>
    <w:rsid w:val="00BF5CC1"/>
    <w:rsid w:val="00BF619B"/>
    <w:rsid w:val="00BF65E3"/>
    <w:rsid w:val="00BF68C3"/>
    <w:rsid w:val="00BF694F"/>
    <w:rsid w:val="00BF6A0C"/>
    <w:rsid w:val="00BF7EC9"/>
    <w:rsid w:val="00C0009A"/>
    <w:rsid w:val="00C02418"/>
    <w:rsid w:val="00C040BF"/>
    <w:rsid w:val="00C04E1B"/>
    <w:rsid w:val="00C06A73"/>
    <w:rsid w:val="00C101AF"/>
    <w:rsid w:val="00C1354A"/>
    <w:rsid w:val="00C143E0"/>
    <w:rsid w:val="00C16719"/>
    <w:rsid w:val="00C17315"/>
    <w:rsid w:val="00C1795D"/>
    <w:rsid w:val="00C2093E"/>
    <w:rsid w:val="00C21456"/>
    <w:rsid w:val="00C21D79"/>
    <w:rsid w:val="00C244BB"/>
    <w:rsid w:val="00C26946"/>
    <w:rsid w:val="00C279C5"/>
    <w:rsid w:val="00C30C9C"/>
    <w:rsid w:val="00C32D62"/>
    <w:rsid w:val="00C337F0"/>
    <w:rsid w:val="00C341D2"/>
    <w:rsid w:val="00C371C6"/>
    <w:rsid w:val="00C37693"/>
    <w:rsid w:val="00C413A4"/>
    <w:rsid w:val="00C41CA2"/>
    <w:rsid w:val="00C43143"/>
    <w:rsid w:val="00C44C8E"/>
    <w:rsid w:val="00C4568A"/>
    <w:rsid w:val="00C47011"/>
    <w:rsid w:val="00C4716D"/>
    <w:rsid w:val="00C509BB"/>
    <w:rsid w:val="00C516D8"/>
    <w:rsid w:val="00C51E56"/>
    <w:rsid w:val="00C5288A"/>
    <w:rsid w:val="00C530DF"/>
    <w:rsid w:val="00C552AB"/>
    <w:rsid w:val="00C57006"/>
    <w:rsid w:val="00C60A6C"/>
    <w:rsid w:val="00C61753"/>
    <w:rsid w:val="00C627AE"/>
    <w:rsid w:val="00C638BD"/>
    <w:rsid w:val="00C6420E"/>
    <w:rsid w:val="00C64E53"/>
    <w:rsid w:val="00C67703"/>
    <w:rsid w:val="00C6794B"/>
    <w:rsid w:val="00C70AD2"/>
    <w:rsid w:val="00C70CCC"/>
    <w:rsid w:val="00C7288E"/>
    <w:rsid w:val="00C72AFE"/>
    <w:rsid w:val="00C75BD1"/>
    <w:rsid w:val="00C7636B"/>
    <w:rsid w:val="00C769FD"/>
    <w:rsid w:val="00C76C7A"/>
    <w:rsid w:val="00C76C96"/>
    <w:rsid w:val="00C76CA8"/>
    <w:rsid w:val="00C76DB7"/>
    <w:rsid w:val="00C77BB2"/>
    <w:rsid w:val="00C803A8"/>
    <w:rsid w:val="00C805EA"/>
    <w:rsid w:val="00C8129E"/>
    <w:rsid w:val="00C8192E"/>
    <w:rsid w:val="00C81C9A"/>
    <w:rsid w:val="00C8253C"/>
    <w:rsid w:val="00C84CEA"/>
    <w:rsid w:val="00C85D9A"/>
    <w:rsid w:val="00C92608"/>
    <w:rsid w:val="00C95481"/>
    <w:rsid w:val="00C96C63"/>
    <w:rsid w:val="00C97F62"/>
    <w:rsid w:val="00CA03C7"/>
    <w:rsid w:val="00CA14F9"/>
    <w:rsid w:val="00CA1C31"/>
    <w:rsid w:val="00CA3401"/>
    <w:rsid w:val="00CB0242"/>
    <w:rsid w:val="00CB199B"/>
    <w:rsid w:val="00CB4207"/>
    <w:rsid w:val="00CB4477"/>
    <w:rsid w:val="00CB5EBF"/>
    <w:rsid w:val="00CB7C93"/>
    <w:rsid w:val="00CC01AC"/>
    <w:rsid w:val="00CC03BB"/>
    <w:rsid w:val="00CC20B4"/>
    <w:rsid w:val="00CC2193"/>
    <w:rsid w:val="00CC28EA"/>
    <w:rsid w:val="00CC36D7"/>
    <w:rsid w:val="00CC437D"/>
    <w:rsid w:val="00CC55F0"/>
    <w:rsid w:val="00CC7BD0"/>
    <w:rsid w:val="00CC7D33"/>
    <w:rsid w:val="00CD0DD1"/>
    <w:rsid w:val="00CD2CE8"/>
    <w:rsid w:val="00CD4E02"/>
    <w:rsid w:val="00CD4ED9"/>
    <w:rsid w:val="00CE077F"/>
    <w:rsid w:val="00CE1BDB"/>
    <w:rsid w:val="00CE1CB8"/>
    <w:rsid w:val="00CE2E13"/>
    <w:rsid w:val="00CE2FB7"/>
    <w:rsid w:val="00CE6E91"/>
    <w:rsid w:val="00CF1A29"/>
    <w:rsid w:val="00CF2B97"/>
    <w:rsid w:val="00CF4B4B"/>
    <w:rsid w:val="00CF5578"/>
    <w:rsid w:val="00D00095"/>
    <w:rsid w:val="00D019AC"/>
    <w:rsid w:val="00D0341D"/>
    <w:rsid w:val="00D03BA9"/>
    <w:rsid w:val="00D05F0E"/>
    <w:rsid w:val="00D05FF7"/>
    <w:rsid w:val="00D06538"/>
    <w:rsid w:val="00D065C6"/>
    <w:rsid w:val="00D07081"/>
    <w:rsid w:val="00D078FC"/>
    <w:rsid w:val="00D07B36"/>
    <w:rsid w:val="00D12785"/>
    <w:rsid w:val="00D127D5"/>
    <w:rsid w:val="00D133B8"/>
    <w:rsid w:val="00D145A9"/>
    <w:rsid w:val="00D14D22"/>
    <w:rsid w:val="00D17C92"/>
    <w:rsid w:val="00D200A6"/>
    <w:rsid w:val="00D21C7B"/>
    <w:rsid w:val="00D248CB"/>
    <w:rsid w:val="00D249CE"/>
    <w:rsid w:val="00D26A9A"/>
    <w:rsid w:val="00D30633"/>
    <w:rsid w:val="00D3510A"/>
    <w:rsid w:val="00D35FAD"/>
    <w:rsid w:val="00D37170"/>
    <w:rsid w:val="00D425C4"/>
    <w:rsid w:val="00D4464F"/>
    <w:rsid w:val="00D6109C"/>
    <w:rsid w:val="00D61A97"/>
    <w:rsid w:val="00D62DCF"/>
    <w:rsid w:val="00D7208B"/>
    <w:rsid w:val="00D72107"/>
    <w:rsid w:val="00D73EF3"/>
    <w:rsid w:val="00D7425C"/>
    <w:rsid w:val="00D74F33"/>
    <w:rsid w:val="00D8003C"/>
    <w:rsid w:val="00D83AA6"/>
    <w:rsid w:val="00D84D00"/>
    <w:rsid w:val="00D91EB4"/>
    <w:rsid w:val="00D92190"/>
    <w:rsid w:val="00D938D2"/>
    <w:rsid w:val="00D93C2C"/>
    <w:rsid w:val="00D95BBC"/>
    <w:rsid w:val="00DA05D4"/>
    <w:rsid w:val="00DA072F"/>
    <w:rsid w:val="00DA1ACC"/>
    <w:rsid w:val="00DA5BE0"/>
    <w:rsid w:val="00DA617C"/>
    <w:rsid w:val="00DA6979"/>
    <w:rsid w:val="00DA7D17"/>
    <w:rsid w:val="00DB2330"/>
    <w:rsid w:val="00DB5CE4"/>
    <w:rsid w:val="00DB64FF"/>
    <w:rsid w:val="00DB745B"/>
    <w:rsid w:val="00DB7B3F"/>
    <w:rsid w:val="00DC276D"/>
    <w:rsid w:val="00DC3070"/>
    <w:rsid w:val="00DC30E4"/>
    <w:rsid w:val="00DC3315"/>
    <w:rsid w:val="00DC57F5"/>
    <w:rsid w:val="00DD1298"/>
    <w:rsid w:val="00DD39C3"/>
    <w:rsid w:val="00DD3C54"/>
    <w:rsid w:val="00DD42D9"/>
    <w:rsid w:val="00DD46EE"/>
    <w:rsid w:val="00DD65A0"/>
    <w:rsid w:val="00DE1AD0"/>
    <w:rsid w:val="00DE2507"/>
    <w:rsid w:val="00DE3A53"/>
    <w:rsid w:val="00DE5A17"/>
    <w:rsid w:val="00DE6EBC"/>
    <w:rsid w:val="00DE77FB"/>
    <w:rsid w:val="00DF0A85"/>
    <w:rsid w:val="00DF1099"/>
    <w:rsid w:val="00DF2A1C"/>
    <w:rsid w:val="00DF3A0D"/>
    <w:rsid w:val="00DF43CD"/>
    <w:rsid w:val="00DF44BE"/>
    <w:rsid w:val="00DF4F65"/>
    <w:rsid w:val="00E018C7"/>
    <w:rsid w:val="00E01A6B"/>
    <w:rsid w:val="00E02C34"/>
    <w:rsid w:val="00E03258"/>
    <w:rsid w:val="00E10687"/>
    <w:rsid w:val="00E10A23"/>
    <w:rsid w:val="00E12DBA"/>
    <w:rsid w:val="00E12F33"/>
    <w:rsid w:val="00E13A6F"/>
    <w:rsid w:val="00E15458"/>
    <w:rsid w:val="00E16D21"/>
    <w:rsid w:val="00E173C3"/>
    <w:rsid w:val="00E17FA1"/>
    <w:rsid w:val="00E3122A"/>
    <w:rsid w:val="00E31669"/>
    <w:rsid w:val="00E31D82"/>
    <w:rsid w:val="00E3475E"/>
    <w:rsid w:val="00E40B43"/>
    <w:rsid w:val="00E435F9"/>
    <w:rsid w:val="00E445BA"/>
    <w:rsid w:val="00E47640"/>
    <w:rsid w:val="00E51AB4"/>
    <w:rsid w:val="00E529AA"/>
    <w:rsid w:val="00E52E1E"/>
    <w:rsid w:val="00E53263"/>
    <w:rsid w:val="00E5434A"/>
    <w:rsid w:val="00E56491"/>
    <w:rsid w:val="00E568B9"/>
    <w:rsid w:val="00E56EEC"/>
    <w:rsid w:val="00E56F5C"/>
    <w:rsid w:val="00E574A1"/>
    <w:rsid w:val="00E5768E"/>
    <w:rsid w:val="00E57B24"/>
    <w:rsid w:val="00E57C03"/>
    <w:rsid w:val="00E6152C"/>
    <w:rsid w:val="00E61D88"/>
    <w:rsid w:val="00E64AC8"/>
    <w:rsid w:val="00E64D35"/>
    <w:rsid w:val="00E668D7"/>
    <w:rsid w:val="00E67660"/>
    <w:rsid w:val="00E67BF7"/>
    <w:rsid w:val="00E707A2"/>
    <w:rsid w:val="00E71D5B"/>
    <w:rsid w:val="00E71D6C"/>
    <w:rsid w:val="00E73247"/>
    <w:rsid w:val="00E74C68"/>
    <w:rsid w:val="00E74D85"/>
    <w:rsid w:val="00E77836"/>
    <w:rsid w:val="00E77BC4"/>
    <w:rsid w:val="00E85113"/>
    <w:rsid w:val="00E87AB5"/>
    <w:rsid w:val="00E9036B"/>
    <w:rsid w:val="00E912F2"/>
    <w:rsid w:val="00E921F2"/>
    <w:rsid w:val="00E943C5"/>
    <w:rsid w:val="00E94FAB"/>
    <w:rsid w:val="00E952E7"/>
    <w:rsid w:val="00E95D46"/>
    <w:rsid w:val="00E96667"/>
    <w:rsid w:val="00EA104D"/>
    <w:rsid w:val="00EA48A6"/>
    <w:rsid w:val="00EA7ED9"/>
    <w:rsid w:val="00EB1951"/>
    <w:rsid w:val="00EB4DD8"/>
    <w:rsid w:val="00EB6099"/>
    <w:rsid w:val="00EB6178"/>
    <w:rsid w:val="00EB62ED"/>
    <w:rsid w:val="00EC021B"/>
    <w:rsid w:val="00EC2308"/>
    <w:rsid w:val="00EC2538"/>
    <w:rsid w:val="00EC4054"/>
    <w:rsid w:val="00EC40F4"/>
    <w:rsid w:val="00EC5C4B"/>
    <w:rsid w:val="00EC5E16"/>
    <w:rsid w:val="00EC66EB"/>
    <w:rsid w:val="00EC707E"/>
    <w:rsid w:val="00ED0A7B"/>
    <w:rsid w:val="00ED0EEB"/>
    <w:rsid w:val="00ED1113"/>
    <w:rsid w:val="00ED1F66"/>
    <w:rsid w:val="00ED229E"/>
    <w:rsid w:val="00ED25E6"/>
    <w:rsid w:val="00ED35FD"/>
    <w:rsid w:val="00ED377F"/>
    <w:rsid w:val="00ED41FE"/>
    <w:rsid w:val="00ED5216"/>
    <w:rsid w:val="00ED62E3"/>
    <w:rsid w:val="00ED6535"/>
    <w:rsid w:val="00EE0613"/>
    <w:rsid w:val="00EE19C1"/>
    <w:rsid w:val="00EE4583"/>
    <w:rsid w:val="00EE5682"/>
    <w:rsid w:val="00EE61E9"/>
    <w:rsid w:val="00EE7474"/>
    <w:rsid w:val="00EE75D3"/>
    <w:rsid w:val="00EE77D7"/>
    <w:rsid w:val="00EE7BBC"/>
    <w:rsid w:val="00EE7DDE"/>
    <w:rsid w:val="00EF0684"/>
    <w:rsid w:val="00EF1570"/>
    <w:rsid w:val="00EF28E2"/>
    <w:rsid w:val="00EF3269"/>
    <w:rsid w:val="00EF4064"/>
    <w:rsid w:val="00EF49C9"/>
    <w:rsid w:val="00EF5D50"/>
    <w:rsid w:val="00EF758A"/>
    <w:rsid w:val="00F014B5"/>
    <w:rsid w:val="00F05B1D"/>
    <w:rsid w:val="00F06028"/>
    <w:rsid w:val="00F06D1C"/>
    <w:rsid w:val="00F1207E"/>
    <w:rsid w:val="00F1316E"/>
    <w:rsid w:val="00F139F0"/>
    <w:rsid w:val="00F14335"/>
    <w:rsid w:val="00F1529A"/>
    <w:rsid w:val="00F1558F"/>
    <w:rsid w:val="00F15BA9"/>
    <w:rsid w:val="00F15D45"/>
    <w:rsid w:val="00F16450"/>
    <w:rsid w:val="00F16A26"/>
    <w:rsid w:val="00F2118F"/>
    <w:rsid w:val="00F217C5"/>
    <w:rsid w:val="00F22D79"/>
    <w:rsid w:val="00F2316E"/>
    <w:rsid w:val="00F269BA"/>
    <w:rsid w:val="00F33485"/>
    <w:rsid w:val="00F3358E"/>
    <w:rsid w:val="00F33BB9"/>
    <w:rsid w:val="00F34156"/>
    <w:rsid w:val="00F35B4F"/>
    <w:rsid w:val="00F377A6"/>
    <w:rsid w:val="00F37B98"/>
    <w:rsid w:val="00F40AA5"/>
    <w:rsid w:val="00F413CF"/>
    <w:rsid w:val="00F41529"/>
    <w:rsid w:val="00F43B4A"/>
    <w:rsid w:val="00F450F6"/>
    <w:rsid w:val="00F45BAA"/>
    <w:rsid w:val="00F479E0"/>
    <w:rsid w:val="00F51710"/>
    <w:rsid w:val="00F52714"/>
    <w:rsid w:val="00F539AD"/>
    <w:rsid w:val="00F55351"/>
    <w:rsid w:val="00F56202"/>
    <w:rsid w:val="00F5742E"/>
    <w:rsid w:val="00F57A3B"/>
    <w:rsid w:val="00F6198C"/>
    <w:rsid w:val="00F61A39"/>
    <w:rsid w:val="00F61B9A"/>
    <w:rsid w:val="00F63FEA"/>
    <w:rsid w:val="00F652DA"/>
    <w:rsid w:val="00F67066"/>
    <w:rsid w:val="00F67B3B"/>
    <w:rsid w:val="00F738A8"/>
    <w:rsid w:val="00F761E9"/>
    <w:rsid w:val="00F765FA"/>
    <w:rsid w:val="00F770DF"/>
    <w:rsid w:val="00F80254"/>
    <w:rsid w:val="00F80EE9"/>
    <w:rsid w:val="00F82FA1"/>
    <w:rsid w:val="00F836AF"/>
    <w:rsid w:val="00F8383D"/>
    <w:rsid w:val="00F848B5"/>
    <w:rsid w:val="00F84D50"/>
    <w:rsid w:val="00F8795E"/>
    <w:rsid w:val="00F90459"/>
    <w:rsid w:val="00F9062D"/>
    <w:rsid w:val="00F94DAC"/>
    <w:rsid w:val="00F95852"/>
    <w:rsid w:val="00FA0017"/>
    <w:rsid w:val="00FA0BB6"/>
    <w:rsid w:val="00FA0DA2"/>
    <w:rsid w:val="00FA0E72"/>
    <w:rsid w:val="00FA18ED"/>
    <w:rsid w:val="00FA1B59"/>
    <w:rsid w:val="00FA24C9"/>
    <w:rsid w:val="00FA4324"/>
    <w:rsid w:val="00FA6625"/>
    <w:rsid w:val="00FA6DD2"/>
    <w:rsid w:val="00FA78F4"/>
    <w:rsid w:val="00FA7987"/>
    <w:rsid w:val="00FB15ED"/>
    <w:rsid w:val="00FB2067"/>
    <w:rsid w:val="00FB2152"/>
    <w:rsid w:val="00FB3562"/>
    <w:rsid w:val="00FB4A48"/>
    <w:rsid w:val="00FB6B03"/>
    <w:rsid w:val="00FC0082"/>
    <w:rsid w:val="00FC2B01"/>
    <w:rsid w:val="00FC4510"/>
    <w:rsid w:val="00FC4679"/>
    <w:rsid w:val="00FC6504"/>
    <w:rsid w:val="00FD0C61"/>
    <w:rsid w:val="00FD4257"/>
    <w:rsid w:val="00FD729B"/>
    <w:rsid w:val="00FE03E3"/>
    <w:rsid w:val="00FE0AEA"/>
    <w:rsid w:val="00FE1B6C"/>
    <w:rsid w:val="00FE1ED2"/>
    <w:rsid w:val="00FE4AEB"/>
    <w:rsid w:val="00FE4BBD"/>
    <w:rsid w:val="00FF25C0"/>
    <w:rsid w:val="00FF2A1D"/>
    <w:rsid w:val="00FF5749"/>
    <w:rsid w:val="00FF6089"/>
    <w:rsid w:val="00FF6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7C03FF"/>
  <w15:docId w15:val="{8DBA7FF4-64A5-4F74-B234-313620C32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1E3E"/>
    <w:pPr>
      <w:spacing w:before="160" w:after="160" w:line="480" w:lineRule="auto"/>
      <w:ind w:firstLine="680"/>
      <w:jc w:val="both"/>
    </w:pPr>
    <w:rPr>
      <w:rFonts w:ascii="Times New Roman" w:hAnsi="Times New Roman"/>
      <w:sz w:val="24"/>
      <w:lang w:val="en-GB"/>
    </w:rPr>
  </w:style>
  <w:style w:type="paragraph" w:styleId="Heading1">
    <w:name w:val="heading 1"/>
    <w:basedOn w:val="Normal"/>
    <w:next w:val="Normal"/>
    <w:link w:val="Heading1Char"/>
    <w:uiPriority w:val="9"/>
    <w:qFormat/>
    <w:rsid w:val="00177CD9"/>
    <w:pPr>
      <w:keepNext/>
      <w:keepLines/>
      <w:numPr>
        <w:numId w:val="1"/>
      </w:numPr>
      <w:spacing w:before="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177CD9"/>
    <w:pPr>
      <w:keepNext/>
      <w:keepLines/>
      <w:numPr>
        <w:ilvl w:val="1"/>
        <w:numId w:val="1"/>
      </w:numPr>
      <w:ind w:left="578" w:hanging="578"/>
      <w:outlineLvl w:val="1"/>
    </w:pPr>
    <w:rPr>
      <w:rFonts w:eastAsiaTheme="majorEastAsia" w:cstheme="majorBidi"/>
      <w:b/>
      <w:color w:val="000000" w:themeColor="text1"/>
      <w:szCs w:val="26"/>
    </w:rPr>
  </w:style>
  <w:style w:type="paragraph" w:styleId="Heading3">
    <w:name w:val="heading 3"/>
    <w:basedOn w:val="Normal"/>
    <w:next w:val="Normal"/>
    <w:link w:val="Heading3Char"/>
    <w:uiPriority w:val="9"/>
    <w:unhideWhenUsed/>
    <w:qFormat/>
    <w:rsid w:val="004C460B"/>
    <w:pPr>
      <w:keepNext/>
      <w:keepLines/>
      <w:numPr>
        <w:ilvl w:val="2"/>
        <w:numId w:val="1"/>
      </w:numPr>
      <w:spacing w:before="40" w:after="0"/>
      <w:outlineLvl w:val="2"/>
    </w:pPr>
    <w:rPr>
      <w:rFonts w:eastAsiaTheme="majorEastAsia" w:cstheme="majorBidi"/>
      <w:i/>
      <w:szCs w:val="24"/>
    </w:rPr>
  </w:style>
  <w:style w:type="paragraph" w:styleId="Heading4">
    <w:name w:val="heading 4"/>
    <w:basedOn w:val="Normal"/>
    <w:next w:val="Normal"/>
    <w:link w:val="Heading4Char"/>
    <w:uiPriority w:val="9"/>
    <w:semiHidden/>
    <w:unhideWhenUsed/>
    <w:qFormat/>
    <w:rsid w:val="00123662"/>
    <w:pPr>
      <w:keepNext/>
      <w:keepLines/>
      <w:numPr>
        <w:ilvl w:val="3"/>
        <w:numId w:val="1"/>
      </w:numPr>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123662"/>
    <w:pPr>
      <w:keepNext/>
      <w:keepLines/>
      <w:numPr>
        <w:ilvl w:val="4"/>
        <w:numId w:val="1"/>
      </w:numPr>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123662"/>
    <w:pPr>
      <w:keepNext/>
      <w:keepLines/>
      <w:numPr>
        <w:ilvl w:val="5"/>
        <w:numId w:val="1"/>
      </w:numPr>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123662"/>
    <w:pPr>
      <w:keepNext/>
      <w:keepLines/>
      <w:numPr>
        <w:ilvl w:val="6"/>
        <w:numId w:val="1"/>
      </w:numPr>
      <w:spacing w:before="40" w:after="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123662"/>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123662"/>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7CD9"/>
    <w:rPr>
      <w:rFonts w:ascii="Times New Roman" w:eastAsiaTheme="majorEastAsia" w:hAnsi="Times New Roman" w:cstheme="majorBidi"/>
      <w:b/>
      <w:sz w:val="24"/>
      <w:szCs w:val="32"/>
      <w:lang w:val="en-GB"/>
    </w:rPr>
  </w:style>
  <w:style w:type="character" w:customStyle="1" w:styleId="Heading2Char">
    <w:name w:val="Heading 2 Char"/>
    <w:basedOn w:val="DefaultParagraphFont"/>
    <w:link w:val="Heading2"/>
    <w:uiPriority w:val="9"/>
    <w:rsid w:val="00177CD9"/>
    <w:rPr>
      <w:rFonts w:ascii="Times New Roman" w:eastAsiaTheme="majorEastAsia" w:hAnsi="Times New Roman" w:cstheme="majorBidi"/>
      <w:b/>
      <w:color w:val="000000" w:themeColor="text1"/>
      <w:sz w:val="24"/>
      <w:szCs w:val="26"/>
      <w:lang w:val="en-GB"/>
    </w:rPr>
  </w:style>
  <w:style w:type="character" w:customStyle="1" w:styleId="Heading3Char">
    <w:name w:val="Heading 3 Char"/>
    <w:basedOn w:val="DefaultParagraphFont"/>
    <w:link w:val="Heading3"/>
    <w:uiPriority w:val="9"/>
    <w:rsid w:val="004C460B"/>
    <w:rPr>
      <w:rFonts w:ascii="Times New Roman" w:eastAsiaTheme="majorEastAsia" w:hAnsi="Times New Roman" w:cstheme="majorBidi"/>
      <w:i/>
      <w:sz w:val="24"/>
      <w:szCs w:val="24"/>
      <w:lang w:val="en-GB"/>
    </w:rPr>
  </w:style>
  <w:style w:type="character" w:customStyle="1" w:styleId="Heading4Char">
    <w:name w:val="Heading 4 Char"/>
    <w:basedOn w:val="DefaultParagraphFont"/>
    <w:link w:val="Heading4"/>
    <w:uiPriority w:val="9"/>
    <w:semiHidden/>
    <w:rsid w:val="00123662"/>
    <w:rPr>
      <w:rFonts w:asciiTheme="majorHAnsi" w:eastAsiaTheme="majorEastAsia" w:hAnsiTheme="majorHAnsi" w:cstheme="majorBidi"/>
      <w:i/>
      <w:iCs/>
      <w:color w:val="365F91" w:themeColor="accent1" w:themeShade="BF"/>
      <w:sz w:val="24"/>
      <w:lang w:val="en-GB"/>
    </w:rPr>
  </w:style>
  <w:style w:type="character" w:customStyle="1" w:styleId="Heading5Char">
    <w:name w:val="Heading 5 Char"/>
    <w:basedOn w:val="DefaultParagraphFont"/>
    <w:link w:val="Heading5"/>
    <w:uiPriority w:val="9"/>
    <w:semiHidden/>
    <w:rsid w:val="00123662"/>
    <w:rPr>
      <w:rFonts w:asciiTheme="majorHAnsi" w:eastAsiaTheme="majorEastAsia" w:hAnsiTheme="majorHAnsi" w:cstheme="majorBidi"/>
      <w:color w:val="365F91" w:themeColor="accent1" w:themeShade="BF"/>
      <w:sz w:val="24"/>
      <w:lang w:val="en-GB"/>
    </w:rPr>
  </w:style>
  <w:style w:type="character" w:customStyle="1" w:styleId="Heading6Char">
    <w:name w:val="Heading 6 Char"/>
    <w:basedOn w:val="DefaultParagraphFont"/>
    <w:link w:val="Heading6"/>
    <w:uiPriority w:val="9"/>
    <w:semiHidden/>
    <w:rsid w:val="00123662"/>
    <w:rPr>
      <w:rFonts w:asciiTheme="majorHAnsi" w:eastAsiaTheme="majorEastAsia" w:hAnsiTheme="majorHAnsi" w:cstheme="majorBidi"/>
      <w:color w:val="243F60" w:themeColor="accent1" w:themeShade="7F"/>
      <w:sz w:val="24"/>
      <w:lang w:val="en-GB"/>
    </w:rPr>
  </w:style>
  <w:style w:type="character" w:customStyle="1" w:styleId="Heading7Char">
    <w:name w:val="Heading 7 Char"/>
    <w:basedOn w:val="DefaultParagraphFont"/>
    <w:link w:val="Heading7"/>
    <w:uiPriority w:val="9"/>
    <w:semiHidden/>
    <w:rsid w:val="00123662"/>
    <w:rPr>
      <w:rFonts w:asciiTheme="majorHAnsi" w:eastAsiaTheme="majorEastAsia" w:hAnsiTheme="majorHAnsi" w:cstheme="majorBidi"/>
      <w:i/>
      <w:iCs/>
      <w:color w:val="243F60" w:themeColor="accent1" w:themeShade="7F"/>
      <w:sz w:val="24"/>
      <w:lang w:val="en-GB"/>
    </w:rPr>
  </w:style>
  <w:style w:type="character" w:customStyle="1" w:styleId="Heading8Char">
    <w:name w:val="Heading 8 Char"/>
    <w:basedOn w:val="DefaultParagraphFont"/>
    <w:link w:val="Heading8"/>
    <w:uiPriority w:val="9"/>
    <w:semiHidden/>
    <w:rsid w:val="00123662"/>
    <w:rPr>
      <w:rFonts w:asciiTheme="majorHAnsi" w:eastAsiaTheme="majorEastAsia" w:hAnsiTheme="majorHAnsi" w:cstheme="majorBidi"/>
      <w:color w:val="272727" w:themeColor="text1" w:themeTint="D8"/>
      <w:sz w:val="21"/>
      <w:szCs w:val="21"/>
      <w:lang w:val="en-GB"/>
    </w:rPr>
  </w:style>
  <w:style w:type="character" w:customStyle="1" w:styleId="Heading9Char">
    <w:name w:val="Heading 9 Char"/>
    <w:basedOn w:val="DefaultParagraphFont"/>
    <w:link w:val="Heading9"/>
    <w:uiPriority w:val="9"/>
    <w:semiHidden/>
    <w:rsid w:val="00123662"/>
    <w:rPr>
      <w:rFonts w:asciiTheme="majorHAnsi" w:eastAsiaTheme="majorEastAsia" w:hAnsiTheme="majorHAnsi" w:cstheme="majorBidi"/>
      <w:i/>
      <w:iCs/>
      <w:color w:val="272727" w:themeColor="text1" w:themeTint="D8"/>
      <w:sz w:val="21"/>
      <w:szCs w:val="21"/>
      <w:lang w:val="en-GB"/>
    </w:rPr>
  </w:style>
  <w:style w:type="character" w:styleId="Hyperlink">
    <w:name w:val="Hyperlink"/>
    <w:basedOn w:val="DefaultParagraphFont"/>
    <w:uiPriority w:val="99"/>
    <w:unhideWhenUsed/>
    <w:rsid w:val="00123662"/>
    <w:rPr>
      <w:color w:val="0000FF"/>
      <w:u w:val="single"/>
    </w:rPr>
  </w:style>
  <w:style w:type="paragraph" w:styleId="TOC1">
    <w:name w:val="toc 1"/>
    <w:basedOn w:val="Normal"/>
    <w:next w:val="Normal"/>
    <w:autoRedefine/>
    <w:uiPriority w:val="39"/>
    <w:unhideWhenUsed/>
    <w:rsid w:val="00123662"/>
    <w:pPr>
      <w:spacing w:after="100"/>
    </w:pPr>
  </w:style>
  <w:style w:type="paragraph" w:styleId="Header">
    <w:name w:val="header"/>
    <w:basedOn w:val="Normal"/>
    <w:link w:val="HeaderChar"/>
    <w:uiPriority w:val="99"/>
    <w:unhideWhenUsed/>
    <w:rsid w:val="00123662"/>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123662"/>
    <w:rPr>
      <w:rFonts w:ascii="Times New Roman" w:hAnsi="Times New Roman"/>
      <w:sz w:val="24"/>
      <w:lang w:val="en-GB"/>
    </w:rPr>
  </w:style>
  <w:style w:type="paragraph" w:styleId="TOCHeading">
    <w:name w:val="TOC Heading"/>
    <w:basedOn w:val="Heading1"/>
    <w:next w:val="Normal"/>
    <w:uiPriority w:val="39"/>
    <w:unhideWhenUsed/>
    <w:qFormat/>
    <w:rsid w:val="00123662"/>
    <w:pPr>
      <w:numPr>
        <w:numId w:val="0"/>
      </w:numPr>
      <w:spacing w:before="240" w:line="259" w:lineRule="auto"/>
      <w:outlineLvl w:val="9"/>
    </w:pPr>
    <w:rPr>
      <w:rFonts w:asciiTheme="majorHAnsi" w:hAnsiTheme="majorHAnsi"/>
      <w:b w:val="0"/>
      <w:i/>
      <w:color w:val="365F91" w:themeColor="accent1" w:themeShade="BF"/>
      <w:sz w:val="32"/>
      <w:lang w:val="en-US"/>
    </w:rPr>
  </w:style>
  <w:style w:type="paragraph" w:styleId="BalloonText">
    <w:name w:val="Balloon Text"/>
    <w:basedOn w:val="Normal"/>
    <w:link w:val="BalloonTextChar"/>
    <w:uiPriority w:val="99"/>
    <w:semiHidden/>
    <w:unhideWhenUsed/>
    <w:rsid w:val="00123662"/>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3662"/>
    <w:rPr>
      <w:rFonts w:ascii="Tahoma" w:hAnsi="Tahoma" w:cs="Tahoma"/>
      <w:sz w:val="16"/>
      <w:szCs w:val="16"/>
      <w:lang w:val="en-GB"/>
    </w:rPr>
  </w:style>
  <w:style w:type="paragraph" w:styleId="Footer">
    <w:name w:val="footer"/>
    <w:basedOn w:val="Normal"/>
    <w:link w:val="FooterChar"/>
    <w:uiPriority w:val="99"/>
    <w:unhideWhenUsed/>
    <w:rsid w:val="00123662"/>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123662"/>
    <w:rPr>
      <w:rFonts w:ascii="Times New Roman" w:hAnsi="Times New Roman"/>
      <w:sz w:val="24"/>
      <w:lang w:val="en-GB"/>
    </w:rPr>
  </w:style>
  <w:style w:type="paragraph" w:styleId="NormalWeb">
    <w:name w:val="Normal (Web)"/>
    <w:basedOn w:val="Normal"/>
    <w:uiPriority w:val="99"/>
    <w:semiHidden/>
    <w:unhideWhenUsed/>
    <w:rsid w:val="00B54FEE"/>
    <w:pPr>
      <w:spacing w:before="100" w:beforeAutospacing="1" w:after="100" w:afterAutospacing="1" w:line="240" w:lineRule="auto"/>
      <w:jc w:val="left"/>
    </w:pPr>
    <w:rPr>
      <w:rFonts w:eastAsia="Times New Roman" w:cs="Times New Roman"/>
      <w:szCs w:val="24"/>
      <w:lang w:val="en-US"/>
    </w:rPr>
  </w:style>
  <w:style w:type="table" w:styleId="TableGrid">
    <w:name w:val="Table Grid"/>
    <w:basedOn w:val="TableNormal"/>
    <w:uiPriority w:val="39"/>
    <w:rsid w:val="0085432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LightList-Accent5">
    <w:name w:val="Light List Accent 5"/>
    <w:basedOn w:val="TableNormal"/>
    <w:uiPriority w:val="61"/>
    <w:rsid w:val="005B0CBB"/>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4">
    <w:name w:val="Light List Accent 4"/>
    <w:basedOn w:val="TableNormal"/>
    <w:uiPriority w:val="61"/>
    <w:rsid w:val="005B0CBB"/>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Grid-Accent5">
    <w:name w:val="Light Grid Accent 5"/>
    <w:basedOn w:val="TableNormal"/>
    <w:uiPriority w:val="62"/>
    <w:rsid w:val="005B0CBB"/>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paragraph" w:styleId="TOC2">
    <w:name w:val="toc 2"/>
    <w:basedOn w:val="Normal"/>
    <w:next w:val="Normal"/>
    <w:autoRedefine/>
    <w:uiPriority w:val="39"/>
    <w:unhideWhenUsed/>
    <w:rsid w:val="00F35B4F"/>
    <w:pPr>
      <w:spacing w:after="100"/>
      <w:ind w:left="240"/>
    </w:pPr>
  </w:style>
  <w:style w:type="paragraph" w:styleId="TOC3">
    <w:name w:val="toc 3"/>
    <w:basedOn w:val="Normal"/>
    <w:next w:val="Normal"/>
    <w:autoRedefine/>
    <w:uiPriority w:val="39"/>
    <w:unhideWhenUsed/>
    <w:rsid w:val="00F35B4F"/>
    <w:pPr>
      <w:spacing w:after="100"/>
      <w:ind w:left="480"/>
    </w:pPr>
  </w:style>
  <w:style w:type="table" w:styleId="MediumGrid2-Accent5">
    <w:name w:val="Medium Grid 2 Accent 5"/>
    <w:basedOn w:val="TableNormal"/>
    <w:uiPriority w:val="68"/>
    <w:rsid w:val="001C2EB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olourfulListAccent2">
    <w:name w:val="Colorful List Accent 2"/>
    <w:basedOn w:val="TableNormal"/>
    <w:uiPriority w:val="72"/>
    <w:rsid w:val="001C2EBD"/>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MediumShading1-Accent2">
    <w:name w:val="Medium Shading 1 Accent 2"/>
    <w:basedOn w:val="TableNormal"/>
    <w:uiPriority w:val="63"/>
    <w:rsid w:val="0034528E"/>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ColourfulListAccent6">
    <w:name w:val="Colorful List Accent 6"/>
    <w:basedOn w:val="TableNormal"/>
    <w:uiPriority w:val="72"/>
    <w:rsid w:val="003C6F68"/>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paragraph" w:styleId="ListParagraph">
    <w:name w:val="List Paragraph"/>
    <w:basedOn w:val="Normal"/>
    <w:uiPriority w:val="34"/>
    <w:qFormat/>
    <w:rsid w:val="001F3392"/>
    <w:pPr>
      <w:spacing w:before="0" w:line="259" w:lineRule="auto"/>
      <w:ind w:left="720"/>
      <w:jc w:val="left"/>
    </w:pPr>
    <w:rPr>
      <w:rFonts w:asciiTheme="minorHAnsi" w:hAnsiTheme="minorHAnsi"/>
      <w:sz w:val="22"/>
      <w:lang w:val="en-US"/>
    </w:rPr>
  </w:style>
  <w:style w:type="character" w:styleId="Strong">
    <w:name w:val="Strong"/>
    <w:basedOn w:val="DefaultParagraphFont"/>
    <w:uiPriority w:val="22"/>
    <w:qFormat/>
    <w:rsid w:val="00EC2538"/>
    <w:rPr>
      <w:b/>
      <w:bCs/>
    </w:rPr>
  </w:style>
  <w:style w:type="table" w:styleId="GridTable5Dark-Accent1">
    <w:name w:val="Grid Table 5 Dark Accent 1"/>
    <w:basedOn w:val="TableNormal"/>
    <w:uiPriority w:val="50"/>
    <w:rsid w:val="007F4E2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paragraph" w:styleId="Caption">
    <w:name w:val="caption"/>
    <w:basedOn w:val="Normal"/>
    <w:next w:val="Normal"/>
    <w:uiPriority w:val="35"/>
    <w:unhideWhenUsed/>
    <w:qFormat/>
    <w:rsid w:val="007F4E21"/>
    <w:pPr>
      <w:spacing w:before="0" w:after="200" w:line="240" w:lineRule="auto"/>
    </w:pPr>
    <w:rPr>
      <w:i/>
      <w:iCs/>
      <w:color w:val="1F497D" w:themeColor="text2"/>
      <w:sz w:val="18"/>
      <w:szCs w:val="18"/>
    </w:rPr>
  </w:style>
  <w:style w:type="character" w:styleId="Emphasis">
    <w:name w:val="Emphasis"/>
    <w:basedOn w:val="DefaultParagraphFont"/>
    <w:uiPriority w:val="20"/>
    <w:qFormat/>
    <w:rsid w:val="00C85D9A"/>
    <w:rPr>
      <w:i/>
      <w:iCs/>
    </w:rPr>
  </w:style>
  <w:style w:type="character" w:styleId="UnresolvedMention">
    <w:name w:val="Unresolved Mention"/>
    <w:basedOn w:val="DefaultParagraphFont"/>
    <w:uiPriority w:val="99"/>
    <w:semiHidden/>
    <w:unhideWhenUsed/>
    <w:rsid w:val="00FB2067"/>
    <w:rPr>
      <w:color w:val="605E5C"/>
      <w:shd w:val="clear" w:color="auto" w:fill="E1DFDD"/>
    </w:rPr>
  </w:style>
  <w:style w:type="character" w:styleId="FollowedHyperlink">
    <w:name w:val="FollowedHyperlink"/>
    <w:basedOn w:val="DefaultParagraphFont"/>
    <w:uiPriority w:val="99"/>
    <w:semiHidden/>
    <w:unhideWhenUsed/>
    <w:rsid w:val="008C098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3757">
      <w:bodyDiv w:val="1"/>
      <w:marLeft w:val="0"/>
      <w:marRight w:val="0"/>
      <w:marTop w:val="0"/>
      <w:marBottom w:val="0"/>
      <w:divBdr>
        <w:top w:val="none" w:sz="0" w:space="0" w:color="auto"/>
        <w:left w:val="none" w:sz="0" w:space="0" w:color="auto"/>
        <w:bottom w:val="none" w:sz="0" w:space="0" w:color="auto"/>
        <w:right w:val="none" w:sz="0" w:space="0" w:color="auto"/>
      </w:divBdr>
    </w:div>
    <w:div w:id="230431370">
      <w:bodyDiv w:val="1"/>
      <w:marLeft w:val="0"/>
      <w:marRight w:val="0"/>
      <w:marTop w:val="0"/>
      <w:marBottom w:val="0"/>
      <w:divBdr>
        <w:top w:val="none" w:sz="0" w:space="0" w:color="auto"/>
        <w:left w:val="none" w:sz="0" w:space="0" w:color="auto"/>
        <w:bottom w:val="none" w:sz="0" w:space="0" w:color="auto"/>
        <w:right w:val="none" w:sz="0" w:space="0" w:color="auto"/>
      </w:divBdr>
    </w:div>
    <w:div w:id="319117204">
      <w:bodyDiv w:val="1"/>
      <w:marLeft w:val="0"/>
      <w:marRight w:val="0"/>
      <w:marTop w:val="0"/>
      <w:marBottom w:val="0"/>
      <w:divBdr>
        <w:top w:val="none" w:sz="0" w:space="0" w:color="auto"/>
        <w:left w:val="none" w:sz="0" w:space="0" w:color="auto"/>
        <w:bottom w:val="none" w:sz="0" w:space="0" w:color="auto"/>
        <w:right w:val="none" w:sz="0" w:space="0" w:color="auto"/>
      </w:divBdr>
      <w:divsChild>
        <w:div w:id="1598636944">
          <w:marLeft w:val="763"/>
          <w:marRight w:val="274"/>
          <w:marTop w:val="258"/>
          <w:marBottom w:val="0"/>
          <w:divBdr>
            <w:top w:val="none" w:sz="0" w:space="0" w:color="auto"/>
            <w:left w:val="none" w:sz="0" w:space="0" w:color="auto"/>
            <w:bottom w:val="none" w:sz="0" w:space="0" w:color="auto"/>
            <w:right w:val="none" w:sz="0" w:space="0" w:color="auto"/>
          </w:divBdr>
        </w:div>
      </w:divsChild>
    </w:div>
    <w:div w:id="350187376">
      <w:bodyDiv w:val="1"/>
      <w:marLeft w:val="0"/>
      <w:marRight w:val="0"/>
      <w:marTop w:val="0"/>
      <w:marBottom w:val="0"/>
      <w:divBdr>
        <w:top w:val="none" w:sz="0" w:space="0" w:color="auto"/>
        <w:left w:val="none" w:sz="0" w:space="0" w:color="auto"/>
        <w:bottom w:val="none" w:sz="0" w:space="0" w:color="auto"/>
        <w:right w:val="none" w:sz="0" w:space="0" w:color="auto"/>
      </w:divBdr>
    </w:div>
    <w:div w:id="391469534">
      <w:bodyDiv w:val="1"/>
      <w:marLeft w:val="0"/>
      <w:marRight w:val="0"/>
      <w:marTop w:val="0"/>
      <w:marBottom w:val="0"/>
      <w:divBdr>
        <w:top w:val="none" w:sz="0" w:space="0" w:color="auto"/>
        <w:left w:val="none" w:sz="0" w:space="0" w:color="auto"/>
        <w:bottom w:val="none" w:sz="0" w:space="0" w:color="auto"/>
        <w:right w:val="none" w:sz="0" w:space="0" w:color="auto"/>
      </w:divBdr>
    </w:div>
    <w:div w:id="393158729">
      <w:bodyDiv w:val="1"/>
      <w:marLeft w:val="0"/>
      <w:marRight w:val="0"/>
      <w:marTop w:val="0"/>
      <w:marBottom w:val="0"/>
      <w:divBdr>
        <w:top w:val="none" w:sz="0" w:space="0" w:color="auto"/>
        <w:left w:val="none" w:sz="0" w:space="0" w:color="auto"/>
        <w:bottom w:val="none" w:sz="0" w:space="0" w:color="auto"/>
        <w:right w:val="none" w:sz="0" w:space="0" w:color="auto"/>
      </w:divBdr>
    </w:div>
    <w:div w:id="405736355">
      <w:bodyDiv w:val="1"/>
      <w:marLeft w:val="0"/>
      <w:marRight w:val="0"/>
      <w:marTop w:val="0"/>
      <w:marBottom w:val="0"/>
      <w:divBdr>
        <w:top w:val="none" w:sz="0" w:space="0" w:color="auto"/>
        <w:left w:val="none" w:sz="0" w:space="0" w:color="auto"/>
        <w:bottom w:val="none" w:sz="0" w:space="0" w:color="auto"/>
        <w:right w:val="none" w:sz="0" w:space="0" w:color="auto"/>
      </w:divBdr>
      <w:divsChild>
        <w:div w:id="878512898">
          <w:marLeft w:val="0"/>
          <w:marRight w:val="0"/>
          <w:marTop w:val="0"/>
          <w:marBottom w:val="0"/>
          <w:divBdr>
            <w:top w:val="single" w:sz="2" w:space="0" w:color="auto"/>
            <w:left w:val="single" w:sz="2" w:space="0" w:color="auto"/>
            <w:bottom w:val="single" w:sz="8" w:space="0" w:color="auto"/>
            <w:right w:val="single" w:sz="2" w:space="0" w:color="auto"/>
          </w:divBdr>
          <w:divsChild>
            <w:div w:id="191001446">
              <w:marLeft w:val="0"/>
              <w:marRight w:val="0"/>
              <w:marTop w:val="100"/>
              <w:marBottom w:val="100"/>
              <w:divBdr>
                <w:top w:val="single" w:sz="2" w:space="0" w:color="D9D9E3"/>
                <w:left w:val="single" w:sz="2" w:space="0" w:color="D9D9E3"/>
                <w:bottom w:val="single" w:sz="2" w:space="0" w:color="D9D9E3"/>
                <w:right w:val="single" w:sz="2" w:space="0" w:color="D9D9E3"/>
              </w:divBdr>
              <w:divsChild>
                <w:div w:id="1059354789">
                  <w:marLeft w:val="0"/>
                  <w:marRight w:val="0"/>
                  <w:marTop w:val="0"/>
                  <w:marBottom w:val="0"/>
                  <w:divBdr>
                    <w:top w:val="single" w:sz="2" w:space="0" w:color="D9D9E3"/>
                    <w:left w:val="single" w:sz="2" w:space="0" w:color="D9D9E3"/>
                    <w:bottom w:val="single" w:sz="2" w:space="0" w:color="D9D9E3"/>
                    <w:right w:val="single" w:sz="2" w:space="0" w:color="D9D9E3"/>
                  </w:divBdr>
                  <w:divsChild>
                    <w:div w:id="1082996184">
                      <w:marLeft w:val="0"/>
                      <w:marRight w:val="0"/>
                      <w:marTop w:val="0"/>
                      <w:marBottom w:val="0"/>
                      <w:divBdr>
                        <w:top w:val="single" w:sz="2" w:space="0" w:color="D9D9E3"/>
                        <w:left w:val="single" w:sz="2" w:space="0" w:color="D9D9E3"/>
                        <w:bottom w:val="single" w:sz="2" w:space="0" w:color="D9D9E3"/>
                        <w:right w:val="single" w:sz="2" w:space="0" w:color="D9D9E3"/>
                      </w:divBdr>
                      <w:divsChild>
                        <w:div w:id="769857459">
                          <w:marLeft w:val="0"/>
                          <w:marRight w:val="0"/>
                          <w:marTop w:val="0"/>
                          <w:marBottom w:val="0"/>
                          <w:divBdr>
                            <w:top w:val="single" w:sz="2" w:space="0" w:color="D9D9E3"/>
                            <w:left w:val="single" w:sz="2" w:space="0" w:color="D9D9E3"/>
                            <w:bottom w:val="single" w:sz="2" w:space="0" w:color="D9D9E3"/>
                            <w:right w:val="single" w:sz="2" w:space="0" w:color="D9D9E3"/>
                          </w:divBdr>
                          <w:divsChild>
                            <w:div w:id="21211485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15270692">
      <w:bodyDiv w:val="1"/>
      <w:marLeft w:val="0"/>
      <w:marRight w:val="0"/>
      <w:marTop w:val="0"/>
      <w:marBottom w:val="0"/>
      <w:divBdr>
        <w:top w:val="none" w:sz="0" w:space="0" w:color="auto"/>
        <w:left w:val="none" w:sz="0" w:space="0" w:color="auto"/>
        <w:bottom w:val="none" w:sz="0" w:space="0" w:color="auto"/>
        <w:right w:val="none" w:sz="0" w:space="0" w:color="auto"/>
      </w:divBdr>
    </w:div>
    <w:div w:id="519318652">
      <w:bodyDiv w:val="1"/>
      <w:marLeft w:val="0"/>
      <w:marRight w:val="0"/>
      <w:marTop w:val="0"/>
      <w:marBottom w:val="0"/>
      <w:divBdr>
        <w:top w:val="none" w:sz="0" w:space="0" w:color="auto"/>
        <w:left w:val="none" w:sz="0" w:space="0" w:color="auto"/>
        <w:bottom w:val="none" w:sz="0" w:space="0" w:color="auto"/>
        <w:right w:val="none" w:sz="0" w:space="0" w:color="auto"/>
      </w:divBdr>
    </w:div>
    <w:div w:id="542063492">
      <w:bodyDiv w:val="1"/>
      <w:marLeft w:val="0"/>
      <w:marRight w:val="0"/>
      <w:marTop w:val="0"/>
      <w:marBottom w:val="0"/>
      <w:divBdr>
        <w:top w:val="none" w:sz="0" w:space="0" w:color="auto"/>
        <w:left w:val="none" w:sz="0" w:space="0" w:color="auto"/>
        <w:bottom w:val="none" w:sz="0" w:space="0" w:color="auto"/>
        <w:right w:val="none" w:sz="0" w:space="0" w:color="auto"/>
      </w:divBdr>
    </w:div>
    <w:div w:id="555893948">
      <w:bodyDiv w:val="1"/>
      <w:marLeft w:val="0"/>
      <w:marRight w:val="0"/>
      <w:marTop w:val="0"/>
      <w:marBottom w:val="0"/>
      <w:divBdr>
        <w:top w:val="none" w:sz="0" w:space="0" w:color="auto"/>
        <w:left w:val="none" w:sz="0" w:space="0" w:color="auto"/>
        <w:bottom w:val="none" w:sz="0" w:space="0" w:color="auto"/>
        <w:right w:val="none" w:sz="0" w:space="0" w:color="auto"/>
      </w:divBdr>
      <w:divsChild>
        <w:div w:id="26876045">
          <w:marLeft w:val="360"/>
          <w:marRight w:val="0"/>
          <w:marTop w:val="200"/>
          <w:marBottom w:val="0"/>
          <w:divBdr>
            <w:top w:val="none" w:sz="0" w:space="0" w:color="auto"/>
            <w:left w:val="none" w:sz="0" w:space="0" w:color="auto"/>
            <w:bottom w:val="none" w:sz="0" w:space="0" w:color="auto"/>
            <w:right w:val="none" w:sz="0" w:space="0" w:color="auto"/>
          </w:divBdr>
        </w:div>
        <w:div w:id="1972176544">
          <w:marLeft w:val="360"/>
          <w:marRight w:val="0"/>
          <w:marTop w:val="200"/>
          <w:marBottom w:val="0"/>
          <w:divBdr>
            <w:top w:val="none" w:sz="0" w:space="0" w:color="auto"/>
            <w:left w:val="none" w:sz="0" w:space="0" w:color="auto"/>
            <w:bottom w:val="none" w:sz="0" w:space="0" w:color="auto"/>
            <w:right w:val="none" w:sz="0" w:space="0" w:color="auto"/>
          </w:divBdr>
        </w:div>
      </w:divsChild>
    </w:div>
    <w:div w:id="609550766">
      <w:bodyDiv w:val="1"/>
      <w:marLeft w:val="0"/>
      <w:marRight w:val="0"/>
      <w:marTop w:val="0"/>
      <w:marBottom w:val="0"/>
      <w:divBdr>
        <w:top w:val="none" w:sz="0" w:space="0" w:color="auto"/>
        <w:left w:val="none" w:sz="0" w:space="0" w:color="auto"/>
        <w:bottom w:val="none" w:sz="0" w:space="0" w:color="auto"/>
        <w:right w:val="none" w:sz="0" w:space="0" w:color="auto"/>
      </w:divBdr>
      <w:divsChild>
        <w:div w:id="538124278">
          <w:marLeft w:val="763"/>
          <w:marRight w:val="144"/>
          <w:marTop w:val="100"/>
          <w:marBottom w:val="0"/>
          <w:divBdr>
            <w:top w:val="none" w:sz="0" w:space="0" w:color="auto"/>
            <w:left w:val="none" w:sz="0" w:space="0" w:color="auto"/>
            <w:bottom w:val="none" w:sz="0" w:space="0" w:color="auto"/>
            <w:right w:val="none" w:sz="0" w:space="0" w:color="auto"/>
          </w:divBdr>
        </w:div>
      </w:divsChild>
    </w:div>
    <w:div w:id="650719060">
      <w:bodyDiv w:val="1"/>
      <w:marLeft w:val="0"/>
      <w:marRight w:val="0"/>
      <w:marTop w:val="0"/>
      <w:marBottom w:val="0"/>
      <w:divBdr>
        <w:top w:val="none" w:sz="0" w:space="0" w:color="auto"/>
        <w:left w:val="none" w:sz="0" w:space="0" w:color="auto"/>
        <w:bottom w:val="none" w:sz="0" w:space="0" w:color="auto"/>
        <w:right w:val="none" w:sz="0" w:space="0" w:color="auto"/>
      </w:divBdr>
    </w:div>
    <w:div w:id="696663308">
      <w:bodyDiv w:val="1"/>
      <w:marLeft w:val="0"/>
      <w:marRight w:val="0"/>
      <w:marTop w:val="0"/>
      <w:marBottom w:val="0"/>
      <w:divBdr>
        <w:top w:val="none" w:sz="0" w:space="0" w:color="auto"/>
        <w:left w:val="none" w:sz="0" w:space="0" w:color="auto"/>
        <w:bottom w:val="none" w:sz="0" w:space="0" w:color="auto"/>
        <w:right w:val="none" w:sz="0" w:space="0" w:color="auto"/>
      </w:divBdr>
      <w:divsChild>
        <w:div w:id="1811560118">
          <w:marLeft w:val="0"/>
          <w:marRight w:val="0"/>
          <w:marTop w:val="0"/>
          <w:marBottom w:val="0"/>
          <w:divBdr>
            <w:top w:val="single" w:sz="2" w:space="0" w:color="auto"/>
            <w:left w:val="single" w:sz="2" w:space="0" w:color="auto"/>
            <w:bottom w:val="single" w:sz="6" w:space="0" w:color="auto"/>
            <w:right w:val="single" w:sz="2" w:space="0" w:color="auto"/>
          </w:divBdr>
          <w:divsChild>
            <w:div w:id="1395742422">
              <w:marLeft w:val="0"/>
              <w:marRight w:val="0"/>
              <w:marTop w:val="100"/>
              <w:marBottom w:val="100"/>
              <w:divBdr>
                <w:top w:val="single" w:sz="2" w:space="0" w:color="D9D9E3"/>
                <w:left w:val="single" w:sz="2" w:space="0" w:color="D9D9E3"/>
                <w:bottom w:val="single" w:sz="2" w:space="0" w:color="D9D9E3"/>
                <w:right w:val="single" w:sz="2" w:space="0" w:color="D9D9E3"/>
              </w:divBdr>
              <w:divsChild>
                <w:div w:id="872117342">
                  <w:marLeft w:val="0"/>
                  <w:marRight w:val="0"/>
                  <w:marTop w:val="0"/>
                  <w:marBottom w:val="0"/>
                  <w:divBdr>
                    <w:top w:val="single" w:sz="2" w:space="0" w:color="D9D9E3"/>
                    <w:left w:val="single" w:sz="2" w:space="0" w:color="D9D9E3"/>
                    <w:bottom w:val="single" w:sz="2" w:space="0" w:color="D9D9E3"/>
                    <w:right w:val="single" w:sz="2" w:space="0" w:color="D9D9E3"/>
                  </w:divBdr>
                  <w:divsChild>
                    <w:div w:id="710695093">
                      <w:marLeft w:val="0"/>
                      <w:marRight w:val="0"/>
                      <w:marTop w:val="0"/>
                      <w:marBottom w:val="0"/>
                      <w:divBdr>
                        <w:top w:val="single" w:sz="2" w:space="0" w:color="D9D9E3"/>
                        <w:left w:val="single" w:sz="2" w:space="0" w:color="D9D9E3"/>
                        <w:bottom w:val="single" w:sz="2" w:space="0" w:color="D9D9E3"/>
                        <w:right w:val="single" w:sz="2" w:space="0" w:color="D9D9E3"/>
                      </w:divBdr>
                      <w:divsChild>
                        <w:div w:id="1322734102">
                          <w:marLeft w:val="0"/>
                          <w:marRight w:val="0"/>
                          <w:marTop w:val="0"/>
                          <w:marBottom w:val="0"/>
                          <w:divBdr>
                            <w:top w:val="single" w:sz="2" w:space="0" w:color="D9D9E3"/>
                            <w:left w:val="single" w:sz="2" w:space="0" w:color="D9D9E3"/>
                            <w:bottom w:val="single" w:sz="2" w:space="0" w:color="D9D9E3"/>
                            <w:right w:val="single" w:sz="2" w:space="0" w:color="D9D9E3"/>
                          </w:divBdr>
                          <w:divsChild>
                            <w:div w:id="21012163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07874579">
      <w:bodyDiv w:val="1"/>
      <w:marLeft w:val="0"/>
      <w:marRight w:val="0"/>
      <w:marTop w:val="0"/>
      <w:marBottom w:val="0"/>
      <w:divBdr>
        <w:top w:val="none" w:sz="0" w:space="0" w:color="auto"/>
        <w:left w:val="none" w:sz="0" w:space="0" w:color="auto"/>
        <w:bottom w:val="none" w:sz="0" w:space="0" w:color="auto"/>
        <w:right w:val="none" w:sz="0" w:space="0" w:color="auto"/>
      </w:divBdr>
      <w:divsChild>
        <w:div w:id="986931240">
          <w:marLeft w:val="360"/>
          <w:marRight w:val="0"/>
          <w:marTop w:val="200"/>
          <w:marBottom w:val="0"/>
          <w:divBdr>
            <w:top w:val="none" w:sz="0" w:space="0" w:color="auto"/>
            <w:left w:val="none" w:sz="0" w:space="0" w:color="auto"/>
            <w:bottom w:val="none" w:sz="0" w:space="0" w:color="auto"/>
            <w:right w:val="none" w:sz="0" w:space="0" w:color="auto"/>
          </w:divBdr>
        </w:div>
        <w:div w:id="507259825">
          <w:marLeft w:val="360"/>
          <w:marRight w:val="0"/>
          <w:marTop w:val="200"/>
          <w:marBottom w:val="0"/>
          <w:divBdr>
            <w:top w:val="none" w:sz="0" w:space="0" w:color="auto"/>
            <w:left w:val="none" w:sz="0" w:space="0" w:color="auto"/>
            <w:bottom w:val="none" w:sz="0" w:space="0" w:color="auto"/>
            <w:right w:val="none" w:sz="0" w:space="0" w:color="auto"/>
          </w:divBdr>
        </w:div>
      </w:divsChild>
    </w:div>
    <w:div w:id="801271611">
      <w:bodyDiv w:val="1"/>
      <w:marLeft w:val="0"/>
      <w:marRight w:val="0"/>
      <w:marTop w:val="0"/>
      <w:marBottom w:val="0"/>
      <w:divBdr>
        <w:top w:val="none" w:sz="0" w:space="0" w:color="auto"/>
        <w:left w:val="none" w:sz="0" w:space="0" w:color="auto"/>
        <w:bottom w:val="none" w:sz="0" w:space="0" w:color="auto"/>
        <w:right w:val="none" w:sz="0" w:space="0" w:color="auto"/>
      </w:divBdr>
    </w:div>
    <w:div w:id="822740581">
      <w:bodyDiv w:val="1"/>
      <w:marLeft w:val="0"/>
      <w:marRight w:val="0"/>
      <w:marTop w:val="0"/>
      <w:marBottom w:val="0"/>
      <w:divBdr>
        <w:top w:val="none" w:sz="0" w:space="0" w:color="auto"/>
        <w:left w:val="none" w:sz="0" w:space="0" w:color="auto"/>
        <w:bottom w:val="none" w:sz="0" w:space="0" w:color="auto"/>
        <w:right w:val="none" w:sz="0" w:space="0" w:color="auto"/>
      </w:divBdr>
    </w:div>
    <w:div w:id="884832931">
      <w:bodyDiv w:val="1"/>
      <w:marLeft w:val="0"/>
      <w:marRight w:val="0"/>
      <w:marTop w:val="0"/>
      <w:marBottom w:val="0"/>
      <w:divBdr>
        <w:top w:val="none" w:sz="0" w:space="0" w:color="auto"/>
        <w:left w:val="none" w:sz="0" w:space="0" w:color="auto"/>
        <w:bottom w:val="none" w:sz="0" w:space="0" w:color="auto"/>
        <w:right w:val="none" w:sz="0" w:space="0" w:color="auto"/>
      </w:divBdr>
    </w:div>
    <w:div w:id="886796753">
      <w:bodyDiv w:val="1"/>
      <w:marLeft w:val="0"/>
      <w:marRight w:val="0"/>
      <w:marTop w:val="0"/>
      <w:marBottom w:val="0"/>
      <w:divBdr>
        <w:top w:val="none" w:sz="0" w:space="0" w:color="auto"/>
        <w:left w:val="none" w:sz="0" w:space="0" w:color="auto"/>
        <w:bottom w:val="none" w:sz="0" w:space="0" w:color="auto"/>
        <w:right w:val="none" w:sz="0" w:space="0" w:color="auto"/>
      </w:divBdr>
      <w:divsChild>
        <w:div w:id="167671465">
          <w:marLeft w:val="0"/>
          <w:marRight w:val="0"/>
          <w:marTop w:val="0"/>
          <w:marBottom w:val="0"/>
          <w:divBdr>
            <w:top w:val="single" w:sz="2" w:space="0" w:color="auto"/>
            <w:left w:val="single" w:sz="2" w:space="0" w:color="auto"/>
            <w:bottom w:val="single" w:sz="8" w:space="0" w:color="auto"/>
            <w:right w:val="single" w:sz="2" w:space="0" w:color="auto"/>
          </w:divBdr>
          <w:divsChild>
            <w:div w:id="1343774487">
              <w:marLeft w:val="0"/>
              <w:marRight w:val="0"/>
              <w:marTop w:val="100"/>
              <w:marBottom w:val="100"/>
              <w:divBdr>
                <w:top w:val="single" w:sz="2" w:space="0" w:color="D9D9E3"/>
                <w:left w:val="single" w:sz="2" w:space="0" w:color="D9D9E3"/>
                <w:bottom w:val="single" w:sz="2" w:space="0" w:color="D9D9E3"/>
                <w:right w:val="single" w:sz="2" w:space="0" w:color="D9D9E3"/>
              </w:divBdr>
              <w:divsChild>
                <w:div w:id="1569874326">
                  <w:marLeft w:val="0"/>
                  <w:marRight w:val="0"/>
                  <w:marTop w:val="0"/>
                  <w:marBottom w:val="0"/>
                  <w:divBdr>
                    <w:top w:val="single" w:sz="2" w:space="0" w:color="D9D9E3"/>
                    <w:left w:val="single" w:sz="2" w:space="0" w:color="D9D9E3"/>
                    <w:bottom w:val="single" w:sz="2" w:space="0" w:color="D9D9E3"/>
                    <w:right w:val="single" w:sz="2" w:space="0" w:color="D9D9E3"/>
                  </w:divBdr>
                  <w:divsChild>
                    <w:div w:id="2003460642">
                      <w:marLeft w:val="0"/>
                      <w:marRight w:val="0"/>
                      <w:marTop w:val="0"/>
                      <w:marBottom w:val="0"/>
                      <w:divBdr>
                        <w:top w:val="single" w:sz="2" w:space="0" w:color="D9D9E3"/>
                        <w:left w:val="single" w:sz="2" w:space="0" w:color="D9D9E3"/>
                        <w:bottom w:val="single" w:sz="2" w:space="0" w:color="D9D9E3"/>
                        <w:right w:val="single" w:sz="2" w:space="0" w:color="D9D9E3"/>
                      </w:divBdr>
                      <w:divsChild>
                        <w:div w:id="311180869">
                          <w:marLeft w:val="0"/>
                          <w:marRight w:val="0"/>
                          <w:marTop w:val="0"/>
                          <w:marBottom w:val="0"/>
                          <w:divBdr>
                            <w:top w:val="single" w:sz="2" w:space="0" w:color="D9D9E3"/>
                            <w:left w:val="single" w:sz="2" w:space="0" w:color="D9D9E3"/>
                            <w:bottom w:val="single" w:sz="2" w:space="0" w:color="D9D9E3"/>
                            <w:right w:val="single" w:sz="2" w:space="0" w:color="D9D9E3"/>
                          </w:divBdr>
                          <w:divsChild>
                            <w:div w:id="12899000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51857378">
      <w:bodyDiv w:val="1"/>
      <w:marLeft w:val="0"/>
      <w:marRight w:val="0"/>
      <w:marTop w:val="0"/>
      <w:marBottom w:val="0"/>
      <w:divBdr>
        <w:top w:val="none" w:sz="0" w:space="0" w:color="auto"/>
        <w:left w:val="none" w:sz="0" w:space="0" w:color="auto"/>
        <w:bottom w:val="none" w:sz="0" w:space="0" w:color="auto"/>
        <w:right w:val="none" w:sz="0" w:space="0" w:color="auto"/>
      </w:divBdr>
    </w:div>
    <w:div w:id="978457918">
      <w:bodyDiv w:val="1"/>
      <w:marLeft w:val="0"/>
      <w:marRight w:val="0"/>
      <w:marTop w:val="0"/>
      <w:marBottom w:val="0"/>
      <w:divBdr>
        <w:top w:val="none" w:sz="0" w:space="0" w:color="auto"/>
        <w:left w:val="none" w:sz="0" w:space="0" w:color="auto"/>
        <w:bottom w:val="none" w:sz="0" w:space="0" w:color="auto"/>
        <w:right w:val="none" w:sz="0" w:space="0" w:color="auto"/>
      </w:divBdr>
    </w:div>
    <w:div w:id="1037461887">
      <w:bodyDiv w:val="1"/>
      <w:marLeft w:val="0"/>
      <w:marRight w:val="0"/>
      <w:marTop w:val="0"/>
      <w:marBottom w:val="0"/>
      <w:divBdr>
        <w:top w:val="none" w:sz="0" w:space="0" w:color="auto"/>
        <w:left w:val="none" w:sz="0" w:space="0" w:color="auto"/>
        <w:bottom w:val="none" w:sz="0" w:space="0" w:color="auto"/>
        <w:right w:val="none" w:sz="0" w:space="0" w:color="auto"/>
      </w:divBdr>
    </w:div>
    <w:div w:id="1167944425">
      <w:bodyDiv w:val="1"/>
      <w:marLeft w:val="0"/>
      <w:marRight w:val="0"/>
      <w:marTop w:val="0"/>
      <w:marBottom w:val="0"/>
      <w:divBdr>
        <w:top w:val="none" w:sz="0" w:space="0" w:color="auto"/>
        <w:left w:val="none" w:sz="0" w:space="0" w:color="auto"/>
        <w:bottom w:val="none" w:sz="0" w:space="0" w:color="auto"/>
        <w:right w:val="none" w:sz="0" w:space="0" w:color="auto"/>
      </w:divBdr>
      <w:divsChild>
        <w:div w:id="29501902">
          <w:marLeft w:val="0"/>
          <w:marRight w:val="0"/>
          <w:marTop w:val="0"/>
          <w:marBottom w:val="0"/>
          <w:divBdr>
            <w:top w:val="single" w:sz="2" w:space="0" w:color="auto"/>
            <w:left w:val="single" w:sz="2" w:space="0" w:color="auto"/>
            <w:bottom w:val="single" w:sz="8" w:space="0" w:color="auto"/>
            <w:right w:val="single" w:sz="2" w:space="0" w:color="auto"/>
          </w:divBdr>
          <w:divsChild>
            <w:div w:id="1350715000">
              <w:marLeft w:val="0"/>
              <w:marRight w:val="0"/>
              <w:marTop w:val="100"/>
              <w:marBottom w:val="100"/>
              <w:divBdr>
                <w:top w:val="single" w:sz="2" w:space="0" w:color="D9D9E3"/>
                <w:left w:val="single" w:sz="2" w:space="0" w:color="D9D9E3"/>
                <w:bottom w:val="single" w:sz="2" w:space="0" w:color="D9D9E3"/>
                <w:right w:val="single" w:sz="2" w:space="0" w:color="D9D9E3"/>
              </w:divBdr>
              <w:divsChild>
                <w:div w:id="366568050">
                  <w:marLeft w:val="0"/>
                  <w:marRight w:val="0"/>
                  <w:marTop w:val="0"/>
                  <w:marBottom w:val="0"/>
                  <w:divBdr>
                    <w:top w:val="single" w:sz="2" w:space="0" w:color="D9D9E3"/>
                    <w:left w:val="single" w:sz="2" w:space="0" w:color="D9D9E3"/>
                    <w:bottom w:val="single" w:sz="2" w:space="0" w:color="D9D9E3"/>
                    <w:right w:val="single" w:sz="2" w:space="0" w:color="D9D9E3"/>
                  </w:divBdr>
                  <w:divsChild>
                    <w:div w:id="88430192">
                      <w:marLeft w:val="0"/>
                      <w:marRight w:val="0"/>
                      <w:marTop w:val="0"/>
                      <w:marBottom w:val="0"/>
                      <w:divBdr>
                        <w:top w:val="single" w:sz="2" w:space="0" w:color="D9D9E3"/>
                        <w:left w:val="single" w:sz="2" w:space="0" w:color="D9D9E3"/>
                        <w:bottom w:val="single" w:sz="2" w:space="0" w:color="D9D9E3"/>
                        <w:right w:val="single" w:sz="2" w:space="0" w:color="D9D9E3"/>
                      </w:divBdr>
                      <w:divsChild>
                        <w:div w:id="722800307">
                          <w:marLeft w:val="0"/>
                          <w:marRight w:val="0"/>
                          <w:marTop w:val="0"/>
                          <w:marBottom w:val="0"/>
                          <w:divBdr>
                            <w:top w:val="single" w:sz="2" w:space="0" w:color="D9D9E3"/>
                            <w:left w:val="single" w:sz="2" w:space="0" w:color="D9D9E3"/>
                            <w:bottom w:val="single" w:sz="2" w:space="0" w:color="D9D9E3"/>
                            <w:right w:val="single" w:sz="2" w:space="0" w:color="D9D9E3"/>
                          </w:divBdr>
                          <w:divsChild>
                            <w:div w:id="15671026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80925331">
      <w:bodyDiv w:val="1"/>
      <w:marLeft w:val="0"/>
      <w:marRight w:val="0"/>
      <w:marTop w:val="0"/>
      <w:marBottom w:val="0"/>
      <w:divBdr>
        <w:top w:val="none" w:sz="0" w:space="0" w:color="auto"/>
        <w:left w:val="none" w:sz="0" w:space="0" w:color="auto"/>
        <w:bottom w:val="none" w:sz="0" w:space="0" w:color="auto"/>
        <w:right w:val="none" w:sz="0" w:space="0" w:color="auto"/>
      </w:divBdr>
      <w:divsChild>
        <w:div w:id="1130632802">
          <w:marLeft w:val="763"/>
          <w:marRight w:val="1296"/>
          <w:marTop w:val="240"/>
          <w:marBottom w:val="0"/>
          <w:divBdr>
            <w:top w:val="none" w:sz="0" w:space="0" w:color="auto"/>
            <w:left w:val="none" w:sz="0" w:space="0" w:color="auto"/>
            <w:bottom w:val="none" w:sz="0" w:space="0" w:color="auto"/>
            <w:right w:val="none" w:sz="0" w:space="0" w:color="auto"/>
          </w:divBdr>
        </w:div>
      </w:divsChild>
    </w:div>
    <w:div w:id="1192106936">
      <w:bodyDiv w:val="1"/>
      <w:marLeft w:val="0"/>
      <w:marRight w:val="0"/>
      <w:marTop w:val="0"/>
      <w:marBottom w:val="0"/>
      <w:divBdr>
        <w:top w:val="none" w:sz="0" w:space="0" w:color="auto"/>
        <w:left w:val="none" w:sz="0" w:space="0" w:color="auto"/>
        <w:bottom w:val="none" w:sz="0" w:space="0" w:color="auto"/>
        <w:right w:val="none" w:sz="0" w:space="0" w:color="auto"/>
      </w:divBdr>
    </w:div>
    <w:div w:id="1229925377">
      <w:bodyDiv w:val="1"/>
      <w:marLeft w:val="0"/>
      <w:marRight w:val="0"/>
      <w:marTop w:val="0"/>
      <w:marBottom w:val="0"/>
      <w:divBdr>
        <w:top w:val="none" w:sz="0" w:space="0" w:color="auto"/>
        <w:left w:val="none" w:sz="0" w:space="0" w:color="auto"/>
        <w:bottom w:val="none" w:sz="0" w:space="0" w:color="auto"/>
        <w:right w:val="none" w:sz="0" w:space="0" w:color="auto"/>
      </w:divBdr>
    </w:div>
    <w:div w:id="1323462119">
      <w:bodyDiv w:val="1"/>
      <w:marLeft w:val="0"/>
      <w:marRight w:val="0"/>
      <w:marTop w:val="0"/>
      <w:marBottom w:val="0"/>
      <w:divBdr>
        <w:top w:val="none" w:sz="0" w:space="0" w:color="auto"/>
        <w:left w:val="none" w:sz="0" w:space="0" w:color="auto"/>
        <w:bottom w:val="none" w:sz="0" w:space="0" w:color="auto"/>
        <w:right w:val="none" w:sz="0" w:space="0" w:color="auto"/>
      </w:divBdr>
    </w:div>
    <w:div w:id="1331979529">
      <w:bodyDiv w:val="1"/>
      <w:marLeft w:val="0"/>
      <w:marRight w:val="0"/>
      <w:marTop w:val="0"/>
      <w:marBottom w:val="0"/>
      <w:divBdr>
        <w:top w:val="none" w:sz="0" w:space="0" w:color="auto"/>
        <w:left w:val="none" w:sz="0" w:space="0" w:color="auto"/>
        <w:bottom w:val="none" w:sz="0" w:space="0" w:color="auto"/>
        <w:right w:val="none" w:sz="0" w:space="0" w:color="auto"/>
      </w:divBdr>
      <w:divsChild>
        <w:div w:id="927538453">
          <w:marLeft w:val="0"/>
          <w:marRight w:val="0"/>
          <w:marTop w:val="0"/>
          <w:marBottom w:val="0"/>
          <w:divBdr>
            <w:top w:val="single" w:sz="2" w:space="0" w:color="auto"/>
            <w:left w:val="single" w:sz="2" w:space="0" w:color="auto"/>
            <w:bottom w:val="single" w:sz="6" w:space="0" w:color="auto"/>
            <w:right w:val="single" w:sz="2" w:space="0" w:color="auto"/>
          </w:divBdr>
          <w:divsChild>
            <w:div w:id="1241721734">
              <w:marLeft w:val="0"/>
              <w:marRight w:val="0"/>
              <w:marTop w:val="100"/>
              <w:marBottom w:val="100"/>
              <w:divBdr>
                <w:top w:val="single" w:sz="2" w:space="0" w:color="D9D9E3"/>
                <w:left w:val="single" w:sz="2" w:space="0" w:color="D9D9E3"/>
                <w:bottom w:val="single" w:sz="2" w:space="0" w:color="D9D9E3"/>
                <w:right w:val="single" w:sz="2" w:space="0" w:color="D9D9E3"/>
              </w:divBdr>
              <w:divsChild>
                <w:div w:id="315379549">
                  <w:marLeft w:val="0"/>
                  <w:marRight w:val="0"/>
                  <w:marTop w:val="0"/>
                  <w:marBottom w:val="0"/>
                  <w:divBdr>
                    <w:top w:val="single" w:sz="2" w:space="0" w:color="D9D9E3"/>
                    <w:left w:val="single" w:sz="2" w:space="0" w:color="D9D9E3"/>
                    <w:bottom w:val="single" w:sz="2" w:space="0" w:color="D9D9E3"/>
                    <w:right w:val="single" w:sz="2" w:space="0" w:color="D9D9E3"/>
                  </w:divBdr>
                  <w:divsChild>
                    <w:div w:id="324095295">
                      <w:marLeft w:val="0"/>
                      <w:marRight w:val="0"/>
                      <w:marTop w:val="0"/>
                      <w:marBottom w:val="0"/>
                      <w:divBdr>
                        <w:top w:val="single" w:sz="2" w:space="0" w:color="D9D9E3"/>
                        <w:left w:val="single" w:sz="2" w:space="0" w:color="D9D9E3"/>
                        <w:bottom w:val="single" w:sz="2" w:space="0" w:color="D9D9E3"/>
                        <w:right w:val="single" w:sz="2" w:space="0" w:color="D9D9E3"/>
                      </w:divBdr>
                      <w:divsChild>
                        <w:div w:id="2032759486">
                          <w:marLeft w:val="0"/>
                          <w:marRight w:val="0"/>
                          <w:marTop w:val="0"/>
                          <w:marBottom w:val="0"/>
                          <w:divBdr>
                            <w:top w:val="single" w:sz="2" w:space="0" w:color="D9D9E3"/>
                            <w:left w:val="single" w:sz="2" w:space="0" w:color="D9D9E3"/>
                            <w:bottom w:val="single" w:sz="2" w:space="0" w:color="D9D9E3"/>
                            <w:right w:val="single" w:sz="2" w:space="0" w:color="D9D9E3"/>
                          </w:divBdr>
                          <w:divsChild>
                            <w:div w:id="11061974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596594028">
      <w:bodyDiv w:val="1"/>
      <w:marLeft w:val="0"/>
      <w:marRight w:val="0"/>
      <w:marTop w:val="0"/>
      <w:marBottom w:val="0"/>
      <w:divBdr>
        <w:top w:val="none" w:sz="0" w:space="0" w:color="auto"/>
        <w:left w:val="none" w:sz="0" w:space="0" w:color="auto"/>
        <w:bottom w:val="none" w:sz="0" w:space="0" w:color="auto"/>
        <w:right w:val="none" w:sz="0" w:space="0" w:color="auto"/>
      </w:divBdr>
    </w:div>
    <w:div w:id="1619992351">
      <w:bodyDiv w:val="1"/>
      <w:marLeft w:val="0"/>
      <w:marRight w:val="0"/>
      <w:marTop w:val="0"/>
      <w:marBottom w:val="0"/>
      <w:divBdr>
        <w:top w:val="none" w:sz="0" w:space="0" w:color="auto"/>
        <w:left w:val="none" w:sz="0" w:space="0" w:color="auto"/>
        <w:bottom w:val="none" w:sz="0" w:space="0" w:color="auto"/>
        <w:right w:val="none" w:sz="0" w:space="0" w:color="auto"/>
      </w:divBdr>
    </w:div>
    <w:div w:id="1625576839">
      <w:bodyDiv w:val="1"/>
      <w:marLeft w:val="0"/>
      <w:marRight w:val="0"/>
      <w:marTop w:val="0"/>
      <w:marBottom w:val="0"/>
      <w:divBdr>
        <w:top w:val="none" w:sz="0" w:space="0" w:color="auto"/>
        <w:left w:val="none" w:sz="0" w:space="0" w:color="auto"/>
        <w:bottom w:val="none" w:sz="0" w:space="0" w:color="auto"/>
        <w:right w:val="none" w:sz="0" w:space="0" w:color="auto"/>
      </w:divBdr>
      <w:divsChild>
        <w:div w:id="1787699105">
          <w:marLeft w:val="360"/>
          <w:marRight w:val="0"/>
          <w:marTop w:val="200"/>
          <w:marBottom w:val="0"/>
          <w:divBdr>
            <w:top w:val="none" w:sz="0" w:space="0" w:color="auto"/>
            <w:left w:val="none" w:sz="0" w:space="0" w:color="auto"/>
            <w:bottom w:val="none" w:sz="0" w:space="0" w:color="auto"/>
            <w:right w:val="none" w:sz="0" w:space="0" w:color="auto"/>
          </w:divBdr>
        </w:div>
        <w:div w:id="1301418299">
          <w:marLeft w:val="360"/>
          <w:marRight w:val="0"/>
          <w:marTop w:val="200"/>
          <w:marBottom w:val="0"/>
          <w:divBdr>
            <w:top w:val="none" w:sz="0" w:space="0" w:color="auto"/>
            <w:left w:val="none" w:sz="0" w:space="0" w:color="auto"/>
            <w:bottom w:val="none" w:sz="0" w:space="0" w:color="auto"/>
            <w:right w:val="none" w:sz="0" w:space="0" w:color="auto"/>
          </w:divBdr>
        </w:div>
        <w:div w:id="212814032">
          <w:marLeft w:val="360"/>
          <w:marRight w:val="0"/>
          <w:marTop w:val="200"/>
          <w:marBottom w:val="0"/>
          <w:divBdr>
            <w:top w:val="none" w:sz="0" w:space="0" w:color="auto"/>
            <w:left w:val="none" w:sz="0" w:space="0" w:color="auto"/>
            <w:bottom w:val="none" w:sz="0" w:space="0" w:color="auto"/>
            <w:right w:val="none" w:sz="0" w:space="0" w:color="auto"/>
          </w:divBdr>
        </w:div>
      </w:divsChild>
    </w:div>
    <w:div w:id="1633944663">
      <w:bodyDiv w:val="1"/>
      <w:marLeft w:val="0"/>
      <w:marRight w:val="0"/>
      <w:marTop w:val="0"/>
      <w:marBottom w:val="0"/>
      <w:divBdr>
        <w:top w:val="none" w:sz="0" w:space="0" w:color="auto"/>
        <w:left w:val="none" w:sz="0" w:space="0" w:color="auto"/>
        <w:bottom w:val="none" w:sz="0" w:space="0" w:color="auto"/>
        <w:right w:val="none" w:sz="0" w:space="0" w:color="auto"/>
      </w:divBdr>
    </w:div>
    <w:div w:id="1680307521">
      <w:bodyDiv w:val="1"/>
      <w:marLeft w:val="0"/>
      <w:marRight w:val="0"/>
      <w:marTop w:val="0"/>
      <w:marBottom w:val="0"/>
      <w:divBdr>
        <w:top w:val="none" w:sz="0" w:space="0" w:color="auto"/>
        <w:left w:val="none" w:sz="0" w:space="0" w:color="auto"/>
        <w:bottom w:val="none" w:sz="0" w:space="0" w:color="auto"/>
        <w:right w:val="none" w:sz="0" w:space="0" w:color="auto"/>
      </w:divBdr>
    </w:div>
    <w:div w:id="1711802689">
      <w:bodyDiv w:val="1"/>
      <w:marLeft w:val="0"/>
      <w:marRight w:val="0"/>
      <w:marTop w:val="0"/>
      <w:marBottom w:val="0"/>
      <w:divBdr>
        <w:top w:val="none" w:sz="0" w:space="0" w:color="auto"/>
        <w:left w:val="none" w:sz="0" w:space="0" w:color="auto"/>
        <w:bottom w:val="none" w:sz="0" w:space="0" w:color="auto"/>
        <w:right w:val="none" w:sz="0" w:space="0" w:color="auto"/>
      </w:divBdr>
    </w:div>
    <w:div w:id="1816214079">
      <w:bodyDiv w:val="1"/>
      <w:marLeft w:val="0"/>
      <w:marRight w:val="0"/>
      <w:marTop w:val="0"/>
      <w:marBottom w:val="0"/>
      <w:divBdr>
        <w:top w:val="none" w:sz="0" w:space="0" w:color="auto"/>
        <w:left w:val="none" w:sz="0" w:space="0" w:color="auto"/>
        <w:bottom w:val="none" w:sz="0" w:space="0" w:color="auto"/>
        <w:right w:val="none" w:sz="0" w:space="0" w:color="auto"/>
      </w:divBdr>
    </w:div>
    <w:div w:id="1889804865">
      <w:bodyDiv w:val="1"/>
      <w:marLeft w:val="0"/>
      <w:marRight w:val="0"/>
      <w:marTop w:val="0"/>
      <w:marBottom w:val="0"/>
      <w:divBdr>
        <w:top w:val="none" w:sz="0" w:space="0" w:color="auto"/>
        <w:left w:val="none" w:sz="0" w:space="0" w:color="auto"/>
        <w:bottom w:val="none" w:sz="0" w:space="0" w:color="auto"/>
        <w:right w:val="none" w:sz="0" w:space="0" w:color="auto"/>
      </w:divBdr>
    </w:div>
    <w:div w:id="1909730919">
      <w:bodyDiv w:val="1"/>
      <w:marLeft w:val="0"/>
      <w:marRight w:val="0"/>
      <w:marTop w:val="0"/>
      <w:marBottom w:val="0"/>
      <w:divBdr>
        <w:top w:val="none" w:sz="0" w:space="0" w:color="auto"/>
        <w:left w:val="none" w:sz="0" w:space="0" w:color="auto"/>
        <w:bottom w:val="none" w:sz="0" w:space="0" w:color="auto"/>
        <w:right w:val="none" w:sz="0" w:space="0" w:color="auto"/>
      </w:divBdr>
      <w:divsChild>
        <w:div w:id="431515709">
          <w:marLeft w:val="360"/>
          <w:marRight w:val="0"/>
          <w:marTop w:val="200"/>
          <w:marBottom w:val="0"/>
          <w:divBdr>
            <w:top w:val="none" w:sz="0" w:space="0" w:color="auto"/>
            <w:left w:val="none" w:sz="0" w:space="0" w:color="auto"/>
            <w:bottom w:val="none" w:sz="0" w:space="0" w:color="auto"/>
            <w:right w:val="none" w:sz="0" w:space="0" w:color="auto"/>
          </w:divBdr>
        </w:div>
        <w:div w:id="780496607">
          <w:marLeft w:val="360"/>
          <w:marRight w:val="0"/>
          <w:marTop w:val="200"/>
          <w:marBottom w:val="0"/>
          <w:divBdr>
            <w:top w:val="none" w:sz="0" w:space="0" w:color="auto"/>
            <w:left w:val="none" w:sz="0" w:space="0" w:color="auto"/>
            <w:bottom w:val="none" w:sz="0" w:space="0" w:color="auto"/>
            <w:right w:val="none" w:sz="0" w:space="0" w:color="auto"/>
          </w:divBdr>
        </w:div>
        <w:div w:id="493453154">
          <w:marLeft w:val="360"/>
          <w:marRight w:val="0"/>
          <w:marTop w:val="200"/>
          <w:marBottom w:val="0"/>
          <w:divBdr>
            <w:top w:val="none" w:sz="0" w:space="0" w:color="auto"/>
            <w:left w:val="none" w:sz="0" w:space="0" w:color="auto"/>
            <w:bottom w:val="none" w:sz="0" w:space="0" w:color="auto"/>
            <w:right w:val="none" w:sz="0" w:space="0" w:color="auto"/>
          </w:divBdr>
        </w:div>
      </w:divsChild>
    </w:div>
    <w:div w:id="1981114381">
      <w:bodyDiv w:val="1"/>
      <w:marLeft w:val="0"/>
      <w:marRight w:val="0"/>
      <w:marTop w:val="0"/>
      <w:marBottom w:val="0"/>
      <w:divBdr>
        <w:top w:val="none" w:sz="0" w:space="0" w:color="auto"/>
        <w:left w:val="none" w:sz="0" w:space="0" w:color="auto"/>
        <w:bottom w:val="none" w:sz="0" w:space="0" w:color="auto"/>
        <w:right w:val="none" w:sz="0" w:space="0" w:color="auto"/>
      </w:divBdr>
    </w:div>
    <w:div w:id="1997758317">
      <w:bodyDiv w:val="1"/>
      <w:marLeft w:val="0"/>
      <w:marRight w:val="0"/>
      <w:marTop w:val="0"/>
      <w:marBottom w:val="0"/>
      <w:divBdr>
        <w:top w:val="none" w:sz="0" w:space="0" w:color="auto"/>
        <w:left w:val="none" w:sz="0" w:space="0" w:color="auto"/>
        <w:bottom w:val="none" w:sz="0" w:space="0" w:color="auto"/>
        <w:right w:val="none" w:sz="0" w:space="0" w:color="auto"/>
      </w:divBdr>
    </w:div>
    <w:div w:id="2056856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9.png"/><Relationship Id="rId26" Type="http://schemas.openxmlformats.org/officeDocument/2006/relationships/hyperlink" Target="https://www.bmleh.de/SharedDocs/Downloads/DE/_Ernaehrung/forsa-ernaehrungsreport-2024-tabellen.pdf" TargetMode="External"/><Relationship Id="rId39" Type="http://schemas.openxmlformats.org/officeDocument/2006/relationships/hyperlink" Target="https://www.researchgate.net/figure/STP-theory-drafted-by-author_fig1_368979292?utm_source=chatgpt.com" TargetMode="External"/><Relationship Id="rId21" Type="http://schemas.openxmlformats.org/officeDocument/2006/relationships/hyperlink" Target="https://onlinelibrary.wiley.com/doi/pdf/10.1111/ajae.12556" TargetMode="External"/><Relationship Id="rId34" Type="http://schemas.openxmlformats.org/officeDocument/2006/relationships/hyperlink" Target="https://www.fortunebusinessinsights.com/industry-reports/bakery-products-market-101472" TargetMode="External"/><Relationship Id="rId42" Type="http://schemas.openxmlformats.org/officeDocument/2006/relationships/hyperlink" Target="https://www.marketresearchfuture.com/reports/germany-bakery-products-market-46412" TargetMode="External"/><Relationship Id="rId47" Type="http://schemas.openxmlformats.org/officeDocument/2006/relationships/hyperlink" Target="https://www.reportlinker.com/dlp/301afc577640d30633dae1e86bec9fc4" TargetMode="External"/><Relationship Id="rId50" Type="http://schemas.openxmlformats.org/officeDocument/2006/relationships/hyperlink" Target="https://www.statista.com/outlook/cmo/food/bread-cereal-products/germany?srsltid=AfmBOooyirOJojBDMWOEQgdHJYCY0y2IRVbwfvYwNkEZoDswrgqIGY0V" TargetMode="External"/><Relationship Id="rId55" Type="http://schemas.openxmlformats.org/officeDocument/2006/relationships/hyperlink" Target="https://doi.org/10.3390/su14031795" TargetMode="External"/><Relationship Id="rId7" Type="http://schemas.openxmlformats.org/officeDocument/2006/relationships/endnotes" Target="endnotes.xml"/><Relationship Id="rId2" Type="http://schemas.openxmlformats.org/officeDocument/2006/relationships/numbering" Target="numbering.xml"/><Relationship Id="rId16" Type="http://schemas.microsoft.com/office/2007/relationships/hdphoto" Target="media/hdphoto2.wdp"/><Relationship Id="rId29" Type="http://schemas.openxmlformats.org/officeDocument/2006/relationships/hyperlink" Target="https://doi.org/10.3390/agriculture12101518" TargetMode="External"/><Relationship Id="rId11" Type="http://schemas.openxmlformats.org/officeDocument/2006/relationships/image" Target="media/image4.png"/><Relationship Id="rId24" Type="http://schemas.openxmlformats.org/officeDocument/2006/relationships/hyperlink" Target="https://www.bitkom.org/sites/main/files/2023-08/bitkom-studie-die-zukunft-der-consumer-technology-2023.pdf?utm_source=chatgpt.com" TargetMode="External"/><Relationship Id="rId32" Type="http://schemas.openxmlformats.org/officeDocument/2006/relationships/hyperlink" Target="https://www.ft.com/content/9090049f-0368-41b3-943b-25c8e833d54e" TargetMode="External"/><Relationship Id="rId37" Type="http://schemas.openxmlformats.org/officeDocument/2006/relationships/hyperlink" Target="https://en.groupeleduff.com/enseignes/kamps?utm_source=chatgpt.com" TargetMode="External"/><Relationship Id="rId40" Type="http://schemas.openxmlformats.org/officeDocument/2006/relationships/hyperlink" Target="https://assets.ctfassets.net/pn8wbiqtnzw9/pYLNDZOn9rZxkM6vOidhF/efd115ceb4b601afa74b83488f123521/Foodservice_in_Germany_-_Nov_24_update.pdf?utm_source=chatgpt.com" TargetMode="External"/><Relationship Id="rId45" Type="http://schemas.openxmlformats.org/officeDocument/2006/relationships/hyperlink" Target="https://www.mindestlohn-kommission.de/en/Information-on-the-minimum-wage/Evolution-of-the-minimum-wage?utm_source=chatgpt.com" TargetMode="External"/><Relationship Id="rId53" Type="http://schemas.openxmlformats.org/officeDocument/2006/relationships/hyperlink" Target="https://www.researchgate.net/figure/Employment-rate-in-Germany-2001-17_fig1_356648618?utm_source=chatgpt.com" TargetMode="External"/><Relationship Id="rId58" Type="http://schemas.openxmlformats.org/officeDocument/2006/relationships/theme" Target="theme/theme1.xml"/><Relationship Id="rId5" Type="http://schemas.openxmlformats.org/officeDocument/2006/relationships/webSettings" Target="webSettings.xml"/><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jpeg"/><Relationship Id="rId22" Type="http://schemas.openxmlformats.org/officeDocument/2006/relationships/hyperlink" Target="https://www.back-werk.de/de/franchise?utm_source=chatgpt.com" TargetMode="External"/><Relationship Id="rId27" Type="http://schemas.openxmlformats.org/officeDocument/2006/relationships/hyperlink" Target="https://www.cbi.eu/sites/default/files/pdf/research/577.pdf?utm_source=chatgpt.com" TargetMode="External"/><Relationship Id="rId30" Type="http://schemas.openxmlformats.org/officeDocument/2006/relationships/hyperlink" Target="https://www.ecf-coffee.org/wp-content/uploads/2024/07/European-Coffee-Report-2023-2024.pdf" TargetMode="External"/><Relationship Id="rId35" Type="http://schemas.openxmlformats.org/officeDocument/2006/relationships/hyperlink" Target="https://a.storyblok.com/f/162306/x/6191f7066b/greggs-annual-report-and-accounts-2023.pdf?utm_source=chatgpt.com" TargetMode="External"/><Relationship Id="rId43" Type="http://schemas.openxmlformats.org/officeDocument/2006/relationships/hyperlink" Target="https://www.researchgate.net/figure/The-VRIO-framework-Source-Chapman-2018_fig1_376076598?utm_source=chatgpt.com" TargetMode="External"/><Relationship Id="rId48" Type="http://schemas.openxmlformats.org/officeDocument/2006/relationships/hyperlink" Target="https://link.springer.com/article/10.1007/s12351-021-00656-z" TargetMode="External"/><Relationship Id="rId56" Type="http://schemas.openxmlformats.org/officeDocument/2006/relationships/header" Target="header1.xml"/><Relationship Id="rId8" Type="http://schemas.openxmlformats.org/officeDocument/2006/relationships/image" Target="media/image1.jpeg"/><Relationship Id="rId51" Type="http://schemas.openxmlformats.org/officeDocument/2006/relationships/hyperlink" Target="https://apps.fas.usda.gov/newgainapi/api/Report/DownloadReportByFileName?fileName=Food+Processing+Ingredients+Annual_Berlin_Germany_GM2024-0003.pdf&amp;utm_source=chatgpt.com" TargetMode="External"/><Relationship Id="rId3" Type="http://schemas.openxmlformats.org/officeDocument/2006/relationships/styles" Target="styles.xml"/><Relationship Id="rId12" Type="http://schemas.microsoft.com/office/2007/relationships/hdphoto" Target="media/hdphoto1.wdp"/><Relationship Id="rId17" Type="http://schemas.openxmlformats.org/officeDocument/2006/relationships/image" Target="media/image8.png"/><Relationship Id="rId25" Type="http://schemas.openxmlformats.org/officeDocument/2006/relationships/hyperlink" Target="https://www.bmas.de/DE/Service/Publikationen/Broschueren/a640d-mindestlohn-flyer-deutsch.html?utm_source=chatgpt.com" TargetMode="External"/><Relationship Id="rId33" Type="http://schemas.openxmlformats.org/officeDocument/2006/relationships/hyperlink" Target="https://www.fooddrinkeurope.eu/wp-content/uploads/2025/01/FoodDrinkEurope-Data-Trends-2024.pdf?utm_source=chatgpt.com" TargetMode="External"/><Relationship Id="rId38" Type="http://schemas.openxmlformats.org/officeDocument/2006/relationships/hyperlink" Target="https://www.igi-global.com/chapter/the-shift-from-demographics-to-psychographics/372414" TargetMode="External"/><Relationship Id="rId46" Type="http://schemas.openxmlformats.org/officeDocument/2006/relationships/hyperlink" Target="https://www.novonesis.com/en/biosolutions/food-and-beverages/baking/newsletter?utm_source=google&amp;utm_medium=cpc&amp;utm_campaign=ba_gl_lead_newsletter&amp;utm_content=ge_defensivesem&amp;utm_term=baking%20industry%20trends&amp;gad_source=1&amp;gad_campaignid=23218763996&amp;gbra" TargetMode="External"/><Relationship Id="rId20" Type="http://schemas.openxmlformats.org/officeDocument/2006/relationships/image" Target="media/image11.png"/><Relationship Id="rId41" Type="http://schemas.openxmlformats.org/officeDocument/2006/relationships/hyperlink" Target="https://www.researchgate.net/figure/Porters-five-forces-model-of-enterprises_fig1_375864278?utm_source=chatgpt.com" TargetMode="External"/><Relationship Id="rId54" Type="http://schemas.openxmlformats.org/officeDocument/2006/relationships/hyperlink" Target="https://www.worldbakers.com/the-german-bakery-market-between-inflation-and-convenience/?utm_source=chatgpt.co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hyperlink" Target="https://www.researchgate.net/figure/The-Porter-Diamond-Model-Alvarez-et-al-2011_fig3_348351396?utm_source=chatgpt.com" TargetMode="External"/><Relationship Id="rId28" Type="http://schemas.openxmlformats.org/officeDocument/2006/relationships/hyperlink" Target="https://www.verpackungsregister.org/fileadmin/files/Katalog/Guideline_catalogue.pdf?utm_source=chatgpt.com" TargetMode="External"/><Relationship Id="rId36" Type="http://schemas.openxmlformats.org/officeDocument/2006/relationships/hyperlink" Target="https://data.fca.org.uk/artefacts/NSM/Portal/NI-000118042/NI-000118042.pdf?utm_source=chatgpt.com" TargetMode="External"/><Relationship Id="rId49" Type="http://schemas.openxmlformats.org/officeDocument/2006/relationships/hyperlink" Target="https://www.researchgate.net/figure/The-PESTEL-analysis-framework_fig11_353729691?utm_source=chatgpt.com" TargetMode="External"/><Relationship Id="rId57" Type="http://schemas.openxmlformats.org/officeDocument/2006/relationships/fontTable" Target="fontTable.xml"/><Relationship Id="rId10" Type="http://schemas.openxmlformats.org/officeDocument/2006/relationships/image" Target="media/image3.png"/><Relationship Id="rId31" Type="http://schemas.openxmlformats.org/officeDocument/2006/relationships/hyperlink" Target="https://www.bmas.de/EN/Services/Publications/a640e-mindestlohn-flyer-2023-english.html?utm_source=chatgpt.com" TargetMode="External"/><Relationship Id="rId44" Type="http://schemas.openxmlformats.org/officeDocument/2006/relationships/hyperlink" Target="https://www.researchgate.net/figure/Global-Gross-Domestic-Product-GDP-Growth-Quarter-over-quarter-percentage-change_fig1_227636658?utm_source=chatgpt.com" TargetMode="External"/><Relationship Id="rId52" Type="http://schemas.openxmlformats.org/officeDocument/2006/relationships/hyperlink" Target="https://www.grossbaecker.de/wp-content/uploads/backwarenbranche-daten-fakten-2023-verband-grossbaecker.pdf?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E9E790-1759-44CF-AED6-B51A2CB8E90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6876</Words>
  <Characters>49391</Characters>
  <Application>Microsoft Office Word</Application>
  <DocSecurity>0</DocSecurity>
  <Lines>411</Lines>
  <Paragraphs>112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56155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Samuel Kirvej (2120449)</cp:lastModifiedBy>
  <cp:revision>2</cp:revision>
  <dcterms:created xsi:type="dcterms:W3CDTF">2025-11-30T08:43:00Z</dcterms:created>
  <dcterms:modified xsi:type="dcterms:W3CDTF">2025-11-30T08:43:00Z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260a3ad41bf19a79378574f5143baedfd0a25f6fe8e42e9d9f2ead71b8dcae88</vt:lpwstr>
  </property>
</Properties>
</file>