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5417F9" w14:textId="143311B5" w:rsidR="004B3AE0" w:rsidRPr="004B3AE0" w:rsidRDefault="00FC49EF" w:rsidP="004B3AE0">
      <w:pPr>
        <w:rPr>
          <w:b/>
          <w:bCs/>
        </w:rPr>
      </w:pPr>
      <w:r>
        <w:rPr>
          <w:b/>
          <w:bCs/>
        </w:rPr>
        <w:br/>
        <w:t>Placement 2: Advocacy, Empowerment, Participation and Rights</w:t>
      </w:r>
      <w:r>
        <w:rPr>
          <w:b/>
          <w:bCs/>
        </w:rPr>
        <w:br/>
        <w:t>Page 1 – Index Page</w:t>
      </w:r>
      <w:r>
        <w:rPr>
          <w:b/>
          <w:bCs/>
        </w:rPr>
        <w:br/>
        <w:t>Page 2 – 5 – Critical Analysis</w:t>
      </w:r>
      <w:r>
        <w:rPr>
          <w:b/>
          <w:bCs/>
        </w:rPr>
        <w:br/>
        <w:t>Page 6 – Reference List</w:t>
      </w:r>
      <w:r>
        <w:rPr>
          <w:b/>
          <w:bCs/>
        </w:rPr>
        <w:br/>
        <w:t>Page 7 – Appendix</w:t>
      </w:r>
      <w:r>
        <w:rPr>
          <w:b/>
          <w:bCs/>
        </w:rPr>
        <w:br/>
      </w:r>
      <w:r>
        <w:rPr>
          <w:b/>
          <w:bCs/>
        </w:rPr>
        <w:br/>
      </w:r>
      <w:r>
        <w:rPr>
          <w:b/>
          <w:bCs/>
        </w:rPr>
        <w:br/>
      </w:r>
      <w:r>
        <w:rPr>
          <w:b/>
          <w:bCs/>
        </w:rPr>
        <w:br/>
      </w:r>
      <w:r>
        <w:rPr>
          <w:b/>
          <w:bCs/>
        </w:rPr>
        <w:br/>
      </w:r>
      <w:r>
        <w:rPr>
          <w:b/>
          <w:bCs/>
        </w:rPr>
        <w:br/>
      </w:r>
      <w:r>
        <w:rPr>
          <w:b/>
          <w:bCs/>
        </w:rPr>
        <w:br/>
      </w:r>
      <w:r>
        <w:rPr>
          <w:b/>
          <w:bCs/>
        </w:rPr>
        <w:br/>
      </w:r>
      <w:r>
        <w:rPr>
          <w:b/>
          <w:bCs/>
        </w:rPr>
        <w:br/>
      </w:r>
      <w:r>
        <w:rPr>
          <w:b/>
          <w:bCs/>
        </w:rPr>
        <w:br/>
      </w:r>
      <w:r>
        <w:rPr>
          <w:b/>
          <w:bCs/>
        </w:rPr>
        <w:br/>
      </w:r>
      <w:r>
        <w:rPr>
          <w:b/>
          <w:bCs/>
        </w:rPr>
        <w:br/>
      </w:r>
      <w:r>
        <w:rPr>
          <w:b/>
          <w:bCs/>
        </w:rPr>
        <w:br/>
      </w:r>
      <w:r>
        <w:rPr>
          <w:b/>
          <w:bCs/>
        </w:rPr>
        <w:br/>
      </w:r>
      <w:r>
        <w:rPr>
          <w:b/>
          <w:bCs/>
        </w:rPr>
        <w:br/>
      </w:r>
      <w:r>
        <w:rPr>
          <w:b/>
          <w:bCs/>
        </w:rPr>
        <w:br/>
      </w:r>
      <w:r>
        <w:rPr>
          <w:b/>
          <w:bCs/>
        </w:rPr>
        <w:br/>
      </w:r>
      <w:r>
        <w:rPr>
          <w:b/>
          <w:bCs/>
        </w:rPr>
        <w:br/>
      </w:r>
      <w:r>
        <w:rPr>
          <w:b/>
          <w:bCs/>
        </w:rPr>
        <w:br/>
      </w:r>
      <w:r>
        <w:rPr>
          <w:b/>
          <w:bCs/>
        </w:rPr>
        <w:br/>
      </w:r>
      <w:r>
        <w:rPr>
          <w:b/>
          <w:bCs/>
        </w:rPr>
        <w:br/>
      </w:r>
      <w:r>
        <w:rPr>
          <w:b/>
          <w:bCs/>
        </w:rPr>
        <w:br/>
      </w:r>
      <w:r>
        <w:rPr>
          <w:b/>
          <w:bCs/>
        </w:rPr>
        <w:br/>
      </w:r>
      <w:r>
        <w:rPr>
          <w:b/>
          <w:bCs/>
        </w:rPr>
        <w:br/>
      </w:r>
      <w:r>
        <w:rPr>
          <w:b/>
          <w:bCs/>
        </w:rPr>
        <w:br/>
      </w:r>
      <w:r>
        <w:rPr>
          <w:b/>
          <w:bCs/>
        </w:rPr>
        <w:br/>
      </w:r>
      <w:r>
        <w:rPr>
          <w:b/>
          <w:bCs/>
        </w:rPr>
        <w:br/>
      </w:r>
      <w:r>
        <w:rPr>
          <w:b/>
          <w:bCs/>
        </w:rPr>
        <w:br/>
      </w:r>
      <w:r>
        <w:rPr>
          <w:b/>
          <w:bCs/>
        </w:rPr>
        <w:br/>
      </w:r>
      <w:r>
        <w:rPr>
          <w:b/>
          <w:bCs/>
        </w:rPr>
        <w:br/>
      </w:r>
      <w:r>
        <w:rPr>
          <w:b/>
          <w:bCs/>
        </w:rPr>
        <w:br/>
      </w:r>
      <w:r>
        <w:rPr>
          <w:b/>
          <w:bCs/>
        </w:rPr>
        <w:br/>
      </w:r>
      <w:r>
        <w:rPr>
          <w:b/>
          <w:bCs/>
        </w:rPr>
        <w:br/>
      </w:r>
      <w:r>
        <w:rPr>
          <w:b/>
          <w:bCs/>
        </w:rPr>
        <w:br/>
      </w:r>
      <w:r>
        <w:rPr>
          <w:b/>
          <w:bCs/>
        </w:rPr>
        <w:br/>
      </w:r>
      <w:r>
        <w:rPr>
          <w:b/>
          <w:bCs/>
        </w:rPr>
        <w:br/>
      </w:r>
      <w:r>
        <w:rPr>
          <w:b/>
          <w:bCs/>
        </w:rPr>
        <w:lastRenderedPageBreak/>
        <w:br/>
      </w:r>
      <w:r>
        <w:rPr>
          <w:b/>
          <w:bCs/>
        </w:rPr>
        <w:br/>
      </w:r>
      <w:r>
        <w:rPr>
          <w:b/>
          <w:bCs/>
        </w:rPr>
        <w:br/>
      </w:r>
      <w:r w:rsidR="004B3AE0" w:rsidRPr="004B3AE0">
        <w:rPr>
          <w:b/>
          <w:bCs/>
        </w:rPr>
        <w:t>Placement Analysis: Post-16 Youth Service, Carmarthenshire County Council – Dr Mz’s Drop-In Service</w:t>
      </w:r>
    </w:p>
    <w:p w14:paraId="1328AFB5" w14:textId="77777777" w:rsidR="004B3AE0" w:rsidRPr="004B3AE0" w:rsidRDefault="004B3AE0" w:rsidP="004B3AE0">
      <w:pPr>
        <w:rPr>
          <w:b/>
          <w:bCs/>
        </w:rPr>
      </w:pPr>
      <w:r w:rsidRPr="004B3AE0">
        <w:rPr>
          <w:b/>
          <w:bCs/>
        </w:rPr>
        <w:t>1. Introduction</w:t>
      </w:r>
    </w:p>
    <w:p w14:paraId="1AE97D29" w14:textId="77777777" w:rsidR="004B3AE0" w:rsidRPr="004B3AE0" w:rsidRDefault="004B3AE0" w:rsidP="004B3AE0">
      <w:r w:rsidRPr="004B3AE0">
        <w:t>This placement analysis reflects on my experience within the Post-16 Youth Service provided by Carmarthenshire County Council, based at the Dr Mz’s drop-in service. The placement took place one day per week and provided an opportunity to observe and participate in statutory youth work practice. The aim of the placement was to develop my understanding of youth work approaches, explore how theory informs practice, and compare local authority provision with charitable youth services.</w:t>
      </w:r>
    </w:p>
    <w:p w14:paraId="0A734F89" w14:textId="77777777" w:rsidR="004B3AE0" w:rsidRPr="004B3AE0" w:rsidRDefault="004B3AE0" w:rsidP="004B3AE0">
      <w:r w:rsidRPr="004B3AE0">
        <w:t>Dr Mz’s drop-in service provides a safe, inclusive and voluntary space for post-16 young people to access support, guidance and informal learning opportunities. My role involved engaging with young people, supporting group sessions, and contributing to a safe environment where young people felt comfortable expressing themselves. This analysis explores my role, the application of theory to practice, challenges encountered, and the professional learning gained through reflective practice.</w:t>
      </w:r>
    </w:p>
    <w:p w14:paraId="04BEF2BF" w14:textId="77777777" w:rsidR="004B3AE0" w:rsidRPr="004B3AE0" w:rsidRDefault="00000000" w:rsidP="004B3AE0">
      <w:r>
        <w:pict w14:anchorId="1C6E7BB9">
          <v:rect id="_x0000_i1025" style="width:0;height:1.5pt" o:hralign="center" o:hrstd="t" o:hr="t" fillcolor="#a0a0a0" stroked="f"/>
        </w:pict>
      </w:r>
    </w:p>
    <w:p w14:paraId="2C7330CD" w14:textId="77777777" w:rsidR="004B3AE0" w:rsidRPr="004B3AE0" w:rsidRDefault="004B3AE0" w:rsidP="004B3AE0">
      <w:pPr>
        <w:rPr>
          <w:b/>
          <w:bCs/>
        </w:rPr>
      </w:pPr>
      <w:r w:rsidRPr="004B3AE0">
        <w:rPr>
          <w:b/>
          <w:bCs/>
        </w:rPr>
        <w:t>2. Service Overview and Context</w:t>
      </w:r>
    </w:p>
    <w:p w14:paraId="5A23F0C7" w14:textId="77777777" w:rsidR="004B3AE0" w:rsidRPr="004B3AE0" w:rsidRDefault="004B3AE0" w:rsidP="004B3AE0">
      <w:r w:rsidRPr="004B3AE0">
        <w:t>The Post-16 Youth Service supports young people during a key transitional period, recognising the social, emotional and environmental factors that influence development. Drop-in services are central to youth work practice as they promote voluntary participation, accessibility and empowerment (Ord, 2012).</w:t>
      </w:r>
    </w:p>
    <w:p w14:paraId="2FD8E6FF" w14:textId="1AF800C0" w:rsidR="004B3AE0" w:rsidRPr="004B3AE0" w:rsidRDefault="004B3AE0" w:rsidP="004B3AE0">
      <w:r w:rsidRPr="004B3AE0">
        <w:t xml:space="preserve">The service reflects the </w:t>
      </w:r>
      <w:r w:rsidR="0055476E" w:rsidRPr="004B3AE0">
        <w:t xml:space="preserve">Five Pillars </w:t>
      </w:r>
      <w:r w:rsidR="0055476E">
        <w:t>o</w:t>
      </w:r>
      <w:r w:rsidR="0055476E" w:rsidRPr="004B3AE0">
        <w:t>f Youth Work</w:t>
      </w:r>
      <w:r w:rsidRPr="004B3AE0">
        <w:t>: educative, expressive, participative, empowering and inclusive (Welsh Government, 2019). These principles were evident through creative projects such as songwriting and discussion-based sessions focused on healthy relationships. Practice was underpinned by the National Occupational Standards for Youth Work, which emphasise safeguarding, ethical engagement and promoting young people’s voices (National Youth Agency, 2012).</w:t>
      </w:r>
    </w:p>
    <w:p w14:paraId="2F22A346" w14:textId="77777777" w:rsidR="004B3AE0" w:rsidRPr="004B3AE0" w:rsidRDefault="00000000" w:rsidP="004B3AE0">
      <w:r>
        <w:pict w14:anchorId="558D39A7">
          <v:rect id="_x0000_i1026" style="width:0;height:1.5pt" o:hralign="center" o:hrstd="t" o:hr="t" fillcolor="#a0a0a0" stroked="f"/>
        </w:pict>
      </w:r>
    </w:p>
    <w:p w14:paraId="5EDE77B7" w14:textId="77777777" w:rsidR="004B3AE0" w:rsidRPr="004B3AE0" w:rsidRDefault="004B3AE0" w:rsidP="004B3AE0">
      <w:pPr>
        <w:rPr>
          <w:b/>
          <w:bCs/>
        </w:rPr>
      </w:pPr>
      <w:r w:rsidRPr="004B3AE0">
        <w:rPr>
          <w:b/>
          <w:bCs/>
        </w:rPr>
        <w:t>3. Roles and Responsibilities</w:t>
      </w:r>
    </w:p>
    <w:p w14:paraId="17A385AB" w14:textId="21E46225" w:rsidR="004B3AE0" w:rsidRPr="004B3AE0" w:rsidRDefault="004B3AE0" w:rsidP="004B3AE0">
      <w:r w:rsidRPr="004B3AE0">
        <w:t xml:space="preserve">My responsibilities included engaging with young people in a supportive and non-judgemental manner, offering guidance where appropriate, and supporting structured activities. A key aspect of my role was contributing to a safe space, enabling young </w:t>
      </w:r>
      <w:r w:rsidRPr="004B3AE0">
        <w:lastRenderedPageBreak/>
        <w:t>people to feel respected, listened to and valued</w:t>
      </w:r>
      <w:r w:rsidR="00FB7E82">
        <w:t xml:space="preserve"> (CLD Standards Council Scotland, 2019, P. 6) (CLDSCS).</w:t>
      </w:r>
    </w:p>
    <w:p w14:paraId="774BB0F5" w14:textId="326758D2" w:rsidR="004B3AE0" w:rsidRPr="004B3AE0" w:rsidRDefault="00FB7E82" w:rsidP="004B3AE0">
      <w:r>
        <w:t xml:space="preserve">(CLDSCS, 2019, P.4) (CLDYW01) </w:t>
      </w:r>
      <w:r w:rsidR="004B3AE0" w:rsidRPr="004B3AE0">
        <w:t>Relationship-building was central to effective engagement. Developing trust allowed young people to participate more openly in activities and discussions, which aligns with youth work values of respect and empowerment (Ord, 2012). Working in a local authority setting also allowed me to observe professional boundaries, safeguarding procedures and team-based practice.</w:t>
      </w:r>
    </w:p>
    <w:p w14:paraId="2DD09DEB" w14:textId="77777777" w:rsidR="004B3AE0" w:rsidRPr="004B3AE0" w:rsidRDefault="00000000" w:rsidP="004B3AE0">
      <w:r>
        <w:pict w14:anchorId="25E9A685">
          <v:rect id="_x0000_i1027" style="width:0;height:1.5pt" o:hralign="center" o:hrstd="t" o:hr="t" fillcolor="#a0a0a0" stroked="f"/>
        </w:pict>
      </w:r>
    </w:p>
    <w:p w14:paraId="3746FE0A" w14:textId="77777777" w:rsidR="004B3AE0" w:rsidRPr="004B3AE0" w:rsidRDefault="004B3AE0" w:rsidP="004B3AE0">
      <w:pPr>
        <w:rPr>
          <w:b/>
          <w:bCs/>
        </w:rPr>
      </w:pPr>
      <w:r w:rsidRPr="004B3AE0">
        <w:rPr>
          <w:b/>
          <w:bCs/>
        </w:rPr>
        <w:t>4. Application of Theory to Practice</w:t>
      </w:r>
    </w:p>
    <w:p w14:paraId="398C8BEB" w14:textId="77777777" w:rsidR="004B3AE0" w:rsidRPr="004B3AE0" w:rsidRDefault="004B3AE0" w:rsidP="004B3AE0">
      <w:pPr>
        <w:rPr>
          <w:b/>
          <w:bCs/>
        </w:rPr>
      </w:pPr>
      <w:r w:rsidRPr="004B3AE0">
        <w:rPr>
          <w:b/>
          <w:bCs/>
        </w:rPr>
        <w:t>4.1 Social Learning Theory</w:t>
      </w:r>
    </w:p>
    <w:p w14:paraId="5FE07862" w14:textId="1EE523B2" w:rsidR="004B3AE0" w:rsidRPr="004B3AE0" w:rsidRDefault="004B3AE0" w:rsidP="004B3AE0">
      <w:r w:rsidRPr="004B3AE0">
        <w:t>Social Learning Theory was particularly evident during group sessions. Bandura (1977) highlights that individuals learn through observation and modelling. During the songwriting project, young people observed peers’ confidence, creativity and behaviour, influencing their own participation. Youth workers reinforced positive behaviours such as collaboration, which supported a constructive group environment</w:t>
      </w:r>
      <w:r w:rsidR="00FB7E82">
        <w:t xml:space="preserve"> (CLDSCS, 2019, P.23) (CLDYW06).</w:t>
      </w:r>
    </w:p>
    <w:p w14:paraId="4177226A" w14:textId="77777777" w:rsidR="004B3AE0" w:rsidRPr="004B3AE0" w:rsidRDefault="00000000" w:rsidP="004B3AE0">
      <w:r>
        <w:pict w14:anchorId="0FA5F08B">
          <v:rect id="_x0000_i1028" style="width:0;height:1.5pt" o:hralign="center" o:hrstd="t" o:hr="t" fillcolor="#a0a0a0" stroked="f"/>
        </w:pict>
      </w:r>
    </w:p>
    <w:p w14:paraId="12701C0B" w14:textId="77777777" w:rsidR="004B3AE0" w:rsidRPr="004B3AE0" w:rsidRDefault="004B3AE0" w:rsidP="004B3AE0">
      <w:pPr>
        <w:rPr>
          <w:b/>
          <w:bCs/>
        </w:rPr>
      </w:pPr>
      <w:r w:rsidRPr="004B3AE0">
        <w:rPr>
          <w:b/>
          <w:bCs/>
        </w:rPr>
        <w:t>4.2 Maslow’s Hierarchy of Needs</w:t>
      </w:r>
    </w:p>
    <w:p w14:paraId="71F09C2C" w14:textId="55D1CABC" w:rsidR="004B3AE0" w:rsidRPr="004B3AE0" w:rsidRDefault="004B3AE0" w:rsidP="004B3AE0">
      <w:r w:rsidRPr="004B3AE0">
        <w:t>Maslow’s Hierarchy of Needs was reflected in the service’s emphasis on emotional safety and belonging (Maslow, 1943). By ensuring young people felt accepted and secure within the drop-in environment, the service supported engagement in creative activities and discussions. This demonstrates how meeting foundational needs enables young people to work towards self-expression and confidence</w:t>
      </w:r>
      <w:r w:rsidR="00FB7E82">
        <w:t xml:space="preserve"> (CLDSCS, 2019, P.19) (CLDYW05).</w:t>
      </w:r>
    </w:p>
    <w:p w14:paraId="36A43D72" w14:textId="77777777" w:rsidR="004B3AE0" w:rsidRPr="004B3AE0" w:rsidRDefault="00000000" w:rsidP="004B3AE0">
      <w:r>
        <w:pict w14:anchorId="6C09CF1F">
          <v:rect id="_x0000_i1029" style="width:0;height:1.5pt" o:hralign="center" o:hrstd="t" o:hr="t" fillcolor="#a0a0a0" stroked="f"/>
        </w:pict>
      </w:r>
    </w:p>
    <w:p w14:paraId="55D602D3" w14:textId="77777777" w:rsidR="004B3AE0" w:rsidRPr="004B3AE0" w:rsidRDefault="004B3AE0" w:rsidP="004B3AE0">
      <w:pPr>
        <w:rPr>
          <w:b/>
          <w:bCs/>
        </w:rPr>
      </w:pPr>
      <w:r w:rsidRPr="004B3AE0">
        <w:rPr>
          <w:b/>
          <w:bCs/>
        </w:rPr>
        <w:t>4.3 Five Ways of Wellbeing</w:t>
      </w:r>
    </w:p>
    <w:p w14:paraId="0E372C47" w14:textId="77777777" w:rsidR="004B3AE0" w:rsidRPr="004B3AE0" w:rsidRDefault="004B3AE0" w:rsidP="004B3AE0">
      <w:r w:rsidRPr="004B3AE0">
        <w:t>The Five Ways of Wellbeing framework was embedded throughout the placement (World Health Organization, 2004). Sessions encouraged young people to connect with peers, keep learning through creative projects, and take notice of emotions during healthy relationships discussions. This approach reflects a holistic understanding of wellbeing and supports positive mental health (Department of Health, 2010).</w:t>
      </w:r>
    </w:p>
    <w:p w14:paraId="75AA482D" w14:textId="77777777" w:rsidR="004B3AE0" w:rsidRPr="004B3AE0" w:rsidRDefault="00000000" w:rsidP="004B3AE0">
      <w:r>
        <w:pict w14:anchorId="4F5BD52B">
          <v:rect id="_x0000_i1030" style="width:0;height:1.5pt" o:hralign="center" o:hrstd="t" o:hr="t" fillcolor="#a0a0a0" stroked="f"/>
        </w:pict>
      </w:r>
    </w:p>
    <w:p w14:paraId="209FE2E1" w14:textId="77777777" w:rsidR="004B3AE0" w:rsidRPr="004B3AE0" w:rsidRDefault="004B3AE0" w:rsidP="004B3AE0">
      <w:pPr>
        <w:rPr>
          <w:b/>
          <w:bCs/>
        </w:rPr>
      </w:pPr>
      <w:r w:rsidRPr="004B3AE0">
        <w:rPr>
          <w:b/>
          <w:bCs/>
        </w:rPr>
        <w:t>4.4 Ecological Systems Theory</w:t>
      </w:r>
    </w:p>
    <w:p w14:paraId="30CFA762" w14:textId="77777777" w:rsidR="004B3AE0" w:rsidRPr="004B3AE0" w:rsidRDefault="004B3AE0" w:rsidP="004B3AE0">
      <w:r w:rsidRPr="004B3AE0">
        <w:lastRenderedPageBreak/>
        <w:t>Bronfenbrenner’s Ecological Systems Theory helped contextualise young people’s experiences by recognising the influence of wider systems such as family, education and community (Bronfenbrenner, 1979). Observing practice within a local authority setting highlighted how policy, structure and statutory responsibility shape youth work delivery, offering a contrast to charitable provision.</w:t>
      </w:r>
    </w:p>
    <w:p w14:paraId="295525AE" w14:textId="77777777" w:rsidR="004B3AE0" w:rsidRPr="004B3AE0" w:rsidRDefault="00000000" w:rsidP="004B3AE0">
      <w:r>
        <w:pict w14:anchorId="110DA4AC">
          <v:rect id="_x0000_i1031" style="width:0;height:1.5pt" o:hralign="center" o:hrstd="t" o:hr="t" fillcolor="#a0a0a0" stroked="f"/>
        </w:pict>
      </w:r>
    </w:p>
    <w:p w14:paraId="69B14B40" w14:textId="77777777" w:rsidR="0055476E" w:rsidRDefault="0055476E" w:rsidP="004B3AE0">
      <w:pPr>
        <w:rPr>
          <w:b/>
          <w:bCs/>
        </w:rPr>
      </w:pPr>
    </w:p>
    <w:p w14:paraId="42935E33" w14:textId="37419300" w:rsidR="004B3AE0" w:rsidRPr="004B3AE0" w:rsidRDefault="004B3AE0" w:rsidP="004B3AE0">
      <w:pPr>
        <w:rPr>
          <w:b/>
          <w:bCs/>
        </w:rPr>
      </w:pPr>
      <w:r w:rsidRPr="004B3AE0">
        <w:rPr>
          <w:b/>
          <w:bCs/>
        </w:rPr>
        <w:t>4.5 Group Work Theory</w:t>
      </w:r>
    </w:p>
    <w:p w14:paraId="2A91AA23" w14:textId="77777777" w:rsidR="004B3AE0" w:rsidRPr="004B3AE0" w:rsidRDefault="004B3AE0" w:rsidP="004B3AE0">
      <w:r w:rsidRPr="004B3AE0">
        <w:t>Group Work Theory was particularly relevant during the songwriting project. Tuckman’s (1965) stages of group development helped explain shifts in group dynamics, including leadership and power imbalances. Understanding these stages supported reflective analysis of how group behaviour can impact participation and inclusivity.</w:t>
      </w:r>
    </w:p>
    <w:p w14:paraId="3138D1DD" w14:textId="77777777" w:rsidR="004B3AE0" w:rsidRPr="004B3AE0" w:rsidRDefault="00000000" w:rsidP="004B3AE0">
      <w:r>
        <w:pict w14:anchorId="537309FD">
          <v:rect id="_x0000_i1032" style="width:0;height:1.5pt" o:hralign="center" o:hrstd="t" o:hr="t" fillcolor="#a0a0a0" stroked="f"/>
        </w:pict>
      </w:r>
    </w:p>
    <w:p w14:paraId="6BD7DA42" w14:textId="77777777" w:rsidR="004B3AE0" w:rsidRPr="004B3AE0" w:rsidRDefault="004B3AE0" w:rsidP="004B3AE0">
      <w:pPr>
        <w:rPr>
          <w:b/>
          <w:bCs/>
        </w:rPr>
      </w:pPr>
      <w:r w:rsidRPr="004B3AE0">
        <w:rPr>
          <w:b/>
          <w:bCs/>
        </w:rPr>
        <w:t>5. Challenges and Ethical Practice</w:t>
      </w:r>
    </w:p>
    <w:p w14:paraId="52DD010C" w14:textId="77777777" w:rsidR="004B3AE0" w:rsidRPr="004B3AE0" w:rsidRDefault="004B3AE0" w:rsidP="004B3AE0">
      <w:r w:rsidRPr="004B3AE0">
        <w:t>A key challenge occurred during the group songwriting project when one young person began to dominate the session, limiting others’ opportunities to contribute. This reduced inclusivity and affected group dynamics. Such challenges are common in group work and can negatively impact participation if not addressed appropriately (Tuckman, 1965).</w:t>
      </w:r>
    </w:p>
    <w:p w14:paraId="037E18EE" w14:textId="77777777" w:rsidR="004B3AE0" w:rsidRPr="004B3AE0" w:rsidRDefault="004B3AE0" w:rsidP="004B3AE0">
      <w:r w:rsidRPr="004B3AE0">
        <w:t>The situation was managed by acknowledging the young person’s strengths while redirecting their leadership into 1-to-1 songwriting sessions, allowing the group space to remain collaborative. This approach reflected ethical youth work practice by balancing empowerment with equality and inclusion (National Youth Agency, 2012).</w:t>
      </w:r>
    </w:p>
    <w:p w14:paraId="178F27B3" w14:textId="77777777" w:rsidR="004B3AE0" w:rsidRPr="004B3AE0" w:rsidRDefault="00000000" w:rsidP="004B3AE0">
      <w:r>
        <w:pict w14:anchorId="7F530EE4">
          <v:rect id="_x0000_i1033" style="width:0;height:1.5pt" o:hralign="center" o:hrstd="t" o:hr="t" fillcolor="#a0a0a0" stroked="f"/>
        </w:pict>
      </w:r>
    </w:p>
    <w:p w14:paraId="69F2AB35" w14:textId="77777777" w:rsidR="004B3AE0" w:rsidRPr="004B3AE0" w:rsidRDefault="004B3AE0" w:rsidP="004B3AE0">
      <w:pPr>
        <w:rPr>
          <w:b/>
          <w:bCs/>
        </w:rPr>
      </w:pPr>
      <w:r w:rsidRPr="004B3AE0">
        <w:rPr>
          <w:b/>
          <w:bCs/>
        </w:rPr>
        <w:t>6. Skills Development and Professional Learning</w:t>
      </w:r>
    </w:p>
    <w:p w14:paraId="1D9EFE67" w14:textId="29164638" w:rsidR="004B3AE0" w:rsidRPr="004B3AE0" w:rsidRDefault="004B3AE0" w:rsidP="004B3AE0">
      <w:r w:rsidRPr="004B3AE0">
        <w:t>The placement supported the development of key youth work skills, including communication, active listening, relationship-building and reflective practice. A significant personal achievement was stepping outside my comfort zone by undertaking placement in an unfamiliar setting. This increased my adaptability and understanding of statutory youth work structures</w:t>
      </w:r>
      <w:r w:rsidR="00FB7E82">
        <w:t xml:space="preserve"> (CLDSCS, 2019, P.49) (CLDYW12).</w:t>
      </w:r>
    </w:p>
    <w:p w14:paraId="77926957" w14:textId="77777777" w:rsidR="004B3AE0" w:rsidRPr="004B3AE0" w:rsidRDefault="00000000" w:rsidP="004B3AE0">
      <w:r>
        <w:pict w14:anchorId="306F34D2">
          <v:rect id="_x0000_i1034" style="width:0;height:1.5pt" o:hralign="center" o:hrstd="t" o:hr="t" fillcolor="#a0a0a0" stroked="f"/>
        </w:pict>
      </w:r>
    </w:p>
    <w:p w14:paraId="46E02A16" w14:textId="77777777" w:rsidR="004B3AE0" w:rsidRPr="004B3AE0" w:rsidRDefault="004B3AE0" w:rsidP="004B3AE0">
      <w:pPr>
        <w:rPr>
          <w:b/>
          <w:bCs/>
        </w:rPr>
      </w:pPr>
      <w:r w:rsidRPr="004B3AE0">
        <w:rPr>
          <w:b/>
          <w:bCs/>
        </w:rPr>
        <w:t>7. Critical Reflection</w:t>
      </w:r>
    </w:p>
    <w:p w14:paraId="20BB7505" w14:textId="641B9FF8" w:rsidR="004B3AE0" w:rsidRPr="004B3AE0" w:rsidRDefault="004B3AE0" w:rsidP="004B3AE0">
      <w:r w:rsidRPr="004B3AE0">
        <w:t xml:space="preserve">Through reflection, I recognised that when in placement I felt less confident in challenging others or situations. Using Gibbs’ Reflective Cycle (Gibbs, 1988), I identified </w:t>
      </w:r>
      <w:r w:rsidRPr="004B3AE0">
        <w:lastRenderedPageBreak/>
        <w:t xml:space="preserve">that this lack of confidence stemmed from being in a learning role within an unfamiliar environment. </w:t>
      </w:r>
      <w:r w:rsidR="00DB0870">
        <w:t xml:space="preserve">This situation evolved due to being in a placement with an already long-established team. This made me feel like an outsider even though they were welcoming. </w:t>
      </w:r>
      <w:r w:rsidRPr="004B3AE0">
        <w:t>While observation was a strength, assertive communication required further development.</w:t>
      </w:r>
      <w:r w:rsidR="0055476E">
        <w:t xml:space="preserve"> </w:t>
      </w:r>
    </w:p>
    <w:p w14:paraId="5285114A" w14:textId="77777777" w:rsidR="004B3AE0" w:rsidRPr="004B3AE0" w:rsidRDefault="004B3AE0" w:rsidP="004B3AE0">
      <w:r w:rsidRPr="004B3AE0">
        <w:t>This insight has informed an action plan to build confidence through experience, supervision and reflective practice, supporting my professional development and future employability.</w:t>
      </w:r>
    </w:p>
    <w:p w14:paraId="55F520DE" w14:textId="77777777" w:rsidR="004B3AE0" w:rsidRPr="004B3AE0" w:rsidRDefault="00000000" w:rsidP="004B3AE0">
      <w:r>
        <w:pict w14:anchorId="354A16A9">
          <v:rect id="_x0000_i1035" style="width:0;height:1.5pt" o:hralign="center" o:hrstd="t" o:hr="t" fillcolor="#a0a0a0" stroked="f"/>
        </w:pict>
      </w:r>
    </w:p>
    <w:p w14:paraId="37FACE73" w14:textId="77777777" w:rsidR="004B3AE0" w:rsidRPr="004B3AE0" w:rsidRDefault="004B3AE0" w:rsidP="004B3AE0">
      <w:pPr>
        <w:rPr>
          <w:b/>
          <w:bCs/>
        </w:rPr>
      </w:pPr>
      <w:r w:rsidRPr="004B3AE0">
        <w:rPr>
          <w:b/>
          <w:bCs/>
        </w:rPr>
        <w:t>8. Conclusion</w:t>
      </w:r>
    </w:p>
    <w:p w14:paraId="2BCED78A" w14:textId="77777777" w:rsidR="004B3AE0" w:rsidRPr="004B3AE0" w:rsidRDefault="004B3AE0" w:rsidP="004B3AE0">
      <w:r w:rsidRPr="004B3AE0">
        <w:t>The placement at Dr Mz’s drop-in service provided valuable insight into statutory youth work practice. It strengthened my ability to apply theory to practice, highlighted the importance of safe and inclusive spaces, and supported my professional and personal development. The experience also encouraged critical reflection on confidence and professional identity, contributing positively to my development as a youth work practitioner.</w:t>
      </w:r>
    </w:p>
    <w:p w14:paraId="1222F5D3" w14:textId="22C75DF6" w:rsidR="00FC49EF" w:rsidRPr="00533DA5" w:rsidRDefault="00FC49EF" w:rsidP="00FC49EF">
      <w:pPr>
        <w:spacing w:line="360" w:lineRule="auto"/>
        <w:rPr>
          <w:rFonts w:ascii="Arial" w:hAnsi="Arial" w:cs="Arial"/>
          <w:b/>
          <w:bCs/>
        </w:rPr>
      </w:pPr>
      <w:r>
        <w:br/>
      </w:r>
      <w:r>
        <w:br/>
      </w:r>
      <w:r>
        <w:br/>
      </w:r>
      <w:r>
        <w:br/>
      </w:r>
      <w:r>
        <w:br/>
      </w:r>
      <w:r>
        <w:br/>
      </w:r>
      <w:r>
        <w:br/>
      </w:r>
      <w:r>
        <w:br/>
      </w:r>
      <w:r>
        <w:br/>
      </w:r>
      <w:r>
        <w:br/>
      </w:r>
      <w:r>
        <w:br/>
      </w:r>
      <w:r>
        <w:br/>
      </w:r>
      <w:r>
        <w:br/>
      </w:r>
      <w:r>
        <w:br/>
      </w:r>
      <w:r>
        <w:br/>
      </w:r>
      <w:r>
        <w:br/>
      </w:r>
      <w:r>
        <w:lastRenderedPageBreak/>
        <w:br/>
      </w:r>
      <w:r w:rsidRPr="00533DA5">
        <w:rPr>
          <w:rFonts w:ascii="Arial" w:hAnsi="Arial" w:cs="Arial"/>
          <w:b/>
          <w:bCs/>
        </w:rPr>
        <w:t>References</w:t>
      </w:r>
    </w:p>
    <w:p w14:paraId="623D5F90" w14:textId="77777777" w:rsidR="00FC49EF" w:rsidRPr="00533DA5" w:rsidRDefault="00FC49EF" w:rsidP="00FC49EF">
      <w:pPr>
        <w:spacing w:line="360" w:lineRule="auto"/>
        <w:rPr>
          <w:rFonts w:ascii="Arial" w:hAnsi="Arial" w:cs="Arial"/>
        </w:rPr>
      </w:pPr>
      <w:r w:rsidRPr="00533DA5">
        <w:rPr>
          <w:rFonts w:ascii="Arial" w:hAnsi="Arial" w:cs="Arial"/>
        </w:rPr>
        <w:t xml:space="preserve">Bandura, A. (1977) </w:t>
      </w:r>
      <w:r w:rsidRPr="00533DA5">
        <w:rPr>
          <w:rFonts w:ascii="Arial" w:hAnsi="Arial" w:cs="Arial"/>
          <w:i/>
          <w:iCs/>
        </w:rPr>
        <w:t>Social learning theory</w:t>
      </w:r>
      <w:r w:rsidRPr="00533DA5">
        <w:rPr>
          <w:rFonts w:ascii="Arial" w:hAnsi="Arial" w:cs="Arial"/>
        </w:rPr>
        <w:t>. Englewood Cliffs, NJ: Prentice Hall.</w:t>
      </w:r>
    </w:p>
    <w:p w14:paraId="67881531" w14:textId="77777777" w:rsidR="00FC49EF" w:rsidRPr="00533DA5" w:rsidRDefault="00FC49EF" w:rsidP="00FC49EF">
      <w:pPr>
        <w:spacing w:line="360" w:lineRule="auto"/>
        <w:rPr>
          <w:rFonts w:ascii="Arial" w:hAnsi="Arial" w:cs="Arial"/>
        </w:rPr>
      </w:pPr>
      <w:r w:rsidRPr="00533DA5">
        <w:rPr>
          <w:rFonts w:ascii="Arial" w:hAnsi="Arial" w:cs="Arial"/>
        </w:rPr>
        <w:t xml:space="preserve">Bronfenbrenner, U. (1979) </w:t>
      </w:r>
      <w:r w:rsidRPr="00533DA5">
        <w:rPr>
          <w:rFonts w:ascii="Arial" w:hAnsi="Arial" w:cs="Arial"/>
          <w:i/>
          <w:iCs/>
        </w:rPr>
        <w:t>The ecology of human development: Experiments by nature and design</w:t>
      </w:r>
      <w:r w:rsidRPr="00533DA5">
        <w:rPr>
          <w:rFonts w:ascii="Arial" w:hAnsi="Arial" w:cs="Arial"/>
        </w:rPr>
        <w:t>. Cambridge, MA: Harvard University Press.</w:t>
      </w:r>
    </w:p>
    <w:p w14:paraId="6AA1D8A2" w14:textId="77777777" w:rsidR="00FC49EF" w:rsidRPr="00533DA5" w:rsidRDefault="00FC49EF" w:rsidP="00FC49EF">
      <w:pPr>
        <w:spacing w:line="360" w:lineRule="auto"/>
        <w:rPr>
          <w:rFonts w:ascii="Arial" w:hAnsi="Arial" w:cs="Arial"/>
        </w:rPr>
      </w:pPr>
      <w:r w:rsidRPr="00533DA5">
        <w:rPr>
          <w:rFonts w:ascii="Arial" w:hAnsi="Arial" w:cs="Arial"/>
        </w:rPr>
        <w:t xml:space="preserve">Department of Health (2010) </w:t>
      </w:r>
      <w:r w:rsidRPr="00533DA5">
        <w:rPr>
          <w:rFonts w:ascii="Arial" w:hAnsi="Arial" w:cs="Arial"/>
          <w:i/>
          <w:iCs/>
        </w:rPr>
        <w:t>Healthy lives, healthy people: Our strategy for public health in England</w:t>
      </w:r>
      <w:r w:rsidRPr="00533DA5">
        <w:rPr>
          <w:rFonts w:ascii="Arial" w:hAnsi="Arial" w:cs="Arial"/>
        </w:rPr>
        <w:t>. London: Department of Health.</w:t>
      </w:r>
      <w:r w:rsidRPr="00533DA5">
        <w:rPr>
          <w:rFonts w:ascii="Arial" w:hAnsi="Arial" w:cs="Arial"/>
        </w:rPr>
        <w:br/>
      </w:r>
      <w:r w:rsidRPr="00533DA5">
        <w:rPr>
          <w:rFonts w:ascii="Arial" w:hAnsi="Arial" w:cs="Arial"/>
        </w:rPr>
        <w:br/>
        <w:t xml:space="preserve">CLD Standards Council Scotland. (2019) </w:t>
      </w:r>
      <w:r w:rsidRPr="00533DA5">
        <w:rPr>
          <w:rFonts w:ascii="Arial" w:hAnsi="Arial" w:cs="Arial"/>
          <w:i/>
          <w:iCs/>
        </w:rPr>
        <w:t>National Occupational Standards</w:t>
      </w:r>
      <w:r w:rsidRPr="00533DA5">
        <w:rPr>
          <w:rFonts w:ascii="Arial" w:hAnsi="Arial" w:cs="Arial"/>
        </w:rPr>
        <w:t xml:space="preserve">. Available at: </w:t>
      </w:r>
      <w:hyperlink r:id="rId7" w:history="1">
        <w:r w:rsidRPr="00533DA5">
          <w:rPr>
            <w:rStyle w:val="Hyperlink"/>
            <w:rFonts w:ascii="Arial" w:hAnsi="Arial" w:cs="Arial"/>
          </w:rPr>
          <w:t>CombinedYouthWorkNOS.pdf</w:t>
        </w:r>
      </w:hyperlink>
      <w:r w:rsidRPr="00533DA5">
        <w:rPr>
          <w:rFonts w:ascii="Arial" w:hAnsi="Arial" w:cs="Arial"/>
        </w:rPr>
        <w:t xml:space="preserve"> (Accessed on 12 January 2026).</w:t>
      </w:r>
    </w:p>
    <w:p w14:paraId="5E00A4E7" w14:textId="77777777" w:rsidR="00FC49EF" w:rsidRPr="00533DA5" w:rsidRDefault="00FC49EF" w:rsidP="00FC49EF">
      <w:pPr>
        <w:spacing w:line="360" w:lineRule="auto"/>
        <w:rPr>
          <w:rFonts w:ascii="Arial" w:hAnsi="Arial" w:cs="Arial"/>
        </w:rPr>
      </w:pPr>
      <w:r w:rsidRPr="00533DA5">
        <w:rPr>
          <w:rFonts w:ascii="Arial" w:hAnsi="Arial" w:cs="Arial"/>
        </w:rPr>
        <w:t xml:space="preserve">Gibbs, G. (1988) </w:t>
      </w:r>
      <w:r w:rsidRPr="00533DA5">
        <w:rPr>
          <w:rFonts w:ascii="Arial" w:hAnsi="Arial" w:cs="Arial"/>
          <w:i/>
          <w:iCs/>
        </w:rPr>
        <w:t>Learning by doing: A guide to teaching and learning methods</w:t>
      </w:r>
      <w:r w:rsidRPr="00533DA5">
        <w:rPr>
          <w:rFonts w:ascii="Arial" w:hAnsi="Arial" w:cs="Arial"/>
        </w:rPr>
        <w:t>. Oxford: Oxford Polytechnic.</w:t>
      </w:r>
    </w:p>
    <w:p w14:paraId="59C31AE4" w14:textId="77777777" w:rsidR="00FC49EF" w:rsidRPr="00533DA5" w:rsidRDefault="00FC49EF" w:rsidP="00FC49EF">
      <w:pPr>
        <w:spacing w:line="360" w:lineRule="auto"/>
        <w:rPr>
          <w:rFonts w:ascii="Arial" w:hAnsi="Arial" w:cs="Arial"/>
        </w:rPr>
      </w:pPr>
      <w:r w:rsidRPr="00533DA5">
        <w:rPr>
          <w:rFonts w:ascii="Arial" w:hAnsi="Arial" w:cs="Arial"/>
        </w:rPr>
        <w:t xml:space="preserve">Maslow, A.H. (1943) ‘A theory of human motivation’, </w:t>
      </w:r>
      <w:r w:rsidRPr="00533DA5">
        <w:rPr>
          <w:rFonts w:ascii="Arial" w:hAnsi="Arial" w:cs="Arial"/>
          <w:i/>
          <w:iCs/>
        </w:rPr>
        <w:t>Psychological Review</w:t>
      </w:r>
      <w:r w:rsidRPr="00533DA5">
        <w:rPr>
          <w:rFonts w:ascii="Arial" w:hAnsi="Arial" w:cs="Arial"/>
        </w:rPr>
        <w:t>, 50(4), pp. 370–396. (Accessed 12 January 2026).</w:t>
      </w:r>
    </w:p>
    <w:p w14:paraId="2CEB8907" w14:textId="77777777" w:rsidR="00FC49EF" w:rsidRPr="00533DA5" w:rsidRDefault="00FC49EF" w:rsidP="00FC49EF">
      <w:pPr>
        <w:spacing w:line="360" w:lineRule="auto"/>
        <w:rPr>
          <w:rFonts w:ascii="Arial" w:hAnsi="Arial" w:cs="Arial"/>
        </w:rPr>
      </w:pPr>
      <w:r w:rsidRPr="00533DA5">
        <w:rPr>
          <w:rFonts w:ascii="Arial" w:hAnsi="Arial" w:cs="Arial"/>
        </w:rPr>
        <w:t xml:space="preserve">National Youth Agency (2012) </w:t>
      </w:r>
      <w:r w:rsidRPr="00533DA5">
        <w:rPr>
          <w:rFonts w:ascii="Arial" w:hAnsi="Arial" w:cs="Arial"/>
          <w:i/>
          <w:iCs/>
        </w:rPr>
        <w:t>National occupational standards for youth work</w:t>
      </w:r>
      <w:r w:rsidRPr="00533DA5">
        <w:rPr>
          <w:rFonts w:ascii="Arial" w:hAnsi="Arial" w:cs="Arial"/>
        </w:rPr>
        <w:t>. Leicester: National Youth Agency.</w:t>
      </w:r>
    </w:p>
    <w:p w14:paraId="62F4901B" w14:textId="77777777" w:rsidR="00FC49EF" w:rsidRPr="00533DA5" w:rsidRDefault="00FC49EF" w:rsidP="00FC49EF">
      <w:pPr>
        <w:spacing w:line="360" w:lineRule="auto"/>
        <w:rPr>
          <w:rFonts w:ascii="Arial" w:hAnsi="Arial" w:cs="Arial"/>
        </w:rPr>
      </w:pPr>
      <w:r w:rsidRPr="00533DA5">
        <w:rPr>
          <w:rFonts w:ascii="Arial" w:hAnsi="Arial" w:cs="Arial"/>
        </w:rPr>
        <w:t xml:space="preserve">Ord, J. (2012) </w:t>
      </w:r>
      <w:r w:rsidRPr="00533DA5">
        <w:rPr>
          <w:rFonts w:ascii="Arial" w:hAnsi="Arial" w:cs="Arial"/>
          <w:i/>
          <w:iCs/>
        </w:rPr>
        <w:t>Youth work process, product and practice: Creating an authentic curriculum in work with young people</w:t>
      </w:r>
      <w:r w:rsidRPr="00533DA5">
        <w:rPr>
          <w:rFonts w:ascii="Arial" w:hAnsi="Arial" w:cs="Arial"/>
        </w:rPr>
        <w:t>. Abingdon: Routledge.</w:t>
      </w:r>
    </w:p>
    <w:p w14:paraId="5B494F59" w14:textId="77777777" w:rsidR="00FC49EF" w:rsidRPr="00533DA5" w:rsidRDefault="00FC49EF" w:rsidP="00FC49EF">
      <w:pPr>
        <w:spacing w:line="360" w:lineRule="auto"/>
        <w:rPr>
          <w:rFonts w:ascii="Arial" w:hAnsi="Arial" w:cs="Arial"/>
        </w:rPr>
      </w:pPr>
      <w:r w:rsidRPr="00533DA5">
        <w:rPr>
          <w:rFonts w:ascii="Arial" w:hAnsi="Arial" w:cs="Arial"/>
        </w:rPr>
        <w:t xml:space="preserve">Tuckman, B.W. (1965) ‘Developmental sequence in small groups’, </w:t>
      </w:r>
      <w:r w:rsidRPr="00533DA5">
        <w:rPr>
          <w:rFonts w:ascii="Arial" w:hAnsi="Arial" w:cs="Arial"/>
          <w:i/>
          <w:iCs/>
        </w:rPr>
        <w:t>Psychological Bulletin</w:t>
      </w:r>
      <w:r w:rsidRPr="00533DA5">
        <w:rPr>
          <w:rFonts w:ascii="Arial" w:hAnsi="Arial" w:cs="Arial"/>
        </w:rPr>
        <w:t>, 63(6), pp. 384–399. (Accessed 20 January 2026).</w:t>
      </w:r>
    </w:p>
    <w:p w14:paraId="2675E69F" w14:textId="77777777" w:rsidR="00FC49EF" w:rsidRPr="00533DA5" w:rsidRDefault="00FC49EF" w:rsidP="00FC49EF">
      <w:pPr>
        <w:spacing w:line="360" w:lineRule="auto"/>
        <w:rPr>
          <w:rFonts w:ascii="Arial" w:hAnsi="Arial" w:cs="Arial"/>
        </w:rPr>
      </w:pPr>
      <w:r w:rsidRPr="00533DA5">
        <w:rPr>
          <w:rFonts w:ascii="Arial" w:hAnsi="Arial" w:cs="Arial"/>
        </w:rPr>
        <w:t xml:space="preserve">Welsh Government (2019) </w:t>
      </w:r>
      <w:r w:rsidRPr="00533DA5">
        <w:rPr>
          <w:rFonts w:ascii="Arial" w:hAnsi="Arial" w:cs="Arial"/>
          <w:i/>
          <w:iCs/>
        </w:rPr>
        <w:t>Youth work strategy for Wales 2019</w:t>
      </w:r>
      <w:r w:rsidRPr="00533DA5">
        <w:rPr>
          <w:rFonts w:ascii="Arial" w:hAnsi="Arial" w:cs="Arial"/>
        </w:rPr>
        <w:t>. Cardiff: Welsh Government.</w:t>
      </w:r>
    </w:p>
    <w:p w14:paraId="141D1AB6" w14:textId="77777777" w:rsidR="00FC49EF" w:rsidRPr="00533DA5" w:rsidRDefault="00FC49EF" w:rsidP="00FC49EF">
      <w:pPr>
        <w:spacing w:line="360" w:lineRule="auto"/>
        <w:rPr>
          <w:rFonts w:ascii="Arial" w:hAnsi="Arial" w:cs="Arial"/>
        </w:rPr>
      </w:pPr>
      <w:r w:rsidRPr="00533DA5">
        <w:rPr>
          <w:rFonts w:ascii="Arial" w:hAnsi="Arial" w:cs="Arial"/>
        </w:rPr>
        <w:t xml:space="preserve">World Health Organization (2004) </w:t>
      </w:r>
      <w:r w:rsidRPr="00533DA5">
        <w:rPr>
          <w:rFonts w:ascii="Arial" w:hAnsi="Arial" w:cs="Arial"/>
          <w:i/>
          <w:iCs/>
        </w:rPr>
        <w:t>Promoting mental health: Concepts, emerging evidence, practice</w:t>
      </w:r>
      <w:r w:rsidRPr="00533DA5">
        <w:rPr>
          <w:rFonts w:ascii="Arial" w:hAnsi="Arial" w:cs="Arial"/>
        </w:rPr>
        <w:t xml:space="preserve">. Geneva: World Health Organization. </w:t>
      </w:r>
    </w:p>
    <w:p w14:paraId="5D015261" w14:textId="7EE13B8F" w:rsidR="004B3AE0" w:rsidRPr="004B3AE0" w:rsidRDefault="00FC49EF" w:rsidP="004B3AE0">
      <w:r>
        <w:br/>
      </w:r>
      <w:r>
        <w:br/>
      </w:r>
      <w:r>
        <w:br/>
      </w:r>
      <w:r>
        <w:br/>
      </w:r>
      <w:r>
        <w:br/>
      </w:r>
      <w:r>
        <w:br/>
      </w:r>
      <w:r w:rsidRPr="00FC49EF">
        <w:rPr>
          <w:b/>
          <w:bCs/>
        </w:rPr>
        <w:lastRenderedPageBreak/>
        <w:t>A</w:t>
      </w:r>
      <w:r>
        <w:rPr>
          <w:b/>
          <w:bCs/>
        </w:rPr>
        <w:t>ppendix</w:t>
      </w:r>
      <w:r>
        <w:rPr>
          <w:b/>
          <w:bCs/>
        </w:rPr>
        <w:br/>
      </w:r>
      <w:r>
        <w:br/>
      </w:r>
      <w:r w:rsidRPr="00FC49EF">
        <w:rPr>
          <w:b/>
          <w:bCs/>
        </w:rPr>
        <w:t>AI Declaration</w:t>
      </w:r>
      <w:r>
        <w:br/>
        <w:t>I have not used AI within my work.</w:t>
      </w:r>
      <w:r>
        <w:br/>
      </w:r>
      <w:r>
        <w:br/>
      </w:r>
    </w:p>
    <w:sectPr w:rsidR="004B3AE0" w:rsidRPr="004B3AE0">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D575A7" w14:textId="77777777" w:rsidR="00985946" w:rsidRDefault="00985946" w:rsidP="00FC49EF">
      <w:pPr>
        <w:spacing w:after="0" w:line="240" w:lineRule="auto"/>
      </w:pPr>
      <w:r>
        <w:separator/>
      </w:r>
    </w:p>
  </w:endnote>
  <w:endnote w:type="continuationSeparator" w:id="0">
    <w:p w14:paraId="2CE30C7D" w14:textId="77777777" w:rsidR="00985946" w:rsidRDefault="00985946" w:rsidP="00FC49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9281907"/>
      <w:docPartObj>
        <w:docPartGallery w:val="Page Numbers (Bottom of Page)"/>
        <w:docPartUnique/>
      </w:docPartObj>
    </w:sdtPr>
    <w:sdtContent>
      <w:p w14:paraId="1B5AB2AA" w14:textId="63E82070" w:rsidR="00FC49EF" w:rsidRDefault="00FC49EF">
        <w:pPr>
          <w:pStyle w:val="Footer"/>
          <w:jc w:val="center"/>
        </w:pPr>
        <w:r>
          <w:fldChar w:fldCharType="begin"/>
        </w:r>
        <w:r>
          <w:instrText>PAGE   \* MERGEFORMAT</w:instrText>
        </w:r>
        <w:r>
          <w:fldChar w:fldCharType="separate"/>
        </w:r>
        <w:r>
          <w:t>2</w:t>
        </w:r>
        <w:r>
          <w:fldChar w:fldCharType="end"/>
        </w:r>
      </w:p>
    </w:sdtContent>
  </w:sdt>
  <w:p w14:paraId="3254012F" w14:textId="77777777" w:rsidR="00FC49EF" w:rsidRDefault="00FC49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BB3A5F" w14:textId="77777777" w:rsidR="00985946" w:rsidRDefault="00985946" w:rsidP="00FC49EF">
      <w:pPr>
        <w:spacing w:after="0" w:line="240" w:lineRule="auto"/>
      </w:pPr>
      <w:r>
        <w:separator/>
      </w:r>
    </w:p>
  </w:footnote>
  <w:footnote w:type="continuationSeparator" w:id="0">
    <w:p w14:paraId="27BB1369" w14:textId="77777777" w:rsidR="00985946" w:rsidRDefault="00985946" w:rsidP="00FC49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AF1927" w14:textId="43B374A0" w:rsidR="00FC49EF" w:rsidRDefault="00FC49EF">
    <w:pPr>
      <w:pStyle w:val="Header"/>
    </w:pPr>
    <w:sdt>
      <w:sdtPr>
        <w:rPr>
          <w:rFonts w:asciiTheme="majorHAnsi" w:eastAsiaTheme="majorEastAsia" w:hAnsiTheme="majorHAnsi" w:cstheme="majorBidi"/>
          <w:color w:val="156082" w:themeColor="accent1"/>
        </w:rPr>
        <w:alias w:val="Title"/>
        <w:id w:val="78404852"/>
        <w:placeholder>
          <w:docPart w:val="81FF184DC7074D0E851682E798BB87B5"/>
        </w:placeholder>
        <w:dataBinding w:prefixMappings="xmlns:ns0='http://schemas.openxmlformats.org/package/2006/metadata/core-properties' xmlns:ns1='http://purl.org/dc/elements/1.1/'" w:xpath="/ns0:coreProperties[1]/ns1:title[1]" w:storeItemID="{6C3C8BC8-F283-45AE-878A-BAB7291924A1}"/>
        <w:text/>
      </w:sdtPr>
      <w:sdtContent>
        <w:r>
          <w:rPr>
            <w:rFonts w:asciiTheme="majorHAnsi" w:eastAsiaTheme="majorEastAsia" w:hAnsiTheme="majorHAnsi" w:cstheme="majorBidi"/>
            <w:color w:val="156082" w:themeColor="accent1"/>
          </w:rPr>
          <w:t>ECYW5010</w:t>
        </w:r>
      </w:sdtContent>
    </w:sdt>
    <w:r>
      <w:rPr>
        <w:rFonts w:asciiTheme="majorHAnsi" w:eastAsiaTheme="majorEastAsia" w:hAnsiTheme="majorHAnsi" w:cstheme="majorBidi"/>
        <w:color w:val="156082" w:themeColor="accent1"/>
      </w:rPr>
      <w:ptab w:relativeTo="margin" w:alignment="right" w:leader="none"/>
    </w:r>
    <w:sdt>
      <w:sdtPr>
        <w:rPr>
          <w:rFonts w:asciiTheme="majorHAnsi" w:eastAsiaTheme="majorEastAsia" w:hAnsiTheme="majorHAnsi" w:cstheme="majorBidi"/>
          <w:color w:val="156082" w:themeColor="accent1"/>
        </w:rPr>
        <w:alias w:val="Date"/>
        <w:id w:val="78404859"/>
        <w:placeholder>
          <w:docPart w:val="B2716149C8E54B028670BC4B6F00C603"/>
        </w:placeholder>
        <w:dataBinding w:prefixMappings="xmlns:ns0='http://schemas.microsoft.com/office/2006/coverPageProps'" w:xpath="/ns0:CoverPageProperties[1]/ns0:PublishDate[1]" w:storeItemID="{55AF091B-3C7A-41E3-B477-F2FDAA23CFDA}"/>
        <w:date>
          <w:dateFormat w:val="dd MMMM yyyy"/>
          <w:lid w:val="en-GB"/>
          <w:storeMappedDataAs w:val="dateTime"/>
          <w:calendar w:val="gregorian"/>
        </w:date>
      </w:sdtPr>
      <w:sdtContent>
        <w:r>
          <w:rPr>
            <w:rFonts w:asciiTheme="majorHAnsi" w:eastAsiaTheme="majorEastAsia" w:hAnsiTheme="majorHAnsi" w:cstheme="majorBidi"/>
            <w:color w:val="156082" w:themeColor="accent1"/>
          </w:rPr>
          <w:t>2406512</w:t>
        </w:r>
      </w:sdtContent>
    </w:sdt>
  </w:p>
  <w:p w14:paraId="481990B9" w14:textId="77777777" w:rsidR="00FC49EF" w:rsidRDefault="00FC49E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AE0"/>
    <w:rsid w:val="00437FF6"/>
    <w:rsid w:val="004B3AE0"/>
    <w:rsid w:val="0055476E"/>
    <w:rsid w:val="006C4A4F"/>
    <w:rsid w:val="00964D9F"/>
    <w:rsid w:val="00985946"/>
    <w:rsid w:val="00DA3087"/>
    <w:rsid w:val="00DB0870"/>
    <w:rsid w:val="00FB7E82"/>
    <w:rsid w:val="00FC49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445D66"/>
  <w15:chartTrackingRefBased/>
  <w15:docId w15:val="{D6069548-7465-4C53-9985-89A1648B6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B3AE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B3AE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B3AE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B3AE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B3AE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B3AE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B3AE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B3AE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B3AE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3AE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B3AE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B3AE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B3AE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B3AE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B3AE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3AE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3AE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3AE0"/>
    <w:rPr>
      <w:rFonts w:eastAsiaTheme="majorEastAsia" w:cstheme="majorBidi"/>
      <w:color w:val="272727" w:themeColor="text1" w:themeTint="D8"/>
    </w:rPr>
  </w:style>
  <w:style w:type="paragraph" w:styleId="Title">
    <w:name w:val="Title"/>
    <w:basedOn w:val="Normal"/>
    <w:next w:val="Normal"/>
    <w:link w:val="TitleChar"/>
    <w:uiPriority w:val="10"/>
    <w:qFormat/>
    <w:rsid w:val="004B3AE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3AE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3AE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B3AE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3AE0"/>
    <w:pPr>
      <w:spacing w:before="160"/>
      <w:jc w:val="center"/>
    </w:pPr>
    <w:rPr>
      <w:i/>
      <w:iCs/>
      <w:color w:val="404040" w:themeColor="text1" w:themeTint="BF"/>
    </w:rPr>
  </w:style>
  <w:style w:type="character" w:customStyle="1" w:styleId="QuoteChar">
    <w:name w:val="Quote Char"/>
    <w:basedOn w:val="DefaultParagraphFont"/>
    <w:link w:val="Quote"/>
    <w:uiPriority w:val="29"/>
    <w:rsid w:val="004B3AE0"/>
    <w:rPr>
      <w:i/>
      <w:iCs/>
      <w:color w:val="404040" w:themeColor="text1" w:themeTint="BF"/>
    </w:rPr>
  </w:style>
  <w:style w:type="paragraph" w:styleId="ListParagraph">
    <w:name w:val="List Paragraph"/>
    <w:basedOn w:val="Normal"/>
    <w:uiPriority w:val="34"/>
    <w:qFormat/>
    <w:rsid w:val="004B3AE0"/>
    <w:pPr>
      <w:ind w:left="720"/>
      <w:contextualSpacing/>
    </w:pPr>
  </w:style>
  <w:style w:type="character" w:styleId="IntenseEmphasis">
    <w:name w:val="Intense Emphasis"/>
    <w:basedOn w:val="DefaultParagraphFont"/>
    <w:uiPriority w:val="21"/>
    <w:qFormat/>
    <w:rsid w:val="004B3AE0"/>
    <w:rPr>
      <w:i/>
      <w:iCs/>
      <w:color w:val="0F4761" w:themeColor="accent1" w:themeShade="BF"/>
    </w:rPr>
  </w:style>
  <w:style w:type="paragraph" w:styleId="IntenseQuote">
    <w:name w:val="Intense Quote"/>
    <w:basedOn w:val="Normal"/>
    <w:next w:val="Normal"/>
    <w:link w:val="IntenseQuoteChar"/>
    <w:uiPriority w:val="30"/>
    <w:qFormat/>
    <w:rsid w:val="004B3AE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B3AE0"/>
    <w:rPr>
      <w:i/>
      <w:iCs/>
      <w:color w:val="0F4761" w:themeColor="accent1" w:themeShade="BF"/>
    </w:rPr>
  </w:style>
  <w:style w:type="character" w:styleId="IntenseReference">
    <w:name w:val="Intense Reference"/>
    <w:basedOn w:val="DefaultParagraphFont"/>
    <w:uiPriority w:val="32"/>
    <w:qFormat/>
    <w:rsid w:val="004B3AE0"/>
    <w:rPr>
      <w:b/>
      <w:bCs/>
      <w:smallCaps/>
      <w:color w:val="0F4761" w:themeColor="accent1" w:themeShade="BF"/>
      <w:spacing w:val="5"/>
    </w:rPr>
  </w:style>
  <w:style w:type="paragraph" w:styleId="Header">
    <w:name w:val="header"/>
    <w:basedOn w:val="Normal"/>
    <w:link w:val="HeaderChar"/>
    <w:uiPriority w:val="99"/>
    <w:unhideWhenUsed/>
    <w:rsid w:val="00FC49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49EF"/>
  </w:style>
  <w:style w:type="paragraph" w:styleId="Footer">
    <w:name w:val="footer"/>
    <w:basedOn w:val="Normal"/>
    <w:link w:val="FooterChar"/>
    <w:uiPriority w:val="99"/>
    <w:unhideWhenUsed/>
    <w:rsid w:val="00FC49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49EF"/>
  </w:style>
  <w:style w:type="character" w:styleId="Hyperlink">
    <w:name w:val="Hyperlink"/>
    <w:basedOn w:val="DefaultParagraphFont"/>
    <w:uiPriority w:val="99"/>
    <w:unhideWhenUsed/>
    <w:rsid w:val="00FC49EF"/>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cldstandardscouncil.org.uk/wp-content/uploads/CombinedYouthWorkNOS.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1FF184DC7074D0E851682E798BB87B5"/>
        <w:category>
          <w:name w:val="General"/>
          <w:gallery w:val="placeholder"/>
        </w:category>
        <w:types>
          <w:type w:val="bbPlcHdr"/>
        </w:types>
        <w:behaviors>
          <w:behavior w:val="content"/>
        </w:behaviors>
        <w:guid w:val="{06ACB279-BC3A-4A93-9F0B-646684BA7449}"/>
      </w:docPartPr>
      <w:docPartBody>
        <w:p w:rsidR="00000000" w:rsidRDefault="00000AB1" w:rsidP="00000AB1">
          <w:pPr>
            <w:pStyle w:val="81FF184DC7074D0E851682E798BB87B5"/>
          </w:pPr>
          <w:r>
            <w:rPr>
              <w:rFonts w:asciiTheme="majorHAnsi" w:eastAsiaTheme="majorEastAsia" w:hAnsiTheme="majorHAnsi" w:cstheme="majorBidi"/>
              <w:color w:val="156082" w:themeColor="accent1"/>
              <w:sz w:val="27"/>
              <w:szCs w:val="27"/>
            </w:rPr>
            <w:t>[Document title]</w:t>
          </w:r>
        </w:p>
      </w:docPartBody>
    </w:docPart>
    <w:docPart>
      <w:docPartPr>
        <w:name w:val="B2716149C8E54B028670BC4B6F00C603"/>
        <w:category>
          <w:name w:val="General"/>
          <w:gallery w:val="placeholder"/>
        </w:category>
        <w:types>
          <w:type w:val="bbPlcHdr"/>
        </w:types>
        <w:behaviors>
          <w:behavior w:val="content"/>
        </w:behaviors>
        <w:guid w:val="{A419CBDA-459F-4CE9-AC4E-438332B7746B}"/>
      </w:docPartPr>
      <w:docPartBody>
        <w:p w:rsidR="00000000" w:rsidRDefault="00000AB1" w:rsidP="00000AB1">
          <w:pPr>
            <w:pStyle w:val="B2716149C8E54B028670BC4B6F00C603"/>
          </w:pPr>
          <w:r>
            <w:rPr>
              <w:rFonts w:asciiTheme="majorHAnsi" w:eastAsiaTheme="majorEastAsia" w:hAnsiTheme="majorHAnsi" w:cstheme="majorBidi"/>
              <w:color w:val="156082" w:themeColor="accent1"/>
              <w:sz w:val="27"/>
              <w:szCs w:val="27"/>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0AB1"/>
    <w:rsid w:val="00000AB1"/>
    <w:rsid w:val="00437FF6"/>
    <w:rsid w:val="009243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1FF184DC7074D0E851682E798BB87B5">
    <w:name w:val="81FF184DC7074D0E851682E798BB87B5"/>
    <w:rsid w:val="00000AB1"/>
  </w:style>
  <w:style w:type="paragraph" w:customStyle="1" w:styleId="B2716149C8E54B028670BC4B6F00C603">
    <w:name w:val="B2716149C8E54B028670BC4B6F00C603"/>
    <w:rsid w:val="00000AB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2406512</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1328</Words>
  <Characters>7573</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ECYW5010</dc:title>
  <dc:subject/>
  <dc:creator>Chelsey Jones Duffy (2406512)</dc:creator>
  <cp:keywords/>
  <dc:description/>
  <cp:lastModifiedBy>Chelsey Jones Duffy (2406512)</cp:lastModifiedBy>
  <cp:revision>2</cp:revision>
  <dcterms:created xsi:type="dcterms:W3CDTF">2026-02-18T09:30:00Z</dcterms:created>
  <dcterms:modified xsi:type="dcterms:W3CDTF">2026-02-18T09:30:00Z</dcterms:modified>
</cp:coreProperties>
</file>