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A07C6" w14:textId="2CC42CE4" w:rsidR="00C9114D" w:rsidRDefault="00084D42" w:rsidP="00BC0885">
      <w:pPr>
        <w:spacing w:line="360" w:lineRule="auto"/>
        <w:jc w:val="both"/>
      </w:pPr>
      <w:r>
        <w:t xml:space="preserve">Safeguarding individuals from abuse, neglect, and exploitation while promoting their rights </w:t>
      </w:r>
      <w:r w:rsidR="00D2194E">
        <w:t>of</w:t>
      </w:r>
      <w:r>
        <w:t xml:space="preserve"> voice and control is a fundamental part of social work in Wales.  The Social Services and Well</w:t>
      </w:r>
      <w:r w:rsidR="006A3FE5">
        <w:t xml:space="preserve"> B</w:t>
      </w:r>
      <w:r>
        <w:t>eing (Wales) Act 2014 (SSWBA</w:t>
      </w:r>
      <w:proofErr w:type="gramStart"/>
      <w:r>
        <w:t>)</w:t>
      </w:r>
      <w:r w:rsidR="007D7259">
        <w:t>(</w:t>
      </w:r>
      <w:proofErr w:type="gramEnd"/>
      <w:r w:rsidR="00D2194E">
        <w:t xml:space="preserve">Welsh Government, </w:t>
      </w:r>
      <w:r w:rsidR="007D7259">
        <w:t>2014a)</w:t>
      </w:r>
      <w:r>
        <w:t>, provides the foundation for safeguarding duties placed on social workers, emphasising early intervention, collaborative working, and the promotion of an individuals</w:t>
      </w:r>
      <w:r w:rsidR="001B4732">
        <w:t>’</w:t>
      </w:r>
      <w:r>
        <w:t xml:space="preserve"> voice in the decisions which matter to them. </w:t>
      </w:r>
      <w:r w:rsidR="00A344CB">
        <w:t xml:space="preserve">The </w:t>
      </w:r>
      <w:r w:rsidR="00D73F6F">
        <w:t xml:space="preserve">Social Care Wales: Code of Professional Practice </w:t>
      </w:r>
      <w:r w:rsidR="00BC5AB8">
        <w:t>2017</w:t>
      </w:r>
      <w:r w:rsidR="0069216A">
        <w:t xml:space="preserve"> (COPP)</w:t>
      </w:r>
      <w:r w:rsidR="00BC5AB8">
        <w:t xml:space="preserve"> (</w:t>
      </w:r>
      <w:r w:rsidR="00A84D13">
        <w:t xml:space="preserve">Social Care Wales, 2017) provides </w:t>
      </w:r>
      <w:r w:rsidR="00602BBE">
        <w:t xml:space="preserve">a framework on which </w:t>
      </w:r>
      <w:r w:rsidR="00D2194E">
        <w:t>s</w:t>
      </w:r>
      <w:r w:rsidR="00602BBE">
        <w:t xml:space="preserve">ocial </w:t>
      </w:r>
      <w:r w:rsidR="00D2194E">
        <w:t>w</w:t>
      </w:r>
      <w:r w:rsidR="00602BBE">
        <w:t xml:space="preserve">orkers in Wales must practice by law.  </w:t>
      </w:r>
      <w:r w:rsidR="008E4C88">
        <w:t xml:space="preserve">Social Workers must, as part of the </w:t>
      </w:r>
      <w:r w:rsidR="0069216A">
        <w:t>COPP</w:t>
      </w:r>
      <w:r w:rsidR="001B4732">
        <w:t xml:space="preserve">, </w:t>
      </w:r>
      <w:r w:rsidR="00C70903">
        <w:t>‘promote the well-being, voice and control of individuals and carers while supporting them to stay safe</w:t>
      </w:r>
      <w:r w:rsidR="00F5391E">
        <w:t xml:space="preserve">’ (Social Care Wales, 2017).  </w:t>
      </w:r>
      <w:r>
        <w:t>Safeguarding practice in Wales, however, is not solely enacted through SSWBA</w:t>
      </w:r>
      <w:r w:rsidR="00FF029F">
        <w:t>,</w:t>
      </w:r>
      <w:r>
        <w:t xml:space="preserve"> which is a devolved piece of legislation, but comes under the umbrella of UK-wide policies</w:t>
      </w:r>
      <w:r w:rsidR="00D2194E">
        <w:t>,</w:t>
      </w:r>
      <w:r>
        <w:t xml:space="preserve"> which in turn are interconnected with broader EU and International frameworks such as </w:t>
      </w:r>
      <w:r w:rsidRPr="004B7EB2">
        <w:t xml:space="preserve">the European Convention on Human Rights (ECHR) </w:t>
      </w:r>
      <w:r w:rsidR="006B6CE4">
        <w:t>(1950)</w:t>
      </w:r>
      <w:r>
        <w:t xml:space="preserve"> </w:t>
      </w:r>
      <w:r w:rsidRPr="004B7EB2">
        <w:t xml:space="preserve">and </w:t>
      </w:r>
      <w:r>
        <w:t xml:space="preserve">other </w:t>
      </w:r>
      <w:r w:rsidRPr="004B7EB2">
        <w:t>United Nations conventions</w:t>
      </w:r>
      <w:r>
        <w:t>.  A detailed analysis of legislation relevant to this essay follows</w:t>
      </w:r>
      <w:r w:rsidR="003930A1">
        <w:t xml:space="preserve"> later.</w:t>
      </w:r>
    </w:p>
    <w:p w14:paraId="78F52B7C" w14:textId="526607E9" w:rsidR="003930A1" w:rsidRDefault="00487012" w:rsidP="00BC0885">
      <w:pPr>
        <w:spacing w:line="360" w:lineRule="auto"/>
        <w:jc w:val="both"/>
      </w:pPr>
      <w:r>
        <w:t>This essay critically reflects on a case study o</w:t>
      </w:r>
      <w:r w:rsidR="004F27E9">
        <w:t>f</w:t>
      </w:r>
      <w:r>
        <w:t xml:space="preserve"> an adult male, who will be know</w:t>
      </w:r>
      <w:r w:rsidR="006E38F4">
        <w:t>n</w:t>
      </w:r>
      <w:r>
        <w:t xml:space="preserve"> as 1</w:t>
      </w:r>
      <w:r w:rsidR="00AF1E2F">
        <w:t>, who is a serving member of the British Army</w:t>
      </w:r>
      <w:r w:rsidR="00D8094F">
        <w:t xml:space="preserve"> currently residing in </w:t>
      </w:r>
      <w:r w:rsidR="007B03B3">
        <w:t xml:space="preserve">North </w:t>
      </w:r>
      <w:r w:rsidR="00D8094F">
        <w:t>Wales</w:t>
      </w:r>
      <w:r w:rsidR="00EF271D">
        <w:t>, where he is originally from</w:t>
      </w:r>
      <w:r w:rsidR="00F300E0">
        <w:t>,</w:t>
      </w:r>
      <w:r w:rsidR="00EF271D">
        <w:t xml:space="preserve"> but left his </w:t>
      </w:r>
      <w:proofErr w:type="gramStart"/>
      <w:r w:rsidR="00EF271D">
        <w:t>home town</w:t>
      </w:r>
      <w:proofErr w:type="gramEnd"/>
      <w:r w:rsidR="00EF271D">
        <w:t xml:space="preserve"> several years ago to join the Army</w:t>
      </w:r>
      <w:r w:rsidR="00D8094F">
        <w:t xml:space="preserve">.  1 has been signed off work due to post-traumatic stress disorder (PTSD) </w:t>
      </w:r>
      <w:r w:rsidR="005E49C9">
        <w:t>following a distressing incident where he witness</w:t>
      </w:r>
      <w:r w:rsidR="001A2C85">
        <w:t>ed</w:t>
      </w:r>
      <w:r w:rsidR="005E49C9">
        <w:t xml:space="preserve"> his ex-wife’s</w:t>
      </w:r>
      <w:r w:rsidR="00FC09D6">
        <w:t xml:space="preserve"> (2)</w:t>
      </w:r>
      <w:r w:rsidR="005E49C9">
        <w:t xml:space="preserve"> </w:t>
      </w:r>
      <w:r w:rsidR="00FC1DF8">
        <w:t xml:space="preserve">attempt to end her life by suicide.  He is the primary care giver of their four-year-old </w:t>
      </w:r>
      <w:r w:rsidR="004530B9">
        <w:t>son</w:t>
      </w:r>
      <w:r w:rsidR="00FC09D6">
        <w:t xml:space="preserve"> (3)</w:t>
      </w:r>
      <w:r w:rsidR="004530B9">
        <w:t xml:space="preserve">.  </w:t>
      </w:r>
      <w:r w:rsidR="007275DF">
        <w:t>2 has had regular contact with 3 with the consent of 1</w:t>
      </w:r>
      <w:r w:rsidR="00735BC0">
        <w:t xml:space="preserve">.  1 was a victim of domestic abuse within their </w:t>
      </w:r>
      <w:r w:rsidR="00F32967">
        <w:t xml:space="preserve">relationship, which was a contributing factor to their </w:t>
      </w:r>
      <w:r w:rsidR="001815B7">
        <w:t>breakup</w:t>
      </w:r>
      <w:r w:rsidR="00F32967">
        <w:t>. Social Services ha</w:t>
      </w:r>
      <w:r w:rsidR="00117932">
        <w:t xml:space="preserve">d concerns following a referral regarding the safety of 3 when in </w:t>
      </w:r>
      <w:r w:rsidR="00AB4EB8">
        <w:t>2’s care, particularly as her new partner had a history of violence.  A</w:t>
      </w:r>
      <w:r w:rsidR="009D75C9">
        <w:t xml:space="preserve"> recent outing where 1 and 2 had agreed to </w:t>
      </w:r>
      <w:r w:rsidR="0049618F">
        <w:t>a day together as a family led to an altercation where 2, under the influence of alcohol, physically assaulted 1.  Both were arrested and later released with condition</w:t>
      </w:r>
      <w:r w:rsidR="005C718A">
        <w:t>s to not contact each other before attending their local police station the following day.  Tragically,</w:t>
      </w:r>
      <w:r w:rsidR="00F02D5B">
        <w:t xml:space="preserve"> by the following morning 2 ended her life by suicide. </w:t>
      </w:r>
    </w:p>
    <w:p w14:paraId="7BBD623E" w14:textId="53FC28AA" w:rsidR="00C974E6" w:rsidRDefault="00D65106" w:rsidP="00BC0885">
      <w:pPr>
        <w:spacing w:line="360" w:lineRule="auto"/>
        <w:jc w:val="both"/>
      </w:pPr>
      <w:r>
        <w:t>The case highlights the complexity of safeguarding work involving adults affected by trauma, domestic abuse and bereavement</w:t>
      </w:r>
      <w:r w:rsidR="001E1ECC">
        <w:t>, while addressing the stigma of domestic violence towards men</w:t>
      </w:r>
      <w:r w:rsidR="00A049F3">
        <w:t xml:space="preserve"> and male victimhood from the perspective of both military and Welsh contexts</w:t>
      </w:r>
      <w:r w:rsidR="00C974E6">
        <w:t>.</w:t>
      </w:r>
      <w:r w:rsidR="00FC09D6">
        <w:t xml:space="preserve">  </w:t>
      </w:r>
      <w:r w:rsidR="00C974E6">
        <w:t>Furthermore</w:t>
      </w:r>
      <w:r w:rsidR="00C974E6" w:rsidRPr="007511A3">
        <w:t>, the essay wi</w:t>
      </w:r>
      <w:r w:rsidR="0096628C" w:rsidRPr="007511A3">
        <w:t>ll</w:t>
      </w:r>
      <w:r w:rsidR="00C974E6" w:rsidRPr="007511A3">
        <w:t xml:space="preserve"> </w:t>
      </w:r>
      <w:r w:rsidR="006C25AE" w:rsidRPr="007511A3">
        <w:t>utilise social work theor</w:t>
      </w:r>
      <w:r w:rsidR="00FC09D6">
        <w:t>y</w:t>
      </w:r>
      <w:r w:rsidR="006C25AE" w:rsidRPr="007511A3">
        <w:t xml:space="preserve"> in its analysis of the case study</w:t>
      </w:r>
      <w:r w:rsidR="00FC09D6">
        <w:t xml:space="preserve"> </w:t>
      </w:r>
      <w:r w:rsidR="00890A89">
        <w:t xml:space="preserve">to help inform assessment and intervention. </w:t>
      </w:r>
      <w:r w:rsidR="00F357E6">
        <w:t xml:space="preserve">Critical reflection </w:t>
      </w:r>
      <w:r w:rsidR="00FC09D6">
        <w:t>of c</w:t>
      </w:r>
      <w:r w:rsidR="00880C01">
        <w:t xml:space="preserve">o-production, collaborative working, and professional judgement will </w:t>
      </w:r>
      <w:r w:rsidR="00A25201">
        <w:t xml:space="preserve">seek to analyse the complexity of </w:t>
      </w:r>
      <w:r w:rsidR="00232F0B">
        <w:t xml:space="preserve">responding to safeguarding concerns in adult social care. </w:t>
      </w:r>
    </w:p>
    <w:p w14:paraId="198F06D6" w14:textId="4D20DA41" w:rsidR="00A65BC2" w:rsidRDefault="008A7597" w:rsidP="00BC0885">
      <w:pPr>
        <w:spacing w:line="360" w:lineRule="auto"/>
        <w:jc w:val="both"/>
      </w:pPr>
      <w:r>
        <w:t>The circumstances surrounding 1 in the months prior to</w:t>
      </w:r>
      <w:r w:rsidR="0009068E">
        <w:t>, and following,</w:t>
      </w:r>
      <w:r>
        <w:t xml:space="preserve"> 2’s tragic death </w:t>
      </w:r>
      <w:r w:rsidR="0009068E">
        <w:t xml:space="preserve">demonstrate </w:t>
      </w:r>
      <w:r w:rsidR="00421E07">
        <w:t xml:space="preserve">the complexities safeguarding adults can present to </w:t>
      </w:r>
      <w:r w:rsidR="00FB4C3E">
        <w:t xml:space="preserve">practitioners </w:t>
      </w:r>
      <w:r w:rsidR="00F03EE4">
        <w:t xml:space="preserve">supporting vulnerable adults when </w:t>
      </w:r>
      <w:r w:rsidR="00F03EE4">
        <w:lastRenderedPageBreak/>
        <w:t xml:space="preserve">considering </w:t>
      </w:r>
      <w:r w:rsidR="00072B97">
        <w:t>both psychological and social dynamics</w:t>
      </w:r>
      <w:r w:rsidR="00FC09D6">
        <w:t xml:space="preserve">.  </w:t>
      </w:r>
      <w:r w:rsidR="00A257E0">
        <w:t>Following the death of 2</w:t>
      </w:r>
      <w:r w:rsidR="00D309D5">
        <w:t>,</w:t>
      </w:r>
      <w:r w:rsidR="00A257E0">
        <w:t xml:space="preserve"> 1 experienced increased </w:t>
      </w:r>
      <w:proofErr w:type="gramStart"/>
      <w:r w:rsidR="00A257E0">
        <w:t>symptoms</w:t>
      </w:r>
      <w:proofErr w:type="gramEnd"/>
      <w:r w:rsidR="00A257E0">
        <w:t xml:space="preserve"> consistent with PTSD</w:t>
      </w:r>
      <w:r w:rsidR="00EC0B82">
        <w:t xml:space="preserve"> </w:t>
      </w:r>
      <w:r w:rsidR="004B7F3D">
        <w:t xml:space="preserve"> </w:t>
      </w:r>
      <w:sdt>
        <w:sdtPr>
          <w:id w:val="1461299138"/>
          <w:citation/>
        </w:sdtPr>
        <w:sdtContent>
          <w:r w:rsidR="002124EC">
            <w:fldChar w:fldCharType="begin"/>
          </w:r>
          <w:r w:rsidR="002124EC">
            <w:instrText xml:space="preserve"> CITATION Ame80 \l 2057 </w:instrText>
          </w:r>
          <w:r w:rsidR="002124EC">
            <w:fldChar w:fldCharType="separate"/>
          </w:r>
          <w:r w:rsidR="005D24B8">
            <w:rPr>
              <w:noProof/>
            </w:rPr>
            <w:t>(American Psychiatric Association, 1980)</w:t>
          </w:r>
          <w:r w:rsidR="002124EC">
            <w:fldChar w:fldCharType="end"/>
          </w:r>
        </w:sdtContent>
      </w:sdt>
      <w:r w:rsidR="00E62C0E">
        <w:t>, such as hyper</w:t>
      </w:r>
      <w:r w:rsidR="00C3605C">
        <w:t>arousal, hypervigilance, and emotional dysregulation.</w:t>
      </w:r>
      <w:r w:rsidR="002124EC">
        <w:t xml:space="preserve"> </w:t>
      </w:r>
      <w:r w:rsidR="00257E0A">
        <w:t xml:space="preserve">In addition to this, 1 had </w:t>
      </w:r>
      <w:r w:rsidR="00CF6E47">
        <w:t xml:space="preserve">recently returned to his rural hometown having been in the British Army for over 10 years </w:t>
      </w:r>
      <w:r w:rsidR="000B0761">
        <w:t xml:space="preserve">and </w:t>
      </w:r>
      <w:r w:rsidR="00CF6E47">
        <w:t xml:space="preserve">had feelings of isolation, </w:t>
      </w:r>
      <w:r w:rsidR="00F109F1">
        <w:t>guilt and reported concerns about public stigma h</w:t>
      </w:r>
      <w:r w:rsidR="00BF1879">
        <w:t>aving heard rumours that the community were placing blame on him for 2’s death</w:t>
      </w:r>
      <w:r w:rsidR="006F190E">
        <w:t xml:space="preserve">, while 1 had in fact been a victim of domestic abuse for several years. </w:t>
      </w:r>
      <w:r w:rsidR="003D3B9E">
        <w:t xml:space="preserve">These overwhelming psychosocial </w:t>
      </w:r>
      <w:r w:rsidR="006334A4">
        <w:t xml:space="preserve">impacts intensified his distress, requiring ongoing monitoring and multi-agency collaboration. </w:t>
      </w:r>
      <w:r w:rsidR="00BB74A5">
        <w:t xml:space="preserve"> </w:t>
      </w:r>
      <w:r w:rsidR="00847E7B">
        <w:t>Approaching the case from a psychosocial perspective</w:t>
      </w:r>
      <w:r w:rsidR="003652DA">
        <w:t xml:space="preserve"> helped me to consider how both internal and external factors are </w:t>
      </w:r>
      <w:r w:rsidR="00F53667">
        <w:t>at play and affect each other</w:t>
      </w:r>
      <w:r w:rsidR="00FC09D6">
        <w:t xml:space="preserve">, </w:t>
      </w:r>
      <w:r w:rsidR="00866EDC">
        <w:t xml:space="preserve">and explains how </w:t>
      </w:r>
      <w:r w:rsidR="000E2041">
        <w:t>well-being is a result of the ongoing interaction between psychological development and social factors across a person’s li</w:t>
      </w:r>
      <w:r w:rsidR="007E3346">
        <w:t>fe</w:t>
      </w:r>
      <w:r w:rsidR="000E2041">
        <w:t>span</w:t>
      </w:r>
      <w:r w:rsidR="007E3346">
        <w:t xml:space="preserve"> </w:t>
      </w:r>
      <w:sdt>
        <w:sdtPr>
          <w:id w:val="1663352795"/>
          <w:citation/>
        </w:sdtPr>
        <w:sdtContent>
          <w:r w:rsidR="008A49E0">
            <w:fldChar w:fldCharType="begin"/>
          </w:r>
          <w:r w:rsidR="008A49E0">
            <w:instrText xml:space="preserve"> CITATION Mun75 \l 2057 </w:instrText>
          </w:r>
          <w:r w:rsidR="008A49E0">
            <w:fldChar w:fldCharType="separate"/>
          </w:r>
          <w:r w:rsidR="005D24B8">
            <w:rPr>
              <w:noProof/>
            </w:rPr>
            <w:t>(Munley, 1975)</w:t>
          </w:r>
          <w:r w:rsidR="008A49E0">
            <w:fldChar w:fldCharType="end"/>
          </w:r>
        </w:sdtContent>
      </w:sdt>
      <w:r w:rsidR="008A49E0">
        <w:t xml:space="preserve">.  </w:t>
      </w:r>
    </w:p>
    <w:p w14:paraId="08B3ADAB" w14:textId="706F3B7C" w:rsidR="00B35497" w:rsidRDefault="00B35497" w:rsidP="00BC0885">
      <w:pPr>
        <w:spacing w:line="360" w:lineRule="auto"/>
        <w:jc w:val="both"/>
      </w:pPr>
      <w:r>
        <w:t xml:space="preserve">1’s disclosure during assessment that he had been a victim of domestic abuse from 2 for years led to </w:t>
      </w:r>
      <w:r w:rsidR="0050122D">
        <w:t xml:space="preserve">conversations around why he had not disclosed this to anyone else and why he had not </w:t>
      </w:r>
      <w:r w:rsidR="00102086">
        <w:t xml:space="preserve">sought help from services previously.  </w:t>
      </w:r>
      <w:r w:rsidR="00AB14FC">
        <w:t xml:space="preserve">Serving </w:t>
      </w:r>
      <w:r w:rsidR="007C34F8">
        <w:t xml:space="preserve">military personnel are often bound by a culture of </w:t>
      </w:r>
      <w:r w:rsidR="00D3442D">
        <w:t xml:space="preserve">toxic </w:t>
      </w:r>
      <w:r w:rsidR="007C34F8">
        <w:t xml:space="preserve">masculinity, </w:t>
      </w:r>
      <w:r w:rsidR="00FC09D6">
        <w:t>poorly understood</w:t>
      </w:r>
      <w:r w:rsidR="007C34F8">
        <w:t xml:space="preserve"> resilience</w:t>
      </w:r>
      <w:r w:rsidR="00FC09D6">
        <w:t>,</w:t>
      </w:r>
      <w:r w:rsidR="00FC6EE9">
        <w:t xml:space="preserve"> and socially constructed views that </w:t>
      </w:r>
      <w:r w:rsidR="00D3442D">
        <w:t>male victims of domestic abuse are weak.</w:t>
      </w:r>
      <w:r w:rsidR="00EC3658">
        <w:t xml:space="preserve">  This culture</w:t>
      </w:r>
      <w:r w:rsidR="007A467C">
        <w:t xml:space="preserve">, according to </w:t>
      </w:r>
      <w:r w:rsidR="00136E9C">
        <w:t>Willimson</w:t>
      </w:r>
      <w:r w:rsidR="001C3EF5">
        <w:t>.</w:t>
      </w:r>
      <w:r w:rsidR="00136E9C">
        <w:t xml:space="preserve"> et al (</w:t>
      </w:r>
      <w:r w:rsidR="00067D98">
        <w:t>2019),</w:t>
      </w:r>
      <w:r w:rsidR="00EC3658">
        <w:t xml:space="preserve"> </w:t>
      </w:r>
      <w:r w:rsidR="00E814C9">
        <w:t>can lead</w:t>
      </w:r>
      <w:r w:rsidR="00EC3658">
        <w:t xml:space="preserve"> to an inhibition to seek help within the community </w:t>
      </w:r>
      <w:r w:rsidR="00FB385E">
        <w:t xml:space="preserve">and beyond. </w:t>
      </w:r>
      <w:r w:rsidR="0058728C">
        <w:t xml:space="preserve">For </w:t>
      </w:r>
      <w:r w:rsidR="0058728C" w:rsidRPr="004B7EB2">
        <w:t xml:space="preserve">male victims of domestic abuse, </w:t>
      </w:r>
      <w:r w:rsidR="00BF4D6E">
        <w:t>this</w:t>
      </w:r>
      <w:r w:rsidR="0058728C" w:rsidRPr="004B7EB2">
        <w:t xml:space="preserve"> stigma can be particularly </w:t>
      </w:r>
      <w:r w:rsidR="00BF4D6E">
        <w:t>apparent</w:t>
      </w:r>
      <w:r w:rsidR="0058728C" w:rsidRPr="004B7EB2">
        <w:t xml:space="preserve">. Research suggests that men may struggle to disclose abuse due to fears of disbelief, ridicule, </w:t>
      </w:r>
      <w:r w:rsidR="00107CD2">
        <w:t>and</w:t>
      </w:r>
      <w:r w:rsidR="0058728C" w:rsidRPr="004B7EB2">
        <w:t xml:space="preserve"> perceived weakness</w:t>
      </w:r>
      <w:r w:rsidR="00126196">
        <w:t xml:space="preserve"> which </w:t>
      </w:r>
      <w:r w:rsidR="00FC72EC">
        <w:t>are</w:t>
      </w:r>
      <w:r w:rsidR="0058728C" w:rsidRPr="004B7EB2">
        <w:t xml:space="preserve"> magnified within military </w:t>
      </w:r>
      <w:r w:rsidR="00126196">
        <w:t>settings</w:t>
      </w:r>
      <w:r w:rsidR="00107CD2">
        <w:t xml:space="preserve"> </w:t>
      </w:r>
      <w:r w:rsidR="005A1341">
        <w:rPr>
          <w:noProof/>
        </w:rPr>
        <w:t>(Silvestrini and Chen, 2023)</w:t>
      </w:r>
      <w:r w:rsidR="00DE5ED8">
        <w:t xml:space="preserve">.  </w:t>
      </w:r>
    </w:p>
    <w:p w14:paraId="280E7FAB" w14:textId="4BB9C291" w:rsidR="00AB7E6B" w:rsidRDefault="00AB7E6B" w:rsidP="00BC0885">
      <w:pPr>
        <w:spacing w:line="360" w:lineRule="auto"/>
        <w:jc w:val="both"/>
      </w:pPr>
      <w:r>
        <w:t>The Department of Community Mental Health (DCMH)</w:t>
      </w:r>
      <w:r w:rsidR="007B5730">
        <w:t xml:space="preserve"> within t</w:t>
      </w:r>
      <w:r w:rsidR="007B5730" w:rsidRPr="004B7EB2">
        <w:t>he MOD have a vital role in supporting serving personnel; however, they do not hold statutory safeguarding powers. The r</w:t>
      </w:r>
      <w:r w:rsidR="001F7A9F">
        <w:t>ole of DCMH, when identifying safeguarding concerns,</w:t>
      </w:r>
      <w:r w:rsidR="007B5730" w:rsidRPr="004B7EB2">
        <w:t xml:space="preserve"> is to provide welfare support, signpost, and liaise with local authorities (Ministry of Defence, 202</w:t>
      </w:r>
      <w:r w:rsidR="00D45200">
        <w:t>4</w:t>
      </w:r>
      <w:r w:rsidR="007B5730" w:rsidRPr="004B7EB2">
        <w:t xml:space="preserve">). </w:t>
      </w:r>
      <w:r w:rsidR="00FC09D6">
        <w:t xml:space="preserve"> </w:t>
      </w:r>
      <w:r w:rsidR="00591A33">
        <w:t xml:space="preserve">According to section </w:t>
      </w:r>
      <w:r w:rsidR="007B5730" w:rsidRPr="004B7EB2">
        <w:t xml:space="preserve">126 of </w:t>
      </w:r>
      <w:r w:rsidR="00D45200">
        <w:t>SSWBA (2014</w:t>
      </w:r>
      <w:r w:rsidR="005A1341">
        <w:t>b</w:t>
      </w:r>
      <w:r w:rsidR="00D45200">
        <w:t>)</w:t>
      </w:r>
      <w:r w:rsidR="007B5730" w:rsidRPr="004B7EB2">
        <w:t xml:space="preserve">, </w:t>
      </w:r>
      <w:r w:rsidR="004A3169">
        <w:t>duty is placed on</w:t>
      </w:r>
      <w:r w:rsidR="007B5730" w:rsidRPr="004B7EB2">
        <w:t xml:space="preserve"> relevant agencies to report adults or children at risk</w:t>
      </w:r>
      <w:r w:rsidR="004A3169">
        <w:t xml:space="preserve"> of harm to local authorit</w:t>
      </w:r>
      <w:r w:rsidR="001179F1">
        <w:t>ies, who are then legally required to investigate</w:t>
      </w:r>
      <w:r w:rsidR="00BE344A">
        <w:t xml:space="preserve">. Prior to 2’s suicide, 1 had disclosed that he had previously been subjected to domestic violence </w:t>
      </w:r>
      <w:r w:rsidR="007B16A9">
        <w:t xml:space="preserve">from </w:t>
      </w:r>
      <w:r w:rsidR="005A1341">
        <w:t>2</w:t>
      </w:r>
      <w:r w:rsidR="007B16A9">
        <w:t xml:space="preserve">. However, since they have broken up the risk had reduced until </w:t>
      </w:r>
      <w:r w:rsidR="00072216">
        <w:t>he began spending time with her and 3</w:t>
      </w:r>
      <w:r w:rsidR="00D45200">
        <w:t xml:space="preserve"> again</w:t>
      </w:r>
      <w:r w:rsidR="00B06E93">
        <w:t>.</w:t>
      </w:r>
      <w:r w:rsidR="00142912">
        <w:t xml:space="preserve">  During these days</w:t>
      </w:r>
      <w:r w:rsidR="001525F9">
        <w:t xml:space="preserve"> 1 reported several incidents of emotional </w:t>
      </w:r>
      <w:r w:rsidR="00580FCD">
        <w:t>and physical abuse towards him.</w:t>
      </w:r>
      <w:r w:rsidR="00271EBE">
        <w:t xml:space="preserve">  </w:t>
      </w:r>
      <w:r w:rsidR="00632DEB">
        <w:t>1 had not, however, reported any of these incidents to any professionals supporting him</w:t>
      </w:r>
      <w:r w:rsidR="0007540B">
        <w:t xml:space="preserve">.  Had he disclosed that he was at risk of harm from her, it would be </w:t>
      </w:r>
      <w:r w:rsidR="00854D91">
        <w:t xml:space="preserve">a requirement for professionals to identify if </w:t>
      </w:r>
      <w:r w:rsidR="00D05F36">
        <w:t>this fit</w:t>
      </w:r>
      <w:r w:rsidR="003754E7">
        <w:t>s</w:t>
      </w:r>
      <w:r w:rsidR="00D05F36">
        <w:t xml:space="preserve"> under the remit of safeguarding</w:t>
      </w:r>
      <w:r w:rsidR="00D45200">
        <w:t xml:space="preserve"> and sought consent from him to report</w:t>
      </w:r>
      <w:r w:rsidR="007015D2">
        <w:t>.  Consent to report is important as it promotes engagement and builds trust. There may also be further risk to the individual once a report is made.  However</w:t>
      </w:r>
      <w:r w:rsidR="003033ED">
        <w:t xml:space="preserve"> according to SSWBA</w:t>
      </w:r>
      <w:r w:rsidR="003033ED">
        <w:rPr>
          <w:noProof/>
        </w:rPr>
        <w:t xml:space="preserve"> Part 7 (2014b),</w:t>
      </w:r>
      <w:r w:rsidR="007015D2">
        <w:t xml:space="preserve"> it is not essential to gain consent to report safeguarding concerns if: t</w:t>
      </w:r>
      <w:r w:rsidR="007015D2" w:rsidRPr="007015D2">
        <w:t>he adult would be put at further risk or threatened into silence</w:t>
      </w:r>
      <w:r w:rsidR="007015D2">
        <w:t>;  t</w:t>
      </w:r>
      <w:r w:rsidR="007015D2" w:rsidRPr="007015D2">
        <w:t xml:space="preserve">he adult lacks the mental capacity to make an informed decision about </w:t>
      </w:r>
      <w:r w:rsidR="007015D2" w:rsidRPr="007015D2">
        <w:lastRenderedPageBreak/>
        <w:t>the risk</w:t>
      </w:r>
      <w:r w:rsidR="007015D2">
        <w:t xml:space="preserve">; </w:t>
      </w:r>
      <w:r w:rsidR="003033ED">
        <w:t>o</w:t>
      </w:r>
      <w:r w:rsidR="007015D2" w:rsidRPr="007015D2">
        <w:t>ther people, including children, may be at risk</w:t>
      </w:r>
      <w:r w:rsidR="007015D2">
        <w:t>; a</w:t>
      </w:r>
      <w:r w:rsidR="007015D2" w:rsidRPr="007015D2">
        <w:t xml:space="preserve"> serious crime has been committed</w:t>
      </w:r>
      <w:r w:rsidR="007015D2">
        <w:t xml:space="preserve">; </w:t>
      </w:r>
      <w:r w:rsidR="007015D2" w:rsidRPr="007015D2">
        <w:t>It is in the public interest</w:t>
      </w:r>
      <w:r w:rsidR="007015D2">
        <w:t>, or t</w:t>
      </w:r>
      <w:r w:rsidR="007015D2" w:rsidRPr="007015D2">
        <w:t>he alleged abuser is a carer or family member</w:t>
      </w:r>
      <w:r w:rsidR="003033ED">
        <w:t>.</w:t>
      </w:r>
    </w:p>
    <w:p w14:paraId="2BDF2F74" w14:textId="554380D8" w:rsidR="00C972D2" w:rsidRPr="004B7EB2" w:rsidRDefault="00C972D2" w:rsidP="00BC0885">
      <w:pPr>
        <w:spacing w:line="360" w:lineRule="auto"/>
        <w:jc w:val="both"/>
      </w:pPr>
      <w:r w:rsidRPr="004B7EB2">
        <w:t xml:space="preserve">In 1’s case, </w:t>
      </w:r>
      <w:r w:rsidR="00B06E93">
        <w:t>SSWBA (2014b)</w:t>
      </w:r>
      <w:r w:rsidRPr="004B7EB2">
        <w:t xml:space="preserve"> </w:t>
      </w:r>
      <w:r>
        <w:t>would have required</w:t>
      </w:r>
      <w:r w:rsidRPr="004B7EB2">
        <w:t xml:space="preserve"> the Local Authority to balance dual safeguarding duties: protecting 1 as an adult survivor of domestic abuse and ensuring the welfare of his child. The </w:t>
      </w:r>
      <w:r w:rsidRPr="00576A8E">
        <w:rPr>
          <w:i/>
          <w:iCs/>
        </w:rPr>
        <w:t>Violence against Women, Domestic Abuse and Sexual Violence (Wales) Act 2015</w:t>
      </w:r>
      <w:r w:rsidRPr="00576A8E">
        <w:t xml:space="preserve"> </w:t>
      </w:r>
      <w:r w:rsidR="007015D2" w:rsidRPr="00576A8E">
        <w:t>(</w:t>
      </w:r>
      <w:r w:rsidR="007015D2">
        <w:t xml:space="preserve">VAWDASV) </w:t>
      </w:r>
      <w:r w:rsidRPr="004B7EB2">
        <w:t>further shape</w:t>
      </w:r>
      <w:r>
        <w:t>s</w:t>
      </w:r>
      <w:r w:rsidRPr="004B7EB2">
        <w:t xml:space="preserve"> the response, requiring public bodies to take coordinated action to prevent and support victims of domestic abuse, regardless of gender.</w:t>
      </w:r>
      <w:r>
        <w:t xml:space="preserve">  The name of the act itself demonstrates and further reinforces socially constructed views towards male victims of domestic violence</w:t>
      </w:r>
      <w:r w:rsidR="00576A8E">
        <w:t xml:space="preserve">, suggesting a pre-existing bias </w:t>
      </w:r>
      <w:r w:rsidR="00B06E93">
        <w:t>of</w:t>
      </w:r>
      <w:r w:rsidR="00576A8E">
        <w:t xml:space="preserve"> identifying men as </w:t>
      </w:r>
      <w:r w:rsidR="00B06E93">
        <w:t>offenders</w:t>
      </w:r>
      <w:r w:rsidR="00576A8E">
        <w:t>, as experienced by 1 when arrested having been assaulted by 2</w:t>
      </w:r>
      <w:r>
        <w:t xml:space="preserve"> </w:t>
      </w:r>
      <w:r w:rsidR="00576A8E">
        <w:t>(</w:t>
      </w:r>
      <w:r>
        <w:t>Willimson et al.</w:t>
      </w:r>
      <w:r w:rsidR="00576A8E">
        <w:t xml:space="preserve">, </w:t>
      </w:r>
      <w:r>
        <w:t>2019).</w:t>
      </w:r>
    </w:p>
    <w:p w14:paraId="115D67FE" w14:textId="0473D7E6" w:rsidR="000C6649" w:rsidRDefault="00702ACF" w:rsidP="00BC0885">
      <w:pPr>
        <w:spacing w:line="360" w:lineRule="auto"/>
        <w:jc w:val="both"/>
      </w:pPr>
      <w:r w:rsidRPr="00ED61EE">
        <w:t>Safeguarding in Wales operates within</w:t>
      </w:r>
      <w:r w:rsidRPr="00702ACF">
        <w:t xml:space="preserve"> a </w:t>
      </w:r>
      <w:r w:rsidR="006A70DC">
        <w:t>wider</w:t>
      </w:r>
      <w:r w:rsidRPr="00702ACF">
        <w:t xml:space="preserve"> legal and policy framework that </w:t>
      </w:r>
      <w:r w:rsidR="00A56266" w:rsidRPr="00702ACF">
        <w:t>incorporates</w:t>
      </w:r>
      <w:r w:rsidRPr="00702ACF">
        <w:t xml:space="preserve"> international human rights standards, UK-wide </w:t>
      </w:r>
      <w:r w:rsidR="002B3CC7">
        <w:t>law</w:t>
      </w:r>
      <w:r w:rsidRPr="00702ACF">
        <w:t>, and devolved Welsh legislation. These frameworks establish the ethical and statutory duties that underpin the protection of children and adults at risk</w:t>
      </w:r>
      <w:r w:rsidR="00121EBE">
        <w:t xml:space="preserve"> of harm</w:t>
      </w:r>
      <w:r w:rsidRPr="00702ACF">
        <w:t xml:space="preserve">. For </w:t>
      </w:r>
      <w:r w:rsidR="004D50C0">
        <w:t xml:space="preserve">mental health </w:t>
      </w:r>
      <w:r w:rsidRPr="00702ACF">
        <w:t>social workers within the Ministry of Defence, understanding these frameworks is essential for ensuring that safeguarding interventions are</w:t>
      </w:r>
      <w:r w:rsidR="00587175">
        <w:t xml:space="preserve"> actioned </w:t>
      </w:r>
      <w:r w:rsidR="007743C1">
        <w:t>appropriately</w:t>
      </w:r>
      <w:r w:rsidR="00587175">
        <w:t xml:space="preserve">, </w:t>
      </w:r>
      <w:r w:rsidRPr="00702ACF">
        <w:t>particularly within bilingual, rural, or culturally specific contexts in Wales.</w:t>
      </w:r>
      <w:r w:rsidRPr="00702ACF">
        <w:br/>
      </w:r>
      <w:r w:rsidRPr="00702ACF">
        <w:br/>
      </w:r>
      <w:r w:rsidR="007743C1">
        <w:t>The</w:t>
      </w:r>
      <w:r w:rsidRPr="00702ACF">
        <w:t xml:space="preserve"> foundation of all safeguarding legislation </w:t>
      </w:r>
      <w:r w:rsidR="007743C1">
        <w:t>is</w:t>
      </w:r>
      <w:r w:rsidR="0029291F">
        <w:t xml:space="preserve"> </w:t>
      </w:r>
      <w:r w:rsidRPr="00702ACF">
        <w:t xml:space="preserve">the </w:t>
      </w:r>
      <w:r w:rsidRPr="00576A8E">
        <w:t>Human Rights Act</w:t>
      </w:r>
      <w:r w:rsidR="004A1F9A">
        <w:t xml:space="preserve"> (HRA)</w:t>
      </w:r>
      <w:r w:rsidRPr="00576A8E">
        <w:t xml:space="preserve"> (</w:t>
      </w:r>
      <w:r w:rsidR="002D08A2" w:rsidRPr="00576A8E">
        <w:t>1998</w:t>
      </w:r>
      <w:r w:rsidRPr="00576A8E">
        <w:t>),</w:t>
      </w:r>
      <w:r w:rsidRPr="00702ACF">
        <w:t xml:space="preserve"> which incorporates the European Convention on </w:t>
      </w:r>
      <w:r w:rsidRPr="00576A8E">
        <w:t>Human Rights</w:t>
      </w:r>
      <w:r w:rsidR="00576A8E">
        <w:t xml:space="preserve"> (ECHR)</w:t>
      </w:r>
      <w:r w:rsidRPr="00576A8E">
        <w:t xml:space="preserve"> (</w:t>
      </w:r>
      <w:r w:rsidR="00C501B8" w:rsidRPr="00576A8E">
        <w:t>1950</w:t>
      </w:r>
      <w:r w:rsidRPr="00576A8E">
        <w:t>)</w:t>
      </w:r>
      <w:r w:rsidRPr="00702ACF">
        <w:t xml:space="preserve"> into UK law. Several ECHR articles are particularly relevant to safeguarding practice.</w:t>
      </w:r>
      <w:r w:rsidR="006B0BAD">
        <w:t xml:space="preserve">  </w:t>
      </w:r>
      <w:r w:rsidRPr="00702ACF">
        <w:t>Article 2 establishes the right to life, obliging public authorities to protect individuals from risks to life, including those arising from neglect or abuse.</w:t>
      </w:r>
      <w:r w:rsidR="006B0BAD">
        <w:t xml:space="preserve">  </w:t>
      </w:r>
      <w:r w:rsidRPr="00702ACF">
        <w:t>Article 3 prohibits inhuman</w:t>
      </w:r>
      <w:r w:rsidR="00576A8E">
        <w:t>e</w:t>
      </w:r>
      <w:r w:rsidRPr="00702ACF">
        <w:t xml:space="preserve"> or degrading treatment, forming the legal basis for interventions to protect victims of domestic abuse or exploitation.</w:t>
      </w:r>
      <w:r w:rsidR="006B0BAD">
        <w:t xml:space="preserve">  </w:t>
      </w:r>
      <w:r w:rsidRPr="00702ACF">
        <w:t>Article 5 safeguards the right to liberty and security, ensuring that protective interventions such as hospital admissions or safeguarding orders are lawful and proportionate.</w:t>
      </w:r>
      <w:r w:rsidR="006B0BAD">
        <w:t xml:space="preserve">  </w:t>
      </w:r>
      <w:r w:rsidRPr="00702ACF">
        <w:t>Article 6 guarantees the right to a fair hearing, relevant when individuals challenge decisions about care or child contact.</w:t>
      </w:r>
      <w:r w:rsidR="006B0BAD">
        <w:t xml:space="preserve">  </w:t>
      </w:r>
      <w:r w:rsidRPr="00702ACF">
        <w:t>Article 8, the right to respect for private and family life, underpins decisions about information sharing and family involvement in safeguarding plans (Human Rights Act, 1998).</w:t>
      </w:r>
      <w:r w:rsidRPr="00702ACF">
        <w:br/>
      </w:r>
      <w:r w:rsidRPr="00702ACF">
        <w:br/>
        <w:t xml:space="preserve">For adults, the </w:t>
      </w:r>
      <w:r w:rsidRPr="001460FF">
        <w:t xml:space="preserve">United Nations Principles for Older Persons </w:t>
      </w:r>
      <w:sdt>
        <w:sdtPr>
          <w:id w:val="1131672392"/>
          <w:citation/>
        </w:sdtPr>
        <w:sdtContent>
          <w:r w:rsidR="001460FF">
            <w:fldChar w:fldCharType="begin"/>
          </w:r>
          <w:r w:rsidR="001460FF">
            <w:instrText xml:space="preserve"> CITATION Uni91 \l 2057 </w:instrText>
          </w:r>
          <w:r w:rsidR="001460FF">
            <w:fldChar w:fldCharType="separate"/>
          </w:r>
          <w:r w:rsidR="005D24B8">
            <w:rPr>
              <w:noProof/>
            </w:rPr>
            <w:t>(United Nations General Assembly, 1991)</w:t>
          </w:r>
          <w:r w:rsidR="001460FF">
            <w:fldChar w:fldCharType="end"/>
          </w:r>
        </w:sdtContent>
      </w:sdt>
      <w:r w:rsidRPr="00702ACF">
        <w:t xml:space="preserve"> outline</w:t>
      </w:r>
      <w:r w:rsidR="001460FF">
        <w:t>s</w:t>
      </w:r>
      <w:r w:rsidRPr="00702ACF">
        <w:t xml:space="preserve"> five key themes—independence, participation, care, self-fulfilment, and dignity. These principles </w:t>
      </w:r>
      <w:r w:rsidR="00127C4D">
        <w:t xml:space="preserve">are </w:t>
      </w:r>
      <w:proofErr w:type="gramStart"/>
      <w:r w:rsidR="00127C4D">
        <w:t>similar to</w:t>
      </w:r>
      <w:proofErr w:type="gramEnd"/>
      <w:r w:rsidR="00127C4D">
        <w:t xml:space="preserve"> </w:t>
      </w:r>
      <w:r w:rsidRPr="00702ACF">
        <w:t xml:space="preserve">Welsh policy emphasis on wellbeing and prevention under </w:t>
      </w:r>
      <w:r w:rsidR="001460FF">
        <w:t>SSWBA (2014</w:t>
      </w:r>
      <w:r w:rsidR="007D7259">
        <w:t>a</w:t>
      </w:r>
      <w:r w:rsidR="001460FF">
        <w:t>)</w:t>
      </w:r>
      <w:r w:rsidRPr="00702ACF">
        <w:t xml:space="preserve">. They reinforce the view that safeguarding interventions must balance protection with respect for </w:t>
      </w:r>
      <w:r w:rsidR="00912575">
        <w:t xml:space="preserve">participation and </w:t>
      </w:r>
      <w:r w:rsidRPr="00702ACF">
        <w:t xml:space="preserve">inclusion, particularly for older adults who may be vulnerable to abuse, isolation, or </w:t>
      </w:r>
      <w:r w:rsidR="001460FF" w:rsidRPr="00702ACF">
        <w:lastRenderedPageBreak/>
        <w:t>coer</w:t>
      </w:r>
      <w:r w:rsidR="001460FF">
        <w:t>c</w:t>
      </w:r>
      <w:r w:rsidR="001460FF" w:rsidRPr="00702ACF">
        <w:t>ion</w:t>
      </w:r>
      <w:r w:rsidRPr="00702ACF">
        <w:t>.</w:t>
      </w:r>
      <w:r w:rsidRPr="00702ACF">
        <w:br/>
      </w:r>
      <w:r w:rsidRPr="00702ACF">
        <w:br/>
      </w:r>
      <w:r w:rsidR="001460FF">
        <w:t>SSWBA (2014</w:t>
      </w:r>
      <w:r w:rsidR="007D7259">
        <w:t>a</w:t>
      </w:r>
      <w:r w:rsidR="001460FF">
        <w:t>)</w:t>
      </w:r>
      <w:r w:rsidRPr="00702ACF">
        <w:t xml:space="preserve"> </w:t>
      </w:r>
      <w:r w:rsidR="006A6F8D">
        <w:t>is</w:t>
      </w:r>
      <w:r w:rsidRPr="00702ACF">
        <w:t xml:space="preserve"> the central legislative framework governing safeguarding across Wales</w:t>
      </w:r>
      <w:r w:rsidRPr="001460FF">
        <w:t>. Part 7 of</w:t>
      </w:r>
      <w:r w:rsidRPr="00702ACF">
        <w:t xml:space="preserve"> the Act sets out specific duties for safeguarding adults and children at risk. It defines an adult at risk as someone experiencing</w:t>
      </w:r>
      <w:r w:rsidR="004A1F9A">
        <w:t>,</w:t>
      </w:r>
      <w:r w:rsidRPr="00702ACF">
        <w:t xml:space="preserve"> or at risk of</w:t>
      </w:r>
      <w:r w:rsidR="004A1F9A">
        <w:t>,</w:t>
      </w:r>
      <w:r w:rsidRPr="00702ACF">
        <w:t xml:space="preserve"> abuse or neglect, who has needs for care and support, and who is unable to protect themselves. The Act establishes a statutory duty on all relevant partners—including health boards, local authorities, and MOD agencies operating in Wales—to report safeguarding concerns (Welsh Government, 2014</w:t>
      </w:r>
      <w:r w:rsidR="007D7259">
        <w:t>b</w:t>
      </w:r>
      <w:r w:rsidRPr="00702ACF">
        <w:t>).</w:t>
      </w:r>
      <w:r w:rsidR="00FF3967">
        <w:t xml:space="preserve">  </w:t>
      </w:r>
      <w:r w:rsidRPr="00702ACF">
        <w:t>The Act introduced Regional Safeguarding Boards to oversee inter-agency cooperation, planning, and review. This structure ensures consistency and accountability across agencies, promoting a shared responsibility model that includes MOD welfare staff in multi-agency safeguarding arrangements.</w:t>
      </w:r>
      <w:r w:rsidRPr="00702ACF">
        <w:br/>
      </w:r>
      <w:r w:rsidRPr="00702ACF">
        <w:br/>
      </w:r>
      <w:r w:rsidR="00E6572A">
        <w:t>The</w:t>
      </w:r>
      <w:r w:rsidRPr="00702ACF">
        <w:t xml:space="preserve"> </w:t>
      </w:r>
      <w:r w:rsidRPr="001F44BB">
        <w:t>Working Together to Safeguard People guidance (Welsh Government, 2019)</w:t>
      </w:r>
      <w:r w:rsidRPr="00702ACF">
        <w:t xml:space="preserve"> sets out operational expectations for all practitioners. It emphasises early intervention, partnership working, and person-centred practice</w:t>
      </w:r>
      <w:r w:rsidR="00EB6740">
        <w:t xml:space="preserve"> and is</w:t>
      </w:r>
      <w:r w:rsidRPr="00702ACF">
        <w:t xml:space="preserve"> </w:t>
      </w:r>
      <w:r w:rsidR="00EB6740" w:rsidRPr="002B1A31">
        <w:t>supported by the national safeguarding app</w:t>
      </w:r>
      <w:r w:rsidR="001F44BB">
        <w:t>lication</w:t>
      </w:r>
      <w:r w:rsidR="00EB6740" w:rsidRPr="002B1A31">
        <w:t xml:space="preserve"> used by practitioners. These procedures clearly describe thresholds, pathways for referral, strategy discussions, and roles and responsibilities across agencies, strengthening accountability and </w:t>
      </w:r>
      <w:r w:rsidR="00EB6740">
        <w:t>promot</w:t>
      </w:r>
      <w:r w:rsidR="004A1F9A">
        <w:t>ing</w:t>
      </w:r>
      <w:r w:rsidR="00EB6740">
        <w:t xml:space="preserve"> consisten</w:t>
      </w:r>
      <w:r w:rsidR="004A1F9A">
        <w:t>cy</w:t>
      </w:r>
      <w:r w:rsidR="00EB6740">
        <w:t xml:space="preserve">. </w:t>
      </w:r>
      <w:r w:rsidR="00A20C17">
        <w:t xml:space="preserve">By </w:t>
      </w:r>
      <w:r w:rsidR="004A1F9A">
        <w:t>utilizing</w:t>
      </w:r>
      <w:r w:rsidR="00A20C17">
        <w:t xml:space="preserve"> th</w:t>
      </w:r>
      <w:r w:rsidR="004A1F9A">
        <w:t>e</w:t>
      </w:r>
      <w:r w:rsidR="00A20C17">
        <w:t xml:space="preserve"> app</w:t>
      </w:r>
      <w:r w:rsidR="001F44BB">
        <w:t>lication</w:t>
      </w:r>
      <w:r w:rsidR="00A20C17">
        <w:t xml:space="preserve">, </w:t>
      </w:r>
      <w:r w:rsidR="008F5F53">
        <w:t xml:space="preserve">practitioners can be confident that the procedures are up to date.  </w:t>
      </w:r>
      <w:r w:rsidR="00E23835">
        <w:t xml:space="preserve">There are no printed copies which ensures a consistent approach from all who use it. </w:t>
      </w:r>
      <w:r w:rsidRPr="00702ACF">
        <w:t xml:space="preserve">For MOD-based social workers, </w:t>
      </w:r>
      <w:r w:rsidR="00C972D2">
        <w:t>guidance for safeguarding concerns means</w:t>
      </w:r>
      <w:r w:rsidRPr="00702ACF">
        <w:t xml:space="preserve"> referring to local authorities under Part 7 rather than conducting investigations internally, while continuing to support individuals’ welfare</w:t>
      </w:r>
      <w:r w:rsidR="004A1F9A">
        <w:t>.</w:t>
      </w:r>
      <w:r w:rsidRPr="00702ACF">
        <w:br/>
      </w:r>
      <w:r w:rsidRPr="00702ACF">
        <w:br/>
      </w:r>
      <w:r w:rsidR="001F44BB" w:rsidRPr="006B6CE4">
        <w:t>T</w:t>
      </w:r>
      <w:r w:rsidR="002B0CB8" w:rsidRPr="006B6CE4">
        <w:t>he</w:t>
      </w:r>
      <w:r w:rsidRPr="006B6CE4">
        <w:t xml:space="preserve"> Freedom of Information Act </w:t>
      </w:r>
      <w:r w:rsidR="006B6CE4" w:rsidRPr="006B6CE4">
        <w:t>(</w:t>
      </w:r>
      <w:r w:rsidRPr="006B6CE4">
        <w:t>2000</w:t>
      </w:r>
      <w:r w:rsidR="006B6CE4" w:rsidRPr="006B6CE4">
        <w:t>)</w:t>
      </w:r>
      <w:r w:rsidRPr="006B6CE4">
        <w:t xml:space="preserve"> and the General Data Protection Regulation (GDPR</w:t>
      </w:r>
      <w:r w:rsidR="006B6CE4" w:rsidRPr="006B6CE4">
        <w:t>)(</w:t>
      </w:r>
      <w:r w:rsidRPr="006B6CE4">
        <w:t>2018)</w:t>
      </w:r>
      <w:r w:rsidR="002B0CB8">
        <w:t xml:space="preserve"> </w:t>
      </w:r>
      <w:r w:rsidRPr="00702ACF">
        <w:t xml:space="preserve"> require that any sharing of personal data is necessary, proportionate, and lawful, with explicit consent sought whenever possible. However, both the </w:t>
      </w:r>
      <w:r w:rsidR="004A1F9A">
        <w:t>Act</w:t>
      </w:r>
      <w:r w:rsidRPr="00702ACF">
        <w:t xml:space="preserve"> and GDPR recognise that information may be shared without consent when there is reasonable cause to suspect a risk of serious harm. This allows social workers to act decisively while maintaining respect for individuals’ rights under Article 8 of the ECHR</w:t>
      </w:r>
      <w:r w:rsidR="001F44BB">
        <w:t xml:space="preserve"> (</w:t>
      </w:r>
      <w:r w:rsidR="006B6CE4">
        <w:t>1950).</w:t>
      </w:r>
      <w:r w:rsidRPr="00702ACF">
        <w:br/>
      </w:r>
      <w:r w:rsidRPr="00702ACF">
        <w:br/>
      </w:r>
      <w:r w:rsidRPr="006B6CE4">
        <w:t xml:space="preserve">The Mental Capacity Act </w:t>
      </w:r>
      <w:r w:rsidR="006B6CE4" w:rsidRPr="006B6CE4">
        <w:t>(</w:t>
      </w:r>
      <w:r w:rsidRPr="006B6CE4">
        <w:t>2005</w:t>
      </w:r>
      <w:r w:rsidR="006B6CE4" w:rsidRPr="006B6CE4">
        <w:t>)</w:t>
      </w:r>
      <w:r w:rsidRPr="00702ACF">
        <w:t xml:space="preserve"> is integral to safeguarding adults in Wales. It establishes a presumption of capacity (Section 1) and outlines the requirement to support individuals to make their own decisions wherever possible. When a person lacks capacity, any decision made on their behalf must be in their best interests (Section 4). For safeguarding practice, this means that consent to share information or to accept support cannot be assumed where an adult is unable to understand the risks they face. In </w:t>
      </w:r>
      <w:r w:rsidRPr="00702ACF">
        <w:lastRenderedPageBreak/>
        <w:t>such cases, local authorities have a duty under Part 7 of SSWBA</w:t>
      </w:r>
      <w:r w:rsidR="006B6CE4">
        <w:t xml:space="preserve"> (2014</w:t>
      </w:r>
      <w:r w:rsidR="007D7259">
        <w:t>b</w:t>
      </w:r>
      <w:r w:rsidR="006B6CE4">
        <w:t>)</w:t>
      </w:r>
      <w:r w:rsidRPr="00702ACF">
        <w:t xml:space="preserve"> to take protective action. The Mental Health Act </w:t>
      </w:r>
      <w:r w:rsidR="006B6CE4">
        <w:t>(</w:t>
      </w:r>
      <w:r w:rsidRPr="00702ACF">
        <w:t>1983</w:t>
      </w:r>
      <w:r w:rsidR="006B6CE4">
        <w:t>)</w:t>
      </w:r>
      <w:r w:rsidRPr="00702ACF">
        <w:t xml:space="preserve"> further provides a legal framework for intervention when</w:t>
      </w:r>
      <w:r w:rsidR="00EB6740">
        <w:t xml:space="preserve"> a</w:t>
      </w:r>
      <w:r w:rsidRPr="00702ACF">
        <w:t xml:space="preserve"> mental disorder poses a risk to the individual or others, </w:t>
      </w:r>
      <w:r w:rsidR="00EB6740">
        <w:t>working alongside</w:t>
      </w:r>
      <w:r w:rsidRPr="00702ACF">
        <w:t xml:space="preserve"> the MCA by balancing protection with rights to liberty and dignity</w:t>
      </w:r>
      <w:r w:rsidR="00E67A17">
        <w:t>.</w:t>
      </w:r>
      <w:r w:rsidRPr="00702ACF">
        <w:br/>
      </w:r>
      <w:r w:rsidRPr="00702ACF">
        <w:br/>
      </w:r>
      <w:r w:rsidRPr="00E67A17">
        <w:t xml:space="preserve">The Equality Act </w:t>
      </w:r>
      <w:r w:rsidR="00E67A17" w:rsidRPr="00E67A17">
        <w:t>(</w:t>
      </w:r>
      <w:r w:rsidRPr="00E67A17">
        <w:t>2010</w:t>
      </w:r>
      <w:r w:rsidR="00E67A17" w:rsidRPr="00E67A17">
        <w:t>)</w:t>
      </w:r>
      <w:r w:rsidRPr="00702ACF">
        <w:t xml:space="preserve"> underpins all safeguarding practice by prohibiting discrimination and promoting equality. The Act requires public bodies to consider how their decisions and services affect people with protected characteristics, ensuring fair and inclusive safeguarding responses.</w:t>
      </w:r>
      <w:r w:rsidR="000712DE">
        <w:t xml:space="preserve"> Under the Act and individual may not be discriminated against based on age, disability, gender reassignment, marital status, pregnancy, race, religion, sex or sexual orientation.</w:t>
      </w:r>
      <w:r w:rsidRPr="00702ACF">
        <w:br/>
      </w:r>
      <w:r w:rsidRPr="00702ACF">
        <w:br/>
        <w:t xml:space="preserve">The </w:t>
      </w:r>
      <w:r w:rsidRPr="009909CE">
        <w:t>Welsh Language (Wales) Measure</w:t>
      </w:r>
      <w:r w:rsidR="009909CE" w:rsidRPr="009909CE">
        <w:t>s</w:t>
      </w:r>
      <w:r w:rsidRPr="009909CE">
        <w:t xml:space="preserve"> </w:t>
      </w:r>
      <w:r w:rsidR="009909CE">
        <w:t>(</w:t>
      </w:r>
      <w:r w:rsidRPr="009909CE">
        <w:t>2011</w:t>
      </w:r>
      <w:r w:rsidR="009909CE">
        <w:t>)</w:t>
      </w:r>
      <w:r w:rsidRPr="00702ACF">
        <w:t xml:space="preserve"> established the Welsh Language Standards, giving Welsh equal legal status to English in public service delivery. The </w:t>
      </w:r>
      <w:r w:rsidRPr="008E23A8">
        <w:t>“More than Just Words” Framework (</w:t>
      </w:r>
      <w:r w:rsidR="008E23A8">
        <w:t xml:space="preserve">Welsh Government, </w:t>
      </w:r>
      <w:r w:rsidRPr="008E23A8">
        <w:t>2022)</w:t>
      </w:r>
      <w:r w:rsidRPr="00702ACF">
        <w:t xml:space="preserve"> builds on this by promoting active offer of Welsh language services in health and social care, recognising that language choice is a key component of dignity, identity, and effective communication</w:t>
      </w:r>
      <w:r w:rsidR="000C6649">
        <w:t>, and can improve outcomes</w:t>
      </w:r>
      <w:r w:rsidRPr="00702ACF">
        <w:t>.</w:t>
      </w:r>
      <w:r w:rsidR="000C6649">
        <w:t xml:space="preserve">  The framework is underpinned by</w:t>
      </w:r>
      <w:r w:rsidR="008E23A8">
        <w:t xml:space="preserve"> the</w:t>
      </w:r>
      <w:r w:rsidR="000C6649">
        <w:t xml:space="preserve"> Welsh language being a need, not a right</w:t>
      </w:r>
      <w:r w:rsidR="008E23A8">
        <w:t xml:space="preserve">. </w:t>
      </w:r>
      <w:r w:rsidRPr="00702ACF">
        <w:t>For safeguarding, this means that assessments and support must consider linguistic preference as part of person-centred care, ensuring individuals are able to express concerns and give informed consent in their preferred language.</w:t>
      </w:r>
      <w:r w:rsidRPr="00702ACF">
        <w:br/>
      </w:r>
    </w:p>
    <w:p w14:paraId="3288D289" w14:textId="6ABA01A2" w:rsidR="00857BD2" w:rsidRDefault="00857BD2" w:rsidP="00BC0885">
      <w:pPr>
        <w:spacing w:line="360" w:lineRule="auto"/>
        <w:jc w:val="both"/>
      </w:pPr>
      <w:r w:rsidRPr="004B7EB2">
        <w:t>At the UK level, safeguarding practice aligns with the</w:t>
      </w:r>
      <w:r w:rsidR="008E23A8">
        <w:t xml:space="preserve"> Care Act 2014 </w:t>
      </w:r>
      <w:r w:rsidR="007D7259">
        <w:rPr>
          <w:noProof/>
        </w:rPr>
        <w:t>(UK Government, 2014)</w:t>
      </w:r>
      <w:r w:rsidRPr="004B7EB2">
        <w:t xml:space="preserve"> in England, </w:t>
      </w:r>
      <w:r>
        <w:t>which have</w:t>
      </w:r>
      <w:r w:rsidRPr="004B7EB2">
        <w:t xml:space="preserve"> similar definitions of </w:t>
      </w:r>
      <w:r>
        <w:t>neglect and abuse</w:t>
      </w:r>
      <w:r w:rsidRPr="004B7EB2">
        <w:t>. While social services are devolved</w:t>
      </w:r>
      <w:r>
        <w:t xml:space="preserve"> across the UK</w:t>
      </w:r>
      <w:r w:rsidRPr="004B7EB2">
        <w:t>, cross-border cooperation is critical when cases involve the armed forces</w:t>
      </w:r>
      <w:r>
        <w:t>, where an individuals</w:t>
      </w:r>
      <w:r w:rsidR="009B5FFF">
        <w:t>’</w:t>
      </w:r>
      <w:r>
        <w:t xml:space="preserve"> primary health care may be under NHS England while at their place of work, yet when they become unwell and are allowed to return to their home town, their care and support needs become the duty of the local authority</w:t>
      </w:r>
      <w:r w:rsidR="000712DE">
        <w:t>,</w:t>
      </w:r>
      <w:r>
        <w:t xml:space="preserve"> should they be intending to remain there after they leave service</w:t>
      </w:r>
      <w:r w:rsidRPr="004B7EB2">
        <w:t xml:space="preserve">. </w:t>
      </w:r>
      <w:r w:rsidRPr="00556331">
        <w:t>The MOD’s Defence People Health and Wellbeing Strategy (2017–2022) commits</w:t>
      </w:r>
      <w:r w:rsidRPr="004B7EB2">
        <w:t xml:space="preserve"> to collaborative working with civilian agencies to ensure continuity of care for serving personnel and veterans.</w:t>
      </w:r>
      <w:r>
        <w:t xml:space="preserve">  This is in line with the principle of multi-agency working under SSWBA.</w:t>
      </w:r>
    </w:p>
    <w:p w14:paraId="6E392BA4" w14:textId="607F676F" w:rsidR="005A7856" w:rsidRDefault="00836215" w:rsidP="00BC0885">
      <w:pPr>
        <w:spacing w:line="360" w:lineRule="auto"/>
        <w:jc w:val="both"/>
      </w:pPr>
      <w:r w:rsidRPr="00001AA8">
        <w:t xml:space="preserve">Safeguarding practice requires professionals to recognise categories of risk, </w:t>
      </w:r>
      <w:r>
        <w:t>assess for</w:t>
      </w:r>
      <w:r w:rsidRPr="00001AA8">
        <w:t xml:space="preserve"> vulnerabilities, and take </w:t>
      </w:r>
      <w:r>
        <w:t>appropriate</w:t>
      </w:r>
      <w:r w:rsidRPr="00001AA8">
        <w:t xml:space="preserve"> action to protect individuals from harm. </w:t>
      </w:r>
      <w:r w:rsidR="009C6F02">
        <w:t>1</w:t>
      </w:r>
      <w:r w:rsidR="009C6F02" w:rsidRPr="00001AA8">
        <w:t xml:space="preserve"> is an adult at risk</w:t>
      </w:r>
      <w:r w:rsidR="000712DE">
        <w:t>,</w:t>
      </w:r>
      <w:r w:rsidR="009C6F02" w:rsidRPr="00001AA8">
        <w:t xml:space="preserve"> as defined by SSWBA, since he has needs for care and support due to PTSD, has experienced domestic violence, and is unable on his own to fully protect himself from further harm. </w:t>
      </w:r>
      <w:r w:rsidR="005A7856">
        <w:t xml:space="preserve">  Under SSWBA and </w:t>
      </w:r>
      <w:r w:rsidR="0087096E">
        <w:t>Welsh Government (2019),</w:t>
      </w:r>
      <w:r w:rsidR="005A7856">
        <w:t xml:space="preserve"> categorises of safeguarding risk for adults include physical abuse, sexual abuse, financial abuse, </w:t>
      </w:r>
      <w:r w:rsidR="005A7856">
        <w:lastRenderedPageBreak/>
        <w:t>discriminatory abuse, neglect, organisational abuse, domestic abuse, modern slavery, exploitation and self-neglect, and recognises harm caused by exposure to domestic abuse.  Safeguarding practices in Wales also acknowledges wider risks such as parental mental illness, substance misuse, isolation and deprivation which can amplify vulnerability.</w:t>
      </w:r>
    </w:p>
    <w:p w14:paraId="406FF76F" w14:textId="64E73A51" w:rsidR="00922087" w:rsidRDefault="009C6F02" w:rsidP="00BC0885">
      <w:pPr>
        <w:spacing w:line="360" w:lineRule="auto"/>
        <w:jc w:val="both"/>
      </w:pPr>
      <w:r w:rsidRPr="00001AA8">
        <w:t xml:space="preserve">Several categories of safeguarding risk are </w:t>
      </w:r>
      <w:r>
        <w:t>relevant for 1</w:t>
      </w:r>
      <w:r w:rsidR="00922087">
        <w:t xml:space="preserve"> including</w:t>
      </w:r>
      <w:r>
        <w:t xml:space="preserve"> </w:t>
      </w:r>
      <w:r w:rsidR="00922087">
        <w:t>d</w:t>
      </w:r>
      <w:r>
        <w:t xml:space="preserve">omestic violence </w:t>
      </w:r>
      <w:r w:rsidR="00922087">
        <w:t>and</w:t>
      </w:r>
      <w:r>
        <w:t xml:space="preserve"> coercive controlling behaviour</w:t>
      </w:r>
      <w:r w:rsidR="00922087">
        <w:t xml:space="preserve"> prior to the tragic death of 2.  </w:t>
      </w:r>
      <w:r>
        <w:t>The incident leading to 1’s arrest highlights how male victims can be instinctively perceived as a</w:t>
      </w:r>
      <w:r w:rsidR="00FA73C0">
        <w:t>n</w:t>
      </w:r>
      <w:r>
        <w:t xml:space="preserve"> </w:t>
      </w:r>
      <w:r w:rsidR="00FA73C0">
        <w:t>offender,</w:t>
      </w:r>
      <w:r>
        <w:t xml:space="preserve"> </w:t>
      </w:r>
      <w:r w:rsidR="002F06FC">
        <w:t>and discriminated against by authorities</w:t>
      </w:r>
      <w:r w:rsidR="00B42BFD">
        <w:t xml:space="preserve"> due to socially constructed </w:t>
      </w:r>
      <w:r w:rsidR="00B42BFD" w:rsidRPr="0087096E">
        <w:t xml:space="preserve">views that presume the female to be the victim </w:t>
      </w:r>
      <w:sdt>
        <w:sdtPr>
          <w:id w:val="286169283"/>
          <w:citation/>
        </w:sdtPr>
        <w:sdtContent>
          <w:r w:rsidR="00B42BFD" w:rsidRPr="0087096E">
            <w:fldChar w:fldCharType="begin"/>
          </w:r>
          <w:r w:rsidR="00B42BFD" w:rsidRPr="0087096E">
            <w:instrText xml:space="preserve">CITATION Jov21 \l 2057 </w:instrText>
          </w:r>
          <w:r w:rsidR="00B42BFD" w:rsidRPr="0087096E">
            <w:fldChar w:fldCharType="separate"/>
          </w:r>
          <w:r w:rsidR="005D24B8">
            <w:rPr>
              <w:noProof/>
            </w:rPr>
            <w:t>(Jovanoski &amp; Sharmalanov, 2021)</w:t>
          </w:r>
          <w:r w:rsidR="00B42BFD" w:rsidRPr="0087096E">
            <w:fldChar w:fldCharType="end"/>
          </w:r>
        </w:sdtContent>
      </w:sdt>
      <w:r w:rsidR="00B42BFD" w:rsidRPr="0087096E">
        <w:t xml:space="preserve">.  </w:t>
      </w:r>
      <w:r w:rsidR="00922087" w:rsidRPr="0087096E">
        <w:t>In rural</w:t>
      </w:r>
      <w:r w:rsidR="00922087" w:rsidRPr="00001AA8">
        <w:t xml:space="preserve"> Wales, social stigma surrounding male victimhood, rumours surrounding the ex-wife’s death, and limited access to specialist services exacerbate risk of social isolation. </w:t>
      </w:r>
      <w:r w:rsidR="00BD3B33" w:rsidRPr="0087096E">
        <w:rPr>
          <w:noProof/>
        </w:rPr>
        <w:t>Taylor, et al. (2022)</w:t>
      </w:r>
      <w:r w:rsidR="00134084">
        <w:t xml:space="preserve"> </w:t>
      </w:r>
      <w:r w:rsidR="00922087" w:rsidRPr="00001AA8">
        <w:t>indicate that stigma can act as a barrier to help-seeking and can lead to deterioration in wellbeing</w:t>
      </w:r>
      <w:r w:rsidR="00134084">
        <w:t xml:space="preserve">. </w:t>
      </w:r>
      <w:r w:rsidR="00BD3B33">
        <w:t xml:space="preserve">1 was navigating a significant transition having been away from the community for several years and adapting to the cultural changes from military life to civilian life, coupled with a lack of anonymity in his </w:t>
      </w:r>
      <w:proofErr w:type="gramStart"/>
      <w:r w:rsidR="00BD3B33">
        <w:t>home town</w:t>
      </w:r>
      <w:proofErr w:type="gramEnd"/>
      <w:r w:rsidR="00BD3B33">
        <w:t>, rural deprivation</w:t>
      </w:r>
      <w:r w:rsidR="00FA73C0">
        <w:t>,</w:t>
      </w:r>
      <w:r w:rsidR="00BD3B33">
        <w:t xml:space="preserve"> and rumours pertaining to him being the reason 2 ended her life</w:t>
      </w:r>
      <w:r w:rsidR="0087096E">
        <w:t xml:space="preserve">. </w:t>
      </w:r>
      <w:r w:rsidR="00BD3B33">
        <w:t xml:space="preserve"> </w:t>
      </w:r>
      <w:r w:rsidR="0087096E">
        <w:t xml:space="preserve">These contributing factors </w:t>
      </w:r>
      <w:r w:rsidR="00BD3B33">
        <w:t xml:space="preserve">may well </w:t>
      </w:r>
      <w:r w:rsidR="0087096E">
        <w:t xml:space="preserve">have </w:t>
      </w:r>
      <w:r w:rsidR="00BD3B33">
        <w:t>contribute</w:t>
      </w:r>
      <w:r w:rsidR="0087096E">
        <w:t>d</w:t>
      </w:r>
      <w:r w:rsidR="00BD3B33">
        <w:t xml:space="preserve"> to an increased risk of marginalisation. </w:t>
      </w:r>
      <w:r w:rsidR="00F95098">
        <w:t>Individuals leaving the Armed Forces</w:t>
      </w:r>
      <w:r w:rsidR="0087096E">
        <w:t>,</w:t>
      </w:r>
      <w:r w:rsidR="00F95098">
        <w:t xml:space="preserve"> according to Kapur </w:t>
      </w:r>
      <w:r w:rsidR="0087096E" w:rsidRPr="003D1423">
        <w:rPr>
          <w:i/>
          <w:iCs/>
        </w:rPr>
        <w:t>e</w:t>
      </w:r>
      <w:r w:rsidR="00F95098" w:rsidRPr="003D1423">
        <w:rPr>
          <w:i/>
          <w:iCs/>
        </w:rPr>
        <w:t>t al</w:t>
      </w:r>
      <w:r w:rsidR="00F95098">
        <w:t xml:space="preserve">. (2009) are at significant risk of suicide while living with mental illness and adapting to new </w:t>
      </w:r>
      <w:proofErr w:type="gramStart"/>
      <w:r w:rsidR="00F95098">
        <w:t>life</w:t>
      </w:r>
      <w:r w:rsidR="003D1423">
        <w:t>,</w:t>
      </w:r>
      <w:r w:rsidR="00F95098">
        <w:t xml:space="preserve"> and</w:t>
      </w:r>
      <w:proofErr w:type="gramEnd"/>
      <w:r w:rsidR="00F95098">
        <w:t xml:space="preserve"> encourages help-seeking behaviours. </w:t>
      </w:r>
      <w:r w:rsidR="003D1423">
        <w:t>1’s circumstances have</w:t>
      </w:r>
      <w:r w:rsidR="0091172A">
        <w:t xml:space="preserve"> led to him being considered an</w:t>
      </w:r>
      <w:r w:rsidR="00F95098">
        <w:t xml:space="preserve"> individual who was at increased risk of harm</w:t>
      </w:r>
      <w:r w:rsidR="00FA73C0">
        <w:t xml:space="preserve"> and</w:t>
      </w:r>
      <w:r w:rsidR="00F95098">
        <w:t xml:space="preserve"> unlikely to seek help while being a victim of domestic abuse and being part of a cohort of people less likely to </w:t>
      </w:r>
      <w:r w:rsidR="00FA73C0">
        <w:t>reach out</w:t>
      </w:r>
      <w:r w:rsidR="00F95098">
        <w:t xml:space="preserve">.  In fact, on the day of 2’s funeral I received a call from emergency services informing me he had been reported missing. He was found on the beach and disclosed to me </w:t>
      </w:r>
      <w:proofErr w:type="gramStart"/>
      <w:r w:rsidR="00F95098">
        <w:t>later on</w:t>
      </w:r>
      <w:proofErr w:type="gramEnd"/>
      <w:r w:rsidR="00F95098">
        <w:t xml:space="preserve"> that he was contemplating ending his life.  At the time emergency services were satisfied that he was not a risk to himself and he went home.  The </w:t>
      </w:r>
      <w:r w:rsidR="009A6B6A">
        <w:t>ambulance crew, rightly, made further safeguarding referrals to the local authority</w:t>
      </w:r>
      <w:r w:rsidR="00FA73C0">
        <w:t>, correctly</w:t>
      </w:r>
      <w:r w:rsidR="009A6B6A">
        <w:t xml:space="preserve"> following</w:t>
      </w:r>
      <w:r w:rsidR="0091172A">
        <w:t xml:space="preserve"> safeguarding procedures (Welsh Government 2019</w:t>
      </w:r>
      <w:r w:rsidR="007213C5">
        <w:t xml:space="preserve"> </w:t>
      </w:r>
    </w:p>
    <w:p w14:paraId="0AAF52C6" w14:textId="1542FA75" w:rsidR="0070036E" w:rsidRPr="00001AA8" w:rsidRDefault="007213C5" w:rsidP="00BC0885">
      <w:pPr>
        <w:tabs>
          <w:tab w:val="num" w:pos="720"/>
        </w:tabs>
        <w:spacing w:line="360" w:lineRule="auto"/>
        <w:jc w:val="both"/>
      </w:pPr>
      <w:r>
        <w:t xml:space="preserve">Working in Defence Mental Health Services it is the responsibility of all professionals to understand their responsibility for identifying safeguarding concerns and </w:t>
      </w:r>
      <w:proofErr w:type="gramStart"/>
      <w:r>
        <w:t>take action</w:t>
      </w:r>
      <w:proofErr w:type="gramEnd"/>
      <w:r>
        <w:t>.  However, it is not within the remit of the MOD to investigate safeguarding concerns.  Instead, they are required to identify concerns and report to the relevant local authority safeguarding team while continuing to support the service member and provide primary care. They are also expected to collaborate with services to provide information about the individuals</w:t>
      </w:r>
      <w:r w:rsidR="000946A5">
        <w:t>’</w:t>
      </w:r>
      <w:r>
        <w:t xml:space="preserve"> circumstances and ensur</w:t>
      </w:r>
      <w:r w:rsidR="00FA73C0">
        <w:t>e</w:t>
      </w:r>
      <w:r>
        <w:t xml:space="preserve"> </w:t>
      </w:r>
      <w:r w:rsidR="0070036E">
        <w:t>continuity</w:t>
      </w:r>
      <w:r>
        <w:t xml:space="preserve"> of care between civilian and military systems. </w:t>
      </w:r>
      <w:r w:rsidR="0070036E">
        <w:t xml:space="preserve"> ‘</w:t>
      </w:r>
      <w:r w:rsidR="0070036E" w:rsidRPr="0070036E">
        <w:t>Organisations need to share safeguarding information with the right people at the right time to</w:t>
      </w:r>
      <w:r w:rsidR="0070036E">
        <w:t xml:space="preserve"> </w:t>
      </w:r>
      <w:r w:rsidR="0070036E" w:rsidRPr="0070036E">
        <w:t>prevent death or serious harm</w:t>
      </w:r>
      <w:r w:rsidR="0070036E">
        <w:t xml:space="preserve">; </w:t>
      </w:r>
      <w:r w:rsidR="0070036E" w:rsidRPr="0070036E">
        <w:t>coordinate effective and efficient responses</w:t>
      </w:r>
      <w:r w:rsidR="0070036E">
        <w:t xml:space="preserve">; and </w:t>
      </w:r>
      <w:r w:rsidR="0070036E" w:rsidRPr="0070036E">
        <w:t>enable early interventions to prevent the escalation of risk</w:t>
      </w:r>
      <w:r w:rsidR="0070036E">
        <w:t xml:space="preserve">’ </w:t>
      </w:r>
      <w:sdt>
        <w:sdtPr>
          <w:id w:val="-17322058"/>
          <w:citation/>
        </w:sdtPr>
        <w:sdtContent>
          <w:r w:rsidR="0070036E">
            <w:fldChar w:fldCharType="begin"/>
          </w:r>
          <w:r w:rsidR="0070036E">
            <w:instrText xml:space="preserve"> CITATION Soc19 \l 2057 </w:instrText>
          </w:r>
          <w:r w:rsidR="0070036E">
            <w:fldChar w:fldCharType="separate"/>
          </w:r>
          <w:r w:rsidR="005D24B8">
            <w:rPr>
              <w:noProof/>
            </w:rPr>
            <w:t>(Social Care Institute for Excellence, 2019)</w:t>
          </w:r>
          <w:r w:rsidR="0070036E">
            <w:fldChar w:fldCharType="end"/>
          </w:r>
        </w:sdtContent>
      </w:sdt>
    </w:p>
    <w:p w14:paraId="7CA269ED" w14:textId="22F22F65" w:rsidR="00FC5987" w:rsidRDefault="001002DE" w:rsidP="00BC0885">
      <w:pPr>
        <w:tabs>
          <w:tab w:val="num" w:pos="720"/>
        </w:tabs>
        <w:spacing w:line="360" w:lineRule="auto"/>
        <w:jc w:val="both"/>
      </w:pPr>
      <w:r>
        <w:lastRenderedPageBreak/>
        <w:t xml:space="preserve">Once </w:t>
      </w:r>
      <w:r w:rsidR="00973F97">
        <w:t xml:space="preserve">a referral is received from an organization such as MOD Mental Health Services, </w:t>
      </w:r>
      <w:r w:rsidR="00FC5987">
        <w:t>Local Aut</w:t>
      </w:r>
      <w:r w:rsidR="00953120">
        <w:t>h</w:t>
      </w:r>
      <w:r w:rsidR="00FC5987">
        <w:t>orities</w:t>
      </w:r>
      <w:r w:rsidR="000F4012">
        <w:t xml:space="preserve"> are guided </w:t>
      </w:r>
      <w:r w:rsidR="000F4012" w:rsidRPr="00953120">
        <w:t xml:space="preserve">by </w:t>
      </w:r>
      <w:r w:rsidR="001A214D" w:rsidRPr="003C04E9">
        <w:t>Wales Safeguarding Procedures</w:t>
      </w:r>
      <w:r w:rsidR="001A214D" w:rsidRPr="00953120">
        <w:t xml:space="preserve"> (Welsh Government, 2021),</w:t>
      </w:r>
      <w:r w:rsidR="001A214D">
        <w:t xml:space="preserve"> supported by the Safeguarding Procedures app which provides practitioners with guidan</w:t>
      </w:r>
      <w:r w:rsidR="007842D9">
        <w:t>ce on process, thresholds</w:t>
      </w:r>
      <w:r w:rsidR="00953120">
        <w:t>,</w:t>
      </w:r>
      <w:r w:rsidR="007842D9">
        <w:t xml:space="preserve"> categories of abuse</w:t>
      </w:r>
      <w:r w:rsidR="00953120">
        <w:t xml:space="preserve"> and</w:t>
      </w:r>
      <w:r w:rsidR="007842D9">
        <w:t xml:space="preserve"> next steps</w:t>
      </w:r>
      <w:r w:rsidR="00953120">
        <w:t>,</w:t>
      </w:r>
      <w:r w:rsidR="007842D9">
        <w:t xml:space="preserve"> and </w:t>
      </w:r>
      <w:r w:rsidR="002E71CD">
        <w:t>is a convenient tool for access while in the community.</w:t>
      </w:r>
      <w:r w:rsidR="008623F5">
        <w:t xml:space="preserve">  </w:t>
      </w:r>
      <w:r w:rsidR="00FC5987">
        <w:t>An initial screen</w:t>
      </w:r>
      <w:r w:rsidR="00953120">
        <w:t>ing</w:t>
      </w:r>
      <w:r w:rsidR="00FC5987">
        <w:t xml:space="preserve"> and decision </w:t>
      </w:r>
      <w:proofErr w:type="gramStart"/>
      <w:r w:rsidR="00FC5987">
        <w:t>is</w:t>
      </w:r>
      <w:proofErr w:type="gramEnd"/>
      <w:r w:rsidR="00FC5987">
        <w:t xml:space="preserve"> made </w:t>
      </w:r>
      <w:r w:rsidR="00A261CA">
        <w:t>usually by a triage team</w:t>
      </w:r>
      <w:r w:rsidR="00722DE3">
        <w:t xml:space="preserve"> </w:t>
      </w:r>
      <w:r w:rsidR="009A13DB">
        <w:t xml:space="preserve">to accept the referral and take to a strategy </w:t>
      </w:r>
      <w:r w:rsidR="00A021D4">
        <w:t>discussion to determine risk</w:t>
      </w:r>
      <w:r w:rsidR="00176B9D">
        <w:t>.  If there is immediate risk</w:t>
      </w:r>
      <w:r w:rsidR="00953120">
        <w:t>,</w:t>
      </w:r>
      <w:r w:rsidR="00176B9D">
        <w:t xml:space="preserve"> a multi-agency s</w:t>
      </w:r>
      <w:r w:rsidR="00544CF6">
        <w:t>afeguarding hu</w:t>
      </w:r>
      <w:r w:rsidR="00912C1B">
        <w:t>b (MASH) s</w:t>
      </w:r>
      <w:r w:rsidR="00176B9D">
        <w:t>trategy meeting is call</w:t>
      </w:r>
      <w:r w:rsidR="003C04E9">
        <w:t>ed</w:t>
      </w:r>
      <w:r w:rsidR="008D09A0">
        <w:t xml:space="preserve"> which may include, adult safeguarding professionals, 1’s mental health </w:t>
      </w:r>
      <w:r w:rsidR="00C90009">
        <w:t>team and MOD welfare representatives along with Police input</w:t>
      </w:r>
      <w:r w:rsidR="00CC0A49">
        <w:t xml:space="preserve"> to assess his risk and protection needs</w:t>
      </w:r>
      <w:r w:rsidR="001C2B6B">
        <w:t xml:space="preserve"> and ensure coordinated action and information sharing.</w:t>
      </w:r>
      <w:r w:rsidR="000D4807">
        <w:t xml:space="preserve">  Whilst it is commonly accepted that </w:t>
      </w:r>
      <w:r w:rsidR="003F0A50">
        <w:t>information sharing within safeguarding is vital to avoid poor outcomes and catastrophic cases</w:t>
      </w:r>
      <w:r w:rsidR="000F2A47">
        <w:t xml:space="preserve">, </w:t>
      </w:r>
      <w:r w:rsidR="00621780">
        <w:t xml:space="preserve">Shorrock et al. (2020) argue that </w:t>
      </w:r>
      <w:r w:rsidR="00131E65">
        <w:t xml:space="preserve">without unified guidance and </w:t>
      </w:r>
      <w:r w:rsidR="005079A0">
        <w:t>common governance within the multi-disciplinary approach, responsibility can get lost</w:t>
      </w:r>
      <w:r w:rsidR="00ED3FBD">
        <w:t xml:space="preserve"> and a more robust </w:t>
      </w:r>
      <w:r w:rsidR="0067446C">
        <w:t xml:space="preserve">structure of leadership is required. </w:t>
      </w:r>
    </w:p>
    <w:p w14:paraId="032E8B04" w14:textId="51DF218F" w:rsidR="00CC0A49" w:rsidRDefault="00CC0A49" w:rsidP="00BC0885">
      <w:pPr>
        <w:tabs>
          <w:tab w:val="num" w:pos="720"/>
        </w:tabs>
        <w:spacing w:line="360" w:lineRule="auto"/>
        <w:jc w:val="both"/>
      </w:pPr>
      <w:r>
        <w:t xml:space="preserve">Under </w:t>
      </w:r>
      <w:r w:rsidRPr="003C04E9">
        <w:t>Part 3 of SSWBA</w:t>
      </w:r>
      <w:r>
        <w:t xml:space="preserve"> </w:t>
      </w:r>
      <w:r w:rsidR="007D7259">
        <w:t xml:space="preserve">(2014c) </w:t>
      </w:r>
      <w:r>
        <w:t>a</w:t>
      </w:r>
      <w:r w:rsidR="007D7259">
        <w:t xml:space="preserve"> needs</w:t>
      </w:r>
      <w:r>
        <w:t xml:space="preserve"> </w:t>
      </w:r>
      <w:r w:rsidR="00FA73C0">
        <w:t>assessment would</w:t>
      </w:r>
      <w:r>
        <w:t xml:space="preserve"> be conducted to consider </w:t>
      </w:r>
      <w:r w:rsidR="001E7A1B">
        <w:t>1’s ment</w:t>
      </w:r>
      <w:r w:rsidR="003C04E9">
        <w:t>a</w:t>
      </w:r>
      <w:r w:rsidR="001E7A1B">
        <w:t xml:space="preserve">l health, parenting capacity, support networks and any risk to the child.  </w:t>
      </w:r>
      <w:r w:rsidR="007C73E9">
        <w:t xml:space="preserve">1’s voice would be </w:t>
      </w:r>
      <w:r w:rsidR="00077F53">
        <w:t>central to this assessment and as with the principles of SSWBA</w:t>
      </w:r>
      <w:r w:rsidR="00451CC2">
        <w:t xml:space="preserve"> the importance of co-production would be at the forefront of measures suggested and agreed. </w:t>
      </w:r>
      <w:r w:rsidR="00C2142B">
        <w:t xml:space="preserve">In Wales, voice and control is a fundamental principle of care and support and </w:t>
      </w:r>
      <w:r w:rsidR="00C85AEE">
        <w:t>evi</w:t>
      </w:r>
      <w:r w:rsidR="005C0EDF">
        <w:t xml:space="preserve">dence clearly informs that the best outcomes for individuals in need of care and support </w:t>
      </w:r>
      <w:r w:rsidR="005E5980">
        <w:t xml:space="preserve">are achieved when the individual is at the centre of </w:t>
      </w:r>
      <w:r w:rsidR="00A8535F">
        <w:t>planning</w:t>
      </w:r>
      <w:r w:rsidR="00A675D5">
        <w:t xml:space="preserve">.  Kam (2021) argues that </w:t>
      </w:r>
      <w:r w:rsidR="00FD40A2">
        <w:t xml:space="preserve">participatory practice achieves best results when </w:t>
      </w:r>
      <w:r w:rsidR="004D118A">
        <w:t>the individuals</w:t>
      </w:r>
      <w:r w:rsidR="00721FDF">
        <w:t>’</w:t>
      </w:r>
      <w:r w:rsidR="004D118A">
        <w:t xml:space="preserve"> strengths are utilized to help them feel empowered to make change.  In 1’s case </w:t>
      </w:r>
      <w:r w:rsidR="00D17385">
        <w:t>the strong protective factor of his son’s safety informed many of the decisions around both of their safety initi</w:t>
      </w:r>
      <w:r w:rsidR="00B06949">
        <w:t xml:space="preserve">ally and especially following 2’s </w:t>
      </w:r>
      <w:proofErr w:type="gramStart"/>
      <w:r w:rsidR="00B06949">
        <w:t>death</w:t>
      </w:r>
      <w:r w:rsidR="00721FDF">
        <w:t>,</w:t>
      </w:r>
      <w:r w:rsidR="00B06949">
        <w:t xml:space="preserve"> and</w:t>
      </w:r>
      <w:proofErr w:type="gramEnd"/>
      <w:r w:rsidR="00B06949">
        <w:t xml:space="preserve"> led to </w:t>
      </w:r>
      <w:r w:rsidR="002F228F">
        <w:t>both adapting well to the new situation after the tragedy.</w:t>
      </w:r>
      <w:r w:rsidR="0001185E">
        <w:t xml:space="preserve">  To this end the next stage of the process would have been </w:t>
      </w:r>
      <w:r w:rsidR="00172B43">
        <w:t>protective action and care planning, including referrals to specialist services particularly around domestic abuse</w:t>
      </w:r>
      <w:r w:rsidR="000062C7">
        <w:t xml:space="preserve"> while considering a trauma-focussed approach to 1’s PTSD </w:t>
      </w:r>
      <w:r w:rsidR="004E4073">
        <w:t xml:space="preserve">symptoms and ultimately grief counselling and parental support. </w:t>
      </w:r>
    </w:p>
    <w:p w14:paraId="6999B762" w14:textId="223A3B46" w:rsidR="00C2091F" w:rsidRDefault="00C362E7" w:rsidP="00BC0885">
      <w:pPr>
        <w:tabs>
          <w:tab w:val="num" w:pos="720"/>
        </w:tabs>
        <w:spacing w:line="360" w:lineRule="auto"/>
        <w:jc w:val="both"/>
      </w:pPr>
      <w:r>
        <w:t>Once a risk management and safety plan is agreed with the individual</w:t>
      </w:r>
      <w:r w:rsidR="00C12EFC">
        <w:t>, regular review meetings would then be arranged to monitor progress and assess any further risk</w:t>
      </w:r>
      <w:r w:rsidR="00C2091F">
        <w:t>.</w:t>
      </w:r>
      <w:r w:rsidR="002B0178">
        <w:t xml:space="preserve">  Ultimately safeguarding responses </w:t>
      </w:r>
      <w:r w:rsidR="007C7570">
        <w:t xml:space="preserve">require social workers to make professional judgements </w:t>
      </w:r>
      <w:r w:rsidR="00A5337F">
        <w:t>while balancing the rights and needs of the individual with the risk to them and others</w:t>
      </w:r>
      <w:r w:rsidR="00980AB9">
        <w:t>,</w:t>
      </w:r>
      <w:r w:rsidR="00E75663">
        <w:t xml:space="preserve"> and a robust knowledge of policy and procedure </w:t>
      </w:r>
      <w:r w:rsidR="003229A9">
        <w:t>and/or understanding of where to obtain the information such as the Wales Safeguarding Procedures app</w:t>
      </w:r>
      <w:r w:rsidR="00977BCC">
        <w:t xml:space="preserve">. </w:t>
      </w:r>
      <w:r w:rsidR="00721FDF">
        <w:t xml:space="preserve"> </w:t>
      </w:r>
      <w:r w:rsidR="00A310A3" w:rsidRPr="00721FDF">
        <w:t>The approach taken by practitioners</w:t>
      </w:r>
      <w:r w:rsidR="00690589" w:rsidRPr="00721FDF">
        <w:t xml:space="preserve"> in providing the right care and support is fundamental to </w:t>
      </w:r>
      <w:r w:rsidR="00BF50E7" w:rsidRPr="00721FDF">
        <w:t>achieving positive outcomes.</w:t>
      </w:r>
      <w:r w:rsidR="00BF50E7">
        <w:t xml:space="preserve">  </w:t>
      </w:r>
    </w:p>
    <w:p w14:paraId="7204A082" w14:textId="4DC76106" w:rsidR="0034089B" w:rsidRDefault="00C06D3C" w:rsidP="00BC0885">
      <w:pPr>
        <w:tabs>
          <w:tab w:val="num" w:pos="720"/>
        </w:tabs>
        <w:spacing w:line="360" w:lineRule="auto"/>
        <w:jc w:val="both"/>
      </w:pPr>
      <w:r>
        <w:lastRenderedPageBreak/>
        <w:t>Social work theory</w:t>
      </w:r>
      <w:r w:rsidR="00635AFF">
        <w:t xml:space="preserve"> gives practitioners evidence</w:t>
      </w:r>
      <w:r w:rsidR="00721FDF">
        <w:t>-</w:t>
      </w:r>
      <w:r w:rsidR="00635AFF">
        <w:t>based frameworks which support practice by</w:t>
      </w:r>
      <w:r w:rsidR="00B7534E">
        <w:t xml:space="preserve"> interpreting complex cases, </w:t>
      </w:r>
      <w:r w:rsidR="00774ADD">
        <w:t>predict</w:t>
      </w:r>
      <w:r w:rsidR="00511F44">
        <w:t>ing</w:t>
      </w:r>
      <w:r w:rsidR="00774ADD">
        <w:t xml:space="preserve"> outcomes, plan</w:t>
      </w:r>
      <w:r w:rsidR="00511F44">
        <w:t xml:space="preserve">ning interventions and </w:t>
      </w:r>
      <w:r w:rsidR="000B0F79">
        <w:t xml:space="preserve">reflecting on practice </w:t>
      </w:r>
      <w:r w:rsidR="00FA73C0">
        <w:rPr>
          <w:noProof/>
        </w:rPr>
        <w:t>(Maclean and Harrison, 2015)</w:t>
      </w:r>
      <w:r w:rsidR="00946621">
        <w:t>.</w:t>
      </w:r>
      <w:r w:rsidR="008D3237">
        <w:t xml:space="preserve">  </w:t>
      </w:r>
      <w:r w:rsidR="00EC0150">
        <w:t xml:space="preserve">The complex nature of 1’s situation required </w:t>
      </w:r>
      <w:r w:rsidR="007901E2">
        <w:t xml:space="preserve">consideration from </w:t>
      </w:r>
      <w:proofErr w:type="gramStart"/>
      <w:r w:rsidR="007901E2">
        <w:t>a number of</w:t>
      </w:r>
      <w:proofErr w:type="gramEnd"/>
      <w:r w:rsidR="007901E2">
        <w:t xml:space="preserve"> perspectives and the </w:t>
      </w:r>
      <w:r w:rsidR="00C32DB5">
        <w:t xml:space="preserve">use of theory assisted me to interpret and </w:t>
      </w:r>
      <w:r w:rsidR="009C5A27">
        <w:t>help</w:t>
      </w:r>
      <w:r w:rsidR="00065D7C">
        <w:t xml:space="preserve"> formulate a suitable approach to supporting him.</w:t>
      </w:r>
      <w:r w:rsidR="009B13F6">
        <w:t xml:space="preserve">  </w:t>
      </w:r>
    </w:p>
    <w:p w14:paraId="69708282" w14:textId="7DE03C7E" w:rsidR="0051328C" w:rsidRDefault="0051328C" w:rsidP="00BC0885">
      <w:pPr>
        <w:tabs>
          <w:tab w:val="num" w:pos="720"/>
        </w:tabs>
        <w:spacing w:line="360" w:lineRule="auto"/>
        <w:jc w:val="both"/>
      </w:pPr>
      <w:r>
        <w:t xml:space="preserve">Systems theory was developed by </w:t>
      </w:r>
      <w:r w:rsidR="00721FDF">
        <w:t xml:space="preserve">Urie </w:t>
      </w:r>
      <w:r w:rsidR="000277EA">
        <w:t xml:space="preserve">Bronfenbrenner (1979) and is </w:t>
      </w:r>
      <w:r w:rsidR="00427958">
        <w:t xml:space="preserve">based on the </w:t>
      </w:r>
      <w:r w:rsidR="00B9047C">
        <w:t>premiss</w:t>
      </w:r>
      <w:r w:rsidR="00AF00BD">
        <w:t xml:space="preserve"> that </w:t>
      </w:r>
      <w:proofErr w:type="gramStart"/>
      <w:r w:rsidR="00AF00BD">
        <w:t>individuals</w:t>
      </w:r>
      <w:proofErr w:type="gramEnd"/>
      <w:r w:rsidR="00AF00BD">
        <w:t xml:space="preserve"> lives are influenced and interconnected by many facets such as </w:t>
      </w:r>
      <w:r w:rsidR="003A7BF9">
        <w:t xml:space="preserve">family, social and institutional systems which </w:t>
      </w:r>
      <w:r w:rsidR="00B9047C">
        <w:t xml:space="preserve">can impact each other and ultimately affect the </w:t>
      </w:r>
      <w:proofErr w:type="gramStart"/>
      <w:r w:rsidR="00B9047C">
        <w:t>individuals</w:t>
      </w:r>
      <w:proofErr w:type="gramEnd"/>
      <w:r w:rsidR="00B9047C">
        <w:t xml:space="preserve"> life.</w:t>
      </w:r>
      <w:r w:rsidR="009D194A">
        <w:t xml:space="preserve">  </w:t>
      </w:r>
      <w:r w:rsidR="00FD4C9B">
        <w:t xml:space="preserve">Bronfenbrenner (1979) argues that </w:t>
      </w:r>
      <w:r w:rsidR="00AC49FC">
        <w:t>systems can be grouped as Microsystem</w:t>
      </w:r>
      <w:r w:rsidR="005047B3">
        <w:t>;</w:t>
      </w:r>
      <w:r w:rsidR="00AC49FC">
        <w:t xml:space="preserve"> Mesosystem</w:t>
      </w:r>
      <w:r w:rsidR="005047B3">
        <w:t>;</w:t>
      </w:r>
      <w:r w:rsidR="00AC49FC">
        <w:t xml:space="preserve"> </w:t>
      </w:r>
      <w:proofErr w:type="spellStart"/>
      <w:r w:rsidR="00AC49FC">
        <w:t>Exosytem</w:t>
      </w:r>
      <w:proofErr w:type="spellEnd"/>
      <w:r w:rsidR="005047B3">
        <w:t xml:space="preserve">; and Macrosystem.  In 1’s case these </w:t>
      </w:r>
      <w:r w:rsidR="005A2B89">
        <w:t xml:space="preserve">could be broken down to Microsystem – His relationship with his child, </w:t>
      </w:r>
      <w:r w:rsidR="003F41E5">
        <w:t xml:space="preserve">day to day parenting role and </w:t>
      </w:r>
      <w:r w:rsidR="005A2B89">
        <w:t>his mental health</w:t>
      </w:r>
      <w:r w:rsidR="003F41E5">
        <w:t xml:space="preserve">.  </w:t>
      </w:r>
      <w:proofErr w:type="spellStart"/>
      <w:r w:rsidR="003F41E5">
        <w:t>Mesosytem</w:t>
      </w:r>
      <w:proofErr w:type="spellEnd"/>
      <w:r w:rsidR="003F41E5">
        <w:t xml:space="preserve"> – Interactions with ex-wife, military colleagues, social services and </w:t>
      </w:r>
      <w:r w:rsidR="009E245F">
        <w:t xml:space="preserve">healthcare providers.  </w:t>
      </w:r>
      <w:proofErr w:type="spellStart"/>
      <w:r w:rsidR="009E245F">
        <w:t>Exosystem</w:t>
      </w:r>
      <w:proofErr w:type="spellEnd"/>
      <w:r w:rsidR="0019408E">
        <w:t xml:space="preserve"> – The Army, Safeguarding Teams, Police</w:t>
      </w:r>
      <w:r w:rsidR="004A7EC6">
        <w:t xml:space="preserve"> and school.  Macrosystem – Social influence of cultural norms in rural Wales</w:t>
      </w:r>
      <w:r w:rsidR="0055072E">
        <w:t>, stigma around male mental health, military culture and victimhood</w:t>
      </w:r>
      <w:r w:rsidR="00194C77">
        <w:t xml:space="preserve">. Systems theory helps to highlight how 1’s difficulties are not </w:t>
      </w:r>
      <w:r w:rsidR="00875226">
        <w:t>solely around individual trauma but are affected by wider factors from relationships to socially constructed attitudes</w:t>
      </w:r>
      <w:r w:rsidR="00D13F80">
        <w:t>.  His vulnerabilities and susceptibility to safeguarding concerns</w:t>
      </w:r>
      <w:r w:rsidR="00015918">
        <w:t xml:space="preserve"> are based around issues such as the military’s culture of ma</w:t>
      </w:r>
      <w:r w:rsidR="00465959">
        <w:t>sculinity, adapting to rural Wales cultural specifics</w:t>
      </w:r>
      <w:r w:rsidR="00E22666">
        <w:t>, parental responsibility</w:t>
      </w:r>
      <w:r w:rsidR="000A7777">
        <w:t xml:space="preserve"> alongside mental health.</w:t>
      </w:r>
      <w:r w:rsidR="00733DD4">
        <w:t xml:space="preserve">  In practice systems theory </w:t>
      </w:r>
      <w:r w:rsidR="00597A06">
        <w:t>highlighted the need for multi-agency work</w:t>
      </w:r>
      <w:r w:rsidR="00092E66">
        <w:t xml:space="preserve"> and a holistic approach </w:t>
      </w:r>
      <w:r w:rsidR="00B578F6">
        <w:t xml:space="preserve">to support 1 </w:t>
      </w:r>
      <w:r w:rsidR="00E96298">
        <w:t xml:space="preserve">with the broader systems influencing his life. </w:t>
      </w:r>
    </w:p>
    <w:p w14:paraId="7C27980E" w14:textId="5BFD7B1B" w:rsidR="00E96298" w:rsidRDefault="00613471" w:rsidP="00BC0885">
      <w:pPr>
        <w:tabs>
          <w:tab w:val="num" w:pos="720"/>
        </w:tabs>
        <w:spacing w:line="360" w:lineRule="auto"/>
        <w:jc w:val="both"/>
      </w:pPr>
      <w:r>
        <w:t>Adverse Childhood Experiences (ACE’s)</w:t>
      </w:r>
      <w:r w:rsidR="00522220">
        <w:t xml:space="preserve"> are incidents of childhood trauma such as </w:t>
      </w:r>
      <w:r w:rsidR="00B10EBD">
        <w:t xml:space="preserve">bereavement, domestic abuse, witnessing drug and alcohol misuse, parental mental illness and others </w:t>
      </w:r>
      <w:sdt>
        <w:sdtPr>
          <w:id w:val="223106596"/>
          <w:citation/>
        </w:sdtPr>
        <w:sdtContent>
          <w:r w:rsidR="00B10EBD">
            <w:fldChar w:fldCharType="begin"/>
          </w:r>
          <w:r w:rsidR="00B10EBD">
            <w:instrText xml:space="preserve"> CITATION Rya20 \l 2057 </w:instrText>
          </w:r>
          <w:r w:rsidR="00B10EBD">
            <w:fldChar w:fldCharType="separate"/>
          </w:r>
          <w:r w:rsidR="005D24B8">
            <w:rPr>
              <w:noProof/>
            </w:rPr>
            <w:t>(Ryan &amp; Waite, 2020)</w:t>
          </w:r>
          <w:r w:rsidR="00B10EBD">
            <w:fldChar w:fldCharType="end"/>
          </w:r>
        </w:sdtContent>
      </w:sdt>
      <w:r w:rsidR="009524A8">
        <w:t>.  ACE’s can both explain and predict behaviours in children and adults</w:t>
      </w:r>
      <w:r w:rsidR="00B66C2A">
        <w:t>.  Evidence informs that the more ACE’s a child has, the more likely they are to experience</w:t>
      </w:r>
      <w:r w:rsidR="00960636">
        <w:t xml:space="preserve"> poor outcomes in later life</w:t>
      </w:r>
      <w:r w:rsidR="00A7373E">
        <w:t xml:space="preserve"> </w:t>
      </w:r>
      <w:sdt>
        <w:sdtPr>
          <w:id w:val="871806988"/>
          <w:citation/>
        </w:sdtPr>
        <w:sdtContent>
          <w:r w:rsidR="00A31594">
            <w:fldChar w:fldCharType="begin"/>
          </w:r>
          <w:r w:rsidR="00A31594">
            <w:instrText xml:space="preserve"> CITATION Fel98 \l 2057 </w:instrText>
          </w:r>
          <w:r w:rsidR="00A31594">
            <w:fldChar w:fldCharType="separate"/>
          </w:r>
          <w:r w:rsidR="005D24B8">
            <w:rPr>
              <w:noProof/>
            </w:rPr>
            <w:t>(Felitti, et al., 1998)</w:t>
          </w:r>
          <w:r w:rsidR="00A31594">
            <w:fldChar w:fldCharType="end"/>
          </w:r>
        </w:sdtContent>
      </w:sdt>
      <w:r w:rsidR="00960636">
        <w:t xml:space="preserve">.  In this case, acknowledging that his son was experiencing </w:t>
      </w:r>
      <w:r w:rsidR="00735A3D">
        <w:t xml:space="preserve">multiple </w:t>
      </w:r>
      <w:proofErr w:type="gramStart"/>
      <w:r w:rsidR="00735A3D">
        <w:t>ACE’s</w:t>
      </w:r>
      <w:proofErr w:type="gramEnd"/>
      <w:r w:rsidR="00735A3D">
        <w:t xml:space="preserve"> in a short space of time allowed me to consider </w:t>
      </w:r>
      <w:r w:rsidR="00A82D05">
        <w:t xml:space="preserve">accessing </w:t>
      </w:r>
      <w:r w:rsidR="00C33C54">
        <w:t>wider services</w:t>
      </w:r>
      <w:r w:rsidR="00A82D05">
        <w:t xml:space="preserve"> for both individuals to </w:t>
      </w:r>
      <w:r w:rsidR="00C33C54">
        <w:t xml:space="preserve">minimise the impact of </w:t>
      </w:r>
      <w:r w:rsidR="002C7AC2">
        <w:t>significant trauma</w:t>
      </w:r>
      <w:r w:rsidR="005A673B">
        <w:t xml:space="preserve"> and build resilience to overcome </w:t>
      </w:r>
      <w:r w:rsidR="002C1E99">
        <w:t xml:space="preserve">the adversity. </w:t>
      </w:r>
    </w:p>
    <w:p w14:paraId="4C48A2EF" w14:textId="6FE4E28F" w:rsidR="004E5C72" w:rsidRDefault="009B75D0" w:rsidP="00BC0885">
      <w:pPr>
        <w:tabs>
          <w:tab w:val="num" w:pos="720"/>
        </w:tabs>
        <w:spacing w:line="360" w:lineRule="auto"/>
        <w:jc w:val="both"/>
      </w:pPr>
      <w:r>
        <w:t xml:space="preserve">Trauma informed practice was a key </w:t>
      </w:r>
      <w:r w:rsidR="005B13BA">
        <w:t>approach in this case.  Trauma informed practice</w:t>
      </w:r>
      <w:r w:rsidR="00B123D2">
        <w:t xml:space="preserve"> emp</w:t>
      </w:r>
      <w:r w:rsidR="00A23678">
        <w:t>h</w:t>
      </w:r>
      <w:r w:rsidR="00B123D2">
        <w:t xml:space="preserve">asises understanding the impact of trauma on an </w:t>
      </w:r>
      <w:r w:rsidR="00C22CBB">
        <w:t xml:space="preserve">individual, recognising </w:t>
      </w:r>
      <w:r w:rsidR="007107EF">
        <w:t>symptoms and helping to avoid re-traumatisation</w:t>
      </w:r>
      <w:r w:rsidR="0071584A">
        <w:t xml:space="preserve"> </w:t>
      </w:r>
      <w:sdt>
        <w:sdtPr>
          <w:id w:val="-1363511640"/>
          <w:citation/>
        </w:sdtPr>
        <w:sdtContent>
          <w:r w:rsidR="0071584A">
            <w:fldChar w:fldCharType="begin"/>
          </w:r>
          <w:r w:rsidR="0071584A">
            <w:instrText xml:space="preserve"> CITATION Sub14 \l 2057 </w:instrText>
          </w:r>
          <w:r w:rsidR="0071584A">
            <w:fldChar w:fldCharType="separate"/>
          </w:r>
          <w:r w:rsidR="005D24B8">
            <w:rPr>
              <w:noProof/>
            </w:rPr>
            <w:t>(Substance Abuse and Mental Health Services Administration (SAMHSA), 2014)</w:t>
          </w:r>
          <w:r w:rsidR="0071584A">
            <w:fldChar w:fldCharType="end"/>
          </w:r>
        </w:sdtContent>
      </w:sdt>
      <w:r w:rsidR="007107EF">
        <w:t xml:space="preserve">.  </w:t>
      </w:r>
      <w:r w:rsidR="00164B77">
        <w:t>Alongside ACE’s</w:t>
      </w:r>
      <w:r w:rsidR="005B2F6E">
        <w:t xml:space="preserve">, </w:t>
      </w:r>
      <w:r w:rsidR="00DE0EE3">
        <w:t>a t</w:t>
      </w:r>
      <w:r w:rsidR="005B2F6E">
        <w:t xml:space="preserve">rauma informed practice </w:t>
      </w:r>
      <w:r w:rsidR="00093DC2">
        <w:t xml:space="preserve">approach is an empathetic way to empower an individual and </w:t>
      </w:r>
      <w:r w:rsidR="003929E4">
        <w:t>support them to heal by providing safe spaces and collaborating</w:t>
      </w:r>
      <w:r w:rsidR="00EE2D90">
        <w:t xml:space="preserve"> to support healing</w:t>
      </w:r>
      <w:r w:rsidR="001815B7">
        <w:t xml:space="preserve"> </w:t>
      </w:r>
      <w:sdt>
        <w:sdtPr>
          <w:id w:val="1777596832"/>
          <w:citation/>
        </w:sdtPr>
        <w:sdtContent>
          <w:r w:rsidR="001815B7">
            <w:fldChar w:fldCharType="begin"/>
          </w:r>
          <w:r w:rsidR="001815B7">
            <w:instrText xml:space="preserve"> CITATION Lev17 \l 2057 </w:instrText>
          </w:r>
          <w:r w:rsidR="001815B7">
            <w:fldChar w:fldCharType="separate"/>
          </w:r>
          <w:r w:rsidR="005D24B8">
            <w:rPr>
              <w:noProof/>
            </w:rPr>
            <w:t>(Levenson, 2017)</w:t>
          </w:r>
          <w:r w:rsidR="001815B7">
            <w:fldChar w:fldCharType="end"/>
          </w:r>
        </w:sdtContent>
      </w:sdt>
      <w:r w:rsidR="00EE2D90">
        <w:t>. While supporting 1’s initial presentation of PTSD with the index event being</w:t>
      </w:r>
      <w:r w:rsidR="001270C5">
        <w:t xml:space="preserve"> the </w:t>
      </w:r>
      <w:r w:rsidR="00EE2D90">
        <w:t xml:space="preserve"> witnessing </w:t>
      </w:r>
      <w:r w:rsidR="001270C5">
        <w:t xml:space="preserve">of </w:t>
      </w:r>
      <w:r w:rsidR="00EE2D90">
        <w:lastRenderedPageBreak/>
        <w:t xml:space="preserve">his </w:t>
      </w:r>
      <w:r w:rsidR="008C20E7">
        <w:t>late-wife</w:t>
      </w:r>
      <w:r w:rsidR="001270C5">
        <w:t>’</w:t>
      </w:r>
      <w:r w:rsidR="008C20E7">
        <w:t xml:space="preserve">s first suicide attempt, a trauma informed approach was already in place which </w:t>
      </w:r>
      <w:r w:rsidR="008D46FB">
        <w:t xml:space="preserve">had removed him from his working environment where he received </w:t>
      </w:r>
      <w:r w:rsidR="009A71E4">
        <w:t xml:space="preserve">therapeutic input and wider support from services to ensure his son was safe and protected, building resilience.  When </w:t>
      </w:r>
      <w:r w:rsidR="000B439D">
        <w:t xml:space="preserve">2 took her life, 1 was better placed to </w:t>
      </w:r>
      <w:r w:rsidR="00ED2B83">
        <w:t xml:space="preserve">respond without his own mental health spiralling into suicidal ideation and he had the tools to be able to </w:t>
      </w:r>
      <w:r w:rsidR="00D7610E">
        <w:t xml:space="preserve">grieve appropriately. </w:t>
      </w:r>
    </w:p>
    <w:p w14:paraId="030271B0" w14:textId="78BBCD3F" w:rsidR="00970BDF" w:rsidRDefault="00970BDF" w:rsidP="00BC0885">
      <w:pPr>
        <w:tabs>
          <w:tab w:val="num" w:pos="720"/>
        </w:tabs>
        <w:spacing w:line="360" w:lineRule="auto"/>
        <w:jc w:val="both"/>
      </w:pPr>
      <w:r>
        <w:t>Each of the theoretical approaches used in this case</w:t>
      </w:r>
      <w:r w:rsidR="00CA4712">
        <w:t xml:space="preserve"> provided distinct insight but </w:t>
      </w:r>
      <w:r w:rsidR="00842D7C">
        <w:t xml:space="preserve">when considered together they gave me a comprehensive understanding of the case and I found that use of theory </w:t>
      </w:r>
      <w:r w:rsidR="00A52AA7">
        <w:t>gave more substance to my recommendations to 1</w:t>
      </w:r>
      <w:r w:rsidR="001270C5">
        <w:t>,</w:t>
      </w:r>
      <w:r w:rsidR="00A52AA7">
        <w:t xml:space="preserve"> and communication with wider services. </w:t>
      </w:r>
      <w:r w:rsidR="00043AEA">
        <w:t>Following legal process and procedure</w:t>
      </w:r>
      <w:r w:rsidR="006F7B8A">
        <w:t xml:space="preserve"> is essential in all social work intervention</w:t>
      </w:r>
      <w:r w:rsidR="001270C5">
        <w:t>,</w:t>
      </w:r>
      <w:r w:rsidR="006F7B8A">
        <w:t xml:space="preserve"> but using </w:t>
      </w:r>
      <w:r w:rsidR="00D3402E">
        <w:t>wider theories takes in to consideration the personal lived experiences</w:t>
      </w:r>
      <w:r w:rsidR="003156FE">
        <w:t xml:space="preserve"> and helps to inform individuals why professionals make recommendations, further reinforcing </w:t>
      </w:r>
      <w:r w:rsidR="007C3ED5">
        <w:t xml:space="preserve">the trusting relationship which is vitally important in social work practice </w:t>
      </w:r>
      <w:sdt>
        <w:sdtPr>
          <w:id w:val="1558896776"/>
          <w:citation/>
        </w:sdtPr>
        <w:sdtContent>
          <w:r w:rsidR="007C3ED5">
            <w:fldChar w:fldCharType="begin"/>
          </w:r>
          <w:r w:rsidR="007C3ED5">
            <w:instrText xml:space="preserve"> CITATION Tre03 \l 2057 </w:instrText>
          </w:r>
          <w:r w:rsidR="007C3ED5">
            <w:fldChar w:fldCharType="separate"/>
          </w:r>
          <w:r w:rsidR="005D24B8">
            <w:rPr>
              <w:noProof/>
            </w:rPr>
            <w:t>(Trevithick, 2003)</w:t>
          </w:r>
          <w:r w:rsidR="007C3ED5">
            <w:fldChar w:fldCharType="end"/>
          </w:r>
        </w:sdtContent>
      </w:sdt>
      <w:r w:rsidR="007C3ED5">
        <w:t>.</w:t>
      </w:r>
    </w:p>
    <w:p w14:paraId="0A9B76DD" w14:textId="16F5DB72" w:rsidR="007C3ED5" w:rsidRDefault="001465BE" w:rsidP="00BC0885">
      <w:pPr>
        <w:tabs>
          <w:tab w:val="num" w:pos="720"/>
        </w:tabs>
        <w:spacing w:line="360" w:lineRule="auto"/>
        <w:jc w:val="both"/>
      </w:pPr>
      <w:r>
        <w:t xml:space="preserve">One of the </w:t>
      </w:r>
      <w:r w:rsidR="00AD6439">
        <w:t>biggest challenges in this case was considering 1’s p</w:t>
      </w:r>
      <w:r w:rsidR="006C5CE7">
        <w:t>osition as a victim of domestic violence, juxtaposed with his identity as a soldier in the British Army and his reputation in the local community</w:t>
      </w:r>
      <w:r w:rsidR="0009350B">
        <w:t xml:space="preserve">.  Hine et al. (2022) </w:t>
      </w:r>
      <w:r w:rsidR="00814694">
        <w:t>suggest that men</w:t>
      </w:r>
      <w:r w:rsidR="00476C93">
        <w:t xml:space="preserve"> often don’t report domestic abuse </w:t>
      </w:r>
      <w:r w:rsidR="002922F6">
        <w:t>due to the stigma of appearing weak or not being believed.  In 1’s case the abuse only became apparent during treatment and support for his PTSD symptoms</w:t>
      </w:r>
      <w:r w:rsidR="00666DAB">
        <w:t xml:space="preserve">.  The reluctance to disclose was </w:t>
      </w:r>
      <w:r w:rsidR="0014374B">
        <w:t>reinforced</w:t>
      </w:r>
      <w:r w:rsidR="00666DAB">
        <w:t xml:space="preserve"> by 1’s acknowledgement that</w:t>
      </w:r>
      <w:r w:rsidR="00192CA4">
        <w:t xml:space="preserve"> the culture of interpreting masculinity and resilience </w:t>
      </w:r>
      <w:r w:rsidR="001C725C">
        <w:t>being mostly physical and the ability to ‘suck it up’</w:t>
      </w:r>
      <w:r w:rsidR="00C55B7E">
        <w:t>.  In this case I witness</w:t>
      </w:r>
      <w:r w:rsidR="001270C5">
        <w:t>ed</w:t>
      </w:r>
      <w:r w:rsidR="00C55B7E">
        <w:t xml:space="preserve"> this being validated during </w:t>
      </w:r>
      <w:r w:rsidR="009D65C1">
        <w:t xml:space="preserve">interactions with other professionals, such as the police who arrested 1 following him being assaulted by 2.  The implication being the male must have been the aggressor. </w:t>
      </w:r>
      <w:r w:rsidR="00217031">
        <w:t>However, o</w:t>
      </w:r>
      <w:r w:rsidR="00413744">
        <w:t>n critical reflection during the process I found myself checking my own bias along the way</w:t>
      </w:r>
      <w:r w:rsidR="00AD7DBE">
        <w:t xml:space="preserve"> as the case became more complex and continued to remind myself that, although I was supporting 1, it was important to check that he was providing me with factual information, and therefore I ensured that all reports </w:t>
      </w:r>
      <w:r w:rsidR="00FD0204">
        <w:t xml:space="preserve">and safeguarding assessments were shared and obtained from other agencies. </w:t>
      </w:r>
    </w:p>
    <w:p w14:paraId="45A9767B" w14:textId="4A24AC00" w:rsidR="00217031" w:rsidRDefault="00C116DA" w:rsidP="00BC0885">
      <w:pPr>
        <w:tabs>
          <w:tab w:val="num" w:pos="720"/>
        </w:tabs>
        <w:spacing w:line="360" w:lineRule="auto"/>
        <w:jc w:val="both"/>
      </w:pPr>
      <w:r>
        <w:t xml:space="preserve">The case highlighted the importance of multi-agency working. Following referral, social services would have initiated a safeguarding enquiry under Section 126 of SSWBA </w:t>
      </w:r>
      <w:r w:rsidR="00A331EC">
        <w:t>(2014</w:t>
      </w:r>
      <w:r w:rsidR="007D7259">
        <w:t>a</w:t>
      </w:r>
      <w:r w:rsidR="00A331EC">
        <w:t>).  This would involve strategy meetings, risk assessments and possible intervention of safeguarding 1 and his son.   Unlike local authority social workers, it was not my responsibility to investigate safeguarding concerns, however, as a professional I had a duty of care and legal requirement to identify safeguarding concerns and report them appropriately</w:t>
      </w:r>
      <w:r w:rsidR="00B06885">
        <w:t xml:space="preserve">, taking in to account consent from 1 in the case of adult safeguarding and understanding that children’s safeguarding referrals do not require consent. </w:t>
      </w:r>
      <w:r w:rsidR="00A87977">
        <w:t xml:space="preserve">Recognising the boundaries between </w:t>
      </w:r>
      <w:r w:rsidR="00E84497">
        <w:t xml:space="preserve">MOD mental health services and local authority </w:t>
      </w:r>
      <w:r w:rsidR="006050B8">
        <w:t xml:space="preserve">safeguarding teams was essential </w:t>
      </w:r>
      <w:r w:rsidR="006050B8">
        <w:lastRenderedPageBreak/>
        <w:t xml:space="preserve">as attempts to investigate independently </w:t>
      </w:r>
      <w:r w:rsidR="00F52C55">
        <w:t>could have impacted processes, while failing to act could have led to further harm</w:t>
      </w:r>
      <w:r w:rsidR="0078448C">
        <w:t>.  Collaboration with local services meant maintaining open communication with all services involved</w:t>
      </w:r>
      <w:r w:rsidR="002859F4">
        <w:t xml:space="preserve"> while ensuring 1’s voice was at the centre of practice.  </w:t>
      </w:r>
      <w:r w:rsidR="00DF7AAB">
        <w:t>Recognising the challenges of balancing confidentiality, information sharing, GDPR</w:t>
      </w:r>
      <w:r w:rsidR="00DA64F6">
        <w:t>, Welsh language and cultural interpretations while maintaining trust with 1</w:t>
      </w:r>
      <w:r w:rsidR="005D1BEB">
        <w:t xml:space="preserve"> was difficult in practice, but drawing on </w:t>
      </w:r>
      <w:r w:rsidR="00A62F62">
        <w:t>theory and tools such as the safeguarding procedures app</w:t>
      </w:r>
      <w:r w:rsidR="009F254E">
        <w:t xml:space="preserve"> allowed me to achieve as successful outcome as possible for 1 and his son.</w:t>
      </w:r>
    </w:p>
    <w:p w14:paraId="001311D2" w14:textId="45A4AD29" w:rsidR="000829BE" w:rsidRDefault="000829BE" w:rsidP="00BC0885">
      <w:pPr>
        <w:tabs>
          <w:tab w:val="num" w:pos="720"/>
        </w:tabs>
        <w:spacing w:line="360" w:lineRule="auto"/>
        <w:jc w:val="both"/>
      </w:pPr>
      <w:r>
        <w:t>A critical reflection on my practice</w:t>
      </w:r>
      <w:r w:rsidR="00922238">
        <w:t xml:space="preserve"> has emphasised the importance of addressing gender bias and recognising men as victims of </w:t>
      </w:r>
      <w:r w:rsidR="00F353B9">
        <w:t xml:space="preserve">abuse.  Maintaining an anti-oppressive </w:t>
      </w:r>
      <w:r w:rsidR="00687687">
        <w:t xml:space="preserve">perspective and challenging others </w:t>
      </w:r>
      <w:r w:rsidR="00A76DDF">
        <w:t>who may be demonstrating bias is part of the</w:t>
      </w:r>
      <w:r w:rsidR="00E04FAD">
        <w:t xml:space="preserve"> COPP (2017) </w:t>
      </w:r>
      <w:r w:rsidR="00A76DDF">
        <w:t xml:space="preserve">and a fundamental part of social work </w:t>
      </w:r>
      <w:sdt>
        <w:sdtPr>
          <w:id w:val="1107165671"/>
          <w:citation/>
        </w:sdtPr>
        <w:sdtContent>
          <w:r w:rsidR="00A76DDF">
            <w:fldChar w:fldCharType="begin"/>
          </w:r>
          <w:r w:rsidR="00A76DDF">
            <w:instrText xml:space="preserve"> CITATION Dom98 \l 2057 </w:instrText>
          </w:r>
          <w:r w:rsidR="00A76DDF">
            <w:fldChar w:fldCharType="separate"/>
          </w:r>
          <w:r w:rsidR="005D24B8">
            <w:rPr>
              <w:noProof/>
            </w:rPr>
            <w:t>(Dominneli, 1998)</w:t>
          </w:r>
          <w:r w:rsidR="00A76DDF">
            <w:fldChar w:fldCharType="end"/>
          </w:r>
        </w:sdtContent>
      </w:sdt>
      <w:r w:rsidR="00A76DDF">
        <w:t>.</w:t>
      </w:r>
      <w:r w:rsidR="0089356D">
        <w:t xml:space="preserve">  </w:t>
      </w:r>
      <w:r w:rsidR="009644E1">
        <w:t xml:space="preserve">Being reflexive in practice </w:t>
      </w:r>
      <w:sdt>
        <w:sdtPr>
          <w:id w:val="-1506972819"/>
          <w:citation/>
        </w:sdtPr>
        <w:sdtContent>
          <w:r w:rsidR="006A1D08">
            <w:fldChar w:fldCharType="begin"/>
          </w:r>
          <w:r w:rsidR="006A1D08">
            <w:instrText xml:space="preserve"> CITATION Sch83 \l 2057 </w:instrText>
          </w:r>
          <w:r w:rsidR="006A1D08">
            <w:fldChar w:fldCharType="separate"/>
          </w:r>
          <w:r w:rsidR="005D24B8">
            <w:rPr>
              <w:noProof/>
            </w:rPr>
            <w:t>(Schon, 1983)</w:t>
          </w:r>
          <w:r w:rsidR="006A1D08">
            <w:fldChar w:fldCharType="end"/>
          </w:r>
        </w:sdtContent>
      </w:sdt>
      <w:r w:rsidR="006A1D08">
        <w:t xml:space="preserve">, </w:t>
      </w:r>
      <w:r w:rsidR="009644E1">
        <w:t xml:space="preserve">ensured I was able to pivot from </w:t>
      </w:r>
      <w:r w:rsidR="003D102A">
        <w:t xml:space="preserve">the focus of supporting 1’s mental health and adjustment to his </w:t>
      </w:r>
      <w:r w:rsidR="004D6BA7">
        <w:t>transition from the Army, to a more risk focussed approach and identify safeguarding needs</w:t>
      </w:r>
      <w:r w:rsidR="006A1D08">
        <w:t xml:space="preserve"> and act appropriately while maintaining trust and </w:t>
      </w:r>
      <w:r w:rsidR="007E75BF">
        <w:t>keeping 1 at the centre of practice.</w:t>
      </w:r>
    </w:p>
    <w:p w14:paraId="5AF01A6C" w14:textId="5BF911FA" w:rsidR="005150AC" w:rsidRDefault="005150AC" w:rsidP="00BC0885">
      <w:pPr>
        <w:tabs>
          <w:tab w:val="num" w:pos="720"/>
        </w:tabs>
        <w:spacing w:line="360" w:lineRule="auto"/>
        <w:jc w:val="both"/>
      </w:pPr>
      <w:r>
        <w:t>Word Count: 4383</w:t>
      </w:r>
    </w:p>
    <w:sectPr w:rsidR="005150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E25FC" w14:textId="77777777" w:rsidR="005A39F7" w:rsidRDefault="005A39F7" w:rsidP="00EC0B82">
      <w:pPr>
        <w:spacing w:after="0" w:line="240" w:lineRule="auto"/>
      </w:pPr>
      <w:r>
        <w:separator/>
      </w:r>
    </w:p>
  </w:endnote>
  <w:endnote w:type="continuationSeparator" w:id="0">
    <w:p w14:paraId="4443B030" w14:textId="77777777" w:rsidR="005A39F7" w:rsidRDefault="005A39F7" w:rsidP="00EC0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D2BA5" w14:textId="77777777" w:rsidR="005A39F7" w:rsidRDefault="005A39F7" w:rsidP="00EC0B82">
      <w:pPr>
        <w:spacing w:after="0" w:line="240" w:lineRule="auto"/>
      </w:pPr>
      <w:r>
        <w:separator/>
      </w:r>
    </w:p>
  </w:footnote>
  <w:footnote w:type="continuationSeparator" w:id="0">
    <w:p w14:paraId="396BBF65" w14:textId="77777777" w:rsidR="005A39F7" w:rsidRDefault="005A39F7" w:rsidP="00EC0B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67057"/>
    <w:multiLevelType w:val="hybridMultilevel"/>
    <w:tmpl w:val="317CDC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92571EA"/>
    <w:multiLevelType w:val="multilevel"/>
    <w:tmpl w:val="E3D29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7A7D37"/>
    <w:multiLevelType w:val="multilevel"/>
    <w:tmpl w:val="10D4F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4727949">
    <w:abstractNumId w:val="1"/>
  </w:num>
  <w:num w:numId="2" w16cid:durableId="762340329">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313534571">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204759937">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342784378">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306474849">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7" w16cid:durableId="764569472">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1729256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D42"/>
    <w:rsid w:val="000041C5"/>
    <w:rsid w:val="000060F1"/>
    <w:rsid w:val="000062C7"/>
    <w:rsid w:val="000072D3"/>
    <w:rsid w:val="0001185E"/>
    <w:rsid w:val="00015918"/>
    <w:rsid w:val="000277EA"/>
    <w:rsid w:val="0003119C"/>
    <w:rsid w:val="00043AEA"/>
    <w:rsid w:val="00063110"/>
    <w:rsid w:val="00065D7C"/>
    <w:rsid w:val="00067D98"/>
    <w:rsid w:val="000712DE"/>
    <w:rsid w:val="00072216"/>
    <w:rsid w:val="00072B97"/>
    <w:rsid w:val="0007540B"/>
    <w:rsid w:val="000771B8"/>
    <w:rsid w:val="00077F53"/>
    <w:rsid w:val="000829BE"/>
    <w:rsid w:val="00084D42"/>
    <w:rsid w:val="0009068E"/>
    <w:rsid w:val="00092E66"/>
    <w:rsid w:val="0009350B"/>
    <w:rsid w:val="00093DC2"/>
    <w:rsid w:val="0009431D"/>
    <w:rsid w:val="000946A5"/>
    <w:rsid w:val="00094807"/>
    <w:rsid w:val="000A7777"/>
    <w:rsid w:val="000B0761"/>
    <w:rsid w:val="000B0F79"/>
    <w:rsid w:val="000B439D"/>
    <w:rsid w:val="000B6EE9"/>
    <w:rsid w:val="000C1AF6"/>
    <w:rsid w:val="000C651C"/>
    <w:rsid w:val="000C6649"/>
    <w:rsid w:val="000D16EB"/>
    <w:rsid w:val="000D4807"/>
    <w:rsid w:val="000E2041"/>
    <w:rsid w:val="000E70E3"/>
    <w:rsid w:val="000F1F76"/>
    <w:rsid w:val="000F2A47"/>
    <w:rsid w:val="000F4012"/>
    <w:rsid w:val="001002DE"/>
    <w:rsid w:val="00102086"/>
    <w:rsid w:val="00106549"/>
    <w:rsid w:val="00107CD2"/>
    <w:rsid w:val="00117932"/>
    <w:rsid w:val="001179F1"/>
    <w:rsid w:val="0012112F"/>
    <w:rsid w:val="00121EBE"/>
    <w:rsid w:val="00126196"/>
    <w:rsid w:val="001270C5"/>
    <w:rsid w:val="00127C4D"/>
    <w:rsid w:val="00131E65"/>
    <w:rsid w:val="00134084"/>
    <w:rsid w:val="00136E9C"/>
    <w:rsid w:val="00142912"/>
    <w:rsid w:val="0014374B"/>
    <w:rsid w:val="001460FF"/>
    <w:rsid w:val="001465BE"/>
    <w:rsid w:val="001525F9"/>
    <w:rsid w:val="00164B77"/>
    <w:rsid w:val="00172B43"/>
    <w:rsid w:val="00176B9D"/>
    <w:rsid w:val="001815B7"/>
    <w:rsid w:val="00186FA3"/>
    <w:rsid w:val="00192CA4"/>
    <w:rsid w:val="0019408E"/>
    <w:rsid w:val="00194C77"/>
    <w:rsid w:val="001A214D"/>
    <w:rsid w:val="001A2C85"/>
    <w:rsid w:val="001A526F"/>
    <w:rsid w:val="001B4732"/>
    <w:rsid w:val="001B4B36"/>
    <w:rsid w:val="001C2169"/>
    <w:rsid w:val="001C2B6B"/>
    <w:rsid w:val="001C3EF5"/>
    <w:rsid w:val="001C725C"/>
    <w:rsid w:val="001C7F50"/>
    <w:rsid w:val="001D0667"/>
    <w:rsid w:val="001E1ECC"/>
    <w:rsid w:val="001E7A1B"/>
    <w:rsid w:val="001F44BB"/>
    <w:rsid w:val="001F7A9F"/>
    <w:rsid w:val="002010A7"/>
    <w:rsid w:val="002048E6"/>
    <w:rsid w:val="002124EC"/>
    <w:rsid w:val="00217031"/>
    <w:rsid w:val="00232F0B"/>
    <w:rsid w:val="00241305"/>
    <w:rsid w:val="002436F9"/>
    <w:rsid w:val="00247FF6"/>
    <w:rsid w:val="00257E0A"/>
    <w:rsid w:val="00266A4C"/>
    <w:rsid w:val="00271EBE"/>
    <w:rsid w:val="00271F75"/>
    <w:rsid w:val="00285444"/>
    <w:rsid w:val="002859F4"/>
    <w:rsid w:val="0029050A"/>
    <w:rsid w:val="002922F6"/>
    <w:rsid w:val="0029291F"/>
    <w:rsid w:val="002B0178"/>
    <w:rsid w:val="002B0CB8"/>
    <w:rsid w:val="002B3CC7"/>
    <w:rsid w:val="002C1E99"/>
    <w:rsid w:val="002C3CA4"/>
    <w:rsid w:val="002C7AC2"/>
    <w:rsid w:val="002D08A2"/>
    <w:rsid w:val="002E6A53"/>
    <w:rsid w:val="002E71CD"/>
    <w:rsid w:val="002F06FC"/>
    <w:rsid w:val="002F228F"/>
    <w:rsid w:val="003033ED"/>
    <w:rsid w:val="003156FE"/>
    <w:rsid w:val="003229A9"/>
    <w:rsid w:val="0032770A"/>
    <w:rsid w:val="003358FD"/>
    <w:rsid w:val="0034089B"/>
    <w:rsid w:val="00356FB2"/>
    <w:rsid w:val="003652DA"/>
    <w:rsid w:val="003754E7"/>
    <w:rsid w:val="003929E4"/>
    <w:rsid w:val="003930A1"/>
    <w:rsid w:val="003A7BF9"/>
    <w:rsid w:val="003C04E9"/>
    <w:rsid w:val="003D102A"/>
    <w:rsid w:val="003D1423"/>
    <w:rsid w:val="003D3B9E"/>
    <w:rsid w:val="003E5465"/>
    <w:rsid w:val="003F0A50"/>
    <w:rsid w:val="003F41E5"/>
    <w:rsid w:val="00413744"/>
    <w:rsid w:val="00421E07"/>
    <w:rsid w:val="00427958"/>
    <w:rsid w:val="0044711A"/>
    <w:rsid w:val="00451CC2"/>
    <w:rsid w:val="004530B9"/>
    <w:rsid w:val="00465959"/>
    <w:rsid w:val="00472FE3"/>
    <w:rsid w:val="00476C93"/>
    <w:rsid w:val="0048380E"/>
    <w:rsid w:val="00487012"/>
    <w:rsid w:val="0049618F"/>
    <w:rsid w:val="004A1F9A"/>
    <w:rsid w:val="004A3169"/>
    <w:rsid w:val="004A7EC6"/>
    <w:rsid w:val="004B6C37"/>
    <w:rsid w:val="004B7A99"/>
    <w:rsid w:val="004B7F3D"/>
    <w:rsid w:val="004C7D90"/>
    <w:rsid w:val="004D118A"/>
    <w:rsid w:val="004D50C0"/>
    <w:rsid w:val="004D6BA7"/>
    <w:rsid w:val="004E4073"/>
    <w:rsid w:val="004E5C72"/>
    <w:rsid w:val="004F27E9"/>
    <w:rsid w:val="0050122D"/>
    <w:rsid w:val="005047B3"/>
    <w:rsid w:val="005079A0"/>
    <w:rsid w:val="00511F44"/>
    <w:rsid w:val="0051328C"/>
    <w:rsid w:val="005150AC"/>
    <w:rsid w:val="00522220"/>
    <w:rsid w:val="00524EF1"/>
    <w:rsid w:val="00544CF6"/>
    <w:rsid w:val="0055072E"/>
    <w:rsid w:val="00556331"/>
    <w:rsid w:val="00576A8E"/>
    <w:rsid w:val="00580FCD"/>
    <w:rsid w:val="00587175"/>
    <w:rsid w:val="0058728C"/>
    <w:rsid w:val="00591A33"/>
    <w:rsid w:val="0059536D"/>
    <w:rsid w:val="00597A06"/>
    <w:rsid w:val="005A0363"/>
    <w:rsid w:val="005A1341"/>
    <w:rsid w:val="005A2B89"/>
    <w:rsid w:val="005A39F7"/>
    <w:rsid w:val="005A673B"/>
    <w:rsid w:val="005A7856"/>
    <w:rsid w:val="005B13BA"/>
    <w:rsid w:val="005B2F6E"/>
    <w:rsid w:val="005B7739"/>
    <w:rsid w:val="005C0EDF"/>
    <w:rsid w:val="005C3A57"/>
    <w:rsid w:val="005C718A"/>
    <w:rsid w:val="005D1BEB"/>
    <w:rsid w:val="005D24B8"/>
    <w:rsid w:val="005E49C9"/>
    <w:rsid w:val="005E50D5"/>
    <w:rsid w:val="005E5980"/>
    <w:rsid w:val="00602BBE"/>
    <w:rsid w:val="006050B8"/>
    <w:rsid w:val="006123A0"/>
    <w:rsid w:val="00613471"/>
    <w:rsid w:val="00621780"/>
    <w:rsid w:val="00624490"/>
    <w:rsid w:val="00631FE4"/>
    <w:rsid w:val="00632DEB"/>
    <w:rsid w:val="006334A4"/>
    <w:rsid w:val="00635AFF"/>
    <w:rsid w:val="00666DAB"/>
    <w:rsid w:val="00672D7A"/>
    <w:rsid w:val="0067446C"/>
    <w:rsid w:val="00687687"/>
    <w:rsid w:val="00690589"/>
    <w:rsid w:val="0069216A"/>
    <w:rsid w:val="006A1D08"/>
    <w:rsid w:val="006A3FE5"/>
    <w:rsid w:val="006A6AFB"/>
    <w:rsid w:val="006A6CAA"/>
    <w:rsid w:val="006A6F8D"/>
    <w:rsid w:val="006A70DC"/>
    <w:rsid w:val="006B0BAD"/>
    <w:rsid w:val="006B6CE4"/>
    <w:rsid w:val="006C25AE"/>
    <w:rsid w:val="006C5CE7"/>
    <w:rsid w:val="006D24B7"/>
    <w:rsid w:val="006D2508"/>
    <w:rsid w:val="006D3804"/>
    <w:rsid w:val="006E38F4"/>
    <w:rsid w:val="006F190E"/>
    <w:rsid w:val="006F7B8A"/>
    <w:rsid w:val="0070036E"/>
    <w:rsid w:val="00700FE9"/>
    <w:rsid w:val="007015D2"/>
    <w:rsid w:val="00702ACF"/>
    <w:rsid w:val="007107EF"/>
    <w:rsid w:val="00711B00"/>
    <w:rsid w:val="00714A63"/>
    <w:rsid w:val="0071584A"/>
    <w:rsid w:val="007161E4"/>
    <w:rsid w:val="007213C5"/>
    <w:rsid w:val="00721FDF"/>
    <w:rsid w:val="00722DE3"/>
    <w:rsid w:val="007275DF"/>
    <w:rsid w:val="00727B67"/>
    <w:rsid w:val="00732C42"/>
    <w:rsid w:val="00733DD4"/>
    <w:rsid w:val="00735A3D"/>
    <w:rsid w:val="00735BC0"/>
    <w:rsid w:val="007511A3"/>
    <w:rsid w:val="00771564"/>
    <w:rsid w:val="007743C1"/>
    <w:rsid w:val="00774ADD"/>
    <w:rsid w:val="00784281"/>
    <w:rsid w:val="007842D9"/>
    <w:rsid w:val="0078448C"/>
    <w:rsid w:val="007901E2"/>
    <w:rsid w:val="007A467C"/>
    <w:rsid w:val="007A745F"/>
    <w:rsid w:val="007B03B3"/>
    <w:rsid w:val="007B16A9"/>
    <w:rsid w:val="007B5730"/>
    <w:rsid w:val="007C34F8"/>
    <w:rsid w:val="007C3ED5"/>
    <w:rsid w:val="007C73E9"/>
    <w:rsid w:val="007C7570"/>
    <w:rsid w:val="007D0A0E"/>
    <w:rsid w:val="007D7259"/>
    <w:rsid w:val="007E20F6"/>
    <w:rsid w:val="007E3346"/>
    <w:rsid w:val="007E38E9"/>
    <w:rsid w:val="007E75BF"/>
    <w:rsid w:val="007F4EC9"/>
    <w:rsid w:val="00810E35"/>
    <w:rsid w:val="00814694"/>
    <w:rsid w:val="00836215"/>
    <w:rsid w:val="00840346"/>
    <w:rsid w:val="00840DA4"/>
    <w:rsid w:val="00842D7C"/>
    <w:rsid w:val="00847E7B"/>
    <w:rsid w:val="00853D15"/>
    <w:rsid w:val="00854D91"/>
    <w:rsid w:val="00857BD2"/>
    <w:rsid w:val="008623F5"/>
    <w:rsid w:val="00863BAD"/>
    <w:rsid w:val="008661AB"/>
    <w:rsid w:val="00866EDC"/>
    <w:rsid w:val="0087096E"/>
    <w:rsid w:val="00875226"/>
    <w:rsid w:val="00876F80"/>
    <w:rsid w:val="00880C01"/>
    <w:rsid w:val="00890A89"/>
    <w:rsid w:val="008928A0"/>
    <w:rsid w:val="0089356D"/>
    <w:rsid w:val="008A49E0"/>
    <w:rsid w:val="008A6259"/>
    <w:rsid w:val="008A7597"/>
    <w:rsid w:val="008B6C4A"/>
    <w:rsid w:val="008C20E7"/>
    <w:rsid w:val="008D09A0"/>
    <w:rsid w:val="008D3237"/>
    <w:rsid w:val="008D46FB"/>
    <w:rsid w:val="008D7405"/>
    <w:rsid w:val="008E23A8"/>
    <w:rsid w:val="008E4BCF"/>
    <w:rsid w:val="008E4C88"/>
    <w:rsid w:val="008F5F53"/>
    <w:rsid w:val="009048FD"/>
    <w:rsid w:val="009055B6"/>
    <w:rsid w:val="00905E6E"/>
    <w:rsid w:val="0091172A"/>
    <w:rsid w:val="00912575"/>
    <w:rsid w:val="00912C1B"/>
    <w:rsid w:val="00915A67"/>
    <w:rsid w:val="0091735A"/>
    <w:rsid w:val="00921FD3"/>
    <w:rsid w:val="00922087"/>
    <w:rsid w:val="00922238"/>
    <w:rsid w:val="00946621"/>
    <w:rsid w:val="009524A8"/>
    <w:rsid w:val="00953120"/>
    <w:rsid w:val="00960636"/>
    <w:rsid w:val="00963FA5"/>
    <w:rsid w:val="009644E1"/>
    <w:rsid w:val="0096628C"/>
    <w:rsid w:val="00970BDF"/>
    <w:rsid w:val="00973F97"/>
    <w:rsid w:val="00977BCC"/>
    <w:rsid w:val="00980AB9"/>
    <w:rsid w:val="009909CE"/>
    <w:rsid w:val="009A13DB"/>
    <w:rsid w:val="009A6B6A"/>
    <w:rsid w:val="009A71E4"/>
    <w:rsid w:val="009B13F6"/>
    <w:rsid w:val="009B5FFF"/>
    <w:rsid w:val="009B75D0"/>
    <w:rsid w:val="009C5A27"/>
    <w:rsid w:val="009C6F02"/>
    <w:rsid w:val="009D194A"/>
    <w:rsid w:val="009D56BB"/>
    <w:rsid w:val="009D65C1"/>
    <w:rsid w:val="009D75C9"/>
    <w:rsid w:val="009E245F"/>
    <w:rsid w:val="009F254E"/>
    <w:rsid w:val="00A021D4"/>
    <w:rsid w:val="00A049F3"/>
    <w:rsid w:val="00A20C17"/>
    <w:rsid w:val="00A23678"/>
    <w:rsid w:val="00A25201"/>
    <w:rsid w:val="00A257E0"/>
    <w:rsid w:val="00A261CA"/>
    <w:rsid w:val="00A310A3"/>
    <w:rsid w:val="00A31594"/>
    <w:rsid w:val="00A331EC"/>
    <w:rsid w:val="00A344CB"/>
    <w:rsid w:val="00A52AA7"/>
    <w:rsid w:val="00A5337F"/>
    <w:rsid w:val="00A56266"/>
    <w:rsid w:val="00A61F76"/>
    <w:rsid w:val="00A62F62"/>
    <w:rsid w:val="00A65BC2"/>
    <w:rsid w:val="00A675D5"/>
    <w:rsid w:val="00A7373E"/>
    <w:rsid w:val="00A73744"/>
    <w:rsid w:val="00A76DDF"/>
    <w:rsid w:val="00A82D05"/>
    <w:rsid w:val="00A848A8"/>
    <w:rsid w:val="00A84D13"/>
    <w:rsid w:val="00A8535F"/>
    <w:rsid w:val="00A87977"/>
    <w:rsid w:val="00A95EBC"/>
    <w:rsid w:val="00A97048"/>
    <w:rsid w:val="00AA23CA"/>
    <w:rsid w:val="00AB14FC"/>
    <w:rsid w:val="00AB4EB8"/>
    <w:rsid w:val="00AB7E6B"/>
    <w:rsid w:val="00AC49FC"/>
    <w:rsid w:val="00AD6439"/>
    <w:rsid w:val="00AD7DBE"/>
    <w:rsid w:val="00AE6C62"/>
    <w:rsid w:val="00AF00BD"/>
    <w:rsid w:val="00AF1E2F"/>
    <w:rsid w:val="00B06885"/>
    <w:rsid w:val="00B06949"/>
    <w:rsid w:val="00B06E93"/>
    <w:rsid w:val="00B07318"/>
    <w:rsid w:val="00B10EBD"/>
    <w:rsid w:val="00B123D2"/>
    <w:rsid w:val="00B34F2A"/>
    <w:rsid w:val="00B35497"/>
    <w:rsid w:val="00B42BFD"/>
    <w:rsid w:val="00B42EAD"/>
    <w:rsid w:val="00B578F6"/>
    <w:rsid w:val="00B66C2A"/>
    <w:rsid w:val="00B7534E"/>
    <w:rsid w:val="00B76019"/>
    <w:rsid w:val="00B9047C"/>
    <w:rsid w:val="00BA301E"/>
    <w:rsid w:val="00BB04EE"/>
    <w:rsid w:val="00BB615F"/>
    <w:rsid w:val="00BB74A5"/>
    <w:rsid w:val="00BC0885"/>
    <w:rsid w:val="00BC5AB8"/>
    <w:rsid w:val="00BD3B33"/>
    <w:rsid w:val="00BE0E74"/>
    <w:rsid w:val="00BE344A"/>
    <w:rsid w:val="00BF1879"/>
    <w:rsid w:val="00BF4D6E"/>
    <w:rsid w:val="00BF50E7"/>
    <w:rsid w:val="00C0236E"/>
    <w:rsid w:val="00C053BE"/>
    <w:rsid w:val="00C06D3C"/>
    <w:rsid w:val="00C06D5D"/>
    <w:rsid w:val="00C116DA"/>
    <w:rsid w:val="00C12EFC"/>
    <w:rsid w:val="00C2091F"/>
    <w:rsid w:val="00C2142B"/>
    <w:rsid w:val="00C22CBB"/>
    <w:rsid w:val="00C32DB5"/>
    <w:rsid w:val="00C33C54"/>
    <w:rsid w:val="00C3605C"/>
    <w:rsid w:val="00C362E7"/>
    <w:rsid w:val="00C5004C"/>
    <w:rsid w:val="00C501B8"/>
    <w:rsid w:val="00C55B7E"/>
    <w:rsid w:val="00C57F78"/>
    <w:rsid w:val="00C61F5A"/>
    <w:rsid w:val="00C70903"/>
    <w:rsid w:val="00C71544"/>
    <w:rsid w:val="00C75722"/>
    <w:rsid w:val="00C8339E"/>
    <w:rsid w:val="00C85AEE"/>
    <w:rsid w:val="00C90009"/>
    <w:rsid w:val="00C9114D"/>
    <w:rsid w:val="00C972D2"/>
    <w:rsid w:val="00C974E6"/>
    <w:rsid w:val="00CA129B"/>
    <w:rsid w:val="00CA4712"/>
    <w:rsid w:val="00CC0A49"/>
    <w:rsid w:val="00CE25FB"/>
    <w:rsid w:val="00CE5474"/>
    <w:rsid w:val="00CF6E47"/>
    <w:rsid w:val="00D05EF6"/>
    <w:rsid w:val="00D05F36"/>
    <w:rsid w:val="00D13F80"/>
    <w:rsid w:val="00D17385"/>
    <w:rsid w:val="00D2194E"/>
    <w:rsid w:val="00D24B7D"/>
    <w:rsid w:val="00D309D5"/>
    <w:rsid w:val="00D3402E"/>
    <w:rsid w:val="00D3442D"/>
    <w:rsid w:val="00D45200"/>
    <w:rsid w:val="00D65106"/>
    <w:rsid w:val="00D714B7"/>
    <w:rsid w:val="00D73F6F"/>
    <w:rsid w:val="00D7610E"/>
    <w:rsid w:val="00D8094F"/>
    <w:rsid w:val="00D93109"/>
    <w:rsid w:val="00DA5C7A"/>
    <w:rsid w:val="00DA64F6"/>
    <w:rsid w:val="00DC1212"/>
    <w:rsid w:val="00DE0EE3"/>
    <w:rsid w:val="00DE5ED8"/>
    <w:rsid w:val="00DF7AAB"/>
    <w:rsid w:val="00E04FAD"/>
    <w:rsid w:val="00E16BA9"/>
    <w:rsid w:val="00E22666"/>
    <w:rsid w:val="00E23835"/>
    <w:rsid w:val="00E31351"/>
    <w:rsid w:val="00E3673E"/>
    <w:rsid w:val="00E55032"/>
    <w:rsid w:val="00E62C0E"/>
    <w:rsid w:val="00E6572A"/>
    <w:rsid w:val="00E67A17"/>
    <w:rsid w:val="00E75663"/>
    <w:rsid w:val="00E814C9"/>
    <w:rsid w:val="00E84497"/>
    <w:rsid w:val="00E96298"/>
    <w:rsid w:val="00EA4A38"/>
    <w:rsid w:val="00EB6740"/>
    <w:rsid w:val="00EC0150"/>
    <w:rsid w:val="00EC0B82"/>
    <w:rsid w:val="00EC3658"/>
    <w:rsid w:val="00ED2605"/>
    <w:rsid w:val="00ED2B83"/>
    <w:rsid w:val="00ED3FBD"/>
    <w:rsid w:val="00ED61EE"/>
    <w:rsid w:val="00EE2D90"/>
    <w:rsid w:val="00EF271D"/>
    <w:rsid w:val="00EF310E"/>
    <w:rsid w:val="00F0227C"/>
    <w:rsid w:val="00F02D5B"/>
    <w:rsid w:val="00F03802"/>
    <w:rsid w:val="00F03EE4"/>
    <w:rsid w:val="00F109F1"/>
    <w:rsid w:val="00F241DA"/>
    <w:rsid w:val="00F300E0"/>
    <w:rsid w:val="00F32967"/>
    <w:rsid w:val="00F353B9"/>
    <w:rsid w:val="00F357E6"/>
    <w:rsid w:val="00F44EE0"/>
    <w:rsid w:val="00F52C55"/>
    <w:rsid w:val="00F53667"/>
    <w:rsid w:val="00F5391E"/>
    <w:rsid w:val="00F67829"/>
    <w:rsid w:val="00F95098"/>
    <w:rsid w:val="00FA73C0"/>
    <w:rsid w:val="00FB1792"/>
    <w:rsid w:val="00FB1999"/>
    <w:rsid w:val="00FB385E"/>
    <w:rsid w:val="00FB4C3E"/>
    <w:rsid w:val="00FC09D6"/>
    <w:rsid w:val="00FC1DF8"/>
    <w:rsid w:val="00FC33C7"/>
    <w:rsid w:val="00FC5987"/>
    <w:rsid w:val="00FC6EE9"/>
    <w:rsid w:val="00FC72EC"/>
    <w:rsid w:val="00FD0204"/>
    <w:rsid w:val="00FD40A2"/>
    <w:rsid w:val="00FD4C9B"/>
    <w:rsid w:val="00FE0C87"/>
    <w:rsid w:val="00FE4D5C"/>
    <w:rsid w:val="00FE68A0"/>
    <w:rsid w:val="00FE6AAD"/>
    <w:rsid w:val="00FF029F"/>
    <w:rsid w:val="00FF3967"/>
    <w:rsid w:val="00FF7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20DAD"/>
  <w15:chartTrackingRefBased/>
  <w15:docId w15:val="{E77EB6D9-3B0B-4A1B-84FC-C6B15C377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D4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84D4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84D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84D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84D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84D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4D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4D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4D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4D4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84D4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84D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84D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84D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84D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4D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4D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4D42"/>
    <w:rPr>
      <w:rFonts w:eastAsiaTheme="majorEastAsia" w:cstheme="majorBidi"/>
      <w:color w:val="272727" w:themeColor="text1" w:themeTint="D8"/>
    </w:rPr>
  </w:style>
  <w:style w:type="paragraph" w:styleId="Title">
    <w:name w:val="Title"/>
    <w:basedOn w:val="Normal"/>
    <w:next w:val="Normal"/>
    <w:link w:val="TitleChar"/>
    <w:uiPriority w:val="10"/>
    <w:qFormat/>
    <w:rsid w:val="00084D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4D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4D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4D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4D42"/>
    <w:pPr>
      <w:spacing w:before="160"/>
      <w:jc w:val="center"/>
    </w:pPr>
    <w:rPr>
      <w:i/>
      <w:iCs/>
      <w:color w:val="404040" w:themeColor="text1" w:themeTint="BF"/>
    </w:rPr>
  </w:style>
  <w:style w:type="character" w:customStyle="1" w:styleId="QuoteChar">
    <w:name w:val="Quote Char"/>
    <w:basedOn w:val="DefaultParagraphFont"/>
    <w:link w:val="Quote"/>
    <w:uiPriority w:val="29"/>
    <w:rsid w:val="00084D42"/>
    <w:rPr>
      <w:i/>
      <w:iCs/>
      <w:color w:val="404040" w:themeColor="text1" w:themeTint="BF"/>
    </w:rPr>
  </w:style>
  <w:style w:type="paragraph" w:styleId="ListParagraph">
    <w:name w:val="List Paragraph"/>
    <w:basedOn w:val="Normal"/>
    <w:uiPriority w:val="34"/>
    <w:qFormat/>
    <w:rsid w:val="00084D42"/>
    <w:pPr>
      <w:ind w:left="720"/>
      <w:contextualSpacing/>
    </w:pPr>
  </w:style>
  <w:style w:type="character" w:styleId="IntenseEmphasis">
    <w:name w:val="Intense Emphasis"/>
    <w:basedOn w:val="DefaultParagraphFont"/>
    <w:uiPriority w:val="21"/>
    <w:qFormat/>
    <w:rsid w:val="00084D42"/>
    <w:rPr>
      <w:i/>
      <w:iCs/>
      <w:color w:val="2F5496" w:themeColor="accent1" w:themeShade="BF"/>
    </w:rPr>
  </w:style>
  <w:style w:type="paragraph" w:styleId="IntenseQuote">
    <w:name w:val="Intense Quote"/>
    <w:basedOn w:val="Normal"/>
    <w:next w:val="Normal"/>
    <w:link w:val="IntenseQuoteChar"/>
    <w:uiPriority w:val="30"/>
    <w:qFormat/>
    <w:rsid w:val="00084D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84D42"/>
    <w:rPr>
      <w:i/>
      <w:iCs/>
      <w:color w:val="2F5496" w:themeColor="accent1" w:themeShade="BF"/>
    </w:rPr>
  </w:style>
  <w:style w:type="character" w:styleId="IntenseReference">
    <w:name w:val="Intense Reference"/>
    <w:basedOn w:val="DefaultParagraphFont"/>
    <w:uiPriority w:val="32"/>
    <w:qFormat/>
    <w:rsid w:val="00084D42"/>
    <w:rPr>
      <w:b/>
      <w:bCs/>
      <w:smallCaps/>
      <w:color w:val="2F5496" w:themeColor="accent1" w:themeShade="BF"/>
      <w:spacing w:val="5"/>
    </w:rPr>
  </w:style>
  <w:style w:type="paragraph" w:styleId="Header">
    <w:name w:val="header"/>
    <w:basedOn w:val="Normal"/>
    <w:link w:val="HeaderChar"/>
    <w:uiPriority w:val="99"/>
    <w:unhideWhenUsed/>
    <w:rsid w:val="00EC0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B82"/>
  </w:style>
  <w:style w:type="paragraph" w:styleId="Footer">
    <w:name w:val="footer"/>
    <w:basedOn w:val="Normal"/>
    <w:link w:val="FooterChar"/>
    <w:uiPriority w:val="99"/>
    <w:unhideWhenUsed/>
    <w:rsid w:val="00EC0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B82"/>
  </w:style>
  <w:style w:type="paragraph" w:styleId="NormalWeb">
    <w:name w:val="Normal (Web)"/>
    <w:basedOn w:val="Normal"/>
    <w:uiPriority w:val="99"/>
    <w:semiHidden/>
    <w:unhideWhenUsed/>
    <w:rsid w:val="0070036E"/>
    <w:rPr>
      <w:rFonts w:ascii="Times New Roman" w:hAnsi="Times New Roman" w:cs="Times New Roman"/>
      <w:sz w:val="24"/>
      <w:szCs w:val="24"/>
    </w:rPr>
  </w:style>
  <w:style w:type="paragraph" w:styleId="Bibliography">
    <w:name w:val="Bibliography"/>
    <w:basedOn w:val="Normal"/>
    <w:next w:val="Normal"/>
    <w:uiPriority w:val="37"/>
    <w:unhideWhenUsed/>
    <w:rsid w:val="005D24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27517">
      <w:bodyDiv w:val="1"/>
      <w:marLeft w:val="0"/>
      <w:marRight w:val="0"/>
      <w:marTop w:val="0"/>
      <w:marBottom w:val="0"/>
      <w:divBdr>
        <w:top w:val="none" w:sz="0" w:space="0" w:color="auto"/>
        <w:left w:val="none" w:sz="0" w:space="0" w:color="auto"/>
        <w:bottom w:val="none" w:sz="0" w:space="0" w:color="auto"/>
        <w:right w:val="none" w:sz="0" w:space="0" w:color="auto"/>
      </w:divBdr>
    </w:div>
    <w:div w:id="51008955">
      <w:bodyDiv w:val="1"/>
      <w:marLeft w:val="0"/>
      <w:marRight w:val="0"/>
      <w:marTop w:val="0"/>
      <w:marBottom w:val="0"/>
      <w:divBdr>
        <w:top w:val="none" w:sz="0" w:space="0" w:color="auto"/>
        <w:left w:val="none" w:sz="0" w:space="0" w:color="auto"/>
        <w:bottom w:val="none" w:sz="0" w:space="0" w:color="auto"/>
        <w:right w:val="none" w:sz="0" w:space="0" w:color="auto"/>
      </w:divBdr>
    </w:div>
    <w:div w:id="140779444">
      <w:bodyDiv w:val="1"/>
      <w:marLeft w:val="0"/>
      <w:marRight w:val="0"/>
      <w:marTop w:val="0"/>
      <w:marBottom w:val="0"/>
      <w:divBdr>
        <w:top w:val="none" w:sz="0" w:space="0" w:color="auto"/>
        <w:left w:val="none" w:sz="0" w:space="0" w:color="auto"/>
        <w:bottom w:val="none" w:sz="0" w:space="0" w:color="auto"/>
        <w:right w:val="none" w:sz="0" w:space="0" w:color="auto"/>
      </w:divBdr>
    </w:div>
    <w:div w:id="236130858">
      <w:bodyDiv w:val="1"/>
      <w:marLeft w:val="0"/>
      <w:marRight w:val="0"/>
      <w:marTop w:val="0"/>
      <w:marBottom w:val="0"/>
      <w:divBdr>
        <w:top w:val="none" w:sz="0" w:space="0" w:color="auto"/>
        <w:left w:val="none" w:sz="0" w:space="0" w:color="auto"/>
        <w:bottom w:val="none" w:sz="0" w:space="0" w:color="auto"/>
        <w:right w:val="none" w:sz="0" w:space="0" w:color="auto"/>
      </w:divBdr>
    </w:div>
    <w:div w:id="246504362">
      <w:bodyDiv w:val="1"/>
      <w:marLeft w:val="0"/>
      <w:marRight w:val="0"/>
      <w:marTop w:val="0"/>
      <w:marBottom w:val="0"/>
      <w:divBdr>
        <w:top w:val="none" w:sz="0" w:space="0" w:color="auto"/>
        <w:left w:val="none" w:sz="0" w:space="0" w:color="auto"/>
        <w:bottom w:val="none" w:sz="0" w:space="0" w:color="auto"/>
        <w:right w:val="none" w:sz="0" w:space="0" w:color="auto"/>
      </w:divBdr>
    </w:div>
    <w:div w:id="257712823">
      <w:bodyDiv w:val="1"/>
      <w:marLeft w:val="0"/>
      <w:marRight w:val="0"/>
      <w:marTop w:val="0"/>
      <w:marBottom w:val="0"/>
      <w:divBdr>
        <w:top w:val="none" w:sz="0" w:space="0" w:color="auto"/>
        <w:left w:val="none" w:sz="0" w:space="0" w:color="auto"/>
        <w:bottom w:val="none" w:sz="0" w:space="0" w:color="auto"/>
        <w:right w:val="none" w:sz="0" w:space="0" w:color="auto"/>
      </w:divBdr>
    </w:div>
    <w:div w:id="322783925">
      <w:bodyDiv w:val="1"/>
      <w:marLeft w:val="0"/>
      <w:marRight w:val="0"/>
      <w:marTop w:val="0"/>
      <w:marBottom w:val="0"/>
      <w:divBdr>
        <w:top w:val="none" w:sz="0" w:space="0" w:color="auto"/>
        <w:left w:val="none" w:sz="0" w:space="0" w:color="auto"/>
        <w:bottom w:val="none" w:sz="0" w:space="0" w:color="auto"/>
        <w:right w:val="none" w:sz="0" w:space="0" w:color="auto"/>
      </w:divBdr>
    </w:div>
    <w:div w:id="422531787">
      <w:bodyDiv w:val="1"/>
      <w:marLeft w:val="0"/>
      <w:marRight w:val="0"/>
      <w:marTop w:val="0"/>
      <w:marBottom w:val="0"/>
      <w:divBdr>
        <w:top w:val="none" w:sz="0" w:space="0" w:color="auto"/>
        <w:left w:val="none" w:sz="0" w:space="0" w:color="auto"/>
        <w:bottom w:val="none" w:sz="0" w:space="0" w:color="auto"/>
        <w:right w:val="none" w:sz="0" w:space="0" w:color="auto"/>
      </w:divBdr>
    </w:div>
    <w:div w:id="475538085">
      <w:bodyDiv w:val="1"/>
      <w:marLeft w:val="0"/>
      <w:marRight w:val="0"/>
      <w:marTop w:val="0"/>
      <w:marBottom w:val="0"/>
      <w:divBdr>
        <w:top w:val="none" w:sz="0" w:space="0" w:color="auto"/>
        <w:left w:val="none" w:sz="0" w:space="0" w:color="auto"/>
        <w:bottom w:val="none" w:sz="0" w:space="0" w:color="auto"/>
        <w:right w:val="none" w:sz="0" w:space="0" w:color="auto"/>
      </w:divBdr>
    </w:div>
    <w:div w:id="482552687">
      <w:bodyDiv w:val="1"/>
      <w:marLeft w:val="0"/>
      <w:marRight w:val="0"/>
      <w:marTop w:val="0"/>
      <w:marBottom w:val="0"/>
      <w:divBdr>
        <w:top w:val="none" w:sz="0" w:space="0" w:color="auto"/>
        <w:left w:val="none" w:sz="0" w:space="0" w:color="auto"/>
        <w:bottom w:val="none" w:sz="0" w:space="0" w:color="auto"/>
        <w:right w:val="none" w:sz="0" w:space="0" w:color="auto"/>
      </w:divBdr>
    </w:div>
    <w:div w:id="491919573">
      <w:bodyDiv w:val="1"/>
      <w:marLeft w:val="0"/>
      <w:marRight w:val="0"/>
      <w:marTop w:val="0"/>
      <w:marBottom w:val="0"/>
      <w:divBdr>
        <w:top w:val="none" w:sz="0" w:space="0" w:color="auto"/>
        <w:left w:val="none" w:sz="0" w:space="0" w:color="auto"/>
        <w:bottom w:val="none" w:sz="0" w:space="0" w:color="auto"/>
        <w:right w:val="none" w:sz="0" w:space="0" w:color="auto"/>
      </w:divBdr>
    </w:div>
    <w:div w:id="519661111">
      <w:bodyDiv w:val="1"/>
      <w:marLeft w:val="0"/>
      <w:marRight w:val="0"/>
      <w:marTop w:val="0"/>
      <w:marBottom w:val="0"/>
      <w:divBdr>
        <w:top w:val="none" w:sz="0" w:space="0" w:color="auto"/>
        <w:left w:val="none" w:sz="0" w:space="0" w:color="auto"/>
        <w:bottom w:val="none" w:sz="0" w:space="0" w:color="auto"/>
        <w:right w:val="none" w:sz="0" w:space="0" w:color="auto"/>
      </w:divBdr>
    </w:div>
    <w:div w:id="571891690">
      <w:bodyDiv w:val="1"/>
      <w:marLeft w:val="0"/>
      <w:marRight w:val="0"/>
      <w:marTop w:val="0"/>
      <w:marBottom w:val="0"/>
      <w:divBdr>
        <w:top w:val="none" w:sz="0" w:space="0" w:color="auto"/>
        <w:left w:val="none" w:sz="0" w:space="0" w:color="auto"/>
        <w:bottom w:val="none" w:sz="0" w:space="0" w:color="auto"/>
        <w:right w:val="none" w:sz="0" w:space="0" w:color="auto"/>
      </w:divBdr>
    </w:div>
    <w:div w:id="582490430">
      <w:bodyDiv w:val="1"/>
      <w:marLeft w:val="0"/>
      <w:marRight w:val="0"/>
      <w:marTop w:val="0"/>
      <w:marBottom w:val="0"/>
      <w:divBdr>
        <w:top w:val="none" w:sz="0" w:space="0" w:color="auto"/>
        <w:left w:val="none" w:sz="0" w:space="0" w:color="auto"/>
        <w:bottom w:val="none" w:sz="0" w:space="0" w:color="auto"/>
        <w:right w:val="none" w:sz="0" w:space="0" w:color="auto"/>
      </w:divBdr>
    </w:div>
    <w:div w:id="601032076">
      <w:bodyDiv w:val="1"/>
      <w:marLeft w:val="0"/>
      <w:marRight w:val="0"/>
      <w:marTop w:val="0"/>
      <w:marBottom w:val="0"/>
      <w:divBdr>
        <w:top w:val="none" w:sz="0" w:space="0" w:color="auto"/>
        <w:left w:val="none" w:sz="0" w:space="0" w:color="auto"/>
        <w:bottom w:val="none" w:sz="0" w:space="0" w:color="auto"/>
        <w:right w:val="none" w:sz="0" w:space="0" w:color="auto"/>
      </w:divBdr>
    </w:div>
    <w:div w:id="630132724">
      <w:bodyDiv w:val="1"/>
      <w:marLeft w:val="0"/>
      <w:marRight w:val="0"/>
      <w:marTop w:val="0"/>
      <w:marBottom w:val="0"/>
      <w:divBdr>
        <w:top w:val="none" w:sz="0" w:space="0" w:color="auto"/>
        <w:left w:val="none" w:sz="0" w:space="0" w:color="auto"/>
        <w:bottom w:val="none" w:sz="0" w:space="0" w:color="auto"/>
        <w:right w:val="none" w:sz="0" w:space="0" w:color="auto"/>
      </w:divBdr>
    </w:div>
    <w:div w:id="630289496">
      <w:bodyDiv w:val="1"/>
      <w:marLeft w:val="0"/>
      <w:marRight w:val="0"/>
      <w:marTop w:val="0"/>
      <w:marBottom w:val="0"/>
      <w:divBdr>
        <w:top w:val="none" w:sz="0" w:space="0" w:color="auto"/>
        <w:left w:val="none" w:sz="0" w:space="0" w:color="auto"/>
        <w:bottom w:val="none" w:sz="0" w:space="0" w:color="auto"/>
        <w:right w:val="none" w:sz="0" w:space="0" w:color="auto"/>
      </w:divBdr>
    </w:div>
    <w:div w:id="643119666">
      <w:bodyDiv w:val="1"/>
      <w:marLeft w:val="0"/>
      <w:marRight w:val="0"/>
      <w:marTop w:val="0"/>
      <w:marBottom w:val="0"/>
      <w:divBdr>
        <w:top w:val="none" w:sz="0" w:space="0" w:color="auto"/>
        <w:left w:val="none" w:sz="0" w:space="0" w:color="auto"/>
        <w:bottom w:val="none" w:sz="0" w:space="0" w:color="auto"/>
        <w:right w:val="none" w:sz="0" w:space="0" w:color="auto"/>
      </w:divBdr>
      <w:divsChild>
        <w:div w:id="1414012424">
          <w:marLeft w:val="0"/>
          <w:marRight w:val="0"/>
          <w:marTop w:val="0"/>
          <w:marBottom w:val="0"/>
          <w:divBdr>
            <w:top w:val="single" w:sz="2" w:space="0" w:color="E5E7EB"/>
            <w:left w:val="single" w:sz="2" w:space="0" w:color="E5E7EB"/>
            <w:bottom w:val="single" w:sz="2" w:space="0" w:color="E5E7EB"/>
            <w:right w:val="single" w:sz="2" w:space="0" w:color="E5E7EB"/>
          </w:divBdr>
        </w:div>
        <w:div w:id="818801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83476089">
      <w:bodyDiv w:val="1"/>
      <w:marLeft w:val="0"/>
      <w:marRight w:val="0"/>
      <w:marTop w:val="0"/>
      <w:marBottom w:val="0"/>
      <w:divBdr>
        <w:top w:val="none" w:sz="0" w:space="0" w:color="auto"/>
        <w:left w:val="none" w:sz="0" w:space="0" w:color="auto"/>
        <w:bottom w:val="none" w:sz="0" w:space="0" w:color="auto"/>
        <w:right w:val="none" w:sz="0" w:space="0" w:color="auto"/>
      </w:divBdr>
    </w:div>
    <w:div w:id="684474918">
      <w:bodyDiv w:val="1"/>
      <w:marLeft w:val="0"/>
      <w:marRight w:val="0"/>
      <w:marTop w:val="0"/>
      <w:marBottom w:val="0"/>
      <w:divBdr>
        <w:top w:val="none" w:sz="0" w:space="0" w:color="auto"/>
        <w:left w:val="none" w:sz="0" w:space="0" w:color="auto"/>
        <w:bottom w:val="none" w:sz="0" w:space="0" w:color="auto"/>
        <w:right w:val="none" w:sz="0" w:space="0" w:color="auto"/>
      </w:divBdr>
    </w:div>
    <w:div w:id="732041435">
      <w:bodyDiv w:val="1"/>
      <w:marLeft w:val="0"/>
      <w:marRight w:val="0"/>
      <w:marTop w:val="0"/>
      <w:marBottom w:val="0"/>
      <w:divBdr>
        <w:top w:val="none" w:sz="0" w:space="0" w:color="auto"/>
        <w:left w:val="none" w:sz="0" w:space="0" w:color="auto"/>
        <w:bottom w:val="none" w:sz="0" w:space="0" w:color="auto"/>
        <w:right w:val="none" w:sz="0" w:space="0" w:color="auto"/>
      </w:divBdr>
    </w:div>
    <w:div w:id="733509755">
      <w:bodyDiv w:val="1"/>
      <w:marLeft w:val="0"/>
      <w:marRight w:val="0"/>
      <w:marTop w:val="0"/>
      <w:marBottom w:val="0"/>
      <w:divBdr>
        <w:top w:val="none" w:sz="0" w:space="0" w:color="auto"/>
        <w:left w:val="none" w:sz="0" w:space="0" w:color="auto"/>
        <w:bottom w:val="none" w:sz="0" w:space="0" w:color="auto"/>
        <w:right w:val="none" w:sz="0" w:space="0" w:color="auto"/>
      </w:divBdr>
    </w:div>
    <w:div w:id="772284835">
      <w:bodyDiv w:val="1"/>
      <w:marLeft w:val="0"/>
      <w:marRight w:val="0"/>
      <w:marTop w:val="0"/>
      <w:marBottom w:val="0"/>
      <w:divBdr>
        <w:top w:val="none" w:sz="0" w:space="0" w:color="auto"/>
        <w:left w:val="none" w:sz="0" w:space="0" w:color="auto"/>
        <w:bottom w:val="none" w:sz="0" w:space="0" w:color="auto"/>
        <w:right w:val="none" w:sz="0" w:space="0" w:color="auto"/>
      </w:divBdr>
    </w:div>
    <w:div w:id="783622417">
      <w:bodyDiv w:val="1"/>
      <w:marLeft w:val="0"/>
      <w:marRight w:val="0"/>
      <w:marTop w:val="0"/>
      <w:marBottom w:val="0"/>
      <w:divBdr>
        <w:top w:val="none" w:sz="0" w:space="0" w:color="auto"/>
        <w:left w:val="none" w:sz="0" w:space="0" w:color="auto"/>
        <w:bottom w:val="none" w:sz="0" w:space="0" w:color="auto"/>
        <w:right w:val="none" w:sz="0" w:space="0" w:color="auto"/>
      </w:divBdr>
    </w:div>
    <w:div w:id="861170842">
      <w:bodyDiv w:val="1"/>
      <w:marLeft w:val="0"/>
      <w:marRight w:val="0"/>
      <w:marTop w:val="0"/>
      <w:marBottom w:val="0"/>
      <w:divBdr>
        <w:top w:val="none" w:sz="0" w:space="0" w:color="auto"/>
        <w:left w:val="none" w:sz="0" w:space="0" w:color="auto"/>
        <w:bottom w:val="none" w:sz="0" w:space="0" w:color="auto"/>
        <w:right w:val="none" w:sz="0" w:space="0" w:color="auto"/>
      </w:divBdr>
    </w:div>
    <w:div w:id="879054838">
      <w:bodyDiv w:val="1"/>
      <w:marLeft w:val="0"/>
      <w:marRight w:val="0"/>
      <w:marTop w:val="0"/>
      <w:marBottom w:val="0"/>
      <w:divBdr>
        <w:top w:val="none" w:sz="0" w:space="0" w:color="auto"/>
        <w:left w:val="none" w:sz="0" w:space="0" w:color="auto"/>
        <w:bottom w:val="none" w:sz="0" w:space="0" w:color="auto"/>
        <w:right w:val="none" w:sz="0" w:space="0" w:color="auto"/>
      </w:divBdr>
    </w:div>
    <w:div w:id="891961787">
      <w:bodyDiv w:val="1"/>
      <w:marLeft w:val="0"/>
      <w:marRight w:val="0"/>
      <w:marTop w:val="0"/>
      <w:marBottom w:val="0"/>
      <w:divBdr>
        <w:top w:val="none" w:sz="0" w:space="0" w:color="auto"/>
        <w:left w:val="none" w:sz="0" w:space="0" w:color="auto"/>
        <w:bottom w:val="none" w:sz="0" w:space="0" w:color="auto"/>
        <w:right w:val="none" w:sz="0" w:space="0" w:color="auto"/>
      </w:divBdr>
      <w:divsChild>
        <w:div w:id="2517197">
          <w:marLeft w:val="446"/>
          <w:marRight w:val="0"/>
          <w:marTop w:val="0"/>
          <w:marBottom w:val="120"/>
          <w:divBdr>
            <w:top w:val="none" w:sz="0" w:space="0" w:color="auto"/>
            <w:left w:val="none" w:sz="0" w:space="0" w:color="auto"/>
            <w:bottom w:val="none" w:sz="0" w:space="0" w:color="auto"/>
            <w:right w:val="none" w:sz="0" w:space="0" w:color="auto"/>
          </w:divBdr>
        </w:div>
      </w:divsChild>
    </w:div>
    <w:div w:id="984579924">
      <w:bodyDiv w:val="1"/>
      <w:marLeft w:val="0"/>
      <w:marRight w:val="0"/>
      <w:marTop w:val="0"/>
      <w:marBottom w:val="0"/>
      <w:divBdr>
        <w:top w:val="none" w:sz="0" w:space="0" w:color="auto"/>
        <w:left w:val="none" w:sz="0" w:space="0" w:color="auto"/>
        <w:bottom w:val="none" w:sz="0" w:space="0" w:color="auto"/>
        <w:right w:val="none" w:sz="0" w:space="0" w:color="auto"/>
      </w:divBdr>
    </w:div>
    <w:div w:id="1004943239">
      <w:bodyDiv w:val="1"/>
      <w:marLeft w:val="0"/>
      <w:marRight w:val="0"/>
      <w:marTop w:val="0"/>
      <w:marBottom w:val="0"/>
      <w:divBdr>
        <w:top w:val="none" w:sz="0" w:space="0" w:color="auto"/>
        <w:left w:val="none" w:sz="0" w:space="0" w:color="auto"/>
        <w:bottom w:val="none" w:sz="0" w:space="0" w:color="auto"/>
        <w:right w:val="none" w:sz="0" w:space="0" w:color="auto"/>
      </w:divBdr>
    </w:div>
    <w:div w:id="1018889340">
      <w:bodyDiv w:val="1"/>
      <w:marLeft w:val="0"/>
      <w:marRight w:val="0"/>
      <w:marTop w:val="0"/>
      <w:marBottom w:val="0"/>
      <w:divBdr>
        <w:top w:val="none" w:sz="0" w:space="0" w:color="auto"/>
        <w:left w:val="none" w:sz="0" w:space="0" w:color="auto"/>
        <w:bottom w:val="none" w:sz="0" w:space="0" w:color="auto"/>
        <w:right w:val="none" w:sz="0" w:space="0" w:color="auto"/>
      </w:divBdr>
    </w:div>
    <w:div w:id="1063334163">
      <w:bodyDiv w:val="1"/>
      <w:marLeft w:val="0"/>
      <w:marRight w:val="0"/>
      <w:marTop w:val="0"/>
      <w:marBottom w:val="0"/>
      <w:divBdr>
        <w:top w:val="none" w:sz="0" w:space="0" w:color="auto"/>
        <w:left w:val="none" w:sz="0" w:space="0" w:color="auto"/>
        <w:bottom w:val="none" w:sz="0" w:space="0" w:color="auto"/>
        <w:right w:val="none" w:sz="0" w:space="0" w:color="auto"/>
      </w:divBdr>
    </w:div>
    <w:div w:id="1106118114">
      <w:bodyDiv w:val="1"/>
      <w:marLeft w:val="0"/>
      <w:marRight w:val="0"/>
      <w:marTop w:val="0"/>
      <w:marBottom w:val="0"/>
      <w:divBdr>
        <w:top w:val="none" w:sz="0" w:space="0" w:color="auto"/>
        <w:left w:val="none" w:sz="0" w:space="0" w:color="auto"/>
        <w:bottom w:val="none" w:sz="0" w:space="0" w:color="auto"/>
        <w:right w:val="none" w:sz="0" w:space="0" w:color="auto"/>
      </w:divBdr>
    </w:div>
    <w:div w:id="1247113825">
      <w:bodyDiv w:val="1"/>
      <w:marLeft w:val="0"/>
      <w:marRight w:val="0"/>
      <w:marTop w:val="0"/>
      <w:marBottom w:val="0"/>
      <w:divBdr>
        <w:top w:val="none" w:sz="0" w:space="0" w:color="auto"/>
        <w:left w:val="none" w:sz="0" w:space="0" w:color="auto"/>
        <w:bottom w:val="none" w:sz="0" w:space="0" w:color="auto"/>
        <w:right w:val="none" w:sz="0" w:space="0" w:color="auto"/>
      </w:divBdr>
    </w:div>
    <w:div w:id="1280836670">
      <w:bodyDiv w:val="1"/>
      <w:marLeft w:val="0"/>
      <w:marRight w:val="0"/>
      <w:marTop w:val="0"/>
      <w:marBottom w:val="0"/>
      <w:divBdr>
        <w:top w:val="none" w:sz="0" w:space="0" w:color="auto"/>
        <w:left w:val="none" w:sz="0" w:space="0" w:color="auto"/>
        <w:bottom w:val="none" w:sz="0" w:space="0" w:color="auto"/>
        <w:right w:val="none" w:sz="0" w:space="0" w:color="auto"/>
      </w:divBdr>
    </w:div>
    <w:div w:id="1487286908">
      <w:bodyDiv w:val="1"/>
      <w:marLeft w:val="0"/>
      <w:marRight w:val="0"/>
      <w:marTop w:val="0"/>
      <w:marBottom w:val="0"/>
      <w:divBdr>
        <w:top w:val="none" w:sz="0" w:space="0" w:color="auto"/>
        <w:left w:val="none" w:sz="0" w:space="0" w:color="auto"/>
        <w:bottom w:val="none" w:sz="0" w:space="0" w:color="auto"/>
        <w:right w:val="none" w:sz="0" w:space="0" w:color="auto"/>
      </w:divBdr>
    </w:div>
    <w:div w:id="1557861003">
      <w:bodyDiv w:val="1"/>
      <w:marLeft w:val="0"/>
      <w:marRight w:val="0"/>
      <w:marTop w:val="0"/>
      <w:marBottom w:val="0"/>
      <w:divBdr>
        <w:top w:val="none" w:sz="0" w:space="0" w:color="auto"/>
        <w:left w:val="none" w:sz="0" w:space="0" w:color="auto"/>
        <w:bottom w:val="none" w:sz="0" w:space="0" w:color="auto"/>
        <w:right w:val="none" w:sz="0" w:space="0" w:color="auto"/>
      </w:divBdr>
    </w:div>
    <w:div w:id="1564677460">
      <w:bodyDiv w:val="1"/>
      <w:marLeft w:val="0"/>
      <w:marRight w:val="0"/>
      <w:marTop w:val="0"/>
      <w:marBottom w:val="0"/>
      <w:divBdr>
        <w:top w:val="none" w:sz="0" w:space="0" w:color="auto"/>
        <w:left w:val="none" w:sz="0" w:space="0" w:color="auto"/>
        <w:bottom w:val="none" w:sz="0" w:space="0" w:color="auto"/>
        <w:right w:val="none" w:sz="0" w:space="0" w:color="auto"/>
      </w:divBdr>
    </w:div>
    <w:div w:id="1666322743">
      <w:bodyDiv w:val="1"/>
      <w:marLeft w:val="0"/>
      <w:marRight w:val="0"/>
      <w:marTop w:val="0"/>
      <w:marBottom w:val="0"/>
      <w:divBdr>
        <w:top w:val="none" w:sz="0" w:space="0" w:color="auto"/>
        <w:left w:val="none" w:sz="0" w:space="0" w:color="auto"/>
        <w:bottom w:val="none" w:sz="0" w:space="0" w:color="auto"/>
        <w:right w:val="none" w:sz="0" w:space="0" w:color="auto"/>
      </w:divBdr>
    </w:div>
    <w:div w:id="1667593922">
      <w:bodyDiv w:val="1"/>
      <w:marLeft w:val="0"/>
      <w:marRight w:val="0"/>
      <w:marTop w:val="0"/>
      <w:marBottom w:val="0"/>
      <w:divBdr>
        <w:top w:val="none" w:sz="0" w:space="0" w:color="auto"/>
        <w:left w:val="none" w:sz="0" w:space="0" w:color="auto"/>
        <w:bottom w:val="none" w:sz="0" w:space="0" w:color="auto"/>
        <w:right w:val="none" w:sz="0" w:space="0" w:color="auto"/>
      </w:divBdr>
    </w:div>
    <w:div w:id="1740708382">
      <w:bodyDiv w:val="1"/>
      <w:marLeft w:val="0"/>
      <w:marRight w:val="0"/>
      <w:marTop w:val="0"/>
      <w:marBottom w:val="0"/>
      <w:divBdr>
        <w:top w:val="none" w:sz="0" w:space="0" w:color="auto"/>
        <w:left w:val="none" w:sz="0" w:space="0" w:color="auto"/>
        <w:bottom w:val="none" w:sz="0" w:space="0" w:color="auto"/>
        <w:right w:val="none" w:sz="0" w:space="0" w:color="auto"/>
      </w:divBdr>
    </w:div>
    <w:div w:id="1759594952">
      <w:bodyDiv w:val="1"/>
      <w:marLeft w:val="0"/>
      <w:marRight w:val="0"/>
      <w:marTop w:val="0"/>
      <w:marBottom w:val="0"/>
      <w:divBdr>
        <w:top w:val="none" w:sz="0" w:space="0" w:color="auto"/>
        <w:left w:val="none" w:sz="0" w:space="0" w:color="auto"/>
        <w:bottom w:val="none" w:sz="0" w:space="0" w:color="auto"/>
        <w:right w:val="none" w:sz="0" w:space="0" w:color="auto"/>
      </w:divBdr>
    </w:div>
    <w:div w:id="1806894896">
      <w:bodyDiv w:val="1"/>
      <w:marLeft w:val="0"/>
      <w:marRight w:val="0"/>
      <w:marTop w:val="0"/>
      <w:marBottom w:val="0"/>
      <w:divBdr>
        <w:top w:val="none" w:sz="0" w:space="0" w:color="auto"/>
        <w:left w:val="none" w:sz="0" w:space="0" w:color="auto"/>
        <w:bottom w:val="none" w:sz="0" w:space="0" w:color="auto"/>
        <w:right w:val="none" w:sz="0" w:space="0" w:color="auto"/>
      </w:divBdr>
    </w:div>
    <w:div w:id="1827362083">
      <w:bodyDiv w:val="1"/>
      <w:marLeft w:val="0"/>
      <w:marRight w:val="0"/>
      <w:marTop w:val="0"/>
      <w:marBottom w:val="0"/>
      <w:divBdr>
        <w:top w:val="none" w:sz="0" w:space="0" w:color="auto"/>
        <w:left w:val="none" w:sz="0" w:space="0" w:color="auto"/>
        <w:bottom w:val="none" w:sz="0" w:space="0" w:color="auto"/>
        <w:right w:val="none" w:sz="0" w:space="0" w:color="auto"/>
      </w:divBdr>
      <w:divsChild>
        <w:div w:id="150566179">
          <w:marLeft w:val="0"/>
          <w:marRight w:val="0"/>
          <w:marTop w:val="0"/>
          <w:marBottom w:val="0"/>
          <w:divBdr>
            <w:top w:val="single" w:sz="2" w:space="0" w:color="E5E7EB"/>
            <w:left w:val="single" w:sz="2" w:space="0" w:color="E5E7EB"/>
            <w:bottom w:val="single" w:sz="2" w:space="0" w:color="E5E7EB"/>
            <w:right w:val="single" w:sz="2" w:space="0" w:color="E5E7EB"/>
          </w:divBdr>
        </w:div>
        <w:div w:id="14545974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52908752">
      <w:bodyDiv w:val="1"/>
      <w:marLeft w:val="0"/>
      <w:marRight w:val="0"/>
      <w:marTop w:val="0"/>
      <w:marBottom w:val="0"/>
      <w:divBdr>
        <w:top w:val="none" w:sz="0" w:space="0" w:color="auto"/>
        <w:left w:val="none" w:sz="0" w:space="0" w:color="auto"/>
        <w:bottom w:val="none" w:sz="0" w:space="0" w:color="auto"/>
        <w:right w:val="none" w:sz="0" w:space="0" w:color="auto"/>
      </w:divBdr>
    </w:div>
    <w:div w:id="1857034232">
      <w:bodyDiv w:val="1"/>
      <w:marLeft w:val="0"/>
      <w:marRight w:val="0"/>
      <w:marTop w:val="0"/>
      <w:marBottom w:val="0"/>
      <w:divBdr>
        <w:top w:val="none" w:sz="0" w:space="0" w:color="auto"/>
        <w:left w:val="none" w:sz="0" w:space="0" w:color="auto"/>
        <w:bottom w:val="none" w:sz="0" w:space="0" w:color="auto"/>
        <w:right w:val="none" w:sz="0" w:space="0" w:color="auto"/>
      </w:divBdr>
    </w:div>
    <w:div w:id="1859004680">
      <w:bodyDiv w:val="1"/>
      <w:marLeft w:val="0"/>
      <w:marRight w:val="0"/>
      <w:marTop w:val="0"/>
      <w:marBottom w:val="0"/>
      <w:divBdr>
        <w:top w:val="none" w:sz="0" w:space="0" w:color="auto"/>
        <w:left w:val="none" w:sz="0" w:space="0" w:color="auto"/>
        <w:bottom w:val="none" w:sz="0" w:space="0" w:color="auto"/>
        <w:right w:val="none" w:sz="0" w:space="0" w:color="auto"/>
      </w:divBdr>
    </w:div>
    <w:div w:id="1864900409">
      <w:bodyDiv w:val="1"/>
      <w:marLeft w:val="0"/>
      <w:marRight w:val="0"/>
      <w:marTop w:val="0"/>
      <w:marBottom w:val="0"/>
      <w:divBdr>
        <w:top w:val="none" w:sz="0" w:space="0" w:color="auto"/>
        <w:left w:val="none" w:sz="0" w:space="0" w:color="auto"/>
        <w:bottom w:val="none" w:sz="0" w:space="0" w:color="auto"/>
        <w:right w:val="none" w:sz="0" w:space="0" w:color="auto"/>
      </w:divBdr>
    </w:div>
    <w:div w:id="1881287122">
      <w:bodyDiv w:val="1"/>
      <w:marLeft w:val="0"/>
      <w:marRight w:val="0"/>
      <w:marTop w:val="0"/>
      <w:marBottom w:val="0"/>
      <w:divBdr>
        <w:top w:val="none" w:sz="0" w:space="0" w:color="auto"/>
        <w:left w:val="none" w:sz="0" w:space="0" w:color="auto"/>
        <w:bottom w:val="none" w:sz="0" w:space="0" w:color="auto"/>
        <w:right w:val="none" w:sz="0" w:space="0" w:color="auto"/>
      </w:divBdr>
    </w:div>
    <w:div w:id="1937591305">
      <w:bodyDiv w:val="1"/>
      <w:marLeft w:val="0"/>
      <w:marRight w:val="0"/>
      <w:marTop w:val="0"/>
      <w:marBottom w:val="0"/>
      <w:divBdr>
        <w:top w:val="none" w:sz="0" w:space="0" w:color="auto"/>
        <w:left w:val="none" w:sz="0" w:space="0" w:color="auto"/>
        <w:bottom w:val="none" w:sz="0" w:space="0" w:color="auto"/>
        <w:right w:val="none" w:sz="0" w:space="0" w:color="auto"/>
      </w:divBdr>
    </w:div>
    <w:div w:id="2000767492">
      <w:bodyDiv w:val="1"/>
      <w:marLeft w:val="0"/>
      <w:marRight w:val="0"/>
      <w:marTop w:val="0"/>
      <w:marBottom w:val="0"/>
      <w:divBdr>
        <w:top w:val="none" w:sz="0" w:space="0" w:color="auto"/>
        <w:left w:val="none" w:sz="0" w:space="0" w:color="auto"/>
        <w:bottom w:val="none" w:sz="0" w:space="0" w:color="auto"/>
        <w:right w:val="none" w:sz="0" w:space="0" w:color="auto"/>
      </w:divBdr>
    </w:div>
    <w:div w:id="2019193688">
      <w:bodyDiv w:val="1"/>
      <w:marLeft w:val="0"/>
      <w:marRight w:val="0"/>
      <w:marTop w:val="0"/>
      <w:marBottom w:val="0"/>
      <w:divBdr>
        <w:top w:val="none" w:sz="0" w:space="0" w:color="auto"/>
        <w:left w:val="none" w:sz="0" w:space="0" w:color="auto"/>
        <w:bottom w:val="none" w:sz="0" w:space="0" w:color="auto"/>
        <w:right w:val="none" w:sz="0" w:space="0" w:color="auto"/>
      </w:divBdr>
    </w:div>
    <w:div w:id="206710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a32b4e8-4cc6-4a01-931f-a76085e0c041"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Bro79</b:Tag>
    <b:SourceType>Book</b:SourceType>
    <b:Guid>{85C4138B-B682-4854-912C-D185E52F3894}</b:Guid>
    <b:Title>The Ecology of Human Development</b:Title>
    <b:Year>1979</b:Year>
    <b:City>Cambridge, MA</b:City>
    <b:Publisher>Harvard University Press</b:Publisher>
    <b:Author>
      <b:Author>
        <b:NameList>
          <b:Person>
            <b:Last>Bronfenbrenner</b:Last>
            <b:First>U</b:First>
          </b:Person>
        </b:NameList>
      </b:Author>
    </b:Author>
    <b:RefOrder>15</b:RefOrder>
  </b:Source>
  <b:Source>
    <b:Tag>Lev17</b:Tag>
    <b:SourceType>JournalArticle</b:SourceType>
    <b:Guid>{430312F7-1312-43A4-9E82-C6F2D621000E}</b:Guid>
    <b:Title>Trauma-Informed Social Work Practice</b:Title>
    <b:Year>2017</b:Year>
    <b:JournalName>Social Work</b:JournalName>
    <b:Pages>105-113</b:Pages>
    <b:Author>
      <b:Author>
        <b:NameList>
          <b:Person>
            <b:Last>Levenson</b:Last>
            <b:First>Jill</b:First>
          </b:Person>
        </b:NameList>
      </b:Author>
    </b:Author>
    <b:Month>April</b:Month>
    <b:Volume>62</b:Volume>
    <b:Issue>2</b:Issue>
    <b:RefOrder>11</b:RefOrder>
  </b:Source>
  <b:Source>
    <b:Tag>Kal15</b:Tag>
    <b:SourceType>JournalArticle</b:SourceType>
    <b:Guid>{328BCC53-C3CB-4670-ACD9-A779EEB591DC}</b:Guid>
    <b:Title>Health consequences of adverse childhood experiences: A systematic review</b:Title>
    <b:Year>2015</b:Year>
    <b:JournalName>Journal of the American Association of Practice Nurses</b:JournalName>
    <b:Pages>457-465</b:Pages>
    <b:Volume>27</b:Volume>
    <b:Issue>8</b:Issue>
    <b:Author>
      <b:Author>
        <b:NameList>
          <b:Person>
            <b:Last>Kalmakis</b:Last>
            <b:First>Karen</b:First>
          </b:Person>
          <b:Person>
            <b:Last>Chandler</b:Last>
            <b:First>Genevieve</b:First>
          </b:Person>
        </b:NameList>
      </b:Author>
    </b:Author>
    <b:RefOrder>16</b:RefOrder>
  </b:Source>
  <b:Source>
    <b:Tag>Ame80</b:Tag>
    <b:SourceType>Book</b:SourceType>
    <b:Guid>{786F74A5-344B-4DE5-A2AF-D5EB2ACDC418}</b:Guid>
    <b:Author>
      <b:Author>
        <b:Corporate>American Psychiatric Association</b:Corporate>
      </b:Author>
    </b:Author>
    <b:Title>Diagnostic and statistical manual of mental disorders</b:Title>
    <b:Year>1980</b:Year>
    <b:Pages>205-224</b:Pages>
    <b:City>Washington DC</b:City>
    <b:Publisher>American Psychiatric Association</b:Publisher>
    <b:RefOrder>1</b:RefOrder>
  </b:Source>
  <b:Source>
    <b:Tag>Mun75</b:Tag>
    <b:SourceType>JournalArticle</b:SourceType>
    <b:Guid>{85358F6B-96B7-43E6-8C6F-0D2592939680}</b:Guid>
    <b:Title>Erik Erikson's theory of psychosocial development and vocational behavior</b:Title>
    <b:Year>1975</b:Year>
    <b:JournalName>Journal of Counseling Psychology</b:JournalName>
    <b:Pages>314-319</b:Pages>
    <b:Author>
      <b:Author>
        <b:NameList>
          <b:Person>
            <b:Last>Munley</b:Last>
            <b:First>P</b:First>
          </b:Person>
        </b:NameList>
      </b:Author>
    </b:Author>
    <b:Volume>22</b:Volume>
    <b:Issue>4</b:Issue>
    <b:RefOrder>2</b:RefOrder>
  </b:Source>
  <b:Source>
    <b:Tag>Wil19</b:Tag>
    <b:SourceType>JournalArticle</b:SourceType>
    <b:Guid>{57484ACE-69C9-45BF-B758-0AAA0B459740}</b:Guid>
    <b:Title>Occupational moral injury and mental health in armed forces personnel</b:Title>
    <b:JournalName>British Journal of Psychiatry</b:JournalName>
    <b:Year>2019</b:Year>
    <b:Pages>239-242</b:Pages>
    <b:Author>
      <b:Author>
        <b:NameList>
          <b:Person>
            <b:Last>Williamson</b:Last>
            <b:First>Victoria</b:First>
          </b:Person>
          <b:Person>
            <b:Last>Stevelink</b:Last>
            <b:First>Sharon</b:First>
          </b:Person>
          <b:Person>
            <b:Last>Greenberg</b:Last>
            <b:First>Neil</b:First>
          </b:Person>
        </b:NameList>
      </b:Author>
    </b:Author>
    <b:Volume>214</b:Volume>
    <b:Issue>4</b:Issue>
    <b:RefOrder>17</b:RefOrder>
  </b:Source>
  <b:Source>
    <b:Tag>Sil23</b:Tag>
    <b:SourceType>JournalArticle</b:SourceType>
    <b:Guid>{5F500360-992C-443D-95C1-1F8F6095016B}</b:Guid>
    <b:Title>"It's a sign of weakness": Masculinity and help-seeking behaviors among male veterans accessing post traumatic stress disorder care</b:Title>
    <b:JournalName>Psychological Trauma: Theory,  Research, Practice, and Policy</b:JournalName>
    <b:Year>2023</b:Year>
    <b:Pages>665-671</b:Pages>
    <b:Author>
      <b:Author>
        <b:NameList>
          <b:Person>
            <b:Last>Silvestrini</b:Last>
            <b:First>M</b:First>
          </b:Person>
          <b:Person>
            <b:Last>Chen</b:Last>
            <b:First>J</b:First>
          </b:Person>
        </b:NameList>
      </b:Author>
    </b:Author>
    <b:Volume>15</b:Volume>
    <b:Issue>4</b:Issue>
    <b:RefOrder>3</b:RefOrder>
  </b:Source>
  <b:Source>
    <b:Tag>Hum98</b:Tag>
    <b:SourceType>Misc</b:SourceType>
    <b:Guid>{BFB2F182-3190-4671-B87A-6DA1298369E6}</b:Guid>
    <b:Title>Human Rights Act</b:Title>
    <b:Year>1998</b:Year>
    <b:City>London</b:City>
    <b:Publisher>The Stationery Office</b:Publisher>
    <b:YearAccessed>2025</b:YearAccessed>
    <b:MonthAccessed>oct</b:MonthAccessed>
    <b:DayAccessed>22</b:DayAccessed>
    <b:URL>https://www.legislation.gov.uk/ukpga/1998/42/contents</b:URL>
    <b:RefOrder>18</b:RefOrder>
  </b:Source>
  <b:Source>
    <b:Tag>Eur50</b:Tag>
    <b:SourceType>Misc</b:SourceType>
    <b:Guid>{49010B90-CA5B-4CF6-8F01-6729FB1AEFAF}</b:Guid>
    <b:Title>European Convention on Human Rights</b:Title>
    <b:Year>1950</b:Year>
    <b:City>Strasbourg</b:City>
    <b:Publisher>Council of Europe</b:Publisher>
    <b:YearAccessed>2025</b:YearAccessed>
    <b:MonthAccessed>Oct</b:MonthAccessed>
    <b:DayAccessed>22</b:DayAccessed>
    <b:URL>https://www.echr.coe.int/documents/d/echr/convention_ENG</b:URL>
    <b:RefOrder>19</b:RefOrder>
  </b:Source>
  <b:Source>
    <b:Tag>Jov21</b:Tag>
    <b:SourceType>JournalArticle</b:SourceType>
    <b:Guid>{C074E742-1797-497F-9C83-C0ADC8B3A72E}</b:Guid>
    <b:Title>Male as a Victims: Domestic Violence from a Different Perspective</b:Title>
    <b:Year>2021</b:Year>
    <b:JournalName>International Journal of Scientific &amp; Engineering Research</b:JournalName>
    <b:Pages>903-912</b:Pages>
    <b:Author>
      <b:Author>
        <b:NameList>
          <b:Person>
            <b:Last>Jovanoski</b:Last>
            <b:First>Aleksandar</b:First>
          </b:Person>
          <b:Person>
            <b:Last>Sharmalanov</b:Last>
            <b:First>Kire</b:First>
          </b:Person>
        </b:NameList>
      </b:Author>
    </b:Author>
    <b:Month>March</b:Month>
    <b:Volume>12</b:Volume>
    <b:Issue>3</b:Issue>
    <b:RefOrder>5</b:RefOrder>
  </b:Source>
  <b:Source>
    <b:Tag>Tay22</b:Tag>
    <b:SourceType>JournalArticle</b:SourceType>
    <b:Guid>{D98DC629-74F5-44B4-B129-A470F7706F33}</b:Guid>
    <b:Title>Barriers to Men’s Help Seeking for Intimate Partner Violence</b:Title>
    <b:JournalName>Journal of Interpersonal Violence</b:JournalName>
    <b:Year>2022</b:Year>
    <b:Pages>NP18417-NP18444</b:Pages>
    <b:Author>
      <b:Author>
        <b:NameList>
          <b:Person>
            <b:Last>Taylor</b:Last>
            <b:First>Julie</b:First>
          </b:Person>
          <b:Person>
            <b:Last>Bates</b:Last>
            <b:First>Elizabeth</b:First>
          </b:Person>
          <b:Person>
            <b:Last>Colosi</b:Last>
            <b:First>Attilio</b:First>
          </b:Person>
          <b:Person>
            <b:Last>Creer</b:Last>
            <b:First>Andrew</b:First>
          </b:Person>
        </b:NameList>
      </b:Author>
    </b:Author>
    <b:Volume>37</b:Volume>
    <b:Issue>19-20</b:Issue>
    <b:RefOrder>20</b:RefOrder>
  </b:Source>
  <b:Source>
    <b:Tag>Kap09</b:Tag>
    <b:SourceType>ElectronicSource</b:SourceType>
    <b:Guid>{2350112F-4CC9-45B9-928E-B42A5B5DEE79}</b:Guid>
    <b:Title>Suicide after Leaving the UK Armed Forces —A Cohort Study</b:Title>
    <b:JournalName>PLOS Medicine</b:JournalName>
    <b:Year>2009</b:Year>
    <b:Author>
      <b:Author>
        <b:NameList>
          <b:Person>
            <b:Last>Kapour</b:Last>
            <b:First>Navneet</b:First>
          </b:Person>
          <b:Person>
            <b:Last>While</b:Last>
            <b:First>David</b:First>
          </b:Person>
          <b:Person>
            <b:Last>Blatchley</b:Last>
            <b:First>Nick</b:First>
          </b:Person>
          <b:Person>
            <b:Last>Bray</b:Last>
            <b:First>Isabelle</b:First>
          </b:Person>
          <b:Person>
            <b:Last>Harrison</b:Last>
            <b:First>Kate</b:First>
          </b:Person>
        </b:NameList>
      </b:Author>
    </b:Author>
    <b:Volume>6</b:Volume>
    <b:Issue>3</b:Issue>
    <b:YearAccessed>2025</b:YearAccessed>
    <b:MonthAccessed>November</b:MonthAccessed>
    <b:DayAccessed>28</b:DayAccessed>
    <b:URL>https://doi.org/10.1371/journal.pmed.1000026</b:URL>
    <b:RefOrder>21</b:RefOrder>
  </b:Source>
  <b:Source>
    <b:Tag>Soc19</b:Tag>
    <b:SourceType>DocumentFromInternetSite</b:SourceType>
    <b:Guid>{E915C5C5-7962-4DEA-B322-356C1E87CE65}</b:Guid>
    <b:Title>Safeguarding adults: sharing information</b:Title>
    <b:Year>2019</b:Year>
    <b:Month>Jan</b:Month>
    <b:Author>
      <b:Author>
        <b:Corporate>Social Care Institute for Excellence</b:Corporate>
      </b:Author>
    </b:Author>
    <b:InternetSiteTitle>Social Care Institute for Excellence</b:InternetSiteTitle>
    <b:URL>https://www.scie.org.uk/safeguarding/adults/practice/sharing-information/#:~:text=Organisations%20need%20to%20share%20safeguarding,prevent%20the%20escalation%20of%20risk</b:URL>
    <b:RefOrder>6</b:RefOrder>
  </b:Source>
  <b:Source>
    <b:Tag>Kam21</b:Tag>
    <b:SourceType>JournalArticle</b:SourceType>
    <b:Guid>{78C9A173-2A6B-43DD-9C88-EB4FCF0DAD4D}</b:Guid>
    <b:Title>From a Strengths Perspective to an Empowerment-Participation-Strengths Model in Social Work Practice</b:Title>
    <b:Year>2021</b:Year>
    <b:JournalName>The British Journal of Social Work</b:JournalName>
    <b:Pages>1425-1444</b:Pages>
    <b:Author>
      <b:Author>
        <b:NameList>
          <b:Person>
            <b:Last>Kam</b:Last>
            <b:First>Ping Kwong</b:First>
          </b:Person>
        </b:NameList>
      </b:Author>
    </b:Author>
    <b:Volume>51</b:Volume>
    <b:Issue>4</b:Issue>
    <b:RefOrder>22</b:RefOrder>
  </b:Source>
  <b:Source>
    <b:Tag>Sho20</b:Tag>
    <b:SourceType>JournalArticle</b:SourceType>
    <b:Guid>{C7F438E0-8E5B-4072-B865-AB508D2173C5}</b:Guid>
    <b:Title>Practitioner Perspectives of Multi-Agency Safeguarding Hubs (MASH)</b:Title>
    <b:JournalName>The Journal of Adult Protection</b:JournalName>
    <b:Year>2020</b:Year>
    <b:Pages>9-20</b:Pages>
    <b:Author>
      <b:Author>
        <b:NameList>
          <b:Person>
            <b:Last>Shorrock</b:Last>
            <b:First>s</b:First>
          </b:Person>
          <b:Person>
            <b:Last>McManus</b:Last>
            <b:First>M</b:First>
          </b:Person>
          <b:Person>
            <b:Last>Kirby</b:Last>
            <b:First>S</b:First>
          </b:Person>
        </b:NameList>
      </b:Author>
    </b:Author>
    <b:Volume>22</b:Volume>
    <b:Issue>1</b:Issue>
    <b:RefOrder>23</b:RefOrder>
  </b:Source>
  <b:Source>
    <b:Tag>Mac15</b:Tag>
    <b:SourceType>Book</b:SourceType>
    <b:Guid>{C9ABE543-755E-4C52-8893-B57AF10FFD65}</b:Guid>
    <b:Title>Social Work Theory: A Straightforward Guide for Practice Educators and Placement Supervisors</b:Title>
    <b:Year>2015</b:Year>
    <b:City>Bury St Edmonds</b:City>
    <b:Publisher>Kirwin  Maclean Associates</b:Publisher>
    <b:Author>
      <b:Author>
        <b:NameList>
          <b:Person>
            <b:Last>Maclean</b:Last>
            <b:First>Siobhan</b:First>
          </b:Person>
          <b:Person>
            <b:Last>Harrison</b:Last>
            <b:First>Rob</b:First>
          </b:Person>
        </b:NameList>
      </b:Author>
    </b:Author>
    <b:RefOrder>7</b:RefOrder>
  </b:Source>
  <b:Source>
    <b:Tag>Rya20</b:Tag>
    <b:SourceType>Book</b:SourceType>
    <b:Guid>{DFE88813-5179-4B00-885D-C382A6ADA042}</b:Guid>
    <b:Title>Adverse Childhood Experiences; what students and health professionals need to know</b:Title>
    <b:Year>2020</b:Year>
    <b:City>Abingdon</b:City>
    <b:Publisher>Routlege</b:Publisher>
    <b:Author>
      <b:Author>
        <b:NameList>
          <b:Person>
            <b:Last>Ryan</b:Last>
            <b:First>Ruth</b:First>
          </b:Person>
          <b:Person>
            <b:Last>Waite</b:Last>
            <b:First>Roberta</b:First>
          </b:Person>
        </b:NameList>
      </b:Author>
    </b:Author>
    <b:RefOrder>8</b:RefOrder>
  </b:Source>
  <b:Source>
    <b:Tag>Sub14</b:Tag>
    <b:SourceType>Report</b:SourceType>
    <b:Guid>{706A9438-6E82-4F66-B54C-D4E2CCE0DDD2}</b:Guid>
    <b:Title>SAMHSA's Concept of Trauma and Guidance for a Trauma-Informed Approach</b:Title>
    <b:Year>2014</b:Year>
    <b:City>Rockville</b:City>
    <b:Publisher>SAMHSA</b:Publisher>
    <b:Author>
      <b:Author>
        <b:Corporate>Substance Abuse and Mental Health Services Administration (SAMHSA)</b:Corporate>
      </b:Author>
    </b:Author>
    <b:RefOrder>10</b:RefOrder>
  </b:Source>
  <b:Source>
    <b:Tag>Fel98</b:Tag>
    <b:SourceType>JournalArticle</b:SourceType>
    <b:Guid>{FA5CA3E5-1B29-4C91-8913-D428DF20B82F}</b:Guid>
    <b:Title>Relationship of Childhood Abuse and Household Dysfunction to Many of the Leading Causes of Death in Adults:  The Adverse Childhood Experiences (ACE) Study</b:Title>
    <b:Year>1998</b:Year>
    <b:JournalName>American Journal of Preventative Medicine</b:JournalName>
    <b:Pages>245-258</b:Pages>
    <b:Author>
      <b:Author>
        <b:NameList>
          <b:Person>
            <b:Last>Felitti</b:Last>
            <b:First>Vincent</b:First>
          </b:Person>
          <b:Person>
            <b:Last>Anda</b:Last>
            <b:First>Robert</b:First>
          </b:Person>
          <b:Person>
            <b:Last>Nordenberg</b:Last>
            <b:First>Dale</b:First>
          </b:Person>
          <b:Person>
            <b:Last>Williamson</b:Last>
            <b:First>David</b:First>
          </b:Person>
          <b:Person>
            <b:Last>Spitz</b:Last>
            <b:First>Alison</b:First>
          </b:Person>
          <b:Person>
            <b:Last>Edwards</b:Last>
            <b:First>Valerie</b:First>
          </b:Person>
          <b:Person>
            <b:Last>Koss</b:Last>
            <b:First>Mary</b:First>
          </b:Person>
          <b:Person>
            <b:Last>Marks</b:Last>
            <b:First>James</b:First>
          </b:Person>
        </b:NameList>
      </b:Author>
    </b:Author>
    <b:Volume>14</b:Volume>
    <b:Issue>4</b:Issue>
    <b:RefOrder>9</b:RefOrder>
  </b:Source>
  <b:Source>
    <b:Tag>Tre03</b:Tag>
    <b:SourceType>JournalArticle</b:SourceType>
    <b:Guid>{72CBC97A-2C31-4BAB-8C9B-454E1E85348F}</b:Guid>
    <b:Title>Effective relationship-based practice: A theoretical explanation</b:Title>
    <b:Year>2003</b:Year>
    <b:Pages>163-176</b:Pages>
    <b:JournalName>Journal of Social Work Practice</b:JournalName>
    <b:Volume>17</b:Volume>
    <b:Issue>2</b:Issue>
    <b:Author>
      <b:Author>
        <b:NameList>
          <b:Person>
            <b:Last>Trevithick</b:Last>
            <b:First>Pamela</b:First>
          </b:Person>
        </b:NameList>
      </b:Author>
    </b:Author>
    <b:RefOrder>12</b:RefOrder>
  </b:Source>
  <b:Source>
    <b:Tag>Dom98</b:Tag>
    <b:SourceType>Book</b:SourceType>
    <b:Guid>{CCC29986-304F-4683-BDA4-A9AE10125042}</b:Guid>
    <b:Title>Anti-oppressive practice in context</b:Title>
    <b:Year>1998</b:Year>
    <b:Author>
      <b:Author>
        <b:NameList>
          <b:Person>
            <b:Last>Dominneli</b:Last>
            <b:First>L</b:First>
          </b:Person>
        </b:NameList>
      </b:Author>
    </b:Author>
    <b:City>London</b:City>
    <b:Publisher>Palgrave</b:Publisher>
    <b:RefOrder>13</b:RefOrder>
  </b:Source>
  <b:Source>
    <b:Tag>Sch83</b:Tag>
    <b:SourceType>Book</b:SourceType>
    <b:Guid>{0F5A6FE6-B5D9-4AD2-9CFC-F9F76360D6F7}</b:Guid>
    <b:Title>The reflective practitioner: How professionals think in action</b:Title>
    <b:Year>1983</b:Year>
    <b:City>New York</b:City>
    <b:Publisher>Basic Books</b:Publisher>
    <b:Author>
      <b:Author>
        <b:NameList>
          <b:Person>
            <b:Last>Schon</b:Last>
            <b:First>D</b:First>
          </b:Person>
        </b:NameList>
      </b:Author>
    </b:Author>
    <b:RefOrder>14</b:RefOrder>
  </b:Source>
  <b:Source>
    <b:Tag>Wel143</b:Tag>
    <b:SourceType>Book</b:SourceType>
    <b:Guid>{633B0E59-F16A-4B3D-B626-3387A4C2D536}</b:Guid>
    <b:Title>Social Services and Well Being Act</b:Title>
    <b:Year>2014</b:Year>
    <b:City>Cardiff</b:City>
    <b:Publisher>Welsh Government</b:Publisher>
    <b:Author>
      <b:Author>
        <b:NameList>
          <b:Person>
            <b:Last>Welsh Government</b:Last>
          </b:Person>
        </b:NameList>
      </b:Author>
    </b:Author>
    <b:RefOrder>24</b:RefOrder>
  </b:Source>
  <b:Source>
    <b:Tag>Wal17</b:Tag>
    <b:SourceType>Report</b:SourceType>
    <b:Guid>{D661312B-99E2-4EFF-9E23-28941B1FAA53}</b:Guid>
    <b:Author>
      <b:Author>
        <b:NameList>
          <b:Person>
            <b:Last>Social Care Wales</b:Last>
          </b:Person>
        </b:NameList>
      </b:Author>
    </b:Author>
    <b:Title>Code of professional practice for social care</b:Title>
    <b:Year>2017</b:Year>
    <b:Publisher>Social Care Wales</b:Publisher>
    <b:City>Cardiff</b:City>
    <b:RefOrder>25</b:RefOrder>
  </b:Source>
  <b:Source>
    <b:Tag>Min24</b:Tag>
    <b:SourceType>Report</b:SourceType>
    <b:Guid>{A08EE9DC-39CE-4F58-9B01-CEBE2C91CC0E}</b:Guid>
    <b:Title>JSP 834 Volume 2 Safeguarding Adults with Care and Support Needs</b:Title>
    <b:Year>2024</b:Year>
    <b:Publisher>Ministry of Defence</b:Publisher>
    <b:Author>
      <b:Author>
        <b:Corporate>Ministry of Defence</b:Corporate>
      </b:Author>
    </b:Author>
    <b:RefOrder>26</b:RefOrder>
  </b:Source>
  <b:Source>
    <b:Tag>Wel146</b:Tag>
    <b:SourceType>Book</b:SourceType>
    <b:Guid>{DB120E34-40EA-43B2-B1FB-6B6D4207EE06}</b:Guid>
    <b:Title>Social Services and Well-being (Wales) Act 2014 Part 7 (S126)</b:Title>
    <b:Year>2014</b:Year>
    <b:City>Cardiff</b:City>
    <b:Publisher>Welsh Governement</b:Publisher>
    <b:Author>
      <b:Author>
        <b:NameList>
          <b:Person>
            <b:Last>Welsh Government</b:Last>
          </b:Person>
        </b:NameList>
      </b:Author>
    </b:Author>
    <b:RefOrder>27</b:RefOrder>
  </b:Source>
  <b:Source>
    <b:Tag>Nat15</b:Tag>
    <b:SourceType>Report</b:SourceType>
    <b:Guid>{30EB8FA4-5B95-4BD8-9853-D1443EB67C4D}</b:Guid>
    <b:Author>
      <b:Author>
        <b:Corporate>National Assembly of Wales</b:Corporate>
      </b:Author>
    </b:Author>
    <b:Title>Violence against Women, Domestic Abuse and Sexual Violence (Wales) Act 2015</b:Title>
    <b:Year>2015</b:Year>
    <b:Publisher>Welsh Government</b:Publisher>
    <b:City>Cardiff</b:City>
    <b:YearAccessed>2025</b:YearAccessed>
    <b:MonthAccessed>December</b:MonthAccessed>
    <b:DayAccessed>19</b:DayAccessed>
    <b:URL>https://www.legislation.gov.uk/anaw/2015/3/contents</b:URL>
    <b:RefOrder>28</b:RefOrder>
  </b:Source>
  <b:Source>
    <b:Tag>Uni91</b:Tag>
    <b:SourceType>Report</b:SourceType>
    <b:Guid>{74B436F7-F62C-41CE-9194-B3CE994DA0FE}</b:Guid>
    <b:Author>
      <b:Author>
        <b:Corporate>United Nations General Assembly</b:Corporate>
      </b:Author>
    </b:Author>
    <b:Title>United Nations Principles for Older Persons</b:Title>
    <b:Year>1991</b:Year>
    <b:YearAccessed>2025</b:YearAccessed>
    <b:MonthAccessed>December</b:MonthAccessed>
    <b:DayAccessed>20</b:DayAccessed>
    <b:URL>https://www.ohchr.org/en/instruments-mechanisms/instruments/united-nations-principles-older-persons</b:URL>
    <b:RefOrder>4</b:RefOrder>
  </b:Source>
  <b:Source>
    <b:Tag>Wel19</b:Tag>
    <b:SourceType>Report</b:SourceType>
    <b:Guid>{69A6A934-3470-4E53-8C4C-E9773F4FC5B6}</b:Guid>
    <b:Author>
      <b:Author>
        <b:Corporate>Welsh Government</b:Corporate>
      </b:Author>
    </b:Author>
    <b:Title>Working Together to Safeguard People guidance</b:Title>
    <b:Year>2019</b:Year>
    <b:Publisher>Welsh Government</b:Publisher>
    <b:City>Cardiff</b:City>
    <b:RefOrder>29</b:RefOrder>
  </b:Source>
  <b:Source>
    <b:Tag>Leg18</b:Tag>
    <b:SourceType>InternetSite</b:SourceType>
    <b:Guid>{F454B7D8-64F9-44B3-902F-A74DE5DD33CC}</b:Guid>
    <b:Title>Data Protection Act</b:Title>
    <b:Year>2018</b:Year>
    <b:YearAccessed>2022</b:YearAccessed>
    <b:MonthAccessed>March</b:MonthAccessed>
    <b:DayAccessed>25</b:DayAccessed>
    <b:URL>https://www.legislation.gov.uk/ukpga/2018/12/contents/enacted</b:URL>
    <b:Author>
      <b:Author>
        <b:NameList>
          <b:Person>
            <b:Last>Legislation.gov.uk</b:Last>
          </b:Person>
        </b:NameList>
      </b:Author>
    </b:Author>
    <b:RefOrder>30</b:RefOrder>
  </b:Source>
  <b:Source>
    <b:Tag>Fre00</b:Tag>
    <b:SourceType>Report</b:SourceType>
    <b:Guid>{C2EA8427-B994-454A-8BA2-C138C50D2CCE}</b:Guid>
    <b:Title>Freedom of Information Act</b:Title>
    <b:Year>2000</b:Year>
    <b:YearAccessed>23</b:YearAccessed>
    <b:MonthAccessed>12</b:MonthAccessed>
    <b:DayAccessed>2025</b:DayAccessed>
    <b:URL>https://www.legislation.gov.uk/ukpga/2000/36/contents</b:URL>
    <b:RefOrder>31</b:RefOrder>
  </b:Source>
  <b:Source>
    <b:Tag>Equ83</b:Tag>
    <b:SourceType>Report</b:SourceType>
    <b:Guid>{3663964B-8B67-459A-9502-A4C43CE2BDE8}</b:Guid>
    <b:Title>Equality Act</b:Title>
    <b:Year>1983</b:Year>
    <b:YearAccessed>2025</b:YearAccessed>
    <b:MonthAccessed>12</b:MonthAccessed>
    <b:DayAccessed>23</b:DayAccessed>
    <b:URL>https://www.legislation.gov.uk/ukpga/2010/15/contents</b:URL>
    <b:RefOrder>32</b:RefOrder>
  </b:Source>
  <b:Source>
    <b:Tag>Wel22</b:Tag>
    <b:SourceType>Report</b:SourceType>
    <b:Guid>{72051B22-123F-4241-B834-A74AEF216ED8}</b:Guid>
    <b:Title>More than just words: Welsh language in health and social care - action plan 2022-2027</b:Title>
    <b:Year>2022</b:Year>
    <b:City>Cardiff</b:City>
    <b:Publisher>Welsh Government</b:Publisher>
    <b:Author>
      <b:Author>
        <b:Corporate>Welsh Government</b:Corporate>
      </b:Author>
    </b:Author>
    <b:YearAccessed>2025</b:YearAccessed>
    <b:MonthAccessed>December</b:MonthAccessed>
    <b:DayAccessed>27</b:DayAccessed>
    <b:URL>https://www.gov.wales/more-just-words-action-plan-2022-2027</b:URL>
    <b:RefOrder>33</b:RefOrder>
  </b:Source>
  <b:Source>
    <b:Tag>Gov14</b:Tag>
    <b:SourceType>Report</b:SourceType>
    <b:Guid>{7254F155-F352-479A-8495-58B89FD97F89}</b:Guid>
    <b:Title>The Care Act</b:Title>
    <b:Year>2014</b:Year>
    <b:URL>https://www.legislation.gov.uk/ukpga/2014/23/contents/enacted</b:URL>
    <b:Author>
      <b:Author>
        <b:Corporate>UK Government</b:Corporate>
      </b:Author>
    </b:Author>
    <b:YearAccessed>2022</b:YearAccessed>
    <b:MonthAccessed>June</b:MonthAccessed>
    <b:DayAccessed>6</b:DayAccessed>
    <b:RefOrder>34</b:RefOrder>
  </b:Source>
  <b:Source>
    <b:Tag>Men83</b:Tag>
    <b:SourceType>Report</b:SourceType>
    <b:Guid>{06F2F6BF-CA20-4455-B2F4-F8E8ECD021D5}</b:Guid>
    <b:Title>Mental Health Act</b:Title>
    <b:Year>1983</b:Year>
    <b:YearAccessed>2025</b:YearAccessed>
    <b:MonthAccessed>12</b:MonthAccessed>
    <b:DayAccessed>23</b:DayAccessed>
    <b:Author>
      <b:Author>
        <b:Corporate>UK Government</b:Corporate>
      </b:Author>
    </b:Author>
    <b:RefOrder>35</b:RefOrder>
  </b:Source>
  <b:Source>
    <b:Tag>Wel14</b:Tag>
    <b:SourceType>Report</b:SourceType>
    <b:Guid>{4D501AEE-4309-4330-B366-09766A011DA8}</b:Guid>
    <b:Title>Social Services and Well-being (Wales) Act 2014 Part 3 Code of Practice (assessing the needs of individuals)</b:Title>
    <b:Year>2014</b:Year>
    <b:Publisher>Welsh Government</b:Publisher>
    <b:City>Cardiff</b:City>
    <b:Author>
      <b:Author>
        <b:NameList>
          <b:Person>
            <b:Last>Welsh Government</b:Last>
          </b:Person>
        </b:NameList>
      </b:Author>
    </b:Author>
    <b:RefOrder>36</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DD70137A6C0624F8FA6786BF46C4E10" ma:contentTypeVersion="11" ma:contentTypeDescription="Create a new document." ma:contentTypeScope="" ma:versionID="d9c23430abec3cf747a770cbb235f682">
  <xsd:schema xmlns:xsd="http://www.w3.org/2001/XMLSchema" xmlns:xs="http://www.w3.org/2001/XMLSchema" xmlns:p="http://schemas.microsoft.com/office/2006/metadata/properties" xmlns:ns3="fa32b4e8-4cc6-4a01-931f-a76085e0c041" targetNamespace="http://schemas.microsoft.com/office/2006/metadata/properties" ma:root="true" ma:fieldsID="52ae896079a91adc18000b90dacd80cf" ns3:_="">
    <xsd:import namespace="fa32b4e8-4cc6-4a01-931f-a76085e0c04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32b4e8-4cc6-4a01-931f-a76085e0c04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8EB43D-0AE3-43BF-9825-36F21DBCB6A9}">
  <ds:schemaRefs>
    <ds:schemaRef ds:uri="http://schemas.microsoft.com/office/2006/metadata/properties"/>
    <ds:schemaRef ds:uri="http://schemas.microsoft.com/office/infopath/2007/PartnerControls"/>
    <ds:schemaRef ds:uri="fa32b4e8-4cc6-4a01-931f-a76085e0c041"/>
  </ds:schemaRefs>
</ds:datastoreItem>
</file>

<file path=customXml/itemProps2.xml><?xml version="1.0" encoding="utf-8"?>
<ds:datastoreItem xmlns:ds="http://schemas.openxmlformats.org/officeDocument/2006/customXml" ds:itemID="{2084B0E2-B2DA-4518-99DF-A34D3F9E30C8}">
  <ds:schemaRefs>
    <ds:schemaRef ds:uri="http://schemas.openxmlformats.org/officeDocument/2006/bibliography"/>
  </ds:schemaRefs>
</ds:datastoreItem>
</file>

<file path=customXml/itemProps3.xml><?xml version="1.0" encoding="utf-8"?>
<ds:datastoreItem xmlns:ds="http://schemas.openxmlformats.org/officeDocument/2006/customXml" ds:itemID="{7EF5C57F-5333-4576-8505-8381DDFC0F79}">
  <ds:schemaRefs>
    <ds:schemaRef ds:uri="http://schemas.microsoft.com/sharepoint/v3/contenttype/forms"/>
  </ds:schemaRefs>
</ds:datastoreItem>
</file>

<file path=customXml/itemProps4.xml><?xml version="1.0" encoding="utf-8"?>
<ds:datastoreItem xmlns:ds="http://schemas.openxmlformats.org/officeDocument/2006/customXml" ds:itemID="{99D82415-0F24-4197-A9F6-C7730DD19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32b4e8-4cc6-4a01-931f-a76085e0c0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4446</Words>
  <Characters>24944</Characters>
  <Application>Microsoft Office Word</Application>
  <DocSecurity>0</DocSecurity>
  <Lines>1467</Lines>
  <Paragraphs>1130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Pretsell, Alan C2 (UKStratCom-DMS-DPHC-WRE-MHSW)</dc:creator>
  <cp:keywords/>
  <dc:description/>
  <cp:lastModifiedBy>Pretsell, Alan C2 (UKStratCom-DMS-DPHC-WRE-MHSW)</cp:lastModifiedBy>
  <cp:revision>3</cp:revision>
  <dcterms:created xsi:type="dcterms:W3CDTF">2026-02-19T12:30:00Z</dcterms:created>
  <dcterms:modified xsi:type="dcterms:W3CDTF">2026-02-19T12:30:00Z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2025-10-14T14:29:19Z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b7a170c4-e388-4419-882c-531ce8096f0c</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y fmtid="{D5CDD505-2E9C-101B-9397-08002B2CF9AE}" pid="10" name="ContentTypeId">
    <vt:lpwstr>0x0101004DD70137A6C0624F8FA6786BF46C4E10</vt:lpwstr>
  </property>
</Properties>
</file>