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8A557" w14:textId="77777777" w:rsidR="00324C1B" w:rsidRPr="00E56743" w:rsidRDefault="00324C1B" w:rsidP="00324C1B">
      <w:pPr>
        <w:spacing w:after="0" w:line="269" w:lineRule="auto"/>
        <w:rPr>
          <w:rFonts w:ascii="Arial" w:hAnsi="Arial" w:cs="Arial"/>
          <w:b/>
          <w:bCs/>
          <w:sz w:val="22"/>
          <w:szCs w:val="22"/>
        </w:rPr>
      </w:pPr>
    </w:p>
    <w:p w14:paraId="732BC9F4" w14:textId="77777777" w:rsidR="00324C1B" w:rsidRDefault="00324C1B" w:rsidP="00324C1B">
      <w:pPr>
        <w:spacing w:after="0" w:line="269" w:lineRule="auto"/>
        <w:jc w:val="center"/>
        <w:rPr>
          <w:rFonts w:ascii="Arial" w:hAnsi="Arial" w:cs="Arial"/>
          <w:sz w:val="22"/>
          <w:szCs w:val="22"/>
        </w:rPr>
      </w:pPr>
      <w:r w:rsidRPr="00E56743">
        <w:rPr>
          <w:rFonts w:ascii="Arial" w:hAnsi="Arial" w:cs="Arial"/>
          <w:sz w:val="22"/>
          <w:szCs w:val="22"/>
        </w:rPr>
        <w:t>CIPD</w:t>
      </w:r>
    </w:p>
    <w:p w14:paraId="71EF7D30" w14:textId="77777777" w:rsidR="00324C1B" w:rsidRPr="00E56743" w:rsidRDefault="00324C1B" w:rsidP="00324C1B">
      <w:pPr>
        <w:spacing w:after="0" w:line="269" w:lineRule="auto"/>
        <w:jc w:val="center"/>
        <w:rPr>
          <w:rFonts w:ascii="Arial" w:hAnsi="Arial" w:cs="Arial"/>
          <w:sz w:val="22"/>
          <w:szCs w:val="22"/>
        </w:rPr>
      </w:pPr>
    </w:p>
    <w:p w14:paraId="0BA29BD8" w14:textId="17ED0157" w:rsidR="00324C1B" w:rsidRDefault="00324C1B" w:rsidP="00324C1B">
      <w:pPr>
        <w:spacing w:after="0" w:line="269" w:lineRule="auto"/>
        <w:jc w:val="center"/>
        <w:rPr>
          <w:rFonts w:ascii="Arial" w:hAnsi="Arial" w:cs="Arial"/>
          <w:sz w:val="22"/>
          <w:szCs w:val="22"/>
        </w:rPr>
      </w:pPr>
      <w:r w:rsidRPr="00882FDB">
        <w:rPr>
          <w:rFonts w:ascii="Arial" w:hAnsi="Arial" w:cs="Arial"/>
          <w:sz w:val="22"/>
          <w:szCs w:val="22"/>
        </w:rPr>
        <w:t>5O</w:t>
      </w:r>
      <w:r>
        <w:rPr>
          <w:rFonts w:ascii="Arial" w:hAnsi="Arial" w:cs="Arial"/>
          <w:sz w:val="22"/>
          <w:szCs w:val="22"/>
        </w:rPr>
        <w:t>S</w:t>
      </w:r>
      <w:r w:rsidRPr="00882FDB">
        <w:rPr>
          <w:rFonts w:ascii="Arial" w:hAnsi="Arial" w:cs="Arial"/>
          <w:sz w:val="22"/>
          <w:szCs w:val="22"/>
        </w:rPr>
        <w:t>0</w:t>
      </w:r>
      <w:r>
        <w:rPr>
          <w:rFonts w:ascii="Arial" w:hAnsi="Arial" w:cs="Arial"/>
          <w:sz w:val="22"/>
          <w:szCs w:val="22"/>
        </w:rPr>
        <w:t>1 – Specialist Employment Law</w:t>
      </w:r>
      <w:r w:rsidRPr="00882FDB">
        <w:rPr>
          <w:rFonts w:ascii="Arial" w:hAnsi="Arial" w:cs="Arial"/>
          <w:sz w:val="22"/>
          <w:szCs w:val="22"/>
        </w:rPr>
        <w:t xml:space="preserve"> </w:t>
      </w:r>
    </w:p>
    <w:p w14:paraId="735F6FD7" w14:textId="5CA01EF4" w:rsidR="00893D42" w:rsidRDefault="00893D42" w:rsidP="00324C1B">
      <w:pPr>
        <w:spacing w:after="0" w:line="269" w:lineRule="auto"/>
        <w:jc w:val="center"/>
        <w:rPr>
          <w:rFonts w:ascii="Arial" w:hAnsi="Arial" w:cs="Arial"/>
          <w:sz w:val="22"/>
          <w:szCs w:val="22"/>
        </w:rPr>
      </w:pPr>
      <w:r>
        <w:rPr>
          <w:rFonts w:ascii="Arial" w:hAnsi="Arial" w:cs="Arial"/>
          <w:sz w:val="22"/>
          <w:szCs w:val="22"/>
        </w:rPr>
        <w:t>BMPD5022</w:t>
      </w:r>
    </w:p>
    <w:p w14:paraId="78415541" w14:textId="77777777" w:rsidR="00324C1B" w:rsidRDefault="00324C1B" w:rsidP="00324C1B">
      <w:pPr>
        <w:spacing w:after="0" w:line="269" w:lineRule="auto"/>
        <w:jc w:val="center"/>
        <w:rPr>
          <w:rFonts w:ascii="Arial" w:hAnsi="Arial" w:cs="Arial"/>
          <w:sz w:val="22"/>
          <w:szCs w:val="22"/>
        </w:rPr>
      </w:pPr>
    </w:p>
    <w:p w14:paraId="7D7089C2" w14:textId="77777777" w:rsidR="00324C1B" w:rsidRPr="00E56743" w:rsidRDefault="00324C1B" w:rsidP="00324C1B">
      <w:pPr>
        <w:spacing w:after="0" w:line="269" w:lineRule="auto"/>
        <w:jc w:val="center"/>
        <w:rPr>
          <w:rFonts w:ascii="Arial" w:hAnsi="Arial" w:cs="Arial"/>
          <w:sz w:val="22"/>
          <w:szCs w:val="22"/>
        </w:rPr>
      </w:pPr>
      <w:r w:rsidRPr="00E56743">
        <w:rPr>
          <w:rFonts w:ascii="Arial" w:hAnsi="Arial" w:cs="Arial"/>
          <w:sz w:val="22"/>
          <w:szCs w:val="22"/>
        </w:rPr>
        <w:t>Cohort 12</w:t>
      </w:r>
    </w:p>
    <w:p w14:paraId="6161CE16" w14:textId="77777777" w:rsidR="00324C1B" w:rsidRPr="00E56743" w:rsidRDefault="00324C1B" w:rsidP="00324C1B">
      <w:pPr>
        <w:spacing w:after="0" w:line="269" w:lineRule="auto"/>
        <w:jc w:val="center"/>
        <w:rPr>
          <w:rFonts w:ascii="Arial" w:hAnsi="Arial" w:cs="Arial"/>
          <w:sz w:val="22"/>
          <w:szCs w:val="22"/>
        </w:rPr>
      </w:pPr>
    </w:p>
    <w:p w14:paraId="002C1084" w14:textId="77777777" w:rsidR="00324C1B" w:rsidRPr="00E56743" w:rsidRDefault="00324C1B" w:rsidP="00324C1B">
      <w:pPr>
        <w:spacing w:after="0" w:line="269" w:lineRule="auto"/>
        <w:jc w:val="center"/>
        <w:rPr>
          <w:rFonts w:ascii="Arial" w:hAnsi="Arial" w:cs="Arial"/>
          <w:b/>
          <w:bCs/>
          <w:sz w:val="22"/>
          <w:szCs w:val="22"/>
        </w:rPr>
      </w:pPr>
      <w:r w:rsidRPr="00E56743">
        <w:rPr>
          <w:rFonts w:ascii="Arial" w:hAnsi="Arial" w:cs="Arial"/>
          <w:b/>
          <w:bCs/>
          <w:sz w:val="22"/>
          <w:szCs w:val="22"/>
        </w:rPr>
        <w:t>Jennie Williams</w:t>
      </w:r>
    </w:p>
    <w:p w14:paraId="3582485C" w14:textId="77777777" w:rsidR="00324C1B" w:rsidRPr="00E56743" w:rsidRDefault="00324C1B" w:rsidP="00324C1B">
      <w:pPr>
        <w:spacing w:after="0" w:line="269" w:lineRule="auto"/>
        <w:jc w:val="center"/>
        <w:rPr>
          <w:rFonts w:ascii="Arial" w:hAnsi="Arial" w:cs="Arial"/>
          <w:b/>
          <w:bCs/>
          <w:sz w:val="22"/>
          <w:szCs w:val="22"/>
        </w:rPr>
      </w:pPr>
    </w:p>
    <w:p w14:paraId="621EB1EF" w14:textId="77777777" w:rsidR="00324C1B" w:rsidRDefault="00324C1B" w:rsidP="00324C1B">
      <w:pPr>
        <w:spacing w:after="0" w:line="269" w:lineRule="auto"/>
        <w:jc w:val="center"/>
        <w:rPr>
          <w:rFonts w:ascii="Arial" w:hAnsi="Arial" w:cs="Arial"/>
          <w:sz w:val="22"/>
          <w:szCs w:val="22"/>
        </w:rPr>
      </w:pPr>
      <w:r w:rsidRPr="00E56743">
        <w:rPr>
          <w:rFonts w:ascii="Arial" w:hAnsi="Arial" w:cs="Arial"/>
          <w:sz w:val="22"/>
          <w:szCs w:val="22"/>
        </w:rPr>
        <w:t>CIPD Membership Number: 90456533</w:t>
      </w:r>
    </w:p>
    <w:p w14:paraId="4E9D151C" w14:textId="77777777" w:rsidR="00324C1B" w:rsidRDefault="00324C1B" w:rsidP="00324C1B">
      <w:pPr>
        <w:spacing w:after="0" w:line="269" w:lineRule="auto"/>
        <w:jc w:val="center"/>
        <w:rPr>
          <w:rFonts w:ascii="Arial" w:hAnsi="Arial" w:cs="Arial"/>
          <w:sz w:val="22"/>
          <w:szCs w:val="22"/>
        </w:rPr>
      </w:pPr>
    </w:p>
    <w:p w14:paraId="7B3FB39A" w14:textId="49B198EE" w:rsidR="00324C1B" w:rsidRDefault="00324C1B" w:rsidP="00324C1B">
      <w:pPr>
        <w:spacing w:after="0" w:line="269" w:lineRule="auto"/>
        <w:jc w:val="center"/>
        <w:rPr>
          <w:rFonts w:ascii="Arial" w:hAnsi="Arial" w:cs="Arial"/>
          <w:sz w:val="22"/>
          <w:szCs w:val="22"/>
        </w:rPr>
      </w:pPr>
      <w:r>
        <w:rPr>
          <w:rFonts w:ascii="Arial" w:hAnsi="Arial" w:cs="Arial"/>
          <w:sz w:val="22"/>
          <w:szCs w:val="22"/>
        </w:rPr>
        <w:t>Submission date: 31</w:t>
      </w:r>
      <w:r w:rsidRPr="00324C1B">
        <w:rPr>
          <w:rFonts w:ascii="Arial" w:hAnsi="Arial" w:cs="Arial"/>
          <w:sz w:val="22"/>
          <w:szCs w:val="22"/>
          <w:vertAlign w:val="superscript"/>
        </w:rPr>
        <w:t>st</w:t>
      </w:r>
      <w:r>
        <w:rPr>
          <w:rFonts w:ascii="Arial" w:hAnsi="Arial" w:cs="Arial"/>
          <w:sz w:val="22"/>
          <w:szCs w:val="22"/>
        </w:rPr>
        <w:t xml:space="preserve"> May 2026</w:t>
      </w:r>
    </w:p>
    <w:p w14:paraId="55DA1261" w14:textId="77777777" w:rsidR="00324C1B" w:rsidRDefault="00324C1B" w:rsidP="00324C1B">
      <w:pPr>
        <w:spacing w:after="0" w:line="269" w:lineRule="auto"/>
        <w:jc w:val="center"/>
        <w:rPr>
          <w:rFonts w:ascii="Arial" w:hAnsi="Arial" w:cs="Arial"/>
          <w:sz w:val="22"/>
          <w:szCs w:val="22"/>
        </w:rPr>
      </w:pPr>
    </w:p>
    <w:p w14:paraId="3EF14303" w14:textId="05D06923" w:rsidR="008F4B84" w:rsidRDefault="00324C1B" w:rsidP="00324C1B">
      <w:pPr>
        <w:spacing w:after="0" w:line="269" w:lineRule="auto"/>
        <w:jc w:val="center"/>
        <w:rPr>
          <w:rFonts w:ascii="Arial" w:hAnsi="Arial" w:cs="Arial"/>
          <w:sz w:val="22"/>
          <w:szCs w:val="22"/>
        </w:rPr>
      </w:pPr>
      <w:r>
        <w:rPr>
          <w:rFonts w:ascii="Arial" w:hAnsi="Arial" w:cs="Arial"/>
          <w:sz w:val="22"/>
          <w:szCs w:val="22"/>
        </w:rPr>
        <w:t xml:space="preserve">Declared word count: </w:t>
      </w:r>
      <w:r w:rsidR="008F4B84">
        <w:rPr>
          <w:rFonts w:ascii="Arial" w:hAnsi="Arial" w:cs="Arial"/>
          <w:sz w:val="22"/>
          <w:szCs w:val="22"/>
        </w:rPr>
        <w:t>4,10</w:t>
      </w:r>
      <w:r w:rsidR="001B78E6">
        <w:rPr>
          <w:rFonts w:ascii="Arial" w:hAnsi="Arial" w:cs="Arial"/>
          <w:sz w:val="22"/>
          <w:szCs w:val="22"/>
        </w:rPr>
        <w:t>3</w:t>
      </w:r>
    </w:p>
    <w:p w14:paraId="6C20F670" w14:textId="77777777" w:rsidR="008F4B84" w:rsidRDefault="008F4B84" w:rsidP="00324C1B">
      <w:pPr>
        <w:spacing w:after="0" w:line="269" w:lineRule="auto"/>
        <w:jc w:val="center"/>
        <w:rPr>
          <w:rFonts w:ascii="Arial" w:hAnsi="Arial" w:cs="Arial"/>
          <w:sz w:val="22"/>
          <w:szCs w:val="22"/>
        </w:rPr>
      </w:pPr>
    </w:p>
    <w:p w14:paraId="223ED7E5" w14:textId="77777777" w:rsidR="008F4B84" w:rsidRDefault="008F4B84" w:rsidP="00324C1B">
      <w:pPr>
        <w:spacing w:after="0" w:line="269" w:lineRule="auto"/>
        <w:jc w:val="center"/>
        <w:rPr>
          <w:rFonts w:ascii="Arial" w:hAnsi="Arial" w:cs="Arial"/>
          <w:sz w:val="22"/>
          <w:szCs w:val="22"/>
        </w:rPr>
      </w:pPr>
    </w:p>
    <w:p w14:paraId="2AE126E2" w14:textId="77777777" w:rsidR="008F4B84" w:rsidRDefault="008F4B84" w:rsidP="00324C1B">
      <w:pPr>
        <w:spacing w:after="0" w:line="269" w:lineRule="auto"/>
        <w:jc w:val="center"/>
        <w:rPr>
          <w:rFonts w:ascii="Arial" w:hAnsi="Arial" w:cs="Arial"/>
          <w:sz w:val="22"/>
          <w:szCs w:val="22"/>
        </w:rPr>
      </w:pPr>
    </w:p>
    <w:p w14:paraId="2750A9ED" w14:textId="77777777" w:rsidR="008F4B84" w:rsidRDefault="008F4B84" w:rsidP="00324C1B">
      <w:pPr>
        <w:spacing w:after="0" w:line="269" w:lineRule="auto"/>
        <w:jc w:val="center"/>
        <w:rPr>
          <w:rFonts w:ascii="Arial" w:hAnsi="Arial" w:cs="Arial"/>
          <w:sz w:val="22"/>
          <w:szCs w:val="22"/>
        </w:rPr>
      </w:pPr>
    </w:p>
    <w:p w14:paraId="262CA21A" w14:textId="77777777" w:rsidR="008F4B84" w:rsidRDefault="008F4B84" w:rsidP="00324C1B">
      <w:pPr>
        <w:spacing w:after="0" w:line="269" w:lineRule="auto"/>
        <w:jc w:val="center"/>
        <w:rPr>
          <w:rFonts w:ascii="Arial" w:hAnsi="Arial" w:cs="Arial"/>
          <w:sz w:val="22"/>
          <w:szCs w:val="22"/>
        </w:rPr>
      </w:pPr>
    </w:p>
    <w:p w14:paraId="34665723" w14:textId="77777777" w:rsidR="008F4B84" w:rsidRDefault="008F4B84" w:rsidP="00324C1B">
      <w:pPr>
        <w:spacing w:after="0" w:line="269" w:lineRule="auto"/>
        <w:jc w:val="center"/>
        <w:rPr>
          <w:rFonts w:ascii="Arial" w:hAnsi="Arial" w:cs="Arial"/>
          <w:sz w:val="22"/>
          <w:szCs w:val="22"/>
        </w:rPr>
      </w:pPr>
    </w:p>
    <w:p w14:paraId="3919DFF2" w14:textId="77777777" w:rsidR="008F4B84" w:rsidRDefault="008F4B84" w:rsidP="00324C1B">
      <w:pPr>
        <w:spacing w:after="0" w:line="269" w:lineRule="auto"/>
        <w:jc w:val="center"/>
        <w:rPr>
          <w:rFonts w:ascii="Arial" w:hAnsi="Arial" w:cs="Arial"/>
          <w:sz w:val="22"/>
          <w:szCs w:val="22"/>
        </w:rPr>
      </w:pPr>
    </w:p>
    <w:p w14:paraId="1245EBB3" w14:textId="77777777" w:rsidR="008F4B84" w:rsidRDefault="008F4B84" w:rsidP="00324C1B">
      <w:pPr>
        <w:spacing w:after="0" w:line="269" w:lineRule="auto"/>
        <w:jc w:val="center"/>
        <w:rPr>
          <w:rFonts w:ascii="Arial" w:hAnsi="Arial" w:cs="Arial"/>
          <w:sz w:val="22"/>
          <w:szCs w:val="22"/>
        </w:rPr>
      </w:pPr>
    </w:p>
    <w:p w14:paraId="23796F64" w14:textId="77777777" w:rsidR="008F4B84" w:rsidRDefault="008F4B84" w:rsidP="00324C1B">
      <w:pPr>
        <w:spacing w:after="0" w:line="269" w:lineRule="auto"/>
        <w:jc w:val="center"/>
        <w:rPr>
          <w:rFonts w:ascii="Arial" w:hAnsi="Arial" w:cs="Arial"/>
          <w:sz w:val="22"/>
          <w:szCs w:val="22"/>
        </w:rPr>
      </w:pPr>
    </w:p>
    <w:p w14:paraId="63C43BE4" w14:textId="77777777" w:rsidR="008F4B84" w:rsidRDefault="008F4B84" w:rsidP="00324C1B">
      <w:pPr>
        <w:spacing w:after="0" w:line="269" w:lineRule="auto"/>
        <w:jc w:val="center"/>
        <w:rPr>
          <w:rFonts w:ascii="Arial" w:hAnsi="Arial" w:cs="Arial"/>
          <w:sz w:val="22"/>
          <w:szCs w:val="22"/>
        </w:rPr>
      </w:pPr>
    </w:p>
    <w:p w14:paraId="3456A08A" w14:textId="77777777" w:rsidR="008F4B84" w:rsidRDefault="008F4B84" w:rsidP="00324C1B">
      <w:pPr>
        <w:spacing w:after="0" w:line="269" w:lineRule="auto"/>
        <w:jc w:val="center"/>
        <w:rPr>
          <w:rFonts w:ascii="Arial" w:hAnsi="Arial" w:cs="Arial"/>
          <w:sz w:val="22"/>
          <w:szCs w:val="22"/>
        </w:rPr>
      </w:pPr>
    </w:p>
    <w:p w14:paraId="584F3E03" w14:textId="77777777" w:rsidR="008F4B84" w:rsidRDefault="008F4B84" w:rsidP="00324C1B">
      <w:pPr>
        <w:spacing w:after="0" w:line="269" w:lineRule="auto"/>
        <w:jc w:val="center"/>
        <w:rPr>
          <w:rFonts w:ascii="Arial" w:hAnsi="Arial" w:cs="Arial"/>
          <w:sz w:val="22"/>
          <w:szCs w:val="22"/>
        </w:rPr>
      </w:pPr>
    </w:p>
    <w:p w14:paraId="04B49ED2" w14:textId="77777777" w:rsidR="008F4B84" w:rsidRDefault="008F4B84" w:rsidP="00324C1B">
      <w:pPr>
        <w:spacing w:after="0" w:line="269" w:lineRule="auto"/>
        <w:jc w:val="center"/>
        <w:rPr>
          <w:rFonts w:ascii="Arial" w:hAnsi="Arial" w:cs="Arial"/>
          <w:sz w:val="22"/>
          <w:szCs w:val="22"/>
        </w:rPr>
      </w:pPr>
    </w:p>
    <w:p w14:paraId="76FC47A1" w14:textId="77777777" w:rsidR="008F4B84" w:rsidRDefault="008F4B84" w:rsidP="00324C1B">
      <w:pPr>
        <w:spacing w:after="0" w:line="269" w:lineRule="auto"/>
        <w:jc w:val="center"/>
        <w:rPr>
          <w:rFonts w:ascii="Arial" w:hAnsi="Arial" w:cs="Arial"/>
          <w:sz w:val="22"/>
          <w:szCs w:val="22"/>
        </w:rPr>
      </w:pPr>
    </w:p>
    <w:p w14:paraId="1D141762" w14:textId="77777777" w:rsidR="008F4B84" w:rsidRDefault="008F4B84" w:rsidP="00324C1B">
      <w:pPr>
        <w:spacing w:after="0" w:line="269" w:lineRule="auto"/>
        <w:jc w:val="center"/>
        <w:rPr>
          <w:rFonts w:ascii="Arial" w:hAnsi="Arial" w:cs="Arial"/>
          <w:sz w:val="22"/>
          <w:szCs w:val="22"/>
        </w:rPr>
      </w:pPr>
    </w:p>
    <w:p w14:paraId="579B3541" w14:textId="77777777" w:rsidR="008F4B84" w:rsidRDefault="008F4B84" w:rsidP="00324C1B">
      <w:pPr>
        <w:spacing w:after="0" w:line="269" w:lineRule="auto"/>
        <w:jc w:val="center"/>
        <w:rPr>
          <w:rFonts w:ascii="Arial" w:hAnsi="Arial" w:cs="Arial"/>
          <w:sz w:val="22"/>
          <w:szCs w:val="22"/>
        </w:rPr>
      </w:pPr>
    </w:p>
    <w:p w14:paraId="3A21A4A1" w14:textId="77777777" w:rsidR="008F4B84" w:rsidRDefault="008F4B84" w:rsidP="00324C1B">
      <w:pPr>
        <w:spacing w:after="0" w:line="269" w:lineRule="auto"/>
        <w:jc w:val="center"/>
        <w:rPr>
          <w:rFonts w:ascii="Arial" w:hAnsi="Arial" w:cs="Arial"/>
          <w:sz w:val="22"/>
          <w:szCs w:val="22"/>
        </w:rPr>
      </w:pPr>
    </w:p>
    <w:p w14:paraId="47EBE32D" w14:textId="77777777" w:rsidR="008F4B84" w:rsidRDefault="008F4B84" w:rsidP="00324C1B">
      <w:pPr>
        <w:spacing w:after="0" w:line="269" w:lineRule="auto"/>
        <w:jc w:val="center"/>
        <w:rPr>
          <w:rFonts w:ascii="Arial" w:hAnsi="Arial" w:cs="Arial"/>
          <w:sz w:val="22"/>
          <w:szCs w:val="22"/>
        </w:rPr>
      </w:pPr>
    </w:p>
    <w:p w14:paraId="53E50940" w14:textId="77777777" w:rsidR="008F4B84" w:rsidRDefault="008F4B84" w:rsidP="00324C1B">
      <w:pPr>
        <w:spacing w:after="0" w:line="269" w:lineRule="auto"/>
        <w:jc w:val="center"/>
        <w:rPr>
          <w:rFonts w:ascii="Arial" w:hAnsi="Arial" w:cs="Arial"/>
          <w:sz w:val="22"/>
          <w:szCs w:val="22"/>
        </w:rPr>
      </w:pPr>
    </w:p>
    <w:p w14:paraId="73CFA986" w14:textId="77777777" w:rsidR="008F4B84" w:rsidRDefault="008F4B84" w:rsidP="00324C1B">
      <w:pPr>
        <w:spacing w:after="0" w:line="269" w:lineRule="auto"/>
        <w:jc w:val="center"/>
        <w:rPr>
          <w:rFonts w:ascii="Arial" w:hAnsi="Arial" w:cs="Arial"/>
          <w:sz w:val="22"/>
          <w:szCs w:val="22"/>
        </w:rPr>
      </w:pPr>
    </w:p>
    <w:p w14:paraId="353D965D" w14:textId="77777777" w:rsidR="008F4B84" w:rsidRDefault="008F4B84" w:rsidP="00324C1B">
      <w:pPr>
        <w:spacing w:after="0" w:line="269" w:lineRule="auto"/>
        <w:jc w:val="center"/>
        <w:rPr>
          <w:rFonts w:ascii="Arial" w:hAnsi="Arial" w:cs="Arial"/>
          <w:sz w:val="22"/>
          <w:szCs w:val="22"/>
        </w:rPr>
      </w:pPr>
    </w:p>
    <w:p w14:paraId="1D9AB91E" w14:textId="77777777" w:rsidR="008F4B84" w:rsidRDefault="008F4B84" w:rsidP="00324C1B">
      <w:pPr>
        <w:spacing w:after="0" w:line="269" w:lineRule="auto"/>
        <w:jc w:val="center"/>
        <w:rPr>
          <w:rFonts w:ascii="Arial" w:hAnsi="Arial" w:cs="Arial"/>
          <w:sz w:val="22"/>
          <w:szCs w:val="22"/>
        </w:rPr>
      </w:pPr>
    </w:p>
    <w:p w14:paraId="021C5E58" w14:textId="77777777" w:rsidR="008F4B84" w:rsidRDefault="008F4B84" w:rsidP="00324C1B">
      <w:pPr>
        <w:spacing w:after="0" w:line="269" w:lineRule="auto"/>
        <w:jc w:val="center"/>
        <w:rPr>
          <w:rFonts w:ascii="Arial" w:hAnsi="Arial" w:cs="Arial"/>
          <w:sz w:val="22"/>
          <w:szCs w:val="22"/>
        </w:rPr>
      </w:pPr>
    </w:p>
    <w:p w14:paraId="04ACE592" w14:textId="77777777" w:rsidR="008F4B84" w:rsidRDefault="008F4B84" w:rsidP="00324C1B">
      <w:pPr>
        <w:spacing w:after="0" w:line="269" w:lineRule="auto"/>
        <w:jc w:val="center"/>
        <w:rPr>
          <w:rFonts w:ascii="Arial" w:hAnsi="Arial" w:cs="Arial"/>
          <w:sz w:val="22"/>
          <w:szCs w:val="22"/>
        </w:rPr>
      </w:pPr>
    </w:p>
    <w:p w14:paraId="43093B2E" w14:textId="77777777" w:rsidR="008F4B84" w:rsidRDefault="008F4B84" w:rsidP="00324C1B">
      <w:pPr>
        <w:spacing w:after="0" w:line="269" w:lineRule="auto"/>
        <w:jc w:val="center"/>
        <w:rPr>
          <w:rFonts w:ascii="Arial" w:hAnsi="Arial" w:cs="Arial"/>
          <w:sz w:val="22"/>
          <w:szCs w:val="22"/>
        </w:rPr>
      </w:pPr>
    </w:p>
    <w:p w14:paraId="55D4DCF7" w14:textId="77777777" w:rsidR="008F4B84" w:rsidRDefault="008F4B84" w:rsidP="00324C1B">
      <w:pPr>
        <w:spacing w:after="0" w:line="269" w:lineRule="auto"/>
        <w:jc w:val="center"/>
        <w:rPr>
          <w:rFonts w:ascii="Arial" w:hAnsi="Arial" w:cs="Arial"/>
          <w:sz w:val="22"/>
          <w:szCs w:val="22"/>
        </w:rPr>
      </w:pPr>
    </w:p>
    <w:p w14:paraId="1291EC98" w14:textId="77777777" w:rsidR="008F4B84" w:rsidRDefault="008F4B84" w:rsidP="00324C1B">
      <w:pPr>
        <w:spacing w:after="0" w:line="269" w:lineRule="auto"/>
        <w:jc w:val="center"/>
        <w:rPr>
          <w:rFonts w:ascii="Arial" w:hAnsi="Arial" w:cs="Arial"/>
          <w:sz w:val="22"/>
          <w:szCs w:val="22"/>
        </w:rPr>
      </w:pPr>
    </w:p>
    <w:p w14:paraId="1D852CE4" w14:textId="77777777" w:rsidR="008F4B84" w:rsidRDefault="008F4B84" w:rsidP="00324C1B">
      <w:pPr>
        <w:spacing w:after="0" w:line="269" w:lineRule="auto"/>
        <w:jc w:val="center"/>
        <w:rPr>
          <w:rFonts w:ascii="Arial" w:hAnsi="Arial" w:cs="Arial"/>
          <w:sz w:val="22"/>
          <w:szCs w:val="22"/>
        </w:rPr>
      </w:pPr>
    </w:p>
    <w:p w14:paraId="475D5A20" w14:textId="77777777" w:rsidR="008F4B84" w:rsidRDefault="008F4B84" w:rsidP="00324C1B">
      <w:pPr>
        <w:spacing w:after="0" w:line="269" w:lineRule="auto"/>
        <w:jc w:val="center"/>
        <w:rPr>
          <w:rFonts w:ascii="Arial" w:hAnsi="Arial" w:cs="Arial"/>
          <w:sz w:val="22"/>
          <w:szCs w:val="22"/>
        </w:rPr>
      </w:pPr>
    </w:p>
    <w:p w14:paraId="299AD834" w14:textId="77777777" w:rsidR="008F4B84" w:rsidRDefault="008F4B84" w:rsidP="00324C1B">
      <w:pPr>
        <w:spacing w:after="0" w:line="269" w:lineRule="auto"/>
        <w:jc w:val="center"/>
        <w:rPr>
          <w:rFonts w:ascii="Arial" w:hAnsi="Arial" w:cs="Arial"/>
          <w:sz w:val="22"/>
          <w:szCs w:val="22"/>
        </w:rPr>
      </w:pPr>
    </w:p>
    <w:p w14:paraId="25A76822" w14:textId="77777777" w:rsidR="008F4B84" w:rsidRDefault="008F4B84" w:rsidP="00324C1B">
      <w:pPr>
        <w:spacing w:after="0" w:line="269" w:lineRule="auto"/>
        <w:jc w:val="center"/>
        <w:rPr>
          <w:rFonts w:ascii="Arial" w:hAnsi="Arial" w:cs="Arial"/>
          <w:sz w:val="22"/>
          <w:szCs w:val="22"/>
        </w:rPr>
      </w:pPr>
    </w:p>
    <w:p w14:paraId="594AEC28" w14:textId="77777777" w:rsidR="008F4B84" w:rsidRDefault="008F4B84" w:rsidP="00324C1B">
      <w:pPr>
        <w:spacing w:after="0" w:line="269" w:lineRule="auto"/>
        <w:jc w:val="center"/>
        <w:rPr>
          <w:rFonts w:ascii="Arial" w:hAnsi="Arial" w:cs="Arial"/>
          <w:sz w:val="22"/>
          <w:szCs w:val="22"/>
        </w:rPr>
      </w:pPr>
    </w:p>
    <w:p w14:paraId="3C2FBC67" w14:textId="77777777" w:rsidR="008F4B84" w:rsidRDefault="008F4B84" w:rsidP="00324C1B">
      <w:pPr>
        <w:spacing w:after="0" w:line="269" w:lineRule="auto"/>
        <w:jc w:val="center"/>
        <w:rPr>
          <w:rFonts w:ascii="Arial" w:hAnsi="Arial" w:cs="Arial"/>
          <w:sz w:val="22"/>
          <w:szCs w:val="22"/>
        </w:rPr>
      </w:pPr>
    </w:p>
    <w:p w14:paraId="5D11A27A" w14:textId="77777777" w:rsidR="00893D42" w:rsidRDefault="00893D42" w:rsidP="008F4B84">
      <w:pPr>
        <w:spacing w:after="0" w:line="269" w:lineRule="auto"/>
        <w:rPr>
          <w:rFonts w:ascii="Arial" w:hAnsi="Arial" w:cs="Arial"/>
          <w:b/>
          <w:bCs/>
          <w:sz w:val="22"/>
          <w:szCs w:val="22"/>
        </w:rPr>
      </w:pPr>
    </w:p>
    <w:p w14:paraId="72C6179C" w14:textId="275E05CF" w:rsidR="008F4B84" w:rsidRDefault="008F4B84" w:rsidP="008F4B84">
      <w:pPr>
        <w:spacing w:after="0" w:line="269" w:lineRule="auto"/>
        <w:rPr>
          <w:rFonts w:ascii="Arial" w:hAnsi="Arial" w:cs="Arial"/>
          <w:b/>
          <w:bCs/>
          <w:sz w:val="22"/>
          <w:szCs w:val="22"/>
        </w:rPr>
      </w:pPr>
      <w:r w:rsidRPr="008F4B84">
        <w:rPr>
          <w:rFonts w:ascii="Arial" w:hAnsi="Arial" w:cs="Arial"/>
          <w:b/>
          <w:bCs/>
          <w:sz w:val="22"/>
          <w:szCs w:val="22"/>
        </w:rPr>
        <w:lastRenderedPageBreak/>
        <w:t xml:space="preserve">AC 1.1 </w:t>
      </w:r>
    </w:p>
    <w:p w14:paraId="69061486" w14:textId="77777777" w:rsidR="008F4B84" w:rsidRPr="008F4B84" w:rsidRDefault="008F4B84" w:rsidP="008F4B84">
      <w:pPr>
        <w:spacing w:after="0" w:line="269" w:lineRule="auto"/>
        <w:rPr>
          <w:rFonts w:ascii="Arial" w:hAnsi="Arial" w:cs="Arial"/>
          <w:b/>
          <w:bCs/>
          <w:sz w:val="22"/>
          <w:szCs w:val="22"/>
        </w:rPr>
      </w:pPr>
    </w:p>
    <w:p w14:paraId="3484A758"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Thank you for your email and as a fellow people management officer, I understand the frustration regarding 20% of your time being taken up with admin as a result of regulations! However, I’ve worked through this myself, so thought I would try to explain why employment law actually exists, as overall it really does improve the employment experience within the Trust.</w:t>
      </w:r>
    </w:p>
    <w:p w14:paraId="6014B58E" w14:textId="77777777" w:rsidR="008F4B84" w:rsidRPr="008F4B84" w:rsidRDefault="008F4B84" w:rsidP="008F4B84">
      <w:pPr>
        <w:spacing w:after="0" w:line="269" w:lineRule="auto"/>
        <w:rPr>
          <w:rFonts w:ascii="Arial" w:hAnsi="Arial" w:cs="Arial"/>
          <w:sz w:val="22"/>
          <w:szCs w:val="22"/>
        </w:rPr>
      </w:pPr>
    </w:p>
    <w:p w14:paraId="1585F995"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 believe that employment law is in place for a good reason. Without regulations in place, there would be very little consistency between employers and employees, and employees would have far fewer protections at work. A lot of the legislation we have to deal with daily is there to set minimum standards around things like pay, equality, working hours and health and safety.</w:t>
      </w:r>
    </w:p>
    <w:p w14:paraId="4FC4794F" w14:textId="77777777" w:rsidR="008F4B84" w:rsidRPr="008F4B84" w:rsidRDefault="008F4B84" w:rsidP="008F4B84">
      <w:pPr>
        <w:spacing w:after="0" w:line="269" w:lineRule="auto"/>
        <w:rPr>
          <w:rFonts w:ascii="Arial" w:hAnsi="Arial" w:cs="Arial"/>
          <w:sz w:val="22"/>
          <w:szCs w:val="22"/>
        </w:rPr>
      </w:pPr>
    </w:p>
    <w:p w14:paraId="3F6E9DAC"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For example, the Equality Act 2010 was brought in to try and make sure people are treated fairly at work and not discriminated against because of the nine protected characteristics (ACAS, 2025b). I really do understand that following all the legislation processes can feel like a lot, but I do think our staff will feel safer and hopefully more valued, knowing there are protections in place for them.</w:t>
      </w:r>
    </w:p>
    <w:p w14:paraId="11A39E63" w14:textId="77777777" w:rsidR="008F4B84" w:rsidRPr="008F4B84" w:rsidRDefault="008F4B84" w:rsidP="008F4B84">
      <w:pPr>
        <w:spacing w:after="0" w:line="269" w:lineRule="auto"/>
        <w:rPr>
          <w:rFonts w:ascii="Arial" w:hAnsi="Arial" w:cs="Arial"/>
          <w:sz w:val="22"/>
          <w:szCs w:val="22"/>
        </w:rPr>
      </w:pPr>
    </w:p>
    <w:p w14:paraId="4CFFF9B5"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Employment law can help employers too, even if it doesn’t always feel like it! Having policies and processes around all the legislation should really make things clearer for managers as there is more structure on how situations should be handled fairly and consistently. It also means there is a bit more consistency between workplaces generally, which helps employees know where they stand and what protections they should have at work. Daniels (2022) explains that employment law helps create a balance between employers and employees in the workplace, and I believe this to be true.</w:t>
      </w:r>
    </w:p>
    <w:p w14:paraId="131B6202" w14:textId="77777777" w:rsidR="008F4B84" w:rsidRPr="008F4B84" w:rsidRDefault="008F4B84" w:rsidP="008F4B84">
      <w:pPr>
        <w:spacing w:after="0" w:line="269" w:lineRule="auto"/>
        <w:rPr>
          <w:rFonts w:ascii="Arial" w:hAnsi="Arial" w:cs="Arial"/>
          <w:sz w:val="22"/>
          <w:szCs w:val="22"/>
        </w:rPr>
      </w:pPr>
    </w:p>
    <w:p w14:paraId="1C8BA49F"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However, I absolutely understand the other side too. Employment law changes all the time and keeping up with all the updates, consultations and record keeping does take up a lot of time. I think this is probably felt even more by smaller employers who don’t always have dedicated HR teams to support with it like here.</w:t>
      </w:r>
    </w:p>
    <w:p w14:paraId="34371C96" w14:textId="77777777" w:rsidR="008F4B84" w:rsidRPr="008F4B84" w:rsidRDefault="008F4B84" w:rsidP="008F4B84">
      <w:pPr>
        <w:spacing w:after="0" w:line="269" w:lineRule="auto"/>
        <w:rPr>
          <w:rFonts w:ascii="Arial" w:hAnsi="Arial" w:cs="Arial"/>
          <w:sz w:val="22"/>
          <w:szCs w:val="22"/>
        </w:rPr>
      </w:pPr>
    </w:p>
    <w:p w14:paraId="41508281"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Within the NHS especially though, I believe that a lot of the employment regulations are really important from a staff wellbeing and patient safety point of view too. Regulations around working time under the Working Time Regulations 1998, equality and health and safety are there for a reason and help protect both employees and the people they care for. In our sector, trade unions also play an important role in raising concerns and helping make sure employee rights are protected.</w:t>
      </w:r>
    </w:p>
    <w:p w14:paraId="48AB6ACD" w14:textId="77777777" w:rsidR="008F4B84" w:rsidRPr="008F4B84" w:rsidRDefault="008F4B84" w:rsidP="008F4B84">
      <w:pPr>
        <w:spacing w:after="0" w:line="269" w:lineRule="auto"/>
        <w:rPr>
          <w:rFonts w:ascii="Arial" w:hAnsi="Arial" w:cs="Arial"/>
          <w:sz w:val="22"/>
          <w:szCs w:val="22"/>
        </w:rPr>
      </w:pPr>
    </w:p>
    <w:p w14:paraId="732D0F70"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I really do understand that it can sometimes feel a lot to juggle but I think most of the laws and regulations are there for good reason. Overall, they help keep people safe and make sure there is fairness at work, which is why I think it is time well spent and improves the employee experience.</w:t>
      </w:r>
    </w:p>
    <w:p w14:paraId="386DA48F" w14:textId="77777777" w:rsidR="008F4B84" w:rsidRPr="008F4B84" w:rsidRDefault="008F4B84" w:rsidP="008F4B84">
      <w:pPr>
        <w:spacing w:after="0" w:line="269" w:lineRule="auto"/>
        <w:rPr>
          <w:rFonts w:ascii="Arial" w:hAnsi="Arial" w:cs="Arial"/>
          <w:sz w:val="22"/>
          <w:szCs w:val="22"/>
        </w:rPr>
      </w:pPr>
    </w:p>
    <w:p w14:paraId="22B63B25" w14:textId="77777777" w:rsidR="008F4B84" w:rsidRDefault="008F4B84" w:rsidP="008F4B84">
      <w:pPr>
        <w:spacing w:after="0" w:line="269" w:lineRule="auto"/>
        <w:rPr>
          <w:rFonts w:ascii="Arial" w:hAnsi="Arial" w:cs="Arial"/>
          <w:b/>
          <w:bCs/>
          <w:sz w:val="22"/>
          <w:szCs w:val="22"/>
        </w:rPr>
      </w:pPr>
      <w:r w:rsidRPr="008F4B84">
        <w:rPr>
          <w:rFonts w:ascii="Arial" w:hAnsi="Arial" w:cs="Arial"/>
          <w:b/>
          <w:bCs/>
          <w:sz w:val="22"/>
          <w:szCs w:val="22"/>
        </w:rPr>
        <w:t xml:space="preserve">AC 1.2 </w:t>
      </w:r>
    </w:p>
    <w:p w14:paraId="265048B7" w14:textId="77777777" w:rsidR="008F4B84" w:rsidRPr="008F4B84" w:rsidRDefault="008F4B84" w:rsidP="008F4B84">
      <w:pPr>
        <w:spacing w:after="0" w:line="269" w:lineRule="auto"/>
        <w:rPr>
          <w:rFonts w:ascii="Arial" w:hAnsi="Arial" w:cs="Arial"/>
          <w:b/>
          <w:bCs/>
          <w:sz w:val="22"/>
          <w:szCs w:val="22"/>
        </w:rPr>
      </w:pPr>
    </w:p>
    <w:p w14:paraId="4407ACDE"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The status of judgements made by the European Court of Justice (ECJ) can be confusing following Brexit, so I’ll try to explain it as simply as possible for you.</w:t>
      </w:r>
    </w:p>
    <w:p w14:paraId="757FA3DA"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lastRenderedPageBreak/>
        <w:t>So, before the UK left the European Union, UK courts had to follow decisions made by the European Court of Justice (ECJ) when making decisions linked to EU law. This meant that when employment legislation in the UK came from EU directives, decisions made by the ECJ were binding in UK courts.</w:t>
      </w:r>
    </w:p>
    <w:p w14:paraId="04076035" w14:textId="77777777" w:rsidR="008F4B84" w:rsidRPr="008F4B84" w:rsidRDefault="008F4B84" w:rsidP="008F4B84">
      <w:pPr>
        <w:spacing w:after="0" w:line="269" w:lineRule="auto"/>
        <w:rPr>
          <w:rFonts w:ascii="Arial" w:hAnsi="Arial" w:cs="Arial"/>
          <w:sz w:val="22"/>
          <w:szCs w:val="22"/>
        </w:rPr>
      </w:pPr>
    </w:p>
    <w:p w14:paraId="3CBDCEEB"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Since Brexit though, this has changed. The ECJ no longer has overall authority in UK courts and new ECJ decisions made since the UK left the EU are not binding in the UK. However, this does not mean that all previous ECJ decisions can simply be ignored. Some of the earlier decisions are still used and referred to now, unless UK legislation or UK courts later decide to change the position. Daniels (2022) says that even after Brexit, parts of UK employment law are still based on earlier EU rules and decisions, as they were seen as ‘good law’.</w:t>
      </w:r>
    </w:p>
    <w:p w14:paraId="3F03BC16" w14:textId="77777777" w:rsidR="008F4B84" w:rsidRPr="008F4B84" w:rsidRDefault="008F4B84" w:rsidP="008F4B84">
      <w:pPr>
        <w:spacing w:after="0" w:line="269" w:lineRule="auto"/>
        <w:rPr>
          <w:rFonts w:ascii="Arial" w:hAnsi="Arial" w:cs="Arial"/>
          <w:sz w:val="22"/>
          <w:szCs w:val="22"/>
        </w:rPr>
      </w:pPr>
    </w:p>
    <w:p w14:paraId="58B7D66D"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A lot of the employment law that originally came from the EU still sits within UK law now, unless it has later been changed. So although UK courts are no longer required to follow ECJ decisions in the same way, some of the earlier rulings still affect how employment law is dealt with today.</w:t>
      </w:r>
    </w:p>
    <w:p w14:paraId="55D28395" w14:textId="77777777" w:rsidR="008F4B84" w:rsidRPr="008F4B84" w:rsidRDefault="008F4B84" w:rsidP="008F4B84">
      <w:pPr>
        <w:spacing w:after="0" w:line="269" w:lineRule="auto"/>
        <w:rPr>
          <w:rFonts w:ascii="Arial" w:hAnsi="Arial" w:cs="Arial"/>
          <w:sz w:val="22"/>
          <w:szCs w:val="22"/>
        </w:rPr>
      </w:pPr>
    </w:p>
    <w:p w14:paraId="1FA9F143"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 xml:space="preserve">A good example is the Working Time Regulations 1998 and holiday pay calculations (ACAS, 2025c). Previous ECJ decisions influenced the idea that holiday pay should reflect a worker’s “normal” pay rather than basic salary alone. This later fed into UK case law such as </w:t>
      </w:r>
      <w:r w:rsidRPr="00690E40">
        <w:rPr>
          <w:rFonts w:ascii="Arial" w:hAnsi="Arial" w:cs="Arial"/>
          <w:i/>
          <w:iCs/>
          <w:sz w:val="22"/>
          <w:szCs w:val="22"/>
        </w:rPr>
        <w:t>Bear Scotland Ltd v Fulton</w:t>
      </w:r>
      <w:r w:rsidRPr="008F4B84">
        <w:rPr>
          <w:rFonts w:ascii="Arial" w:hAnsi="Arial" w:cs="Arial"/>
          <w:sz w:val="22"/>
          <w:szCs w:val="22"/>
        </w:rPr>
        <w:t xml:space="preserve"> [2015], which confirmed that regular overtime should be included when calculating holiday pay.</w:t>
      </w:r>
    </w:p>
    <w:p w14:paraId="2A21FD58" w14:textId="77777777" w:rsidR="00690E40" w:rsidRPr="008F4B84" w:rsidRDefault="00690E40" w:rsidP="008F4B84">
      <w:pPr>
        <w:spacing w:after="0" w:line="269" w:lineRule="auto"/>
        <w:rPr>
          <w:rFonts w:ascii="Arial" w:hAnsi="Arial" w:cs="Arial"/>
          <w:sz w:val="22"/>
          <w:szCs w:val="22"/>
        </w:rPr>
      </w:pPr>
    </w:p>
    <w:p w14:paraId="55994CC3"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So to try and answer your overall question, no - ECJ decisions made before Brexit do not automatically bind UK courts in the same way they once did. A lot of employment law still reflects earlier EU principles and UK courts can still take previous ECJ rulings into account when required or needed.</w:t>
      </w:r>
    </w:p>
    <w:p w14:paraId="3DB5404C" w14:textId="77777777" w:rsidR="00690E40" w:rsidRPr="008F4B84" w:rsidRDefault="00690E40" w:rsidP="008F4B84">
      <w:pPr>
        <w:spacing w:after="0" w:line="269" w:lineRule="auto"/>
        <w:rPr>
          <w:rFonts w:ascii="Arial" w:hAnsi="Arial" w:cs="Arial"/>
          <w:sz w:val="22"/>
          <w:szCs w:val="22"/>
        </w:rPr>
      </w:pPr>
    </w:p>
    <w:p w14:paraId="7522C23B" w14:textId="77777777" w:rsidR="008F4B84" w:rsidRPr="00690E40" w:rsidRDefault="008F4B84" w:rsidP="008F4B84">
      <w:pPr>
        <w:spacing w:after="0" w:line="269" w:lineRule="auto"/>
        <w:rPr>
          <w:rFonts w:ascii="Arial" w:hAnsi="Arial" w:cs="Arial"/>
          <w:b/>
          <w:bCs/>
          <w:sz w:val="22"/>
          <w:szCs w:val="22"/>
        </w:rPr>
      </w:pPr>
      <w:r w:rsidRPr="00690E40">
        <w:rPr>
          <w:rFonts w:ascii="Arial" w:hAnsi="Arial" w:cs="Arial"/>
          <w:b/>
          <w:bCs/>
          <w:sz w:val="22"/>
          <w:szCs w:val="22"/>
        </w:rPr>
        <w:t>AC 2.1</w:t>
      </w:r>
    </w:p>
    <w:p w14:paraId="1013703F" w14:textId="77777777" w:rsidR="00690E40" w:rsidRPr="008F4B84" w:rsidRDefault="00690E40" w:rsidP="008F4B84">
      <w:pPr>
        <w:spacing w:after="0" w:line="269" w:lineRule="auto"/>
        <w:rPr>
          <w:rFonts w:ascii="Arial" w:hAnsi="Arial" w:cs="Arial"/>
          <w:sz w:val="22"/>
          <w:szCs w:val="22"/>
        </w:rPr>
      </w:pPr>
    </w:p>
    <w:p w14:paraId="51825921"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Thank you for your email asking for guidance around whether you are able to stipulate that a job in your directorate must be carried out by either a man or a woman.</w:t>
      </w:r>
    </w:p>
    <w:p w14:paraId="437F5052" w14:textId="77777777" w:rsidR="00690E40" w:rsidRPr="008F4B84" w:rsidRDefault="00690E40" w:rsidP="008F4B84">
      <w:pPr>
        <w:spacing w:after="0" w:line="269" w:lineRule="auto"/>
        <w:rPr>
          <w:rFonts w:ascii="Arial" w:hAnsi="Arial" w:cs="Arial"/>
          <w:sz w:val="22"/>
          <w:szCs w:val="22"/>
        </w:rPr>
      </w:pPr>
    </w:p>
    <w:p w14:paraId="10A21F08"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In most cases I would say no, as this would usually be seen as discrimination under the Equality Act 2010. Roles should generally be open to everyone rather than limited in that way. From a recruitment point of view, the key principle is that decisions should be based on the requirements of the role itself rather than personal characteristics, to make sure the process is fair and consistent.</w:t>
      </w:r>
    </w:p>
    <w:p w14:paraId="5B8FB862" w14:textId="77777777" w:rsidR="00690E40" w:rsidRPr="008F4B84" w:rsidRDefault="00690E40" w:rsidP="008F4B84">
      <w:pPr>
        <w:spacing w:after="0" w:line="269" w:lineRule="auto"/>
        <w:rPr>
          <w:rFonts w:ascii="Arial" w:hAnsi="Arial" w:cs="Arial"/>
          <w:sz w:val="22"/>
          <w:szCs w:val="22"/>
        </w:rPr>
      </w:pPr>
    </w:p>
    <w:p w14:paraId="368D39CB" w14:textId="3712BA85" w:rsidR="008F4B84" w:rsidRDefault="008F4B84" w:rsidP="008F4B84">
      <w:pPr>
        <w:spacing w:after="0" w:line="269" w:lineRule="auto"/>
        <w:rPr>
          <w:rFonts w:ascii="Arial" w:hAnsi="Arial" w:cs="Arial"/>
          <w:sz w:val="22"/>
          <w:szCs w:val="22"/>
        </w:rPr>
      </w:pPr>
      <w:r w:rsidRPr="008F4B84">
        <w:rPr>
          <w:rFonts w:ascii="Arial" w:hAnsi="Arial" w:cs="Arial"/>
          <w:sz w:val="22"/>
          <w:szCs w:val="22"/>
        </w:rPr>
        <w:t>There are some exceptions however, known as genuine occupational requirements under Schedule 9 of the Equality Act 2010, but they don’t come up very often and need to have a really clear reason behind them. It’s not about what might be preferred and it has to be something that is genuinely necessary for the role (Gov.uk, 2010).</w:t>
      </w:r>
    </w:p>
    <w:p w14:paraId="531DE6F6" w14:textId="77777777" w:rsidR="00690E40" w:rsidRPr="008F4B84" w:rsidRDefault="00690E40" w:rsidP="008F4B84">
      <w:pPr>
        <w:spacing w:after="0" w:line="269" w:lineRule="auto"/>
        <w:rPr>
          <w:rFonts w:ascii="Arial" w:hAnsi="Arial" w:cs="Arial"/>
          <w:sz w:val="22"/>
          <w:szCs w:val="22"/>
        </w:rPr>
      </w:pPr>
    </w:p>
    <w:p w14:paraId="62EEE9F3"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 xml:space="preserve">For example, if a role involves intimate personal care, requiring the support worker to be the same gender could potentially be justified as a genuine occupational requirement in order to respect privacy and dignity. You might also see it in places like women’s refuges, where the environment needs to feel safe for the people using the service. </w:t>
      </w:r>
    </w:p>
    <w:p w14:paraId="4D0E8E7E" w14:textId="77777777" w:rsidR="00690E40" w:rsidRPr="008F4B84" w:rsidRDefault="00690E40" w:rsidP="008F4B84">
      <w:pPr>
        <w:spacing w:after="0" w:line="269" w:lineRule="auto"/>
        <w:rPr>
          <w:rFonts w:ascii="Arial" w:hAnsi="Arial" w:cs="Arial"/>
          <w:sz w:val="22"/>
          <w:szCs w:val="22"/>
        </w:rPr>
      </w:pPr>
    </w:p>
    <w:p w14:paraId="0291FAE1"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 xml:space="preserve">Outside of situations like these, it’s very difficult to justify. It wouldn’t be enough to say that it might be easier or that people might prefer it, as that wouldn’t meet the legal threshold. This was seen in </w:t>
      </w:r>
      <w:r w:rsidRPr="00690E40">
        <w:rPr>
          <w:rFonts w:ascii="Arial" w:hAnsi="Arial" w:cs="Arial"/>
          <w:i/>
          <w:iCs/>
          <w:sz w:val="22"/>
          <w:szCs w:val="22"/>
        </w:rPr>
        <w:t>Etam plc v Rowan</w:t>
      </w:r>
      <w:r w:rsidRPr="008F4B84">
        <w:rPr>
          <w:rFonts w:ascii="Arial" w:hAnsi="Arial" w:cs="Arial"/>
          <w:sz w:val="22"/>
          <w:szCs w:val="22"/>
        </w:rPr>
        <w:t xml:space="preserve"> [1989], where a male applicant was refused a role in a women’s clothing store because of changing room duties. The tribunal found this could not be justified as a genuine occupational requirement because those duties could easily have been carried out by other staff members.</w:t>
      </w:r>
    </w:p>
    <w:p w14:paraId="5F6E2626" w14:textId="77777777" w:rsidR="00690E40" w:rsidRPr="008F4B84" w:rsidRDefault="00690E40" w:rsidP="008F4B84">
      <w:pPr>
        <w:spacing w:after="0" w:line="269" w:lineRule="auto"/>
        <w:rPr>
          <w:rFonts w:ascii="Arial" w:hAnsi="Arial" w:cs="Arial"/>
          <w:sz w:val="22"/>
          <w:szCs w:val="22"/>
        </w:rPr>
      </w:pPr>
    </w:p>
    <w:p w14:paraId="355236EC"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As I don’t have the detail of the specific role you’re recruiting for at this stage, it’s a bit difficult to give a definite answer. In most cases though, it’s safest to avoid specifying gender unless there is a very clear reason that can be properly justified.</w:t>
      </w:r>
    </w:p>
    <w:p w14:paraId="4F85ED24" w14:textId="77777777" w:rsidR="00690E40" w:rsidRPr="008F4B84" w:rsidRDefault="00690E40" w:rsidP="008F4B84">
      <w:pPr>
        <w:spacing w:after="0" w:line="269" w:lineRule="auto"/>
        <w:rPr>
          <w:rFonts w:ascii="Arial" w:hAnsi="Arial" w:cs="Arial"/>
          <w:sz w:val="22"/>
          <w:szCs w:val="22"/>
        </w:rPr>
      </w:pPr>
    </w:p>
    <w:p w14:paraId="2E11C385" w14:textId="77777777" w:rsidR="008F4B84" w:rsidRDefault="008F4B84" w:rsidP="008F4B84">
      <w:pPr>
        <w:spacing w:after="0" w:line="269" w:lineRule="auto"/>
        <w:rPr>
          <w:rFonts w:ascii="Arial" w:hAnsi="Arial" w:cs="Arial"/>
          <w:b/>
          <w:bCs/>
          <w:sz w:val="22"/>
          <w:szCs w:val="22"/>
        </w:rPr>
      </w:pPr>
      <w:r w:rsidRPr="00690E40">
        <w:rPr>
          <w:rFonts w:ascii="Arial" w:hAnsi="Arial" w:cs="Arial"/>
          <w:b/>
          <w:bCs/>
          <w:sz w:val="22"/>
          <w:szCs w:val="22"/>
        </w:rPr>
        <w:t>AC 2.2</w:t>
      </w:r>
    </w:p>
    <w:p w14:paraId="4A7D9486" w14:textId="77777777" w:rsidR="00690E40" w:rsidRPr="00690E40" w:rsidRDefault="00690E40" w:rsidP="008F4B84">
      <w:pPr>
        <w:spacing w:after="0" w:line="269" w:lineRule="auto"/>
        <w:rPr>
          <w:rFonts w:ascii="Arial" w:hAnsi="Arial" w:cs="Arial"/>
          <w:b/>
          <w:bCs/>
          <w:sz w:val="22"/>
          <w:szCs w:val="22"/>
        </w:rPr>
      </w:pPr>
    </w:p>
    <w:p w14:paraId="7A86903E"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Thank you for your email asking me to approve the upgrade of two health care assistants (HCAs) using money left over from a recent research project. Whilst it's great there is funding available to cover the move, before any approval is given, I will need to understand what the reason is for moving them up to a Grade B. The two people in question are men and the vast majority of HCAs are female and employed on a Grade A, so this could cause some equal pay issues if not dealt with carefully.</w:t>
      </w:r>
    </w:p>
    <w:p w14:paraId="17588CF1" w14:textId="77777777" w:rsidR="008F4B84" w:rsidRPr="008F4B84" w:rsidRDefault="008F4B84" w:rsidP="008F4B84">
      <w:pPr>
        <w:spacing w:after="0" w:line="269" w:lineRule="auto"/>
        <w:rPr>
          <w:rFonts w:ascii="Arial" w:hAnsi="Arial" w:cs="Arial"/>
          <w:sz w:val="22"/>
          <w:szCs w:val="22"/>
        </w:rPr>
      </w:pPr>
    </w:p>
    <w:p w14:paraId="3B23BB1D"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Under the Equality Act 2010, men and women are entitled to equal pay where they are carrying out like work, work rated as equivalent or work of equal value (CIPD, 2026). Basically, if employees are doing pretty much the same role, they should be paid the same unless there is a clear reason why they should be treated differently.</w:t>
      </w:r>
    </w:p>
    <w:p w14:paraId="64CE1EE6" w14:textId="77777777" w:rsidR="008F4B84" w:rsidRPr="008F4B84" w:rsidRDefault="008F4B84" w:rsidP="008F4B84">
      <w:pPr>
        <w:spacing w:after="0" w:line="269" w:lineRule="auto"/>
        <w:rPr>
          <w:rFonts w:ascii="Arial" w:hAnsi="Arial" w:cs="Arial"/>
          <w:sz w:val="22"/>
          <w:szCs w:val="22"/>
        </w:rPr>
      </w:pPr>
    </w:p>
    <w:p w14:paraId="528455D0"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Having funding left over from a research project isn't really enough of a reason, on its own, to justify paying two employees more than their colleagues who would be carrying out the same role. If the role and responsibilities remain the same as other HCAs on Grade A, then there is a real risk that other employees may question why there is a difference.</w:t>
      </w:r>
    </w:p>
    <w:p w14:paraId="39DCFADC" w14:textId="77777777" w:rsidR="008F4B84" w:rsidRPr="008F4B84" w:rsidRDefault="008F4B84" w:rsidP="008F4B84">
      <w:pPr>
        <w:spacing w:after="0" w:line="269" w:lineRule="auto"/>
        <w:rPr>
          <w:rFonts w:ascii="Arial" w:hAnsi="Arial" w:cs="Arial"/>
          <w:sz w:val="22"/>
          <w:szCs w:val="22"/>
        </w:rPr>
      </w:pPr>
    </w:p>
    <w:p w14:paraId="6D908BC8"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Different rates of pay can sometimes be approved if there is what is known as a 'material factor’ defence (Sewell, 2024). This means, for example, that if the two HCAs in question have additional responsibilities or specialist skills that really support the higher grade, then that could justify the shift up in scale. The really important thing is being able to explain and evidence why you feel the higher grade is appropriate.</w:t>
      </w:r>
    </w:p>
    <w:p w14:paraId="5D4F6AE5" w14:textId="77777777" w:rsidR="008F4B84" w:rsidRPr="008F4B84" w:rsidRDefault="008F4B84" w:rsidP="008F4B84">
      <w:pPr>
        <w:spacing w:after="0" w:line="269" w:lineRule="auto"/>
        <w:rPr>
          <w:rFonts w:ascii="Arial" w:hAnsi="Arial" w:cs="Arial"/>
          <w:sz w:val="22"/>
          <w:szCs w:val="22"/>
        </w:rPr>
      </w:pPr>
    </w:p>
    <w:p w14:paraId="4AC4BB1E"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In the NHS, pay grades are usually linked to the duties and responsibilities of the role rather than the particular person in the position. Because of this, I would want to look at the specific duties being carried out by these two HCAs you wish to move onto a higher grade, and compare them with other HCAs currently on Grade A before making any decision as these are the most likely comparators.</w:t>
      </w:r>
    </w:p>
    <w:p w14:paraId="784B4543" w14:textId="77777777" w:rsidR="008F4B84" w:rsidRPr="008F4B84" w:rsidRDefault="008F4B84" w:rsidP="008F4B84">
      <w:pPr>
        <w:spacing w:after="0" w:line="269" w:lineRule="auto"/>
        <w:rPr>
          <w:rFonts w:ascii="Arial" w:hAnsi="Arial" w:cs="Arial"/>
          <w:sz w:val="22"/>
          <w:szCs w:val="22"/>
        </w:rPr>
      </w:pPr>
    </w:p>
    <w:p w14:paraId="7AAD1399"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 xml:space="preserve">A recent case to look at is </w:t>
      </w:r>
      <w:r w:rsidRPr="00690E40">
        <w:rPr>
          <w:rFonts w:ascii="Arial" w:hAnsi="Arial" w:cs="Arial"/>
          <w:i/>
          <w:iCs/>
          <w:sz w:val="22"/>
          <w:szCs w:val="22"/>
        </w:rPr>
        <w:t>Scottish Water v Lynne Edgar</w:t>
      </w:r>
      <w:r w:rsidRPr="008F4B84">
        <w:rPr>
          <w:rFonts w:ascii="Arial" w:hAnsi="Arial" w:cs="Arial"/>
          <w:sz w:val="22"/>
          <w:szCs w:val="22"/>
        </w:rPr>
        <w:t xml:space="preserve"> [2024], which looked at whether the employer could justify the differences in pay between employees, much like this situation now. It showed how important it is for employers to be able to clearly explain and evidence why one group of employees is being paid differently to another.</w:t>
      </w:r>
    </w:p>
    <w:p w14:paraId="5CD5C2F3" w14:textId="77777777" w:rsidR="008F4B84" w:rsidRPr="008F4B84" w:rsidRDefault="008F4B84" w:rsidP="008F4B84">
      <w:pPr>
        <w:spacing w:after="0" w:line="269" w:lineRule="auto"/>
        <w:rPr>
          <w:rFonts w:ascii="Arial" w:hAnsi="Arial" w:cs="Arial"/>
          <w:sz w:val="22"/>
          <w:szCs w:val="22"/>
        </w:rPr>
      </w:pPr>
    </w:p>
    <w:p w14:paraId="0FA4D38D" w14:textId="0830CC3A"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lastRenderedPageBreak/>
        <w:t xml:space="preserve">So, before approving this upgrade, I need to be satisfied that there is a true, genuine reason for the higher grade which is linked to the role itself and not just because funding is available. If a clear justification can be shown, then the move may be appropriate. If not though, </w:t>
      </w:r>
      <w:r w:rsidR="009C00A1">
        <w:rPr>
          <w:rFonts w:ascii="Arial" w:hAnsi="Arial" w:cs="Arial"/>
          <w:sz w:val="22"/>
          <w:szCs w:val="22"/>
        </w:rPr>
        <w:t>there is a</w:t>
      </w:r>
      <w:r w:rsidRPr="008F4B84">
        <w:rPr>
          <w:rFonts w:ascii="Arial" w:hAnsi="Arial" w:cs="Arial"/>
          <w:sz w:val="22"/>
          <w:szCs w:val="22"/>
        </w:rPr>
        <w:t xml:space="preserve"> risk that other HCAs will question the move and even raise equal pay concerns.</w:t>
      </w:r>
    </w:p>
    <w:p w14:paraId="41547195" w14:textId="77777777" w:rsidR="008F4B84" w:rsidRPr="008F4B84" w:rsidRDefault="008F4B84" w:rsidP="008F4B84">
      <w:pPr>
        <w:spacing w:after="0" w:line="269" w:lineRule="auto"/>
        <w:rPr>
          <w:rFonts w:ascii="Arial" w:hAnsi="Arial" w:cs="Arial"/>
          <w:sz w:val="22"/>
          <w:szCs w:val="22"/>
        </w:rPr>
      </w:pPr>
    </w:p>
    <w:p w14:paraId="5F964528" w14:textId="77777777" w:rsidR="008F4B84" w:rsidRDefault="008F4B84" w:rsidP="008F4B84">
      <w:pPr>
        <w:spacing w:after="0" w:line="269" w:lineRule="auto"/>
        <w:rPr>
          <w:rFonts w:ascii="Arial" w:hAnsi="Arial" w:cs="Arial"/>
          <w:b/>
          <w:bCs/>
          <w:sz w:val="22"/>
          <w:szCs w:val="22"/>
        </w:rPr>
      </w:pPr>
      <w:r w:rsidRPr="00690E40">
        <w:rPr>
          <w:rFonts w:ascii="Arial" w:hAnsi="Arial" w:cs="Arial"/>
          <w:b/>
          <w:bCs/>
          <w:sz w:val="22"/>
          <w:szCs w:val="22"/>
        </w:rPr>
        <w:t xml:space="preserve">AC 3.1 </w:t>
      </w:r>
    </w:p>
    <w:p w14:paraId="78D82385" w14:textId="77777777" w:rsidR="00690E40" w:rsidRPr="00690E40" w:rsidRDefault="00690E40" w:rsidP="008F4B84">
      <w:pPr>
        <w:spacing w:after="0" w:line="269" w:lineRule="auto"/>
        <w:rPr>
          <w:rFonts w:ascii="Arial" w:hAnsi="Arial" w:cs="Arial"/>
          <w:b/>
          <w:bCs/>
          <w:sz w:val="22"/>
          <w:szCs w:val="22"/>
        </w:rPr>
      </w:pPr>
    </w:p>
    <w:p w14:paraId="22E7FC2E"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 understand you are concerned that a former employee may be about to make a constructive dismissal claim based on changes to his working hours.</w:t>
      </w:r>
    </w:p>
    <w:p w14:paraId="38C232B9" w14:textId="77777777" w:rsidR="008F4B84" w:rsidRPr="008F4B84" w:rsidRDefault="008F4B84" w:rsidP="008F4B84">
      <w:pPr>
        <w:spacing w:after="0" w:line="269" w:lineRule="auto"/>
        <w:rPr>
          <w:rFonts w:ascii="Arial" w:hAnsi="Arial" w:cs="Arial"/>
          <w:sz w:val="22"/>
          <w:szCs w:val="22"/>
        </w:rPr>
      </w:pPr>
    </w:p>
    <w:p w14:paraId="0D20BE06"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I'll try to help explain constructive dismissal a bit for you and hope that helps. It is covered under section 95(1)(c) of the Employment Rights Act 1996. In simple terms, this is where an employee resigns because they believe their employer has committed a serious breach of contract (Gov.uk, 2025). This is sometimes also referred to as a “repudiatory breach” and can include situations where the relationship of mutual trust and confidence has been damaged.</w:t>
      </w:r>
    </w:p>
    <w:p w14:paraId="3C26A55A" w14:textId="77777777" w:rsidR="008F4B84" w:rsidRPr="008F4B84" w:rsidRDefault="008F4B84" w:rsidP="008F4B84">
      <w:pPr>
        <w:spacing w:after="0" w:line="269" w:lineRule="auto"/>
        <w:rPr>
          <w:rFonts w:ascii="Arial" w:hAnsi="Arial" w:cs="Arial"/>
          <w:sz w:val="22"/>
          <w:szCs w:val="22"/>
        </w:rPr>
      </w:pPr>
    </w:p>
    <w:p w14:paraId="31A237E0"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Changing working hours can sometimes be an issue, but it really depends on the situation and the process followed to implement the change. If the change is big and hasn’t been agreed, then I can see how an employee might feel that the terms of their role had effectively been changed without their agreement.</w:t>
      </w:r>
    </w:p>
    <w:p w14:paraId="37465F79" w14:textId="77777777" w:rsidR="008F4B84" w:rsidRPr="008F4B84" w:rsidRDefault="008F4B84" w:rsidP="008F4B84">
      <w:pPr>
        <w:spacing w:after="0" w:line="269" w:lineRule="auto"/>
        <w:rPr>
          <w:rFonts w:ascii="Arial" w:hAnsi="Arial" w:cs="Arial"/>
          <w:sz w:val="22"/>
          <w:szCs w:val="22"/>
        </w:rPr>
      </w:pPr>
    </w:p>
    <w:p w14:paraId="21C9694B"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Not every change will lead to a claim though. It often relates to how big the change is, if there is any allowance for flexibility, and how it was handled at the time. If there is a genuine business reason and communication with the employee is kept open, it will usually help reduce risk.</w:t>
      </w:r>
    </w:p>
    <w:p w14:paraId="67C24A69" w14:textId="77777777" w:rsidR="00690E40" w:rsidRPr="008F4B84" w:rsidRDefault="00690E40" w:rsidP="008F4B84">
      <w:pPr>
        <w:spacing w:after="0" w:line="269" w:lineRule="auto"/>
        <w:rPr>
          <w:rFonts w:ascii="Arial" w:hAnsi="Arial" w:cs="Arial"/>
          <w:sz w:val="22"/>
          <w:szCs w:val="22"/>
        </w:rPr>
      </w:pPr>
    </w:p>
    <w:p w14:paraId="46D92EE6"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 xml:space="preserve">This was established in </w:t>
      </w:r>
      <w:r w:rsidRPr="00690E40">
        <w:rPr>
          <w:rFonts w:ascii="Arial" w:hAnsi="Arial" w:cs="Arial"/>
          <w:i/>
          <w:iCs/>
          <w:sz w:val="22"/>
          <w:szCs w:val="22"/>
        </w:rPr>
        <w:t>Western Excavating (ECC) Ltd v Sharp</w:t>
      </w:r>
      <w:r w:rsidRPr="008F4B84">
        <w:rPr>
          <w:rFonts w:ascii="Arial" w:hAnsi="Arial" w:cs="Arial"/>
          <w:sz w:val="22"/>
          <w:szCs w:val="22"/>
        </w:rPr>
        <w:t xml:space="preserve"> [1978], which confirmed that constructive dismissal occurs where there has been a repudiatory breach by the employer and the employee resigns in response to it.</w:t>
      </w:r>
    </w:p>
    <w:p w14:paraId="14E9006E" w14:textId="77777777" w:rsidR="008F4B84" w:rsidRPr="008F4B84" w:rsidRDefault="008F4B84" w:rsidP="008F4B84">
      <w:pPr>
        <w:spacing w:after="0" w:line="269" w:lineRule="auto"/>
        <w:rPr>
          <w:rFonts w:ascii="Arial" w:hAnsi="Arial" w:cs="Arial"/>
          <w:sz w:val="22"/>
          <w:szCs w:val="22"/>
        </w:rPr>
      </w:pPr>
    </w:p>
    <w:p w14:paraId="49C22B64"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In the case here with the radiographer, are there notes around how he responded? If he worked with the new hours without raising any concerns before he resigned, it could make it harder for him to argue he had no choice but to resign.</w:t>
      </w:r>
    </w:p>
    <w:p w14:paraId="39077458" w14:textId="77777777" w:rsidR="008F4B84" w:rsidRPr="008F4B84" w:rsidRDefault="008F4B84" w:rsidP="008F4B84">
      <w:pPr>
        <w:spacing w:after="0" w:line="269" w:lineRule="auto"/>
        <w:rPr>
          <w:rFonts w:ascii="Arial" w:hAnsi="Arial" w:cs="Arial"/>
          <w:sz w:val="22"/>
          <w:szCs w:val="22"/>
        </w:rPr>
      </w:pPr>
    </w:p>
    <w:p w14:paraId="6E0725B7"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Regarding your question about how long former employees have to make a constructive dismissal claim, it's three months less one day from the date employment ended. They would also need to go through ACAS early conciliation before doing anything further (ACAS, 2025a).</w:t>
      </w:r>
    </w:p>
    <w:p w14:paraId="233EBDD7" w14:textId="77777777" w:rsidR="008F4B84" w:rsidRPr="008F4B84" w:rsidRDefault="008F4B84" w:rsidP="008F4B84">
      <w:pPr>
        <w:spacing w:after="0" w:line="269" w:lineRule="auto"/>
        <w:rPr>
          <w:rFonts w:ascii="Arial" w:hAnsi="Arial" w:cs="Arial"/>
          <w:sz w:val="22"/>
          <w:szCs w:val="22"/>
        </w:rPr>
      </w:pPr>
    </w:p>
    <w:p w14:paraId="3905AB5C"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In your situation, I’d probably take a bit of time to look at how the change came about, whether it was discussed with the employee at the time and if he raised any concerns. Make sure there are clear notes and records around it all and that should help give you a better feel for the level of risk here.</w:t>
      </w:r>
    </w:p>
    <w:p w14:paraId="298BC27D" w14:textId="77777777" w:rsidR="008F4B84" w:rsidRDefault="008F4B84" w:rsidP="008F4B84">
      <w:pPr>
        <w:spacing w:after="0" w:line="269" w:lineRule="auto"/>
        <w:rPr>
          <w:rFonts w:ascii="Arial" w:hAnsi="Arial" w:cs="Arial"/>
          <w:sz w:val="22"/>
          <w:szCs w:val="22"/>
        </w:rPr>
      </w:pPr>
    </w:p>
    <w:p w14:paraId="095C4885" w14:textId="77777777" w:rsidR="00893D42" w:rsidRDefault="00893D42" w:rsidP="008F4B84">
      <w:pPr>
        <w:spacing w:after="0" w:line="269" w:lineRule="auto"/>
        <w:rPr>
          <w:rFonts w:ascii="Arial" w:hAnsi="Arial" w:cs="Arial"/>
          <w:sz w:val="22"/>
          <w:szCs w:val="22"/>
        </w:rPr>
      </w:pPr>
    </w:p>
    <w:p w14:paraId="0020C714" w14:textId="77777777" w:rsidR="00893D42" w:rsidRDefault="00893D42" w:rsidP="008F4B84">
      <w:pPr>
        <w:spacing w:after="0" w:line="269" w:lineRule="auto"/>
        <w:rPr>
          <w:rFonts w:ascii="Arial" w:hAnsi="Arial" w:cs="Arial"/>
          <w:sz w:val="22"/>
          <w:szCs w:val="22"/>
        </w:rPr>
      </w:pPr>
    </w:p>
    <w:p w14:paraId="091B7D45" w14:textId="77777777" w:rsidR="00893D42" w:rsidRPr="008F4B84" w:rsidRDefault="00893D42" w:rsidP="008F4B84">
      <w:pPr>
        <w:spacing w:after="0" w:line="269" w:lineRule="auto"/>
        <w:rPr>
          <w:rFonts w:ascii="Arial" w:hAnsi="Arial" w:cs="Arial"/>
          <w:sz w:val="22"/>
          <w:szCs w:val="22"/>
        </w:rPr>
      </w:pPr>
    </w:p>
    <w:p w14:paraId="71B0F59F" w14:textId="77777777" w:rsidR="008F4B84" w:rsidRDefault="008F4B84" w:rsidP="008F4B84">
      <w:pPr>
        <w:spacing w:after="0" w:line="269" w:lineRule="auto"/>
        <w:rPr>
          <w:rFonts w:ascii="Arial" w:hAnsi="Arial" w:cs="Arial"/>
          <w:b/>
          <w:bCs/>
          <w:sz w:val="22"/>
          <w:szCs w:val="22"/>
        </w:rPr>
      </w:pPr>
      <w:r w:rsidRPr="00690E40">
        <w:rPr>
          <w:rFonts w:ascii="Arial" w:hAnsi="Arial" w:cs="Arial"/>
          <w:b/>
          <w:bCs/>
          <w:sz w:val="22"/>
          <w:szCs w:val="22"/>
        </w:rPr>
        <w:lastRenderedPageBreak/>
        <w:t>AC 3.2</w:t>
      </w:r>
    </w:p>
    <w:p w14:paraId="522B6158" w14:textId="77777777" w:rsidR="00690E40" w:rsidRPr="00690E40" w:rsidRDefault="00690E40" w:rsidP="008F4B84">
      <w:pPr>
        <w:spacing w:after="0" w:line="269" w:lineRule="auto"/>
        <w:rPr>
          <w:rFonts w:ascii="Arial" w:hAnsi="Arial" w:cs="Arial"/>
          <w:b/>
          <w:bCs/>
          <w:sz w:val="22"/>
          <w:szCs w:val="22"/>
        </w:rPr>
      </w:pPr>
    </w:p>
    <w:p w14:paraId="2CCBC827"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 understand you are currently leading on a reorganisation within your directorate which will mean the loss of fifty posts and involve compulsory redundancies.</w:t>
      </w:r>
    </w:p>
    <w:p w14:paraId="20CA4F85" w14:textId="77777777" w:rsidR="008F4B84" w:rsidRPr="008F4B84" w:rsidRDefault="008F4B84" w:rsidP="008F4B84">
      <w:pPr>
        <w:spacing w:after="0" w:line="269" w:lineRule="auto"/>
        <w:rPr>
          <w:rFonts w:ascii="Arial" w:hAnsi="Arial" w:cs="Arial"/>
          <w:sz w:val="22"/>
          <w:szCs w:val="22"/>
        </w:rPr>
      </w:pPr>
    </w:p>
    <w:p w14:paraId="0C596282" w14:textId="294FDB64"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 also understand you are hoping to dismiss the poorest performers to try and reduce the time taken to consult. However, we need to remember that redundancy and performance are two separate things and need to be treated as such. Redundancy applies where there is a reduced requirement for employees to carry out work of a particular kind (CIPD, 2024</w:t>
      </w:r>
      <w:r w:rsidR="00EC739A">
        <w:rPr>
          <w:rFonts w:ascii="Arial" w:hAnsi="Arial" w:cs="Arial"/>
          <w:sz w:val="22"/>
          <w:szCs w:val="22"/>
        </w:rPr>
        <w:t>a</w:t>
      </w:r>
      <w:r w:rsidRPr="008F4B84">
        <w:rPr>
          <w:rFonts w:ascii="Arial" w:hAnsi="Arial" w:cs="Arial"/>
          <w:sz w:val="22"/>
          <w:szCs w:val="22"/>
        </w:rPr>
        <w:t>), for example following a restructure such as this. It can’t and shouldn’t be used as a way of managing poor performance.</w:t>
      </w:r>
    </w:p>
    <w:p w14:paraId="5C24C9C0" w14:textId="77777777" w:rsidR="008F4B84" w:rsidRPr="008F4B84" w:rsidRDefault="008F4B84" w:rsidP="008F4B84">
      <w:pPr>
        <w:spacing w:after="0" w:line="269" w:lineRule="auto"/>
        <w:rPr>
          <w:rFonts w:ascii="Arial" w:hAnsi="Arial" w:cs="Arial"/>
          <w:sz w:val="22"/>
          <w:szCs w:val="22"/>
        </w:rPr>
      </w:pPr>
    </w:p>
    <w:p w14:paraId="0A5CB141"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 xml:space="preserve">If an employee is struggling in their role, it would need to be addressed through a performance management process. Trying to use redundancy in this way could create a risk of an unfair dismissal claim, as the reason for the dismissal wouldn’t be considered genuine. This was reinforced in </w:t>
      </w:r>
      <w:r w:rsidRPr="00690E40">
        <w:rPr>
          <w:rFonts w:ascii="Arial" w:hAnsi="Arial" w:cs="Arial"/>
          <w:i/>
          <w:iCs/>
          <w:sz w:val="22"/>
          <w:szCs w:val="22"/>
        </w:rPr>
        <w:t>Williams v Compair Maxam Ltd</w:t>
      </w:r>
      <w:r w:rsidRPr="008F4B84">
        <w:rPr>
          <w:rFonts w:ascii="Arial" w:hAnsi="Arial" w:cs="Arial"/>
          <w:sz w:val="22"/>
          <w:szCs w:val="22"/>
        </w:rPr>
        <w:t xml:space="preserve"> [1982] which showed how important it is for employers to follow a fair redundancy process and consult properly.</w:t>
      </w:r>
    </w:p>
    <w:p w14:paraId="2108D0AC" w14:textId="77777777" w:rsidR="008F4B84" w:rsidRPr="008F4B84" w:rsidRDefault="008F4B84" w:rsidP="008F4B84">
      <w:pPr>
        <w:spacing w:after="0" w:line="269" w:lineRule="auto"/>
        <w:rPr>
          <w:rFonts w:ascii="Arial" w:hAnsi="Arial" w:cs="Arial"/>
          <w:sz w:val="22"/>
          <w:szCs w:val="22"/>
        </w:rPr>
      </w:pPr>
    </w:p>
    <w:p w14:paraId="6A3A29F4"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Where redundancy is appropriate, there is also a requirement to follow a fair process. This would normally involve consultation with the employees and trade union representatives (ACAS, 2024b), looking at any suitable alternative or redeployment opportunities where possible and, if more than one role is affected, using a fair method of selection.</w:t>
      </w:r>
    </w:p>
    <w:p w14:paraId="3E497AD7" w14:textId="77777777" w:rsidR="00690E40" w:rsidRPr="008F4B84" w:rsidRDefault="00690E40" w:rsidP="008F4B84">
      <w:pPr>
        <w:spacing w:after="0" w:line="269" w:lineRule="auto"/>
        <w:rPr>
          <w:rFonts w:ascii="Arial" w:hAnsi="Arial" w:cs="Arial"/>
          <w:sz w:val="22"/>
          <w:szCs w:val="22"/>
        </w:rPr>
      </w:pPr>
    </w:p>
    <w:p w14:paraId="54685CD1"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When 20 or more employees are affected by redundancy, as in this proposed reorganisation, there are also additional legal requirements to be aware of under the Trade Union and Labour Relations (Consolidation) Act 1992 (Gov.UK, 1992). You will need to carry out collective consultation with recognised trade union representatives or elected employee representatives and as 50 posts are affected, consultation would need to begin at least 30 days before any dismissals take effect. You will also need to notify the Secretary of State using a HR1 form (Service, 2025). These requirements have been put in place to make sure the whole process is fair and that all employees affected are informed and consulted throughout.</w:t>
      </w:r>
    </w:p>
    <w:p w14:paraId="42BD9C56" w14:textId="77777777" w:rsidR="008F4B84" w:rsidRPr="008F4B84" w:rsidRDefault="008F4B84" w:rsidP="008F4B84">
      <w:pPr>
        <w:spacing w:after="0" w:line="269" w:lineRule="auto"/>
        <w:rPr>
          <w:rFonts w:ascii="Arial" w:hAnsi="Arial" w:cs="Arial"/>
          <w:sz w:val="22"/>
          <w:szCs w:val="22"/>
        </w:rPr>
      </w:pPr>
    </w:p>
    <w:p w14:paraId="7F2363FC"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None of this can be done quickly without risk, as skipping these steps can lead to further challenge.</w:t>
      </w:r>
    </w:p>
    <w:p w14:paraId="0BBFA519" w14:textId="77777777" w:rsidR="008F4B84" w:rsidRPr="008F4B84" w:rsidRDefault="008F4B84" w:rsidP="008F4B84">
      <w:pPr>
        <w:spacing w:after="0" w:line="269" w:lineRule="auto"/>
        <w:rPr>
          <w:rFonts w:ascii="Arial" w:hAnsi="Arial" w:cs="Arial"/>
          <w:sz w:val="22"/>
          <w:szCs w:val="22"/>
        </w:rPr>
      </w:pPr>
    </w:p>
    <w:p w14:paraId="522D6EF2"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In the context of the reorganisation, it would be worth taking a step back and considering whether there is a genuine redundancy need for the roles in question, or whether the concerns are actually because of performance. This will help determine how we manage the situation and reduce the risk of challenge later on.</w:t>
      </w:r>
    </w:p>
    <w:p w14:paraId="340622F7" w14:textId="77777777" w:rsidR="008F4B84" w:rsidRPr="008F4B84" w:rsidRDefault="008F4B84" w:rsidP="008F4B84">
      <w:pPr>
        <w:spacing w:after="0" w:line="269" w:lineRule="auto"/>
        <w:rPr>
          <w:rFonts w:ascii="Arial" w:hAnsi="Arial" w:cs="Arial"/>
          <w:sz w:val="22"/>
          <w:szCs w:val="22"/>
        </w:rPr>
      </w:pPr>
    </w:p>
    <w:p w14:paraId="6A782A88" w14:textId="77777777" w:rsidR="008F4B84" w:rsidRDefault="008F4B84" w:rsidP="008F4B84">
      <w:pPr>
        <w:spacing w:after="0" w:line="269" w:lineRule="auto"/>
        <w:rPr>
          <w:rFonts w:ascii="Arial" w:hAnsi="Arial" w:cs="Arial"/>
          <w:b/>
          <w:bCs/>
          <w:sz w:val="22"/>
          <w:szCs w:val="22"/>
        </w:rPr>
      </w:pPr>
      <w:r w:rsidRPr="00690E40">
        <w:rPr>
          <w:rFonts w:ascii="Arial" w:hAnsi="Arial" w:cs="Arial"/>
          <w:b/>
          <w:bCs/>
          <w:sz w:val="22"/>
          <w:szCs w:val="22"/>
        </w:rPr>
        <w:t>AC 3.3</w:t>
      </w:r>
    </w:p>
    <w:p w14:paraId="5849278B" w14:textId="77777777" w:rsidR="00690E40" w:rsidRPr="00690E40" w:rsidRDefault="00690E40" w:rsidP="008F4B84">
      <w:pPr>
        <w:spacing w:after="0" w:line="269" w:lineRule="auto"/>
        <w:rPr>
          <w:rFonts w:ascii="Arial" w:hAnsi="Arial" w:cs="Arial"/>
          <w:b/>
          <w:bCs/>
          <w:sz w:val="22"/>
          <w:szCs w:val="22"/>
        </w:rPr>
      </w:pPr>
    </w:p>
    <w:p w14:paraId="1F048437" w14:textId="67B714A8" w:rsidR="008F4B84" w:rsidRDefault="008F4B84" w:rsidP="008F4B84">
      <w:pPr>
        <w:spacing w:after="0" w:line="269" w:lineRule="auto"/>
        <w:rPr>
          <w:rFonts w:ascii="Arial" w:hAnsi="Arial" w:cs="Arial"/>
          <w:sz w:val="22"/>
          <w:szCs w:val="22"/>
        </w:rPr>
      </w:pPr>
      <w:r w:rsidRPr="008F4B84">
        <w:rPr>
          <w:rFonts w:ascii="Arial" w:hAnsi="Arial" w:cs="Arial"/>
          <w:sz w:val="22"/>
          <w:szCs w:val="22"/>
        </w:rPr>
        <w:t>I understand there’s a possibility of merging the Trust’s two major pharmacy operations. Based on the information you have sent over, I think it is very likely that TUPE would apply if the merger did go ahead in future.</w:t>
      </w:r>
    </w:p>
    <w:p w14:paraId="255EB0E7" w14:textId="77777777" w:rsidR="00690E40" w:rsidRPr="008F4B84" w:rsidRDefault="00690E40" w:rsidP="008F4B84">
      <w:pPr>
        <w:spacing w:after="0" w:line="269" w:lineRule="auto"/>
        <w:rPr>
          <w:rFonts w:ascii="Arial" w:hAnsi="Arial" w:cs="Arial"/>
          <w:sz w:val="22"/>
          <w:szCs w:val="22"/>
        </w:rPr>
      </w:pPr>
    </w:p>
    <w:p w14:paraId="0B50FF89" w14:textId="5B1A450C" w:rsidR="008F4B84" w:rsidRDefault="008F4B84" w:rsidP="008F4B84">
      <w:pPr>
        <w:spacing w:after="0" w:line="269" w:lineRule="auto"/>
        <w:rPr>
          <w:rFonts w:ascii="Arial" w:hAnsi="Arial" w:cs="Arial"/>
          <w:sz w:val="22"/>
          <w:szCs w:val="22"/>
        </w:rPr>
      </w:pPr>
      <w:r w:rsidRPr="008F4B84">
        <w:rPr>
          <w:rFonts w:ascii="Arial" w:hAnsi="Arial" w:cs="Arial"/>
          <w:sz w:val="22"/>
          <w:szCs w:val="22"/>
        </w:rPr>
        <w:t>The main purpose of TUPE is to help protect employees when a service or organisation transfers from one employer to another (CIPD, 2024</w:t>
      </w:r>
      <w:r w:rsidR="00EC739A">
        <w:rPr>
          <w:rFonts w:ascii="Arial" w:hAnsi="Arial" w:cs="Arial"/>
          <w:sz w:val="22"/>
          <w:szCs w:val="22"/>
        </w:rPr>
        <w:t>b</w:t>
      </w:r>
      <w:r w:rsidRPr="008F4B84">
        <w:rPr>
          <w:rFonts w:ascii="Arial" w:hAnsi="Arial" w:cs="Arial"/>
          <w:sz w:val="22"/>
          <w:szCs w:val="22"/>
        </w:rPr>
        <w:t xml:space="preserve">). In this situation, although the </w:t>
      </w:r>
      <w:r w:rsidRPr="008F4B84">
        <w:rPr>
          <w:rFonts w:ascii="Arial" w:hAnsi="Arial" w:cs="Arial"/>
          <w:sz w:val="22"/>
          <w:szCs w:val="22"/>
        </w:rPr>
        <w:lastRenderedPageBreak/>
        <w:t>pharmacy service would move under your Trust, the employees linked to that service would normally transfer across as well, with their employment rights protected.</w:t>
      </w:r>
    </w:p>
    <w:p w14:paraId="1620D1BD" w14:textId="77777777" w:rsidR="00690E40" w:rsidRPr="008F4B84" w:rsidRDefault="00690E40" w:rsidP="008F4B84">
      <w:pPr>
        <w:spacing w:after="0" w:line="269" w:lineRule="auto"/>
        <w:rPr>
          <w:rFonts w:ascii="Arial" w:hAnsi="Arial" w:cs="Arial"/>
          <w:sz w:val="22"/>
          <w:szCs w:val="22"/>
        </w:rPr>
      </w:pPr>
    </w:p>
    <w:p w14:paraId="3D67DE2C"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One of the biggest protections under TUPE is continuity of service. This means employees keep their original start dates and length of service, which is important for things like redundancy rights and unfair dismissal protection. Their existing terms and conditions would usually transfer across too.</w:t>
      </w:r>
    </w:p>
    <w:p w14:paraId="19B78E56" w14:textId="77777777" w:rsidR="00690E40" w:rsidRPr="008F4B84" w:rsidRDefault="00690E40" w:rsidP="008F4B84">
      <w:pPr>
        <w:spacing w:after="0" w:line="269" w:lineRule="auto"/>
        <w:rPr>
          <w:rFonts w:ascii="Arial" w:hAnsi="Arial" w:cs="Arial"/>
          <w:sz w:val="22"/>
          <w:szCs w:val="22"/>
        </w:rPr>
      </w:pPr>
    </w:p>
    <w:p w14:paraId="54C308B0" w14:textId="54DCC179"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Employees also have the right to be informed and consulted about the transfer. In reality, this is a really important part of the process as situations like this can understandably make employees feel unsettled, especially where there may be worries around restructures or changes following the merger. Trade union representatives or elected employee</w:t>
      </w:r>
      <w:r w:rsidR="00690E40">
        <w:rPr>
          <w:rFonts w:ascii="Arial" w:hAnsi="Arial" w:cs="Arial"/>
          <w:sz w:val="22"/>
          <w:szCs w:val="22"/>
        </w:rPr>
        <w:t xml:space="preserve"> </w:t>
      </w:r>
      <w:r w:rsidRPr="008F4B84">
        <w:rPr>
          <w:rFonts w:ascii="Arial" w:hAnsi="Arial" w:cs="Arial"/>
          <w:sz w:val="22"/>
          <w:szCs w:val="22"/>
        </w:rPr>
        <w:t>representatives would normally need to be involved in this process as well (ACAS, 2024c).</w:t>
      </w:r>
    </w:p>
    <w:p w14:paraId="59312572"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 xml:space="preserve">TUPE also gives employees protection against being dismissed simply because the transfer is taking place. Employers cannot usually change terms and conditions just because of the transfer either. This was seen in </w:t>
      </w:r>
      <w:r w:rsidRPr="00690E40">
        <w:rPr>
          <w:rFonts w:ascii="Arial" w:hAnsi="Arial" w:cs="Arial"/>
          <w:i/>
          <w:iCs/>
          <w:sz w:val="22"/>
          <w:szCs w:val="22"/>
        </w:rPr>
        <w:t>Wilson v St Helens Borough Council</w:t>
      </w:r>
      <w:r w:rsidRPr="008F4B84">
        <w:rPr>
          <w:rFonts w:ascii="Arial" w:hAnsi="Arial" w:cs="Arial"/>
          <w:sz w:val="22"/>
          <w:szCs w:val="22"/>
        </w:rPr>
        <w:t xml:space="preserve"> [1999], where employees’ terms and conditions could not simply be changed just because of the transfer itself.</w:t>
      </w:r>
    </w:p>
    <w:p w14:paraId="2DB50B49" w14:textId="77777777" w:rsidR="00690E40" w:rsidRPr="008F4B84" w:rsidRDefault="00690E40" w:rsidP="008F4B84">
      <w:pPr>
        <w:spacing w:after="0" w:line="269" w:lineRule="auto"/>
        <w:rPr>
          <w:rFonts w:ascii="Arial" w:hAnsi="Arial" w:cs="Arial"/>
          <w:sz w:val="22"/>
          <w:szCs w:val="22"/>
        </w:rPr>
      </w:pPr>
    </w:p>
    <w:p w14:paraId="4D767AA1"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That said, changes can sometimes still happen if there really is a genuine business reason for them. With TUPE, this is known as an economic, technical or organisational (ETO) reason (Gov.uk, 2024a) and may be things like genuine restructures or operational changes following this potential merger.</w:t>
      </w:r>
    </w:p>
    <w:p w14:paraId="554B41C3" w14:textId="77777777" w:rsidR="008F4B84" w:rsidRPr="008F4B84" w:rsidRDefault="008F4B84" w:rsidP="008F4B84">
      <w:pPr>
        <w:spacing w:after="0" w:line="269" w:lineRule="auto"/>
        <w:rPr>
          <w:rFonts w:ascii="Arial" w:hAnsi="Arial" w:cs="Arial"/>
          <w:sz w:val="22"/>
          <w:szCs w:val="22"/>
        </w:rPr>
      </w:pPr>
    </w:p>
    <w:p w14:paraId="4326B66C"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 think that if this merger does go ahead, it will be really important to keep communication open with employees throughout. Remember that staff need to be properly consulted over a fair and reasonable time period, which will hopefully help reduce some of the uncertainty around the changes and worry people will be feeling.</w:t>
      </w:r>
    </w:p>
    <w:p w14:paraId="3F312C3E" w14:textId="77777777" w:rsidR="008F4B84" w:rsidRPr="008F4B84" w:rsidRDefault="008F4B84" w:rsidP="008F4B84">
      <w:pPr>
        <w:spacing w:after="0" w:line="269" w:lineRule="auto"/>
        <w:rPr>
          <w:rFonts w:ascii="Arial" w:hAnsi="Arial" w:cs="Arial"/>
          <w:sz w:val="22"/>
          <w:szCs w:val="22"/>
        </w:rPr>
      </w:pPr>
    </w:p>
    <w:p w14:paraId="5C7B2CA6" w14:textId="77777777" w:rsidR="008F4B84" w:rsidRDefault="008F4B84" w:rsidP="008F4B84">
      <w:pPr>
        <w:spacing w:after="0" w:line="269" w:lineRule="auto"/>
        <w:rPr>
          <w:rFonts w:ascii="Arial" w:hAnsi="Arial" w:cs="Arial"/>
          <w:b/>
          <w:bCs/>
          <w:sz w:val="22"/>
          <w:szCs w:val="22"/>
        </w:rPr>
      </w:pPr>
      <w:r w:rsidRPr="00690E40">
        <w:rPr>
          <w:rFonts w:ascii="Arial" w:hAnsi="Arial" w:cs="Arial"/>
          <w:b/>
          <w:bCs/>
          <w:sz w:val="22"/>
          <w:szCs w:val="22"/>
        </w:rPr>
        <w:t>AC 4.1</w:t>
      </w:r>
    </w:p>
    <w:p w14:paraId="3A4D939F" w14:textId="77777777" w:rsidR="00690E40" w:rsidRPr="00690E40" w:rsidRDefault="00690E40" w:rsidP="008F4B84">
      <w:pPr>
        <w:spacing w:after="0" w:line="269" w:lineRule="auto"/>
        <w:rPr>
          <w:rFonts w:ascii="Arial" w:hAnsi="Arial" w:cs="Arial"/>
          <w:b/>
          <w:bCs/>
          <w:sz w:val="22"/>
          <w:szCs w:val="22"/>
        </w:rPr>
      </w:pPr>
    </w:p>
    <w:p w14:paraId="7C6CCC3F"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The regulatory requirements around calculating holiday pay can be really confusing so I'm happy to help try and explain.</w:t>
      </w:r>
    </w:p>
    <w:p w14:paraId="23C7BBC8" w14:textId="77777777" w:rsidR="00690E40" w:rsidRPr="008F4B84" w:rsidRDefault="00690E40" w:rsidP="008F4B84">
      <w:pPr>
        <w:spacing w:after="0" w:line="269" w:lineRule="auto"/>
        <w:rPr>
          <w:rFonts w:ascii="Arial" w:hAnsi="Arial" w:cs="Arial"/>
          <w:sz w:val="22"/>
          <w:szCs w:val="22"/>
        </w:rPr>
      </w:pPr>
    </w:p>
    <w:p w14:paraId="74E474F6"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Under the Working Time Regulations 1998 (Gov.uk, 1998), workers are entitled to 5.6 weeks’ paid annual leave each year. This applies to bank staff and casual workers as well, even where they are only working shifts on an ‘as-and-when-needed’ basis and their hours vary from week to week.</w:t>
      </w:r>
    </w:p>
    <w:p w14:paraId="63D2784D" w14:textId="77777777" w:rsidR="00690E40" w:rsidRPr="008F4B84" w:rsidRDefault="00690E40" w:rsidP="008F4B84">
      <w:pPr>
        <w:spacing w:after="0" w:line="269" w:lineRule="auto"/>
        <w:rPr>
          <w:rFonts w:ascii="Arial" w:hAnsi="Arial" w:cs="Arial"/>
          <w:sz w:val="22"/>
          <w:szCs w:val="22"/>
        </w:rPr>
      </w:pPr>
    </w:p>
    <w:p w14:paraId="7B67E6BE"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Holiday entitlement is also an important health and safety protection as although bank staff may choose to work regularly, ensuring they take annual leave to rest helps reduce risks linked to fatigue and burnout, which is obviously important within the NHS.</w:t>
      </w:r>
    </w:p>
    <w:p w14:paraId="5C0BFE15" w14:textId="77777777" w:rsidR="008F4B84" w:rsidRPr="008F4B84" w:rsidRDefault="008F4B84" w:rsidP="008F4B84">
      <w:pPr>
        <w:spacing w:after="0" w:line="269" w:lineRule="auto"/>
        <w:rPr>
          <w:rFonts w:ascii="Arial" w:hAnsi="Arial" w:cs="Arial"/>
          <w:sz w:val="22"/>
          <w:szCs w:val="22"/>
        </w:rPr>
      </w:pPr>
    </w:p>
    <w:p w14:paraId="531F5D98"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 xml:space="preserve">So with holiday pay, employees need to receive roughly what they would have earned if they had been working as normal. The complicated bit is understanding how this should be calculated! This was also looked at in </w:t>
      </w:r>
      <w:r w:rsidRPr="00690E40">
        <w:rPr>
          <w:rFonts w:ascii="Arial" w:hAnsi="Arial" w:cs="Arial"/>
          <w:i/>
          <w:iCs/>
          <w:sz w:val="22"/>
          <w:szCs w:val="22"/>
        </w:rPr>
        <w:t>Bear Scotland Ltd v Fulton</w:t>
      </w:r>
      <w:r w:rsidRPr="008F4B84">
        <w:rPr>
          <w:rFonts w:ascii="Arial" w:hAnsi="Arial" w:cs="Arial"/>
          <w:sz w:val="22"/>
          <w:szCs w:val="22"/>
        </w:rPr>
        <w:t xml:space="preserve"> [2015], where it was decided that holiday pay should reflect what an employee would normally earn, including regular overtime payments.</w:t>
      </w:r>
    </w:p>
    <w:p w14:paraId="7556749F" w14:textId="77777777" w:rsidR="008F4B84" w:rsidRPr="008F4B84" w:rsidRDefault="008F4B84" w:rsidP="008F4B84">
      <w:pPr>
        <w:spacing w:after="0" w:line="269" w:lineRule="auto"/>
        <w:rPr>
          <w:rFonts w:ascii="Arial" w:hAnsi="Arial" w:cs="Arial"/>
          <w:sz w:val="22"/>
          <w:szCs w:val="22"/>
        </w:rPr>
      </w:pPr>
    </w:p>
    <w:p w14:paraId="10C4E0E4"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lastRenderedPageBreak/>
        <w:t>Employees on bank/casual contracts often work irregular hours and there are two ways you can work out what holiday pay they should receive.</w:t>
      </w:r>
    </w:p>
    <w:p w14:paraId="6BF4384F" w14:textId="77777777" w:rsidR="008F4B84" w:rsidRPr="008F4B84" w:rsidRDefault="008F4B84" w:rsidP="008F4B84">
      <w:pPr>
        <w:spacing w:after="0" w:line="269" w:lineRule="auto"/>
        <w:rPr>
          <w:rFonts w:ascii="Arial" w:hAnsi="Arial" w:cs="Arial"/>
          <w:sz w:val="22"/>
          <w:szCs w:val="22"/>
        </w:rPr>
      </w:pPr>
    </w:p>
    <w:p w14:paraId="1321125B"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The first option is to calculate holiday pay based on the average of their pay over the previous 52 paid weeks. Only weeks where the employee has actually been paid are included so, if there are gaps with no pay (such as no work offered or sickness), these weeks need to be skipped and earlier weeks added to make up the 52 weeks instead.</w:t>
      </w:r>
    </w:p>
    <w:p w14:paraId="76C9F703" w14:textId="77777777" w:rsidR="008F4B84" w:rsidRPr="008F4B84" w:rsidRDefault="008F4B84" w:rsidP="008F4B84">
      <w:pPr>
        <w:spacing w:after="0" w:line="269" w:lineRule="auto"/>
        <w:rPr>
          <w:rFonts w:ascii="Arial" w:hAnsi="Arial" w:cs="Arial"/>
          <w:sz w:val="22"/>
          <w:szCs w:val="22"/>
        </w:rPr>
      </w:pPr>
    </w:p>
    <w:p w14:paraId="3D1612A5"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The other option is the accrual method, where holiday builds up as the individual actually works, so you would then pay the holiday element of 12.07% of what they were paid. This is usually easier to manage and calculate and payroll systems can often automate the calculation, but it does need to be applied correctly and be clearly set out from the beginning.</w:t>
      </w:r>
    </w:p>
    <w:p w14:paraId="12D614CB" w14:textId="77777777" w:rsidR="008F4B84" w:rsidRPr="008F4B84" w:rsidRDefault="008F4B84" w:rsidP="008F4B84">
      <w:pPr>
        <w:spacing w:after="0" w:line="269" w:lineRule="auto"/>
        <w:rPr>
          <w:rFonts w:ascii="Arial" w:hAnsi="Arial" w:cs="Arial"/>
          <w:sz w:val="22"/>
          <w:szCs w:val="22"/>
        </w:rPr>
      </w:pPr>
    </w:p>
    <w:p w14:paraId="39E862D9"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In reality, the key thing is not necessarily which method is used, but that there is one clear approach in place and then applied consistently. Issues can arise when methods are mixed or where it isn’t clear how holiday pay is being calculated from the start.</w:t>
      </w:r>
    </w:p>
    <w:p w14:paraId="2324F407" w14:textId="77777777" w:rsidR="008F4B84" w:rsidRPr="008F4B84" w:rsidRDefault="008F4B84" w:rsidP="008F4B84">
      <w:pPr>
        <w:spacing w:after="0" w:line="269" w:lineRule="auto"/>
        <w:rPr>
          <w:rFonts w:ascii="Arial" w:hAnsi="Arial" w:cs="Arial"/>
          <w:sz w:val="22"/>
          <w:szCs w:val="22"/>
        </w:rPr>
      </w:pPr>
    </w:p>
    <w:p w14:paraId="5BB2782C" w14:textId="75E3AACF"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Also, from April 2026 the Employment Rights Act 2025 came into play and with this, there are new requirements to keep clear records on holiday pay. This includes things like leave taken, any carried forward and how the holiday pay has been calculated (Gov.</w:t>
      </w:r>
      <w:r w:rsidR="00690E40">
        <w:rPr>
          <w:rFonts w:ascii="Arial" w:hAnsi="Arial" w:cs="Arial"/>
          <w:sz w:val="22"/>
          <w:szCs w:val="22"/>
        </w:rPr>
        <w:t>uk</w:t>
      </w:r>
      <w:r w:rsidRPr="008F4B84">
        <w:rPr>
          <w:rFonts w:ascii="Arial" w:hAnsi="Arial" w:cs="Arial"/>
          <w:sz w:val="22"/>
          <w:szCs w:val="22"/>
        </w:rPr>
        <w:t>, 2025). These records now need to be kept for six years, so having a consistent approach put in place will help manage this from the admin side too.</w:t>
      </w:r>
    </w:p>
    <w:p w14:paraId="68B922B3" w14:textId="77777777" w:rsidR="008F4B84" w:rsidRPr="008F4B84" w:rsidRDefault="008F4B84" w:rsidP="008F4B84">
      <w:pPr>
        <w:spacing w:after="0" w:line="269" w:lineRule="auto"/>
        <w:rPr>
          <w:rFonts w:ascii="Arial" w:hAnsi="Arial" w:cs="Arial"/>
          <w:sz w:val="22"/>
          <w:szCs w:val="22"/>
        </w:rPr>
      </w:pPr>
    </w:p>
    <w:p w14:paraId="21750A64"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In your situation, I would take a little time to review how the holiday pay is currently being calculated for the nurse bank staff and make sure it aligns with one of the methods above. This will ensure employees then receive their correct entitlement and reduce risks of any issues in future.</w:t>
      </w:r>
    </w:p>
    <w:p w14:paraId="221C5E3E" w14:textId="77777777" w:rsidR="008F4B84" w:rsidRPr="008F4B84" w:rsidRDefault="008F4B84" w:rsidP="008F4B84">
      <w:pPr>
        <w:spacing w:after="0" w:line="269" w:lineRule="auto"/>
        <w:rPr>
          <w:rFonts w:ascii="Arial" w:hAnsi="Arial" w:cs="Arial"/>
          <w:sz w:val="22"/>
          <w:szCs w:val="22"/>
        </w:rPr>
      </w:pPr>
    </w:p>
    <w:p w14:paraId="3558480A"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If things haven’t always been calculated properly or consistently in the past, I would recommend focussing on getting things updated from now and then moving forward, plus communicate any changes clearly.</w:t>
      </w:r>
    </w:p>
    <w:p w14:paraId="16D08778" w14:textId="77777777" w:rsidR="008F4B84" w:rsidRPr="008F4B84" w:rsidRDefault="008F4B84" w:rsidP="008F4B84">
      <w:pPr>
        <w:spacing w:after="0" w:line="269" w:lineRule="auto"/>
        <w:rPr>
          <w:rFonts w:ascii="Arial" w:hAnsi="Arial" w:cs="Arial"/>
          <w:sz w:val="22"/>
          <w:szCs w:val="22"/>
        </w:rPr>
      </w:pPr>
    </w:p>
    <w:p w14:paraId="58E9C648" w14:textId="77777777" w:rsidR="008F4B84" w:rsidRDefault="008F4B84" w:rsidP="008F4B84">
      <w:pPr>
        <w:spacing w:after="0" w:line="269" w:lineRule="auto"/>
        <w:rPr>
          <w:rFonts w:ascii="Arial" w:hAnsi="Arial" w:cs="Arial"/>
          <w:b/>
          <w:bCs/>
          <w:sz w:val="22"/>
          <w:szCs w:val="22"/>
        </w:rPr>
      </w:pPr>
      <w:r w:rsidRPr="00690E40">
        <w:rPr>
          <w:rFonts w:ascii="Arial" w:hAnsi="Arial" w:cs="Arial"/>
          <w:b/>
          <w:bCs/>
          <w:sz w:val="22"/>
          <w:szCs w:val="22"/>
        </w:rPr>
        <w:t>AC 4.2</w:t>
      </w:r>
    </w:p>
    <w:p w14:paraId="7A714AE3" w14:textId="77777777" w:rsidR="00690E40" w:rsidRPr="00690E40" w:rsidRDefault="00690E40" w:rsidP="008F4B84">
      <w:pPr>
        <w:spacing w:after="0" w:line="269" w:lineRule="auto"/>
        <w:rPr>
          <w:rFonts w:ascii="Arial" w:hAnsi="Arial" w:cs="Arial"/>
          <w:b/>
          <w:bCs/>
          <w:sz w:val="22"/>
          <w:szCs w:val="22"/>
        </w:rPr>
      </w:pPr>
    </w:p>
    <w:p w14:paraId="1B68A122"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Thank you for your email and congratulations as well – it’s completely understandable that you’d want to look at all the options now before deciding what works best for you both.</w:t>
      </w:r>
    </w:p>
    <w:p w14:paraId="17FA5B30" w14:textId="77777777" w:rsidR="008F4B84" w:rsidRPr="008F4B84" w:rsidRDefault="008F4B84" w:rsidP="008F4B84">
      <w:pPr>
        <w:spacing w:after="0" w:line="269" w:lineRule="auto"/>
        <w:rPr>
          <w:rFonts w:ascii="Arial" w:hAnsi="Arial" w:cs="Arial"/>
          <w:sz w:val="22"/>
          <w:szCs w:val="22"/>
        </w:rPr>
      </w:pPr>
    </w:p>
    <w:p w14:paraId="7A88FF00"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Maternity leave is a statutory right that applies to you as the mother (CIPD, 2024c). You can take up to 52 weeks’ leave, made up of 26 weeks of Ordinary Maternity Leave (OML) and 26 weeks of Additional Maternity Leave (AML). There is also a compulsory two-week period of leave immediately after the birth, which must be taken. Maternity pay is normally paid for up to 39 weeks, depending on eligibility.</w:t>
      </w:r>
    </w:p>
    <w:p w14:paraId="74AB9689" w14:textId="77777777" w:rsidR="008F4B84" w:rsidRPr="008F4B84" w:rsidRDefault="008F4B84" w:rsidP="008F4B84">
      <w:pPr>
        <w:spacing w:after="0" w:line="269" w:lineRule="auto"/>
        <w:rPr>
          <w:rFonts w:ascii="Arial" w:hAnsi="Arial" w:cs="Arial"/>
          <w:sz w:val="22"/>
          <w:szCs w:val="22"/>
        </w:rPr>
      </w:pPr>
    </w:p>
    <w:p w14:paraId="75BB0991"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 xml:space="preserve">Shared Parental Leave works a bit differently, as it allows eligible parents to share leave and pay between them. After the baby's birth, you may decide to end your maternity leave early and then move your remaining entitlement into shared parental leave. You can then share that time between you in whatever way works best, whether that’s both being off together for a period or taking it in turns. There can be up to 50 weeks of leave and 37 weeks of pay </w:t>
      </w:r>
      <w:r w:rsidRPr="008F4B84">
        <w:rPr>
          <w:rFonts w:ascii="Arial" w:hAnsi="Arial" w:cs="Arial"/>
          <w:sz w:val="22"/>
          <w:szCs w:val="22"/>
        </w:rPr>
        <w:lastRenderedPageBreak/>
        <w:t xml:space="preserve">available to share between you, depending on how much maternity leave has already been taken (Gov.uk, 2014). </w:t>
      </w:r>
    </w:p>
    <w:p w14:paraId="236AED00" w14:textId="77777777" w:rsidR="008F4B84" w:rsidRPr="008F4B84" w:rsidRDefault="008F4B84" w:rsidP="008F4B84">
      <w:pPr>
        <w:spacing w:after="0" w:line="269" w:lineRule="auto"/>
        <w:rPr>
          <w:rFonts w:ascii="Arial" w:hAnsi="Arial" w:cs="Arial"/>
          <w:sz w:val="22"/>
          <w:szCs w:val="22"/>
        </w:rPr>
      </w:pPr>
    </w:p>
    <w:p w14:paraId="5812CD13"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 xml:space="preserve">One of the biggest differences is that maternity leave is just for the mother and starts automatically once the baby is born, whereas shared parental leave is designed to give both parents more flexibility in how the childcare is shared over the first year. </w:t>
      </w:r>
    </w:p>
    <w:p w14:paraId="645234F5" w14:textId="77777777" w:rsidR="008F4B84" w:rsidRPr="008F4B84" w:rsidRDefault="008F4B84" w:rsidP="008F4B84">
      <w:pPr>
        <w:spacing w:after="0" w:line="269" w:lineRule="auto"/>
        <w:rPr>
          <w:rFonts w:ascii="Arial" w:hAnsi="Arial" w:cs="Arial"/>
          <w:sz w:val="22"/>
          <w:szCs w:val="22"/>
        </w:rPr>
      </w:pPr>
    </w:p>
    <w:p w14:paraId="40C679CA"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 xml:space="preserve">Daniels (2022) explains that shared parental leave was introduced to give families more flexibility around childcare. It can work really well if both parents want to share the time off once the baby arrives but maternity leave is much more straightforward and set out from the beginning. </w:t>
      </w:r>
    </w:p>
    <w:p w14:paraId="193B0B9C" w14:textId="77777777" w:rsidR="008F4B84" w:rsidRPr="008F4B84" w:rsidRDefault="008F4B84" w:rsidP="008F4B84">
      <w:pPr>
        <w:spacing w:after="0" w:line="269" w:lineRule="auto"/>
        <w:rPr>
          <w:rFonts w:ascii="Arial" w:hAnsi="Arial" w:cs="Arial"/>
          <w:sz w:val="22"/>
          <w:szCs w:val="22"/>
        </w:rPr>
      </w:pPr>
    </w:p>
    <w:p w14:paraId="09390F41"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The tricky bit with shared parental leave is that there are more eligibility checks and notice requirements involved for both parents and employers, so it can be more complicated to arrange.</w:t>
      </w:r>
    </w:p>
    <w:p w14:paraId="6D0AF133" w14:textId="77777777" w:rsidR="008F4B84" w:rsidRPr="008F4B84" w:rsidRDefault="008F4B84" w:rsidP="008F4B84">
      <w:pPr>
        <w:spacing w:after="0" w:line="269" w:lineRule="auto"/>
        <w:rPr>
          <w:rFonts w:ascii="Arial" w:hAnsi="Arial" w:cs="Arial"/>
          <w:sz w:val="22"/>
          <w:szCs w:val="22"/>
        </w:rPr>
      </w:pPr>
    </w:p>
    <w:p w14:paraId="57D42165"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A lot of people choose to take some of their maternity leave first and then look at the shared parental leave afterwards, but it really is down to what works best for you, your family and personal situation.</w:t>
      </w:r>
    </w:p>
    <w:p w14:paraId="001200E1" w14:textId="77777777" w:rsidR="008F4B84" w:rsidRPr="008F4B84" w:rsidRDefault="008F4B84" w:rsidP="008F4B84">
      <w:pPr>
        <w:spacing w:after="0" w:line="269" w:lineRule="auto"/>
        <w:rPr>
          <w:rFonts w:ascii="Arial" w:hAnsi="Arial" w:cs="Arial"/>
          <w:sz w:val="22"/>
          <w:szCs w:val="22"/>
        </w:rPr>
      </w:pPr>
    </w:p>
    <w:p w14:paraId="4DB85B67" w14:textId="77777777" w:rsidR="008F4B84" w:rsidRDefault="008F4B84" w:rsidP="008F4B84">
      <w:pPr>
        <w:spacing w:after="0" w:line="269" w:lineRule="auto"/>
        <w:rPr>
          <w:rFonts w:ascii="Arial" w:hAnsi="Arial" w:cs="Arial"/>
          <w:b/>
          <w:bCs/>
          <w:sz w:val="22"/>
          <w:szCs w:val="22"/>
        </w:rPr>
      </w:pPr>
      <w:r w:rsidRPr="00690E40">
        <w:rPr>
          <w:rFonts w:ascii="Arial" w:hAnsi="Arial" w:cs="Arial"/>
          <w:b/>
          <w:bCs/>
          <w:sz w:val="22"/>
          <w:szCs w:val="22"/>
        </w:rPr>
        <w:t>AC 4.3</w:t>
      </w:r>
    </w:p>
    <w:p w14:paraId="71512C7C" w14:textId="77777777" w:rsidR="00690E40" w:rsidRPr="00690E40" w:rsidRDefault="00690E40" w:rsidP="008F4B84">
      <w:pPr>
        <w:spacing w:after="0" w:line="269" w:lineRule="auto"/>
        <w:rPr>
          <w:rFonts w:ascii="Arial" w:hAnsi="Arial" w:cs="Arial"/>
          <w:b/>
          <w:bCs/>
          <w:sz w:val="22"/>
          <w:szCs w:val="22"/>
        </w:rPr>
      </w:pPr>
    </w:p>
    <w:p w14:paraId="349769F1"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Thank you for your email. I can absolutely see why you’re concerned about this request and around setting a precedent if it is agreed.</w:t>
      </w:r>
    </w:p>
    <w:p w14:paraId="2FC81CC4" w14:textId="77777777" w:rsidR="008F4B84" w:rsidRPr="008F4B84" w:rsidRDefault="008F4B84" w:rsidP="008F4B84">
      <w:pPr>
        <w:spacing w:after="0" w:line="269" w:lineRule="auto"/>
        <w:rPr>
          <w:rFonts w:ascii="Arial" w:hAnsi="Arial" w:cs="Arial"/>
          <w:sz w:val="22"/>
          <w:szCs w:val="22"/>
        </w:rPr>
      </w:pPr>
    </w:p>
    <w:p w14:paraId="2B04595B"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Employees do now have a statutory right to request flexible working from day one. However, this is a right to request and not an automatic right to have it approved. What you are required to do is consider the request reasonably and respond within the required timeframes (ACAS, 2024b).</w:t>
      </w:r>
    </w:p>
    <w:p w14:paraId="60E4BCD7" w14:textId="77777777" w:rsidR="008F4B84" w:rsidRPr="008F4B84" w:rsidRDefault="008F4B84" w:rsidP="008F4B84">
      <w:pPr>
        <w:spacing w:after="0" w:line="269" w:lineRule="auto"/>
        <w:rPr>
          <w:rFonts w:ascii="Arial" w:hAnsi="Arial" w:cs="Arial"/>
          <w:sz w:val="22"/>
          <w:szCs w:val="22"/>
        </w:rPr>
      </w:pPr>
    </w:p>
    <w:p w14:paraId="422D7A91"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In reality, this means you can’t refuse a request simply because other employees may then also ask to work from home. A concern about setting a precedent on its own would not normally be considered a sufficient reason for refusal. Each one needs to be looked at individually and based on what works for that role and the service.</w:t>
      </w:r>
    </w:p>
    <w:p w14:paraId="65C3ED2E" w14:textId="77777777" w:rsidR="008F4B84" w:rsidRPr="008F4B84" w:rsidRDefault="008F4B84" w:rsidP="008F4B84">
      <w:pPr>
        <w:spacing w:after="0" w:line="269" w:lineRule="auto"/>
        <w:rPr>
          <w:rFonts w:ascii="Arial" w:hAnsi="Arial" w:cs="Arial"/>
          <w:sz w:val="22"/>
          <w:szCs w:val="22"/>
        </w:rPr>
      </w:pPr>
    </w:p>
    <w:p w14:paraId="286EFC1E"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If there are real, genuine concerns about the impact on the team or role delivery, there are some valid business reasons that can be used to refuse the request (CIPD, 2025). For example, if three days working from home would affect performance, team support or the ability to meet demand, these would be reasonable bases for saying no.</w:t>
      </w:r>
    </w:p>
    <w:p w14:paraId="5E94C534" w14:textId="77777777" w:rsidR="00690E40" w:rsidRPr="008F4B84" w:rsidRDefault="00690E40" w:rsidP="008F4B84">
      <w:pPr>
        <w:spacing w:after="0" w:line="269" w:lineRule="auto"/>
        <w:rPr>
          <w:rFonts w:ascii="Arial" w:hAnsi="Arial" w:cs="Arial"/>
          <w:sz w:val="22"/>
          <w:szCs w:val="22"/>
        </w:rPr>
      </w:pPr>
    </w:p>
    <w:p w14:paraId="44CACEC9"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However, under the current flexible working legislation, employers are expected to consult with employees before refusing a request and properly consider whether there are any alternative arrangements that may work instead (Gov.uk, 2024b).</w:t>
      </w:r>
    </w:p>
    <w:p w14:paraId="336BBE3A" w14:textId="77777777" w:rsidR="008F4B84" w:rsidRPr="008F4B84" w:rsidRDefault="008F4B84" w:rsidP="008F4B84">
      <w:pPr>
        <w:spacing w:after="0" w:line="269" w:lineRule="auto"/>
        <w:rPr>
          <w:rFonts w:ascii="Arial" w:hAnsi="Arial" w:cs="Arial"/>
          <w:sz w:val="22"/>
          <w:szCs w:val="22"/>
        </w:rPr>
      </w:pPr>
    </w:p>
    <w:p w14:paraId="476D7C4E" w14:textId="77777777" w:rsidR="008F4B84" w:rsidRPr="008F4B84" w:rsidRDefault="008F4B84" w:rsidP="008F4B84">
      <w:pPr>
        <w:spacing w:after="0" w:line="269" w:lineRule="auto"/>
        <w:rPr>
          <w:rFonts w:ascii="Arial" w:hAnsi="Arial" w:cs="Arial"/>
          <w:sz w:val="22"/>
          <w:szCs w:val="22"/>
        </w:rPr>
      </w:pPr>
      <w:r w:rsidRPr="008F4B84">
        <w:rPr>
          <w:rFonts w:ascii="Arial" w:hAnsi="Arial" w:cs="Arial"/>
          <w:sz w:val="22"/>
          <w:szCs w:val="22"/>
        </w:rPr>
        <w:t>It’s definitely worth considering whether there’s a middle ground first. For example, could a reduced number of home working days work, or could it be trialled for a set amount of time first. This way you’re showing that you’ve properly considered the request rather than just refusing it outright.</w:t>
      </w:r>
    </w:p>
    <w:p w14:paraId="4E468FE1" w14:textId="77777777" w:rsidR="008F4B84" w:rsidRPr="008F4B84" w:rsidRDefault="008F4B84" w:rsidP="008F4B84">
      <w:pPr>
        <w:spacing w:after="0" w:line="269" w:lineRule="auto"/>
        <w:rPr>
          <w:rFonts w:ascii="Arial" w:hAnsi="Arial" w:cs="Arial"/>
          <w:sz w:val="22"/>
          <w:szCs w:val="22"/>
        </w:rPr>
      </w:pPr>
    </w:p>
    <w:p w14:paraId="040A98E3"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lastRenderedPageBreak/>
        <w:t>From a risk point of view, it really comes down to being fair and consistent in how the request is handled. If a request is turned down without a clear reason, or hasn’t been properly considered, that’s where things can start to become a bit more open to challenge, especially if it ends up impacting certain groups more than others.</w:t>
      </w:r>
    </w:p>
    <w:p w14:paraId="14CA3DE9" w14:textId="77777777" w:rsidR="00690E40" w:rsidRPr="008F4B84" w:rsidRDefault="00690E40" w:rsidP="008F4B84">
      <w:pPr>
        <w:spacing w:after="0" w:line="269" w:lineRule="auto"/>
        <w:rPr>
          <w:rFonts w:ascii="Arial" w:hAnsi="Arial" w:cs="Arial"/>
          <w:sz w:val="22"/>
          <w:szCs w:val="22"/>
        </w:rPr>
      </w:pPr>
    </w:p>
    <w:p w14:paraId="2597F064"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I would have a quick conversation with the employee first to talk it through a bit more before making a final decision. It often helps to understand what’s driving the request and it also gives you the chance to explain any thoughts from your perspective.</w:t>
      </w:r>
    </w:p>
    <w:p w14:paraId="33E687F1" w14:textId="77777777" w:rsidR="00690E40" w:rsidRPr="008F4B84" w:rsidRDefault="00690E40" w:rsidP="008F4B84">
      <w:pPr>
        <w:spacing w:after="0" w:line="269" w:lineRule="auto"/>
        <w:rPr>
          <w:rFonts w:ascii="Arial" w:hAnsi="Arial" w:cs="Arial"/>
          <w:sz w:val="22"/>
          <w:szCs w:val="22"/>
        </w:rPr>
      </w:pPr>
    </w:p>
    <w:p w14:paraId="50EE0172" w14:textId="77777777" w:rsidR="008F4B84" w:rsidRDefault="008F4B84" w:rsidP="008F4B84">
      <w:pPr>
        <w:spacing w:after="0" w:line="269" w:lineRule="auto"/>
        <w:rPr>
          <w:rFonts w:ascii="Arial" w:hAnsi="Arial" w:cs="Arial"/>
          <w:sz w:val="22"/>
          <w:szCs w:val="22"/>
        </w:rPr>
      </w:pPr>
      <w:r w:rsidRPr="008F4B84">
        <w:rPr>
          <w:rFonts w:ascii="Arial" w:hAnsi="Arial" w:cs="Arial"/>
          <w:sz w:val="22"/>
          <w:szCs w:val="22"/>
        </w:rPr>
        <w:t>Let me know when you’ve had this conversation and I can help draft a response or support further as needed.</w:t>
      </w:r>
    </w:p>
    <w:p w14:paraId="28B6EF00" w14:textId="77777777" w:rsidR="00070CF3" w:rsidRDefault="00070CF3" w:rsidP="008F4B84">
      <w:pPr>
        <w:spacing w:after="0" w:line="269" w:lineRule="auto"/>
        <w:rPr>
          <w:rFonts w:ascii="Arial" w:hAnsi="Arial" w:cs="Arial"/>
          <w:sz w:val="22"/>
          <w:szCs w:val="22"/>
        </w:rPr>
      </w:pPr>
    </w:p>
    <w:p w14:paraId="2B81E40B" w14:textId="77777777" w:rsidR="00070CF3" w:rsidRDefault="00070CF3" w:rsidP="008F4B84">
      <w:pPr>
        <w:spacing w:after="0" w:line="269" w:lineRule="auto"/>
        <w:rPr>
          <w:rFonts w:ascii="Arial" w:hAnsi="Arial" w:cs="Arial"/>
          <w:sz w:val="22"/>
          <w:szCs w:val="22"/>
        </w:rPr>
      </w:pPr>
    </w:p>
    <w:p w14:paraId="3B93445A" w14:textId="77777777" w:rsidR="00070CF3" w:rsidRDefault="00070CF3" w:rsidP="008F4B84">
      <w:pPr>
        <w:spacing w:after="0" w:line="269" w:lineRule="auto"/>
        <w:rPr>
          <w:rFonts w:ascii="Arial" w:hAnsi="Arial" w:cs="Arial"/>
          <w:sz w:val="22"/>
          <w:szCs w:val="22"/>
        </w:rPr>
      </w:pPr>
    </w:p>
    <w:p w14:paraId="18F1B3F1" w14:textId="77777777" w:rsidR="00070CF3" w:rsidRDefault="00070CF3" w:rsidP="008F4B84">
      <w:pPr>
        <w:spacing w:after="0" w:line="269" w:lineRule="auto"/>
        <w:rPr>
          <w:rFonts w:ascii="Arial" w:hAnsi="Arial" w:cs="Arial"/>
          <w:sz w:val="22"/>
          <w:szCs w:val="22"/>
        </w:rPr>
      </w:pPr>
    </w:p>
    <w:p w14:paraId="5317A409" w14:textId="77777777" w:rsidR="00070CF3" w:rsidRDefault="00070CF3" w:rsidP="008F4B84">
      <w:pPr>
        <w:spacing w:after="0" w:line="269" w:lineRule="auto"/>
        <w:rPr>
          <w:rFonts w:ascii="Arial" w:hAnsi="Arial" w:cs="Arial"/>
          <w:sz w:val="22"/>
          <w:szCs w:val="22"/>
        </w:rPr>
      </w:pPr>
    </w:p>
    <w:p w14:paraId="1A357A6A" w14:textId="77777777" w:rsidR="00070CF3" w:rsidRDefault="00070CF3" w:rsidP="008F4B84">
      <w:pPr>
        <w:spacing w:after="0" w:line="269" w:lineRule="auto"/>
        <w:rPr>
          <w:rFonts w:ascii="Arial" w:hAnsi="Arial" w:cs="Arial"/>
          <w:sz w:val="22"/>
          <w:szCs w:val="22"/>
        </w:rPr>
      </w:pPr>
    </w:p>
    <w:p w14:paraId="47D87F2F" w14:textId="77777777" w:rsidR="00070CF3" w:rsidRDefault="00070CF3" w:rsidP="008F4B84">
      <w:pPr>
        <w:spacing w:after="0" w:line="269" w:lineRule="auto"/>
        <w:rPr>
          <w:rFonts w:ascii="Arial" w:hAnsi="Arial" w:cs="Arial"/>
          <w:sz w:val="22"/>
          <w:szCs w:val="22"/>
        </w:rPr>
      </w:pPr>
    </w:p>
    <w:p w14:paraId="65BE2524" w14:textId="77777777" w:rsidR="00070CF3" w:rsidRDefault="00070CF3" w:rsidP="008F4B84">
      <w:pPr>
        <w:spacing w:after="0" w:line="269" w:lineRule="auto"/>
        <w:rPr>
          <w:rFonts w:ascii="Arial" w:hAnsi="Arial" w:cs="Arial"/>
          <w:sz w:val="22"/>
          <w:szCs w:val="22"/>
        </w:rPr>
      </w:pPr>
    </w:p>
    <w:p w14:paraId="09CAE08F" w14:textId="77777777" w:rsidR="00070CF3" w:rsidRDefault="00070CF3" w:rsidP="008F4B84">
      <w:pPr>
        <w:spacing w:after="0" w:line="269" w:lineRule="auto"/>
        <w:rPr>
          <w:rFonts w:ascii="Arial" w:hAnsi="Arial" w:cs="Arial"/>
          <w:sz w:val="22"/>
          <w:szCs w:val="22"/>
        </w:rPr>
      </w:pPr>
    </w:p>
    <w:p w14:paraId="1CA06077" w14:textId="77777777" w:rsidR="00070CF3" w:rsidRDefault="00070CF3" w:rsidP="008F4B84">
      <w:pPr>
        <w:spacing w:after="0" w:line="269" w:lineRule="auto"/>
        <w:rPr>
          <w:rFonts w:ascii="Arial" w:hAnsi="Arial" w:cs="Arial"/>
          <w:sz w:val="22"/>
          <w:szCs w:val="22"/>
        </w:rPr>
      </w:pPr>
    </w:p>
    <w:p w14:paraId="00909E88" w14:textId="77777777" w:rsidR="00070CF3" w:rsidRDefault="00070CF3" w:rsidP="008F4B84">
      <w:pPr>
        <w:spacing w:after="0" w:line="269" w:lineRule="auto"/>
        <w:rPr>
          <w:rFonts w:ascii="Arial" w:hAnsi="Arial" w:cs="Arial"/>
          <w:sz w:val="22"/>
          <w:szCs w:val="22"/>
        </w:rPr>
      </w:pPr>
    </w:p>
    <w:p w14:paraId="7551D94F" w14:textId="77777777" w:rsidR="00070CF3" w:rsidRDefault="00070CF3" w:rsidP="008F4B84">
      <w:pPr>
        <w:spacing w:after="0" w:line="269" w:lineRule="auto"/>
        <w:rPr>
          <w:rFonts w:ascii="Arial" w:hAnsi="Arial" w:cs="Arial"/>
          <w:sz w:val="22"/>
          <w:szCs w:val="22"/>
        </w:rPr>
      </w:pPr>
    </w:p>
    <w:p w14:paraId="1382F954" w14:textId="77777777" w:rsidR="00070CF3" w:rsidRDefault="00070CF3" w:rsidP="008F4B84">
      <w:pPr>
        <w:spacing w:after="0" w:line="269" w:lineRule="auto"/>
        <w:rPr>
          <w:rFonts w:ascii="Arial" w:hAnsi="Arial" w:cs="Arial"/>
          <w:sz w:val="22"/>
          <w:szCs w:val="22"/>
        </w:rPr>
      </w:pPr>
    </w:p>
    <w:p w14:paraId="7E560E47" w14:textId="77777777" w:rsidR="00070CF3" w:rsidRDefault="00070CF3" w:rsidP="008F4B84">
      <w:pPr>
        <w:spacing w:after="0" w:line="269" w:lineRule="auto"/>
        <w:rPr>
          <w:rFonts w:ascii="Arial" w:hAnsi="Arial" w:cs="Arial"/>
          <w:sz w:val="22"/>
          <w:szCs w:val="22"/>
        </w:rPr>
      </w:pPr>
    </w:p>
    <w:p w14:paraId="22550CA1" w14:textId="77777777" w:rsidR="00070CF3" w:rsidRDefault="00070CF3" w:rsidP="008F4B84">
      <w:pPr>
        <w:spacing w:after="0" w:line="269" w:lineRule="auto"/>
        <w:rPr>
          <w:rFonts w:ascii="Arial" w:hAnsi="Arial" w:cs="Arial"/>
          <w:sz w:val="22"/>
          <w:szCs w:val="22"/>
        </w:rPr>
      </w:pPr>
    </w:p>
    <w:p w14:paraId="22477FBD" w14:textId="77777777" w:rsidR="00070CF3" w:rsidRDefault="00070CF3" w:rsidP="008F4B84">
      <w:pPr>
        <w:spacing w:after="0" w:line="269" w:lineRule="auto"/>
        <w:rPr>
          <w:rFonts w:ascii="Arial" w:hAnsi="Arial" w:cs="Arial"/>
          <w:sz w:val="22"/>
          <w:szCs w:val="22"/>
        </w:rPr>
      </w:pPr>
    </w:p>
    <w:p w14:paraId="084F2103" w14:textId="77777777" w:rsidR="00070CF3" w:rsidRDefault="00070CF3" w:rsidP="008F4B84">
      <w:pPr>
        <w:spacing w:after="0" w:line="269" w:lineRule="auto"/>
        <w:rPr>
          <w:rFonts w:ascii="Arial" w:hAnsi="Arial" w:cs="Arial"/>
          <w:sz w:val="22"/>
          <w:szCs w:val="22"/>
        </w:rPr>
      </w:pPr>
    </w:p>
    <w:p w14:paraId="75D14367" w14:textId="77777777" w:rsidR="00070CF3" w:rsidRDefault="00070CF3" w:rsidP="008F4B84">
      <w:pPr>
        <w:spacing w:after="0" w:line="269" w:lineRule="auto"/>
        <w:rPr>
          <w:rFonts w:ascii="Arial" w:hAnsi="Arial" w:cs="Arial"/>
          <w:sz w:val="22"/>
          <w:szCs w:val="22"/>
        </w:rPr>
      </w:pPr>
    </w:p>
    <w:p w14:paraId="26959784" w14:textId="77777777" w:rsidR="00070CF3" w:rsidRDefault="00070CF3" w:rsidP="008F4B84">
      <w:pPr>
        <w:spacing w:after="0" w:line="269" w:lineRule="auto"/>
        <w:rPr>
          <w:rFonts w:ascii="Arial" w:hAnsi="Arial" w:cs="Arial"/>
          <w:sz w:val="22"/>
          <w:szCs w:val="22"/>
        </w:rPr>
      </w:pPr>
    </w:p>
    <w:p w14:paraId="32A0CC01" w14:textId="77777777" w:rsidR="00070CF3" w:rsidRDefault="00070CF3" w:rsidP="008F4B84">
      <w:pPr>
        <w:spacing w:after="0" w:line="269" w:lineRule="auto"/>
        <w:rPr>
          <w:rFonts w:ascii="Arial" w:hAnsi="Arial" w:cs="Arial"/>
          <w:sz w:val="22"/>
          <w:szCs w:val="22"/>
        </w:rPr>
      </w:pPr>
    </w:p>
    <w:p w14:paraId="0872FF83" w14:textId="77777777" w:rsidR="00070CF3" w:rsidRDefault="00070CF3" w:rsidP="008F4B84">
      <w:pPr>
        <w:spacing w:after="0" w:line="269" w:lineRule="auto"/>
        <w:rPr>
          <w:rFonts w:ascii="Arial" w:hAnsi="Arial" w:cs="Arial"/>
          <w:sz w:val="22"/>
          <w:szCs w:val="22"/>
        </w:rPr>
      </w:pPr>
    </w:p>
    <w:p w14:paraId="0EAB56D0" w14:textId="77777777" w:rsidR="00070CF3" w:rsidRDefault="00070CF3" w:rsidP="008F4B84">
      <w:pPr>
        <w:spacing w:after="0" w:line="269" w:lineRule="auto"/>
        <w:rPr>
          <w:rFonts w:ascii="Arial" w:hAnsi="Arial" w:cs="Arial"/>
          <w:sz w:val="22"/>
          <w:szCs w:val="22"/>
        </w:rPr>
      </w:pPr>
    </w:p>
    <w:p w14:paraId="2B4D8C99" w14:textId="77777777" w:rsidR="00070CF3" w:rsidRDefault="00070CF3" w:rsidP="008F4B84">
      <w:pPr>
        <w:spacing w:after="0" w:line="269" w:lineRule="auto"/>
        <w:rPr>
          <w:rFonts w:ascii="Arial" w:hAnsi="Arial" w:cs="Arial"/>
          <w:sz w:val="22"/>
          <w:szCs w:val="22"/>
        </w:rPr>
      </w:pPr>
    </w:p>
    <w:p w14:paraId="789AD249" w14:textId="77777777" w:rsidR="00070CF3" w:rsidRDefault="00070CF3" w:rsidP="008F4B84">
      <w:pPr>
        <w:spacing w:after="0" w:line="269" w:lineRule="auto"/>
        <w:rPr>
          <w:rFonts w:ascii="Arial" w:hAnsi="Arial" w:cs="Arial"/>
          <w:sz w:val="22"/>
          <w:szCs w:val="22"/>
        </w:rPr>
      </w:pPr>
    </w:p>
    <w:p w14:paraId="2C83E36C" w14:textId="77777777" w:rsidR="00070CF3" w:rsidRDefault="00070CF3" w:rsidP="008F4B84">
      <w:pPr>
        <w:spacing w:after="0" w:line="269" w:lineRule="auto"/>
        <w:rPr>
          <w:rFonts w:ascii="Arial" w:hAnsi="Arial" w:cs="Arial"/>
          <w:sz w:val="22"/>
          <w:szCs w:val="22"/>
        </w:rPr>
      </w:pPr>
    </w:p>
    <w:p w14:paraId="7072A8F7" w14:textId="77777777" w:rsidR="00070CF3" w:rsidRDefault="00070CF3" w:rsidP="008F4B84">
      <w:pPr>
        <w:spacing w:after="0" w:line="269" w:lineRule="auto"/>
        <w:rPr>
          <w:rFonts w:ascii="Arial" w:hAnsi="Arial" w:cs="Arial"/>
          <w:sz w:val="22"/>
          <w:szCs w:val="22"/>
        </w:rPr>
      </w:pPr>
    </w:p>
    <w:p w14:paraId="2C71F479" w14:textId="77777777" w:rsidR="00070CF3" w:rsidRDefault="00070CF3" w:rsidP="008F4B84">
      <w:pPr>
        <w:spacing w:after="0" w:line="269" w:lineRule="auto"/>
        <w:rPr>
          <w:rFonts w:ascii="Arial" w:hAnsi="Arial" w:cs="Arial"/>
          <w:sz w:val="22"/>
          <w:szCs w:val="22"/>
        </w:rPr>
      </w:pPr>
    </w:p>
    <w:p w14:paraId="1ED2C33C" w14:textId="77777777" w:rsidR="00070CF3" w:rsidRDefault="00070CF3" w:rsidP="008F4B84">
      <w:pPr>
        <w:spacing w:after="0" w:line="269" w:lineRule="auto"/>
        <w:rPr>
          <w:rFonts w:ascii="Arial" w:hAnsi="Arial" w:cs="Arial"/>
          <w:sz w:val="22"/>
          <w:szCs w:val="22"/>
        </w:rPr>
      </w:pPr>
    </w:p>
    <w:p w14:paraId="7842CDF9" w14:textId="77777777" w:rsidR="00070CF3" w:rsidRDefault="00070CF3" w:rsidP="008F4B84">
      <w:pPr>
        <w:spacing w:after="0" w:line="269" w:lineRule="auto"/>
        <w:rPr>
          <w:rFonts w:ascii="Arial" w:hAnsi="Arial" w:cs="Arial"/>
          <w:sz w:val="22"/>
          <w:szCs w:val="22"/>
        </w:rPr>
      </w:pPr>
    </w:p>
    <w:p w14:paraId="241C3586" w14:textId="77777777" w:rsidR="00070CF3" w:rsidRDefault="00070CF3" w:rsidP="008F4B84">
      <w:pPr>
        <w:spacing w:after="0" w:line="269" w:lineRule="auto"/>
        <w:rPr>
          <w:rFonts w:ascii="Arial" w:hAnsi="Arial" w:cs="Arial"/>
          <w:sz w:val="22"/>
          <w:szCs w:val="22"/>
        </w:rPr>
      </w:pPr>
    </w:p>
    <w:p w14:paraId="0F870BF4" w14:textId="77777777" w:rsidR="00070CF3" w:rsidRDefault="00070CF3" w:rsidP="008F4B84">
      <w:pPr>
        <w:spacing w:after="0" w:line="269" w:lineRule="auto"/>
        <w:rPr>
          <w:rFonts w:ascii="Arial" w:hAnsi="Arial" w:cs="Arial"/>
          <w:sz w:val="22"/>
          <w:szCs w:val="22"/>
        </w:rPr>
      </w:pPr>
    </w:p>
    <w:p w14:paraId="639A9A10" w14:textId="77777777" w:rsidR="00070CF3" w:rsidRDefault="00070CF3" w:rsidP="008F4B84">
      <w:pPr>
        <w:spacing w:after="0" w:line="269" w:lineRule="auto"/>
        <w:rPr>
          <w:rFonts w:ascii="Arial" w:hAnsi="Arial" w:cs="Arial"/>
          <w:sz w:val="22"/>
          <w:szCs w:val="22"/>
        </w:rPr>
      </w:pPr>
    </w:p>
    <w:p w14:paraId="73212E30" w14:textId="77777777" w:rsidR="00070CF3" w:rsidRDefault="00070CF3" w:rsidP="008F4B84">
      <w:pPr>
        <w:spacing w:after="0" w:line="269" w:lineRule="auto"/>
        <w:rPr>
          <w:rFonts w:ascii="Arial" w:hAnsi="Arial" w:cs="Arial"/>
          <w:sz w:val="22"/>
          <w:szCs w:val="22"/>
        </w:rPr>
      </w:pPr>
    </w:p>
    <w:p w14:paraId="2562C029" w14:textId="77777777" w:rsidR="00070CF3" w:rsidRDefault="00070CF3" w:rsidP="008F4B84">
      <w:pPr>
        <w:spacing w:after="0" w:line="269" w:lineRule="auto"/>
        <w:rPr>
          <w:rFonts w:ascii="Arial" w:hAnsi="Arial" w:cs="Arial"/>
          <w:sz w:val="22"/>
          <w:szCs w:val="22"/>
        </w:rPr>
      </w:pPr>
    </w:p>
    <w:p w14:paraId="407458DD" w14:textId="77777777" w:rsidR="00070CF3" w:rsidRDefault="00070CF3" w:rsidP="008F4B84">
      <w:pPr>
        <w:spacing w:after="0" w:line="269" w:lineRule="auto"/>
        <w:rPr>
          <w:rFonts w:ascii="Arial" w:hAnsi="Arial" w:cs="Arial"/>
          <w:sz w:val="22"/>
          <w:szCs w:val="22"/>
        </w:rPr>
      </w:pPr>
    </w:p>
    <w:p w14:paraId="7575B256" w14:textId="77777777" w:rsidR="00070CF3" w:rsidRDefault="00070CF3" w:rsidP="008F4B84">
      <w:pPr>
        <w:spacing w:after="0" w:line="269" w:lineRule="auto"/>
        <w:rPr>
          <w:rFonts w:ascii="Arial" w:hAnsi="Arial" w:cs="Arial"/>
          <w:sz w:val="22"/>
          <w:szCs w:val="22"/>
        </w:rPr>
      </w:pPr>
    </w:p>
    <w:p w14:paraId="380FB478" w14:textId="77777777" w:rsidR="00070CF3" w:rsidRDefault="00070CF3" w:rsidP="008F4B84">
      <w:pPr>
        <w:spacing w:after="0" w:line="269" w:lineRule="auto"/>
        <w:rPr>
          <w:rFonts w:ascii="Arial" w:hAnsi="Arial" w:cs="Arial"/>
          <w:sz w:val="22"/>
          <w:szCs w:val="22"/>
        </w:rPr>
      </w:pPr>
    </w:p>
    <w:p w14:paraId="6CE7C11A" w14:textId="77777777" w:rsidR="00070CF3" w:rsidRDefault="00070CF3" w:rsidP="00070CF3">
      <w:pPr>
        <w:widowControl w:val="0"/>
        <w:autoSpaceDE w:val="0"/>
        <w:autoSpaceDN w:val="0"/>
        <w:adjustRightInd w:val="0"/>
        <w:spacing w:after="0" w:line="269" w:lineRule="auto"/>
        <w:rPr>
          <w:rFonts w:ascii="Arial" w:hAnsi="Arial" w:cs="Arial"/>
          <w:kern w:val="0"/>
          <w:sz w:val="33"/>
          <w:szCs w:val="33"/>
          <w:lang w:val="en-US"/>
        </w:rPr>
      </w:pPr>
      <w:r>
        <w:rPr>
          <w:rFonts w:ascii="Arial" w:hAnsi="Arial" w:cs="Arial"/>
          <w:kern w:val="0"/>
          <w:sz w:val="33"/>
          <w:szCs w:val="33"/>
          <w:lang w:val="en-US"/>
        </w:rPr>
        <w:lastRenderedPageBreak/>
        <w:t>Bibliography</w:t>
      </w:r>
    </w:p>
    <w:p w14:paraId="11E7F4B7" w14:textId="77777777" w:rsidR="00070CF3" w:rsidRDefault="00070CF3" w:rsidP="00070CF3">
      <w:pPr>
        <w:widowControl w:val="0"/>
        <w:autoSpaceDE w:val="0"/>
        <w:autoSpaceDN w:val="0"/>
        <w:adjustRightInd w:val="0"/>
        <w:spacing w:after="0" w:line="269" w:lineRule="auto"/>
        <w:rPr>
          <w:rFonts w:ascii="Arial" w:hAnsi="Arial" w:cs="Arial"/>
          <w:kern w:val="0"/>
          <w:sz w:val="22"/>
          <w:szCs w:val="22"/>
          <w:lang w:val="en-US"/>
        </w:rPr>
      </w:pPr>
    </w:p>
    <w:p w14:paraId="0AA3C41C"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F13467">
        <w:rPr>
          <w:rFonts w:ascii="Arial" w:hAnsi="Arial" w:cs="Arial"/>
          <w:kern w:val="0"/>
          <w:sz w:val="22"/>
          <w:szCs w:val="22"/>
        </w:rPr>
        <w:t>ACAS (2024</w:t>
      </w:r>
      <w:r>
        <w:rPr>
          <w:rFonts w:ascii="Arial" w:hAnsi="Arial" w:cs="Arial"/>
          <w:kern w:val="0"/>
          <w:sz w:val="22"/>
          <w:szCs w:val="22"/>
        </w:rPr>
        <w:t>a</w:t>
      </w:r>
      <w:r w:rsidRPr="00F13467">
        <w:rPr>
          <w:rFonts w:ascii="Arial" w:hAnsi="Arial" w:cs="Arial"/>
          <w:kern w:val="0"/>
          <w:sz w:val="22"/>
          <w:szCs w:val="22"/>
        </w:rPr>
        <w:t xml:space="preserve">). </w:t>
      </w:r>
      <w:r w:rsidRPr="006401B9">
        <w:rPr>
          <w:rFonts w:ascii="Arial" w:hAnsi="Arial" w:cs="Arial"/>
          <w:i/>
          <w:iCs/>
          <w:kern w:val="0"/>
          <w:sz w:val="22"/>
          <w:szCs w:val="22"/>
        </w:rPr>
        <w:t>ACAS Guides on Trade Union and Employee Representation</w:t>
      </w:r>
      <w:r>
        <w:rPr>
          <w:rFonts w:ascii="Arial" w:hAnsi="Arial" w:cs="Arial"/>
          <w:kern w:val="0"/>
          <w:sz w:val="22"/>
          <w:szCs w:val="22"/>
        </w:rPr>
        <w:t xml:space="preserve">. Available at </w:t>
      </w:r>
      <w:hyperlink r:id="rId4" w:history="1">
        <w:r w:rsidRPr="00C35567">
          <w:rPr>
            <w:rStyle w:val="Hyperlink"/>
            <w:rFonts w:ascii="Arial" w:hAnsi="Arial" w:cs="Arial"/>
            <w:kern w:val="0"/>
            <w:sz w:val="22"/>
            <w:szCs w:val="22"/>
          </w:rPr>
          <w:t>https://www.acas.org.uk/acas-guides-on-trade-union-and-employee-representation</w:t>
        </w:r>
      </w:hyperlink>
      <w:r>
        <w:rPr>
          <w:rFonts w:ascii="Arial" w:hAnsi="Arial" w:cs="Arial"/>
          <w:kern w:val="0"/>
          <w:sz w:val="22"/>
          <w:szCs w:val="22"/>
        </w:rPr>
        <w:t xml:space="preserve"> (Accessed: 23 May 2026).</w:t>
      </w:r>
    </w:p>
    <w:p w14:paraId="47A71F6B"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716D1D04"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F13467">
        <w:rPr>
          <w:rFonts w:ascii="Arial" w:hAnsi="Arial" w:cs="Arial"/>
          <w:kern w:val="0"/>
          <w:sz w:val="22"/>
          <w:szCs w:val="22"/>
        </w:rPr>
        <w:t xml:space="preserve">ACAS (2024b). </w:t>
      </w:r>
      <w:r w:rsidRPr="00F13467">
        <w:rPr>
          <w:rFonts w:ascii="Arial" w:hAnsi="Arial" w:cs="Arial"/>
          <w:i/>
          <w:iCs/>
          <w:kern w:val="0"/>
          <w:sz w:val="22"/>
          <w:szCs w:val="22"/>
        </w:rPr>
        <w:t>Flexible working</w:t>
      </w:r>
      <w:r>
        <w:rPr>
          <w:rFonts w:ascii="Arial" w:hAnsi="Arial" w:cs="Arial"/>
          <w:i/>
          <w:iCs/>
          <w:kern w:val="0"/>
          <w:sz w:val="22"/>
          <w:szCs w:val="22"/>
        </w:rPr>
        <w:t xml:space="preserve">. </w:t>
      </w:r>
      <w:r w:rsidRPr="00F13467">
        <w:rPr>
          <w:rFonts w:ascii="Arial" w:hAnsi="Arial" w:cs="Arial"/>
          <w:kern w:val="0"/>
          <w:sz w:val="22"/>
          <w:szCs w:val="22"/>
        </w:rPr>
        <w:t xml:space="preserve">Available at: </w:t>
      </w:r>
      <w:hyperlink r:id="rId5" w:history="1">
        <w:r w:rsidRPr="00C35567">
          <w:rPr>
            <w:rStyle w:val="Hyperlink"/>
            <w:rFonts w:ascii="Arial" w:hAnsi="Arial" w:cs="Arial"/>
            <w:kern w:val="0"/>
            <w:sz w:val="22"/>
            <w:szCs w:val="22"/>
          </w:rPr>
          <w:t>https://www.acas.org.uk/flexible-working</w:t>
        </w:r>
      </w:hyperlink>
      <w:r>
        <w:rPr>
          <w:rFonts w:ascii="Arial" w:hAnsi="Arial" w:cs="Arial"/>
          <w:kern w:val="0"/>
          <w:sz w:val="22"/>
          <w:szCs w:val="22"/>
        </w:rPr>
        <w:t xml:space="preserve"> (</w:t>
      </w:r>
      <w:r w:rsidRPr="00F13467">
        <w:rPr>
          <w:rFonts w:ascii="Arial" w:hAnsi="Arial" w:cs="Arial"/>
          <w:kern w:val="0"/>
          <w:sz w:val="22"/>
          <w:szCs w:val="22"/>
        </w:rPr>
        <w:t>Accessed</w:t>
      </w:r>
      <w:r>
        <w:rPr>
          <w:rFonts w:ascii="Arial" w:hAnsi="Arial" w:cs="Arial"/>
          <w:kern w:val="0"/>
          <w:sz w:val="22"/>
          <w:szCs w:val="22"/>
        </w:rPr>
        <w:t>:</w:t>
      </w:r>
      <w:r w:rsidRPr="00F13467">
        <w:rPr>
          <w:rFonts w:ascii="Arial" w:hAnsi="Arial" w:cs="Arial"/>
          <w:kern w:val="0"/>
          <w:sz w:val="22"/>
          <w:szCs w:val="22"/>
        </w:rPr>
        <w:t xml:space="preserve"> 16 May 2026</w:t>
      </w:r>
      <w:r>
        <w:rPr>
          <w:rFonts w:ascii="Arial" w:hAnsi="Arial" w:cs="Arial"/>
          <w:kern w:val="0"/>
          <w:sz w:val="22"/>
          <w:szCs w:val="22"/>
        </w:rPr>
        <w:t>)</w:t>
      </w:r>
      <w:r w:rsidRPr="00F13467">
        <w:rPr>
          <w:rFonts w:ascii="Arial" w:hAnsi="Arial" w:cs="Arial"/>
          <w:kern w:val="0"/>
          <w:sz w:val="22"/>
          <w:szCs w:val="22"/>
        </w:rPr>
        <w:t>.</w:t>
      </w:r>
    </w:p>
    <w:p w14:paraId="01FF17CC"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32408B9B"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EA5252">
        <w:rPr>
          <w:rFonts w:ascii="Arial" w:hAnsi="Arial" w:cs="Arial"/>
          <w:kern w:val="0"/>
          <w:sz w:val="22"/>
          <w:szCs w:val="22"/>
        </w:rPr>
        <w:t xml:space="preserve">ACAS (2024c). </w:t>
      </w:r>
      <w:r w:rsidRPr="00EA5252">
        <w:rPr>
          <w:rFonts w:ascii="Arial" w:hAnsi="Arial" w:cs="Arial"/>
          <w:i/>
          <w:iCs/>
          <w:kern w:val="0"/>
          <w:sz w:val="22"/>
          <w:szCs w:val="22"/>
        </w:rPr>
        <w:t>Why You Must Inform and Consult in TUPE: Inform and Consult Staff in a TUPE Transfer</w:t>
      </w:r>
      <w:r w:rsidRPr="00EA5252">
        <w:rPr>
          <w:rFonts w:ascii="Arial" w:hAnsi="Arial" w:cs="Arial"/>
          <w:kern w:val="0"/>
          <w:sz w:val="22"/>
          <w:szCs w:val="22"/>
        </w:rPr>
        <w:t xml:space="preserve">. Available at: </w:t>
      </w:r>
      <w:hyperlink r:id="rId6" w:history="1">
        <w:r w:rsidRPr="00C35567">
          <w:rPr>
            <w:rStyle w:val="Hyperlink"/>
            <w:rFonts w:ascii="Arial" w:hAnsi="Arial" w:cs="Arial"/>
            <w:kern w:val="0"/>
            <w:sz w:val="22"/>
            <w:szCs w:val="22"/>
          </w:rPr>
          <w:t>https://www.acas.org.uk/inform-and-consult-staff-in-a-tupe-transfer</w:t>
        </w:r>
      </w:hyperlink>
      <w:r>
        <w:rPr>
          <w:rFonts w:ascii="Arial" w:hAnsi="Arial" w:cs="Arial"/>
          <w:kern w:val="0"/>
          <w:sz w:val="22"/>
          <w:szCs w:val="22"/>
        </w:rPr>
        <w:t xml:space="preserve"> (</w:t>
      </w:r>
      <w:r w:rsidRPr="00EA5252">
        <w:rPr>
          <w:rFonts w:ascii="Arial" w:hAnsi="Arial" w:cs="Arial"/>
          <w:kern w:val="0"/>
          <w:sz w:val="22"/>
          <w:szCs w:val="22"/>
        </w:rPr>
        <w:t>Accessed</w:t>
      </w:r>
      <w:r>
        <w:rPr>
          <w:rFonts w:ascii="Arial" w:hAnsi="Arial" w:cs="Arial"/>
          <w:kern w:val="0"/>
          <w:sz w:val="22"/>
          <w:szCs w:val="22"/>
        </w:rPr>
        <w:t>:</w:t>
      </w:r>
      <w:r w:rsidRPr="00EA5252">
        <w:rPr>
          <w:rFonts w:ascii="Arial" w:hAnsi="Arial" w:cs="Arial"/>
          <w:kern w:val="0"/>
          <w:sz w:val="22"/>
          <w:szCs w:val="22"/>
        </w:rPr>
        <w:t xml:space="preserve"> 2</w:t>
      </w:r>
      <w:r>
        <w:rPr>
          <w:rFonts w:ascii="Arial" w:hAnsi="Arial" w:cs="Arial"/>
          <w:kern w:val="0"/>
          <w:sz w:val="22"/>
          <w:szCs w:val="22"/>
        </w:rPr>
        <w:t>5</w:t>
      </w:r>
      <w:r w:rsidRPr="00EA5252">
        <w:rPr>
          <w:rFonts w:ascii="Arial" w:hAnsi="Arial" w:cs="Arial"/>
          <w:kern w:val="0"/>
          <w:sz w:val="22"/>
          <w:szCs w:val="22"/>
        </w:rPr>
        <w:t xml:space="preserve"> May 2026</w:t>
      </w:r>
      <w:r>
        <w:rPr>
          <w:rFonts w:ascii="Arial" w:hAnsi="Arial" w:cs="Arial"/>
          <w:kern w:val="0"/>
          <w:sz w:val="22"/>
          <w:szCs w:val="22"/>
        </w:rPr>
        <w:t>)</w:t>
      </w:r>
      <w:r w:rsidRPr="00EA5252">
        <w:rPr>
          <w:rFonts w:ascii="Arial" w:hAnsi="Arial" w:cs="Arial"/>
          <w:kern w:val="0"/>
          <w:sz w:val="22"/>
          <w:szCs w:val="22"/>
        </w:rPr>
        <w:t>.</w:t>
      </w:r>
    </w:p>
    <w:p w14:paraId="71389060"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2207A644"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8A6B21">
        <w:rPr>
          <w:rFonts w:ascii="Arial" w:hAnsi="Arial" w:cs="Arial"/>
          <w:kern w:val="0"/>
          <w:sz w:val="22"/>
          <w:szCs w:val="22"/>
        </w:rPr>
        <w:t>ACAS (2025</w:t>
      </w:r>
      <w:r>
        <w:rPr>
          <w:rFonts w:ascii="Arial" w:hAnsi="Arial" w:cs="Arial"/>
          <w:kern w:val="0"/>
          <w:sz w:val="22"/>
          <w:szCs w:val="22"/>
        </w:rPr>
        <w:t>a</w:t>
      </w:r>
      <w:r w:rsidRPr="008A6B21">
        <w:rPr>
          <w:rFonts w:ascii="Arial" w:hAnsi="Arial" w:cs="Arial"/>
          <w:kern w:val="0"/>
          <w:sz w:val="22"/>
          <w:szCs w:val="22"/>
        </w:rPr>
        <w:t>).</w:t>
      </w:r>
      <w:r>
        <w:rPr>
          <w:rFonts w:ascii="Arial" w:hAnsi="Arial" w:cs="Arial"/>
          <w:i/>
          <w:iCs/>
          <w:kern w:val="0"/>
          <w:sz w:val="22"/>
          <w:szCs w:val="22"/>
        </w:rPr>
        <w:t xml:space="preserve"> </w:t>
      </w:r>
      <w:r w:rsidRPr="00587198">
        <w:rPr>
          <w:rFonts w:ascii="Arial" w:hAnsi="Arial" w:cs="Arial"/>
          <w:i/>
          <w:iCs/>
          <w:kern w:val="0"/>
          <w:sz w:val="22"/>
          <w:szCs w:val="22"/>
        </w:rPr>
        <w:t xml:space="preserve">Early Conciliation. </w:t>
      </w:r>
      <w:r w:rsidRPr="00587198">
        <w:rPr>
          <w:rFonts w:ascii="Arial" w:hAnsi="Arial" w:cs="Arial"/>
          <w:kern w:val="0"/>
          <w:sz w:val="22"/>
          <w:szCs w:val="22"/>
        </w:rPr>
        <w:t xml:space="preserve">Available at: </w:t>
      </w:r>
      <w:hyperlink r:id="rId7" w:tgtFrame="_new" w:history="1">
        <w:r w:rsidRPr="00587198">
          <w:rPr>
            <w:rStyle w:val="Hyperlink"/>
            <w:rFonts w:ascii="Arial" w:hAnsi="Arial" w:cs="Arial"/>
            <w:kern w:val="0"/>
            <w:sz w:val="22"/>
            <w:szCs w:val="22"/>
          </w:rPr>
          <w:t>https://www.acas.org.uk/early-conciliation</w:t>
        </w:r>
      </w:hyperlink>
      <w:r w:rsidRPr="00587198">
        <w:rPr>
          <w:rFonts w:ascii="Arial" w:hAnsi="Arial" w:cs="Arial"/>
          <w:kern w:val="0"/>
          <w:sz w:val="22"/>
          <w:szCs w:val="22"/>
        </w:rPr>
        <w:t xml:space="preserve"> (Accessed: </w:t>
      </w:r>
      <w:r>
        <w:rPr>
          <w:rFonts w:ascii="Arial" w:hAnsi="Arial" w:cs="Arial"/>
          <w:kern w:val="0"/>
          <w:sz w:val="22"/>
          <w:szCs w:val="22"/>
        </w:rPr>
        <w:t>9</w:t>
      </w:r>
      <w:r w:rsidRPr="00587198">
        <w:rPr>
          <w:rFonts w:ascii="Arial" w:hAnsi="Arial" w:cs="Arial"/>
          <w:kern w:val="0"/>
          <w:sz w:val="22"/>
          <w:szCs w:val="22"/>
        </w:rPr>
        <w:t xml:space="preserve"> </w:t>
      </w:r>
      <w:r>
        <w:rPr>
          <w:rFonts w:ascii="Arial" w:hAnsi="Arial" w:cs="Arial"/>
          <w:kern w:val="0"/>
          <w:sz w:val="22"/>
          <w:szCs w:val="22"/>
        </w:rPr>
        <w:t>May</w:t>
      </w:r>
      <w:r w:rsidRPr="00587198">
        <w:rPr>
          <w:rFonts w:ascii="Arial" w:hAnsi="Arial" w:cs="Arial"/>
          <w:kern w:val="0"/>
          <w:sz w:val="22"/>
          <w:szCs w:val="22"/>
        </w:rPr>
        <w:t xml:space="preserve"> 2026).</w:t>
      </w:r>
    </w:p>
    <w:p w14:paraId="1A824E0E"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13F93047"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4327D8">
        <w:rPr>
          <w:rFonts w:ascii="Arial" w:hAnsi="Arial" w:cs="Arial"/>
          <w:kern w:val="0"/>
          <w:sz w:val="22"/>
          <w:szCs w:val="22"/>
        </w:rPr>
        <w:t xml:space="preserve">ACAS (2025b). </w:t>
      </w:r>
      <w:r w:rsidRPr="004327D8">
        <w:rPr>
          <w:rFonts w:ascii="Arial" w:hAnsi="Arial" w:cs="Arial"/>
          <w:i/>
          <w:iCs/>
          <w:kern w:val="0"/>
          <w:sz w:val="22"/>
          <w:szCs w:val="22"/>
        </w:rPr>
        <w:t>Understanding the Working Time Regulations: Working time rules</w:t>
      </w:r>
      <w:r w:rsidRPr="004327D8">
        <w:rPr>
          <w:rFonts w:ascii="Arial" w:hAnsi="Arial" w:cs="Arial"/>
          <w:kern w:val="0"/>
          <w:sz w:val="22"/>
          <w:szCs w:val="22"/>
        </w:rPr>
        <w:t xml:space="preserve">. Available at: </w:t>
      </w:r>
      <w:hyperlink r:id="rId8" w:history="1">
        <w:r w:rsidRPr="00C35567">
          <w:rPr>
            <w:rStyle w:val="Hyperlink"/>
            <w:rFonts w:ascii="Arial" w:hAnsi="Arial" w:cs="Arial"/>
            <w:kern w:val="0"/>
            <w:sz w:val="22"/>
            <w:szCs w:val="22"/>
          </w:rPr>
          <w:t>https://www.acas.org.uk/working-time-rules</w:t>
        </w:r>
      </w:hyperlink>
      <w:r>
        <w:rPr>
          <w:rFonts w:ascii="Arial" w:hAnsi="Arial" w:cs="Arial"/>
          <w:kern w:val="0"/>
          <w:sz w:val="22"/>
          <w:szCs w:val="22"/>
        </w:rPr>
        <w:t xml:space="preserve"> (</w:t>
      </w:r>
      <w:r w:rsidRPr="004327D8">
        <w:rPr>
          <w:rFonts w:ascii="Arial" w:hAnsi="Arial" w:cs="Arial"/>
          <w:kern w:val="0"/>
          <w:sz w:val="22"/>
          <w:szCs w:val="22"/>
        </w:rPr>
        <w:t>Accessed</w:t>
      </w:r>
      <w:r>
        <w:rPr>
          <w:rFonts w:ascii="Arial" w:hAnsi="Arial" w:cs="Arial"/>
          <w:kern w:val="0"/>
          <w:sz w:val="22"/>
          <w:szCs w:val="22"/>
        </w:rPr>
        <w:t>:</w:t>
      </w:r>
      <w:r w:rsidRPr="004327D8">
        <w:rPr>
          <w:rFonts w:ascii="Arial" w:hAnsi="Arial" w:cs="Arial"/>
          <w:kern w:val="0"/>
          <w:sz w:val="22"/>
          <w:szCs w:val="22"/>
        </w:rPr>
        <w:t xml:space="preserve"> 24 May 2026</w:t>
      </w:r>
      <w:r>
        <w:rPr>
          <w:rFonts w:ascii="Arial" w:hAnsi="Arial" w:cs="Arial"/>
          <w:kern w:val="0"/>
          <w:sz w:val="22"/>
          <w:szCs w:val="22"/>
        </w:rPr>
        <w:t>).</w:t>
      </w:r>
    </w:p>
    <w:p w14:paraId="59BDC851"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60BAB1ED"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8D22A7">
        <w:rPr>
          <w:rFonts w:ascii="Arial" w:hAnsi="Arial" w:cs="Arial"/>
          <w:kern w:val="0"/>
          <w:sz w:val="22"/>
          <w:szCs w:val="22"/>
        </w:rPr>
        <w:t xml:space="preserve">Armstrong, M. and Taylor, S. (2026). </w:t>
      </w:r>
      <w:r w:rsidRPr="008D22A7">
        <w:rPr>
          <w:rFonts w:ascii="Arial" w:hAnsi="Arial" w:cs="Arial"/>
          <w:i/>
          <w:iCs/>
          <w:kern w:val="0"/>
          <w:sz w:val="22"/>
          <w:szCs w:val="22"/>
        </w:rPr>
        <w:t>Armstrong’s Handbook of Human Resource Management Practice</w:t>
      </w:r>
      <w:r w:rsidRPr="008D22A7">
        <w:rPr>
          <w:rFonts w:ascii="Arial" w:hAnsi="Arial" w:cs="Arial"/>
          <w:kern w:val="0"/>
          <w:sz w:val="22"/>
          <w:szCs w:val="22"/>
        </w:rPr>
        <w:t>. Kogan Page Publishers.</w:t>
      </w:r>
    </w:p>
    <w:p w14:paraId="7548BD84"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029B6ACA"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DB2CED">
        <w:rPr>
          <w:rFonts w:ascii="Arial" w:hAnsi="Arial" w:cs="Arial"/>
          <w:kern w:val="0"/>
          <w:sz w:val="22"/>
          <w:szCs w:val="22"/>
        </w:rPr>
        <w:t>CIPD (2024</w:t>
      </w:r>
      <w:r>
        <w:rPr>
          <w:rFonts w:ascii="Arial" w:hAnsi="Arial" w:cs="Arial"/>
          <w:kern w:val="0"/>
          <w:sz w:val="22"/>
          <w:szCs w:val="22"/>
        </w:rPr>
        <w:t>a</w:t>
      </w:r>
      <w:r w:rsidRPr="00DB2CED">
        <w:rPr>
          <w:rFonts w:ascii="Arial" w:hAnsi="Arial" w:cs="Arial"/>
          <w:kern w:val="0"/>
          <w:sz w:val="22"/>
          <w:szCs w:val="22"/>
        </w:rPr>
        <w:t xml:space="preserve">). </w:t>
      </w:r>
      <w:r w:rsidRPr="00DB2CED">
        <w:rPr>
          <w:rFonts w:ascii="Arial" w:hAnsi="Arial" w:cs="Arial"/>
          <w:i/>
          <w:iCs/>
          <w:kern w:val="0"/>
          <w:sz w:val="22"/>
          <w:szCs w:val="22"/>
        </w:rPr>
        <w:t>CIPD | Information on Redundancy</w:t>
      </w:r>
      <w:r>
        <w:rPr>
          <w:rFonts w:ascii="Arial" w:hAnsi="Arial" w:cs="Arial"/>
          <w:kern w:val="0"/>
          <w:sz w:val="22"/>
          <w:szCs w:val="22"/>
        </w:rPr>
        <w:t>.</w:t>
      </w:r>
      <w:r w:rsidRPr="00DB2CED">
        <w:rPr>
          <w:rFonts w:ascii="Arial" w:hAnsi="Arial" w:cs="Arial"/>
          <w:kern w:val="0"/>
          <w:sz w:val="22"/>
          <w:szCs w:val="22"/>
        </w:rPr>
        <w:t xml:space="preserve"> Available at </w:t>
      </w:r>
      <w:hyperlink r:id="rId9" w:history="1">
        <w:r w:rsidRPr="00C35567">
          <w:rPr>
            <w:rStyle w:val="Hyperlink"/>
            <w:rFonts w:ascii="Arial" w:hAnsi="Arial" w:cs="Arial"/>
            <w:kern w:val="0"/>
            <w:sz w:val="22"/>
            <w:szCs w:val="22"/>
          </w:rPr>
          <w:t>https://www.cipd.org/uk/knowledge/employment-law/redundancy/</w:t>
        </w:r>
      </w:hyperlink>
      <w:r>
        <w:rPr>
          <w:rFonts w:ascii="Arial" w:hAnsi="Arial" w:cs="Arial"/>
          <w:kern w:val="0"/>
          <w:sz w:val="22"/>
          <w:szCs w:val="22"/>
        </w:rPr>
        <w:t xml:space="preserve"> (</w:t>
      </w:r>
      <w:r w:rsidRPr="00DB2CED">
        <w:rPr>
          <w:rFonts w:ascii="Arial" w:hAnsi="Arial" w:cs="Arial"/>
          <w:kern w:val="0"/>
          <w:sz w:val="22"/>
          <w:szCs w:val="22"/>
        </w:rPr>
        <w:t>Accessed</w:t>
      </w:r>
      <w:r>
        <w:rPr>
          <w:rFonts w:ascii="Arial" w:hAnsi="Arial" w:cs="Arial"/>
          <w:kern w:val="0"/>
          <w:sz w:val="22"/>
          <w:szCs w:val="22"/>
        </w:rPr>
        <w:t>:</w:t>
      </w:r>
      <w:r w:rsidRPr="00DB2CED">
        <w:rPr>
          <w:rFonts w:ascii="Arial" w:hAnsi="Arial" w:cs="Arial"/>
          <w:kern w:val="0"/>
          <w:sz w:val="22"/>
          <w:szCs w:val="22"/>
        </w:rPr>
        <w:t xml:space="preserve"> 23 May 2026</w:t>
      </w:r>
      <w:r>
        <w:rPr>
          <w:rFonts w:ascii="Arial" w:hAnsi="Arial" w:cs="Arial"/>
          <w:kern w:val="0"/>
          <w:sz w:val="22"/>
          <w:szCs w:val="22"/>
        </w:rPr>
        <w:t>)</w:t>
      </w:r>
      <w:r w:rsidRPr="00DB2CED">
        <w:rPr>
          <w:rFonts w:ascii="Arial" w:hAnsi="Arial" w:cs="Arial"/>
          <w:kern w:val="0"/>
          <w:sz w:val="22"/>
          <w:szCs w:val="22"/>
        </w:rPr>
        <w:t>.</w:t>
      </w:r>
    </w:p>
    <w:p w14:paraId="1F5C8859"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3BE78451"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D87CBA">
        <w:rPr>
          <w:rFonts w:ascii="Arial" w:hAnsi="Arial" w:cs="Arial"/>
          <w:kern w:val="0"/>
          <w:sz w:val="22"/>
          <w:szCs w:val="22"/>
        </w:rPr>
        <w:t xml:space="preserve">CIPD (2024b). </w:t>
      </w:r>
      <w:r w:rsidRPr="00D87CBA">
        <w:rPr>
          <w:rFonts w:ascii="Arial" w:hAnsi="Arial" w:cs="Arial"/>
          <w:i/>
          <w:iCs/>
          <w:kern w:val="0"/>
          <w:sz w:val="22"/>
          <w:szCs w:val="22"/>
        </w:rPr>
        <w:t>CIPD | Information on TUPE</w:t>
      </w:r>
      <w:r w:rsidRPr="00D87CBA">
        <w:rPr>
          <w:rFonts w:ascii="Arial" w:hAnsi="Arial" w:cs="Arial"/>
          <w:kern w:val="0"/>
          <w:sz w:val="22"/>
          <w:szCs w:val="22"/>
        </w:rPr>
        <w:t xml:space="preserve">. Available at: </w:t>
      </w:r>
      <w:hyperlink r:id="rId10" w:history="1">
        <w:r w:rsidRPr="00F02C01">
          <w:rPr>
            <w:rStyle w:val="Hyperlink"/>
            <w:rFonts w:ascii="Arial" w:hAnsi="Arial" w:cs="Arial"/>
            <w:kern w:val="0"/>
            <w:sz w:val="22"/>
            <w:szCs w:val="22"/>
          </w:rPr>
          <w:t>https://www.cipd.org/uk/knowledge/employment-law/tupe/</w:t>
        </w:r>
      </w:hyperlink>
      <w:r>
        <w:rPr>
          <w:rFonts w:ascii="Arial" w:hAnsi="Arial" w:cs="Arial"/>
          <w:kern w:val="0"/>
          <w:sz w:val="22"/>
          <w:szCs w:val="22"/>
        </w:rPr>
        <w:t xml:space="preserve"> (</w:t>
      </w:r>
      <w:r w:rsidRPr="00D87CBA">
        <w:rPr>
          <w:rFonts w:ascii="Arial" w:hAnsi="Arial" w:cs="Arial"/>
          <w:kern w:val="0"/>
          <w:sz w:val="22"/>
          <w:szCs w:val="22"/>
        </w:rPr>
        <w:t>Accessed</w:t>
      </w:r>
      <w:r>
        <w:rPr>
          <w:rFonts w:ascii="Arial" w:hAnsi="Arial" w:cs="Arial"/>
          <w:kern w:val="0"/>
          <w:sz w:val="22"/>
          <w:szCs w:val="22"/>
        </w:rPr>
        <w:t>:</w:t>
      </w:r>
      <w:r w:rsidRPr="00D87CBA">
        <w:rPr>
          <w:rFonts w:ascii="Arial" w:hAnsi="Arial" w:cs="Arial"/>
          <w:kern w:val="0"/>
          <w:sz w:val="22"/>
          <w:szCs w:val="22"/>
        </w:rPr>
        <w:t xml:space="preserve"> 24 May 2026</w:t>
      </w:r>
      <w:r>
        <w:rPr>
          <w:rFonts w:ascii="Arial" w:hAnsi="Arial" w:cs="Arial"/>
          <w:kern w:val="0"/>
          <w:sz w:val="22"/>
          <w:szCs w:val="22"/>
        </w:rPr>
        <w:t>)</w:t>
      </w:r>
      <w:r w:rsidRPr="00D87CBA">
        <w:rPr>
          <w:rFonts w:ascii="Arial" w:hAnsi="Arial" w:cs="Arial"/>
          <w:kern w:val="0"/>
          <w:sz w:val="22"/>
          <w:szCs w:val="22"/>
        </w:rPr>
        <w:t>.</w:t>
      </w:r>
    </w:p>
    <w:p w14:paraId="3BCBFAEE"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1B665EB2"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0B5962">
        <w:rPr>
          <w:rFonts w:ascii="Arial" w:hAnsi="Arial" w:cs="Arial"/>
          <w:kern w:val="0"/>
          <w:sz w:val="22"/>
          <w:szCs w:val="22"/>
        </w:rPr>
        <w:t>CIPD (2024</w:t>
      </w:r>
      <w:r>
        <w:rPr>
          <w:rFonts w:ascii="Arial" w:hAnsi="Arial" w:cs="Arial"/>
          <w:kern w:val="0"/>
          <w:sz w:val="22"/>
          <w:szCs w:val="22"/>
        </w:rPr>
        <w:t>c</w:t>
      </w:r>
      <w:r w:rsidRPr="000B5962">
        <w:rPr>
          <w:rFonts w:ascii="Arial" w:hAnsi="Arial" w:cs="Arial"/>
          <w:kern w:val="0"/>
          <w:sz w:val="22"/>
          <w:szCs w:val="22"/>
        </w:rPr>
        <w:t xml:space="preserve">). </w:t>
      </w:r>
      <w:r w:rsidRPr="000B5962">
        <w:rPr>
          <w:rFonts w:ascii="Arial" w:hAnsi="Arial" w:cs="Arial"/>
          <w:i/>
          <w:iCs/>
          <w:kern w:val="0"/>
          <w:sz w:val="22"/>
          <w:szCs w:val="22"/>
        </w:rPr>
        <w:t>Maternity, Paternity and Adoption Rights</w:t>
      </w:r>
      <w:r w:rsidRPr="000B5962">
        <w:rPr>
          <w:rFonts w:ascii="Arial" w:hAnsi="Arial" w:cs="Arial"/>
          <w:kern w:val="0"/>
          <w:sz w:val="22"/>
          <w:szCs w:val="22"/>
        </w:rPr>
        <w:t xml:space="preserve">. </w:t>
      </w:r>
      <w:r>
        <w:rPr>
          <w:rFonts w:ascii="Arial" w:hAnsi="Arial" w:cs="Arial"/>
          <w:kern w:val="0"/>
          <w:sz w:val="22"/>
          <w:szCs w:val="22"/>
        </w:rPr>
        <w:t>Av</w:t>
      </w:r>
      <w:r w:rsidRPr="000B5962">
        <w:rPr>
          <w:rFonts w:ascii="Arial" w:hAnsi="Arial" w:cs="Arial"/>
          <w:kern w:val="0"/>
          <w:sz w:val="22"/>
          <w:szCs w:val="22"/>
        </w:rPr>
        <w:t xml:space="preserve">ailable at </w:t>
      </w:r>
      <w:hyperlink r:id="rId11" w:history="1">
        <w:r w:rsidRPr="00C35567">
          <w:rPr>
            <w:rStyle w:val="Hyperlink"/>
            <w:rFonts w:ascii="Arial" w:hAnsi="Arial" w:cs="Arial"/>
            <w:kern w:val="0"/>
            <w:sz w:val="22"/>
            <w:szCs w:val="22"/>
          </w:rPr>
          <w:t>https://www.cipd.org/uk/knowledge/factsheets/maternity-paternity-rights-factsheet/</w:t>
        </w:r>
      </w:hyperlink>
      <w:r>
        <w:rPr>
          <w:rFonts w:ascii="Arial" w:hAnsi="Arial" w:cs="Arial"/>
          <w:kern w:val="0"/>
          <w:sz w:val="22"/>
          <w:szCs w:val="22"/>
        </w:rPr>
        <w:t xml:space="preserve"> (</w:t>
      </w:r>
      <w:r w:rsidRPr="000B5962">
        <w:rPr>
          <w:rFonts w:ascii="Arial" w:hAnsi="Arial" w:cs="Arial"/>
          <w:kern w:val="0"/>
          <w:sz w:val="22"/>
          <w:szCs w:val="22"/>
        </w:rPr>
        <w:t>Accessed</w:t>
      </w:r>
      <w:r>
        <w:rPr>
          <w:rFonts w:ascii="Arial" w:hAnsi="Arial" w:cs="Arial"/>
          <w:kern w:val="0"/>
          <w:sz w:val="22"/>
          <w:szCs w:val="22"/>
        </w:rPr>
        <w:t>:</w:t>
      </w:r>
      <w:r w:rsidRPr="000B5962">
        <w:rPr>
          <w:rFonts w:ascii="Arial" w:hAnsi="Arial" w:cs="Arial"/>
          <w:kern w:val="0"/>
          <w:sz w:val="22"/>
          <w:szCs w:val="22"/>
        </w:rPr>
        <w:t xml:space="preserve"> 23 May 2026</w:t>
      </w:r>
      <w:r>
        <w:rPr>
          <w:rFonts w:ascii="Arial" w:hAnsi="Arial" w:cs="Arial"/>
          <w:kern w:val="0"/>
          <w:sz w:val="22"/>
          <w:szCs w:val="22"/>
        </w:rPr>
        <w:t>)</w:t>
      </w:r>
      <w:r w:rsidRPr="000B5962">
        <w:rPr>
          <w:rFonts w:ascii="Arial" w:hAnsi="Arial" w:cs="Arial"/>
          <w:kern w:val="0"/>
          <w:sz w:val="22"/>
          <w:szCs w:val="22"/>
        </w:rPr>
        <w:t>.</w:t>
      </w:r>
    </w:p>
    <w:p w14:paraId="414B8B29"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0A267C17"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43713A">
        <w:rPr>
          <w:rFonts w:ascii="Arial" w:hAnsi="Arial" w:cs="Arial"/>
          <w:kern w:val="0"/>
          <w:sz w:val="22"/>
          <w:szCs w:val="22"/>
        </w:rPr>
        <w:t xml:space="preserve">CIPD (2025). </w:t>
      </w:r>
      <w:r w:rsidRPr="0043713A">
        <w:rPr>
          <w:rFonts w:ascii="Arial" w:hAnsi="Arial" w:cs="Arial"/>
          <w:i/>
          <w:iCs/>
          <w:kern w:val="0"/>
          <w:sz w:val="22"/>
          <w:szCs w:val="22"/>
        </w:rPr>
        <w:t>CIPD | Flexible Working Practices</w:t>
      </w:r>
      <w:r w:rsidRPr="0043713A">
        <w:rPr>
          <w:rFonts w:ascii="Arial" w:hAnsi="Arial" w:cs="Arial"/>
          <w:kern w:val="0"/>
          <w:sz w:val="22"/>
          <w:szCs w:val="22"/>
        </w:rPr>
        <w:t xml:space="preserve">. Available at: </w:t>
      </w:r>
      <w:hyperlink r:id="rId12" w:history="1">
        <w:r w:rsidRPr="00C35567">
          <w:rPr>
            <w:rStyle w:val="Hyperlink"/>
            <w:rFonts w:ascii="Arial" w:hAnsi="Arial" w:cs="Arial"/>
            <w:kern w:val="0"/>
            <w:sz w:val="22"/>
            <w:szCs w:val="22"/>
          </w:rPr>
          <w:t>https://www.cipd.org/uk/knowledge/factsheets/flexible-working-factsheet/</w:t>
        </w:r>
      </w:hyperlink>
      <w:r>
        <w:rPr>
          <w:rFonts w:ascii="Arial" w:hAnsi="Arial" w:cs="Arial"/>
          <w:kern w:val="0"/>
          <w:sz w:val="22"/>
          <w:szCs w:val="22"/>
        </w:rPr>
        <w:t xml:space="preserve"> (</w:t>
      </w:r>
      <w:r w:rsidRPr="0043713A">
        <w:rPr>
          <w:rFonts w:ascii="Arial" w:hAnsi="Arial" w:cs="Arial"/>
          <w:kern w:val="0"/>
          <w:sz w:val="22"/>
          <w:szCs w:val="22"/>
        </w:rPr>
        <w:t>Accessed</w:t>
      </w:r>
      <w:r>
        <w:rPr>
          <w:rFonts w:ascii="Arial" w:hAnsi="Arial" w:cs="Arial"/>
          <w:kern w:val="0"/>
          <w:sz w:val="22"/>
          <w:szCs w:val="22"/>
        </w:rPr>
        <w:t>:</w:t>
      </w:r>
      <w:r w:rsidRPr="0043713A">
        <w:rPr>
          <w:rFonts w:ascii="Arial" w:hAnsi="Arial" w:cs="Arial"/>
          <w:kern w:val="0"/>
          <w:sz w:val="22"/>
          <w:szCs w:val="22"/>
        </w:rPr>
        <w:t xml:space="preserve"> 24 May 2026</w:t>
      </w:r>
      <w:r>
        <w:rPr>
          <w:rFonts w:ascii="Arial" w:hAnsi="Arial" w:cs="Arial"/>
          <w:kern w:val="0"/>
          <w:sz w:val="22"/>
          <w:szCs w:val="22"/>
        </w:rPr>
        <w:t>)</w:t>
      </w:r>
      <w:r w:rsidRPr="0043713A">
        <w:rPr>
          <w:rFonts w:ascii="Arial" w:hAnsi="Arial" w:cs="Arial"/>
          <w:kern w:val="0"/>
          <w:sz w:val="22"/>
          <w:szCs w:val="22"/>
        </w:rPr>
        <w:t>.</w:t>
      </w:r>
    </w:p>
    <w:p w14:paraId="017329D1"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3A17F7E4" w14:textId="77777777" w:rsidR="00070CF3" w:rsidRPr="006804C8" w:rsidRDefault="00070CF3" w:rsidP="00070CF3">
      <w:pPr>
        <w:widowControl w:val="0"/>
        <w:autoSpaceDE w:val="0"/>
        <w:autoSpaceDN w:val="0"/>
        <w:adjustRightInd w:val="0"/>
        <w:spacing w:after="0" w:line="269" w:lineRule="auto"/>
        <w:rPr>
          <w:rFonts w:ascii="Arial" w:hAnsi="Arial" w:cs="Arial"/>
          <w:kern w:val="0"/>
          <w:sz w:val="22"/>
          <w:szCs w:val="22"/>
        </w:rPr>
      </w:pPr>
      <w:r w:rsidRPr="006804C8">
        <w:rPr>
          <w:rFonts w:ascii="Arial" w:hAnsi="Arial" w:cs="Arial"/>
          <w:kern w:val="0"/>
          <w:sz w:val="22"/>
          <w:szCs w:val="22"/>
        </w:rPr>
        <w:t xml:space="preserve">CIPD (2026). </w:t>
      </w:r>
      <w:r w:rsidRPr="006804C8">
        <w:rPr>
          <w:rFonts w:ascii="Arial" w:hAnsi="Arial" w:cs="Arial"/>
          <w:i/>
          <w:iCs/>
          <w:kern w:val="0"/>
          <w:sz w:val="22"/>
          <w:szCs w:val="22"/>
        </w:rPr>
        <w:t>Equal Pay: UK Employment Law</w:t>
      </w:r>
      <w:r w:rsidRPr="006804C8">
        <w:rPr>
          <w:rFonts w:ascii="Arial" w:hAnsi="Arial" w:cs="Arial"/>
          <w:kern w:val="0"/>
          <w:sz w:val="22"/>
          <w:szCs w:val="22"/>
        </w:rPr>
        <w:t>. Available at:</w:t>
      </w:r>
      <w:r>
        <w:rPr>
          <w:rFonts w:ascii="Arial" w:hAnsi="Arial" w:cs="Arial"/>
          <w:kern w:val="0"/>
          <w:sz w:val="22"/>
          <w:szCs w:val="22"/>
        </w:rPr>
        <w:t xml:space="preserve"> </w:t>
      </w:r>
      <w:hyperlink r:id="rId13" w:history="1">
        <w:r w:rsidRPr="009950E1">
          <w:rPr>
            <w:rStyle w:val="Hyperlink"/>
            <w:rFonts w:ascii="Arial" w:hAnsi="Arial" w:cs="Arial"/>
            <w:kern w:val="0"/>
            <w:sz w:val="22"/>
            <w:szCs w:val="22"/>
          </w:rPr>
          <w:t>https://www.cipd.org/uk/knowledge/employment-law/equal-pay/</w:t>
        </w:r>
      </w:hyperlink>
      <w:r>
        <w:rPr>
          <w:rFonts w:ascii="Arial" w:hAnsi="Arial" w:cs="Arial"/>
          <w:kern w:val="0"/>
          <w:sz w:val="22"/>
          <w:szCs w:val="22"/>
        </w:rPr>
        <w:t xml:space="preserve"> (</w:t>
      </w:r>
      <w:r w:rsidRPr="006804C8">
        <w:rPr>
          <w:rFonts w:ascii="Arial" w:hAnsi="Arial" w:cs="Arial"/>
          <w:kern w:val="0"/>
          <w:sz w:val="22"/>
          <w:szCs w:val="22"/>
        </w:rPr>
        <w:t>Accessed</w:t>
      </w:r>
      <w:r>
        <w:rPr>
          <w:rFonts w:ascii="Arial" w:hAnsi="Arial" w:cs="Arial"/>
          <w:kern w:val="0"/>
          <w:sz w:val="22"/>
          <w:szCs w:val="22"/>
        </w:rPr>
        <w:t>:</w:t>
      </w:r>
      <w:r w:rsidRPr="006804C8">
        <w:rPr>
          <w:rFonts w:ascii="Arial" w:hAnsi="Arial" w:cs="Arial"/>
          <w:kern w:val="0"/>
          <w:sz w:val="22"/>
          <w:szCs w:val="22"/>
        </w:rPr>
        <w:t xml:space="preserve"> 30 May 2026</w:t>
      </w:r>
      <w:r>
        <w:rPr>
          <w:rFonts w:ascii="Arial" w:hAnsi="Arial" w:cs="Arial"/>
          <w:kern w:val="0"/>
          <w:sz w:val="22"/>
          <w:szCs w:val="22"/>
        </w:rPr>
        <w:t>)</w:t>
      </w:r>
      <w:r w:rsidRPr="006804C8">
        <w:rPr>
          <w:rFonts w:ascii="Arial" w:hAnsi="Arial" w:cs="Arial"/>
          <w:kern w:val="0"/>
          <w:sz w:val="22"/>
          <w:szCs w:val="22"/>
        </w:rPr>
        <w:t>.</w:t>
      </w:r>
    </w:p>
    <w:p w14:paraId="448DABD0" w14:textId="77777777" w:rsidR="00070CF3" w:rsidRPr="006401B9" w:rsidRDefault="00070CF3" w:rsidP="00070CF3">
      <w:pPr>
        <w:widowControl w:val="0"/>
        <w:autoSpaceDE w:val="0"/>
        <w:autoSpaceDN w:val="0"/>
        <w:adjustRightInd w:val="0"/>
        <w:spacing w:after="0" w:line="269" w:lineRule="auto"/>
        <w:rPr>
          <w:rFonts w:ascii="Arial" w:hAnsi="Arial" w:cs="Arial"/>
          <w:kern w:val="0"/>
          <w:sz w:val="22"/>
          <w:szCs w:val="22"/>
        </w:rPr>
      </w:pPr>
    </w:p>
    <w:p w14:paraId="0A052288"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Pr>
          <w:rFonts w:ascii="Arial" w:hAnsi="Arial" w:cs="Arial"/>
          <w:kern w:val="0"/>
          <w:sz w:val="22"/>
          <w:szCs w:val="22"/>
        </w:rPr>
        <w:t xml:space="preserve">Daniels, K. (2022). </w:t>
      </w:r>
      <w:r w:rsidRPr="005D443B">
        <w:rPr>
          <w:rFonts w:ascii="Arial" w:hAnsi="Arial" w:cs="Arial"/>
          <w:i/>
          <w:iCs/>
          <w:kern w:val="0"/>
          <w:sz w:val="22"/>
          <w:szCs w:val="22"/>
        </w:rPr>
        <w:t>Introduction to Employment Law: Fundamentals for HR and Business Students.</w:t>
      </w:r>
      <w:r>
        <w:rPr>
          <w:rFonts w:ascii="Arial" w:hAnsi="Arial" w:cs="Arial"/>
          <w:kern w:val="0"/>
          <w:sz w:val="22"/>
          <w:szCs w:val="22"/>
        </w:rPr>
        <w:t xml:space="preserve"> Kogan Page.</w:t>
      </w:r>
    </w:p>
    <w:p w14:paraId="020A7854"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66B6D57A"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866418">
        <w:rPr>
          <w:rFonts w:ascii="Arial" w:hAnsi="Arial" w:cs="Arial"/>
          <w:kern w:val="0"/>
          <w:sz w:val="22"/>
          <w:szCs w:val="22"/>
        </w:rPr>
        <w:t>G</w:t>
      </w:r>
      <w:r>
        <w:rPr>
          <w:rFonts w:ascii="Arial" w:hAnsi="Arial" w:cs="Arial"/>
          <w:kern w:val="0"/>
          <w:sz w:val="22"/>
          <w:szCs w:val="22"/>
        </w:rPr>
        <w:t>OV.UK</w:t>
      </w:r>
      <w:r w:rsidRPr="00866418">
        <w:rPr>
          <w:rFonts w:ascii="Arial" w:hAnsi="Arial" w:cs="Arial"/>
          <w:kern w:val="0"/>
          <w:sz w:val="22"/>
          <w:szCs w:val="22"/>
        </w:rPr>
        <w:t xml:space="preserve"> (1992).</w:t>
      </w:r>
      <w:r w:rsidRPr="00866418">
        <w:rPr>
          <w:rFonts w:ascii="Arial" w:hAnsi="Arial" w:cs="Arial"/>
          <w:i/>
          <w:iCs/>
          <w:kern w:val="0"/>
          <w:sz w:val="22"/>
          <w:szCs w:val="22"/>
        </w:rPr>
        <w:t>Trade Union and Labour Relations (Consolidation) Act 1992.</w:t>
      </w:r>
      <w:r>
        <w:rPr>
          <w:rFonts w:ascii="Arial" w:hAnsi="Arial" w:cs="Arial"/>
          <w:kern w:val="0"/>
          <w:sz w:val="22"/>
          <w:szCs w:val="22"/>
        </w:rPr>
        <w:t xml:space="preserve"> Available at: </w:t>
      </w:r>
      <w:hyperlink r:id="rId14" w:history="1">
        <w:r w:rsidRPr="00FC64E6">
          <w:rPr>
            <w:rStyle w:val="Hyperlink"/>
            <w:rFonts w:ascii="Arial" w:hAnsi="Arial" w:cs="Arial"/>
            <w:kern w:val="0"/>
            <w:sz w:val="22"/>
            <w:szCs w:val="22"/>
          </w:rPr>
          <w:t>https://www.legislation.gov.uk/ukpga/1992/52/contents</w:t>
        </w:r>
      </w:hyperlink>
      <w:r>
        <w:rPr>
          <w:rFonts w:ascii="Arial" w:hAnsi="Arial" w:cs="Arial"/>
          <w:kern w:val="0"/>
          <w:sz w:val="22"/>
          <w:szCs w:val="22"/>
        </w:rPr>
        <w:t xml:space="preserve"> (Accessed: 13 May 2026).</w:t>
      </w:r>
    </w:p>
    <w:p w14:paraId="0F28948C"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22D78691"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8A6B21">
        <w:rPr>
          <w:rFonts w:ascii="Arial" w:hAnsi="Arial" w:cs="Arial"/>
          <w:kern w:val="0"/>
          <w:sz w:val="22"/>
          <w:szCs w:val="22"/>
        </w:rPr>
        <w:t>GOV.UK (1996).</w:t>
      </w:r>
      <w:r>
        <w:rPr>
          <w:rFonts w:ascii="Arial" w:hAnsi="Arial" w:cs="Arial"/>
          <w:i/>
          <w:iCs/>
          <w:kern w:val="0"/>
          <w:sz w:val="22"/>
          <w:szCs w:val="22"/>
        </w:rPr>
        <w:t xml:space="preserve"> </w:t>
      </w:r>
      <w:r w:rsidRPr="00587198">
        <w:rPr>
          <w:rFonts w:ascii="Arial" w:hAnsi="Arial" w:cs="Arial"/>
          <w:i/>
          <w:iCs/>
          <w:kern w:val="0"/>
          <w:sz w:val="22"/>
          <w:szCs w:val="22"/>
        </w:rPr>
        <w:t xml:space="preserve">Employment Rights Act 1996. </w:t>
      </w:r>
      <w:r w:rsidRPr="00587198">
        <w:rPr>
          <w:rFonts w:ascii="Arial" w:hAnsi="Arial" w:cs="Arial"/>
          <w:kern w:val="0"/>
          <w:sz w:val="22"/>
          <w:szCs w:val="22"/>
        </w:rPr>
        <w:t>Available at:</w:t>
      </w:r>
      <w:r>
        <w:rPr>
          <w:rFonts w:ascii="Arial" w:hAnsi="Arial" w:cs="Arial"/>
          <w:kern w:val="0"/>
          <w:sz w:val="22"/>
          <w:szCs w:val="22"/>
        </w:rPr>
        <w:t xml:space="preserve"> </w:t>
      </w:r>
      <w:hyperlink r:id="rId15" w:history="1">
        <w:r w:rsidRPr="00587198">
          <w:rPr>
            <w:rStyle w:val="Hyperlink"/>
            <w:rFonts w:ascii="Arial" w:hAnsi="Arial" w:cs="Arial"/>
            <w:kern w:val="0"/>
            <w:sz w:val="22"/>
            <w:szCs w:val="22"/>
          </w:rPr>
          <w:t>https://www.legislation.gov.uk/ukpga/1996/18/contents</w:t>
        </w:r>
      </w:hyperlink>
      <w:r>
        <w:rPr>
          <w:rFonts w:ascii="Arial" w:hAnsi="Arial" w:cs="Arial"/>
          <w:kern w:val="0"/>
          <w:sz w:val="22"/>
          <w:szCs w:val="22"/>
        </w:rPr>
        <w:t xml:space="preserve"> (Accessed: 3 May 2026). </w:t>
      </w:r>
    </w:p>
    <w:p w14:paraId="41523BFF"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0AD47EE1"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Pr>
          <w:rFonts w:ascii="Arial" w:hAnsi="Arial" w:cs="Arial"/>
          <w:kern w:val="0"/>
          <w:sz w:val="22"/>
          <w:szCs w:val="22"/>
        </w:rPr>
        <w:lastRenderedPageBreak/>
        <w:t xml:space="preserve">GOV.UK (1998). </w:t>
      </w:r>
      <w:r w:rsidRPr="00C833C2">
        <w:rPr>
          <w:rFonts w:ascii="Arial" w:hAnsi="Arial" w:cs="Arial"/>
          <w:i/>
          <w:iCs/>
          <w:kern w:val="0"/>
          <w:sz w:val="22"/>
          <w:szCs w:val="22"/>
        </w:rPr>
        <w:t>The Working Time Regulations 1998.</w:t>
      </w:r>
      <w:r>
        <w:rPr>
          <w:rFonts w:ascii="Arial" w:hAnsi="Arial" w:cs="Arial"/>
          <w:kern w:val="0"/>
          <w:sz w:val="22"/>
          <w:szCs w:val="22"/>
        </w:rPr>
        <w:t xml:space="preserve"> Available at: </w:t>
      </w:r>
      <w:hyperlink r:id="rId16" w:history="1">
        <w:r w:rsidRPr="00FC64E6">
          <w:rPr>
            <w:rStyle w:val="Hyperlink"/>
            <w:rFonts w:ascii="Arial" w:hAnsi="Arial" w:cs="Arial"/>
            <w:kern w:val="0"/>
            <w:sz w:val="22"/>
            <w:szCs w:val="22"/>
          </w:rPr>
          <w:t>https://www.legislation.gov.uk/uksi/1998/1833/contents</w:t>
        </w:r>
      </w:hyperlink>
      <w:r>
        <w:rPr>
          <w:rFonts w:ascii="Arial" w:hAnsi="Arial" w:cs="Arial"/>
          <w:kern w:val="0"/>
          <w:sz w:val="22"/>
          <w:szCs w:val="22"/>
        </w:rPr>
        <w:t xml:space="preserve"> (Accessed: 12 May 2026).</w:t>
      </w:r>
    </w:p>
    <w:p w14:paraId="15143E08" w14:textId="77777777" w:rsidR="00070CF3" w:rsidRPr="00587198" w:rsidRDefault="00070CF3" w:rsidP="00070CF3">
      <w:pPr>
        <w:widowControl w:val="0"/>
        <w:autoSpaceDE w:val="0"/>
        <w:autoSpaceDN w:val="0"/>
        <w:adjustRightInd w:val="0"/>
        <w:spacing w:after="0" w:line="269" w:lineRule="auto"/>
        <w:rPr>
          <w:rFonts w:ascii="Arial" w:hAnsi="Arial" w:cs="Arial"/>
          <w:i/>
          <w:iCs/>
          <w:kern w:val="0"/>
          <w:sz w:val="22"/>
          <w:szCs w:val="22"/>
        </w:rPr>
      </w:pPr>
    </w:p>
    <w:p w14:paraId="449C668A"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8A6B21">
        <w:rPr>
          <w:rFonts w:ascii="Arial" w:hAnsi="Arial" w:cs="Arial"/>
          <w:kern w:val="0"/>
          <w:sz w:val="22"/>
          <w:szCs w:val="22"/>
        </w:rPr>
        <w:t>GOV.UK (2010).</w:t>
      </w:r>
      <w:r>
        <w:rPr>
          <w:rFonts w:ascii="Arial" w:hAnsi="Arial" w:cs="Arial"/>
          <w:i/>
          <w:iCs/>
          <w:kern w:val="0"/>
          <w:sz w:val="22"/>
          <w:szCs w:val="22"/>
        </w:rPr>
        <w:t xml:space="preserve"> </w:t>
      </w:r>
      <w:r w:rsidRPr="00BF5C14">
        <w:rPr>
          <w:rFonts w:ascii="Arial" w:hAnsi="Arial" w:cs="Arial"/>
          <w:i/>
          <w:iCs/>
          <w:kern w:val="0"/>
          <w:sz w:val="22"/>
          <w:szCs w:val="22"/>
        </w:rPr>
        <w:t>Equality Act 2010</w:t>
      </w:r>
      <w:r w:rsidRPr="00BF5C14">
        <w:rPr>
          <w:rFonts w:ascii="Arial" w:hAnsi="Arial" w:cs="Arial"/>
          <w:kern w:val="0"/>
          <w:sz w:val="22"/>
          <w:szCs w:val="22"/>
        </w:rPr>
        <w:t xml:space="preserve">. </w:t>
      </w:r>
      <w:r>
        <w:rPr>
          <w:rFonts w:ascii="Arial" w:hAnsi="Arial" w:cs="Arial"/>
          <w:kern w:val="0"/>
          <w:sz w:val="22"/>
          <w:szCs w:val="22"/>
        </w:rPr>
        <w:t xml:space="preserve">Available at: </w:t>
      </w:r>
      <w:hyperlink r:id="rId17" w:history="1">
        <w:r w:rsidRPr="00233CC8">
          <w:rPr>
            <w:rStyle w:val="Hyperlink"/>
            <w:rFonts w:ascii="Arial" w:hAnsi="Arial" w:cs="Arial"/>
            <w:kern w:val="0"/>
            <w:sz w:val="22"/>
            <w:szCs w:val="22"/>
          </w:rPr>
          <w:t>https://www.legislation.gov.uk/ukpga/2010/15/contents</w:t>
        </w:r>
      </w:hyperlink>
      <w:r>
        <w:rPr>
          <w:rFonts w:ascii="Arial" w:hAnsi="Arial" w:cs="Arial"/>
          <w:kern w:val="0"/>
          <w:sz w:val="22"/>
          <w:szCs w:val="22"/>
        </w:rPr>
        <w:t xml:space="preserve"> (Accessed: 18 April 2026)</w:t>
      </w:r>
      <w:r w:rsidRPr="00BF5C14">
        <w:rPr>
          <w:rFonts w:ascii="Arial" w:hAnsi="Arial" w:cs="Arial"/>
          <w:kern w:val="0"/>
          <w:sz w:val="22"/>
          <w:szCs w:val="22"/>
        </w:rPr>
        <w:t>.</w:t>
      </w:r>
    </w:p>
    <w:p w14:paraId="3F16875C"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5E53BC59"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Pr>
          <w:rFonts w:ascii="Arial" w:hAnsi="Arial" w:cs="Arial"/>
          <w:kern w:val="0"/>
          <w:sz w:val="22"/>
          <w:szCs w:val="22"/>
        </w:rPr>
        <w:t xml:space="preserve">GOV.UK (2014). </w:t>
      </w:r>
      <w:r w:rsidRPr="00783EB6">
        <w:rPr>
          <w:rFonts w:ascii="Arial" w:hAnsi="Arial" w:cs="Arial"/>
          <w:i/>
          <w:iCs/>
          <w:kern w:val="0"/>
          <w:sz w:val="22"/>
          <w:szCs w:val="22"/>
        </w:rPr>
        <w:t>The Shared Parental Leave Regulations 2014.</w:t>
      </w:r>
      <w:r>
        <w:rPr>
          <w:rFonts w:ascii="Arial" w:hAnsi="Arial" w:cs="Arial"/>
          <w:kern w:val="0"/>
          <w:sz w:val="22"/>
          <w:szCs w:val="22"/>
        </w:rPr>
        <w:t xml:space="preserve"> Available at: </w:t>
      </w:r>
      <w:hyperlink r:id="rId18" w:history="1">
        <w:r w:rsidRPr="00FC64E6">
          <w:rPr>
            <w:rStyle w:val="Hyperlink"/>
            <w:rFonts w:ascii="Arial" w:hAnsi="Arial" w:cs="Arial"/>
            <w:kern w:val="0"/>
            <w:sz w:val="22"/>
            <w:szCs w:val="22"/>
          </w:rPr>
          <w:t>https://www.legislation.gov.uk/ukdsi/2014/9780111118856/contents</w:t>
        </w:r>
      </w:hyperlink>
      <w:r>
        <w:rPr>
          <w:rFonts w:ascii="Arial" w:hAnsi="Arial" w:cs="Arial"/>
          <w:kern w:val="0"/>
          <w:sz w:val="22"/>
          <w:szCs w:val="22"/>
        </w:rPr>
        <w:t xml:space="preserve"> (Accessed: 15 May 2026).</w:t>
      </w:r>
    </w:p>
    <w:p w14:paraId="4D6D79B3"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7BE299EC"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4A56A4">
        <w:rPr>
          <w:rFonts w:ascii="Arial" w:hAnsi="Arial" w:cs="Arial"/>
          <w:kern w:val="0"/>
          <w:sz w:val="22"/>
          <w:szCs w:val="22"/>
        </w:rPr>
        <w:t xml:space="preserve">GOV.UK (2024a). </w:t>
      </w:r>
      <w:r w:rsidRPr="004A56A4">
        <w:rPr>
          <w:rFonts w:ascii="Arial" w:hAnsi="Arial" w:cs="Arial"/>
          <w:i/>
          <w:iCs/>
          <w:kern w:val="0"/>
          <w:sz w:val="22"/>
          <w:szCs w:val="22"/>
        </w:rPr>
        <w:t>Business transfers, takeovers and TUPE</w:t>
      </w:r>
      <w:r w:rsidRPr="004A56A4">
        <w:rPr>
          <w:rFonts w:ascii="Arial" w:hAnsi="Arial" w:cs="Arial"/>
          <w:kern w:val="0"/>
          <w:sz w:val="22"/>
          <w:szCs w:val="22"/>
        </w:rPr>
        <w:t xml:space="preserve">. Available at: </w:t>
      </w:r>
      <w:hyperlink r:id="rId19" w:history="1">
        <w:r w:rsidRPr="00C35567">
          <w:rPr>
            <w:rStyle w:val="Hyperlink"/>
            <w:rFonts w:ascii="Arial" w:hAnsi="Arial" w:cs="Arial"/>
            <w:kern w:val="0"/>
            <w:sz w:val="22"/>
            <w:szCs w:val="22"/>
          </w:rPr>
          <w:t>https://www.gov.uk/transfers-takeovers/transfers-of-employment-contracts</w:t>
        </w:r>
      </w:hyperlink>
      <w:r>
        <w:rPr>
          <w:rFonts w:ascii="Arial" w:hAnsi="Arial" w:cs="Arial"/>
          <w:kern w:val="0"/>
          <w:sz w:val="22"/>
          <w:szCs w:val="22"/>
        </w:rPr>
        <w:t xml:space="preserve"> (</w:t>
      </w:r>
      <w:r w:rsidRPr="004A56A4">
        <w:rPr>
          <w:rFonts w:ascii="Arial" w:hAnsi="Arial" w:cs="Arial"/>
          <w:kern w:val="0"/>
          <w:sz w:val="22"/>
          <w:szCs w:val="22"/>
        </w:rPr>
        <w:t>Accessed</w:t>
      </w:r>
      <w:r>
        <w:rPr>
          <w:rFonts w:ascii="Arial" w:hAnsi="Arial" w:cs="Arial"/>
          <w:kern w:val="0"/>
          <w:sz w:val="22"/>
          <w:szCs w:val="22"/>
        </w:rPr>
        <w:t>:</w:t>
      </w:r>
      <w:r w:rsidRPr="004A56A4">
        <w:rPr>
          <w:rFonts w:ascii="Arial" w:hAnsi="Arial" w:cs="Arial"/>
          <w:kern w:val="0"/>
          <w:sz w:val="22"/>
          <w:szCs w:val="22"/>
        </w:rPr>
        <w:t xml:space="preserve"> 24 May 2026</w:t>
      </w:r>
      <w:r>
        <w:rPr>
          <w:rFonts w:ascii="Arial" w:hAnsi="Arial" w:cs="Arial"/>
          <w:kern w:val="0"/>
          <w:sz w:val="22"/>
          <w:szCs w:val="22"/>
        </w:rPr>
        <w:t>)</w:t>
      </w:r>
      <w:r w:rsidRPr="004A56A4">
        <w:rPr>
          <w:rFonts w:ascii="Arial" w:hAnsi="Arial" w:cs="Arial"/>
          <w:kern w:val="0"/>
          <w:sz w:val="22"/>
          <w:szCs w:val="22"/>
        </w:rPr>
        <w:t>.</w:t>
      </w:r>
    </w:p>
    <w:p w14:paraId="3F37E107"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5DC0B1C4"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Pr>
          <w:rFonts w:ascii="Arial" w:hAnsi="Arial" w:cs="Arial"/>
          <w:kern w:val="0"/>
          <w:sz w:val="22"/>
          <w:szCs w:val="22"/>
        </w:rPr>
        <w:t xml:space="preserve">GOV.UK (2024b). Flexible Working. Available at: </w:t>
      </w:r>
      <w:hyperlink r:id="rId20" w:history="1">
        <w:r w:rsidRPr="00FC64E6">
          <w:rPr>
            <w:rStyle w:val="Hyperlink"/>
            <w:rFonts w:ascii="Arial" w:hAnsi="Arial" w:cs="Arial"/>
            <w:kern w:val="0"/>
            <w:sz w:val="22"/>
            <w:szCs w:val="22"/>
          </w:rPr>
          <w:t>https://www.gov.uk/flexible-working</w:t>
        </w:r>
      </w:hyperlink>
      <w:r>
        <w:rPr>
          <w:rFonts w:ascii="Arial" w:hAnsi="Arial" w:cs="Arial"/>
          <w:kern w:val="0"/>
          <w:sz w:val="22"/>
          <w:szCs w:val="22"/>
        </w:rPr>
        <w:t xml:space="preserve"> (Accessed: 12 May 2026).</w:t>
      </w:r>
    </w:p>
    <w:p w14:paraId="44709F71"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2FA199D4"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133254">
        <w:rPr>
          <w:rFonts w:ascii="Arial" w:hAnsi="Arial" w:cs="Arial"/>
          <w:kern w:val="0"/>
          <w:sz w:val="22"/>
          <w:szCs w:val="22"/>
        </w:rPr>
        <w:t xml:space="preserve">GOV.UK (2025). </w:t>
      </w:r>
      <w:r w:rsidRPr="00C833C2">
        <w:rPr>
          <w:rFonts w:ascii="Arial" w:hAnsi="Arial" w:cs="Arial"/>
          <w:i/>
          <w:iCs/>
          <w:kern w:val="0"/>
          <w:sz w:val="22"/>
          <w:szCs w:val="22"/>
        </w:rPr>
        <w:t>Employment Rights Act 2025.</w:t>
      </w:r>
      <w:r w:rsidRPr="00C833C2">
        <w:rPr>
          <w:rFonts w:ascii="Arial" w:hAnsi="Arial" w:cs="Arial"/>
          <w:kern w:val="0"/>
          <w:sz w:val="22"/>
          <w:szCs w:val="22"/>
        </w:rPr>
        <w:t xml:space="preserve"> Available at</w:t>
      </w:r>
      <w:r>
        <w:rPr>
          <w:rFonts w:ascii="Arial" w:hAnsi="Arial" w:cs="Arial"/>
          <w:kern w:val="0"/>
          <w:sz w:val="22"/>
          <w:szCs w:val="22"/>
        </w:rPr>
        <w:t xml:space="preserve">: </w:t>
      </w:r>
      <w:hyperlink r:id="rId21" w:history="1">
        <w:r w:rsidRPr="00FC64E6">
          <w:rPr>
            <w:rStyle w:val="Hyperlink"/>
            <w:rFonts w:ascii="Arial" w:hAnsi="Arial" w:cs="Arial"/>
            <w:kern w:val="0"/>
            <w:sz w:val="22"/>
            <w:szCs w:val="22"/>
          </w:rPr>
          <w:t>https://www.legislation.gov.uk/ukpga/2025/36/contents</w:t>
        </w:r>
      </w:hyperlink>
      <w:r>
        <w:rPr>
          <w:rFonts w:ascii="Arial" w:hAnsi="Arial" w:cs="Arial"/>
          <w:kern w:val="0"/>
          <w:sz w:val="22"/>
          <w:szCs w:val="22"/>
        </w:rPr>
        <w:t xml:space="preserve"> (Accessed: 18 April 2026).</w:t>
      </w:r>
    </w:p>
    <w:p w14:paraId="65972372"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7237A68D"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F83D4B">
        <w:rPr>
          <w:rFonts w:ascii="Arial" w:hAnsi="Arial" w:cs="Arial"/>
          <w:kern w:val="0"/>
          <w:sz w:val="22"/>
          <w:szCs w:val="22"/>
        </w:rPr>
        <w:t xml:space="preserve">Lewis, D. and Sargeant, M. (2020). </w:t>
      </w:r>
      <w:r w:rsidRPr="00F83D4B">
        <w:rPr>
          <w:rFonts w:ascii="Arial" w:hAnsi="Arial" w:cs="Arial"/>
          <w:i/>
          <w:iCs/>
          <w:kern w:val="0"/>
          <w:sz w:val="22"/>
          <w:szCs w:val="22"/>
        </w:rPr>
        <w:t>Employment Law: the Essentials</w:t>
      </w:r>
      <w:r w:rsidRPr="00F83D4B">
        <w:rPr>
          <w:rFonts w:ascii="Arial" w:hAnsi="Arial" w:cs="Arial"/>
          <w:kern w:val="0"/>
          <w:sz w:val="22"/>
          <w:szCs w:val="22"/>
        </w:rPr>
        <w:t xml:space="preserve">. 15th ed. </w:t>
      </w:r>
      <w:r>
        <w:rPr>
          <w:rFonts w:ascii="Arial" w:hAnsi="Arial" w:cs="Arial"/>
          <w:kern w:val="0"/>
          <w:sz w:val="22"/>
          <w:szCs w:val="22"/>
        </w:rPr>
        <w:t xml:space="preserve">Kogan </w:t>
      </w:r>
      <w:r w:rsidRPr="00F83D4B">
        <w:rPr>
          <w:rFonts w:ascii="Arial" w:hAnsi="Arial" w:cs="Arial"/>
          <w:kern w:val="0"/>
          <w:sz w:val="22"/>
          <w:szCs w:val="22"/>
        </w:rPr>
        <w:t>Page Limited.</w:t>
      </w:r>
    </w:p>
    <w:p w14:paraId="5963640E" w14:textId="77777777" w:rsidR="00804A9B" w:rsidRDefault="00804A9B" w:rsidP="00070CF3">
      <w:pPr>
        <w:widowControl w:val="0"/>
        <w:autoSpaceDE w:val="0"/>
        <w:autoSpaceDN w:val="0"/>
        <w:adjustRightInd w:val="0"/>
        <w:spacing w:after="0" w:line="269" w:lineRule="auto"/>
        <w:rPr>
          <w:rFonts w:ascii="Arial" w:hAnsi="Arial" w:cs="Arial"/>
          <w:kern w:val="0"/>
          <w:sz w:val="22"/>
          <w:szCs w:val="22"/>
        </w:rPr>
      </w:pPr>
    </w:p>
    <w:p w14:paraId="5BFD5CC4"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6B03D5">
        <w:rPr>
          <w:rFonts w:ascii="Arial" w:hAnsi="Arial" w:cs="Arial"/>
          <w:kern w:val="0"/>
          <w:sz w:val="22"/>
          <w:szCs w:val="22"/>
        </w:rPr>
        <w:t xml:space="preserve">PM Editorial (2025). </w:t>
      </w:r>
      <w:r w:rsidRPr="006B03D5">
        <w:rPr>
          <w:rFonts w:ascii="Arial" w:hAnsi="Arial" w:cs="Arial"/>
          <w:i/>
          <w:iCs/>
          <w:kern w:val="0"/>
          <w:sz w:val="22"/>
          <w:szCs w:val="22"/>
        </w:rPr>
        <w:t>Employment law: what to expect in 2025</w:t>
      </w:r>
      <w:r w:rsidRPr="006B03D5">
        <w:rPr>
          <w:rFonts w:ascii="Arial" w:hAnsi="Arial" w:cs="Arial"/>
          <w:kern w:val="0"/>
          <w:sz w:val="22"/>
          <w:szCs w:val="22"/>
        </w:rPr>
        <w:t xml:space="preserve">. Available at: </w:t>
      </w:r>
      <w:hyperlink r:id="rId22" w:history="1">
        <w:r w:rsidRPr="00C35567">
          <w:rPr>
            <w:rStyle w:val="Hyperlink"/>
            <w:rFonts w:ascii="Arial" w:hAnsi="Arial" w:cs="Arial"/>
            <w:kern w:val="0"/>
            <w:sz w:val="22"/>
            <w:szCs w:val="22"/>
          </w:rPr>
          <w:t>https://www.peoplemanagement.co.uk/article/1901051/employment-law-expect-2025</w:t>
        </w:r>
      </w:hyperlink>
      <w:r>
        <w:rPr>
          <w:rFonts w:ascii="Arial" w:hAnsi="Arial" w:cs="Arial"/>
          <w:kern w:val="0"/>
          <w:sz w:val="22"/>
          <w:szCs w:val="22"/>
        </w:rPr>
        <w:t xml:space="preserve"> (Accessed: 23 May 2026).</w:t>
      </w:r>
    </w:p>
    <w:p w14:paraId="21DCBAA0"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2BF0436C"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CD4FDF">
        <w:rPr>
          <w:rFonts w:ascii="Arial" w:hAnsi="Arial" w:cs="Arial"/>
          <w:kern w:val="0"/>
          <w:sz w:val="22"/>
          <w:szCs w:val="22"/>
        </w:rPr>
        <w:t xml:space="preserve">Service, T.I. (2025). </w:t>
      </w:r>
      <w:r w:rsidRPr="00866418">
        <w:rPr>
          <w:rFonts w:ascii="Arial" w:hAnsi="Arial" w:cs="Arial"/>
          <w:i/>
          <w:iCs/>
          <w:kern w:val="0"/>
          <w:sz w:val="22"/>
          <w:szCs w:val="22"/>
        </w:rPr>
        <w:t>Advanced Notification of Redundancies – HR1 form</w:t>
      </w:r>
      <w:r w:rsidRPr="00866418">
        <w:rPr>
          <w:rFonts w:ascii="Arial" w:hAnsi="Arial" w:cs="Arial"/>
          <w:kern w:val="0"/>
          <w:sz w:val="22"/>
          <w:szCs w:val="22"/>
        </w:rPr>
        <w:t xml:space="preserve">. Available at: </w:t>
      </w:r>
      <w:hyperlink r:id="rId23" w:history="1">
        <w:r w:rsidRPr="00FC64E6">
          <w:rPr>
            <w:rStyle w:val="Hyperlink"/>
            <w:rFonts w:ascii="Arial" w:hAnsi="Arial" w:cs="Arial"/>
            <w:kern w:val="0"/>
            <w:sz w:val="22"/>
            <w:szCs w:val="22"/>
          </w:rPr>
          <w:t>https://www.gov.uk/guidance/advanced-notification-of-redundancies-hr1-form</w:t>
        </w:r>
      </w:hyperlink>
      <w:r>
        <w:rPr>
          <w:rFonts w:ascii="Arial" w:hAnsi="Arial" w:cs="Arial"/>
          <w:kern w:val="0"/>
          <w:sz w:val="22"/>
          <w:szCs w:val="22"/>
        </w:rPr>
        <w:t xml:space="preserve"> (</w:t>
      </w:r>
      <w:r w:rsidRPr="00866418">
        <w:rPr>
          <w:rFonts w:ascii="Arial" w:hAnsi="Arial" w:cs="Arial"/>
          <w:kern w:val="0"/>
          <w:sz w:val="22"/>
          <w:szCs w:val="22"/>
        </w:rPr>
        <w:t>Accessed</w:t>
      </w:r>
      <w:r>
        <w:rPr>
          <w:rFonts w:ascii="Arial" w:hAnsi="Arial" w:cs="Arial"/>
          <w:kern w:val="0"/>
          <w:sz w:val="22"/>
          <w:szCs w:val="22"/>
        </w:rPr>
        <w:t>:</w:t>
      </w:r>
      <w:r w:rsidRPr="00866418">
        <w:rPr>
          <w:rFonts w:ascii="Arial" w:hAnsi="Arial" w:cs="Arial"/>
          <w:kern w:val="0"/>
          <w:sz w:val="22"/>
          <w:szCs w:val="22"/>
        </w:rPr>
        <w:t xml:space="preserve"> 13 May 2026</w:t>
      </w:r>
      <w:r>
        <w:rPr>
          <w:rFonts w:ascii="Arial" w:hAnsi="Arial" w:cs="Arial"/>
          <w:kern w:val="0"/>
          <w:sz w:val="22"/>
          <w:szCs w:val="22"/>
        </w:rPr>
        <w:t>)</w:t>
      </w:r>
      <w:r w:rsidRPr="00866418">
        <w:rPr>
          <w:rFonts w:ascii="Arial" w:hAnsi="Arial" w:cs="Arial"/>
          <w:kern w:val="0"/>
          <w:sz w:val="22"/>
          <w:szCs w:val="22"/>
        </w:rPr>
        <w:t>.</w:t>
      </w:r>
    </w:p>
    <w:p w14:paraId="3B576206"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22584737"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B11247">
        <w:rPr>
          <w:rFonts w:ascii="Arial" w:hAnsi="Arial" w:cs="Arial"/>
          <w:kern w:val="0"/>
          <w:sz w:val="22"/>
          <w:szCs w:val="22"/>
        </w:rPr>
        <w:t>S</w:t>
      </w:r>
      <w:r>
        <w:rPr>
          <w:rFonts w:ascii="Arial" w:hAnsi="Arial" w:cs="Arial"/>
          <w:kern w:val="0"/>
          <w:sz w:val="22"/>
          <w:szCs w:val="22"/>
        </w:rPr>
        <w:t>ewell</w:t>
      </w:r>
      <w:r w:rsidRPr="00B11247">
        <w:rPr>
          <w:rFonts w:ascii="Arial" w:hAnsi="Arial" w:cs="Arial"/>
          <w:kern w:val="0"/>
          <w:sz w:val="22"/>
          <w:szCs w:val="22"/>
        </w:rPr>
        <w:t xml:space="preserve">, M. (2024). </w:t>
      </w:r>
      <w:r w:rsidRPr="00B11247">
        <w:rPr>
          <w:rFonts w:ascii="Arial" w:hAnsi="Arial" w:cs="Arial"/>
          <w:i/>
          <w:iCs/>
          <w:kern w:val="0"/>
          <w:sz w:val="22"/>
          <w:szCs w:val="22"/>
        </w:rPr>
        <w:t>Equal pay and the material factor defence</w:t>
      </w:r>
      <w:r w:rsidRPr="00B11247">
        <w:rPr>
          <w:rFonts w:ascii="Arial" w:hAnsi="Arial" w:cs="Arial"/>
          <w:kern w:val="0"/>
          <w:sz w:val="22"/>
          <w:szCs w:val="22"/>
        </w:rPr>
        <w:t xml:space="preserve">. Available at: </w:t>
      </w:r>
      <w:hyperlink r:id="rId24" w:history="1">
        <w:r w:rsidRPr="009950E1">
          <w:rPr>
            <w:rStyle w:val="Hyperlink"/>
            <w:rFonts w:ascii="Arial" w:hAnsi="Arial" w:cs="Arial"/>
            <w:kern w:val="0"/>
            <w:sz w:val="22"/>
            <w:szCs w:val="22"/>
          </w:rPr>
          <w:t>https://www.peoplemanagement.co.uk/article/1878213/equal-pay-material-factor-defence</w:t>
        </w:r>
      </w:hyperlink>
      <w:r>
        <w:rPr>
          <w:rFonts w:ascii="Arial" w:hAnsi="Arial" w:cs="Arial"/>
          <w:kern w:val="0"/>
          <w:sz w:val="22"/>
          <w:szCs w:val="22"/>
        </w:rPr>
        <w:t xml:space="preserve"> (</w:t>
      </w:r>
      <w:r w:rsidRPr="00B11247">
        <w:rPr>
          <w:rFonts w:ascii="Arial" w:hAnsi="Arial" w:cs="Arial"/>
          <w:kern w:val="0"/>
          <w:sz w:val="22"/>
          <w:szCs w:val="22"/>
        </w:rPr>
        <w:t>Accessed</w:t>
      </w:r>
      <w:r>
        <w:rPr>
          <w:rFonts w:ascii="Arial" w:hAnsi="Arial" w:cs="Arial"/>
          <w:kern w:val="0"/>
          <w:sz w:val="22"/>
          <w:szCs w:val="22"/>
        </w:rPr>
        <w:t>:</w:t>
      </w:r>
      <w:r w:rsidRPr="00B11247">
        <w:rPr>
          <w:rFonts w:ascii="Arial" w:hAnsi="Arial" w:cs="Arial"/>
          <w:kern w:val="0"/>
          <w:sz w:val="22"/>
          <w:szCs w:val="22"/>
        </w:rPr>
        <w:t xml:space="preserve"> 29 May 2026</w:t>
      </w:r>
      <w:r>
        <w:rPr>
          <w:rFonts w:ascii="Arial" w:hAnsi="Arial" w:cs="Arial"/>
          <w:kern w:val="0"/>
          <w:sz w:val="22"/>
          <w:szCs w:val="22"/>
        </w:rPr>
        <w:t>)</w:t>
      </w:r>
      <w:r w:rsidRPr="00B11247">
        <w:rPr>
          <w:rFonts w:ascii="Arial" w:hAnsi="Arial" w:cs="Arial"/>
          <w:kern w:val="0"/>
          <w:sz w:val="22"/>
          <w:szCs w:val="22"/>
        </w:rPr>
        <w:t>.</w:t>
      </w:r>
    </w:p>
    <w:p w14:paraId="2FB0C3F3"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2B5A193F"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651B9F">
        <w:rPr>
          <w:rFonts w:ascii="Arial" w:hAnsi="Arial" w:cs="Arial"/>
          <w:kern w:val="0"/>
          <w:sz w:val="22"/>
          <w:szCs w:val="22"/>
        </w:rPr>
        <w:t xml:space="preserve">Taylor, S. and Woodhams, C. (2022). </w:t>
      </w:r>
      <w:r w:rsidRPr="00651B9F">
        <w:rPr>
          <w:rFonts w:ascii="Arial" w:hAnsi="Arial" w:cs="Arial"/>
          <w:i/>
          <w:iCs/>
          <w:kern w:val="0"/>
          <w:sz w:val="22"/>
          <w:szCs w:val="22"/>
        </w:rPr>
        <w:t>Human Resource Management: People and organisations.</w:t>
      </w:r>
      <w:r w:rsidRPr="00651B9F">
        <w:rPr>
          <w:rFonts w:ascii="Arial" w:hAnsi="Arial" w:cs="Arial"/>
          <w:kern w:val="0"/>
          <w:sz w:val="22"/>
          <w:szCs w:val="22"/>
        </w:rPr>
        <w:t xml:space="preserve"> 3</w:t>
      </w:r>
      <w:r>
        <w:rPr>
          <w:rFonts w:ascii="Arial" w:hAnsi="Arial" w:cs="Arial"/>
          <w:kern w:val="0"/>
          <w:sz w:val="22"/>
          <w:szCs w:val="22"/>
        </w:rPr>
        <w:t>rd</w:t>
      </w:r>
      <w:r w:rsidRPr="00651B9F">
        <w:rPr>
          <w:rFonts w:ascii="Arial" w:hAnsi="Arial" w:cs="Arial"/>
          <w:kern w:val="0"/>
          <w:sz w:val="22"/>
          <w:szCs w:val="22"/>
        </w:rPr>
        <w:t xml:space="preserve"> ed. London: Chartered Institute of Personnel and Development.</w:t>
      </w:r>
    </w:p>
    <w:p w14:paraId="3A8742CE" w14:textId="77777777" w:rsidR="00070CF3" w:rsidRPr="00651B9F" w:rsidRDefault="00070CF3" w:rsidP="00070CF3">
      <w:pPr>
        <w:widowControl w:val="0"/>
        <w:autoSpaceDE w:val="0"/>
        <w:autoSpaceDN w:val="0"/>
        <w:adjustRightInd w:val="0"/>
        <w:spacing w:after="0" w:line="269" w:lineRule="auto"/>
        <w:rPr>
          <w:rFonts w:ascii="Arial" w:hAnsi="Arial" w:cs="Arial"/>
          <w:kern w:val="0"/>
          <w:sz w:val="22"/>
          <w:szCs w:val="22"/>
        </w:rPr>
      </w:pPr>
    </w:p>
    <w:p w14:paraId="721AA629" w14:textId="77777777" w:rsidR="00070CF3" w:rsidRDefault="00070CF3" w:rsidP="00070CF3">
      <w:pPr>
        <w:widowControl w:val="0"/>
        <w:autoSpaceDE w:val="0"/>
        <w:autoSpaceDN w:val="0"/>
        <w:adjustRightInd w:val="0"/>
        <w:spacing w:after="0" w:line="269" w:lineRule="auto"/>
        <w:rPr>
          <w:rFonts w:ascii="Arial" w:hAnsi="Arial" w:cs="Arial"/>
          <w:kern w:val="0"/>
          <w:sz w:val="33"/>
          <w:szCs w:val="33"/>
          <w:lang w:val="en-US"/>
        </w:rPr>
      </w:pPr>
      <w:r w:rsidRPr="00A93D85">
        <w:rPr>
          <w:rFonts w:ascii="Arial" w:hAnsi="Arial" w:cs="Arial"/>
          <w:kern w:val="0"/>
          <w:sz w:val="33"/>
          <w:szCs w:val="33"/>
          <w:lang w:val="en-US"/>
        </w:rPr>
        <w:t>Case Law</w:t>
      </w:r>
    </w:p>
    <w:p w14:paraId="03655E1F" w14:textId="77777777" w:rsidR="00070CF3" w:rsidRDefault="00070CF3" w:rsidP="00070CF3">
      <w:pPr>
        <w:widowControl w:val="0"/>
        <w:autoSpaceDE w:val="0"/>
        <w:autoSpaceDN w:val="0"/>
        <w:adjustRightInd w:val="0"/>
        <w:spacing w:after="0" w:line="269" w:lineRule="auto"/>
        <w:rPr>
          <w:rFonts w:ascii="Arial" w:hAnsi="Arial" w:cs="Arial"/>
          <w:kern w:val="0"/>
          <w:sz w:val="33"/>
          <w:szCs w:val="33"/>
          <w:lang w:val="en-US"/>
        </w:rPr>
      </w:pPr>
    </w:p>
    <w:p w14:paraId="62D87C0A"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AD6145">
        <w:rPr>
          <w:rFonts w:ascii="Arial" w:hAnsi="Arial" w:cs="Arial"/>
          <w:i/>
          <w:iCs/>
          <w:kern w:val="0"/>
          <w:sz w:val="22"/>
          <w:szCs w:val="22"/>
        </w:rPr>
        <w:t>Bear Scotland Ltd v Fulton</w:t>
      </w:r>
      <w:r>
        <w:rPr>
          <w:rFonts w:ascii="Arial" w:hAnsi="Arial" w:cs="Arial"/>
          <w:kern w:val="0"/>
          <w:sz w:val="22"/>
          <w:szCs w:val="22"/>
        </w:rPr>
        <w:t xml:space="preserve"> [2015] ICR 221.</w:t>
      </w:r>
    </w:p>
    <w:p w14:paraId="261B6EFD"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057DB435" w14:textId="77777777" w:rsidR="00070CF3" w:rsidRDefault="00070CF3" w:rsidP="00070CF3">
      <w:pPr>
        <w:widowControl w:val="0"/>
        <w:autoSpaceDE w:val="0"/>
        <w:autoSpaceDN w:val="0"/>
        <w:adjustRightInd w:val="0"/>
        <w:spacing w:after="0" w:line="269" w:lineRule="auto"/>
        <w:rPr>
          <w:rFonts w:ascii="Arial" w:hAnsi="Arial" w:cs="Arial"/>
          <w:kern w:val="0"/>
          <w:sz w:val="22"/>
          <w:szCs w:val="22"/>
          <w:lang w:val="de-DE"/>
        </w:rPr>
      </w:pPr>
      <w:r w:rsidRPr="00A93D85">
        <w:rPr>
          <w:rFonts w:ascii="Arial" w:hAnsi="Arial" w:cs="Arial"/>
          <w:i/>
          <w:iCs/>
          <w:kern w:val="0"/>
          <w:sz w:val="22"/>
          <w:szCs w:val="22"/>
          <w:lang w:val="de-DE"/>
        </w:rPr>
        <w:t>Etam plc v Rowan</w:t>
      </w:r>
      <w:r w:rsidRPr="00A93D85">
        <w:rPr>
          <w:rFonts w:ascii="Arial" w:hAnsi="Arial" w:cs="Arial"/>
          <w:kern w:val="0"/>
          <w:sz w:val="22"/>
          <w:szCs w:val="22"/>
          <w:lang w:val="de-DE"/>
        </w:rPr>
        <w:t xml:space="preserve"> [1989] IRLR 150.</w:t>
      </w:r>
    </w:p>
    <w:p w14:paraId="427715FE" w14:textId="77777777" w:rsidR="00070CF3" w:rsidRPr="00A93D85" w:rsidRDefault="00070CF3" w:rsidP="00070CF3">
      <w:pPr>
        <w:widowControl w:val="0"/>
        <w:autoSpaceDE w:val="0"/>
        <w:autoSpaceDN w:val="0"/>
        <w:adjustRightInd w:val="0"/>
        <w:spacing w:after="0" w:line="269" w:lineRule="auto"/>
        <w:rPr>
          <w:rFonts w:ascii="Arial" w:hAnsi="Arial" w:cs="Arial"/>
          <w:kern w:val="0"/>
          <w:sz w:val="22"/>
          <w:szCs w:val="22"/>
          <w:lang w:val="de-DE"/>
        </w:rPr>
      </w:pPr>
    </w:p>
    <w:p w14:paraId="6D9388B6"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A93D85">
        <w:rPr>
          <w:rFonts w:ascii="Arial" w:hAnsi="Arial" w:cs="Arial"/>
          <w:i/>
          <w:iCs/>
          <w:kern w:val="0"/>
          <w:sz w:val="22"/>
          <w:szCs w:val="22"/>
        </w:rPr>
        <w:t>Scottish Water v Lynne Edgar</w:t>
      </w:r>
      <w:r>
        <w:rPr>
          <w:rFonts w:ascii="Arial" w:hAnsi="Arial" w:cs="Arial"/>
          <w:kern w:val="0"/>
          <w:sz w:val="22"/>
          <w:szCs w:val="22"/>
        </w:rPr>
        <w:t xml:space="preserve"> [2024] EAT 32.</w:t>
      </w:r>
    </w:p>
    <w:p w14:paraId="4FF0AD58"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5F36F34A" w14:textId="2F56D84D" w:rsidR="00070CF3" w:rsidRDefault="00070CF3" w:rsidP="00070CF3">
      <w:pPr>
        <w:widowControl w:val="0"/>
        <w:autoSpaceDE w:val="0"/>
        <w:autoSpaceDN w:val="0"/>
        <w:adjustRightInd w:val="0"/>
        <w:spacing w:after="0" w:line="269" w:lineRule="auto"/>
        <w:rPr>
          <w:rFonts w:ascii="Arial" w:hAnsi="Arial" w:cs="Arial"/>
          <w:kern w:val="0"/>
          <w:sz w:val="22"/>
          <w:szCs w:val="22"/>
        </w:rPr>
      </w:pPr>
      <w:r w:rsidRPr="00416DD3">
        <w:rPr>
          <w:rFonts w:ascii="Arial" w:hAnsi="Arial" w:cs="Arial"/>
          <w:i/>
          <w:iCs/>
          <w:kern w:val="0"/>
          <w:sz w:val="22"/>
          <w:szCs w:val="22"/>
        </w:rPr>
        <w:t>Williams v Compa</w:t>
      </w:r>
      <w:r w:rsidR="00D803F5">
        <w:rPr>
          <w:rFonts w:ascii="Arial" w:hAnsi="Arial" w:cs="Arial"/>
          <w:i/>
          <w:iCs/>
          <w:kern w:val="0"/>
          <w:sz w:val="22"/>
          <w:szCs w:val="22"/>
        </w:rPr>
        <w:t>ir</w:t>
      </w:r>
      <w:r w:rsidRPr="00416DD3">
        <w:rPr>
          <w:rFonts w:ascii="Arial" w:hAnsi="Arial" w:cs="Arial"/>
          <w:i/>
          <w:iCs/>
          <w:kern w:val="0"/>
          <w:sz w:val="22"/>
          <w:szCs w:val="22"/>
        </w:rPr>
        <w:t xml:space="preserve"> Maxim Ltd</w:t>
      </w:r>
      <w:r>
        <w:rPr>
          <w:rFonts w:ascii="Arial" w:hAnsi="Arial" w:cs="Arial"/>
          <w:kern w:val="0"/>
          <w:sz w:val="22"/>
          <w:szCs w:val="22"/>
        </w:rPr>
        <w:t xml:space="preserve"> [1982] ICR 156.</w:t>
      </w:r>
    </w:p>
    <w:p w14:paraId="5A20546B"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25537459" w14:textId="77777777" w:rsidR="00070CF3" w:rsidRDefault="00070CF3" w:rsidP="00070CF3">
      <w:pPr>
        <w:widowControl w:val="0"/>
        <w:autoSpaceDE w:val="0"/>
        <w:autoSpaceDN w:val="0"/>
        <w:adjustRightInd w:val="0"/>
        <w:spacing w:after="0" w:line="269" w:lineRule="auto"/>
      </w:pPr>
      <w:r w:rsidRPr="00076DEF">
        <w:rPr>
          <w:i/>
          <w:iCs/>
        </w:rPr>
        <w:lastRenderedPageBreak/>
        <w:t>Wilson v St Helens Borough Council</w:t>
      </w:r>
      <w:r w:rsidRPr="00076DEF">
        <w:t xml:space="preserve"> [199</w:t>
      </w:r>
      <w:r>
        <w:t>9</w:t>
      </w:r>
      <w:r w:rsidRPr="00076DEF">
        <w:t>]</w:t>
      </w:r>
      <w:r>
        <w:t xml:space="preserve"> 2 AC 52. </w:t>
      </w:r>
    </w:p>
    <w:p w14:paraId="0DA34E41" w14:textId="77777777" w:rsidR="00070CF3" w:rsidRDefault="00070CF3" w:rsidP="00070CF3">
      <w:pPr>
        <w:widowControl w:val="0"/>
        <w:autoSpaceDE w:val="0"/>
        <w:autoSpaceDN w:val="0"/>
        <w:adjustRightInd w:val="0"/>
        <w:spacing w:after="0" w:line="269" w:lineRule="auto"/>
        <w:rPr>
          <w:rFonts w:ascii="Arial" w:hAnsi="Arial" w:cs="Arial"/>
          <w:kern w:val="0"/>
          <w:sz w:val="22"/>
          <w:szCs w:val="22"/>
        </w:rPr>
      </w:pPr>
    </w:p>
    <w:p w14:paraId="4CFDD7DF" w14:textId="77777777" w:rsidR="00070CF3" w:rsidRPr="00587198" w:rsidRDefault="00070CF3" w:rsidP="00070CF3">
      <w:pPr>
        <w:widowControl w:val="0"/>
        <w:autoSpaceDE w:val="0"/>
        <w:autoSpaceDN w:val="0"/>
        <w:adjustRightInd w:val="0"/>
        <w:spacing w:after="0" w:line="269" w:lineRule="auto"/>
        <w:rPr>
          <w:rFonts w:ascii="Arial" w:hAnsi="Arial" w:cs="Arial"/>
          <w:kern w:val="0"/>
          <w:sz w:val="22"/>
          <w:szCs w:val="22"/>
        </w:rPr>
      </w:pPr>
      <w:r w:rsidRPr="00587198">
        <w:rPr>
          <w:rFonts w:ascii="Arial" w:hAnsi="Arial" w:cs="Arial"/>
          <w:i/>
          <w:iCs/>
          <w:kern w:val="0"/>
          <w:sz w:val="22"/>
          <w:szCs w:val="22"/>
        </w:rPr>
        <w:t>Western Excavating (ECC) Ltd v Sharp</w:t>
      </w:r>
      <w:r w:rsidRPr="00587198">
        <w:rPr>
          <w:rFonts w:ascii="Arial" w:hAnsi="Arial" w:cs="Arial"/>
          <w:kern w:val="0"/>
          <w:sz w:val="22"/>
          <w:szCs w:val="22"/>
        </w:rPr>
        <w:t xml:space="preserve"> [1978] ICR 221.</w:t>
      </w:r>
    </w:p>
    <w:p w14:paraId="414F720F" w14:textId="77777777" w:rsidR="00070CF3" w:rsidRPr="00F83D4B" w:rsidRDefault="00070CF3" w:rsidP="00070CF3">
      <w:pPr>
        <w:widowControl w:val="0"/>
        <w:autoSpaceDE w:val="0"/>
        <w:autoSpaceDN w:val="0"/>
        <w:adjustRightInd w:val="0"/>
        <w:spacing w:after="0" w:line="269" w:lineRule="auto"/>
        <w:rPr>
          <w:rFonts w:ascii="Arial" w:hAnsi="Arial" w:cs="Arial"/>
          <w:kern w:val="0"/>
          <w:sz w:val="22"/>
          <w:szCs w:val="22"/>
        </w:rPr>
      </w:pPr>
    </w:p>
    <w:p w14:paraId="1FD78071" w14:textId="77777777" w:rsidR="00070CF3" w:rsidRPr="00A93D85" w:rsidRDefault="00070CF3" w:rsidP="00070CF3">
      <w:pPr>
        <w:widowControl w:val="0"/>
        <w:autoSpaceDE w:val="0"/>
        <w:autoSpaceDN w:val="0"/>
        <w:adjustRightInd w:val="0"/>
        <w:spacing w:after="0" w:line="269" w:lineRule="auto"/>
        <w:rPr>
          <w:rFonts w:ascii="Arial" w:hAnsi="Arial" w:cs="Arial"/>
          <w:kern w:val="0"/>
          <w:sz w:val="33"/>
          <w:szCs w:val="33"/>
        </w:rPr>
      </w:pPr>
    </w:p>
    <w:p w14:paraId="0B4B9034" w14:textId="77777777" w:rsidR="00070CF3" w:rsidRPr="008F4B84" w:rsidRDefault="00070CF3" w:rsidP="008F4B84">
      <w:pPr>
        <w:spacing w:after="0" w:line="269" w:lineRule="auto"/>
        <w:rPr>
          <w:rFonts w:ascii="Arial" w:hAnsi="Arial" w:cs="Arial"/>
          <w:sz w:val="22"/>
          <w:szCs w:val="22"/>
        </w:rPr>
      </w:pPr>
    </w:p>
    <w:p w14:paraId="50C86F58" w14:textId="77777777" w:rsidR="008F4B84" w:rsidRDefault="008F4B84" w:rsidP="00324C1B">
      <w:pPr>
        <w:spacing w:after="0" w:line="269" w:lineRule="auto"/>
        <w:jc w:val="center"/>
        <w:rPr>
          <w:rFonts w:ascii="Arial" w:hAnsi="Arial" w:cs="Arial"/>
          <w:sz w:val="22"/>
          <w:szCs w:val="22"/>
        </w:rPr>
      </w:pPr>
    </w:p>
    <w:p w14:paraId="0B2C2D26" w14:textId="77777777" w:rsidR="008F4B84" w:rsidRDefault="008F4B84" w:rsidP="00324C1B">
      <w:pPr>
        <w:spacing w:after="0" w:line="269" w:lineRule="auto"/>
        <w:jc w:val="center"/>
        <w:rPr>
          <w:rFonts w:ascii="Arial" w:hAnsi="Arial" w:cs="Arial"/>
          <w:sz w:val="22"/>
          <w:szCs w:val="22"/>
        </w:rPr>
      </w:pPr>
    </w:p>
    <w:p w14:paraId="215665B6" w14:textId="77777777" w:rsidR="008F4B84" w:rsidRPr="00E56743" w:rsidRDefault="008F4B84" w:rsidP="00324C1B">
      <w:pPr>
        <w:spacing w:after="0" w:line="269" w:lineRule="auto"/>
        <w:jc w:val="center"/>
        <w:rPr>
          <w:rFonts w:ascii="Arial" w:hAnsi="Arial" w:cs="Arial"/>
          <w:b/>
          <w:bCs/>
          <w:sz w:val="22"/>
          <w:szCs w:val="22"/>
        </w:rPr>
      </w:pPr>
    </w:p>
    <w:p w14:paraId="4204ABF8" w14:textId="77777777" w:rsidR="00B67E67" w:rsidRDefault="00B67E67"/>
    <w:sectPr w:rsidR="00B67E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C1B"/>
    <w:rsid w:val="00070CF3"/>
    <w:rsid w:val="001B78E6"/>
    <w:rsid w:val="00324C1B"/>
    <w:rsid w:val="00461F10"/>
    <w:rsid w:val="00690E40"/>
    <w:rsid w:val="00755694"/>
    <w:rsid w:val="00804A9B"/>
    <w:rsid w:val="00893D42"/>
    <w:rsid w:val="008F4B84"/>
    <w:rsid w:val="009C00A1"/>
    <w:rsid w:val="00B67E67"/>
    <w:rsid w:val="00D803F5"/>
    <w:rsid w:val="00EC739A"/>
    <w:rsid w:val="00F42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0D21B"/>
  <w15:chartTrackingRefBased/>
  <w15:docId w15:val="{F3F12451-083F-4AE0-9ABD-3ED35163D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C1B"/>
  </w:style>
  <w:style w:type="paragraph" w:styleId="Heading1">
    <w:name w:val="heading 1"/>
    <w:basedOn w:val="Normal"/>
    <w:next w:val="Normal"/>
    <w:link w:val="Heading1Char"/>
    <w:uiPriority w:val="9"/>
    <w:qFormat/>
    <w:rsid w:val="00324C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C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C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4C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C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C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C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C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C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C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C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C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4C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C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C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C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C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C1B"/>
    <w:rPr>
      <w:rFonts w:eastAsiaTheme="majorEastAsia" w:cstheme="majorBidi"/>
      <w:color w:val="272727" w:themeColor="text1" w:themeTint="D8"/>
    </w:rPr>
  </w:style>
  <w:style w:type="paragraph" w:styleId="Title">
    <w:name w:val="Title"/>
    <w:basedOn w:val="Normal"/>
    <w:next w:val="Normal"/>
    <w:link w:val="TitleChar"/>
    <w:uiPriority w:val="10"/>
    <w:qFormat/>
    <w:rsid w:val="00324C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C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C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C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C1B"/>
    <w:pPr>
      <w:spacing w:before="160"/>
      <w:jc w:val="center"/>
    </w:pPr>
    <w:rPr>
      <w:i/>
      <w:iCs/>
      <w:color w:val="404040" w:themeColor="text1" w:themeTint="BF"/>
    </w:rPr>
  </w:style>
  <w:style w:type="character" w:customStyle="1" w:styleId="QuoteChar">
    <w:name w:val="Quote Char"/>
    <w:basedOn w:val="DefaultParagraphFont"/>
    <w:link w:val="Quote"/>
    <w:uiPriority w:val="29"/>
    <w:rsid w:val="00324C1B"/>
    <w:rPr>
      <w:i/>
      <w:iCs/>
      <w:color w:val="404040" w:themeColor="text1" w:themeTint="BF"/>
    </w:rPr>
  </w:style>
  <w:style w:type="paragraph" w:styleId="ListParagraph">
    <w:name w:val="List Paragraph"/>
    <w:basedOn w:val="Normal"/>
    <w:uiPriority w:val="34"/>
    <w:qFormat/>
    <w:rsid w:val="00324C1B"/>
    <w:pPr>
      <w:ind w:left="720"/>
      <w:contextualSpacing/>
    </w:pPr>
  </w:style>
  <w:style w:type="character" w:styleId="IntenseEmphasis">
    <w:name w:val="Intense Emphasis"/>
    <w:basedOn w:val="DefaultParagraphFont"/>
    <w:uiPriority w:val="21"/>
    <w:qFormat/>
    <w:rsid w:val="00324C1B"/>
    <w:rPr>
      <w:i/>
      <w:iCs/>
      <w:color w:val="0F4761" w:themeColor="accent1" w:themeShade="BF"/>
    </w:rPr>
  </w:style>
  <w:style w:type="paragraph" w:styleId="IntenseQuote">
    <w:name w:val="Intense Quote"/>
    <w:basedOn w:val="Normal"/>
    <w:next w:val="Normal"/>
    <w:link w:val="IntenseQuoteChar"/>
    <w:uiPriority w:val="30"/>
    <w:qFormat/>
    <w:rsid w:val="00324C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C1B"/>
    <w:rPr>
      <w:i/>
      <w:iCs/>
      <w:color w:val="0F4761" w:themeColor="accent1" w:themeShade="BF"/>
    </w:rPr>
  </w:style>
  <w:style w:type="character" w:styleId="IntenseReference">
    <w:name w:val="Intense Reference"/>
    <w:basedOn w:val="DefaultParagraphFont"/>
    <w:uiPriority w:val="32"/>
    <w:qFormat/>
    <w:rsid w:val="00324C1B"/>
    <w:rPr>
      <w:b/>
      <w:bCs/>
      <w:smallCaps/>
      <w:color w:val="0F4761" w:themeColor="accent1" w:themeShade="BF"/>
      <w:spacing w:val="5"/>
    </w:rPr>
  </w:style>
  <w:style w:type="character" w:styleId="Hyperlink">
    <w:name w:val="Hyperlink"/>
    <w:basedOn w:val="DefaultParagraphFont"/>
    <w:uiPriority w:val="99"/>
    <w:unhideWhenUsed/>
    <w:rsid w:val="00070CF3"/>
    <w:rPr>
      <w:rFonts w:cs="Times New Roman"/>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working-time-rules" TargetMode="External"/><Relationship Id="rId13" Type="http://schemas.openxmlformats.org/officeDocument/2006/relationships/hyperlink" Target="https://www.cipd.org/uk/knowledge/employment-law/equal-pay/" TargetMode="External"/><Relationship Id="rId18" Type="http://schemas.openxmlformats.org/officeDocument/2006/relationships/hyperlink" Target="https://www.legislation.gov.uk/ukdsi/2014/9780111118856/content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legislation.gov.uk/ukpga/2025/36/contents" TargetMode="External"/><Relationship Id="rId7" Type="http://schemas.openxmlformats.org/officeDocument/2006/relationships/hyperlink" Target="https://www.acas.org.uk/early-conciliation" TargetMode="External"/><Relationship Id="rId12" Type="http://schemas.openxmlformats.org/officeDocument/2006/relationships/hyperlink" Target="https://www.cipd.org/uk/knowledge/factsheets/flexible-working-factsheet/" TargetMode="External"/><Relationship Id="rId17" Type="http://schemas.openxmlformats.org/officeDocument/2006/relationships/hyperlink" Target="https://www.legislation.gov.uk/ukpga/2010/15/contents"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egislation.gov.uk/uksi/1998/1833/contents" TargetMode="External"/><Relationship Id="rId20" Type="http://schemas.openxmlformats.org/officeDocument/2006/relationships/hyperlink" Target="https://www.gov.uk/flexible-working" TargetMode="External"/><Relationship Id="rId1" Type="http://schemas.openxmlformats.org/officeDocument/2006/relationships/styles" Target="styles.xml"/><Relationship Id="rId6" Type="http://schemas.openxmlformats.org/officeDocument/2006/relationships/hyperlink" Target="https://www.acas.org.uk/inform-and-consult-staff-in-a-tupe-transfer" TargetMode="External"/><Relationship Id="rId11" Type="http://schemas.openxmlformats.org/officeDocument/2006/relationships/hyperlink" Target="https://www.cipd.org/uk/knowledge/factsheets/maternity-paternity-rights-factsheet/" TargetMode="External"/><Relationship Id="rId24" Type="http://schemas.openxmlformats.org/officeDocument/2006/relationships/hyperlink" Target="https://www.peoplemanagement.co.uk/article/1878213/equal-pay-material-factor-defence" TargetMode="External"/><Relationship Id="rId5" Type="http://schemas.openxmlformats.org/officeDocument/2006/relationships/hyperlink" Target="https://www.acas.org.uk/flexible-working" TargetMode="External"/><Relationship Id="rId15" Type="http://schemas.openxmlformats.org/officeDocument/2006/relationships/hyperlink" Target="https://www.legislation.gov.uk/ukpga/1996/18/contents" TargetMode="External"/><Relationship Id="rId23" Type="http://schemas.openxmlformats.org/officeDocument/2006/relationships/hyperlink" Target="https://www.gov.uk/guidance/advanced-notification-of-redundancies-hr1-form" TargetMode="External"/><Relationship Id="rId10" Type="http://schemas.openxmlformats.org/officeDocument/2006/relationships/hyperlink" Target="https://www.cipd.org/uk/knowledge/employment-law/tupe/" TargetMode="External"/><Relationship Id="rId19" Type="http://schemas.openxmlformats.org/officeDocument/2006/relationships/hyperlink" Target="https://www.gov.uk/transfers-takeovers/transfers-of-employment-contracts" TargetMode="External"/><Relationship Id="rId4" Type="http://schemas.openxmlformats.org/officeDocument/2006/relationships/hyperlink" Target="https://www.acas.org.uk/acas-guides-on-trade-union-and-employee-representation" TargetMode="External"/><Relationship Id="rId9" Type="http://schemas.openxmlformats.org/officeDocument/2006/relationships/hyperlink" Target="https://www.cipd.org/uk/knowledge/employment-law/redundancy/" TargetMode="External"/><Relationship Id="rId14" Type="http://schemas.openxmlformats.org/officeDocument/2006/relationships/hyperlink" Target="https://www.legislation.gov.uk/ukpga/1992/52/contents" TargetMode="External"/><Relationship Id="rId22" Type="http://schemas.openxmlformats.org/officeDocument/2006/relationships/hyperlink" Target="https://www.peoplemanagement.co.uk/article/1901051/employment-law-expect-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4499</Words>
  <Characters>25649</Characters>
  <Application>Microsoft Office Word</Application>
  <DocSecurity>0</DocSecurity>
  <Lines>213</Lines>
  <Paragraphs>60</Paragraphs>
  <ScaleCrop>false</ScaleCrop>
  <Company/>
  <LinksUpToDate>false</LinksUpToDate>
  <CharactersWithSpaces>30088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Williams</dc:creator>
  <cp:keywords/>
  <dc:description/>
  <cp:lastModifiedBy>Jennie Williams</cp:lastModifiedBy>
  <cp:revision>12</cp:revision>
  <dcterms:created xsi:type="dcterms:W3CDTF">2026-05-30T16:57:00Z</dcterms:created>
  <dcterms:modified xsi:type="dcterms:W3CDTF">2026-05-31T11:34:00Z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0bdffdb6-08d1-4780-8d8d-8ee9d56bb775</vt:lpwstr>
  </property>
</Properties>
</file>