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28A04" w14:textId="7884A14F" w:rsidR="0093780E" w:rsidRPr="00DC1329" w:rsidRDefault="004E7C65" w:rsidP="00DC1329">
      <w:pPr>
        <w:spacing w:after="0" w:line="0" w:lineRule="atLeast"/>
        <w:jc w:val="both"/>
        <w:rPr>
          <w:rFonts w:ascii="Arial" w:hAnsi="Arial" w:cs="Arial"/>
          <w:b/>
          <w:bCs/>
          <w:sz w:val="20"/>
          <w:szCs w:val="20"/>
        </w:rPr>
      </w:pPr>
      <w:r w:rsidRPr="00DC1329">
        <w:rPr>
          <w:rFonts w:ascii="Arial" w:hAnsi="Arial" w:cs="Arial"/>
          <w:b/>
          <w:bCs/>
          <w:sz w:val="20"/>
          <w:szCs w:val="20"/>
        </w:rPr>
        <w:t>Q1</w:t>
      </w:r>
    </w:p>
    <w:p w14:paraId="7DD969ED" w14:textId="07EA9AFB" w:rsidR="00F35DCC" w:rsidRPr="00DC1329" w:rsidRDefault="00F35DCC" w:rsidP="00DC1329">
      <w:pPr>
        <w:spacing w:after="0" w:line="0" w:lineRule="atLeast"/>
        <w:jc w:val="both"/>
        <w:rPr>
          <w:rFonts w:ascii="Arial" w:hAnsi="Arial" w:cs="Arial"/>
          <w:sz w:val="20"/>
          <w:szCs w:val="20"/>
          <w:lang w:val="en-US"/>
        </w:rPr>
      </w:pPr>
      <w:r w:rsidRPr="00DC1329">
        <w:rPr>
          <w:rFonts w:ascii="Arial" w:hAnsi="Arial" w:cs="Arial"/>
          <w:sz w:val="20"/>
          <w:szCs w:val="20"/>
          <w:lang w:val="en-US"/>
        </w:rPr>
        <w:t>The Porter's Five Forces Model is a strategic framework used to assess the degree of industry competition, attractiveness, and profit potential. This framework achieves this goal by analyzing five interrelated factors: the threat of new entrants, the bargaining power of suppliers, the bargaining power of buyers, the threat of substitutes, and the intensity of competition among existing rivals.</w:t>
      </w:r>
    </w:p>
    <w:p w14:paraId="18C19BD1" w14:textId="46A7CE41" w:rsidR="00F35DCC" w:rsidRPr="00DC1329" w:rsidRDefault="00F35DCC" w:rsidP="00DC1329">
      <w:pPr>
        <w:spacing w:after="0" w:line="0" w:lineRule="atLeast"/>
        <w:jc w:val="both"/>
        <w:rPr>
          <w:rFonts w:ascii="Arial" w:hAnsi="Arial" w:cs="Arial"/>
          <w:sz w:val="20"/>
          <w:szCs w:val="20"/>
          <w:lang w:val="en-US"/>
        </w:rPr>
      </w:pPr>
      <w:r w:rsidRPr="00DC1329">
        <w:rPr>
          <w:rFonts w:ascii="Arial" w:hAnsi="Arial" w:cs="Arial"/>
          <w:sz w:val="20"/>
          <w:szCs w:val="20"/>
          <w:lang w:val="en-US"/>
        </w:rPr>
        <w:t>Taking the automotive industry's Audi as an example for analysis. The threat of new entrants is relatively low, as new entrants require a large amount of capital investment and face strong brand barriers. The bargaining power of suppliers is high, as Audi relies on a limited number of suppliers to provide high-end components. The power of buyers is also high, as customers can easily switch to competitors such as BMW, Mercedes-Benz, and Tesla. The threat of substitutes is at a relatively high level, as the rise of public transportation and autonomous vehicles poses certain threats. The intensity of competition is extremely high, which stems from intense competition in areas such as electrification, digitalization, and global market share.</w:t>
      </w:r>
    </w:p>
    <w:p w14:paraId="568357FF" w14:textId="5BB64B42" w:rsidR="00F35DCC" w:rsidRPr="00DC1329" w:rsidRDefault="00F35DCC" w:rsidP="00DC1329">
      <w:pPr>
        <w:spacing w:after="0" w:line="0" w:lineRule="atLeast"/>
        <w:jc w:val="both"/>
        <w:rPr>
          <w:rFonts w:ascii="Arial" w:hAnsi="Arial" w:cs="Arial"/>
          <w:sz w:val="20"/>
          <w:szCs w:val="20"/>
          <w:lang w:val="en-US"/>
        </w:rPr>
      </w:pPr>
      <w:r w:rsidRPr="00DC1329">
        <w:rPr>
          <w:rFonts w:ascii="Arial" w:hAnsi="Arial" w:cs="Arial"/>
          <w:sz w:val="20"/>
          <w:szCs w:val="20"/>
          <w:lang w:val="en-US"/>
        </w:rPr>
        <w:t>The Porter's Five Forces Model provides clear insights for Audi's decision-makers. The industry is highly competitive and faces significant cost pressures. Electrification and digital innovation are indispensable, and stable supply chain control and differentiation strategies are crucial for reducing the influence of buyers and consolidating market position.</w:t>
      </w:r>
    </w:p>
    <w:p w14:paraId="267278FB" w14:textId="09175326" w:rsidR="00C9067B" w:rsidRPr="00DC1329" w:rsidRDefault="00F35DCC" w:rsidP="00DC1329">
      <w:pPr>
        <w:spacing w:after="0" w:line="0" w:lineRule="atLeast"/>
        <w:jc w:val="both"/>
        <w:rPr>
          <w:rFonts w:ascii="Arial" w:hAnsi="Arial" w:cs="Arial" w:hint="eastAsia"/>
          <w:sz w:val="20"/>
          <w:szCs w:val="20"/>
          <w:lang w:val="en-US"/>
        </w:rPr>
      </w:pPr>
      <w:r w:rsidRPr="00DC1329">
        <w:rPr>
          <w:rFonts w:ascii="Arial" w:hAnsi="Arial" w:cs="Arial"/>
          <w:sz w:val="20"/>
          <w:szCs w:val="20"/>
          <w:lang w:val="en-US"/>
        </w:rPr>
        <w:t>The advantage of Porter's Five Forces Model lies in its structured approach to competitive analysis, clear identification of external risks, and high applicability to mature industries. However, it is a static model that struggles to reflect rapid technological changes such as the transition to electric vehicles, ignores sustainability and regulatory factors, and neglects the strategic alliances and group advantages within the Volkswagen Group. Overall, the Porter's Five Forces Model remains a practical tool for supporting major strategic decisions of Audi in a challenging external environment.</w:t>
      </w:r>
    </w:p>
    <w:p w14:paraId="6C31DF53" w14:textId="49547013" w:rsidR="00C9067B" w:rsidRPr="00DC1329" w:rsidRDefault="00C9067B" w:rsidP="00DC1329">
      <w:pPr>
        <w:spacing w:after="0" w:line="0" w:lineRule="atLeast"/>
        <w:jc w:val="both"/>
        <w:rPr>
          <w:rFonts w:ascii="Arial" w:hAnsi="Arial" w:cs="Arial"/>
          <w:b/>
          <w:bCs/>
          <w:sz w:val="20"/>
          <w:szCs w:val="20"/>
        </w:rPr>
      </w:pPr>
      <w:r w:rsidRPr="00DC1329">
        <w:rPr>
          <w:rFonts w:ascii="Arial" w:hAnsi="Arial" w:cs="Arial" w:hint="eastAsia"/>
          <w:b/>
          <w:bCs/>
          <w:sz w:val="20"/>
          <w:szCs w:val="20"/>
        </w:rPr>
        <w:t>Q2</w:t>
      </w:r>
    </w:p>
    <w:p w14:paraId="253C9AA7" w14:textId="77777777" w:rsidR="00086413" w:rsidRPr="00DC1329" w:rsidRDefault="00086413" w:rsidP="00DC1329">
      <w:pPr>
        <w:spacing w:after="0" w:line="0" w:lineRule="atLeast"/>
        <w:jc w:val="both"/>
        <w:rPr>
          <w:rFonts w:ascii="Arial" w:hAnsi="Arial" w:cs="Arial"/>
          <w:sz w:val="20"/>
          <w:szCs w:val="20"/>
        </w:rPr>
      </w:pPr>
      <w:r w:rsidRPr="00DC1329">
        <w:rPr>
          <w:rFonts w:ascii="Arial" w:hAnsi="Arial" w:cs="Arial"/>
          <w:sz w:val="20"/>
          <w:szCs w:val="20"/>
        </w:rPr>
        <w:t>Enterprises can assess their internal strengths and build competitive advantages by applying the Resource-Based View (RBV) and value chain analysis.</w:t>
      </w:r>
    </w:p>
    <w:p w14:paraId="2105D07C" w14:textId="77777777" w:rsidR="00086413" w:rsidRPr="00DC1329" w:rsidRDefault="00086413" w:rsidP="00DC1329">
      <w:pPr>
        <w:spacing w:after="0" w:line="0" w:lineRule="atLeast"/>
        <w:jc w:val="both"/>
        <w:rPr>
          <w:rFonts w:ascii="Arial" w:hAnsi="Arial" w:cs="Arial"/>
          <w:sz w:val="20"/>
          <w:szCs w:val="20"/>
        </w:rPr>
      </w:pPr>
      <w:r w:rsidRPr="00DC1329">
        <w:rPr>
          <w:rFonts w:ascii="Arial" w:hAnsi="Arial" w:cs="Arial"/>
          <w:sz w:val="20"/>
          <w:szCs w:val="20"/>
        </w:rPr>
        <w:t>The Resource-Based View states that competitive advantages stem from valuable, scarce, difficult-to-imitate, and well-organized resources and capabilities. Taking Audi as an example, these resources and capabilities include brand assets, engineering technology, and various resources within the Volkswagen Group. Value chain analysis divides activities into primary functions and supporting functions, helping Audi identify its efficiency and advantages in research and development, manufacturing, marketing, and after-sales service.</w:t>
      </w:r>
    </w:p>
    <w:p w14:paraId="7CA9950E" w14:textId="79ED7463" w:rsidR="00C9067B" w:rsidRPr="00DC1329" w:rsidRDefault="00086413" w:rsidP="00DC1329">
      <w:pPr>
        <w:spacing w:after="0" w:line="0" w:lineRule="atLeast"/>
        <w:jc w:val="both"/>
        <w:rPr>
          <w:rFonts w:ascii="Arial" w:hAnsi="Arial" w:cs="Arial" w:hint="eastAsia"/>
          <w:sz w:val="20"/>
          <w:szCs w:val="20"/>
        </w:rPr>
      </w:pPr>
      <w:r w:rsidRPr="00DC1329">
        <w:rPr>
          <w:rFonts w:ascii="Arial" w:hAnsi="Arial" w:cs="Arial"/>
          <w:sz w:val="20"/>
          <w:szCs w:val="20"/>
        </w:rPr>
        <w:t>By combining these two frameworks, Audi can utilize its technological and brand resources to enhance differentiation and reduce costs through optimizing operational efficiency, thereby establishing a competitive advantage.</w:t>
      </w:r>
    </w:p>
    <w:p w14:paraId="690CE1AF" w14:textId="551A6DCE" w:rsidR="00C9067B" w:rsidRPr="00DC1329" w:rsidRDefault="00C9067B" w:rsidP="00DC1329">
      <w:pPr>
        <w:spacing w:after="0" w:line="0" w:lineRule="atLeast"/>
        <w:jc w:val="both"/>
        <w:rPr>
          <w:rFonts w:ascii="Arial" w:hAnsi="Arial" w:cs="Arial" w:hint="eastAsia"/>
          <w:b/>
          <w:bCs/>
          <w:sz w:val="20"/>
          <w:szCs w:val="20"/>
          <w:lang w:val="en-US"/>
        </w:rPr>
      </w:pPr>
      <w:r w:rsidRPr="00DC1329">
        <w:rPr>
          <w:rFonts w:ascii="Arial" w:hAnsi="Arial" w:cs="Arial" w:hint="eastAsia"/>
          <w:b/>
          <w:bCs/>
          <w:sz w:val="20"/>
          <w:szCs w:val="20"/>
        </w:rPr>
        <w:t>Q3</w:t>
      </w:r>
    </w:p>
    <w:p w14:paraId="5CCA3A4B" w14:textId="7CFB2B60" w:rsidR="00C9067B" w:rsidRPr="00DC1329" w:rsidRDefault="007D4E03" w:rsidP="00DC1329">
      <w:pPr>
        <w:spacing w:after="0" w:line="0" w:lineRule="atLeast"/>
        <w:jc w:val="both"/>
        <w:rPr>
          <w:rFonts w:ascii="Arial" w:hAnsi="Arial" w:cs="Arial" w:hint="eastAsia"/>
          <w:sz w:val="20"/>
          <w:szCs w:val="20"/>
        </w:rPr>
      </w:pPr>
      <w:r w:rsidRPr="00DC1329">
        <w:rPr>
          <w:rFonts w:ascii="Arial" w:hAnsi="Arial" w:cs="Arial"/>
          <w:sz w:val="20"/>
          <w:szCs w:val="20"/>
        </w:rPr>
        <w:t>Take Audi as an example. It can enhance its products by understanding the customers' demands for high-end electric mobility, digital experiences, and sustainability, ensuring that its product development aligns with the actual user needs. Audi can demonstrate its high-end quality and electric vehicle technology through a value-based pricing strategy, while maintaining flexibility in key markets such as China. Continuous innovation in electric drive systems, autonomous driving, and intelligent connectivity helps distinguish Audi from traditional competitors and new electric vehicle competitors. Targeted marketing that emphasizes engineering excellence, sustainability, and a high-end lifestyle can enhance the brand image and customer loyalty. These strategies work together to enable Audi to strengthen customer preferences, enhance competitive advantages, and maintain its position in the global luxury car market.</w:t>
      </w:r>
    </w:p>
    <w:p w14:paraId="78C4C9C2" w14:textId="7DD07F8E" w:rsidR="00C9067B" w:rsidRPr="00DC1329" w:rsidRDefault="00C9067B" w:rsidP="00DC1329">
      <w:pPr>
        <w:spacing w:after="0" w:line="0" w:lineRule="atLeast"/>
        <w:jc w:val="both"/>
        <w:rPr>
          <w:rFonts w:ascii="Arial" w:hAnsi="Arial" w:cs="Arial"/>
          <w:b/>
          <w:bCs/>
          <w:sz w:val="20"/>
          <w:szCs w:val="20"/>
        </w:rPr>
      </w:pPr>
      <w:r w:rsidRPr="00DC1329">
        <w:rPr>
          <w:rFonts w:ascii="Arial" w:hAnsi="Arial" w:cs="Arial" w:hint="eastAsia"/>
          <w:b/>
          <w:bCs/>
          <w:sz w:val="20"/>
          <w:szCs w:val="20"/>
        </w:rPr>
        <w:t>Q4</w:t>
      </w:r>
    </w:p>
    <w:p w14:paraId="6A04529A" w14:textId="77777777" w:rsidR="00D50532" w:rsidRPr="00DC1329" w:rsidRDefault="00D50532" w:rsidP="00DC1329">
      <w:pPr>
        <w:spacing w:after="0" w:line="0" w:lineRule="atLeast"/>
        <w:jc w:val="both"/>
        <w:rPr>
          <w:rFonts w:ascii="Arial" w:hAnsi="Arial" w:cs="Arial"/>
          <w:sz w:val="20"/>
          <w:szCs w:val="20"/>
        </w:rPr>
      </w:pPr>
      <w:r w:rsidRPr="00DC1329">
        <w:rPr>
          <w:rFonts w:ascii="Arial" w:hAnsi="Arial" w:cs="Arial"/>
          <w:sz w:val="20"/>
          <w:szCs w:val="20"/>
        </w:rPr>
        <w:t xml:space="preserve">Enterprises should </w:t>
      </w:r>
      <w:proofErr w:type="gramStart"/>
      <w:r w:rsidRPr="00DC1329">
        <w:rPr>
          <w:rFonts w:ascii="Arial" w:hAnsi="Arial" w:cs="Arial"/>
          <w:sz w:val="20"/>
          <w:szCs w:val="20"/>
        </w:rPr>
        <w:t>take into account</w:t>
      </w:r>
      <w:proofErr w:type="gramEnd"/>
      <w:r w:rsidRPr="00DC1329">
        <w:rPr>
          <w:rFonts w:ascii="Arial" w:hAnsi="Arial" w:cs="Arial"/>
          <w:sz w:val="20"/>
          <w:szCs w:val="20"/>
        </w:rPr>
        <w:t xml:space="preserve"> the interests of both shareholders and stakeholders, rather than focusing solely on economic returns. Take Audi as an example. The shareholder perspective emphasizes profits, market share, and long-term returns for investors. However, stakeholders cannot be ignored either. Therefore, Audi must consider factors such as customers, employees, suppliers, the government, communities, and the environment. Focusing only on short-term profits may lead to damaged reputation and loss of competitiveness, while balancing both can help achieve stable growth and sustainable success.</w:t>
      </w:r>
    </w:p>
    <w:p w14:paraId="42E1DE3A" w14:textId="77777777" w:rsidR="00D50532" w:rsidRPr="00DC1329" w:rsidRDefault="00D50532" w:rsidP="00DC1329">
      <w:pPr>
        <w:spacing w:after="0" w:line="0" w:lineRule="atLeast"/>
        <w:jc w:val="both"/>
        <w:rPr>
          <w:rFonts w:ascii="Arial" w:hAnsi="Arial" w:cs="Arial"/>
          <w:sz w:val="20"/>
          <w:szCs w:val="20"/>
        </w:rPr>
      </w:pPr>
      <w:r w:rsidRPr="00DC1329">
        <w:rPr>
          <w:rFonts w:ascii="Arial" w:hAnsi="Arial" w:cs="Arial"/>
          <w:sz w:val="20"/>
          <w:szCs w:val="20"/>
        </w:rPr>
        <w:t>Audi has demonstrated strong corporate social responsibility through measures such as achieving carbon neutrality, responsible supply chain management, ethical production, and social investment plans. It actively reduces emissions in the manufacturing process and supports fair working conditions in the global supply chain. These corporate social responsibility activities have enhanced brand trust and are a long-term strategic value source.</w:t>
      </w:r>
    </w:p>
    <w:p w14:paraId="6E172059" w14:textId="77777777" w:rsidR="00D50532" w:rsidRPr="00DC1329" w:rsidRDefault="00D50532" w:rsidP="00DC1329">
      <w:pPr>
        <w:spacing w:after="0" w:line="0" w:lineRule="atLeast"/>
        <w:jc w:val="both"/>
        <w:rPr>
          <w:rFonts w:ascii="Arial" w:hAnsi="Arial" w:cs="Arial"/>
          <w:sz w:val="20"/>
          <w:szCs w:val="20"/>
        </w:rPr>
      </w:pPr>
      <w:r w:rsidRPr="00DC1329">
        <w:rPr>
          <w:rFonts w:ascii="Arial" w:hAnsi="Arial" w:cs="Arial"/>
          <w:sz w:val="20"/>
          <w:szCs w:val="20"/>
        </w:rPr>
        <w:t xml:space="preserve">Audi's corporate culture is supported by innovation and strengthening environmental responsibility to promote sustainable development. Its culture encourages engineers and managers to prioritize low-carbon technologies, follow the principles of the circular economy, and make responsible decisions. A strong sustainability-oriented culture can unite employees, align internal </w:t>
      </w:r>
      <w:proofErr w:type="spellStart"/>
      <w:r w:rsidRPr="00DC1329">
        <w:rPr>
          <w:rFonts w:ascii="Arial" w:hAnsi="Arial" w:cs="Arial"/>
          <w:sz w:val="20"/>
          <w:szCs w:val="20"/>
        </w:rPr>
        <w:t>behavior</w:t>
      </w:r>
      <w:proofErr w:type="spellEnd"/>
      <w:r w:rsidRPr="00DC1329">
        <w:rPr>
          <w:rFonts w:ascii="Arial" w:hAnsi="Arial" w:cs="Arial"/>
          <w:sz w:val="20"/>
          <w:szCs w:val="20"/>
        </w:rPr>
        <w:t xml:space="preserve"> with global goals, and ensure that environmental and social goals are integrated into daily operations and long-term strategies.</w:t>
      </w:r>
    </w:p>
    <w:p w14:paraId="0391654A" w14:textId="0840E8E7" w:rsidR="00C9067B" w:rsidRPr="00DC1329" w:rsidRDefault="00D50532" w:rsidP="00DC1329">
      <w:pPr>
        <w:spacing w:after="0" w:line="0" w:lineRule="atLeast"/>
        <w:jc w:val="both"/>
        <w:rPr>
          <w:rFonts w:ascii="Arial" w:hAnsi="Arial" w:cs="Arial"/>
          <w:sz w:val="20"/>
          <w:szCs w:val="20"/>
        </w:rPr>
      </w:pPr>
      <w:r w:rsidRPr="00DC1329">
        <w:rPr>
          <w:rFonts w:ascii="Arial" w:hAnsi="Arial" w:cs="Arial"/>
          <w:sz w:val="20"/>
          <w:szCs w:val="20"/>
        </w:rPr>
        <w:t>In addition to pursuing profits, Audi plays a key role in promoting the global transition to sustainable transportation methods, reducing carbon emissions, and supporting technological progress. As a large automotive manufacturer, it contributes to economic development, employment, and advanced industrial innovation. By undertaking broader social responsibilities, it builds public trust, demonstrating that modern enterprises not only create value for investors but also for society.</w:t>
      </w:r>
    </w:p>
    <w:p w14:paraId="7BFE185F" w14:textId="77777777" w:rsidR="00C9067B" w:rsidRDefault="00C9067B" w:rsidP="00503EC0">
      <w:pPr>
        <w:spacing w:after="0" w:line="360" w:lineRule="auto"/>
        <w:jc w:val="both"/>
        <w:rPr>
          <w:rFonts w:ascii="Arial" w:hAnsi="Arial" w:cs="Arial"/>
          <w:sz w:val="24"/>
        </w:rPr>
      </w:pPr>
    </w:p>
    <w:p w14:paraId="5AC0501F" w14:textId="77777777" w:rsidR="00C9067B" w:rsidRDefault="00C9067B" w:rsidP="00503EC0">
      <w:pPr>
        <w:spacing w:after="0" w:line="360" w:lineRule="auto"/>
        <w:jc w:val="both"/>
        <w:rPr>
          <w:rFonts w:ascii="Arial" w:hAnsi="Arial" w:cs="Arial"/>
          <w:sz w:val="24"/>
        </w:rPr>
      </w:pPr>
    </w:p>
    <w:p w14:paraId="2C03DEEE" w14:textId="77777777" w:rsidR="00DC1329" w:rsidRDefault="00DC1329" w:rsidP="00503EC0">
      <w:pPr>
        <w:spacing w:after="0" w:line="360" w:lineRule="auto"/>
        <w:jc w:val="both"/>
        <w:rPr>
          <w:rFonts w:ascii="Arial" w:hAnsi="Arial" w:cs="Arial"/>
          <w:b/>
          <w:bCs/>
          <w:sz w:val="24"/>
        </w:rPr>
      </w:pPr>
    </w:p>
    <w:p w14:paraId="76154173" w14:textId="12F71596" w:rsidR="00C9067B" w:rsidRPr="00C9067B" w:rsidRDefault="00C9067B" w:rsidP="00503EC0">
      <w:pPr>
        <w:spacing w:after="0" w:line="360" w:lineRule="auto"/>
        <w:jc w:val="both"/>
        <w:rPr>
          <w:rFonts w:ascii="Arial" w:hAnsi="Arial" w:cs="Arial"/>
          <w:b/>
          <w:bCs/>
          <w:sz w:val="24"/>
        </w:rPr>
      </w:pPr>
      <w:r w:rsidRPr="00C9067B">
        <w:rPr>
          <w:rFonts w:ascii="Arial" w:hAnsi="Arial" w:cs="Arial" w:hint="eastAsia"/>
          <w:b/>
          <w:bCs/>
          <w:sz w:val="24"/>
        </w:rPr>
        <w:lastRenderedPageBreak/>
        <w:t>References</w:t>
      </w:r>
    </w:p>
    <w:p w14:paraId="018CB8BB" w14:textId="77777777" w:rsidR="00281494" w:rsidRPr="00281494" w:rsidRDefault="00281494" w:rsidP="00281494">
      <w:pPr>
        <w:spacing w:after="0" w:line="360" w:lineRule="auto"/>
        <w:jc w:val="both"/>
        <w:rPr>
          <w:rFonts w:ascii="Arial" w:hAnsi="Arial" w:cs="Arial"/>
          <w:sz w:val="24"/>
        </w:rPr>
      </w:pPr>
      <w:r w:rsidRPr="00281494">
        <w:rPr>
          <w:rFonts w:ascii="Arial" w:hAnsi="Arial" w:cs="Arial"/>
          <w:sz w:val="24"/>
        </w:rPr>
        <w:t>Johnson, G., Scholes, K., &amp; Whittington, R. (2019). Exploring Corporate Strategy (12th ed.). Pearson Education.</w:t>
      </w:r>
    </w:p>
    <w:p w14:paraId="0E97A1D2" w14:textId="77777777" w:rsidR="00281494" w:rsidRPr="00281494" w:rsidRDefault="00281494" w:rsidP="00281494">
      <w:pPr>
        <w:spacing w:after="0" w:line="360" w:lineRule="auto"/>
        <w:jc w:val="both"/>
        <w:rPr>
          <w:rFonts w:ascii="Arial" w:hAnsi="Arial" w:cs="Arial"/>
          <w:sz w:val="24"/>
        </w:rPr>
      </w:pPr>
      <w:r w:rsidRPr="00281494">
        <w:rPr>
          <w:rFonts w:ascii="Arial" w:hAnsi="Arial" w:cs="Arial"/>
          <w:sz w:val="24"/>
        </w:rPr>
        <w:t>Morrison, J. (2020). The Global Business Environment (5th ed.). Palgrave Macmillan.</w:t>
      </w:r>
    </w:p>
    <w:p w14:paraId="6A27BE7E" w14:textId="77777777" w:rsidR="00281494" w:rsidRPr="00281494" w:rsidRDefault="00281494" w:rsidP="00281494">
      <w:pPr>
        <w:spacing w:after="0" w:line="360" w:lineRule="auto"/>
        <w:jc w:val="both"/>
        <w:rPr>
          <w:rFonts w:ascii="Arial" w:hAnsi="Arial" w:cs="Arial"/>
          <w:sz w:val="24"/>
        </w:rPr>
      </w:pPr>
      <w:r w:rsidRPr="00281494">
        <w:rPr>
          <w:rFonts w:ascii="Arial" w:hAnsi="Arial" w:cs="Arial"/>
          <w:sz w:val="24"/>
        </w:rPr>
        <w:t>Porter, M. E. (2004). Competitive Advantage. Harper Collins.</w:t>
      </w:r>
    </w:p>
    <w:p w14:paraId="11C3DEE0" w14:textId="77777777" w:rsidR="00281494" w:rsidRPr="00281494" w:rsidRDefault="00281494" w:rsidP="00281494">
      <w:pPr>
        <w:spacing w:after="0" w:line="360" w:lineRule="auto"/>
        <w:jc w:val="both"/>
        <w:rPr>
          <w:rFonts w:ascii="Arial" w:hAnsi="Arial" w:cs="Arial"/>
          <w:sz w:val="24"/>
        </w:rPr>
      </w:pPr>
      <w:r w:rsidRPr="00281494">
        <w:rPr>
          <w:rFonts w:ascii="Arial" w:hAnsi="Arial" w:cs="Arial"/>
          <w:sz w:val="24"/>
        </w:rPr>
        <w:t>Sloman, J., Garratt, D., Guest, J., &amp; Jones, E. (2019). Economics for Business. Pearson.</w:t>
      </w:r>
    </w:p>
    <w:p w14:paraId="5C0C892C" w14:textId="2249F33F" w:rsidR="00C9067B" w:rsidRPr="004E7C65" w:rsidRDefault="00281494" w:rsidP="00281494">
      <w:pPr>
        <w:spacing w:after="0" w:line="360" w:lineRule="auto"/>
        <w:jc w:val="both"/>
        <w:rPr>
          <w:rFonts w:ascii="Arial" w:hAnsi="Arial" w:cs="Arial" w:hint="eastAsia"/>
          <w:sz w:val="24"/>
        </w:rPr>
      </w:pPr>
      <w:r w:rsidRPr="00281494">
        <w:rPr>
          <w:rFonts w:ascii="Arial" w:hAnsi="Arial" w:cs="Arial"/>
          <w:sz w:val="24"/>
        </w:rPr>
        <w:t>Thompson, J., Scott, J., &amp; Martin, F. (2022). Strategic Management and Sustainability: Awareness and Change (10th ed.). Cengage Learning EMEA.</w:t>
      </w:r>
    </w:p>
    <w:sectPr w:rsidR="00C9067B" w:rsidRPr="004E7C65" w:rsidSect="001F29FB">
      <w:pgSz w:w="11906" w:h="16838"/>
      <w:pgMar w:top="720" w:right="720" w:bottom="720" w:left="72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345"/>
    <w:rsid w:val="00086413"/>
    <w:rsid w:val="001F29FB"/>
    <w:rsid w:val="0021611C"/>
    <w:rsid w:val="00231995"/>
    <w:rsid w:val="00281494"/>
    <w:rsid w:val="002B6B64"/>
    <w:rsid w:val="0030622A"/>
    <w:rsid w:val="003311BA"/>
    <w:rsid w:val="003D2461"/>
    <w:rsid w:val="004E7C65"/>
    <w:rsid w:val="00503EC0"/>
    <w:rsid w:val="00656EC3"/>
    <w:rsid w:val="007D4E03"/>
    <w:rsid w:val="00822E5B"/>
    <w:rsid w:val="008E68C1"/>
    <w:rsid w:val="0093780E"/>
    <w:rsid w:val="009D4CB5"/>
    <w:rsid w:val="00A23345"/>
    <w:rsid w:val="00BB0692"/>
    <w:rsid w:val="00C226B1"/>
    <w:rsid w:val="00C9067B"/>
    <w:rsid w:val="00CD35C6"/>
    <w:rsid w:val="00D50532"/>
    <w:rsid w:val="00DC1329"/>
    <w:rsid w:val="00F35DCC"/>
    <w:rsid w:val="00F414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A4F0"/>
  <w15:chartTrackingRefBased/>
  <w15:docId w15:val="{83463D39-F059-EF46-8DB4-8978D2908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A2334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2334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2334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2334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A23345"/>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A23345"/>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A23345"/>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23345"/>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A23345"/>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23345"/>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A23345"/>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A23345"/>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A23345"/>
    <w:rPr>
      <w:rFonts w:cstheme="majorBidi"/>
      <w:color w:val="0F4761" w:themeColor="accent1" w:themeShade="BF"/>
      <w:sz w:val="28"/>
      <w:szCs w:val="28"/>
      <w:lang w:val="en-GB"/>
    </w:rPr>
  </w:style>
  <w:style w:type="character" w:customStyle="1" w:styleId="50">
    <w:name w:val="标题 5 字符"/>
    <w:basedOn w:val="a0"/>
    <w:link w:val="5"/>
    <w:uiPriority w:val="9"/>
    <w:semiHidden/>
    <w:rsid w:val="00A23345"/>
    <w:rPr>
      <w:rFonts w:cstheme="majorBidi"/>
      <w:color w:val="0F4761" w:themeColor="accent1" w:themeShade="BF"/>
      <w:sz w:val="24"/>
      <w:lang w:val="en-GB"/>
    </w:rPr>
  </w:style>
  <w:style w:type="character" w:customStyle="1" w:styleId="60">
    <w:name w:val="标题 6 字符"/>
    <w:basedOn w:val="a0"/>
    <w:link w:val="6"/>
    <w:uiPriority w:val="9"/>
    <w:semiHidden/>
    <w:rsid w:val="00A23345"/>
    <w:rPr>
      <w:rFonts w:cstheme="majorBidi"/>
      <w:b/>
      <w:bCs/>
      <w:color w:val="0F4761" w:themeColor="accent1" w:themeShade="BF"/>
      <w:lang w:val="en-GB"/>
    </w:rPr>
  </w:style>
  <w:style w:type="character" w:customStyle="1" w:styleId="70">
    <w:name w:val="标题 7 字符"/>
    <w:basedOn w:val="a0"/>
    <w:link w:val="7"/>
    <w:uiPriority w:val="9"/>
    <w:semiHidden/>
    <w:rsid w:val="00A23345"/>
    <w:rPr>
      <w:rFonts w:cstheme="majorBidi"/>
      <w:b/>
      <w:bCs/>
      <w:color w:val="595959" w:themeColor="text1" w:themeTint="A6"/>
      <w:lang w:val="en-GB"/>
    </w:rPr>
  </w:style>
  <w:style w:type="character" w:customStyle="1" w:styleId="80">
    <w:name w:val="标题 8 字符"/>
    <w:basedOn w:val="a0"/>
    <w:link w:val="8"/>
    <w:uiPriority w:val="9"/>
    <w:semiHidden/>
    <w:rsid w:val="00A23345"/>
    <w:rPr>
      <w:rFonts w:cstheme="majorBidi"/>
      <w:color w:val="595959" w:themeColor="text1" w:themeTint="A6"/>
      <w:lang w:val="en-GB"/>
    </w:rPr>
  </w:style>
  <w:style w:type="character" w:customStyle="1" w:styleId="90">
    <w:name w:val="标题 9 字符"/>
    <w:basedOn w:val="a0"/>
    <w:link w:val="9"/>
    <w:uiPriority w:val="9"/>
    <w:semiHidden/>
    <w:rsid w:val="00A23345"/>
    <w:rPr>
      <w:rFonts w:eastAsiaTheme="majorEastAsia" w:cstheme="majorBidi"/>
      <w:color w:val="595959" w:themeColor="text1" w:themeTint="A6"/>
      <w:lang w:val="en-GB"/>
    </w:rPr>
  </w:style>
  <w:style w:type="paragraph" w:styleId="a3">
    <w:name w:val="Title"/>
    <w:basedOn w:val="a"/>
    <w:next w:val="a"/>
    <w:link w:val="a4"/>
    <w:uiPriority w:val="10"/>
    <w:qFormat/>
    <w:rsid w:val="00A2334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23345"/>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A23345"/>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23345"/>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A23345"/>
    <w:pPr>
      <w:spacing w:before="160"/>
      <w:jc w:val="center"/>
    </w:pPr>
    <w:rPr>
      <w:i/>
      <w:iCs/>
      <w:color w:val="404040" w:themeColor="text1" w:themeTint="BF"/>
    </w:rPr>
  </w:style>
  <w:style w:type="character" w:customStyle="1" w:styleId="a8">
    <w:name w:val="引用 字符"/>
    <w:basedOn w:val="a0"/>
    <w:link w:val="a7"/>
    <w:uiPriority w:val="29"/>
    <w:rsid w:val="00A23345"/>
    <w:rPr>
      <w:i/>
      <w:iCs/>
      <w:color w:val="404040" w:themeColor="text1" w:themeTint="BF"/>
      <w:lang w:val="en-GB"/>
    </w:rPr>
  </w:style>
  <w:style w:type="paragraph" w:styleId="a9">
    <w:name w:val="List Paragraph"/>
    <w:basedOn w:val="a"/>
    <w:uiPriority w:val="34"/>
    <w:qFormat/>
    <w:rsid w:val="00A23345"/>
    <w:pPr>
      <w:ind w:left="720"/>
      <w:contextualSpacing/>
    </w:pPr>
  </w:style>
  <w:style w:type="character" w:styleId="aa">
    <w:name w:val="Intense Emphasis"/>
    <w:basedOn w:val="a0"/>
    <w:uiPriority w:val="21"/>
    <w:qFormat/>
    <w:rsid w:val="00A23345"/>
    <w:rPr>
      <w:i/>
      <w:iCs/>
      <w:color w:val="0F4761" w:themeColor="accent1" w:themeShade="BF"/>
    </w:rPr>
  </w:style>
  <w:style w:type="paragraph" w:styleId="ab">
    <w:name w:val="Intense Quote"/>
    <w:basedOn w:val="a"/>
    <w:next w:val="a"/>
    <w:link w:val="ac"/>
    <w:uiPriority w:val="30"/>
    <w:qFormat/>
    <w:rsid w:val="00A23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23345"/>
    <w:rPr>
      <w:i/>
      <w:iCs/>
      <w:color w:val="0F4761" w:themeColor="accent1" w:themeShade="BF"/>
      <w:lang w:val="en-GB"/>
    </w:rPr>
  </w:style>
  <w:style w:type="character" w:styleId="ad">
    <w:name w:val="Intense Reference"/>
    <w:basedOn w:val="a0"/>
    <w:uiPriority w:val="32"/>
    <w:qFormat/>
    <w:rsid w:val="00A233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D1BCF-68A8-C644-AF80-CED0086BB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971</Words>
  <Characters>5540</Characters>
  <Application>Microsoft Office Word</Application>
  <DocSecurity>0</DocSecurity>
  <Lines>46</Lines>
  <Paragraphs>12</Paragraphs>
  <ScaleCrop>false</ScaleCrop>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Jinqi Sha (2502887)</dc:creator>
  <cp:keywords/>
  <dc:description/>
  <cp:lastModifiedBy>Jinqi Sha (2502887)</cp:lastModifiedBy>
  <cp:revision>2</cp:revision>
  <dcterms:created xsi:type="dcterms:W3CDTF">2026-05-11T17:39:00Z</dcterms:created>
  <dcterms:modified xsi:type="dcterms:W3CDTF">2026-05-11T17:39:00Z</dcterms:modified>
</cp:coreProperties>
</file>