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40"/>
          <w:szCs w:val="40"/>
        </w:rPr>
      </w:pPr>
      <w:r w:rsidDel="00000000" w:rsidR="00000000" w:rsidRPr="00000000">
        <w:rPr>
          <w:rtl w:val="0"/>
        </w:rPr>
      </w:r>
    </w:p>
    <w:p w:rsidR="00000000" w:rsidDel="00000000" w:rsidP="00000000" w:rsidRDefault="00000000" w:rsidRPr="00000000" w14:paraId="00000002">
      <w:pPr>
        <w:jc w:val="center"/>
        <w:rPr>
          <w:b w:val="1"/>
          <w:bCs w:val="1"/>
          <w:sz w:val="40"/>
          <w:szCs w:val="40"/>
        </w:rPr>
      </w:pPr>
      <w:r w:rsidDel="00000000" w:rsidR="00000000" w:rsidRPr="00000000">
        <w:rPr>
          <w:rtl w:val="0"/>
        </w:rPr>
      </w:r>
    </w:p>
    <w:p w:rsidR="00000000" w:rsidDel="00000000" w:rsidP="00000000" w:rsidRDefault="00000000" w:rsidRPr="00000000" w14:paraId="00000003">
      <w:pPr>
        <w:jc w:val="center"/>
        <w:rPr>
          <w:b w:val="1"/>
          <w:bCs w:val="1"/>
          <w:sz w:val="40"/>
          <w:szCs w:val="40"/>
        </w:rPr>
      </w:pPr>
      <w:r w:rsidDel="00000000" w:rsidR="00000000" w:rsidRPr="00000000">
        <w:rPr>
          <w:b w:val="1"/>
          <w:bCs w:val="1"/>
          <w:sz w:val="40"/>
          <w:szCs w:val="40"/>
        </w:rPr>
        <w:drawing>
          <wp:inline distB="114300" distT="114300" distL="114300" distR="114300">
            <wp:extent cx="3148501" cy="1072996"/>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148501" cy="1072996"/>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jc w:val="center"/>
        <w:rPr>
          <w:b w:val="1"/>
          <w:bCs w:val="1"/>
          <w:sz w:val="40"/>
          <w:szCs w:val="40"/>
        </w:rPr>
      </w:pPr>
      <w:r w:rsidDel="00000000" w:rsidR="00000000" w:rsidRPr="00000000">
        <w:rPr>
          <w:rtl w:val="0"/>
        </w:rPr>
      </w:r>
    </w:p>
    <w:p w:rsidR="00000000" w:rsidDel="00000000" w:rsidP="00000000" w:rsidRDefault="00000000" w:rsidRPr="00000000" w14:paraId="00000005">
      <w:pPr>
        <w:jc w:val="center"/>
        <w:rPr>
          <w:b w:val="1"/>
          <w:bCs w:val="1"/>
          <w:sz w:val="32"/>
          <w:szCs w:val="32"/>
        </w:rPr>
      </w:pPr>
      <w:r w:rsidDel="00000000" w:rsidR="00000000" w:rsidRPr="00000000">
        <w:rPr>
          <w:b w:val="1"/>
          <w:bCs w:val="1"/>
          <w:sz w:val="32"/>
          <w:szCs w:val="32"/>
          <w:rtl w:val="0"/>
        </w:rPr>
        <w:t xml:space="preserve">Student Name: Jatin Makwana </w:t>
      </w:r>
    </w:p>
    <w:p w:rsidR="00000000" w:rsidDel="00000000" w:rsidP="00000000" w:rsidRDefault="00000000" w:rsidRPr="00000000" w14:paraId="00000006">
      <w:pPr>
        <w:jc w:val="center"/>
        <w:rPr>
          <w:b w:val="1"/>
          <w:bCs w:val="1"/>
          <w:sz w:val="32"/>
          <w:szCs w:val="32"/>
        </w:rPr>
      </w:pPr>
      <w:r w:rsidDel="00000000" w:rsidR="00000000" w:rsidRPr="00000000">
        <w:rPr>
          <w:b w:val="1"/>
          <w:bCs w:val="1"/>
          <w:sz w:val="32"/>
          <w:szCs w:val="32"/>
          <w:rtl w:val="0"/>
        </w:rPr>
        <w:t xml:space="preserve">Student Id: 2521166</w:t>
      </w:r>
    </w:p>
    <w:p w:rsidR="00000000" w:rsidDel="00000000" w:rsidP="00000000" w:rsidRDefault="00000000" w:rsidRPr="00000000" w14:paraId="00000007">
      <w:pPr>
        <w:jc w:val="center"/>
        <w:rPr>
          <w:b w:val="1"/>
          <w:bCs w:val="1"/>
          <w:sz w:val="32"/>
          <w:szCs w:val="32"/>
        </w:rPr>
      </w:pPr>
      <w:r w:rsidDel="00000000" w:rsidR="00000000" w:rsidRPr="00000000">
        <w:rPr>
          <w:b w:val="1"/>
          <w:bCs w:val="1"/>
          <w:sz w:val="32"/>
          <w:szCs w:val="32"/>
          <w:rtl w:val="0"/>
        </w:rPr>
        <w:t xml:space="preserve">Lecturer Name: Diola Bijlhout</w:t>
      </w:r>
    </w:p>
    <w:p w:rsidR="00000000" w:rsidDel="00000000" w:rsidP="00000000" w:rsidRDefault="00000000" w:rsidRPr="00000000" w14:paraId="00000008">
      <w:pPr>
        <w:jc w:val="center"/>
        <w:rPr>
          <w:b w:val="1"/>
          <w:bCs w:val="1"/>
          <w:sz w:val="32"/>
          <w:szCs w:val="32"/>
        </w:rPr>
      </w:pPr>
      <w:r w:rsidDel="00000000" w:rsidR="00000000" w:rsidRPr="00000000">
        <w:rPr>
          <w:b w:val="1"/>
          <w:bCs w:val="1"/>
          <w:sz w:val="32"/>
          <w:szCs w:val="32"/>
          <w:rtl w:val="0"/>
        </w:rPr>
        <w:t xml:space="preserve">Module Name: Practice-Based Research</w:t>
      </w:r>
    </w:p>
    <w:p w:rsidR="00000000" w:rsidDel="00000000" w:rsidP="00000000" w:rsidRDefault="00000000" w:rsidRPr="00000000" w14:paraId="00000009">
      <w:pPr>
        <w:jc w:val="center"/>
        <w:rPr>
          <w:b w:val="1"/>
          <w:bCs w:val="1"/>
          <w:sz w:val="32"/>
          <w:szCs w:val="32"/>
        </w:rPr>
      </w:pPr>
      <w:r w:rsidDel="00000000" w:rsidR="00000000" w:rsidRPr="00000000">
        <w:rPr>
          <w:b w:val="1"/>
          <w:bCs w:val="1"/>
          <w:sz w:val="32"/>
          <w:szCs w:val="32"/>
          <w:rtl w:val="0"/>
        </w:rPr>
        <w:t xml:space="preserve">Module code: LCHS7008 </w:t>
      </w:r>
    </w:p>
    <w:p w:rsidR="00000000" w:rsidDel="00000000" w:rsidP="00000000" w:rsidRDefault="00000000" w:rsidRPr="00000000" w14:paraId="0000000A">
      <w:pPr>
        <w:jc w:val="center"/>
        <w:rPr>
          <w:b w:val="1"/>
          <w:bCs w:val="1"/>
          <w:sz w:val="32"/>
          <w:szCs w:val="32"/>
        </w:rPr>
      </w:pPr>
      <w:r w:rsidDel="00000000" w:rsidR="00000000" w:rsidRPr="00000000">
        <w:rPr>
          <w:b w:val="1"/>
          <w:bCs w:val="1"/>
          <w:sz w:val="32"/>
          <w:szCs w:val="32"/>
          <w:rtl w:val="0"/>
        </w:rPr>
        <w:t xml:space="preserve">Title: A Systematic Review of the Impact of Delayed Hospital Discharge on Adult Social Care Services in the UK</w:t>
      </w:r>
    </w:p>
    <w:p w:rsidR="00000000" w:rsidDel="00000000" w:rsidP="00000000" w:rsidRDefault="00000000" w:rsidRPr="00000000" w14:paraId="0000000B">
      <w:pPr>
        <w:jc w:val="center"/>
        <w:rPr/>
      </w:pPr>
      <w:r w:rsidDel="00000000" w:rsidR="00000000" w:rsidRPr="00000000">
        <w:rPr>
          <w:b w:val="1"/>
          <w:bCs w:val="1"/>
          <w:sz w:val="32"/>
          <w:szCs w:val="32"/>
          <w:rtl w:val="0"/>
        </w:rPr>
        <w:t xml:space="preserve">Words: 2676</w:t>
      </w:r>
      <w:r w:rsidDel="00000000" w:rsidR="00000000" w:rsidRPr="00000000">
        <w:br w:type="page"/>
      </w:r>
      <w:r w:rsidDel="00000000" w:rsidR="00000000" w:rsidRPr="00000000">
        <w:rPr>
          <w:rtl w:val="0"/>
        </w:rPr>
      </w:r>
    </w:p>
    <w:p w:rsidR="00000000" w:rsidDel="00000000" w:rsidP="00000000" w:rsidRDefault="00000000" w:rsidRPr="00000000" w14:paraId="0000000C">
      <w:pPr>
        <w:jc w:val="center"/>
        <w:rPr/>
      </w:pPr>
      <w:r w:rsidDel="00000000" w:rsidR="00000000" w:rsidRPr="00000000">
        <w:rPr>
          <w:b w:val="1"/>
          <w:bCs w:val="1"/>
          <w:sz w:val="28"/>
          <w:szCs w:val="28"/>
          <w:rtl w:val="0"/>
        </w:rPr>
        <w:t xml:space="preserve">Table of Contents</w:t>
      </w:r>
      <w:r w:rsidDel="00000000" w:rsidR="00000000" w:rsidRPr="00000000">
        <w:rPr>
          <w:rtl w:val="0"/>
        </w:rPr>
        <w:t xml:space="preserve"> </w:t>
      </w:r>
    </w:p>
    <w:sdt>
      <w:sdtPr>
        <w:id w:val="-932646684"/>
        <w:docPartObj>
          <w:docPartGallery w:val="Table of Contents"/>
          <w:docPartUnique w:val="1"/>
        </w:docPartObj>
      </w:sdtPr>
      <w:sdtContent>
        <w:p w:rsidR="00000000" w:rsidDel="00000000" w:rsidP="00000000" w:rsidRDefault="00000000" w:rsidRPr="00000000" w14:paraId="0000000D">
          <w:pPr>
            <w:widowControl w:val="0"/>
            <w:tabs>
              <w:tab w:val="right" w:leader="none" w:pos="9360"/>
            </w:tabs>
            <w:spacing w:after="0" w:before="60" w:lineRule="auto"/>
            <w:jc w:val="left"/>
            <w:rPr>
              <w:color w:val="000000"/>
            </w:rPr>
          </w:pPr>
          <w:r w:rsidDel="00000000" w:rsidR="00000000" w:rsidRPr="00000000">
            <w:fldChar w:fldCharType="begin"/>
            <w:instrText xml:space="preserve"> TOC \h \u \z \t "Heading 1,1,Heading 2,2,Heading 3,3,Heading 4,4,Heading 5,5,Heading 6,6,"</w:instrText>
            <w:fldChar w:fldCharType="separate"/>
          </w:r>
          <w:hyperlink w:anchor="_fv6ei9sml284">
            <w:r w:rsidDel="00000000" w:rsidR="00000000" w:rsidRPr="00000000">
              <w:rPr>
                <w:color w:val="000000"/>
                <w:rtl w:val="0"/>
              </w:rPr>
              <w:t xml:space="preserve">1. Introduction and Background</w:t>
              <w:tab/>
            </w:r>
          </w:hyperlink>
          <w:r w:rsidDel="00000000" w:rsidR="00000000" w:rsidRPr="00000000">
            <w:fldChar w:fldCharType="begin"/>
            <w:instrText xml:space="preserve"> PAGEREF _fv6ei9sml284 \h </w:instrText>
            <w:fldChar w:fldCharType="separate"/>
          </w:r>
          <w:r w:rsidDel="00000000" w:rsidR="00000000" w:rsidRPr="00000000">
            <w:rPr>
              <w:rtl w:val="0"/>
            </w:rPr>
            <w:t xml:space="preserve">3</w:t>
          </w:r>
          <w:r w:rsidDel="00000000" w:rsidR="00000000" w:rsidRPr="00000000">
            <w:fldChar w:fldCharType="begin"/>
            <w:instrText xml:space="preserve"> HYPERLINK \l "_fv6ei9sml284"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E">
          <w:pPr>
            <w:widowControl w:val="0"/>
            <w:tabs>
              <w:tab w:val="right" w:leader="none" w:pos="9360"/>
            </w:tabs>
            <w:spacing w:after="0" w:before="60" w:lineRule="auto"/>
            <w:jc w:val="left"/>
            <w:rPr>
              <w:color w:val="000000"/>
            </w:rPr>
          </w:pPr>
          <w:r w:rsidDel="00000000" w:rsidR="00000000" w:rsidRPr="00000000">
            <w:fldChar w:fldCharType="end"/>
          </w:r>
          <w:hyperlink w:anchor="_11pec0mdzdkx">
            <w:r w:rsidDel="00000000" w:rsidR="00000000" w:rsidRPr="00000000">
              <w:rPr>
                <w:color w:val="000000"/>
                <w:rtl w:val="0"/>
              </w:rPr>
              <w:t xml:space="preserve">2. Research Problem, Rationale and Evidence Gap</w:t>
              <w:tab/>
            </w:r>
          </w:hyperlink>
          <w:r w:rsidDel="00000000" w:rsidR="00000000" w:rsidRPr="00000000">
            <w:fldChar w:fldCharType="begin"/>
            <w:instrText xml:space="preserve"> PAGEREF _11pec0mdzdkx \h </w:instrText>
            <w:fldChar w:fldCharType="separate"/>
          </w:r>
          <w:r w:rsidDel="00000000" w:rsidR="00000000" w:rsidRPr="00000000">
            <w:rPr>
              <w:rtl w:val="0"/>
            </w:rPr>
            <w:t xml:space="preserve">5</w:t>
          </w:r>
          <w:r w:rsidDel="00000000" w:rsidR="00000000" w:rsidRPr="00000000">
            <w:fldChar w:fldCharType="begin"/>
            <w:instrText xml:space="preserve"> HYPERLINK \l "_11pec0mdzdkx"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F">
          <w:pPr>
            <w:widowControl w:val="0"/>
            <w:tabs>
              <w:tab w:val="right" w:leader="none" w:pos="9360"/>
            </w:tabs>
            <w:spacing w:after="0" w:before="60" w:lineRule="auto"/>
            <w:jc w:val="left"/>
            <w:rPr>
              <w:color w:val="000000"/>
            </w:rPr>
          </w:pPr>
          <w:r w:rsidDel="00000000" w:rsidR="00000000" w:rsidRPr="00000000">
            <w:fldChar w:fldCharType="end"/>
          </w:r>
          <w:hyperlink w:anchor="_aeqlxl37ilrw">
            <w:r w:rsidDel="00000000" w:rsidR="00000000" w:rsidRPr="00000000">
              <w:rPr>
                <w:color w:val="000000"/>
                <w:rtl w:val="0"/>
              </w:rPr>
              <w:t xml:space="preserve">3. Literature Review</w:t>
              <w:tab/>
            </w:r>
          </w:hyperlink>
          <w:r w:rsidDel="00000000" w:rsidR="00000000" w:rsidRPr="00000000">
            <w:fldChar w:fldCharType="begin"/>
            <w:instrText xml:space="preserve"> PAGEREF _aeqlxl37ilrw \h </w:instrText>
            <w:fldChar w:fldCharType="separate"/>
          </w:r>
          <w:r w:rsidDel="00000000" w:rsidR="00000000" w:rsidRPr="00000000">
            <w:rPr>
              <w:rtl w:val="0"/>
            </w:rPr>
            <w:t xml:space="preserve">6</w:t>
          </w:r>
          <w:r w:rsidDel="00000000" w:rsidR="00000000" w:rsidRPr="00000000">
            <w:fldChar w:fldCharType="begin"/>
            <w:instrText xml:space="preserve"> HYPERLINK \l "_aeqlxl37ilrw"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9360"/>
            </w:tabs>
            <w:spacing w:after="0" w:before="60" w:lineRule="auto"/>
            <w:jc w:val="left"/>
            <w:rPr>
              <w:color w:val="000000"/>
            </w:rPr>
          </w:pPr>
          <w:r w:rsidDel="00000000" w:rsidR="00000000" w:rsidRPr="00000000">
            <w:fldChar w:fldCharType="end"/>
          </w:r>
          <w:hyperlink w:anchor="_d1dzk5sx0rcb">
            <w:r w:rsidDel="00000000" w:rsidR="00000000" w:rsidRPr="00000000">
              <w:rPr>
                <w:color w:val="000000"/>
                <w:rtl w:val="0"/>
              </w:rPr>
              <w:t xml:space="preserve">4. Research Aim, Objectives and Question</w:t>
              <w:tab/>
            </w:r>
          </w:hyperlink>
          <w:r w:rsidDel="00000000" w:rsidR="00000000" w:rsidRPr="00000000">
            <w:fldChar w:fldCharType="begin"/>
            <w:instrText xml:space="preserve"> PAGEREF _d1dzk5sx0rcb \h </w:instrText>
            <w:fldChar w:fldCharType="separate"/>
          </w:r>
          <w:r w:rsidDel="00000000" w:rsidR="00000000" w:rsidRPr="00000000">
            <w:rPr>
              <w:rtl w:val="0"/>
            </w:rPr>
            <w:t xml:space="preserve">8</w:t>
          </w:r>
          <w:r w:rsidDel="00000000" w:rsidR="00000000" w:rsidRPr="00000000">
            <w:fldChar w:fldCharType="begin"/>
            <w:instrText xml:space="preserve"> HYPERLINK \l "_d1dzk5sx0rcb"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9360"/>
            </w:tabs>
            <w:spacing w:after="0" w:before="60" w:lineRule="auto"/>
            <w:jc w:val="left"/>
            <w:rPr>
              <w:color w:val="000000"/>
            </w:rPr>
          </w:pPr>
          <w:r w:rsidDel="00000000" w:rsidR="00000000" w:rsidRPr="00000000">
            <w:fldChar w:fldCharType="end"/>
          </w:r>
          <w:hyperlink w:anchor="_16bg4zujixnc">
            <w:r w:rsidDel="00000000" w:rsidR="00000000" w:rsidRPr="00000000">
              <w:rPr>
                <w:color w:val="000000"/>
                <w:rtl w:val="0"/>
              </w:rPr>
              <w:t xml:space="preserve">5. Methodology</w:t>
              <w:tab/>
            </w:r>
          </w:hyperlink>
          <w:r w:rsidDel="00000000" w:rsidR="00000000" w:rsidRPr="00000000">
            <w:fldChar w:fldCharType="begin"/>
            <w:instrText xml:space="preserve"> PAGEREF _16bg4zujixnc \h </w:instrText>
            <w:fldChar w:fldCharType="separate"/>
          </w:r>
          <w:r w:rsidDel="00000000" w:rsidR="00000000" w:rsidRPr="00000000">
            <w:rPr>
              <w:rtl w:val="0"/>
            </w:rPr>
            <w:t xml:space="preserve">9</w:t>
          </w:r>
          <w:r w:rsidDel="00000000" w:rsidR="00000000" w:rsidRPr="00000000">
            <w:fldChar w:fldCharType="begin"/>
            <w:instrText xml:space="preserve"> HYPERLINK \l "_16bg4zujixnc"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none" w:pos="9360"/>
            </w:tabs>
            <w:spacing w:after="0" w:before="60" w:lineRule="auto"/>
            <w:jc w:val="left"/>
            <w:rPr>
              <w:color w:val="000000"/>
            </w:rPr>
          </w:pPr>
          <w:r w:rsidDel="00000000" w:rsidR="00000000" w:rsidRPr="00000000">
            <w:fldChar w:fldCharType="end"/>
          </w:r>
          <w:hyperlink w:anchor="_moy6rd3ty61h">
            <w:r w:rsidDel="00000000" w:rsidR="00000000" w:rsidRPr="00000000">
              <w:rPr>
                <w:color w:val="000000"/>
                <w:rtl w:val="0"/>
              </w:rPr>
              <w:t xml:space="preserve">6. Ethical Considerations</w:t>
              <w:tab/>
            </w:r>
          </w:hyperlink>
          <w:r w:rsidDel="00000000" w:rsidR="00000000" w:rsidRPr="00000000">
            <w:fldChar w:fldCharType="begin"/>
            <w:instrText xml:space="preserve"> PAGEREF _moy6rd3ty61h \h </w:instrText>
            <w:fldChar w:fldCharType="separate"/>
          </w:r>
          <w:r w:rsidDel="00000000" w:rsidR="00000000" w:rsidRPr="00000000">
            <w:rPr>
              <w:rtl w:val="0"/>
            </w:rPr>
            <w:t xml:space="preserve">12</w:t>
          </w:r>
          <w:r w:rsidDel="00000000" w:rsidR="00000000" w:rsidRPr="00000000">
            <w:fldChar w:fldCharType="begin"/>
            <w:instrText xml:space="preserve"> HYPERLINK \l "_moy6rd3ty61h"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3">
          <w:pPr>
            <w:widowControl w:val="0"/>
            <w:tabs>
              <w:tab w:val="right" w:leader="none" w:pos="9360"/>
            </w:tabs>
            <w:spacing w:after="0" w:before="60" w:lineRule="auto"/>
            <w:jc w:val="left"/>
            <w:rPr>
              <w:color w:val="000000"/>
            </w:rPr>
          </w:pPr>
          <w:r w:rsidDel="00000000" w:rsidR="00000000" w:rsidRPr="00000000">
            <w:fldChar w:fldCharType="end"/>
          </w:r>
          <w:hyperlink w:anchor="_c9p10tfxxqc">
            <w:r w:rsidDel="00000000" w:rsidR="00000000" w:rsidRPr="00000000">
              <w:rPr>
                <w:color w:val="000000"/>
                <w:rtl w:val="0"/>
              </w:rPr>
              <w:t xml:space="preserve">7. Anticipated Limitations</w:t>
              <w:tab/>
            </w:r>
          </w:hyperlink>
          <w:r w:rsidDel="00000000" w:rsidR="00000000" w:rsidRPr="00000000">
            <w:fldChar w:fldCharType="begin"/>
            <w:instrText xml:space="preserve"> PAGEREF _c9p10tfxxqc \h </w:instrText>
            <w:fldChar w:fldCharType="separate"/>
          </w:r>
          <w:r w:rsidDel="00000000" w:rsidR="00000000" w:rsidRPr="00000000">
            <w:rPr>
              <w:rtl w:val="0"/>
            </w:rPr>
            <w:t xml:space="preserve">12</w:t>
          </w:r>
          <w:r w:rsidDel="00000000" w:rsidR="00000000" w:rsidRPr="00000000">
            <w:fldChar w:fldCharType="begin"/>
            <w:instrText xml:space="preserve"> HYPERLINK \l "_c9p10tfxxqc"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none" w:pos="9360"/>
            </w:tabs>
            <w:spacing w:after="0" w:before="60" w:lineRule="auto"/>
            <w:jc w:val="left"/>
            <w:rPr>
              <w:color w:val="000000"/>
            </w:rPr>
          </w:pPr>
          <w:r w:rsidDel="00000000" w:rsidR="00000000" w:rsidRPr="00000000">
            <w:fldChar w:fldCharType="end"/>
          </w:r>
          <w:hyperlink w:anchor="_4pqmxixn8n6h">
            <w:r w:rsidDel="00000000" w:rsidR="00000000" w:rsidRPr="00000000">
              <w:rPr>
                <w:color w:val="000000"/>
                <w:rtl w:val="0"/>
              </w:rPr>
              <w:t xml:space="preserve">8. Timeline and Expected Contribution</w:t>
              <w:tab/>
            </w:r>
          </w:hyperlink>
          <w:r w:rsidDel="00000000" w:rsidR="00000000" w:rsidRPr="00000000">
            <w:fldChar w:fldCharType="begin"/>
            <w:instrText xml:space="preserve"> PAGEREF _4pqmxixn8n6h \h </w:instrText>
            <w:fldChar w:fldCharType="separate"/>
          </w:r>
          <w:r w:rsidDel="00000000" w:rsidR="00000000" w:rsidRPr="00000000">
            <w:rPr>
              <w:rtl w:val="0"/>
            </w:rPr>
            <w:t xml:space="preserve">13</w:t>
          </w:r>
          <w:r w:rsidDel="00000000" w:rsidR="00000000" w:rsidRPr="00000000">
            <w:fldChar w:fldCharType="begin"/>
            <w:instrText xml:space="preserve"> HYPERLINK \l "_4pqmxixn8n6h"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9360"/>
            </w:tabs>
            <w:spacing w:after="0" w:before="60" w:lineRule="auto"/>
            <w:jc w:val="left"/>
            <w:rPr>
              <w:color w:val="000000"/>
            </w:rPr>
          </w:pPr>
          <w:r w:rsidDel="00000000" w:rsidR="00000000" w:rsidRPr="00000000">
            <w:fldChar w:fldCharType="end"/>
          </w:r>
          <w:hyperlink w:anchor="_d5dee7qc2c9j">
            <w:r w:rsidDel="00000000" w:rsidR="00000000" w:rsidRPr="00000000">
              <w:rPr>
                <w:color w:val="000000"/>
                <w:rtl w:val="0"/>
              </w:rPr>
              <w:t xml:space="preserve">References</w:t>
              <w:tab/>
            </w:r>
          </w:hyperlink>
          <w:r w:rsidDel="00000000" w:rsidR="00000000" w:rsidRPr="00000000">
            <w:fldChar w:fldCharType="begin"/>
            <w:instrText xml:space="preserve"> PAGEREF _d5dee7qc2c9j \h </w:instrText>
            <w:fldChar w:fldCharType="separate"/>
          </w:r>
          <w:r w:rsidDel="00000000" w:rsidR="00000000" w:rsidRPr="00000000">
            <w:rPr>
              <w:rtl w:val="0"/>
            </w:rPr>
            <w:t xml:space="preserve">15</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bookmarkStart w:colFirst="0" w:colLast="0" w:name="_fv6ei9sml284" w:id="0"/>
      <w:bookmarkEnd w:id="0"/>
      <w:r w:rsidDel="00000000" w:rsidR="00000000" w:rsidRPr="00000000">
        <w:rPr>
          <w:rtl w:val="0"/>
        </w:rPr>
        <w:t xml:space="preserve">1. Introduction and Background</w:t>
      </w:r>
    </w:p>
    <w:p w:rsidR="00000000" w:rsidDel="00000000" w:rsidP="00000000" w:rsidRDefault="00000000" w:rsidRPr="00000000" w14:paraId="00000018">
      <w:pPr>
        <w:rPr/>
      </w:pPr>
      <w:r w:rsidDel="00000000" w:rsidR="00000000" w:rsidRPr="00000000">
        <w:rPr>
          <w:rtl w:val="0"/>
        </w:rPr>
        <w:t xml:space="preserve">Delayed discharge from hospital is a valuable point of contention concerning health and social care in the UK. This happens when an individual is medically stable enough to be discharged from the hospital, yet some arrangements necessary for his or her next level of care have not been made. Time is likely to be delayed for receiving support from the community, social-care packages, a placement in a care home, or until funding is secured or co-ordinated between organisations (Chambers et al., 2023). Ince et al. (2022) outline the complexity of delayed discharge and highlight delayed discharge rates ranging from a minimum of 11% to 80% in different settings in the UK. They also identified that there is a lack of clarity in definitions of delay, so conclusions need to be drawn with care and caution, and any services that lead to delayed discharge should be seen more as a system issue than purely a patient problem (Garg, 2023).</w:t>
      </w:r>
    </w:p>
    <w:p w:rsidR="00000000" w:rsidDel="00000000" w:rsidP="00000000" w:rsidRDefault="00000000" w:rsidRPr="00000000" w14:paraId="00000019">
      <w:pPr>
        <w:rPr/>
      </w:pPr>
      <w:r w:rsidDel="00000000" w:rsidR="00000000" w:rsidRPr="00000000">
        <w:rPr/>
        <w:drawing>
          <wp:inline distB="114300" distT="114300" distL="114300" distR="114300">
            <wp:extent cx="5943600" cy="38862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3886200"/>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jc w:val="center"/>
        <w:rPr>
          <w:b w:val="1"/>
          <w:bCs w:val="1"/>
        </w:rPr>
      </w:pPr>
      <w:r w:rsidDel="00000000" w:rsidR="00000000" w:rsidRPr="00000000">
        <w:rPr>
          <w:b w:val="1"/>
          <w:bCs w:val="1"/>
          <w:rtl w:val="0"/>
        </w:rPr>
        <w:t xml:space="preserve">Figure 1: Outcomes of patients</w:t>
      </w:r>
    </w:p>
    <w:p w:rsidR="00000000" w:rsidDel="00000000" w:rsidP="00000000" w:rsidRDefault="00000000" w:rsidRPr="00000000" w14:paraId="0000001B">
      <w:pPr>
        <w:jc w:val="center"/>
        <w:rPr/>
      </w:pPr>
      <w:r w:rsidDel="00000000" w:rsidR="00000000" w:rsidRPr="00000000">
        <w:rPr>
          <w:rtl w:val="0"/>
        </w:rPr>
        <w:t xml:space="preserve">(Source: Foster, 2023)</w:t>
      </w:r>
    </w:p>
    <w:p w:rsidR="00000000" w:rsidDel="00000000" w:rsidP="00000000" w:rsidRDefault="00000000" w:rsidRPr="00000000" w14:paraId="0000001C">
      <w:pPr>
        <w:rPr/>
      </w:pPr>
      <w:r w:rsidDel="00000000" w:rsidR="00000000" w:rsidRPr="00000000">
        <w:rPr>
          <w:rtl w:val="0"/>
        </w:rPr>
        <w:t xml:space="preserve">The scope of the larger issue is quite large. An average of 13,440 patients per day in England were still in hospital in December 2022 when they were not considered to need a hospital stay any longer; this is 30% more than the average of 9,150 patients in December of 2021 (Foster, 2023). Of those awaiting someone to look after them in their home, approximately 24% awaited placement in a care home, whilst approximately 24% awaited intermediate care due to both the NHS and social care facilities (Foster, 2023). More recent evidence indicates that delayed patients in acute hospitals rose from an average of 12,201 per day in January 2022 to 13,750 in January 2026, with capacity being the most common cause of delays in 2025, affecting nearly 3,700 patients weekly who waited for seven days or more (Nuffield Trust, 2025). These numbers are useful to illustrate the importance of discharge delays to adult social-care capacity and resource planning.</w:t>
      </w:r>
    </w:p>
    <w:p w:rsidR="00000000" w:rsidDel="00000000" w:rsidP="00000000" w:rsidRDefault="00000000" w:rsidRPr="00000000" w14:paraId="0000001D">
      <w:pPr>
        <w:rPr/>
      </w:pPr>
      <w:r w:rsidDel="00000000" w:rsidR="00000000" w:rsidRPr="00000000">
        <w:rPr/>
        <w:drawing>
          <wp:inline distB="114300" distT="114300" distL="114300" distR="114300">
            <wp:extent cx="5943600" cy="353060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353060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jc w:val="center"/>
        <w:rPr>
          <w:b w:val="1"/>
          <w:bCs w:val="1"/>
        </w:rPr>
      </w:pPr>
      <w:r w:rsidDel="00000000" w:rsidR="00000000" w:rsidRPr="00000000">
        <w:rPr>
          <w:b w:val="1"/>
          <w:bCs w:val="1"/>
          <w:rtl w:val="0"/>
        </w:rPr>
        <w:t xml:space="preserve">Figure 2: Average delays </w:t>
      </w:r>
    </w:p>
    <w:p w:rsidR="00000000" w:rsidDel="00000000" w:rsidP="00000000" w:rsidRDefault="00000000" w:rsidRPr="00000000" w14:paraId="0000001F">
      <w:pPr>
        <w:jc w:val="center"/>
        <w:rPr/>
      </w:pPr>
      <w:r w:rsidDel="00000000" w:rsidR="00000000" w:rsidRPr="00000000">
        <w:rPr>
          <w:rtl w:val="0"/>
        </w:rPr>
        <w:t xml:space="preserve">(Source: Foster, 2023)</w:t>
      </w:r>
    </w:p>
    <w:p w:rsidR="00000000" w:rsidDel="00000000" w:rsidP="00000000" w:rsidRDefault="00000000" w:rsidRPr="00000000" w14:paraId="00000020">
      <w:pPr>
        <w:rPr/>
      </w:pPr>
      <w:r w:rsidDel="00000000" w:rsidR="00000000" w:rsidRPr="00000000">
        <w:rPr>
          <w:rtl w:val="0"/>
        </w:rPr>
        <w:t xml:space="preserve">The implications go beyond the occupancy of hospital beds (Abdelhalim et al., 2024). These delays could limit the hospitals’ capability to help fill beds, while straining community services resources and potentially worsening seniors' independence and experiences (Gibson et al., 2023). Ibrahim et al. (2022), reported that late discharge has been associated with functional decline, falls, and hospital-related adverse events in patients. Long-term placements and coordinating care packages may also prevent periods of transition to suitable settings (Impact, 2026). However, it would be wrong to only blame the delays on social care alone, as hospital organisation, patient and family factors, and coordination issues can also contribute (Lowdownnhs, 2025).</w:t>
      </w:r>
    </w:p>
    <w:p w:rsidR="00000000" w:rsidDel="00000000" w:rsidP="00000000" w:rsidRDefault="00000000" w:rsidRPr="00000000" w14:paraId="00000021">
      <w:pPr>
        <w:rPr/>
      </w:pPr>
      <w:r w:rsidDel="00000000" w:rsidR="00000000" w:rsidRPr="00000000">
        <w:rPr>
          <w:rtl w:val="0"/>
        </w:rPr>
        <w:t xml:space="preserve">The proposed review, consequently, centers on delayed hospital discharge's impact on adult social-care services in the UK. It will do this by looking at the impact on service capacity, resources, workforce pressures, quality of care, and service user outcomes, as well as ways to enhance discharge and health-social care relationships. </w:t>
      </w:r>
    </w:p>
    <w:p w:rsidR="00000000" w:rsidDel="00000000" w:rsidP="00000000" w:rsidRDefault="00000000" w:rsidRPr="00000000" w14:paraId="00000022">
      <w:pPr>
        <w:pStyle w:val="Heading1"/>
        <w:rPr/>
      </w:pPr>
      <w:bookmarkStart w:colFirst="0" w:colLast="0" w:name="_11pec0mdzdkx" w:id="1"/>
      <w:bookmarkEnd w:id="1"/>
      <w:r w:rsidDel="00000000" w:rsidR="00000000" w:rsidRPr="00000000">
        <w:rPr>
          <w:rtl w:val="0"/>
        </w:rPr>
        <w:t xml:space="preserve">2. Research Problem, Rationale and Evidence Gap</w:t>
      </w:r>
    </w:p>
    <w:p w:rsidR="00000000" w:rsidDel="00000000" w:rsidP="00000000" w:rsidRDefault="00000000" w:rsidRPr="00000000" w14:paraId="00000023">
      <w:pPr>
        <w:rPr/>
      </w:pPr>
      <w:r w:rsidDel="00000000" w:rsidR="00000000" w:rsidRPr="00000000">
        <w:rPr>
          <w:rtl w:val="0"/>
        </w:rPr>
        <w:t xml:space="preserve">Previous studies confirm that current service failures and operational failures do not account for the phenomenon of delayed discharge, which is multi-dimensional (</w:t>
      </w:r>
      <w:r w:rsidDel="00000000" w:rsidR="00000000" w:rsidRPr="00000000">
        <w:rPr>
          <w:color w:val="222222"/>
          <w:rtl w:val="0"/>
        </w:rPr>
        <w:t xml:space="preserve">Jones et al., 2022</w:t>
      </w:r>
      <w:r w:rsidDel="00000000" w:rsidR="00000000" w:rsidRPr="00000000">
        <w:rPr>
          <w:rtl w:val="0"/>
        </w:rPr>
        <w:t xml:space="preserve">). Ince et al. (2022), discovered conflicting definitions and a lack of focus on the experiences of individuals, families and staff on the frontline. This indicates that when analysing the problem, it is necessary to take into account the capacity of the system and the impact of inpatient stay.</w:t>
      </w:r>
    </w:p>
    <w:p w:rsidR="00000000" w:rsidDel="00000000" w:rsidP="00000000" w:rsidRDefault="00000000" w:rsidRPr="00000000" w14:paraId="00000024">
      <w:pPr>
        <w:rPr/>
      </w:pPr>
      <w:r w:rsidDel="00000000" w:rsidR="00000000" w:rsidRPr="00000000">
        <w:rPr>
          <w:rtl w:val="0"/>
        </w:rPr>
        <w:t xml:space="preserve">This is also supported by evidence of the potential need to coordinate discharge planning. Assessment, education, care coordination, liaison with families and providers, conflict resolution, and follow-up were identified as important activities of social work by Dimla et al. (2023), barriers were found to be medical complexity, communication difficulties, and limited resources of time. In order to be directly applicable to the context of adult social care in the UK, however, their review focused on only six studies from Canada and the United States.</w:t>
      </w:r>
    </w:p>
    <w:p w:rsidR="00000000" w:rsidDel="00000000" w:rsidP="00000000" w:rsidRDefault="00000000" w:rsidRPr="00000000" w14:paraId="00000025">
      <w:pPr>
        <w:rPr/>
      </w:pPr>
      <w:r w:rsidDel="00000000" w:rsidR="00000000" w:rsidRPr="00000000">
        <w:rPr>
          <w:rtl w:val="0"/>
        </w:rPr>
        <w:t xml:space="preserve">However, there is a specific evidence gap; research has focused on delayed discharge and discharge planning, but evidence is limited on the effects of these on the capacity for adult social care in the UK, pressures on the workforce, quality, and the outcome for service users (Aggarwal et al., 2024). This review is warranted because it will pull together these dimensions rather than just focusing on delayed discharge from the hospital. It can identify social-care limitations and all the factors that influence the systems involved and be used for balancing service planning, integrated working and future research.</w:t>
      </w:r>
    </w:p>
    <w:p w:rsidR="00000000" w:rsidDel="00000000" w:rsidP="00000000" w:rsidRDefault="00000000" w:rsidRPr="00000000" w14:paraId="00000026">
      <w:pPr>
        <w:pStyle w:val="Heading1"/>
        <w:rPr/>
      </w:pPr>
      <w:bookmarkStart w:colFirst="0" w:colLast="0" w:name="_aeqlxl37ilrw" w:id="2"/>
      <w:bookmarkEnd w:id="2"/>
      <w:r w:rsidDel="00000000" w:rsidR="00000000" w:rsidRPr="00000000">
        <w:rPr>
          <w:rtl w:val="0"/>
        </w:rPr>
        <w:t xml:space="preserve">3. Literature Review</w:t>
      </w:r>
    </w:p>
    <w:p w:rsidR="00000000" w:rsidDel="00000000" w:rsidP="00000000" w:rsidRDefault="00000000" w:rsidRPr="00000000" w14:paraId="00000027">
      <w:pPr>
        <w:rPr>
          <w:b w:val="1"/>
          <w:bCs w:val="1"/>
          <w:i w:val="1"/>
          <w:iCs w:val="1"/>
        </w:rPr>
      </w:pPr>
      <w:r w:rsidDel="00000000" w:rsidR="00000000" w:rsidRPr="00000000">
        <w:rPr>
          <w:b w:val="1"/>
          <w:bCs w:val="1"/>
          <w:i w:val="1"/>
          <w:iCs w:val="1"/>
          <w:rtl w:val="0"/>
        </w:rPr>
        <w:t xml:space="preserve">Theme 1: Social-care capacity</w:t>
      </w:r>
    </w:p>
    <w:p w:rsidR="00000000" w:rsidDel="00000000" w:rsidP="00000000" w:rsidRDefault="00000000" w:rsidRPr="00000000" w14:paraId="00000028">
      <w:pPr>
        <w:rPr>
          <w:b w:val="1"/>
          <w:bCs w:val="1"/>
          <w:i w:val="1"/>
          <w:iCs w:val="1"/>
        </w:rPr>
      </w:pPr>
      <w:r w:rsidDel="00000000" w:rsidR="00000000" w:rsidRPr="00000000">
        <w:rPr>
          <w:b w:val="1"/>
          <w:bCs w:val="1"/>
          <w:i w:val="1"/>
          <w:iCs w:val="1"/>
        </w:rPr>
        <w:drawing>
          <wp:inline distB="114300" distT="114300" distL="114300" distR="114300">
            <wp:extent cx="5943600" cy="3390900"/>
            <wp:effectExtent b="25400" l="25400" r="25400" t="2540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943600" cy="3390900"/>
                    </a:xfrm>
                    <a:prstGeom prst="rect"/>
                    <a:ln w="25400">
                      <a:solidFill>
                        <a:srgbClr val="3C78D8"/>
                      </a:solidFill>
                      <a:prstDash val="solid"/>
                    </a:ln>
                  </pic:spPr>
                </pic:pic>
              </a:graphicData>
            </a:graphic>
          </wp:inline>
        </w:drawing>
      </w:r>
      <w:r w:rsidDel="00000000" w:rsidR="00000000" w:rsidRPr="00000000">
        <w:rPr>
          <w:rtl w:val="0"/>
        </w:rPr>
      </w:r>
    </w:p>
    <w:p w:rsidR="00000000" w:rsidDel="00000000" w:rsidP="00000000" w:rsidRDefault="00000000" w:rsidRPr="00000000" w14:paraId="00000029">
      <w:pPr>
        <w:jc w:val="center"/>
        <w:rPr>
          <w:b w:val="1"/>
          <w:bCs w:val="1"/>
        </w:rPr>
      </w:pPr>
      <w:r w:rsidDel="00000000" w:rsidR="00000000" w:rsidRPr="00000000">
        <w:rPr>
          <w:b w:val="1"/>
          <w:bCs w:val="1"/>
          <w:rtl w:val="0"/>
        </w:rPr>
        <w:t xml:space="preserve">Figure 3: Delayed transfer</w:t>
      </w:r>
    </w:p>
    <w:p w:rsidR="00000000" w:rsidDel="00000000" w:rsidP="00000000" w:rsidRDefault="00000000" w:rsidRPr="00000000" w14:paraId="0000002A">
      <w:pPr>
        <w:jc w:val="center"/>
        <w:rPr/>
      </w:pPr>
      <w:r w:rsidDel="00000000" w:rsidR="00000000" w:rsidRPr="00000000">
        <w:rPr>
          <w:rtl w:val="0"/>
        </w:rPr>
        <w:t xml:space="preserve">(Source: Nuffield Trust, 2025)</w:t>
      </w:r>
    </w:p>
    <w:p w:rsidR="00000000" w:rsidDel="00000000" w:rsidP="00000000" w:rsidRDefault="00000000" w:rsidRPr="00000000" w14:paraId="0000002B">
      <w:pPr>
        <w:rPr/>
      </w:pPr>
      <w:r w:rsidDel="00000000" w:rsidR="00000000" w:rsidRPr="00000000">
        <w:rPr>
          <w:rtl w:val="0"/>
        </w:rPr>
        <w:t xml:space="preserve">The social-care causes of delayed transfer are not as straightforward as an inadequate “provider capacity” (see Fig 3). As also choice of patient and differences in the local system can affect delays, as Gridley et al. (2022), demonstrate. This delves deep into questioning explanations that assume the shortage of social care is to blame (Cam et al., 2023). However, if someone needs a home-care package, intermediate care or care home placement, capacity still has a vital role to play (Alshadeedi et al., 2025).</w:t>
      </w:r>
    </w:p>
    <w:p w:rsidR="00000000" w:rsidDel="00000000" w:rsidP="00000000" w:rsidRDefault="00000000" w:rsidRPr="00000000" w14:paraId="0000002C">
      <w:pPr>
        <w:rPr>
          <w:b w:val="1"/>
          <w:bCs w:val="1"/>
          <w:i w:val="1"/>
          <w:iCs w:val="1"/>
        </w:rPr>
      </w:pPr>
      <w:r w:rsidDel="00000000" w:rsidR="00000000" w:rsidRPr="00000000">
        <w:rPr>
          <w:b w:val="1"/>
          <w:bCs w:val="1"/>
          <w:i w:val="1"/>
          <w:iCs w:val="1"/>
          <w:rtl w:val="0"/>
        </w:rPr>
        <w:t xml:space="preserve">Theme 2: Stress on the workforce and the need for coordination</w:t>
      </w:r>
    </w:p>
    <w:p w:rsidR="00000000" w:rsidDel="00000000" w:rsidP="00000000" w:rsidRDefault="00000000" w:rsidRPr="00000000" w14:paraId="0000002D">
      <w:pPr>
        <w:rPr/>
      </w:pPr>
      <w:r w:rsidDel="00000000" w:rsidR="00000000" w:rsidRPr="00000000">
        <w:rPr>
          <w:rtl w:val="0"/>
        </w:rPr>
        <w:t xml:space="preserve">Heenan (2023), identifies the difficulties for hospital social workers in the clinical setting where the professional role, organisational priorities and pressures may lead to difficulties in discharge planning. Smith et al. (2022), also describe a range of barriers and facilitators to shorter admissions, which align with the belief that the discharge process depends on events that take place between organisational boundaries. In the adult social care setting, delays can lead to higher staffing pressures, and workforce issues can limit the provision of social care in a community setting.</w:t>
      </w:r>
    </w:p>
    <w:p w:rsidR="00000000" w:rsidDel="00000000" w:rsidP="00000000" w:rsidRDefault="00000000" w:rsidRPr="00000000" w14:paraId="0000002E">
      <w:pPr>
        <w:rPr>
          <w:b w:val="1"/>
          <w:bCs w:val="1"/>
          <w:i w:val="1"/>
          <w:iCs w:val="1"/>
        </w:rPr>
      </w:pPr>
      <w:r w:rsidDel="00000000" w:rsidR="00000000" w:rsidRPr="00000000">
        <w:rPr>
          <w:b w:val="1"/>
          <w:bCs w:val="1"/>
          <w:i w:val="1"/>
          <w:iCs w:val="1"/>
          <w:rtl w:val="0"/>
        </w:rPr>
        <w:t xml:space="preserve">Theme 3: Quality and outcomes </w:t>
      </w:r>
    </w:p>
    <w:p w:rsidR="00000000" w:rsidDel="00000000" w:rsidP="00000000" w:rsidRDefault="00000000" w:rsidRPr="00000000" w14:paraId="0000002F">
      <w:pPr>
        <w:rPr>
          <w:b w:val="1"/>
          <w:bCs w:val="1"/>
          <w:i w:val="1"/>
          <w:iCs w:val="1"/>
        </w:rPr>
      </w:pPr>
      <w:r w:rsidDel="00000000" w:rsidR="00000000" w:rsidRPr="00000000">
        <w:rPr>
          <w:b w:val="1"/>
          <w:bCs w:val="1"/>
          <w:i w:val="1"/>
          <w:iCs w:val="1"/>
        </w:rPr>
        <w:drawing>
          <wp:inline distB="114300" distT="114300" distL="114300" distR="114300">
            <wp:extent cx="5915025" cy="5572125"/>
            <wp:effectExtent b="25400" l="25400" r="25400" t="2540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915025" cy="5572125"/>
                    </a:xfrm>
                    <a:prstGeom prst="rect"/>
                    <a:ln w="25400">
                      <a:solidFill>
                        <a:srgbClr val="6D9EEB"/>
                      </a:solidFill>
                      <a:prstDash val="solid"/>
                    </a:ln>
                  </pic:spPr>
                </pic:pic>
              </a:graphicData>
            </a:graphic>
          </wp:inline>
        </w:drawing>
      </w:r>
      <w:r w:rsidDel="00000000" w:rsidR="00000000" w:rsidRPr="00000000">
        <w:rPr>
          <w:rtl w:val="0"/>
        </w:rPr>
      </w:r>
    </w:p>
    <w:p w:rsidR="00000000" w:rsidDel="00000000" w:rsidP="00000000" w:rsidRDefault="00000000" w:rsidRPr="00000000" w14:paraId="00000030">
      <w:pPr>
        <w:jc w:val="center"/>
        <w:rPr>
          <w:b w:val="1"/>
          <w:bCs w:val="1"/>
        </w:rPr>
      </w:pPr>
      <w:r w:rsidDel="00000000" w:rsidR="00000000" w:rsidRPr="00000000">
        <w:rPr>
          <w:b w:val="1"/>
          <w:bCs w:val="1"/>
          <w:rtl w:val="0"/>
        </w:rPr>
        <w:t xml:space="preserve">Figure 4: Reason for delayed transfer of care</w:t>
      </w:r>
    </w:p>
    <w:p w:rsidR="00000000" w:rsidDel="00000000" w:rsidP="00000000" w:rsidRDefault="00000000" w:rsidRPr="00000000" w14:paraId="00000031">
      <w:pPr>
        <w:jc w:val="center"/>
        <w:rPr>
          <w:b w:val="1"/>
          <w:bCs w:val="1"/>
          <w:i w:val="1"/>
          <w:iCs w:val="1"/>
        </w:rPr>
      </w:pPr>
      <w:r w:rsidDel="00000000" w:rsidR="00000000" w:rsidRPr="00000000">
        <w:rPr>
          <w:rtl w:val="0"/>
        </w:rPr>
        <w:t xml:space="preserve">(Source: Nuffield Trust, 2025)</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Successful hospital-to-home transitions, what is needed for older adults with multiple long-term conditions including dementia, requires context, relationship and co-ordinated support and is more than one intervention (Lawson et al., 2025). Market acceleration for this product may thus be unsuitable if there is no support (Teale et al., 2024). However, Ibrahim et al. (2022), also reported rates as decreasing from 15.45 to 9.04 days (41.5%) with no increase in re-admission rates. This is carried out outside the UK, but it will prove useful for coordinated approaches (Reeves et al., 2023).</w:t>
      </w:r>
    </w:p>
    <w:p w:rsidR="00000000" w:rsidDel="00000000" w:rsidP="00000000" w:rsidRDefault="00000000" w:rsidRPr="00000000" w14:paraId="00000033">
      <w:pPr>
        <w:rPr>
          <w:b w:val="1"/>
          <w:bCs w:val="1"/>
          <w:i w:val="1"/>
          <w:iCs w:val="1"/>
        </w:rPr>
      </w:pPr>
      <w:r w:rsidDel="00000000" w:rsidR="00000000" w:rsidRPr="00000000">
        <w:rPr>
          <w:b w:val="1"/>
          <w:bCs w:val="1"/>
          <w:i w:val="1"/>
          <w:iCs w:val="1"/>
          <w:rtl w:val="0"/>
        </w:rPr>
        <w:t xml:space="preserve">Theme 4: Integrated solutions</w:t>
      </w:r>
    </w:p>
    <w:p w:rsidR="00000000" w:rsidDel="00000000" w:rsidP="00000000" w:rsidRDefault="00000000" w:rsidRPr="00000000" w14:paraId="00000034">
      <w:pPr>
        <w:rPr/>
      </w:pPr>
      <w:r w:rsidDel="00000000" w:rsidR="00000000" w:rsidRPr="00000000">
        <w:rPr>
          <w:rtl w:val="0"/>
        </w:rPr>
        <w:t xml:space="preserve">Gadsby et al. (2022), conducted a critical review of “discharge to assess” in Kent to highlight the need to consider how policy models can work in local systems. Moreover, Dimla et al. (2023) demonstrate the role of social workers in a coordination, liaison, and follow-up role. However, there is no evidence that a single model will be equally successful in UK settings. The overall picture is confirmed by the literature in that capacity building, having a critical workforce, and integration matter, but there is disintegration of roles, populations, and outcomes (</w:t>
      </w:r>
      <w:r w:rsidDel="00000000" w:rsidR="00000000" w:rsidRPr="00000000">
        <w:rPr>
          <w:color w:val="222222"/>
          <w:rtl w:val="0"/>
        </w:rPr>
        <w:t xml:space="preserve">Pellico-López et al., 2022</w:t>
      </w:r>
      <w:r w:rsidDel="00000000" w:rsidR="00000000" w:rsidRPr="00000000">
        <w:rPr>
          <w:rtl w:val="0"/>
        </w:rPr>
        <w:t xml:space="preserve">). Hence, a systematic review, specific to the UK context, will be a necessary step to synthesise and understand the commonalities, disagreements and lack of evidence. It will also consider whether solutions proposed alleviate system problems more widely, or whether they only involve transferring the burden from hospitals to adult social-care providers. </w:t>
      </w:r>
    </w:p>
    <w:p w:rsidR="00000000" w:rsidDel="00000000" w:rsidP="00000000" w:rsidRDefault="00000000" w:rsidRPr="00000000" w14:paraId="00000035">
      <w:pPr>
        <w:pStyle w:val="Heading1"/>
        <w:rPr/>
      </w:pPr>
      <w:bookmarkStart w:colFirst="0" w:colLast="0" w:name="_d1dzk5sx0rcb" w:id="3"/>
      <w:bookmarkEnd w:id="3"/>
      <w:r w:rsidDel="00000000" w:rsidR="00000000" w:rsidRPr="00000000">
        <w:rPr>
          <w:rtl w:val="0"/>
        </w:rPr>
        <w:t xml:space="preserve">4. Research Aim, Objectives and Question</w:t>
      </w:r>
    </w:p>
    <w:p w:rsidR="00000000" w:rsidDel="00000000" w:rsidP="00000000" w:rsidRDefault="00000000" w:rsidRPr="00000000" w14:paraId="00000036">
      <w:pPr>
        <w:rPr/>
      </w:pPr>
      <w:r w:rsidDel="00000000" w:rsidR="00000000" w:rsidRPr="00000000">
        <w:rPr>
          <w:b w:val="1"/>
          <w:bCs w:val="1"/>
          <w:rtl w:val="0"/>
        </w:rPr>
        <w:t xml:space="preserve">Aim:</w:t>
      </w:r>
      <w:r w:rsidDel="00000000" w:rsidR="00000000" w:rsidRPr="00000000">
        <w:rPr>
          <w:rtl w:val="0"/>
        </w:rPr>
        <w:t xml:space="preserve"> To systematically review and synthesise existing evidence on the impact of delayed hospital discharge on adult social care services in the UK, with particular focus on service capacity, workforce pressures, quality of care, and outcomes for service users.</w:t>
      </w:r>
    </w:p>
    <w:p w:rsidR="00000000" w:rsidDel="00000000" w:rsidP="00000000" w:rsidRDefault="00000000" w:rsidRPr="00000000" w14:paraId="00000037">
      <w:pPr>
        <w:rPr>
          <w:b w:val="1"/>
          <w:bCs w:val="1"/>
          <w:i w:val="1"/>
          <w:iCs w:val="1"/>
        </w:rPr>
      </w:pPr>
      <w:r w:rsidDel="00000000" w:rsidR="00000000" w:rsidRPr="00000000">
        <w:rPr>
          <w:b w:val="1"/>
          <w:bCs w:val="1"/>
          <w:i w:val="1"/>
          <w:iCs w:val="1"/>
          <w:rtl w:val="0"/>
        </w:rPr>
        <w:t xml:space="preserve">Objectives of Research Activity</w:t>
      </w:r>
    </w:p>
    <w:p w:rsidR="00000000" w:rsidDel="00000000" w:rsidP="00000000" w:rsidRDefault="00000000" w:rsidRPr="00000000" w14:paraId="00000038">
      <w:pPr>
        <w:rPr/>
      </w:pPr>
      <w:r w:rsidDel="00000000" w:rsidR="00000000" w:rsidRPr="00000000">
        <w:rPr>
          <w:rtl w:val="0"/>
        </w:rPr>
        <w:t xml:space="preserve">1. To identify and synthesise evidence on the effects of delayed hospital discharge on adult social care services in the UK.</w:t>
      </w:r>
    </w:p>
    <w:p w:rsidR="00000000" w:rsidDel="00000000" w:rsidP="00000000" w:rsidRDefault="00000000" w:rsidRPr="00000000" w14:paraId="00000039">
      <w:pPr>
        <w:rPr/>
      </w:pPr>
      <w:r w:rsidDel="00000000" w:rsidR="00000000" w:rsidRPr="00000000">
        <w:rPr>
          <w:rtl w:val="0"/>
        </w:rPr>
        <w:t xml:space="preserve">2. To examine the impact of delayed hospital discharge on adult social care service capacity and resource allocation.</w:t>
      </w:r>
    </w:p>
    <w:p w:rsidR="00000000" w:rsidDel="00000000" w:rsidP="00000000" w:rsidRDefault="00000000" w:rsidRPr="00000000" w14:paraId="0000003A">
      <w:pPr>
        <w:rPr/>
      </w:pPr>
      <w:r w:rsidDel="00000000" w:rsidR="00000000" w:rsidRPr="00000000">
        <w:rPr>
          <w:rtl w:val="0"/>
        </w:rPr>
        <w:t xml:space="preserve">3. To evaluate the effects of delayed hospital discharge on workforce workload, staffing pressures, and service delivery.</w:t>
      </w:r>
    </w:p>
    <w:p w:rsidR="00000000" w:rsidDel="00000000" w:rsidP="00000000" w:rsidRDefault="00000000" w:rsidRPr="00000000" w14:paraId="0000003B">
      <w:pPr>
        <w:rPr/>
      </w:pPr>
      <w:r w:rsidDel="00000000" w:rsidR="00000000" w:rsidRPr="00000000">
        <w:rPr>
          <w:rtl w:val="0"/>
        </w:rPr>
        <w:t xml:space="preserve">4. To assess the impact of delayed hospital discharge on the quality of care and outcomes experienced by adult social care service users.</w:t>
      </w:r>
    </w:p>
    <w:p w:rsidR="00000000" w:rsidDel="00000000" w:rsidP="00000000" w:rsidRDefault="00000000" w:rsidRPr="00000000" w14:paraId="0000003C">
      <w:pPr>
        <w:rPr/>
      </w:pPr>
      <w:r w:rsidDel="00000000" w:rsidR="00000000" w:rsidRPr="00000000">
        <w:rPr>
          <w:rtl w:val="0"/>
        </w:rPr>
        <w:t xml:space="preserve">5. To identify gaps in the evidence and provide recommendations for health and adult social care policy and practice.</w:t>
      </w:r>
    </w:p>
    <w:p w:rsidR="00000000" w:rsidDel="00000000" w:rsidP="00000000" w:rsidRDefault="00000000" w:rsidRPr="00000000" w14:paraId="0000003D">
      <w:pPr>
        <w:rPr>
          <w:b w:val="1"/>
          <w:bCs w:val="1"/>
          <w:i w:val="1"/>
          <w:iCs w:val="1"/>
        </w:rPr>
      </w:pPr>
      <w:r w:rsidDel="00000000" w:rsidR="00000000" w:rsidRPr="00000000">
        <w:rPr>
          <w:b w:val="1"/>
          <w:bCs w:val="1"/>
          <w:i w:val="1"/>
          <w:iCs w:val="1"/>
          <w:rtl w:val="0"/>
        </w:rPr>
        <w:t xml:space="preserve">Research Question</w:t>
      </w:r>
    </w:p>
    <w:p w:rsidR="00000000" w:rsidDel="00000000" w:rsidP="00000000" w:rsidRDefault="00000000" w:rsidRPr="00000000" w14:paraId="0000003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bCs w:val="0"/>
          <w:i w:val="0"/>
          <w:iCs w:val="0"/>
          <w:smallCaps w:val="0"/>
          <w:strike w:val="0"/>
          <w:color w:val="000000"/>
          <w:sz w:val="24"/>
          <w:szCs w:val="24"/>
          <w:u w:val="none"/>
          <w:shd w:fill="auto" w:val="clear"/>
          <w:vertAlign w:val="baseline"/>
        </w:rPr>
      </w:pPr>
      <w:bookmarkStart w:colFirst="0" w:colLast="0" w:name="_16bg4zujixnc" w:id="4"/>
      <w:bookmarkEnd w:id="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What is the impact of delayed hospital discharge on adult social care capacity, workforce pressures, quality of care and service-user outcomes in the UK?</w:t>
      </w:r>
    </w:p>
    <w:p w:rsidR="00000000" w:rsidDel="00000000" w:rsidP="00000000" w:rsidRDefault="00000000" w:rsidRPr="00000000" w14:paraId="0000003F">
      <w:pPr>
        <w:pStyle w:val="Heading1"/>
        <w:rPr/>
      </w:pPr>
      <w:r w:rsidDel="00000000" w:rsidR="00000000" w:rsidRPr="00000000">
        <w:rPr>
          <w:rtl w:val="0"/>
        </w:rPr>
        <w:t xml:space="preserve">5. Methodology</w:t>
      </w:r>
    </w:p>
    <w:p w:rsidR="00000000" w:rsidDel="00000000" w:rsidP="00000000" w:rsidRDefault="00000000" w:rsidRPr="00000000" w14:paraId="00000040">
      <w:pPr>
        <w:rPr>
          <w:b w:val="1"/>
          <w:bCs w:val="1"/>
          <w:i w:val="1"/>
          <w:iCs w:val="1"/>
        </w:rPr>
      </w:pPr>
      <w:r w:rsidDel="00000000" w:rsidR="00000000" w:rsidRPr="00000000">
        <w:rPr>
          <w:b w:val="1"/>
          <w:bCs w:val="1"/>
          <w:i w:val="1"/>
          <w:iCs w:val="1"/>
          <w:rtl w:val="0"/>
        </w:rPr>
        <w:t xml:space="preserve">Research Approach and Review Design</w:t>
      </w:r>
    </w:p>
    <w:p w:rsidR="00000000" w:rsidDel="00000000" w:rsidP="00000000" w:rsidRDefault="00000000" w:rsidRPr="00000000" w14:paraId="00000041">
      <w:pPr>
        <w:rPr/>
      </w:pPr>
      <w:r w:rsidDel="00000000" w:rsidR="00000000" w:rsidRPr="00000000">
        <w:rPr>
          <w:rtl w:val="0"/>
        </w:rPr>
        <w:t xml:space="preserve">The research method used in this study is a systematic literature review with a secondary data research approach. A systematic review is suitable when the research question is guided by evidence from a number of studies, and requires a structured and transparent approach for identification, critical evaluation and synthesis (Smela et al., 2023). The proposed approach will be conducted with predetermined search, selection and appraisal processes which offer a lower risk of selecting evidence. When evaluating research, it is essential to have a systematic approach to methodological procedures, especially in the topics of identification and evaluation of research, as emphasised by Myung (2023).</w:t>
      </w:r>
    </w:p>
    <w:p w:rsidR="00000000" w:rsidDel="00000000" w:rsidP="00000000" w:rsidRDefault="00000000" w:rsidRPr="00000000" w14:paraId="00000042">
      <w:pPr>
        <w:rPr/>
      </w:pPr>
      <w:r w:rsidDel="00000000" w:rsidR="00000000" w:rsidRPr="00000000">
        <w:rPr>
          <w:rtl w:val="0"/>
        </w:rPr>
        <w:t xml:space="preserve">The review will concentrate on published evidence about delayed hospital discharge and the impact it has on adult social care in the UK. Qualitative and quantitative studies will be taken into account if they offer information that relates to the research question posed. This combines both measurable service pressures and experiences, organisation and quality of care, and is acceptable since the proposed review is a mix of these. </w:t>
      </w:r>
    </w:p>
    <w:p w:rsidR="00000000" w:rsidDel="00000000" w:rsidP="00000000" w:rsidRDefault="00000000" w:rsidRPr="00000000" w14:paraId="00000043">
      <w:pPr>
        <w:rPr>
          <w:b w:val="1"/>
          <w:bCs w:val="1"/>
          <w:i w:val="1"/>
          <w:iCs w:val="1"/>
        </w:rPr>
      </w:pPr>
      <w:r w:rsidDel="00000000" w:rsidR="00000000" w:rsidRPr="00000000">
        <w:rPr>
          <w:b w:val="1"/>
          <w:bCs w:val="1"/>
          <w:i w:val="1"/>
          <w:iCs w:val="1"/>
          <w:rtl w:val="0"/>
        </w:rPr>
        <w:t xml:space="preserve">Information Sources and Databases</w:t>
      </w:r>
    </w:p>
    <w:p w:rsidR="00000000" w:rsidDel="00000000" w:rsidP="00000000" w:rsidRDefault="00000000" w:rsidRPr="00000000" w14:paraId="00000044">
      <w:pPr>
        <w:rPr/>
      </w:pPr>
      <w:r w:rsidDel="00000000" w:rsidR="00000000" w:rsidRPr="00000000">
        <w:rPr>
          <w:rtl w:val="0"/>
        </w:rPr>
        <w:t xml:space="preserve">The extensive search will be carried out in PubMed, CINAHL, Web of Science and Google Scholar. These are the databases that have been chosen to cover health, social-care, nursing, multidisciplinary and wider academic literature.</w:t>
      </w:r>
    </w:p>
    <w:p w:rsidR="00000000" w:rsidDel="00000000" w:rsidP="00000000" w:rsidRDefault="00000000" w:rsidRPr="00000000" w14:paraId="00000045">
      <w:pPr>
        <w:rPr/>
      </w:pPr>
      <w:r w:rsidDel="00000000" w:rsidR="00000000" w:rsidRPr="00000000">
        <w:rPr>
          <w:rtl w:val="0"/>
        </w:rPr>
        <w:t xml:space="preserve">Additionally, where necessary to give context to relevant policy and evidence from the UK, these will also be referred to, most notably government and recognised health and social-care organisations. These sources will be used appropriately in addition to peer-reviewed research sources and not as a replacement for primary academic evidence. </w:t>
      </w:r>
    </w:p>
    <w:p w:rsidR="00000000" w:rsidDel="00000000" w:rsidP="00000000" w:rsidRDefault="00000000" w:rsidRPr="00000000" w14:paraId="00000046">
      <w:pPr>
        <w:rPr/>
      </w:pPr>
      <w:r w:rsidDel="00000000" w:rsidR="00000000" w:rsidRPr="00000000">
        <w:rPr>
          <w:b w:val="1"/>
          <w:bCs w:val="1"/>
          <w:i w:val="1"/>
          <w:iCs w:val="1"/>
          <w:rtl w:val="0"/>
        </w:rPr>
        <w:t xml:space="preserve">Search Strategy</w:t>
      </w: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The search strategy will combine keywords relating to the exposure, population, outcomes and geographical setting. The following keywords will feature in the search terms, such as “delayed hospital discharge”, “delayed transfer of care”, “hospital discharge delay”, “delayed discharge”, “adult social care”, “social care services”, “community care”, “care home”, “domiciliary care”, “workforce pressure”, “service capacity”, “quality of care”, “service user outcomes”, “integrated care”, “United Kingdom” and relevant UK nations.</w:t>
      </w:r>
    </w:p>
    <w:p w:rsidR="00000000" w:rsidDel="00000000" w:rsidP="00000000" w:rsidRDefault="00000000" w:rsidRPr="00000000" w14:paraId="00000048">
      <w:pPr>
        <w:rPr/>
      </w:pPr>
      <w:r w:rsidDel="00000000" w:rsidR="00000000" w:rsidRPr="00000000">
        <w:rPr>
          <w:rtl w:val="0"/>
        </w:rPr>
        <w:t xml:space="preserve">Boolean operators (AND, OR) will be used to bring concepts and explore relevant variations together. Keyword combinations (string comparisons) can include a combination of terms, including: “delayed hospital discharge” OR “delayed transfer of care”) AND (“adult social care” OR “social care services”) AND (“United Kingdom” OR England OR Scotland OR Wales OR “Northern Ireland”).</w:t>
      </w:r>
    </w:p>
    <w:p w:rsidR="00000000" w:rsidDel="00000000" w:rsidP="00000000" w:rsidRDefault="00000000" w:rsidRPr="00000000" w14:paraId="00000049">
      <w:pPr>
        <w:rPr/>
      </w:pPr>
      <w:r w:rsidDel="00000000" w:rsidR="00000000" w:rsidRPr="00000000">
        <w:rPr>
          <w:b w:val="1"/>
          <w:bCs w:val="1"/>
          <w:i w:val="1"/>
          <w:iCs w:val="1"/>
          <w:rtl w:val="0"/>
        </w:rPr>
        <w:t xml:space="preserve">Inclusion and Exclusion Criteria</w:t>
      </w: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905"/>
        <w:gridCol w:w="4455"/>
        <w:tblGridChange w:id="0">
          <w:tblGrid>
            <w:gridCol w:w="4905"/>
            <w:gridCol w:w="4455"/>
          </w:tblGrid>
        </w:tblGridChange>
      </w:tblGrid>
      <w:tr>
        <w:trPr>
          <w:cantSplit w:val="0"/>
          <w:tblHeader w:val="0"/>
        </w:trPr>
        <w:tc>
          <w:tcPr>
            <w:shd w:fill="93c47d" w:val="clear"/>
            <w:tcMar>
              <w:top w:w="100.0" w:type="dxa"/>
              <w:left w:w="100.0" w:type="dxa"/>
              <w:bottom w:w="100.0" w:type="dxa"/>
              <w:right w:w="100.0" w:type="dxa"/>
            </w:tcMar>
          </w:tcPr>
          <w:p w:rsidR="00000000" w:rsidDel="00000000" w:rsidP="00000000" w:rsidRDefault="00000000" w:rsidRPr="00000000" w14:paraId="0000004A">
            <w:pPr>
              <w:widowControl w:val="0"/>
              <w:pBdr>
                <w:top w:space="0" w:sz="0" w:val="nil"/>
                <w:left w:space="0" w:sz="0" w:val="nil"/>
                <w:bottom w:space="0" w:sz="0" w:val="nil"/>
                <w:right w:space="0" w:sz="0" w:val="nil"/>
                <w:between w:space="0" w:sz="0" w:val="nil"/>
              </w:pBdr>
              <w:spacing w:after="0" w:lineRule="auto"/>
              <w:jc w:val="center"/>
              <w:rPr>
                <w:b w:val="1"/>
                <w:bCs w:val="1"/>
              </w:rPr>
            </w:pPr>
            <w:r w:rsidDel="00000000" w:rsidR="00000000" w:rsidRPr="00000000">
              <w:rPr>
                <w:b w:val="1"/>
                <w:bCs w:val="1"/>
                <w:rtl w:val="0"/>
              </w:rPr>
              <w:t xml:space="preserve">Inclusion</w:t>
            </w:r>
          </w:p>
        </w:tc>
        <w:tc>
          <w:tcPr>
            <w:shd w:fill="93c47d" w:val="clear"/>
            <w:tcMar>
              <w:top w:w="100.0" w:type="dxa"/>
              <w:left w:w="100.0" w:type="dxa"/>
              <w:bottom w:w="100.0" w:type="dxa"/>
              <w:right w:w="100.0" w:type="dxa"/>
            </w:tcMar>
          </w:tcPr>
          <w:p w:rsidR="00000000" w:rsidDel="00000000" w:rsidP="00000000" w:rsidRDefault="00000000" w:rsidRPr="00000000" w14:paraId="0000004B">
            <w:pPr>
              <w:widowControl w:val="0"/>
              <w:pBdr>
                <w:top w:space="0" w:sz="0" w:val="nil"/>
                <w:left w:space="0" w:sz="0" w:val="nil"/>
                <w:bottom w:space="0" w:sz="0" w:val="nil"/>
                <w:right w:space="0" w:sz="0" w:val="nil"/>
                <w:between w:space="0" w:sz="0" w:val="nil"/>
              </w:pBdr>
              <w:spacing w:after="0" w:lineRule="auto"/>
              <w:jc w:val="center"/>
              <w:rPr>
                <w:b w:val="1"/>
                <w:bCs w:val="1"/>
              </w:rPr>
            </w:pPr>
            <w:r w:rsidDel="00000000" w:rsidR="00000000" w:rsidRPr="00000000">
              <w:rPr>
                <w:b w:val="1"/>
                <w:bCs w:val="1"/>
                <w:rtl w:val="0"/>
              </w:rPr>
              <w:t xml:space="preserve">Exclusion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4C">
            <w:pPr>
              <w:numPr>
                <w:ilvl w:val="0"/>
                <w:numId w:val="2"/>
              </w:numPr>
              <w:spacing w:after="0" w:lineRule="auto"/>
              <w:ind w:left="720" w:hanging="360"/>
              <w:rPr/>
            </w:pPr>
            <w:r w:rsidDel="00000000" w:rsidR="00000000" w:rsidRPr="00000000">
              <w:rPr>
                <w:rtl w:val="0"/>
              </w:rPr>
              <w:t xml:space="preserve">concern adults</w:t>
            </w:r>
          </w:p>
          <w:p w:rsidR="00000000" w:rsidDel="00000000" w:rsidP="00000000" w:rsidRDefault="00000000" w:rsidRPr="00000000" w14:paraId="0000004D">
            <w:pPr>
              <w:numPr>
                <w:ilvl w:val="0"/>
                <w:numId w:val="2"/>
              </w:numPr>
              <w:spacing w:after="0" w:lineRule="auto"/>
              <w:ind w:left="720" w:hanging="360"/>
              <w:rPr/>
            </w:pPr>
            <w:r w:rsidDel="00000000" w:rsidR="00000000" w:rsidRPr="00000000">
              <w:rPr>
                <w:rtl w:val="0"/>
              </w:rPr>
              <w:t xml:space="preserve">relate to the UK</w:t>
            </w:r>
          </w:p>
          <w:p w:rsidR="00000000" w:rsidDel="00000000" w:rsidP="00000000" w:rsidRDefault="00000000" w:rsidRPr="00000000" w14:paraId="0000004E">
            <w:pPr>
              <w:numPr>
                <w:ilvl w:val="0"/>
                <w:numId w:val="2"/>
              </w:numPr>
              <w:spacing w:after="0" w:lineRule="auto"/>
              <w:ind w:left="720" w:hanging="360"/>
              <w:rPr/>
            </w:pPr>
            <w:r w:rsidDel="00000000" w:rsidR="00000000" w:rsidRPr="00000000">
              <w:rPr>
                <w:rtl w:val="0"/>
              </w:rPr>
              <w:t xml:space="preserve">examine delayed hospital discharge or delayed transfer of care</w:t>
            </w:r>
          </w:p>
          <w:p w:rsidR="00000000" w:rsidDel="00000000" w:rsidP="00000000" w:rsidRDefault="00000000" w:rsidRPr="00000000" w14:paraId="0000004F">
            <w:pPr>
              <w:numPr>
                <w:ilvl w:val="0"/>
                <w:numId w:val="2"/>
              </w:numPr>
              <w:spacing w:after="0" w:lineRule="auto"/>
              <w:ind w:left="720" w:hanging="360"/>
              <w:rPr/>
            </w:pPr>
            <w:r w:rsidDel="00000000" w:rsidR="00000000" w:rsidRPr="00000000">
              <w:rPr>
                <w:rtl w:val="0"/>
              </w:rPr>
              <w:t xml:space="preserve">address adult social-care services or relevant social-care outcomes</w:t>
            </w:r>
          </w:p>
          <w:p w:rsidR="00000000" w:rsidDel="00000000" w:rsidP="00000000" w:rsidRDefault="00000000" w:rsidRPr="00000000" w14:paraId="00000050">
            <w:pPr>
              <w:numPr>
                <w:ilvl w:val="0"/>
                <w:numId w:val="2"/>
              </w:numPr>
              <w:spacing w:after="0" w:lineRule="auto"/>
              <w:ind w:left="720" w:hanging="360"/>
              <w:rPr/>
            </w:pPr>
            <w:r w:rsidDel="00000000" w:rsidR="00000000" w:rsidRPr="00000000">
              <w:rPr>
                <w:rtl w:val="0"/>
              </w:rPr>
              <w:t xml:space="preserve">examine service capacity, resources, workforce, service delivery, quality or service-user outcomes</w:t>
            </w:r>
          </w:p>
          <w:p w:rsidR="00000000" w:rsidDel="00000000" w:rsidP="00000000" w:rsidRDefault="00000000" w:rsidRPr="00000000" w14:paraId="00000051">
            <w:pPr>
              <w:numPr>
                <w:ilvl w:val="0"/>
                <w:numId w:val="2"/>
              </w:numPr>
              <w:spacing w:after="0" w:lineRule="auto"/>
              <w:ind w:left="720" w:hanging="360"/>
              <w:rPr/>
            </w:pPr>
            <w:r w:rsidDel="00000000" w:rsidR="00000000" w:rsidRPr="00000000">
              <w:rPr>
                <w:rtl w:val="0"/>
              </w:rPr>
              <w:t xml:space="preserve">are published in English</w:t>
            </w:r>
          </w:p>
          <w:p w:rsidR="00000000" w:rsidDel="00000000" w:rsidP="00000000" w:rsidRDefault="00000000" w:rsidRPr="00000000" w14:paraId="00000052">
            <w:pPr>
              <w:numPr>
                <w:ilvl w:val="0"/>
                <w:numId w:val="2"/>
              </w:numPr>
              <w:spacing w:after="0" w:lineRule="auto"/>
              <w:ind w:left="720" w:hanging="360"/>
              <w:rPr/>
            </w:pPr>
            <w:r w:rsidDel="00000000" w:rsidR="00000000" w:rsidRPr="00000000">
              <w:rPr>
                <w:rtl w:val="0"/>
              </w:rPr>
              <w:t xml:space="preserve">fall within the defined publication period and</w:t>
            </w:r>
          </w:p>
          <w:p w:rsidR="00000000" w:rsidDel="00000000" w:rsidP="00000000" w:rsidRDefault="00000000" w:rsidRPr="00000000" w14:paraId="00000053">
            <w:pPr>
              <w:numPr>
                <w:ilvl w:val="0"/>
                <w:numId w:val="2"/>
              </w:numPr>
              <w:ind w:left="720" w:hanging="360"/>
              <w:rPr/>
            </w:pPr>
            <w:r w:rsidDel="00000000" w:rsidR="00000000" w:rsidRPr="00000000">
              <w:rPr>
                <w:rtl w:val="0"/>
              </w:rPr>
              <w:t xml:space="preserve">provide sufficient information for critical assessment.</w:t>
            </w:r>
          </w:p>
        </w:tc>
        <w:tc>
          <w:tcPr>
            <w:tcMar>
              <w:top w:w="100.0" w:type="dxa"/>
              <w:left w:w="100.0" w:type="dxa"/>
              <w:bottom w:w="100.0" w:type="dxa"/>
              <w:right w:w="100.0" w:type="dxa"/>
            </w:tcMar>
          </w:tcPr>
          <w:p w:rsidR="00000000" w:rsidDel="00000000" w:rsidP="00000000" w:rsidRDefault="00000000" w:rsidRPr="00000000" w14:paraId="00000054">
            <w:pPr>
              <w:numPr>
                <w:ilvl w:val="0"/>
                <w:numId w:val="1"/>
              </w:numPr>
              <w:spacing w:after="0" w:lineRule="auto"/>
              <w:ind w:left="720" w:hanging="360"/>
              <w:rPr/>
            </w:pPr>
            <w:r w:rsidDel="00000000" w:rsidR="00000000" w:rsidRPr="00000000">
              <w:rPr>
                <w:rtl w:val="0"/>
              </w:rPr>
              <w:t xml:space="preserve">focus exclusively on children</w:t>
            </w:r>
          </w:p>
          <w:p w:rsidR="00000000" w:rsidDel="00000000" w:rsidP="00000000" w:rsidRDefault="00000000" w:rsidRPr="00000000" w14:paraId="00000055">
            <w:pPr>
              <w:numPr>
                <w:ilvl w:val="0"/>
                <w:numId w:val="1"/>
              </w:numPr>
              <w:spacing w:after="0" w:lineRule="auto"/>
              <w:ind w:left="720" w:hanging="360"/>
              <w:rPr/>
            </w:pPr>
            <w:r w:rsidDel="00000000" w:rsidR="00000000" w:rsidRPr="00000000">
              <w:rPr>
                <w:rtl w:val="0"/>
              </w:rPr>
              <w:t xml:space="preserve">concern countries outside the UK</w:t>
            </w:r>
          </w:p>
          <w:p w:rsidR="00000000" w:rsidDel="00000000" w:rsidP="00000000" w:rsidRDefault="00000000" w:rsidRPr="00000000" w14:paraId="00000056">
            <w:pPr>
              <w:numPr>
                <w:ilvl w:val="0"/>
                <w:numId w:val="1"/>
              </w:numPr>
              <w:spacing w:after="0" w:lineRule="auto"/>
              <w:ind w:left="720" w:hanging="360"/>
              <w:rPr/>
            </w:pPr>
            <w:r w:rsidDel="00000000" w:rsidR="00000000" w:rsidRPr="00000000">
              <w:rPr>
                <w:rtl w:val="0"/>
              </w:rPr>
              <w:t xml:space="preserve">do not address delayed hospital discharge</w:t>
            </w:r>
          </w:p>
          <w:p w:rsidR="00000000" w:rsidDel="00000000" w:rsidP="00000000" w:rsidRDefault="00000000" w:rsidRPr="00000000" w14:paraId="00000057">
            <w:pPr>
              <w:numPr>
                <w:ilvl w:val="0"/>
                <w:numId w:val="1"/>
              </w:numPr>
              <w:spacing w:after="0" w:lineRule="auto"/>
              <w:ind w:left="720" w:hanging="360"/>
              <w:rPr/>
            </w:pPr>
            <w:r w:rsidDel="00000000" w:rsidR="00000000" w:rsidRPr="00000000">
              <w:rPr>
                <w:rtl w:val="0"/>
              </w:rPr>
              <w:t xml:space="preserve">have no relevant connection with adult social-care services</w:t>
            </w:r>
          </w:p>
          <w:p w:rsidR="00000000" w:rsidDel="00000000" w:rsidP="00000000" w:rsidRDefault="00000000" w:rsidRPr="00000000" w14:paraId="00000058">
            <w:pPr>
              <w:numPr>
                <w:ilvl w:val="0"/>
                <w:numId w:val="1"/>
              </w:numPr>
              <w:spacing w:after="0" w:lineRule="auto"/>
              <w:ind w:left="720" w:hanging="360"/>
              <w:rPr/>
            </w:pPr>
            <w:r w:rsidDel="00000000" w:rsidR="00000000" w:rsidRPr="00000000">
              <w:rPr>
                <w:rtl w:val="0"/>
              </w:rPr>
              <w:t xml:space="preserve">are duplicates</w:t>
            </w:r>
          </w:p>
          <w:p w:rsidR="00000000" w:rsidDel="00000000" w:rsidP="00000000" w:rsidRDefault="00000000" w:rsidRPr="00000000" w14:paraId="00000059">
            <w:pPr>
              <w:numPr>
                <w:ilvl w:val="0"/>
                <w:numId w:val="1"/>
              </w:numPr>
              <w:spacing w:after="0" w:lineRule="auto"/>
              <w:ind w:left="720" w:hanging="360"/>
              <w:rPr/>
            </w:pPr>
            <w:r w:rsidDel="00000000" w:rsidR="00000000" w:rsidRPr="00000000">
              <w:rPr>
                <w:rtl w:val="0"/>
              </w:rPr>
              <w:t xml:space="preserve">fall outside the defined review period</w:t>
            </w:r>
          </w:p>
          <w:p w:rsidR="00000000" w:rsidDel="00000000" w:rsidP="00000000" w:rsidRDefault="00000000" w:rsidRPr="00000000" w14:paraId="0000005A">
            <w:pPr>
              <w:numPr>
                <w:ilvl w:val="0"/>
                <w:numId w:val="1"/>
              </w:numPr>
              <w:ind w:left="720" w:hanging="360"/>
              <w:rPr/>
            </w:pPr>
            <w:r w:rsidDel="00000000" w:rsidR="00000000" w:rsidRPr="00000000">
              <w:rPr>
                <w:rtl w:val="0"/>
              </w:rPr>
              <w:t xml:space="preserve">provide insufficient evidence relevant to the research question.</w:t>
            </w:r>
          </w:p>
        </w:tc>
      </w:tr>
    </w:tbl>
    <w:p w:rsidR="00000000" w:rsidDel="00000000" w:rsidP="00000000" w:rsidRDefault="00000000" w:rsidRPr="00000000" w14:paraId="0000005B">
      <w:pPr>
        <w:jc w:val="center"/>
        <w:rPr>
          <w:b w:val="1"/>
          <w:bCs w:val="1"/>
        </w:rPr>
      </w:pPr>
      <w:r w:rsidDel="00000000" w:rsidR="00000000" w:rsidRPr="00000000">
        <w:rPr>
          <w:b w:val="1"/>
          <w:bCs w:val="1"/>
          <w:rtl w:val="0"/>
        </w:rPr>
        <w:t xml:space="preserve">Table 1: Inclusion and exclusion</w:t>
      </w:r>
    </w:p>
    <w:p w:rsidR="00000000" w:rsidDel="00000000" w:rsidP="00000000" w:rsidRDefault="00000000" w:rsidRPr="00000000" w14:paraId="0000005C">
      <w:pPr>
        <w:jc w:val="center"/>
        <w:rPr/>
      </w:pPr>
      <w:r w:rsidDel="00000000" w:rsidR="00000000" w:rsidRPr="00000000">
        <w:rPr>
          <w:rtl w:val="0"/>
        </w:rPr>
        <w:t xml:space="preserve">(Source: Author)</w:t>
      </w:r>
    </w:p>
    <w:p w:rsidR="00000000" w:rsidDel="00000000" w:rsidP="00000000" w:rsidRDefault="00000000" w:rsidRPr="00000000" w14:paraId="0000005D">
      <w:pPr>
        <w:rPr/>
      </w:pPr>
      <w:r w:rsidDel="00000000" w:rsidR="00000000" w:rsidRPr="00000000">
        <w:rPr>
          <w:rtl w:val="0"/>
        </w:rPr>
        <w:t xml:space="preserve">The interval between publication and final search will be determined prior to the final search, and will be kept transparent and reproducible.</w:t>
      </w:r>
    </w:p>
    <w:p w:rsidR="00000000" w:rsidDel="00000000" w:rsidP="00000000" w:rsidRDefault="00000000" w:rsidRPr="00000000" w14:paraId="0000005E">
      <w:pPr>
        <w:rPr/>
      </w:pPr>
      <w:r w:rsidDel="00000000" w:rsidR="00000000" w:rsidRPr="00000000">
        <w:rPr>
          <w:b w:val="1"/>
          <w:bCs w:val="1"/>
          <w:i w:val="1"/>
          <w:iCs w:val="1"/>
          <w:rtl w:val="0"/>
        </w:rPr>
        <w:t xml:space="preserve">Screening and Study Selection</w:t>
      </w: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These results will be initially loaded into an appropriate information management system, and duplicate records will be detected and excluded (Msafiri et al., 2023). The goal of the study selection step is to select 15 articles for the final evidence base. In the first round of screening, titles and abstracts will be examined according to the predefined inclusion criteria, and irrelevant papers will be excluded from consideration. Relevant articles will then go to the second round of screening, when they will be further examined according to the inclusion criteria to assess their final inclusion. The process of the study selection will be described in accordance with the PRISMA method with the use of the numbers of records, duplicates, titles and abstracts screened, full-text articles considered, and selected studies reported.</w:t>
      </w:r>
    </w:p>
    <w:p w:rsidR="00000000" w:rsidDel="00000000" w:rsidP="00000000" w:rsidRDefault="00000000" w:rsidRPr="00000000" w14:paraId="00000060">
      <w:pPr>
        <w:rPr>
          <w:b w:val="1"/>
          <w:bCs w:val="1"/>
          <w:i w:val="1"/>
          <w:iCs w:val="1"/>
        </w:rPr>
      </w:pPr>
      <w:r w:rsidDel="00000000" w:rsidR="00000000" w:rsidRPr="00000000">
        <w:rPr>
          <w:b w:val="1"/>
          <w:bCs w:val="1"/>
          <w:i w:val="1"/>
          <w:iCs w:val="1"/>
          <w:rtl w:val="0"/>
        </w:rPr>
        <w:t xml:space="preserve">Quality Appraisal</w:t>
      </w:r>
    </w:p>
    <w:p w:rsidR="00000000" w:rsidDel="00000000" w:rsidP="00000000" w:rsidRDefault="00000000" w:rsidRPr="00000000" w14:paraId="00000061">
      <w:pPr>
        <w:rPr/>
      </w:pPr>
      <w:r w:rsidDel="00000000" w:rsidR="00000000" w:rsidRPr="00000000">
        <w:rPr>
          <w:rtl w:val="0"/>
        </w:rPr>
        <w:t xml:space="preserve">Studies included will be critically appraised at the methodological level through the use of valid evaluation instruments for the different designs identified. For example, in the case of CASP tools defined as "relevant tools for conducting a qualitative study," they can be considered for use in qualitative studies, and relevant appraisal tools can be used in quantitative or mixed-methods studies.</w:t>
      </w:r>
    </w:p>
    <w:p w:rsidR="00000000" w:rsidDel="00000000" w:rsidP="00000000" w:rsidRDefault="00000000" w:rsidRPr="00000000" w14:paraId="00000062">
      <w:pPr>
        <w:rPr/>
      </w:pPr>
      <w:r w:rsidDel="00000000" w:rsidR="00000000" w:rsidRPr="00000000">
        <w:rPr>
          <w:rtl w:val="0"/>
        </w:rPr>
        <w:t xml:space="preserve">Quality appraisal must be done because studies are not automatically deemed equally reliable (</w:t>
      </w:r>
      <w:r w:rsidDel="00000000" w:rsidR="00000000" w:rsidRPr="00000000">
        <w:rPr>
          <w:color w:val="222222"/>
          <w:rtl w:val="0"/>
        </w:rPr>
        <w:t xml:space="preserve">Humayoun et al., 2024</w:t>
      </w:r>
      <w:r w:rsidDel="00000000" w:rsidR="00000000" w:rsidRPr="00000000">
        <w:rPr>
          <w:rtl w:val="0"/>
        </w:rPr>
        <w:t xml:space="preserve">). The credibility of the findings may vary due to a variety of sampling, research design, data collection, data analysis, and data reporting techniques (</w:t>
      </w:r>
      <w:r w:rsidDel="00000000" w:rsidR="00000000" w:rsidRPr="00000000">
        <w:rPr>
          <w:color w:val="222222"/>
          <w:rtl w:val="0"/>
        </w:rPr>
        <w:t xml:space="preserve">Patel et al., 2022</w:t>
      </w:r>
      <w:r w:rsidDel="00000000" w:rsidR="00000000" w:rsidRPr="00000000">
        <w:rPr>
          <w:rtl w:val="0"/>
        </w:rPr>
        <w:t xml:space="preserve">). The findings of the appraisal shall therefore be taken into account when analysing the evidence, and the strength and limitations of the findings, in drawing conclusions. </w:t>
      </w:r>
    </w:p>
    <w:p w:rsidR="00000000" w:rsidDel="00000000" w:rsidP="00000000" w:rsidRDefault="00000000" w:rsidRPr="00000000" w14:paraId="00000063">
      <w:pPr>
        <w:rPr>
          <w:b w:val="1"/>
          <w:bCs w:val="1"/>
          <w:i w:val="1"/>
          <w:iCs w:val="1"/>
        </w:rPr>
      </w:pPr>
      <w:r w:rsidDel="00000000" w:rsidR="00000000" w:rsidRPr="00000000">
        <w:rPr>
          <w:b w:val="1"/>
          <w:bCs w:val="1"/>
          <w:i w:val="1"/>
          <w:iCs w:val="1"/>
          <w:rtl w:val="0"/>
        </w:rPr>
        <w:t xml:space="preserve">Data Extraction and Synthesis</w:t>
      </w:r>
    </w:p>
    <w:p w:rsidR="00000000" w:rsidDel="00000000" w:rsidP="00000000" w:rsidRDefault="00000000" w:rsidRPr="00000000" w14:paraId="00000064">
      <w:pPr>
        <w:rPr/>
      </w:pPr>
      <w:r w:rsidDel="00000000" w:rsidR="00000000" w:rsidRPr="00000000">
        <w:rPr>
          <w:rtl w:val="0"/>
        </w:rPr>
        <w:t xml:space="preserve">A pilot framework for the standardisation of data extraction will be implemented for recording author and year of publication, UK setting, study design, population or health service characteristics, sample size, nature or circumstances of discharge delay, social-care impacts, workforce implications, service quality findings, service-user outcomes, recommendations, and study limitations.</w:t>
      </w:r>
    </w:p>
    <w:p w:rsidR="00000000" w:rsidDel="00000000" w:rsidP="00000000" w:rsidRDefault="00000000" w:rsidRPr="00000000" w14:paraId="00000065">
      <w:pPr>
        <w:rPr/>
      </w:pPr>
      <w:r w:rsidDel="00000000" w:rsidR="00000000" w:rsidRPr="00000000">
        <w:rPr>
          <w:rtl w:val="0"/>
        </w:rPr>
        <w:t xml:space="preserve">The results will be mainly summarised thematically, as the expected evidence is expected to include various types of studies performed and outcomes reported. Some key themes will revisit capacity and social resources, pressures on the workforce, delivery and quality of care and services, client outcomes, and integrated-care approaches. Comparisons of findings will be descriptive when there are enough quantifiable data that can be compared and synthesised when there are enough qualitative data, based on recurring concepts and themes. If there is significantly different methodology or outcomes, a meta-analysis will not be assumed and will not be combined. </w:t>
      </w:r>
    </w:p>
    <w:p w:rsidR="00000000" w:rsidDel="00000000" w:rsidP="00000000" w:rsidRDefault="00000000" w:rsidRPr="00000000" w14:paraId="00000066">
      <w:pPr>
        <w:pStyle w:val="Heading1"/>
        <w:rPr/>
      </w:pPr>
      <w:bookmarkStart w:colFirst="0" w:colLast="0" w:name="_moy6rd3ty61h" w:id="5"/>
      <w:bookmarkEnd w:id="5"/>
      <w:r w:rsidDel="00000000" w:rsidR="00000000" w:rsidRPr="00000000">
        <w:rPr>
          <w:rtl w:val="0"/>
        </w:rPr>
        <w:t xml:space="preserve">6. Ethical Considerations</w:t>
      </w:r>
    </w:p>
    <w:p w:rsidR="00000000" w:rsidDel="00000000" w:rsidP="00000000" w:rsidRDefault="00000000" w:rsidRPr="00000000" w14:paraId="00000067">
      <w:pPr>
        <w:spacing w:after="0" w:lineRule="auto"/>
        <w:rPr/>
      </w:pPr>
      <w:r w:rsidDel="00000000" w:rsidR="00000000" w:rsidRPr="00000000">
        <w:rPr>
          <w:rtl w:val="0"/>
        </w:rPr>
        <w:t xml:space="preserve">Secondary, publicly available research will be used in this study, and no participants will be invited and no primary personal data collected. Therefore, there are no participant-related risks anticipated (Thwe and Kalman, 2024). However, ethical research practice will continue to be significant during the review process (</w:t>
      </w:r>
      <w:r w:rsidDel="00000000" w:rsidR="00000000" w:rsidRPr="00000000">
        <w:rPr>
          <w:color w:val="222222"/>
          <w:rtl w:val="0"/>
        </w:rPr>
        <w:t xml:space="preserve">Kaddoura and Al Husseiny, 2023</w:t>
      </w:r>
      <w:r w:rsidDel="00000000" w:rsidR="00000000" w:rsidRPr="00000000">
        <w:rPr>
          <w:rtl w:val="0"/>
        </w:rPr>
        <w:t xml:space="preserve">). Some points to note: All sources will be cited in Harvard style; plagiarism will be avoided by representing findings fairly and not deliberately misinterpreting researchers' conclusions. Inferences will be drawn from evidence with consideration of ethical issues raised by the original studies. The researcher will abide by relevant University research-ethics, academic-integrity and data-management policies. Also, where necessary, secondary research will be conducted with appropriate university approval, or confirmation of exception.</w:t>
      </w:r>
    </w:p>
    <w:p w:rsidR="00000000" w:rsidDel="00000000" w:rsidP="00000000" w:rsidRDefault="00000000" w:rsidRPr="00000000" w14:paraId="00000068">
      <w:pPr>
        <w:pStyle w:val="Heading1"/>
        <w:rPr/>
      </w:pPr>
      <w:bookmarkStart w:colFirst="0" w:colLast="0" w:name="_c9p10tfxxqc" w:id="6"/>
      <w:bookmarkEnd w:id="6"/>
      <w:r w:rsidDel="00000000" w:rsidR="00000000" w:rsidRPr="00000000">
        <w:rPr>
          <w:rtl w:val="0"/>
        </w:rPr>
        <w:t xml:space="preserve">7. Anticipated Limitations</w:t>
      </w:r>
    </w:p>
    <w:p w:rsidR="00000000" w:rsidDel="00000000" w:rsidP="00000000" w:rsidRDefault="00000000" w:rsidRPr="00000000" w14:paraId="00000069">
      <w:pPr>
        <w:rPr/>
      </w:pPr>
      <w:r w:rsidDel="00000000" w:rsidR="00000000" w:rsidRPr="00000000">
        <w:rPr>
          <w:rtl w:val="0"/>
        </w:rPr>
        <w:t xml:space="preserve">The review may be subject to publication bias and the study may be limited to only UK languages, UK-wide definitions of delayed discharge, and variation in definitions between UK nations. Study designs or outcome variables also might not be completely comparable. Some potentially relevant full-text studies may not have appeared in the literature for which the databases used by the searcher are accessible. There can be subjectivity in the screening and thematic synthesis. The limitations will be mitigated via pre-defined eligibility criteria, searching of multiple databases, transparent screening procedures, tools that are already established for assessing quality of the data, and systematic data extraction. Furthermore, limitations of inaccurate reporting, inappropriate use of sources or breaches of research integrity can also be there. Therefore, the results can be interpreted with caution as it is not assumed that all available evidence is generalisable.</w:t>
      </w:r>
    </w:p>
    <w:p w:rsidR="00000000" w:rsidDel="00000000" w:rsidP="00000000" w:rsidRDefault="00000000" w:rsidRPr="00000000" w14:paraId="0000006A">
      <w:pPr>
        <w:pStyle w:val="Heading1"/>
        <w:rPr/>
      </w:pPr>
      <w:bookmarkStart w:colFirst="0" w:colLast="0" w:name="_4pqmxixn8n6h" w:id="7"/>
      <w:bookmarkEnd w:id="7"/>
      <w:r w:rsidDel="00000000" w:rsidR="00000000" w:rsidRPr="00000000">
        <w:rPr>
          <w:rtl w:val="0"/>
        </w:rPr>
        <w:t xml:space="preserve">8. Timeline and Expected Contribution</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38"/>
        <w:gridCol w:w="1337"/>
        <w:gridCol w:w="1337"/>
        <w:gridCol w:w="1337"/>
        <w:gridCol w:w="1337"/>
        <w:gridCol w:w="1337"/>
        <w:gridCol w:w="1337"/>
        <w:tblGridChange w:id="0">
          <w:tblGrid>
            <w:gridCol w:w="1338"/>
            <w:gridCol w:w="1337"/>
            <w:gridCol w:w="1337"/>
            <w:gridCol w:w="1337"/>
            <w:gridCol w:w="1337"/>
            <w:gridCol w:w="1337"/>
            <w:gridCol w:w="1337"/>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06B">
            <w:pPr>
              <w:jc w:val="center"/>
              <w:rPr>
                <w:b w:val="1"/>
                <w:bCs w:val="1"/>
              </w:rPr>
            </w:pPr>
            <w:r w:rsidDel="00000000" w:rsidR="00000000" w:rsidRPr="00000000">
              <w:rPr>
                <w:b w:val="1"/>
                <w:bCs w:val="1"/>
                <w:rtl w:val="0"/>
              </w:rPr>
              <w:t xml:space="preserve">Activity</w:t>
            </w:r>
          </w:p>
        </w:tc>
        <w:tc>
          <w:tcPr>
            <w:tcMar>
              <w:top w:w="100.0" w:type="dxa"/>
              <w:left w:w="100.0" w:type="dxa"/>
              <w:bottom w:w="100.0" w:type="dxa"/>
              <w:right w:w="100.0" w:type="dxa"/>
            </w:tcMar>
          </w:tcPr>
          <w:p w:rsidR="00000000" w:rsidDel="00000000" w:rsidP="00000000" w:rsidRDefault="00000000" w:rsidRPr="00000000" w14:paraId="0000006C">
            <w:pPr>
              <w:widowControl w:val="0"/>
              <w:pBdr>
                <w:top w:space="0" w:sz="0" w:val="nil"/>
                <w:left w:space="0" w:sz="0" w:val="nil"/>
                <w:bottom w:space="0" w:sz="0" w:val="nil"/>
                <w:right w:space="0" w:sz="0" w:val="nil"/>
                <w:between w:space="0" w:sz="0" w:val="nil"/>
              </w:pBdr>
              <w:spacing w:after="0" w:lineRule="auto"/>
              <w:jc w:val="center"/>
              <w:rPr>
                <w:b w:val="1"/>
                <w:bCs w:val="1"/>
              </w:rPr>
            </w:pPr>
            <w:r w:rsidDel="00000000" w:rsidR="00000000" w:rsidRPr="00000000">
              <w:rPr>
                <w:b w:val="1"/>
                <w:bCs w:val="1"/>
                <w:rtl w:val="0"/>
              </w:rPr>
              <w:t xml:space="preserve">Week 1</w:t>
            </w:r>
          </w:p>
        </w:tc>
        <w:tc>
          <w:tcPr>
            <w:tcMar>
              <w:top w:w="100.0" w:type="dxa"/>
              <w:left w:w="100.0" w:type="dxa"/>
              <w:bottom w:w="100.0" w:type="dxa"/>
              <w:right w:w="100.0" w:type="dxa"/>
            </w:tcMar>
          </w:tcPr>
          <w:p w:rsidR="00000000" w:rsidDel="00000000" w:rsidP="00000000" w:rsidRDefault="00000000" w:rsidRPr="00000000" w14:paraId="0000006D">
            <w:pPr>
              <w:widowControl w:val="0"/>
              <w:spacing w:after="0" w:lineRule="auto"/>
              <w:jc w:val="center"/>
              <w:rPr>
                <w:b w:val="1"/>
                <w:bCs w:val="1"/>
              </w:rPr>
            </w:pPr>
            <w:r w:rsidDel="00000000" w:rsidR="00000000" w:rsidRPr="00000000">
              <w:rPr>
                <w:b w:val="1"/>
                <w:bCs w:val="1"/>
                <w:rtl w:val="0"/>
              </w:rPr>
              <w:t xml:space="preserve">Week 2</w:t>
            </w:r>
          </w:p>
        </w:tc>
        <w:tc>
          <w:tcPr>
            <w:tcMar>
              <w:top w:w="100.0" w:type="dxa"/>
              <w:left w:w="100.0" w:type="dxa"/>
              <w:bottom w:w="100.0" w:type="dxa"/>
              <w:right w:w="100.0" w:type="dxa"/>
            </w:tcMar>
          </w:tcPr>
          <w:p w:rsidR="00000000" w:rsidDel="00000000" w:rsidP="00000000" w:rsidRDefault="00000000" w:rsidRPr="00000000" w14:paraId="0000006E">
            <w:pPr>
              <w:widowControl w:val="0"/>
              <w:spacing w:after="0" w:lineRule="auto"/>
              <w:jc w:val="center"/>
              <w:rPr>
                <w:b w:val="1"/>
                <w:bCs w:val="1"/>
              </w:rPr>
            </w:pPr>
            <w:r w:rsidDel="00000000" w:rsidR="00000000" w:rsidRPr="00000000">
              <w:rPr>
                <w:b w:val="1"/>
                <w:bCs w:val="1"/>
                <w:rtl w:val="0"/>
              </w:rPr>
              <w:t xml:space="preserve">Week 3</w:t>
            </w:r>
          </w:p>
        </w:tc>
        <w:tc>
          <w:tcPr>
            <w:tcMar>
              <w:top w:w="100.0" w:type="dxa"/>
              <w:left w:w="100.0" w:type="dxa"/>
              <w:bottom w:w="100.0" w:type="dxa"/>
              <w:right w:w="100.0" w:type="dxa"/>
            </w:tcMar>
          </w:tcPr>
          <w:p w:rsidR="00000000" w:rsidDel="00000000" w:rsidP="00000000" w:rsidRDefault="00000000" w:rsidRPr="00000000" w14:paraId="0000006F">
            <w:pPr>
              <w:widowControl w:val="0"/>
              <w:spacing w:after="0" w:lineRule="auto"/>
              <w:jc w:val="center"/>
              <w:rPr>
                <w:b w:val="1"/>
                <w:bCs w:val="1"/>
              </w:rPr>
            </w:pPr>
            <w:r w:rsidDel="00000000" w:rsidR="00000000" w:rsidRPr="00000000">
              <w:rPr>
                <w:b w:val="1"/>
                <w:bCs w:val="1"/>
                <w:rtl w:val="0"/>
              </w:rPr>
              <w:t xml:space="preserve">Week 4 </w:t>
            </w:r>
          </w:p>
        </w:tc>
        <w:tc>
          <w:tcPr>
            <w:tcMar>
              <w:top w:w="100.0" w:type="dxa"/>
              <w:left w:w="100.0" w:type="dxa"/>
              <w:bottom w:w="100.0" w:type="dxa"/>
              <w:right w:w="100.0" w:type="dxa"/>
            </w:tcMar>
          </w:tcPr>
          <w:p w:rsidR="00000000" w:rsidDel="00000000" w:rsidP="00000000" w:rsidRDefault="00000000" w:rsidRPr="00000000" w14:paraId="00000070">
            <w:pPr>
              <w:widowControl w:val="0"/>
              <w:spacing w:after="0" w:lineRule="auto"/>
              <w:jc w:val="center"/>
              <w:rPr>
                <w:b w:val="1"/>
                <w:bCs w:val="1"/>
              </w:rPr>
            </w:pPr>
            <w:r w:rsidDel="00000000" w:rsidR="00000000" w:rsidRPr="00000000">
              <w:rPr>
                <w:b w:val="1"/>
                <w:bCs w:val="1"/>
                <w:rtl w:val="0"/>
              </w:rPr>
              <w:t xml:space="preserve">Week 5</w:t>
            </w:r>
          </w:p>
        </w:tc>
        <w:tc>
          <w:tcPr>
            <w:tcMar>
              <w:top w:w="100.0" w:type="dxa"/>
              <w:left w:w="100.0" w:type="dxa"/>
              <w:bottom w:w="100.0" w:type="dxa"/>
              <w:right w:w="100.0" w:type="dxa"/>
            </w:tcMar>
          </w:tcPr>
          <w:p w:rsidR="00000000" w:rsidDel="00000000" w:rsidP="00000000" w:rsidRDefault="00000000" w:rsidRPr="00000000" w14:paraId="00000071">
            <w:pPr>
              <w:widowControl w:val="0"/>
              <w:spacing w:after="0" w:lineRule="auto"/>
              <w:jc w:val="center"/>
              <w:rPr>
                <w:b w:val="1"/>
                <w:bCs w:val="1"/>
              </w:rPr>
            </w:pPr>
            <w:r w:rsidDel="00000000" w:rsidR="00000000" w:rsidRPr="00000000">
              <w:rPr>
                <w:b w:val="1"/>
                <w:bCs w:val="1"/>
                <w:rtl w:val="0"/>
              </w:rPr>
              <w:t xml:space="preserve">Week 6</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72">
            <w:pPr>
              <w:spacing w:after="0" w:lineRule="auto"/>
              <w:rPr>
                <w:b w:val="1"/>
                <w:bCs w:val="1"/>
              </w:rPr>
            </w:pPr>
            <w:r w:rsidDel="00000000" w:rsidR="00000000" w:rsidRPr="00000000">
              <w:rPr>
                <w:b w:val="1"/>
                <w:bCs w:val="1"/>
                <w:rtl w:val="0"/>
              </w:rPr>
              <w:t xml:space="preserve">Finalise topic and protocols </w:t>
            </w:r>
          </w:p>
        </w:tc>
        <w:tc>
          <w:tcPr>
            <w:shd w:fill="ead1dc" w:val="clear"/>
            <w:tcMar>
              <w:top w:w="100.0" w:type="dxa"/>
              <w:left w:w="100.0" w:type="dxa"/>
              <w:bottom w:w="100.0" w:type="dxa"/>
              <w:right w:w="100.0" w:type="dxa"/>
            </w:tcMar>
          </w:tcPr>
          <w:p w:rsidR="00000000" w:rsidDel="00000000" w:rsidP="00000000" w:rsidRDefault="00000000" w:rsidRPr="00000000" w14:paraId="00000073">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74">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75">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76">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77">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78">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79">
            <w:pPr>
              <w:spacing w:after="0" w:lineRule="auto"/>
              <w:rPr>
                <w:b w:val="1"/>
                <w:bCs w:val="1"/>
              </w:rPr>
            </w:pPr>
            <w:r w:rsidDel="00000000" w:rsidR="00000000" w:rsidRPr="00000000">
              <w:rPr>
                <w:b w:val="1"/>
                <w:bCs w:val="1"/>
                <w:rtl w:val="0"/>
              </w:rPr>
              <w:t xml:space="preserve">Strategy and keywords</w:t>
            </w:r>
          </w:p>
        </w:tc>
        <w:tc>
          <w:tcPr>
            <w:shd w:fill="d9d2e9" w:val="clear"/>
            <w:tcMar>
              <w:top w:w="100.0" w:type="dxa"/>
              <w:left w:w="100.0" w:type="dxa"/>
              <w:bottom w:w="100.0" w:type="dxa"/>
              <w:right w:w="100.0" w:type="dxa"/>
            </w:tcMar>
          </w:tcPr>
          <w:p w:rsidR="00000000" w:rsidDel="00000000" w:rsidP="00000000" w:rsidRDefault="00000000" w:rsidRPr="00000000" w14:paraId="0000007A">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7B">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7C">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7D">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7E">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7F">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80">
            <w:pPr>
              <w:spacing w:after="0" w:lineRule="auto"/>
              <w:rPr>
                <w:b w:val="1"/>
                <w:bCs w:val="1"/>
              </w:rPr>
            </w:pPr>
            <w:r w:rsidDel="00000000" w:rsidR="00000000" w:rsidRPr="00000000">
              <w:rPr>
                <w:b w:val="1"/>
                <w:bCs w:val="1"/>
                <w:rtl w:val="0"/>
              </w:rPr>
              <w:t xml:space="preserve">Data collection and filtering</w:t>
            </w:r>
          </w:p>
        </w:tc>
        <w:tc>
          <w:tcPr>
            <w:tcMar>
              <w:top w:w="100.0" w:type="dxa"/>
              <w:left w:w="100.0" w:type="dxa"/>
              <w:bottom w:w="100.0" w:type="dxa"/>
              <w:right w:w="100.0" w:type="dxa"/>
            </w:tcMar>
          </w:tcPr>
          <w:p w:rsidR="00000000" w:rsidDel="00000000" w:rsidP="00000000" w:rsidRDefault="00000000" w:rsidRPr="00000000" w14:paraId="00000081">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shd w:fill="ffe599" w:val="clear"/>
            <w:tcMar>
              <w:top w:w="100.0" w:type="dxa"/>
              <w:left w:w="100.0" w:type="dxa"/>
              <w:bottom w:w="100.0" w:type="dxa"/>
              <w:right w:w="100.0" w:type="dxa"/>
            </w:tcMar>
          </w:tcPr>
          <w:p w:rsidR="00000000" w:rsidDel="00000000" w:rsidP="00000000" w:rsidRDefault="00000000" w:rsidRPr="00000000" w14:paraId="00000082">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shd w:fill="ffe599" w:val="clear"/>
            <w:tcMar>
              <w:top w:w="100.0" w:type="dxa"/>
              <w:left w:w="100.0" w:type="dxa"/>
              <w:bottom w:w="100.0" w:type="dxa"/>
              <w:right w:w="100.0" w:type="dxa"/>
            </w:tcMar>
          </w:tcPr>
          <w:p w:rsidR="00000000" w:rsidDel="00000000" w:rsidP="00000000" w:rsidRDefault="00000000" w:rsidRPr="00000000" w14:paraId="00000083">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shd w:fill="ffe599" w:val="clear"/>
            <w:tcMar>
              <w:top w:w="100.0" w:type="dxa"/>
              <w:left w:w="100.0" w:type="dxa"/>
              <w:bottom w:w="100.0" w:type="dxa"/>
              <w:right w:w="100.0" w:type="dxa"/>
            </w:tcMar>
          </w:tcPr>
          <w:p w:rsidR="00000000" w:rsidDel="00000000" w:rsidP="00000000" w:rsidRDefault="00000000" w:rsidRPr="00000000" w14:paraId="00000084">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85">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86">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87">
            <w:pPr>
              <w:spacing w:after="0" w:lineRule="auto"/>
              <w:rPr>
                <w:b w:val="1"/>
                <w:bCs w:val="1"/>
              </w:rPr>
            </w:pPr>
            <w:r w:rsidDel="00000000" w:rsidR="00000000" w:rsidRPr="00000000">
              <w:rPr>
                <w:b w:val="1"/>
                <w:bCs w:val="1"/>
                <w:rtl w:val="0"/>
              </w:rPr>
              <w:t xml:space="preserve">Quality appraisal</w:t>
            </w:r>
          </w:p>
        </w:tc>
        <w:tc>
          <w:tcPr>
            <w:tcMar>
              <w:top w:w="100.0" w:type="dxa"/>
              <w:left w:w="100.0" w:type="dxa"/>
              <w:bottom w:w="100.0" w:type="dxa"/>
              <w:right w:w="100.0" w:type="dxa"/>
            </w:tcMar>
          </w:tcPr>
          <w:p w:rsidR="00000000" w:rsidDel="00000000" w:rsidP="00000000" w:rsidRDefault="00000000" w:rsidRPr="00000000" w14:paraId="00000088">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89">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shd w:fill="b6d7a8" w:val="clear"/>
            <w:tcMar>
              <w:top w:w="100.0" w:type="dxa"/>
              <w:left w:w="100.0" w:type="dxa"/>
              <w:bottom w:w="100.0" w:type="dxa"/>
              <w:right w:w="100.0" w:type="dxa"/>
            </w:tcMar>
          </w:tcPr>
          <w:p w:rsidR="00000000" w:rsidDel="00000000" w:rsidP="00000000" w:rsidRDefault="00000000" w:rsidRPr="00000000" w14:paraId="0000008A">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8B">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8C">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8D">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8E">
            <w:pPr>
              <w:spacing w:after="0" w:lineRule="auto"/>
              <w:rPr>
                <w:b w:val="1"/>
                <w:bCs w:val="1"/>
              </w:rPr>
            </w:pPr>
            <w:r w:rsidDel="00000000" w:rsidR="00000000" w:rsidRPr="00000000">
              <w:rPr>
                <w:b w:val="1"/>
                <w:bCs w:val="1"/>
                <w:rtl w:val="0"/>
              </w:rPr>
              <w:t xml:space="preserve">Analysis</w:t>
            </w:r>
          </w:p>
        </w:tc>
        <w:tc>
          <w:tcPr>
            <w:tcMar>
              <w:top w:w="100.0" w:type="dxa"/>
              <w:left w:w="100.0" w:type="dxa"/>
              <w:bottom w:w="100.0" w:type="dxa"/>
              <w:right w:w="100.0" w:type="dxa"/>
            </w:tcMar>
          </w:tcPr>
          <w:p w:rsidR="00000000" w:rsidDel="00000000" w:rsidP="00000000" w:rsidRDefault="00000000" w:rsidRPr="00000000" w14:paraId="0000008F">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90">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shd w:fill="c27ba0" w:val="clear"/>
            <w:tcMar>
              <w:top w:w="100.0" w:type="dxa"/>
              <w:left w:w="100.0" w:type="dxa"/>
              <w:bottom w:w="100.0" w:type="dxa"/>
              <w:right w:w="100.0" w:type="dxa"/>
            </w:tcMar>
          </w:tcPr>
          <w:p w:rsidR="00000000" w:rsidDel="00000000" w:rsidP="00000000" w:rsidRDefault="00000000" w:rsidRPr="00000000" w14:paraId="00000091">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shd w:fill="c27ba0" w:val="clear"/>
            <w:tcMar>
              <w:top w:w="100.0" w:type="dxa"/>
              <w:left w:w="100.0" w:type="dxa"/>
              <w:bottom w:w="100.0" w:type="dxa"/>
              <w:right w:w="100.0" w:type="dxa"/>
            </w:tcMar>
          </w:tcPr>
          <w:p w:rsidR="00000000" w:rsidDel="00000000" w:rsidP="00000000" w:rsidRDefault="00000000" w:rsidRPr="00000000" w14:paraId="00000092">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shd w:fill="c27ba0" w:val="clear"/>
            <w:tcMar>
              <w:top w:w="100.0" w:type="dxa"/>
              <w:left w:w="100.0" w:type="dxa"/>
              <w:bottom w:w="100.0" w:type="dxa"/>
              <w:right w:w="100.0" w:type="dxa"/>
            </w:tcMar>
          </w:tcPr>
          <w:p w:rsidR="00000000" w:rsidDel="00000000" w:rsidP="00000000" w:rsidRDefault="00000000" w:rsidRPr="00000000" w14:paraId="00000093">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94">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95">
            <w:pPr>
              <w:spacing w:after="0" w:lineRule="auto"/>
              <w:rPr>
                <w:b w:val="1"/>
                <w:bCs w:val="1"/>
              </w:rPr>
            </w:pPr>
            <w:r w:rsidDel="00000000" w:rsidR="00000000" w:rsidRPr="00000000">
              <w:rPr>
                <w:b w:val="1"/>
                <w:bCs w:val="1"/>
                <w:rtl w:val="0"/>
              </w:rPr>
              <w:t xml:space="preserve">Writing</w:t>
            </w:r>
          </w:p>
        </w:tc>
        <w:tc>
          <w:tcPr>
            <w:tcMar>
              <w:top w:w="100.0" w:type="dxa"/>
              <w:left w:w="100.0" w:type="dxa"/>
              <w:bottom w:w="100.0" w:type="dxa"/>
              <w:right w:w="100.0" w:type="dxa"/>
            </w:tcMar>
          </w:tcPr>
          <w:p w:rsidR="00000000" w:rsidDel="00000000" w:rsidP="00000000" w:rsidRDefault="00000000" w:rsidRPr="00000000" w14:paraId="00000096">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97">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98">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shd w:fill="b4a7d6" w:val="clear"/>
            <w:tcMar>
              <w:top w:w="100.0" w:type="dxa"/>
              <w:left w:w="100.0" w:type="dxa"/>
              <w:bottom w:w="100.0" w:type="dxa"/>
              <w:right w:w="100.0" w:type="dxa"/>
            </w:tcMar>
          </w:tcPr>
          <w:p w:rsidR="00000000" w:rsidDel="00000000" w:rsidP="00000000" w:rsidRDefault="00000000" w:rsidRPr="00000000" w14:paraId="00000099">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shd w:fill="b4a7d6" w:val="clear"/>
            <w:tcMar>
              <w:top w:w="100.0" w:type="dxa"/>
              <w:left w:w="100.0" w:type="dxa"/>
              <w:bottom w:w="100.0" w:type="dxa"/>
              <w:right w:w="100.0" w:type="dxa"/>
            </w:tcMar>
          </w:tcPr>
          <w:p w:rsidR="00000000" w:rsidDel="00000000" w:rsidP="00000000" w:rsidRDefault="00000000" w:rsidRPr="00000000" w14:paraId="0000009A">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c>
          <w:tcPr>
            <w:shd w:fill="b4a7d6" w:val="clear"/>
            <w:tcMar>
              <w:top w:w="100.0" w:type="dxa"/>
              <w:left w:w="100.0" w:type="dxa"/>
              <w:bottom w:w="100.0" w:type="dxa"/>
              <w:right w:w="100.0" w:type="dxa"/>
            </w:tcMar>
          </w:tcPr>
          <w:p w:rsidR="00000000" w:rsidDel="00000000" w:rsidP="00000000" w:rsidRDefault="00000000" w:rsidRPr="00000000" w14:paraId="0000009B">
            <w:pPr>
              <w:widowControl w:val="0"/>
              <w:pBdr>
                <w:top w:space="0" w:sz="0" w:val="nil"/>
                <w:left w:space="0" w:sz="0" w:val="nil"/>
                <w:bottom w:space="0" w:sz="0" w:val="nil"/>
                <w:right w:space="0" w:sz="0" w:val="nil"/>
                <w:between w:space="0" w:sz="0" w:val="nil"/>
              </w:pBdr>
              <w:spacing w:after="0" w:lineRule="auto"/>
              <w:jc w:val="left"/>
              <w:rPr/>
            </w:pPr>
            <w:r w:rsidDel="00000000" w:rsidR="00000000" w:rsidRPr="00000000">
              <w:rPr>
                <w:rtl w:val="0"/>
              </w:rPr>
            </w:r>
          </w:p>
        </w:tc>
      </w:tr>
    </w:tbl>
    <w:p w:rsidR="00000000" w:rsidDel="00000000" w:rsidP="00000000" w:rsidRDefault="00000000" w:rsidRPr="00000000" w14:paraId="0000009C">
      <w:pPr>
        <w:jc w:val="center"/>
        <w:rPr>
          <w:b w:val="1"/>
          <w:bCs w:val="1"/>
        </w:rPr>
      </w:pPr>
      <w:r w:rsidDel="00000000" w:rsidR="00000000" w:rsidRPr="00000000">
        <w:rPr>
          <w:b w:val="1"/>
          <w:bCs w:val="1"/>
          <w:rtl w:val="0"/>
        </w:rPr>
        <w:t xml:space="preserve">Table 2: Gantt Chart </w:t>
      </w:r>
    </w:p>
    <w:p w:rsidR="00000000" w:rsidDel="00000000" w:rsidP="00000000" w:rsidRDefault="00000000" w:rsidRPr="00000000" w14:paraId="0000009D">
      <w:pPr>
        <w:jc w:val="center"/>
        <w:rPr/>
      </w:pPr>
      <w:r w:rsidDel="00000000" w:rsidR="00000000" w:rsidRPr="00000000">
        <w:rPr>
          <w:rtl w:val="0"/>
        </w:rPr>
        <w:t xml:space="preserve">(Source: Author)</w:t>
      </w:r>
    </w:p>
    <w:p w:rsidR="00000000" w:rsidDel="00000000" w:rsidP="00000000" w:rsidRDefault="00000000" w:rsidRPr="00000000" w14:paraId="0000009E">
      <w:pPr>
        <w:rPr/>
      </w:pPr>
      <w:r w:rsidDel="00000000" w:rsidR="00000000" w:rsidRPr="00000000">
        <w:rPr>
          <w:b w:val="1"/>
          <w:bCs w:val="1"/>
          <w:i w:val="1"/>
          <w:iCs w:val="1"/>
          <w:rtl w:val="0"/>
        </w:rPr>
        <w:t xml:space="preserve">Expected Contribution</w:t>
      </w:r>
      <w:r w:rsidDel="00000000" w:rsidR="00000000" w:rsidRPr="00000000">
        <w:rPr>
          <w:rtl w:val="0"/>
        </w:rPr>
      </w:r>
    </w:p>
    <w:p w:rsidR="00000000" w:rsidDel="00000000" w:rsidP="00000000" w:rsidRDefault="00000000" w:rsidRPr="00000000" w14:paraId="0000009F">
      <w:pPr>
        <w:spacing w:after="0" w:lineRule="auto"/>
        <w:rPr/>
      </w:pPr>
      <w:r w:rsidDel="00000000" w:rsidR="00000000" w:rsidRPr="00000000">
        <w:rPr>
          <w:rtl w:val="0"/>
        </w:rPr>
        <w:t xml:space="preserve">The review is expected to offer a more integrated analysis of the impact of delayed hospital discharge on adult social-care capacity, frontline staff workloads, service provision, quality and service outcomes for service users within the UK. May point to research-supported strategies for enhancing discharge planning and sense of belonging between health and social-care services. The findings might also define gaps that need to be studied further, and provide useful insights for future health services planning, policy development and integrated-care practice.</w:t>
      </w:r>
    </w:p>
    <w:p w:rsidR="00000000" w:rsidDel="00000000" w:rsidP="00000000" w:rsidRDefault="00000000" w:rsidRPr="00000000" w14:paraId="000000A0">
      <w:pPr>
        <w:spacing w:after="0" w:lineRule="auto"/>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pStyle w:val="Heading1"/>
        <w:rPr/>
      </w:pPr>
      <w:bookmarkStart w:colFirst="0" w:colLast="0" w:name="_agt7wy3kjqvm" w:id="8"/>
      <w:bookmarkEnd w:id="8"/>
      <w:r w:rsidDel="00000000" w:rsidR="00000000" w:rsidRPr="00000000">
        <w:br w:type="page"/>
      </w:r>
      <w:r w:rsidDel="00000000" w:rsidR="00000000" w:rsidRPr="00000000">
        <w:rPr>
          <w:rtl w:val="0"/>
        </w:rPr>
      </w:r>
    </w:p>
    <w:p w:rsidR="00000000" w:rsidDel="00000000" w:rsidP="00000000" w:rsidRDefault="00000000" w:rsidRPr="00000000" w14:paraId="000000A4">
      <w:pPr>
        <w:pStyle w:val="Heading1"/>
        <w:rPr/>
      </w:pPr>
      <w:bookmarkStart w:colFirst="0" w:colLast="0" w:name="_d5dee7qc2c9j" w:id="9"/>
      <w:bookmarkEnd w:id="9"/>
      <w:r w:rsidDel="00000000" w:rsidR="00000000" w:rsidRPr="00000000">
        <w:rPr>
          <w:rtl w:val="0"/>
        </w:rPr>
        <w:t xml:space="preserve">References </w:t>
      </w:r>
    </w:p>
    <w:p w:rsidR="00000000" w:rsidDel="00000000" w:rsidP="00000000" w:rsidRDefault="00000000" w:rsidRPr="00000000" w14:paraId="000000A5">
      <w:pPr>
        <w:rPr/>
      </w:pPr>
      <w:r w:rsidDel="00000000" w:rsidR="00000000" w:rsidRPr="00000000">
        <w:rPr>
          <w:rtl w:val="0"/>
        </w:rPr>
        <w:t xml:space="preserve">Abdelhalim, A., Zargoush, M., Archer, N. and Roham, M., 2024. Decoding the persistence of delayed hospital discharge: An in‐depth scoping review and insights from two decades. </w:t>
      </w:r>
      <w:r w:rsidDel="00000000" w:rsidR="00000000" w:rsidRPr="00000000">
        <w:rPr>
          <w:i w:val="1"/>
          <w:iCs w:val="1"/>
          <w:rtl w:val="0"/>
        </w:rPr>
        <w:t xml:space="preserve">Health Expectations, 27</w:t>
      </w:r>
      <w:r w:rsidDel="00000000" w:rsidR="00000000" w:rsidRPr="00000000">
        <w:rPr>
          <w:rtl w:val="0"/>
        </w:rPr>
        <w:t xml:space="preserve">(2), p.e14050.</w:t>
      </w:r>
      <w:hyperlink r:id="rId11">
        <w:r w:rsidDel="00000000" w:rsidR="00000000" w:rsidRPr="00000000">
          <w:rPr>
            <w:color w:val="1155cc"/>
            <w:u w:val="single"/>
            <w:rtl w:val="0"/>
          </w:rPr>
          <w:t xml:space="preserve">https://onlinelibrary.wiley.com/doi/abs/10.1111/hex.14050</w:t>
        </w:r>
      </w:hyperlink>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Aggarwal, K., Singh, B., Banker, H., Stoltzfus, M.T., Hong, J., Anamika, F.N.U., Nishkamni, F.N.U., Munjal, J. and Jain, R., 2024. Exploring the ramifications of delayed hospital discharges: impacts on patients, physicians, and healthcare systems. </w:t>
      </w:r>
      <w:r w:rsidDel="00000000" w:rsidR="00000000" w:rsidRPr="00000000">
        <w:rPr>
          <w:i w:val="1"/>
          <w:iCs w:val="1"/>
          <w:rtl w:val="0"/>
        </w:rPr>
        <w:t xml:space="preserve">Cureus, 16</w:t>
      </w:r>
      <w:r w:rsidDel="00000000" w:rsidR="00000000" w:rsidRPr="00000000">
        <w:rPr>
          <w:rtl w:val="0"/>
        </w:rPr>
        <w:t xml:space="preserve">(5).</w:t>
      </w:r>
      <w:hyperlink r:id="rId12">
        <w:r w:rsidDel="00000000" w:rsidR="00000000" w:rsidRPr="00000000">
          <w:rPr>
            <w:color w:val="1155cc"/>
            <w:u w:val="single"/>
            <w:rtl w:val="0"/>
          </w:rPr>
          <w:t xml:space="preserve">https://www.cureus.com/articles/247476-exploring-the-ramifications-of-delayed-hospital-discharges-impacts-on-patients-physicians-and-healthcare-systems.pdf</w:t>
        </w:r>
      </w:hyperlink>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Alshadeedi, M.A., Ghazwani, K.A. and Alzahrani, F.A.A., 2025. Challenges of workforce shortages and workload among hospital healthcare staff a review submitted by the department of physical therapy, radiology, and health services. </w:t>
      </w:r>
      <w:r w:rsidDel="00000000" w:rsidR="00000000" w:rsidRPr="00000000">
        <w:rPr>
          <w:i w:val="1"/>
          <w:iCs w:val="1"/>
          <w:rtl w:val="0"/>
        </w:rPr>
        <w:t xml:space="preserve">The Review of Diabetic Studies</w:t>
      </w:r>
      <w:r w:rsidDel="00000000" w:rsidR="00000000" w:rsidRPr="00000000">
        <w:rPr>
          <w:rtl w:val="0"/>
        </w:rPr>
        <w:t xml:space="preserve">, pp.1083-1088.</w:t>
      </w:r>
      <w:hyperlink r:id="rId13">
        <w:r w:rsidDel="00000000" w:rsidR="00000000" w:rsidRPr="00000000">
          <w:rPr>
            <w:color w:val="1155cc"/>
            <w:u w:val="single"/>
            <w:rtl w:val="0"/>
          </w:rPr>
          <w:t xml:space="preserve">https://diabeticstudies.org/index.php/RDS/article/view/1125</w:t>
        </w:r>
      </w:hyperlink>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Cam, H., Wennlöf, B., Gillespie, U., Franzon, K., Nielsen, E.I., Ling, M., Lindner, K.J., Kempen, T.G.H. and Kälvemark Sporrong, S., 2023. The complexities of communication at hospital discharge of older patients: a qualitative study of healthcare professionals’ views. </w:t>
      </w:r>
      <w:r w:rsidDel="00000000" w:rsidR="00000000" w:rsidRPr="00000000">
        <w:rPr>
          <w:i w:val="1"/>
          <w:iCs w:val="1"/>
          <w:rtl w:val="0"/>
        </w:rPr>
        <w:t xml:space="preserve">BMC health services research, 23</w:t>
      </w:r>
      <w:r w:rsidDel="00000000" w:rsidR="00000000" w:rsidRPr="00000000">
        <w:rPr>
          <w:rtl w:val="0"/>
        </w:rPr>
        <w:t xml:space="preserve">(1), p.1211.</w:t>
      </w:r>
      <w:hyperlink r:id="rId14">
        <w:r w:rsidDel="00000000" w:rsidR="00000000" w:rsidRPr="00000000">
          <w:rPr>
            <w:color w:val="1155cc"/>
            <w:u w:val="single"/>
            <w:rtl w:val="0"/>
          </w:rPr>
          <w:t xml:space="preserve">https://link.springer.com/article/10.1186/s12913-023-10192-5</w:t>
        </w:r>
      </w:hyperlink>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Chambers, D., Cantrell, A., Preston, L., Marincowitz, C., Wright, L., Conroy, S. and Gordon, A.L., 2023. Reducing unplanned hospital admissions from care homes: a systematic review. </w:t>
      </w:r>
      <w:r w:rsidDel="00000000" w:rsidR="00000000" w:rsidRPr="00000000">
        <w:rPr>
          <w:i w:val="1"/>
          <w:iCs w:val="1"/>
          <w:rtl w:val="0"/>
        </w:rPr>
        <w:t xml:space="preserve">Health and social care delivery research, 11</w:t>
      </w:r>
      <w:r w:rsidDel="00000000" w:rsidR="00000000" w:rsidRPr="00000000">
        <w:rPr>
          <w:rtl w:val="0"/>
        </w:rPr>
        <w:t xml:space="preserve">(18).</w:t>
      </w:r>
      <w:hyperlink r:id="rId15">
        <w:r w:rsidDel="00000000" w:rsidR="00000000" w:rsidRPr="00000000">
          <w:rPr>
            <w:color w:val="1155cc"/>
            <w:u w:val="single"/>
            <w:rtl w:val="0"/>
          </w:rPr>
          <w:t xml:space="preserve">https://eprints.whiterose.ac.uk/id/eprint/197984/</w:t>
        </w:r>
      </w:hyperlink>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Dimla, B., Parkinson, L., Wood, D. and Powell, Z., 2023. Hospital discharge planning: A systematic literature review on the support measures that social workers undertake to facilitate older patients' transition from hospital admission back to the community. </w:t>
      </w:r>
      <w:r w:rsidDel="00000000" w:rsidR="00000000" w:rsidRPr="00000000">
        <w:rPr>
          <w:i w:val="1"/>
          <w:iCs w:val="1"/>
          <w:rtl w:val="0"/>
        </w:rPr>
        <w:t xml:space="preserve">Australasian Journal on Ageing, 42</w:t>
      </w:r>
      <w:r w:rsidDel="00000000" w:rsidR="00000000" w:rsidRPr="00000000">
        <w:rPr>
          <w:rtl w:val="0"/>
        </w:rPr>
        <w:t xml:space="preserve">(1), pp.20-33.</w:t>
      </w:r>
      <w:hyperlink r:id="rId16">
        <w:r w:rsidDel="00000000" w:rsidR="00000000" w:rsidRPr="00000000">
          <w:rPr>
            <w:color w:val="1155cc"/>
            <w:u w:val="single"/>
            <w:rtl w:val="0"/>
          </w:rPr>
          <w:t xml:space="preserve">https://onlinelibrary.wiley.com/doi/abs/10.1111/ajag.13138</w:t>
        </w:r>
      </w:hyperlink>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Foster, D. 2023. </w:t>
      </w:r>
      <w:r w:rsidDel="00000000" w:rsidR="00000000" w:rsidRPr="00000000">
        <w:rPr>
          <w:i w:val="1"/>
          <w:iCs w:val="1"/>
          <w:rtl w:val="0"/>
        </w:rPr>
        <w:t xml:space="preserve">Delayed-hospital-discharges-and-adult-social-care</w:t>
      </w:r>
      <w:r w:rsidDel="00000000" w:rsidR="00000000" w:rsidRPr="00000000">
        <w:rPr>
          <w:rtl w:val="0"/>
        </w:rPr>
        <w:t xml:space="preserve">. Available at: </w:t>
      </w:r>
      <w:hyperlink r:id="rId17">
        <w:r w:rsidDel="00000000" w:rsidR="00000000" w:rsidRPr="00000000">
          <w:rPr>
            <w:color w:val="1155cc"/>
            <w:u w:val="single"/>
            <w:rtl w:val="0"/>
          </w:rPr>
          <w:t xml:space="preserve">https://commonslibrary.parliament.uk/delayed-hospital-discharges-and-adult-social-care/</w:t>
        </w:r>
      </w:hyperlink>
      <w:r w:rsidDel="00000000" w:rsidR="00000000" w:rsidRPr="00000000">
        <w:rPr>
          <w:rtl w:val="0"/>
        </w:rPr>
        <w:t xml:space="preserve"> [Accessed on 12th July 2026].</w:t>
      </w:r>
    </w:p>
    <w:p w:rsidR="00000000" w:rsidDel="00000000" w:rsidP="00000000" w:rsidRDefault="00000000" w:rsidRPr="00000000" w14:paraId="000000AC">
      <w:pPr>
        <w:rPr/>
      </w:pPr>
      <w:r w:rsidDel="00000000" w:rsidR="00000000" w:rsidRPr="00000000">
        <w:rPr>
          <w:rtl w:val="0"/>
        </w:rPr>
        <w:t xml:space="preserve">Gadsby, E.W., Wistow, G. and Billings, J., 2022. A critical systems evaluation of the introduction of a ‘discharge to assess’ service in Kent. </w:t>
      </w:r>
      <w:r w:rsidDel="00000000" w:rsidR="00000000" w:rsidRPr="00000000">
        <w:rPr>
          <w:i w:val="1"/>
          <w:iCs w:val="1"/>
          <w:rtl w:val="0"/>
        </w:rPr>
        <w:t xml:space="preserve">Critical Social Policy, 42</w:t>
      </w:r>
      <w:r w:rsidDel="00000000" w:rsidR="00000000" w:rsidRPr="00000000">
        <w:rPr>
          <w:rtl w:val="0"/>
        </w:rPr>
        <w:t xml:space="preserve">(4), pp.671-694.</w:t>
      </w:r>
      <w:hyperlink r:id="rId18">
        <w:r w:rsidDel="00000000" w:rsidR="00000000" w:rsidRPr="00000000">
          <w:rPr>
            <w:color w:val="1155cc"/>
            <w:u w:val="single"/>
            <w:rtl w:val="0"/>
          </w:rPr>
          <w:t xml:space="preserve">https://journals.sagepub.com/doi/abs/10.1177/02610183211065028</w:t>
        </w:r>
      </w:hyperlink>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Garg, A., 2023. </w:t>
      </w:r>
      <w:r w:rsidDel="00000000" w:rsidR="00000000" w:rsidRPr="00000000">
        <w:rPr>
          <w:i w:val="1"/>
          <w:iCs w:val="1"/>
          <w:rtl w:val="0"/>
        </w:rPr>
        <w:t xml:space="preserve">Monitoring tools for setting up the hospital project: department-wise planning. Springer Nature</w:t>
      </w:r>
      <w:r w:rsidDel="00000000" w:rsidR="00000000" w:rsidRPr="00000000">
        <w:rPr>
          <w:rtl w:val="0"/>
        </w:rPr>
        <w:t xml:space="preserve">.</w:t>
      </w:r>
      <w:hyperlink r:id="rId19">
        <w:r w:rsidDel="00000000" w:rsidR="00000000" w:rsidRPr="00000000">
          <w:rPr>
            <w:color w:val="1155cc"/>
            <w:u w:val="single"/>
            <w:rtl w:val="0"/>
          </w:rPr>
          <w:t xml:space="preserve">https://books.google.com/books?hl=en&amp;lr=&amp;id=LcThEAAAQBAJ&amp;oi=fnd&amp;pg=PR11&amp;dq=+hospital+discharge+books&amp;ots=Sc6VqRh1ea&amp;sig=a3oGRl1zjoc1Isws9V_YhBCl6Xg</w:t>
        </w:r>
      </w:hyperlink>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Gibson, D.A., Eick, H., Meddings, S. and Woodrow, C., 2023. Why am I still in hospital? Evaluation of delayed discharges from two learning disability assessment and treatment units in England. </w:t>
      </w:r>
      <w:r w:rsidDel="00000000" w:rsidR="00000000" w:rsidRPr="00000000">
        <w:rPr>
          <w:i w:val="1"/>
          <w:iCs w:val="1"/>
          <w:rtl w:val="0"/>
        </w:rPr>
        <w:t xml:space="preserve">Tizard Learning Disability Review, 28</w:t>
      </w:r>
      <w:r w:rsidDel="00000000" w:rsidR="00000000" w:rsidRPr="00000000">
        <w:rPr>
          <w:rtl w:val="0"/>
        </w:rPr>
        <w:t xml:space="preserve">(1-2), pp.46-53.</w:t>
      </w:r>
      <w:hyperlink r:id="rId20">
        <w:r w:rsidDel="00000000" w:rsidR="00000000" w:rsidRPr="00000000">
          <w:rPr>
            <w:color w:val="1155cc"/>
            <w:u w:val="single"/>
            <w:rtl w:val="0"/>
          </w:rPr>
          <w:t xml:space="preserve">https://www.emerald.com/tldr/article-abstract/28/1-2/46/375709</w:t>
        </w:r>
      </w:hyperlink>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Gridley, K., Baxter, K., Birks, Y., Newbould, L., Allan, S., Roland, D., Malisauskaite, G. and Jones, K., 2022. Social care causes of delayed transfer of care (DTOC) from hospital for older people: Unpicking the nuances of ‘provider capacity’and ‘patient choice’. </w:t>
      </w:r>
      <w:r w:rsidDel="00000000" w:rsidR="00000000" w:rsidRPr="00000000">
        <w:rPr>
          <w:i w:val="1"/>
          <w:iCs w:val="1"/>
          <w:rtl w:val="0"/>
        </w:rPr>
        <w:t xml:space="preserve">Health &amp; Social Care in the Community, 30</w:t>
      </w:r>
      <w:r w:rsidDel="00000000" w:rsidR="00000000" w:rsidRPr="00000000">
        <w:rPr>
          <w:rtl w:val="0"/>
        </w:rPr>
        <w:t xml:space="preserve">(6), pp.e4982-e4991.</w:t>
      </w:r>
      <w:hyperlink r:id="rId21">
        <w:r w:rsidDel="00000000" w:rsidR="00000000" w:rsidRPr="00000000">
          <w:rPr>
            <w:color w:val="1155cc"/>
            <w:u w:val="single"/>
            <w:rtl w:val="0"/>
          </w:rPr>
          <w:t xml:space="preserve">https://onlinelibrary.wiley.com/doi/abs/10.1111/hsc.13911</w:t>
        </w:r>
      </w:hyperlink>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Heenan, D., 2023. Hospital social work and discharge planning for older people: challenges of working in a clinical setting. </w:t>
      </w:r>
      <w:r w:rsidDel="00000000" w:rsidR="00000000" w:rsidRPr="00000000">
        <w:rPr>
          <w:i w:val="1"/>
          <w:iCs w:val="1"/>
          <w:rtl w:val="0"/>
        </w:rPr>
        <w:t xml:space="preserve">Ageing &amp; Society, 43</w:t>
      </w:r>
      <w:r w:rsidDel="00000000" w:rsidR="00000000" w:rsidRPr="00000000">
        <w:rPr>
          <w:rtl w:val="0"/>
        </w:rPr>
        <w:t xml:space="preserve">(6), pp.1333-1350.</w:t>
      </w:r>
      <w:hyperlink r:id="rId22">
        <w:r w:rsidDel="00000000" w:rsidR="00000000" w:rsidRPr="00000000">
          <w:rPr>
            <w:color w:val="1155cc"/>
            <w:u w:val="single"/>
            <w:rtl w:val="0"/>
          </w:rPr>
          <w:t xml:space="preserve">https://www.cambridge.org/core/journals/ageing-and-society/article/hospital-social-work-and-discharge-planning-for-older-people-challenges-of-working-in-a-clinical-setting/1E4A54AB1CD4CD20AAE1393C4E31A356</w:t>
        </w:r>
      </w:hyperlink>
      <w:r w:rsidDel="00000000" w:rsidR="00000000" w:rsidRPr="00000000">
        <w:rPr>
          <w:rtl w:val="0"/>
        </w:rPr>
      </w:r>
    </w:p>
    <w:p w:rsidR="00000000" w:rsidDel="00000000" w:rsidP="00000000" w:rsidRDefault="00000000" w:rsidRPr="00000000" w14:paraId="000000B1">
      <w:pPr>
        <w:rPr>
          <w:color w:val="222222"/>
        </w:rPr>
      </w:pPr>
      <w:r w:rsidDel="00000000" w:rsidR="00000000" w:rsidRPr="00000000">
        <w:rPr>
          <w:color w:val="222222"/>
          <w:rtl w:val="0"/>
        </w:rPr>
        <w:t xml:space="preserve">Humayoun, S., Yaqoob, B., Abbasi, N., Sajid, M., Aman, K. and Noor, N., 2024. Critical appraisal of a qualitative review: a systematic review. </w:t>
      </w:r>
      <w:r w:rsidDel="00000000" w:rsidR="00000000" w:rsidRPr="00000000">
        <w:rPr>
          <w:i w:val="1"/>
          <w:iCs w:val="1"/>
          <w:color w:val="222222"/>
          <w:rtl w:val="0"/>
        </w:rPr>
        <w:t xml:space="preserve">Pakistan Oral &amp; Dental Journal</w:t>
      </w:r>
      <w:r w:rsidDel="00000000" w:rsidR="00000000" w:rsidRPr="00000000">
        <w:rPr>
          <w:color w:val="222222"/>
          <w:rtl w:val="0"/>
        </w:rPr>
        <w:t xml:space="preserve">, </w:t>
      </w:r>
      <w:r w:rsidDel="00000000" w:rsidR="00000000" w:rsidRPr="00000000">
        <w:rPr>
          <w:i w:val="1"/>
          <w:iCs w:val="1"/>
          <w:color w:val="222222"/>
          <w:rtl w:val="0"/>
        </w:rPr>
        <w:t xml:space="preserve">44</w:t>
      </w:r>
      <w:r w:rsidDel="00000000" w:rsidR="00000000" w:rsidRPr="00000000">
        <w:rPr>
          <w:color w:val="222222"/>
          <w:rtl w:val="0"/>
        </w:rPr>
        <w:t xml:space="preserve">(4), pp.9-18.</w:t>
      </w:r>
      <w:hyperlink r:id="rId23">
        <w:r w:rsidDel="00000000" w:rsidR="00000000" w:rsidRPr="00000000">
          <w:rPr>
            <w:color w:val="1155cc"/>
            <w:u w:val="single"/>
            <w:rtl w:val="0"/>
          </w:rPr>
          <w:t xml:space="preserve">https://www.podj.com.pk/index.php/podj/article/view/811</w:t>
        </w:r>
      </w:hyperlink>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Ibrahim, H., Harhara, T., Athar, S., Nair, S.C. and Kamour, A.M., 2022. Multi-disciplinary discharge coordination team to overcome discharge barriers and address the risk of delayed discharges. </w:t>
      </w:r>
      <w:r w:rsidDel="00000000" w:rsidR="00000000" w:rsidRPr="00000000">
        <w:rPr>
          <w:i w:val="1"/>
          <w:iCs w:val="1"/>
          <w:rtl w:val="0"/>
        </w:rPr>
        <w:t xml:space="preserve">Risk Management and Healthcare Policy</w:t>
      </w:r>
      <w:r w:rsidDel="00000000" w:rsidR="00000000" w:rsidRPr="00000000">
        <w:rPr>
          <w:rtl w:val="0"/>
        </w:rPr>
        <w:t xml:space="preserve">, pp.141-149.</w:t>
      </w:r>
      <w:hyperlink r:id="rId24">
        <w:r w:rsidDel="00000000" w:rsidR="00000000" w:rsidRPr="00000000">
          <w:rPr>
            <w:color w:val="1155cc"/>
            <w:u w:val="single"/>
            <w:rtl w:val="0"/>
          </w:rPr>
          <w:t xml:space="preserve">https://www.tandfonline.com/doi/abs/10.2147/RMHP.S347693</w:t>
        </w:r>
      </w:hyperlink>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Impact, 2026. </w:t>
      </w:r>
      <w:r w:rsidDel="00000000" w:rsidR="00000000" w:rsidRPr="00000000">
        <w:rPr>
          <w:i w:val="1"/>
          <w:iCs w:val="1"/>
          <w:rtl w:val="0"/>
        </w:rPr>
        <w:t xml:space="preserve">Hospital-discharge-for-older-people</w:t>
      </w:r>
      <w:r w:rsidDel="00000000" w:rsidR="00000000" w:rsidRPr="00000000">
        <w:rPr>
          <w:rtl w:val="0"/>
        </w:rPr>
        <w:t xml:space="preserve">. Available at: </w:t>
      </w:r>
      <w:hyperlink r:id="rId25">
        <w:r w:rsidDel="00000000" w:rsidR="00000000" w:rsidRPr="00000000">
          <w:rPr>
            <w:color w:val="1155cc"/>
            <w:u w:val="single"/>
            <w:rtl w:val="0"/>
          </w:rPr>
          <w:t xml:space="preserve">https://impact.bham.ac.uk/delivery-models/networks/hospital-discharge-for-older-people/</w:t>
        </w:r>
      </w:hyperlink>
      <w:r w:rsidDel="00000000" w:rsidR="00000000" w:rsidRPr="00000000">
        <w:rPr>
          <w:rtl w:val="0"/>
        </w:rPr>
        <w:t xml:space="preserve"> [Accessed on 12th July 2026].</w:t>
      </w:r>
    </w:p>
    <w:p w:rsidR="00000000" w:rsidDel="00000000" w:rsidP="00000000" w:rsidRDefault="00000000" w:rsidRPr="00000000" w14:paraId="000000B4">
      <w:pPr>
        <w:rPr/>
      </w:pPr>
      <w:r w:rsidDel="00000000" w:rsidR="00000000" w:rsidRPr="00000000">
        <w:rPr>
          <w:rtl w:val="0"/>
        </w:rPr>
        <w:t xml:space="preserve">Ince, R., Glasby, J., Miller, R. and Glasby, A.M., 2022. ‘Why are we stuck in hospital?’Understanding delayed hospital discharges for people with learning disabilities and/or autistic people in long‐stay hospitals in the UK. </w:t>
      </w:r>
      <w:r w:rsidDel="00000000" w:rsidR="00000000" w:rsidRPr="00000000">
        <w:rPr>
          <w:i w:val="1"/>
          <w:iCs w:val="1"/>
          <w:rtl w:val="0"/>
        </w:rPr>
        <w:t xml:space="preserve">Health &amp; Social Care in the Community, 30</w:t>
      </w:r>
      <w:r w:rsidDel="00000000" w:rsidR="00000000" w:rsidRPr="00000000">
        <w:rPr>
          <w:rtl w:val="0"/>
        </w:rPr>
        <w:t xml:space="preserve">(6), pp.e3477-e3492.</w:t>
      </w:r>
      <w:hyperlink r:id="rId26">
        <w:r w:rsidDel="00000000" w:rsidR="00000000" w:rsidRPr="00000000">
          <w:rPr>
            <w:color w:val="1155cc"/>
            <w:u w:val="single"/>
            <w:rtl w:val="0"/>
          </w:rPr>
          <w:t xml:space="preserve">https://onlinelibrary.wiley.com/doi/abs/10.1111/hsc.13964</w:t>
        </w:r>
      </w:hyperlink>
      <w:r w:rsidDel="00000000" w:rsidR="00000000" w:rsidRPr="00000000">
        <w:rPr>
          <w:rtl w:val="0"/>
        </w:rPr>
      </w:r>
    </w:p>
    <w:p w:rsidR="00000000" w:rsidDel="00000000" w:rsidP="00000000" w:rsidRDefault="00000000" w:rsidRPr="00000000" w14:paraId="000000B5">
      <w:pPr>
        <w:rPr>
          <w:color w:val="222222"/>
        </w:rPr>
      </w:pPr>
      <w:r w:rsidDel="00000000" w:rsidR="00000000" w:rsidRPr="00000000">
        <w:rPr>
          <w:color w:val="222222"/>
          <w:rtl w:val="0"/>
        </w:rPr>
        <w:t xml:space="preserve">Jones, S., Moulton, C., Swift, S., Molyneux, P., Black, S., Mason, N., Oakley, R. and Mann, C., 2022. Association between delays to patient admission from the emergency department and all-cause 30-day mortality. </w:t>
      </w:r>
      <w:r w:rsidDel="00000000" w:rsidR="00000000" w:rsidRPr="00000000">
        <w:rPr>
          <w:i w:val="1"/>
          <w:iCs w:val="1"/>
          <w:color w:val="222222"/>
          <w:rtl w:val="0"/>
        </w:rPr>
        <w:t xml:space="preserve">Emergency Medicine Journal</w:t>
      </w:r>
      <w:r w:rsidDel="00000000" w:rsidR="00000000" w:rsidRPr="00000000">
        <w:rPr>
          <w:color w:val="222222"/>
          <w:rtl w:val="0"/>
        </w:rPr>
        <w:t xml:space="preserve">, </w:t>
      </w:r>
      <w:r w:rsidDel="00000000" w:rsidR="00000000" w:rsidRPr="00000000">
        <w:rPr>
          <w:i w:val="1"/>
          <w:iCs w:val="1"/>
          <w:color w:val="222222"/>
          <w:rtl w:val="0"/>
        </w:rPr>
        <w:t xml:space="preserve">39</w:t>
      </w:r>
      <w:r w:rsidDel="00000000" w:rsidR="00000000" w:rsidRPr="00000000">
        <w:rPr>
          <w:color w:val="222222"/>
          <w:rtl w:val="0"/>
        </w:rPr>
        <w:t xml:space="preserve">(3), pp.168-173. </w:t>
      </w:r>
      <w:hyperlink r:id="rId27">
        <w:r w:rsidDel="00000000" w:rsidR="00000000" w:rsidRPr="00000000">
          <w:rPr>
            <w:color w:val="1155cc"/>
            <w:u w:val="single"/>
            <w:rtl w:val="0"/>
          </w:rPr>
          <w:t xml:space="preserve">https://emj.bmj.com/content/39/3/168.abstract</w:t>
        </w:r>
      </w:hyperlink>
      <w:r w:rsidDel="00000000" w:rsidR="00000000" w:rsidRPr="00000000">
        <w:rPr>
          <w:color w:val="222222"/>
          <w:rtl w:val="0"/>
        </w:rPr>
        <w:t xml:space="preserve"> </w:t>
      </w:r>
    </w:p>
    <w:p w:rsidR="00000000" w:rsidDel="00000000" w:rsidP="00000000" w:rsidRDefault="00000000" w:rsidRPr="00000000" w14:paraId="000000B6">
      <w:pPr>
        <w:rPr/>
      </w:pPr>
      <w:r w:rsidDel="00000000" w:rsidR="00000000" w:rsidRPr="00000000">
        <w:rPr>
          <w:color w:val="222222"/>
          <w:rtl w:val="0"/>
        </w:rPr>
        <w:t xml:space="preserve">Kaddoura, S. and Al Husseiny, F., 2023. The rising trend of Metaverse in education: Challenges, opportunities, and ethical considerations. </w:t>
      </w:r>
      <w:r w:rsidDel="00000000" w:rsidR="00000000" w:rsidRPr="00000000">
        <w:rPr>
          <w:i w:val="1"/>
          <w:iCs w:val="1"/>
          <w:color w:val="222222"/>
          <w:rtl w:val="0"/>
        </w:rPr>
        <w:t xml:space="preserve">PeerJ Computer Science</w:t>
      </w:r>
      <w:r w:rsidDel="00000000" w:rsidR="00000000" w:rsidRPr="00000000">
        <w:rPr>
          <w:color w:val="222222"/>
          <w:rtl w:val="0"/>
        </w:rPr>
        <w:t xml:space="preserve">, </w:t>
      </w:r>
      <w:r w:rsidDel="00000000" w:rsidR="00000000" w:rsidRPr="00000000">
        <w:rPr>
          <w:i w:val="1"/>
          <w:iCs w:val="1"/>
          <w:color w:val="222222"/>
          <w:rtl w:val="0"/>
        </w:rPr>
        <w:t xml:space="preserve">9</w:t>
      </w:r>
      <w:r w:rsidDel="00000000" w:rsidR="00000000" w:rsidRPr="00000000">
        <w:rPr>
          <w:color w:val="222222"/>
          <w:rtl w:val="0"/>
        </w:rPr>
        <w:t xml:space="preserve">, p.e1252.</w:t>
      </w:r>
      <w:r w:rsidDel="00000000" w:rsidR="00000000" w:rsidRPr="00000000">
        <w:rPr>
          <w:rtl w:val="0"/>
        </w:rPr>
        <w:t xml:space="preserve"> </w:t>
      </w:r>
      <w:hyperlink r:id="rId28">
        <w:r w:rsidDel="00000000" w:rsidR="00000000" w:rsidRPr="00000000">
          <w:rPr>
            <w:color w:val="1155cc"/>
            <w:u w:val="single"/>
            <w:rtl w:val="0"/>
          </w:rPr>
          <w:t xml:space="preserve">https://peerj.com/articles/cs-1252.pdf</w:t>
        </w:r>
      </w:hyperlink>
      <w:r w:rsidDel="00000000" w:rsidR="00000000" w:rsidRPr="00000000">
        <w:rPr>
          <w:rtl w:val="0"/>
        </w:rPr>
        <w:t xml:space="preserve"> </w:t>
      </w:r>
    </w:p>
    <w:p w:rsidR="00000000" w:rsidDel="00000000" w:rsidP="00000000" w:rsidRDefault="00000000" w:rsidRPr="00000000" w14:paraId="000000B7">
      <w:pPr>
        <w:rPr/>
      </w:pPr>
      <w:r w:rsidDel="00000000" w:rsidR="00000000" w:rsidRPr="00000000">
        <w:rPr>
          <w:rtl w:val="0"/>
        </w:rPr>
        <w:t xml:space="preserve">Lawson, L., Cooper, M., Tolley, C., Hand, A. and Nazar, H., 2025. Do hospital-to-home transitions work for older adults with multiple long-term conditions including dementia? A realist review. </w:t>
      </w:r>
      <w:r w:rsidDel="00000000" w:rsidR="00000000" w:rsidRPr="00000000">
        <w:rPr>
          <w:i w:val="1"/>
          <w:iCs w:val="1"/>
          <w:rtl w:val="0"/>
        </w:rPr>
        <w:t xml:space="preserve">BMC geriatrics, 25</w:t>
      </w:r>
      <w:r w:rsidDel="00000000" w:rsidR="00000000" w:rsidRPr="00000000">
        <w:rPr>
          <w:rtl w:val="0"/>
        </w:rPr>
        <w:t xml:space="preserve">(1), p.511.</w:t>
      </w:r>
      <w:hyperlink r:id="rId29">
        <w:r w:rsidDel="00000000" w:rsidR="00000000" w:rsidRPr="00000000">
          <w:rPr>
            <w:color w:val="1155cc"/>
            <w:u w:val="single"/>
            <w:rtl w:val="0"/>
          </w:rPr>
          <w:t xml:space="preserve">https://link.springer.com/article/10.1186/s12877-025-06123-0</w:t>
        </w:r>
      </w:hyperlink>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Lowdownnhs, 2025. </w:t>
      </w:r>
      <w:r w:rsidDel="00000000" w:rsidR="00000000" w:rsidRPr="00000000">
        <w:rPr>
          <w:i w:val="1"/>
          <w:iCs w:val="1"/>
          <w:rtl w:val="0"/>
        </w:rPr>
        <w:t xml:space="preserve">Delayed-discharge-explainer-health-and-care-pressure</w:t>
      </w:r>
      <w:r w:rsidDel="00000000" w:rsidR="00000000" w:rsidRPr="00000000">
        <w:rPr>
          <w:rtl w:val="0"/>
        </w:rPr>
        <w:t xml:space="preserve">. Available at: </w:t>
      </w:r>
      <w:hyperlink r:id="rId30">
        <w:r w:rsidDel="00000000" w:rsidR="00000000" w:rsidRPr="00000000">
          <w:rPr>
            <w:color w:val="1155cc"/>
            <w:u w:val="single"/>
            <w:rtl w:val="0"/>
          </w:rPr>
          <w:t xml:space="preserve">https://lowdownnhs.info/social-care/delayed-discharge-explainer-health-and-care-pressure/</w:t>
        </w:r>
      </w:hyperlink>
      <w:r w:rsidDel="00000000" w:rsidR="00000000" w:rsidRPr="00000000">
        <w:rPr>
          <w:rtl w:val="0"/>
        </w:rPr>
        <w:t xml:space="preserve">[Accessed on 12th July 2026].</w:t>
      </w:r>
    </w:p>
    <w:p w:rsidR="00000000" w:rsidDel="00000000" w:rsidP="00000000" w:rsidRDefault="00000000" w:rsidRPr="00000000" w14:paraId="000000B9">
      <w:pPr>
        <w:rPr/>
      </w:pPr>
      <w:r w:rsidDel="00000000" w:rsidR="00000000" w:rsidRPr="00000000">
        <w:rPr>
          <w:rtl w:val="0"/>
        </w:rPr>
        <w:t xml:space="preserve">Msafiri, M.M., Kangwa, D. and Cai, L., 2023. A systematic literature review of ICT integration in secondary education: what works, what does not, and what next?. </w:t>
      </w:r>
      <w:r w:rsidDel="00000000" w:rsidR="00000000" w:rsidRPr="00000000">
        <w:rPr>
          <w:i w:val="1"/>
          <w:iCs w:val="1"/>
          <w:rtl w:val="0"/>
        </w:rPr>
        <w:t xml:space="preserve">Discover education, 2</w:t>
      </w:r>
      <w:r w:rsidDel="00000000" w:rsidR="00000000" w:rsidRPr="00000000">
        <w:rPr>
          <w:rtl w:val="0"/>
        </w:rPr>
        <w:t xml:space="preserve">(1), p.44.</w:t>
      </w:r>
      <w:hyperlink r:id="rId31">
        <w:r w:rsidDel="00000000" w:rsidR="00000000" w:rsidRPr="00000000">
          <w:rPr>
            <w:color w:val="1155cc"/>
            <w:u w:val="single"/>
            <w:rtl w:val="0"/>
          </w:rPr>
          <w:t xml:space="preserve">https://link.springer.com/article/10.1007/s44217-023-00070-x</w:t>
        </w:r>
      </w:hyperlink>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Myung, S.K., 2023. How to review and assess a systematic review and meta-analysis article: a methodological study (secondary publication). </w:t>
      </w:r>
      <w:r w:rsidDel="00000000" w:rsidR="00000000" w:rsidRPr="00000000">
        <w:rPr>
          <w:i w:val="1"/>
          <w:iCs w:val="1"/>
          <w:rtl w:val="0"/>
        </w:rPr>
        <w:t xml:space="preserve">Journal of educational evaluation for health professions, 20</w:t>
      </w:r>
      <w:r w:rsidDel="00000000" w:rsidR="00000000" w:rsidRPr="00000000">
        <w:rPr>
          <w:rtl w:val="0"/>
        </w:rPr>
        <w:t xml:space="preserve">, p.24.</w:t>
      </w:r>
      <w:hyperlink r:id="rId32">
        <w:r w:rsidDel="00000000" w:rsidR="00000000" w:rsidRPr="00000000">
          <w:rPr>
            <w:color w:val="1155cc"/>
            <w:u w:val="single"/>
            <w:rtl w:val="0"/>
          </w:rPr>
          <w:t xml:space="preserve">https://pmc.ncbi.nlm.nih.gov/articles/PMC10449599/</w:t>
        </w:r>
      </w:hyperlink>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Nuffield Trust, 2025. </w:t>
      </w:r>
      <w:r w:rsidDel="00000000" w:rsidR="00000000" w:rsidRPr="00000000">
        <w:rPr>
          <w:i w:val="1"/>
          <w:iCs w:val="1"/>
          <w:rtl w:val="0"/>
        </w:rPr>
        <w:t xml:space="preserve">Delayed-transfers-of-care</w:t>
      </w:r>
      <w:r w:rsidDel="00000000" w:rsidR="00000000" w:rsidRPr="00000000">
        <w:rPr>
          <w:rtl w:val="0"/>
        </w:rPr>
        <w:t xml:space="preserve">. Available at: </w:t>
      </w:r>
      <w:hyperlink r:id="rId33">
        <w:r w:rsidDel="00000000" w:rsidR="00000000" w:rsidRPr="00000000">
          <w:rPr>
            <w:color w:val="1155cc"/>
            <w:u w:val="single"/>
            <w:rtl w:val="0"/>
          </w:rPr>
          <w:t xml:space="preserve">https://www.nuffieldtrust.org.uk/resource/delayed-transfers-of-care</w:t>
        </w:r>
      </w:hyperlink>
      <w:r w:rsidDel="00000000" w:rsidR="00000000" w:rsidRPr="00000000">
        <w:rPr>
          <w:rtl w:val="0"/>
        </w:rPr>
        <w:t xml:space="preserve"> [Accessed on 12th July 2026].</w:t>
      </w:r>
    </w:p>
    <w:p w:rsidR="00000000" w:rsidDel="00000000" w:rsidP="00000000" w:rsidRDefault="00000000" w:rsidRPr="00000000" w14:paraId="000000BC">
      <w:pPr>
        <w:rPr/>
      </w:pPr>
      <w:r w:rsidDel="00000000" w:rsidR="00000000" w:rsidRPr="00000000">
        <w:rPr>
          <w:color w:val="222222"/>
          <w:rtl w:val="0"/>
        </w:rPr>
        <w:t xml:space="preserve">Patel, J.J., Hill, A., Lee, Z.Y., Heyland, D.K. and Stoppe, C., 2022. Critical appraisal of a systematic review: a concise review. </w:t>
      </w:r>
      <w:r w:rsidDel="00000000" w:rsidR="00000000" w:rsidRPr="00000000">
        <w:rPr>
          <w:i w:val="1"/>
          <w:iCs w:val="1"/>
          <w:color w:val="222222"/>
          <w:rtl w:val="0"/>
        </w:rPr>
        <w:t xml:space="preserve">Critical care medicine</w:t>
      </w:r>
      <w:r w:rsidDel="00000000" w:rsidR="00000000" w:rsidRPr="00000000">
        <w:rPr>
          <w:color w:val="222222"/>
          <w:rtl w:val="0"/>
        </w:rPr>
        <w:t xml:space="preserve">, </w:t>
      </w:r>
      <w:r w:rsidDel="00000000" w:rsidR="00000000" w:rsidRPr="00000000">
        <w:rPr>
          <w:i w:val="1"/>
          <w:iCs w:val="1"/>
          <w:color w:val="222222"/>
          <w:rtl w:val="0"/>
        </w:rPr>
        <w:t xml:space="preserve">50</w:t>
      </w:r>
      <w:r w:rsidDel="00000000" w:rsidR="00000000" w:rsidRPr="00000000">
        <w:rPr>
          <w:color w:val="222222"/>
          <w:rtl w:val="0"/>
        </w:rPr>
        <w:t xml:space="preserve">(9), pp.1371-1379.</w:t>
      </w:r>
      <w:r w:rsidDel="00000000" w:rsidR="00000000" w:rsidRPr="00000000">
        <w:rPr>
          <w:rtl w:val="0"/>
        </w:rPr>
        <w:t xml:space="preserve"> </w:t>
      </w:r>
      <w:hyperlink r:id="rId34">
        <w:r w:rsidDel="00000000" w:rsidR="00000000" w:rsidRPr="00000000">
          <w:rPr>
            <w:color w:val="1155cc"/>
            <w:u w:val="single"/>
            <w:rtl w:val="0"/>
          </w:rPr>
          <w:t xml:space="preserve">https://journals.lww.com/ccmjournal/fulltext/2022/09000/critical_appraisal_of_a_systematic_review__a.9.aspx?context=featuredarticles</w:t>
        </w:r>
      </w:hyperlink>
      <w:r w:rsidDel="00000000" w:rsidR="00000000" w:rsidRPr="00000000">
        <w:rPr>
          <w:rtl w:val="0"/>
        </w:rPr>
        <w:t xml:space="preserve">  </w:t>
      </w:r>
    </w:p>
    <w:p w:rsidR="00000000" w:rsidDel="00000000" w:rsidP="00000000" w:rsidRDefault="00000000" w:rsidRPr="00000000" w14:paraId="000000BD">
      <w:pPr>
        <w:rPr>
          <w:color w:val="222222"/>
        </w:rPr>
      </w:pPr>
      <w:r w:rsidDel="00000000" w:rsidR="00000000" w:rsidRPr="00000000">
        <w:rPr>
          <w:color w:val="222222"/>
          <w:rtl w:val="0"/>
        </w:rPr>
        <w:t xml:space="preserve">Pellico-López, A., Fernández-Feito, A., Cantarero, D., Herrero-Montes, M., Cayón-de Las Cuevas, J., Parás-Bravo, P. and Paz-Zulueta, M., 2022. Cost of stay and characteristics of patients with stroke and delayed discharge for non-clinical reasons. </w:t>
      </w:r>
      <w:r w:rsidDel="00000000" w:rsidR="00000000" w:rsidRPr="00000000">
        <w:rPr>
          <w:i w:val="1"/>
          <w:iCs w:val="1"/>
          <w:color w:val="222222"/>
          <w:rtl w:val="0"/>
        </w:rPr>
        <w:t xml:space="preserve">Scientific reports</w:t>
      </w:r>
      <w:r w:rsidDel="00000000" w:rsidR="00000000" w:rsidRPr="00000000">
        <w:rPr>
          <w:color w:val="222222"/>
          <w:rtl w:val="0"/>
        </w:rPr>
        <w:t xml:space="preserve">, </w:t>
      </w:r>
      <w:r w:rsidDel="00000000" w:rsidR="00000000" w:rsidRPr="00000000">
        <w:rPr>
          <w:i w:val="1"/>
          <w:iCs w:val="1"/>
          <w:color w:val="222222"/>
          <w:rtl w:val="0"/>
        </w:rPr>
        <w:t xml:space="preserve">12</w:t>
      </w:r>
      <w:r w:rsidDel="00000000" w:rsidR="00000000" w:rsidRPr="00000000">
        <w:rPr>
          <w:color w:val="222222"/>
          <w:rtl w:val="0"/>
        </w:rPr>
        <w:t xml:space="preserve">(1), p.10854. </w:t>
      </w:r>
      <w:hyperlink r:id="rId35">
        <w:r w:rsidDel="00000000" w:rsidR="00000000" w:rsidRPr="00000000">
          <w:rPr>
            <w:color w:val="1155cc"/>
            <w:u w:val="single"/>
            <w:rtl w:val="0"/>
          </w:rPr>
          <w:t xml:space="preserve">https://www.nature.com/articles/s41598-022-14502-5</w:t>
        </w:r>
      </w:hyperlink>
      <w:r w:rsidDel="00000000" w:rsidR="00000000" w:rsidRPr="00000000">
        <w:rPr>
          <w:color w:val="222222"/>
          <w:rtl w:val="0"/>
        </w:rPr>
        <w:t xml:space="preserve"> </w:t>
      </w:r>
    </w:p>
    <w:p w:rsidR="00000000" w:rsidDel="00000000" w:rsidP="00000000" w:rsidRDefault="00000000" w:rsidRPr="00000000" w14:paraId="000000BE">
      <w:pPr>
        <w:rPr/>
      </w:pPr>
      <w:r w:rsidDel="00000000" w:rsidR="00000000" w:rsidRPr="00000000">
        <w:rPr>
          <w:rtl w:val="0"/>
        </w:rPr>
        <w:t xml:space="preserve">Reeves, C., Islam, A. and Gentry, T., 2023. The state of health and care of older people in England 2023. </w:t>
      </w:r>
      <w:r w:rsidDel="00000000" w:rsidR="00000000" w:rsidRPr="00000000">
        <w:rPr>
          <w:i w:val="1"/>
          <w:iCs w:val="1"/>
          <w:rtl w:val="0"/>
        </w:rPr>
        <w:t xml:space="preserve">Age UK.</w:t>
      </w:r>
      <w:hyperlink r:id="rId36">
        <w:r w:rsidDel="00000000" w:rsidR="00000000" w:rsidRPr="00000000">
          <w:rPr>
            <w:color w:val="1155cc"/>
            <w:u w:val="single"/>
            <w:rtl w:val="0"/>
          </w:rPr>
          <w:t xml:space="preserve">https://www.foundations.uk.com/wp-content/uploads/2023/07/age_uk_briefing_state_of_health_and_care_of_older_people_july2023.pdf</w:t>
        </w:r>
      </w:hyperlink>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Smela, B., Toumi, M., Świerk, K., Francois, C., Biernikiewicz, M., Clay, E. and Boyer, L., 2023. Rapid literature review: definition and methodology. </w:t>
      </w:r>
      <w:r w:rsidDel="00000000" w:rsidR="00000000" w:rsidRPr="00000000">
        <w:rPr>
          <w:i w:val="1"/>
          <w:iCs w:val="1"/>
          <w:rtl w:val="0"/>
        </w:rPr>
        <w:t xml:space="preserve">Journal of market access &amp; health policy, 11</w:t>
      </w:r>
      <w:r w:rsidDel="00000000" w:rsidR="00000000" w:rsidRPr="00000000">
        <w:rPr>
          <w:rtl w:val="0"/>
        </w:rPr>
        <w:t xml:space="preserve">(1), p.2241234.</w:t>
      </w:r>
      <w:hyperlink r:id="rId37">
        <w:r w:rsidDel="00000000" w:rsidR="00000000" w:rsidRPr="00000000">
          <w:rPr>
            <w:color w:val="1155cc"/>
            <w:u w:val="single"/>
            <w:rtl w:val="0"/>
          </w:rPr>
          <w:t xml:space="preserve">https://www.tandfonline.com/doi/abs/10.1080/20016689.2023.2241234</w:t>
        </w:r>
      </w:hyperlink>
      <w:r w:rsidDel="00000000" w:rsidR="00000000" w:rsidRPr="00000000">
        <w:rPr>
          <w:rtl w:val="0"/>
        </w:rPr>
      </w:r>
    </w:p>
    <w:p w:rsidR="00000000" w:rsidDel="00000000" w:rsidP="00000000" w:rsidRDefault="00000000" w:rsidRPr="00000000" w14:paraId="000000C0">
      <w:pPr>
        <w:rPr/>
      </w:pPr>
      <w:r w:rsidDel="00000000" w:rsidR="00000000" w:rsidRPr="00000000">
        <w:rPr>
          <w:rtl w:val="0"/>
        </w:rPr>
        <w:t xml:space="preserve">Smith, H., Grindey, C., Hague, I., Newbould, L., Brown, L., Clegg, A., Thompson, C. and Lawton, R., 2022. Reducing delayed transfer of care in older people: A qualitative study of barriers and facilitators to shorter hospital stays. </w:t>
      </w:r>
      <w:r w:rsidDel="00000000" w:rsidR="00000000" w:rsidRPr="00000000">
        <w:rPr>
          <w:i w:val="1"/>
          <w:iCs w:val="1"/>
          <w:rtl w:val="0"/>
        </w:rPr>
        <w:t xml:space="preserve">Health Expectations, 25</w:t>
      </w:r>
      <w:r w:rsidDel="00000000" w:rsidR="00000000" w:rsidRPr="00000000">
        <w:rPr>
          <w:rtl w:val="0"/>
        </w:rPr>
        <w:t xml:space="preserve">(6), pp.2628-2644.</w:t>
      </w:r>
      <w:hyperlink r:id="rId38">
        <w:r w:rsidDel="00000000" w:rsidR="00000000" w:rsidRPr="00000000">
          <w:rPr>
            <w:color w:val="1155cc"/>
            <w:u w:val="single"/>
            <w:rtl w:val="0"/>
          </w:rPr>
          <w:t xml:space="preserve">https://onlinelibrary.wiley.com/doi/abs/10.1111/hex.13588</w:t>
        </w:r>
      </w:hyperlink>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Teale, A.L., Morgan, C., Jenkins, T.A. and Jacobsen, P., 2024. Delayed discharge in inpatient psychiatric care: a systematic review. </w:t>
      </w:r>
      <w:r w:rsidDel="00000000" w:rsidR="00000000" w:rsidRPr="00000000">
        <w:rPr>
          <w:i w:val="1"/>
          <w:iCs w:val="1"/>
          <w:rtl w:val="0"/>
        </w:rPr>
        <w:t xml:space="preserve">International Journal of Mental Health Systems, 18</w:t>
      </w:r>
      <w:r w:rsidDel="00000000" w:rsidR="00000000" w:rsidRPr="00000000">
        <w:rPr>
          <w:rtl w:val="0"/>
        </w:rPr>
        <w:t xml:space="preserve">(1), p.14.</w:t>
      </w:r>
      <w:hyperlink r:id="rId39">
        <w:r w:rsidDel="00000000" w:rsidR="00000000" w:rsidRPr="00000000">
          <w:rPr>
            <w:color w:val="1155cc"/>
            <w:u w:val="single"/>
            <w:rtl w:val="0"/>
          </w:rPr>
          <w:t xml:space="preserve">https://link.springer.com/article/10.1186/s13033-024-00635-9</w:t>
        </w:r>
      </w:hyperlink>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Thwe, W.P. and Kalman, A., 2024. Lifelong Learning in the Educational Setting: A Systematic Literature Review: WP Thwe, A. Kálmán. </w:t>
      </w:r>
      <w:r w:rsidDel="00000000" w:rsidR="00000000" w:rsidRPr="00000000">
        <w:rPr>
          <w:i w:val="1"/>
          <w:iCs w:val="1"/>
          <w:rtl w:val="0"/>
        </w:rPr>
        <w:t xml:space="preserve">The Asia-Pacific Education Researcher, 33</w:t>
      </w:r>
      <w:r w:rsidDel="00000000" w:rsidR="00000000" w:rsidRPr="00000000">
        <w:rPr>
          <w:rtl w:val="0"/>
        </w:rPr>
        <w:t xml:space="preserve">(2), pp.407-417.</w:t>
      </w:r>
      <w:hyperlink r:id="rId40">
        <w:r w:rsidDel="00000000" w:rsidR="00000000" w:rsidRPr="00000000">
          <w:rPr>
            <w:color w:val="1155cc"/>
            <w:u w:val="single"/>
            <w:rtl w:val="0"/>
          </w:rPr>
          <w:t xml:space="preserve">https://link.springer.com/article/10.1007/s40299-023-00738-w</w:t>
        </w:r>
      </w:hyperlink>
      <w:r w:rsidDel="00000000" w:rsidR="00000000" w:rsidRPr="00000000">
        <w:rPr>
          <w:rtl w:val="0"/>
        </w:rPr>
      </w:r>
    </w:p>
    <w:sectPr>
      <w:footerReference r:id="rId4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after="120" w:before="400" w:lineRule="auto"/>
    </w:pPr>
    <w:rPr>
      <w:b w:val="1"/>
      <w:bCs w:val="1"/>
    </w:rPr>
  </w:style>
  <w:style w:type="paragraph" w:styleId="Heading2">
    <w:name w:val="heading 2"/>
    <w:basedOn w:val="Normal"/>
    <w:next w:val="Normal"/>
    <w:pPr>
      <w:spacing w:after="120" w:before="360" w:lineRule="auto"/>
    </w:pPr>
    <w:rPr>
      <w:b w:val="1"/>
      <w:bCs w:val="1"/>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rPr>
  </w:style>
  <w:style w:type="paragraph" w:styleId="Heading5">
    <w:name w:val="heading 5"/>
    <w:basedOn w:val="Normal"/>
    <w:next w:val="Normal"/>
    <w:pPr>
      <w:keepNext w:val="1"/>
      <w:keepLines w:val="1"/>
      <w:spacing w:after="40" w:before="220" w:lineRule="auto"/>
    </w:pPr>
    <w:rPr>
      <w:b w:val="1"/>
      <w:bCs w:val="1"/>
      <w:sz w:val="22"/>
      <w:szCs w:val="22"/>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link.springer.com/article/10.1007/s40299-023-00738-w" TargetMode="External"/><Relationship Id="rId20" Type="http://schemas.openxmlformats.org/officeDocument/2006/relationships/hyperlink" Target="https://www.emerald.com/tldr/article-abstract/28/1-2/46/375709" TargetMode="External"/><Relationship Id="rId41" Type="http://schemas.openxmlformats.org/officeDocument/2006/relationships/footer" Target="footer1.xml"/><Relationship Id="rId22" Type="http://schemas.openxmlformats.org/officeDocument/2006/relationships/hyperlink" Target="https://www.cambridge.org/core/journals/ageing-and-society/article/hospital-social-work-and-discharge-planning-for-older-people-challenges-of-working-in-a-clinical-setting/1E4A54AB1CD4CD20AAE1393C4E31A356" TargetMode="External"/><Relationship Id="rId21" Type="http://schemas.openxmlformats.org/officeDocument/2006/relationships/hyperlink" Target="https://onlinelibrary.wiley.com/doi/abs/10.1111/hsc.13911" TargetMode="External"/><Relationship Id="rId24" Type="http://schemas.openxmlformats.org/officeDocument/2006/relationships/hyperlink" Target="https://www.tandfonline.com/doi/abs/10.2147/RMHP.S347693" TargetMode="External"/><Relationship Id="rId23" Type="http://schemas.openxmlformats.org/officeDocument/2006/relationships/hyperlink" Target="https://www.podj.com.pk/index.php/podj/article/view/81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hyperlink" Target="https://onlinelibrary.wiley.com/doi/abs/10.1111/hsc.13964" TargetMode="External"/><Relationship Id="rId25" Type="http://schemas.openxmlformats.org/officeDocument/2006/relationships/hyperlink" Target="https://impact.bham.ac.uk/delivery-models/networks/hospital-discharge-for-older-people/" TargetMode="External"/><Relationship Id="rId28" Type="http://schemas.openxmlformats.org/officeDocument/2006/relationships/hyperlink" Target="https://peerj.com/articles/cs-1252.pdf" TargetMode="External"/><Relationship Id="rId27" Type="http://schemas.openxmlformats.org/officeDocument/2006/relationships/hyperlink" Target="https://emj.bmj.com/content/39/3/168.abstract"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link.springer.com/article/10.1186/s12877-025-06123-0"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link.springer.com/article/10.1007/s44217-023-00070-x" TargetMode="External"/><Relationship Id="rId30" Type="http://schemas.openxmlformats.org/officeDocument/2006/relationships/hyperlink" Target="https://lowdownnhs.info/social-care/delayed-discharge-explainer-health-and-care-pressure/" TargetMode="External"/><Relationship Id="rId11" Type="http://schemas.openxmlformats.org/officeDocument/2006/relationships/hyperlink" Target="https://onlinelibrary.wiley.com/doi/abs/10.1111/hex.14050" TargetMode="External"/><Relationship Id="rId33" Type="http://schemas.openxmlformats.org/officeDocument/2006/relationships/hyperlink" Target="https://www.nuffieldtrust.org.uk/resource/delayed-transfers-of-care" TargetMode="External"/><Relationship Id="rId10" Type="http://schemas.openxmlformats.org/officeDocument/2006/relationships/image" Target="media/image4.png"/><Relationship Id="rId32" Type="http://schemas.openxmlformats.org/officeDocument/2006/relationships/hyperlink" Target="https://pmc.ncbi.nlm.nih.gov/articles/PMC10449599/" TargetMode="External"/><Relationship Id="rId13" Type="http://schemas.openxmlformats.org/officeDocument/2006/relationships/hyperlink" Target="https://diabeticstudies.org/index.php/RDS/article/view/1125" TargetMode="External"/><Relationship Id="rId35" Type="http://schemas.openxmlformats.org/officeDocument/2006/relationships/hyperlink" Target="https://www.nature.com/articles/s41598-022-14502-5" TargetMode="External"/><Relationship Id="rId12" Type="http://schemas.openxmlformats.org/officeDocument/2006/relationships/hyperlink" Target="https://www.cureus.com/articles/247476-exploring-the-ramifications-of-delayed-hospital-discharges-impacts-on-patients-physicians-and-healthcare-systems.pdf" TargetMode="External"/><Relationship Id="rId34" Type="http://schemas.openxmlformats.org/officeDocument/2006/relationships/hyperlink" Target="https://journals.lww.com/ccmjournal/fulltext/2022/09000/critical_appraisal_of_a_systematic_review__a.9.aspx?context=featuredarticles" TargetMode="External"/><Relationship Id="rId15" Type="http://schemas.openxmlformats.org/officeDocument/2006/relationships/hyperlink" Target="https://eprints.whiterose.ac.uk/id/eprint/197984/" TargetMode="External"/><Relationship Id="rId37" Type="http://schemas.openxmlformats.org/officeDocument/2006/relationships/hyperlink" Target="https://www.tandfonline.com/doi/abs/10.1080/20016689.2023.2241234" TargetMode="External"/><Relationship Id="rId14" Type="http://schemas.openxmlformats.org/officeDocument/2006/relationships/hyperlink" Target="https://link.springer.com/article/10.1186/s12913-023-10192-5" TargetMode="External"/><Relationship Id="rId36" Type="http://schemas.openxmlformats.org/officeDocument/2006/relationships/hyperlink" Target="https://www.foundations.uk.com/wp-content/uploads/2023/07/age_uk_briefing_state_of_health_and_care_of_older_people_july2023.pdf" TargetMode="External"/><Relationship Id="rId17" Type="http://schemas.openxmlformats.org/officeDocument/2006/relationships/hyperlink" Target="https://commonslibrary.parliament.uk/delayed-hospital-discharges-and-adult-social-care/" TargetMode="External"/><Relationship Id="rId39" Type="http://schemas.openxmlformats.org/officeDocument/2006/relationships/hyperlink" Target="https://link.springer.com/article/10.1186/s13033-024-00635-9" TargetMode="External"/><Relationship Id="rId16" Type="http://schemas.openxmlformats.org/officeDocument/2006/relationships/hyperlink" Target="https://onlinelibrary.wiley.com/doi/abs/10.1111/ajag.13138" TargetMode="External"/><Relationship Id="rId38" Type="http://schemas.openxmlformats.org/officeDocument/2006/relationships/hyperlink" Target="https://onlinelibrary.wiley.com/doi/abs/10.1111/hex.13588" TargetMode="External"/><Relationship Id="rId19" Type="http://schemas.openxmlformats.org/officeDocument/2006/relationships/hyperlink" Target="https://books.google.com/books?hl=en&amp;lr=&amp;id=LcThEAAAQBAJ&amp;oi=fnd&amp;pg=PR11&amp;dq=+hospital+discharge+books&amp;ots=Sc6VqRh1ea&amp;sig=a3oGRl1zjoc1Isws9V_YhBCl6Xg" TargetMode="External"/><Relationship Id="rId18" Type="http://schemas.openxmlformats.org/officeDocument/2006/relationships/hyperlink" Target="https://journals.sagepub.com/doi/abs/10.1177/02610183211065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