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25A09" w14:textId="77777777" w:rsidR="00395D1C" w:rsidRPr="001602FD" w:rsidRDefault="00E67D3E" w:rsidP="001C18D1">
      <w:pPr>
        <w:rPr>
          <w:lang w:val="en-US"/>
        </w:rPr>
      </w:pPr>
      <w:r w:rsidRPr="001602FD">
        <w:rPr>
          <w:lang w:val="en-US"/>
        </w:rPr>
        <w:t>Introduction</w:t>
      </w:r>
    </w:p>
    <w:p w14:paraId="29789CE7" w14:textId="77777777" w:rsidR="00875C23" w:rsidRDefault="00E67D3E" w:rsidP="00DA0459">
      <w:pPr>
        <w:rPr>
          <w:b/>
          <w:bCs/>
          <w:lang w:val="en-US"/>
        </w:rPr>
      </w:pPr>
      <w:r>
        <w:rPr>
          <w:lang w:val="en-US"/>
        </w:rPr>
        <w:t xml:space="preserve">This essay will aim to critically analyse </w:t>
      </w:r>
      <w:r w:rsidR="00A20011">
        <w:rPr>
          <w:lang w:val="en-US"/>
        </w:rPr>
        <w:t xml:space="preserve">an easement that may have been created by </w:t>
      </w:r>
      <w:r w:rsidR="0001367D">
        <w:rPr>
          <w:lang w:val="en-US"/>
        </w:rPr>
        <w:t>prescription and in the different ways of how they can be acquired.</w:t>
      </w:r>
    </w:p>
    <w:p w14:paraId="057AC074" w14:textId="77777777" w:rsidR="00875C23" w:rsidRDefault="00875C23" w:rsidP="00DA0459">
      <w:pPr>
        <w:rPr>
          <w:b/>
          <w:bCs/>
          <w:lang w:val="en-US"/>
        </w:rPr>
      </w:pPr>
    </w:p>
    <w:p w14:paraId="07729319" w14:textId="32FB2567" w:rsidR="00EE7C4A" w:rsidRDefault="00885552" w:rsidP="00DA0459">
      <w:pPr>
        <w:rPr>
          <w:lang w:val="en-US"/>
        </w:rPr>
      </w:pPr>
      <w:r w:rsidRPr="00885552">
        <w:rPr>
          <w:lang w:val="en-US"/>
        </w:rPr>
        <w:t>An easement is a right that som</w:t>
      </w:r>
      <w:r>
        <w:rPr>
          <w:lang w:val="en-US"/>
        </w:rPr>
        <w:t>e</w:t>
      </w:r>
      <w:r w:rsidRPr="00885552">
        <w:rPr>
          <w:lang w:val="en-US"/>
        </w:rPr>
        <w:t>body has over another person`s land</w:t>
      </w:r>
      <w:r w:rsidR="00D36AC0">
        <w:rPr>
          <w:lang w:val="en-US"/>
        </w:rPr>
        <w:t>.</w:t>
      </w:r>
      <w:r w:rsidR="00094E4D">
        <w:rPr>
          <w:lang w:val="en-US"/>
        </w:rPr>
        <w:t xml:space="preserve"> </w:t>
      </w:r>
      <w:r w:rsidR="00D36AC0">
        <w:rPr>
          <w:lang w:val="en-US"/>
        </w:rPr>
        <w:t>I</w:t>
      </w:r>
      <w:r w:rsidR="00094E4D">
        <w:rPr>
          <w:lang w:val="en-US"/>
        </w:rPr>
        <w:t>ncorporeal hereditament is an intang</w:t>
      </w:r>
      <w:r w:rsidR="0091417D">
        <w:rPr>
          <w:lang w:val="en-US"/>
        </w:rPr>
        <w:t>ible right that somebody has to do something on</w:t>
      </w:r>
      <w:r w:rsidR="00DF770D">
        <w:rPr>
          <w:lang w:val="en-US"/>
        </w:rPr>
        <w:t xml:space="preserve"> somebody else is </w:t>
      </w:r>
      <w:r w:rsidR="0091417D">
        <w:rPr>
          <w:lang w:val="en-US"/>
        </w:rPr>
        <w:t>land</w:t>
      </w:r>
      <w:r w:rsidR="00D36AC0">
        <w:rPr>
          <w:lang w:val="en-US"/>
        </w:rPr>
        <w:t>.</w:t>
      </w:r>
      <w:r w:rsidR="00BD692B">
        <w:rPr>
          <w:lang w:val="en-US"/>
        </w:rPr>
        <w:t xml:space="preserve"> </w:t>
      </w:r>
      <w:r w:rsidR="00D36AC0">
        <w:rPr>
          <w:lang w:val="en-US"/>
        </w:rPr>
        <w:t>An easement</w:t>
      </w:r>
      <w:r w:rsidR="00BD692B">
        <w:rPr>
          <w:lang w:val="en-US"/>
        </w:rPr>
        <w:t xml:space="preserve"> can be legal or equitable</w:t>
      </w:r>
      <w:r w:rsidR="00D36AC0">
        <w:rPr>
          <w:lang w:val="en-US"/>
        </w:rPr>
        <w:t xml:space="preserve"> </w:t>
      </w:r>
      <w:r w:rsidR="0091417D">
        <w:rPr>
          <w:lang w:val="en-US"/>
        </w:rPr>
        <w:t>gray and gray 20</w:t>
      </w:r>
      <w:r w:rsidR="00BC02C9">
        <w:rPr>
          <w:lang w:val="en-US"/>
        </w:rPr>
        <w:t>1</w:t>
      </w:r>
      <w:r w:rsidR="0091417D">
        <w:rPr>
          <w:lang w:val="en-US"/>
        </w:rPr>
        <w:t>1</w:t>
      </w:r>
      <w:r w:rsidR="00BC02C9">
        <w:rPr>
          <w:lang w:val="en-US"/>
        </w:rPr>
        <w:t xml:space="preserve"> pp.15</w:t>
      </w:r>
      <w:r w:rsidR="0091417D">
        <w:rPr>
          <w:lang w:val="en-US"/>
        </w:rPr>
        <w:t>).</w:t>
      </w:r>
      <w:r w:rsidR="008409B7">
        <w:rPr>
          <w:lang w:val="en-US"/>
        </w:rPr>
        <w:t xml:space="preserve"> </w:t>
      </w:r>
      <w:r w:rsidR="00C50D8F">
        <w:rPr>
          <w:lang w:val="en-US"/>
        </w:rPr>
        <w:t>E</w:t>
      </w:r>
      <w:r w:rsidR="00C50D8F" w:rsidRPr="00C50D8F">
        <w:rPr>
          <w:lang w:val="en-US"/>
        </w:rPr>
        <w:t>asement which can be created and lawfully recognized are, express grant, implied grant or by prescription</w:t>
      </w:r>
      <w:r w:rsidR="00D36AC0">
        <w:rPr>
          <w:lang w:val="en-US"/>
        </w:rPr>
        <w:t>, t</w:t>
      </w:r>
      <w:r w:rsidR="00C50D8F" w:rsidRPr="00C50D8F">
        <w:rPr>
          <w:lang w:val="en-US"/>
        </w:rPr>
        <w:t>his essay will only be concerned with prescription.</w:t>
      </w:r>
      <w:r w:rsidR="00C50D8F">
        <w:rPr>
          <w:lang w:val="en-US"/>
        </w:rPr>
        <w:t xml:space="preserve"> </w:t>
      </w:r>
      <w:r w:rsidR="008409B7" w:rsidRPr="008409B7">
        <w:rPr>
          <w:lang w:val="en-US"/>
        </w:rPr>
        <w:t>An easement can be legal or equitable</w:t>
      </w:r>
      <w:r w:rsidR="00D36AC0">
        <w:rPr>
          <w:lang w:val="en-US"/>
        </w:rPr>
        <w:t>, f</w:t>
      </w:r>
      <w:r w:rsidR="008409B7" w:rsidRPr="008409B7">
        <w:rPr>
          <w:lang w:val="en-US"/>
        </w:rPr>
        <w:t>or an easement to be legal it would have to be in a deed under s1 Law of Property (Miscellaneous Provisions) Act 1989 (LPAMP1989)</w:t>
      </w:r>
      <w:r w:rsidR="00B61D4A">
        <w:rPr>
          <w:lang w:val="en-US"/>
        </w:rPr>
        <w:t>.</w:t>
      </w:r>
      <w:r w:rsidR="008409B7" w:rsidRPr="008409B7">
        <w:rPr>
          <w:lang w:val="en-US"/>
        </w:rPr>
        <w:t xml:space="preserve"> </w:t>
      </w:r>
      <w:r w:rsidR="00EE7C4A" w:rsidRPr="00EE7C4A">
        <w:rPr>
          <w:lang w:val="en-US"/>
        </w:rPr>
        <w:t xml:space="preserve">If you </w:t>
      </w:r>
      <w:r w:rsidR="00EE7C4A">
        <w:rPr>
          <w:lang w:val="en-US"/>
        </w:rPr>
        <w:t>own</w:t>
      </w:r>
      <w:r w:rsidR="00EE7C4A" w:rsidRPr="00EE7C4A">
        <w:rPr>
          <w:lang w:val="en-US"/>
        </w:rPr>
        <w:t xml:space="preserve"> a fee simple interest in real estate, you can make changes to it, lease it out, sell it, or give it to someone else as an inheritance</w:t>
      </w:r>
      <w:r w:rsidR="00EE7C4A">
        <w:rPr>
          <w:lang w:val="en-US"/>
        </w:rPr>
        <w:t xml:space="preserve"> </w:t>
      </w:r>
      <w:r w:rsidR="00EE7C4A" w:rsidRPr="00EE7C4A">
        <w:rPr>
          <w:lang w:val="en-US"/>
        </w:rPr>
        <w:t>(</w:t>
      </w:r>
      <w:proofErr w:type="spellStart"/>
      <w:r w:rsidR="00EE7C4A" w:rsidRPr="00EE7C4A">
        <w:rPr>
          <w:lang w:val="en-US"/>
        </w:rPr>
        <w:t>Helling</w:t>
      </w:r>
      <w:proofErr w:type="spellEnd"/>
      <w:r w:rsidR="00EE7C4A" w:rsidRPr="00EE7C4A">
        <w:rPr>
          <w:lang w:val="en-US"/>
        </w:rPr>
        <w:t xml:space="preserve"> 2020).</w:t>
      </w:r>
      <w:r w:rsidR="00EE7C4A">
        <w:rPr>
          <w:lang w:val="en-US"/>
        </w:rPr>
        <w:t xml:space="preserve"> </w:t>
      </w:r>
      <w:r w:rsidR="00BF713D" w:rsidRPr="00BF713D">
        <w:rPr>
          <w:lang w:val="en-US"/>
        </w:rPr>
        <w:t>Equitable easements are described as easements that take effect as equitable interests rather than as legal</w:t>
      </w:r>
      <w:r w:rsidR="00030B4C">
        <w:rPr>
          <w:lang w:val="en-US"/>
        </w:rPr>
        <w:t xml:space="preserve"> </w:t>
      </w:r>
      <w:r w:rsidR="00030B4C" w:rsidRPr="00BF713D">
        <w:rPr>
          <w:lang w:val="en-US"/>
        </w:rPr>
        <w:t>easements</w:t>
      </w:r>
      <w:r w:rsidR="000511DA" w:rsidRPr="000511DA">
        <w:t xml:space="preserve"> </w:t>
      </w:r>
      <w:r w:rsidR="000511DA">
        <w:t>(</w:t>
      </w:r>
      <w:r w:rsidR="000511DA" w:rsidRPr="000511DA">
        <w:rPr>
          <w:lang w:val="en-US"/>
        </w:rPr>
        <w:t>Fox</w:t>
      </w:r>
      <w:r w:rsidR="000511DA">
        <w:rPr>
          <w:lang w:val="en-US"/>
        </w:rPr>
        <w:t xml:space="preserve"> 2006)</w:t>
      </w:r>
      <w:r w:rsidR="001A4553">
        <w:rPr>
          <w:lang w:val="en-US"/>
        </w:rPr>
        <w:t>.</w:t>
      </w:r>
      <w:r w:rsidR="00030B4C">
        <w:rPr>
          <w:lang w:val="en-US"/>
        </w:rPr>
        <w:t xml:space="preserve"> </w:t>
      </w:r>
      <w:r w:rsidR="001A4553" w:rsidRPr="001A4553">
        <w:rPr>
          <w:lang w:val="en-US"/>
        </w:rPr>
        <w:t xml:space="preserve">S. 52(1) of the Law of Property Act of 1925 states that a deed is needed for a lease to be legally binding. In order to be considered a legal deed, a document must say specifically on </w:t>
      </w:r>
      <w:r w:rsidR="001A4553">
        <w:rPr>
          <w:lang w:val="en-US"/>
        </w:rPr>
        <w:t xml:space="preserve">the </w:t>
      </w:r>
      <w:r w:rsidR="001A4553" w:rsidRPr="001A4553">
        <w:rPr>
          <w:lang w:val="en-US"/>
        </w:rPr>
        <w:t xml:space="preserve">face </w:t>
      </w:r>
      <w:r w:rsidR="001A4553">
        <w:rPr>
          <w:lang w:val="en-US"/>
        </w:rPr>
        <w:t xml:space="preserve">of it </w:t>
      </w:r>
      <w:r w:rsidR="001A4553" w:rsidRPr="001A4553">
        <w:rPr>
          <w:lang w:val="en-US"/>
        </w:rPr>
        <w:t>that it is designed to be a deed, be signed and witnessed as a deed, and be delivered as a deed.</w:t>
      </w:r>
      <w:r w:rsidR="00911C15">
        <w:rPr>
          <w:lang w:val="en-US"/>
        </w:rPr>
        <w:t xml:space="preserve"> (HM Land Registry 2023)</w:t>
      </w:r>
      <w:r w:rsidR="001153D0">
        <w:rPr>
          <w:lang w:val="en-US"/>
        </w:rPr>
        <w:t xml:space="preserve">. However, </w:t>
      </w:r>
      <w:r w:rsidR="005E2230">
        <w:rPr>
          <w:lang w:val="en-US"/>
        </w:rPr>
        <w:t xml:space="preserve">according to </w:t>
      </w:r>
      <w:r w:rsidR="005E2230" w:rsidRPr="005E2230">
        <w:rPr>
          <w:lang w:val="en-US"/>
        </w:rPr>
        <w:t>Pawlowski 2018</w:t>
      </w:r>
      <w:r w:rsidR="005E2230">
        <w:rPr>
          <w:lang w:val="en-US"/>
        </w:rPr>
        <w:t xml:space="preserve"> </w:t>
      </w:r>
      <w:r w:rsidR="005E2230" w:rsidRPr="005E2230">
        <w:rPr>
          <w:lang w:val="en-US"/>
        </w:rPr>
        <w:t>there is essentially no difference between an equitable lease produced by a written agreement that can bind successors and a legal lease created by a deed.</w:t>
      </w:r>
      <w:r w:rsidR="005E2230">
        <w:rPr>
          <w:lang w:val="en-US"/>
        </w:rPr>
        <w:t xml:space="preserve"> </w:t>
      </w:r>
      <w:r w:rsidR="00030B4C">
        <w:rPr>
          <w:lang w:val="en-US"/>
        </w:rPr>
        <w:t>I</w:t>
      </w:r>
      <w:r w:rsidR="008409B7" w:rsidRPr="008409B7">
        <w:rPr>
          <w:lang w:val="en-US"/>
        </w:rPr>
        <w:t xml:space="preserve">n the case of Walsh v Lonsdale (1882), it was intended to be written in the deed. </w:t>
      </w:r>
    </w:p>
    <w:p w14:paraId="3FB9B46C" w14:textId="1780FBA9" w:rsidR="00875C23" w:rsidRDefault="0091417D" w:rsidP="00DA0459">
      <w:pPr>
        <w:rPr>
          <w:b/>
          <w:bCs/>
          <w:lang w:val="en-US"/>
        </w:rPr>
      </w:pPr>
      <w:r>
        <w:rPr>
          <w:lang w:val="en-US"/>
        </w:rPr>
        <w:t>T</w:t>
      </w:r>
      <w:r w:rsidR="00885552">
        <w:rPr>
          <w:lang w:val="en-US"/>
        </w:rPr>
        <w:t xml:space="preserve">he characteristics of an easement is a rule that was set out by </w:t>
      </w:r>
      <w:proofErr w:type="spellStart"/>
      <w:r w:rsidR="00885552">
        <w:rPr>
          <w:lang w:val="en-US"/>
        </w:rPr>
        <w:t>Danckwert</w:t>
      </w:r>
      <w:proofErr w:type="spellEnd"/>
      <w:r w:rsidR="00885552">
        <w:rPr>
          <w:lang w:val="en-US"/>
        </w:rPr>
        <w:t xml:space="preserve"> J in the case of </w:t>
      </w:r>
      <w:r w:rsidR="00885552" w:rsidRPr="0001367D">
        <w:rPr>
          <w:lang w:val="en-US"/>
        </w:rPr>
        <w:t>Re Ellenborough Par</w:t>
      </w:r>
      <w:r w:rsidR="00104EC4" w:rsidRPr="0001367D">
        <w:rPr>
          <w:lang w:val="en-US"/>
        </w:rPr>
        <w:t>k</w:t>
      </w:r>
      <w:r w:rsidR="004E06F4">
        <w:rPr>
          <w:lang w:val="en-US"/>
        </w:rPr>
        <w:t>. T</w:t>
      </w:r>
      <w:r w:rsidR="00885552">
        <w:rPr>
          <w:lang w:val="en-US"/>
        </w:rPr>
        <w:t>he</w:t>
      </w:r>
      <w:r w:rsidR="005B36F1">
        <w:rPr>
          <w:lang w:val="en-US"/>
        </w:rPr>
        <w:t>re are 4</w:t>
      </w:r>
      <w:r w:rsidR="00885552">
        <w:rPr>
          <w:lang w:val="en-US"/>
        </w:rPr>
        <w:t xml:space="preserve"> rules </w:t>
      </w:r>
      <w:r w:rsidR="005B36F1">
        <w:rPr>
          <w:lang w:val="en-US"/>
        </w:rPr>
        <w:t xml:space="preserve">under this doctrine which </w:t>
      </w:r>
      <w:r w:rsidR="00752635">
        <w:rPr>
          <w:lang w:val="en-US"/>
        </w:rPr>
        <w:t>are, there</w:t>
      </w:r>
      <w:r w:rsidR="00104EC4">
        <w:rPr>
          <w:lang w:val="en-US"/>
        </w:rPr>
        <w:t xml:space="preserve"> must be a dominant tenement (land) and a servient tenement (land)</w:t>
      </w:r>
      <w:r w:rsidR="005B36F1">
        <w:rPr>
          <w:lang w:val="en-US"/>
        </w:rPr>
        <w:t xml:space="preserve">, the easement has to accommodate the dominant </w:t>
      </w:r>
      <w:r w:rsidR="00752635">
        <w:rPr>
          <w:lang w:val="en-US"/>
        </w:rPr>
        <w:t>land,</w:t>
      </w:r>
      <w:r w:rsidR="005B36F1">
        <w:rPr>
          <w:lang w:val="en-US"/>
        </w:rPr>
        <w:t xml:space="preserve"> the </w:t>
      </w:r>
      <w:r w:rsidR="004E06F4">
        <w:rPr>
          <w:lang w:val="en-US"/>
        </w:rPr>
        <w:t>dominant</w:t>
      </w:r>
      <w:r w:rsidR="005B36F1">
        <w:rPr>
          <w:lang w:val="en-US"/>
        </w:rPr>
        <w:t xml:space="preserve"> </w:t>
      </w:r>
      <w:r w:rsidR="0043739C">
        <w:rPr>
          <w:lang w:val="en-US"/>
        </w:rPr>
        <w:t>owner and the servient owner cann</w:t>
      </w:r>
      <w:r w:rsidR="00322B22">
        <w:rPr>
          <w:lang w:val="en-US"/>
        </w:rPr>
        <w:t>o</w:t>
      </w:r>
      <w:r w:rsidR="0043739C">
        <w:rPr>
          <w:lang w:val="en-US"/>
        </w:rPr>
        <w:t>t be the same person and an easement has to come in the form of a grant of the subject matter.</w:t>
      </w:r>
      <w:r w:rsidR="002E0B8E">
        <w:rPr>
          <w:lang w:val="en-US"/>
        </w:rPr>
        <w:t xml:space="preserve"> The owners land must be very close for an easement by prescription to be </w:t>
      </w:r>
      <w:r w:rsidR="00752635">
        <w:rPr>
          <w:lang w:val="en-US"/>
        </w:rPr>
        <w:t>capable of an</w:t>
      </w:r>
      <w:r w:rsidR="00F16308">
        <w:rPr>
          <w:lang w:val="en-US"/>
        </w:rPr>
        <w:t xml:space="preserve"> easement</w:t>
      </w:r>
      <w:r w:rsidR="00D36AC0">
        <w:rPr>
          <w:lang w:val="en-US"/>
        </w:rPr>
        <w:t>. T</w:t>
      </w:r>
      <w:r w:rsidR="002E0B8E">
        <w:rPr>
          <w:lang w:val="en-US"/>
        </w:rPr>
        <w:t xml:space="preserve">he </w:t>
      </w:r>
      <w:r w:rsidR="002E0B8E" w:rsidRPr="0001367D">
        <w:rPr>
          <w:lang w:val="en-US"/>
        </w:rPr>
        <w:t>Law of Property Act (LPA)1925</w:t>
      </w:r>
      <w:r w:rsidR="004F62BF">
        <w:rPr>
          <w:lang w:val="en-US"/>
        </w:rPr>
        <w:t xml:space="preserve"> is </w:t>
      </w:r>
      <w:r w:rsidR="005E37B8">
        <w:rPr>
          <w:lang w:val="en-US"/>
        </w:rPr>
        <w:t xml:space="preserve">a </w:t>
      </w:r>
      <w:r w:rsidR="00A57613">
        <w:rPr>
          <w:lang w:val="en-US"/>
        </w:rPr>
        <w:t>legal</w:t>
      </w:r>
      <w:r w:rsidR="001C18D1">
        <w:rPr>
          <w:lang w:val="en-US"/>
        </w:rPr>
        <w:t xml:space="preserve"> </w:t>
      </w:r>
      <w:r w:rsidR="005E37B8">
        <w:rPr>
          <w:lang w:val="en-US"/>
        </w:rPr>
        <w:t>doctrine.</w:t>
      </w:r>
      <w:r w:rsidR="00C800B1">
        <w:rPr>
          <w:lang w:val="en-US"/>
        </w:rPr>
        <w:t xml:space="preserve"> </w:t>
      </w:r>
      <w:r w:rsidR="001C020D">
        <w:rPr>
          <w:lang w:val="en-US"/>
        </w:rPr>
        <w:t>For an easement to exist there has to be two lands</w:t>
      </w:r>
      <w:r w:rsidR="003165B2">
        <w:rPr>
          <w:lang w:val="en-US"/>
        </w:rPr>
        <w:t xml:space="preserve">, a servient land and a dominant </w:t>
      </w:r>
      <w:r w:rsidR="001516EE">
        <w:rPr>
          <w:lang w:val="en-US"/>
        </w:rPr>
        <w:t>land,</w:t>
      </w:r>
      <w:r w:rsidR="0035517C" w:rsidRPr="0035517C">
        <w:rPr>
          <w:lang w:val="en-US"/>
        </w:rPr>
        <w:t xml:space="preserve"> </w:t>
      </w:r>
      <w:r w:rsidR="0035517C">
        <w:rPr>
          <w:lang w:val="en-US"/>
        </w:rPr>
        <w:t>this is defined in s205 LPA 1925. O</w:t>
      </w:r>
      <w:r w:rsidR="001516EE">
        <w:rPr>
          <w:lang w:val="en-US"/>
        </w:rPr>
        <w:t>ne</w:t>
      </w:r>
      <w:r w:rsidR="00D33001">
        <w:rPr>
          <w:lang w:val="en-US"/>
        </w:rPr>
        <w:t xml:space="preserve"> that </w:t>
      </w:r>
      <w:r w:rsidR="00EF7C29">
        <w:rPr>
          <w:lang w:val="en-US"/>
        </w:rPr>
        <w:t>the servient</w:t>
      </w:r>
      <w:r w:rsidR="00D33001">
        <w:rPr>
          <w:lang w:val="en-US"/>
        </w:rPr>
        <w:t xml:space="preserve"> would </w:t>
      </w:r>
      <w:r w:rsidR="0035517C">
        <w:rPr>
          <w:lang w:val="en-US"/>
        </w:rPr>
        <w:t>be</w:t>
      </w:r>
      <w:r w:rsidR="003165B2">
        <w:rPr>
          <w:lang w:val="en-US"/>
        </w:rPr>
        <w:t xml:space="preserve"> burden</w:t>
      </w:r>
      <w:r w:rsidR="0035517C">
        <w:rPr>
          <w:lang w:val="en-US"/>
        </w:rPr>
        <w:t>ed</w:t>
      </w:r>
      <w:r w:rsidR="003165B2">
        <w:rPr>
          <w:lang w:val="en-US"/>
        </w:rPr>
        <w:t xml:space="preserve"> </w:t>
      </w:r>
      <w:r w:rsidR="00D33001">
        <w:rPr>
          <w:lang w:val="en-US"/>
        </w:rPr>
        <w:t>by</w:t>
      </w:r>
      <w:r w:rsidR="00DF770D">
        <w:rPr>
          <w:lang w:val="en-US"/>
        </w:rPr>
        <w:t>,</w:t>
      </w:r>
      <w:r w:rsidR="00D33001">
        <w:rPr>
          <w:lang w:val="en-US"/>
        </w:rPr>
        <w:t xml:space="preserve"> </w:t>
      </w:r>
      <w:r w:rsidR="003165B2">
        <w:rPr>
          <w:lang w:val="en-US"/>
        </w:rPr>
        <w:t xml:space="preserve">and one </w:t>
      </w:r>
      <w:r w:rsidR="00D33001">
        <w:rPr>
          <w:lang w:val="en-US"/>
        </w:rPr>
        <w:t xml:space="preserve">that </w:t>
      </w:r>
      <w:r w:rsidR="00EF7C29">
        <w:rPr>
          <w:lang w:val="en-US"/>
        </w:rPr>
        <w:t xml:space="preserve">the dominant </w:t>
      </w:r>
      <w:r w:rsidR="00D33001">
        <w:rPr>
          <w:lang w:val="en-US"/>
        </w:rPr>
        <w:t xml:space="preserve">would </w:t>
      </w:r>
      <w:r w:rsidR="003165B2">
        <w:rPr>
          <w:lang w:val="en-US"/>
        </w:rPr>
        <w:t>benefit</w:t>
      </w:r>
      <w:r w:rsidR="00D515AC">
        <w:rPr>
          <w:lang w:val="en-US"/>
        </w:rPr>
        <w:t>, the land has to be clearly identified</w:t>
      </w:r>
      <w:r w:rsidR="00EF7C29">
        <w:rPr>
          <w:lang w:val="en-US"/>
        </w:rPr>
        <w:t>.</w:t>
      </w:r>
      <w:r w:rsidR="00F16308">
        <w:rPr>
          <w:lang w:val="en-US"/>
        </w:rPr>
        <w:t xml:space="preserve"> However,</w:t>
      </w:r>
      <w:r w:rsidR="00D515AC">
        <w:rPr>
          <w:lang w:val="en-US"/>
        </w:rPr>
        <w:t xml:space="preserve"> in </w:t>
      </w:r>
      <w:r w:rsidR="00D33001">
        <w:rPr>
          <w:lang w:val="en-US"/>
        </w:rPr>
        <w:t xml:space="preserve">the case of </w:t>
      </w:r>
      <w:r w:rsidR="00D515AC" w:rsidRPr="00AA1876">
        <w:rPr>
          <w:lang w:val="en-US"/>
        </w:rPr>
        <w:t>London and Blenheim Estates Ltd v Ladbrokes Retail Parks Ltd 1993</w:t>
      </w:r>
      <w:r w:rsidR="004E06F4">
        <w:rPr>
          <w:b/>
          <w:bCs/>
          <w:lang w:val="en-US"/>
        </w:rPr>
        <w:t xml:space="preserve">, </w:t>
      </w:r>
      <w:r w:rsidR="00EF7C29">
        <w:rPr>
          <w:lang w:val="en-US"/>
        </w:rPr>
        <w:t>t</w:t>
      </w:r>
      <w:r w:rsidR="00D33001">
        <w:rPr>
          <w:lang w:val="en-US"/>
        </w:rPr>
        <w:t>he land was not clearly i</w:t>
      </w:r>
      <w:r w:rsidR="0039263E">
        <w:rPr>
          <w:lang w:val="en-US"/>
        </w:rPr>
        <w:t>dentified, so this could not be an easement. The dominant land would have to benefit for an easement to exist</w:t>
      </w:r>
      <w:r w:rsidR="00EF7C29">
        <w:rPr>
          <w:lang w:val="en-US"/>
        </w:rPr>
        <w:t>.</w:t>
      </w:r>
      <w:r w:rsidR="0039263E">
        <w:rPr>
          <w:lang w:val="en-US"/>
        </w:rPr>
        <w:t xml:space="preserve"> </w:t>
      </w:r>
      <w:r w:rsidR="00EF7C29">
        <w:rPr>
          <w:lang w:val="en-US"/>
        </w:rPr>
        <w:t>I</w:t>
      </w:r>
      <w:r w:rsidR="00D33001" w:rsidRPr="00F83287">
        <w:rPr>
          <w:lang w:val="en-US"/>
        </w:rPr>
        <w:t xml:space="preserve">n the case of </w:t>
      </w:r>
      <w:r w:rsidR="00A20011" w:rsidRPr="00AA1876">
        <w:rPr>
          <w:lang w:val="en-US"/>
        </w:rPr>
        <w:t>H</w:t>
      </w:r>
      <w:r w:rsidR="00D33001" w:rsidRPr="00AA1876">
        <w:rPr>
          <w:lang w:val="en-US"/>
        </w:rPr>
        <w:t xml:space="preserve">ill v </w:t>
      </w:r>
      <w:r w:rsidR="004E06F4" w:rsidRPr="00AA1876">
        <w:rPr>
          <w:lang w:val="en-US"/>
        </w:rPr>
        <w:t>Tupper,</w:t>
      </w:r>
      <w:r w:rsidR="00D33001">
        <w:rPr>
          <w:lang w:val="en-US"/>
        </w:rPr>
        <w:t xml:space="preserve"> it could have </w:t>
      </w:r>
      <w:r w:rsidR="00432544">
        <w:rPr>
          <w:lang w:val="en-US"/>
        </w:rPr>
        <w:t>formed</w:t>
      </w:r>
      <w:r w:rsidR="00D33001">
        <w:rPr>
          <w:lang w:val="en-US"/>
        </w:rPr>
        <w:t xml:space="preserve"> a subject </w:t>
      </w:r>
      <w:r w:rsidR="00EF7C29">
        <w:rPr>
          <w:lang w:val="en-US"/>
        </w:rPr>
        <w:t xml:space="preserve">matter </w:t>
      </w:r>
      <w:r w:rsidR="00D33001">
        <w:rPr>
          <w:lang w:val="en-US"/>
        </w:rPr>
        <w:t>of an easement if he wante</w:t>
      </w:r>
      <w:r w:rsidR="0039263E">
        <w:rPr>
          <w:lang w:val="en-US"/>
        </w:rPr>
        <w:t>d</w:t>
      </w:r>
      <w:r w:rsidR="00D33001">
        <w:rPr>
          <w:lang w:val="en-US"/>
        </w:rPr>
        <w:t xml:space="preserve"> to use the lake to go finishing because</w:t>
      </w:r>
      <w:r w:rsidR="00B7737B">
        <w:rPr>
          <w:lang w:val="en-US"/>
        </w:rPr>
        <w:t>,</w:t>
      </w:r>
      <w:r w:rsidR="00D33001">
        <w:rPr>
          <w:lang w:val="en-US"/>
        </w:rPr>
        <w:t xml:space="preserve"> the courts would have recognized </w:t>
      </w:r>
      <w:r w:rsidR="00432544">
        <w:rPr>
          <w:lang w:val="en-US"/>
        </w:rPr>
        <w:t>that as</w:t>
      </w:r>
      <w:r w:rsidR="00D33001">
        <w:rPr>
          <w:lang w:val="en-US"/>
        </w:rPr>
        <w:t xml:space="preserve"> being as of right,</w:t>
      </w:r>
      <w:r w:rsidR="00C50D8F">
        <w:rPr>
          <w:lang w:val="en-US"/>
        </w:rPr>
        <w:t xml:space="preserve"> under the Countryside and Right of way Act </w:t>
      </w:r>
      <w:r w:rsidR="004E06F4">
        <w:rPr>
          <w:lang w:val="en-US"/>
        </w:rPr>
        <w:t>2000</w:t>
      </w:r>
      <w:r w:rsidR="00D36AC0">
        <w:rPr>
          <w:lang w:val="en-US"/>
        </w:rPr>
        <w:t>,</w:t>
      </w:r>
      <w:r w:rsidR="004E06F4">
        <w:rPr>
          <w:iCs/>
          <w:lang w:val="en-US"/>
        </w:rPr>
        <w:t xml:space="preserve"> </w:t>
      </w:r>
      <w:r w:rsidR="00D36AC0">
        <w:rPr>
          <w:iCs/>
          <w:lang w:val="en-US"/>
        </w:rPr>
        <w:t xml:space="preserve">but, </w:t>
      </w:r>
      <w:r w:rsidR="00D33001">
        <w:rPr>
          <w:lang w:val="en-US"/>
        </w:rPr>
        <w:t xml:space="preserve">because it was a </w:t>
      </w:r>
      <w:r w:rsidR="00752635">
        <w:rPr>
          <w:lang w:val="en-US"/>
        </w:rPr>
        <w:t xml:space="preserve">personal </w:t>
      </w:r>
      <w:r w:rsidR="00432544">
        <w:rPr>
          <w:lang w:val="en-US"/>
        </w:rPr>
        <w:t>benefit it</w:t>
      </w:r>
      <w:r w:rsidR="00D33001">
        <w:rPr>
          <w:lang w:val="en-US"/>
        </w:rPr>
        <w:t xml:space="preserve"> did not fit in with the charact</w:t>
      </w:r>
      <w:r>
        <w:rPr>
          <w:lang w:val="en-US"/>
        </w:rPr>
        <w:t>eri</w:t>
      </w:r>
      <w:r w:rsidR="00D33001">
        <w:rPr>
          <w:lang w:val="en-US"/>
        </w:rPr>
        <w:t xml:space="preserve">stics in </w:t>
      </w:r>
      <w:r w:rsidR="00D33001" w:rsidRPr="00085800">
        <w:rPr>
          <w:lang w:val="en-US"/>
        </w:rPr>
        <w:t xml:space="preserve">Re </w:t>
      </w:r>
      <w:r w:rsidR="00432544" w:rsidRPr="00085800">
        <w:rPr>
          <w:lang w:val="en-US"/>
        </w:rPr>
        <w:t>Ellenborough Park</w:t>
      </w:r>
      <w:r w:rsidR="004E06F4">
        <w:rPr>
          <w:lang w:val="en-US"/>
        </w:rPr>
        <w:t>,</w:t>
      </w:r>
      <w:r w:rsidR="00D33001">
        <w:rPr>
          <w:lang w:val="en-US"/>
        </w:rPr>
        <w:t xml:space="preserve"> </w:t>
      </w:r>
      <w:r w:rsidR="004E06F4">
        <w:rPr>
          <w:lang w:val="en-US"/>
        </w:rPr>
        <w:t>it</w:t>
      </w:r>
      <w:r w:rsidR="00440FBC">
        <w:rPr>
          <w:lang w:val="en-US"/>
        </w:rPr>
        <w:t xml:space="preserve"> did not benefit the land itself and therefore could not be an easement</w:t>
      </w:r>
      <w:r w:rsidR="00D37858">
        <w:rPr>
          <w:lang w:val="en-US"/>
        </w:rPr>
        <w:t xml:space="preserve"> </w:t>
      </w:r>
      <w:r w:rsidR="00D33001">
        <w:rPr>
          <w:lang w:val="en-US"/>
        </w:rPr>
        <w:t>Gray and Gray (2011, p. 238)</w:t>
      </w:r>
      <w:r w:rsidR="00B7737B">
        <w:rPr>
          <w:lang w:val="en-US"/>
        </w:rPr>
        <w:t xml:space="preserve">. </w:t>
      </w:r>
      <w:bookmarkStart w:id="0" w:name="_Hlk117867452"/>
      <w:bookmarkStart w:id="1" w:name="_Hlk119019801"/>
      <w:r w:rsidR="00D70282" w:rsidRPr="00085800">
        <w:rPr>
          <w:lang w:val="en-US"/>
        </w:rPr>
        <w:t xml:space="preserve">Moody v </w:t>
      </w:r>
      <w:bookmarkEnd w:id="0"/>
      <w:proofErr w:type="spellStart"/>
      <w:r w:rsidR="00A20011" w:rsidRPr="00085800">
        <w:rPr>
          <w:lang w:val="en-US"/>
        </w:rPr>
        <w:t>S</w:t>
      </w:r>
      <w:r w:rsidRPr="00085800">
        <w:rPr>
          <w:lang w:val="en-US"/>
        </w:rPr>
        <w:t>teggles</w:t>
      </w:r>
      <w:proofErr w:type="spellEnd"/>
      <w:r w:rsidRPr="00155E51">
        <w:rPr>
          <w:lang w:val="en-US"/>
        </w:rPr>
        <w:t xml:space="preserve"> </w:t>
      </w:r>
      <w:bookmarkEnd w:id="1"/>
      <w:r>
        <w:rPr>
          <w:lang w:val="en-US"/>
        </w:rPr>
        <w:t>are</w:t>
      </w:r>
      <w:r w:rsidR="0095314B">
        <w:rPr>
          <w:lang w:val="en-US"/>
        </w:rPr>
        <w:t xml:space="preserve"> concerned with fixtures and </w:t>
      </w:r>
      <w:r>
        <w:rPr>
          <w:lang w:val="en-US"/>
        </w:rPr>
        <w:t xml:space="preserve">not </w:t>
      </w:r>
      <w:r w:rsidR="0095314B">
        <w:rPr>
          <w:lang w:val="en-US"/>
        </w:rPr>
        <w:t>land itself</w:t>
      </w:r>
      <w:r>
        <w:rPr>
          <w:lang w:val="en-US"/>
        </w:rPr>
        <w:t xml:space="preserve"> </w:t>
      </w:r>
      <w:r w:rsidR="009E5D24">
        <w:rPr>
          <w:lang w:val="en-US"/>
        </w:rPr>
        <w:t>but</w:t>
      </w:r>
      <w:r w:rsidR="00685FBF">
        <w:rPr>
          <w:b/>
          <w:bCs/>
          <w:lang w:val="en-US"/>
        </w:rPr>
        <w:t xml:space="preserve">, </w:t>
      </w:r>
      <w:r w:rsidR="00432544" w:rsidRPr="00155E51">
        <w:rPr>
          <w:lang w:val="en-US"/>
        </w:rPr>
        <w:t>because</w:t>
      </w:r>
      <w:r w:rsidR="00685FBF">
        <w:rPr>
          <w:lang w:val="en-US"/>
        </w:rPr>
        <w:t xml:space="preserve"> </w:t>
      </w:r>
      <w:r w:rsidR="00432544" w:rsidRPr="00155E51">
        <w:rPr>
          <w:lang w:val="en-US"/>
        </w:rPr>
        <w:t>the</w:t>
      </w:r>
      <w:r w:rsidR="00D70282" w:rsidRPr="00155E51">
        <w:rPr>
          <w:lang w:val="en-US"/>
        </w:rPr>
        <w:t xml:space="preserve"> sign has been there for so long</w:t>
      </w:r>
      <w:r w:rsidR="009E5D24">
        <w:rPr>
          <w:lang w:val="en-US"/>
        </w:rPr>
        <w:t xml:space="preserve"> and the sign was useful for direction to the pub </w:t>
      </w:r>
      <w:r w:rsidR="00E7521A">
        <w:rPr>
          <w:lang w:val="en-US"/>
        </w:rPr>
        <w:t>which</w:t>
      </w:r>
      <w:r w:rsidR="009E5D24">
        <w:rPr>
          <w:lang w:val="en-US"/>
        </w:rPr>
        <w:t xml:space="preserve"> in that sense did benefit the land</w:t>
      </w:r>
      <w:r w:rsidR="00F82799">
        <w:rPr>
          <w:lang w:val="en-US"/>
        </w:rPr>
        <w:t>, so the courts allowed</w:t>
      </w:r>
      <w:r w:rsidR="009E5D24">
        <w:rPr>
          <w:lang w:val="en-US"/>
        </w:rPr>
        <w:t xml:space="preserve"> an easement through common law</w:t>
      </w:r>
      <w:r w:rsidR="00B7737B">
        <w:rPr>
          <w:lang w:val="en-US"/>
        </w:rPr>
        <w:t>.</w:t>
      </w:r>
      <w:r w:rsidR="006E5B82">
        <w:rPr>
          <w:lang w:val="en-US"/>
        </w:rPr>
        <w:t xml:space="preserve"> </w:t>
      </w:r>
    </w:p>
    <w:p w14:paraId="2FAD65B8" w14:textId="77777777" w:rsidR="00875C23" w:rsidRDefault="00875C23" w:rsidP="00DA0459">
      <w:pPr>
        <w:rPr>
          <w:b/>
          <w:bCs/>
          <w:lang w:val="en-US"/>
        </w:rPr>
      </w:pPr>
    </w:p>
    <w:p w14:paraId="5F48F653" w14:textId="76F91693" w:rsidR="00875C23" w:rsidRPr="00F6119F" w:rsidRDefault="00657EC9" w:rsidP="005D769E">
      <w:pPr>
        <w:rPr>
          <w:b/>
          <w:bCs/>
        </w:rPr>
      </w:pPr>
      <w:r w:rsidRPr="00657EC9">
        <w:rPr>
          <w:lang w:val="en-US"/>
        </w:rPr>
        <w:t>The perception act 1832 allows an easement by perception if it has been lawfully granted. In the case of Wright v Macadam (1949) it was said by Jenkins LJ, to the words of this affect, it has certainly been enjoyment by the tenants and it is not new to the law as `a right of way`, the judge in the appeal court agreed and the defendant had to pay costs</w:t>
      </w:r>
      <w:r w:rsidR="00E7521A">
        <w:rPr>
          <w:lang w:val="en-US"/>
        </w:rPr>
        <w:t xml:space="preserve">. </w:t>
      </w:r>
      <w:r w:rsidRPr="00657EC9">
        <w:rPr>
          <w:lang w:val="en-US"/>
        </w:rPr>
        <w:t xml:space="preserve">However, in the case Copeland v </w:t>
      </w:r>
      <w:proofErr w:type="spellStart"/>
      <w:r w:rsidRPr="00657EC9">
        <w:rPr>
          <w:lang w:val="en-US"/>
        </w:rPr>
        <w:t>Greenhalf</w:t>
      </w:r>
      <w:proofErr w:type="spellEnd"/>
      <w:r w:rsidRPr="00657EC9">
        <w:rPr>
          <w:lang w:val="en-US"/>
        </w:rPr>
        <w:t>, the dominant owner could not use the servient land although</w:t>
      </w:r>
      <w:r w:rsidR="008409B7">
        <w:rPr>
          <w:lang w:val="en-US"/>
        </w:rPr>
        <w:t>,</w:t>
      </w:r>
      <w:r w:rsidRPr="00657EC9">
        <w:rPr>
          <w:lang w:val="en-US"/>
        </w:rPr>
        <w:t xml:space="preserve"> it was equitable under the </w:t>
      </w:r>
      <w:r w:rsidRPr="00657EC9">
        <w:rPr>
          <w:lang w:val="en-US"/>
        </w:rPr>
        <w:lastRenderedPageBreak/>
        <w:t>prescription act (PA) 1832</w:t>
      </w:r>
      <w:r w:rsidR="00E7521A">
        <w:rPr>
          <w:lang w:val="en-US"/>
        </w:rPr>
        <w:t>,</w:t>
      </w:r>
      <w:r w:rsidRPr="00657EC9">
        <w:rPr>
          <w:lang w:val="en-US"/>
        </w:rPr>
        <w:t xml:space="preserve"> it was used for 50 years without anybody saying anything to them as per s2 of the PA 1832 says it is a minimum of 20 years for long use</w:t>
      </w:r>
      <w:r w:rsidR="00E7521A">
        <w:rPr>
          <w:lang w:val="en-US"/>
        </w:rPr>
        <w:t xml:space="preserve">. </w:t>
      </w:r>
      <w:r w:rsidR="00685FBF">
        <w:rPr>
          <w:lang w:val="en-US"/>
        </w:rPr>
        <w:t>T</w:t>
      </w:r>
      <w:r w:rsidRPr="00657EC9">
        <w:rPr>
          <w:lang w:val="en-US"/>
        </w:rPr>
        <w:t>hey c</w:t>
      </w:r>
      <w:r w:rsidR="00685FBF">
        <w:rPr>
          <w:lang w:val="en-US"/>
        </w:rPr>
        <w:t>ould</w:t>
      </w:r>
      <w:r w:rsidRPr="00657EC9">
        <w:rPr>
          <w:lang w:val="en-US"/>
        </w:rPr>
        <w:t xml:space="preserve"> </w:t>
      </w:r>
      <w:r w:rsidR="00E7521A">
        <w:rPr>
          <w:lang w:val="en-US"/>
        </w:rPr>
        <w:t>a</w:t>
      </w:r>
      <w:r w:rsidR="00E7521A" w:rsidRPr="00657EC9">
        <w:rPr>
          <w:lang w:val="en-US"/>
        </w:rPr>
        <w:t>cquire</w:t>
      </w:r>
      <w:r w:rsidRPr="00657EC9">
        <w:rPr>
          <w:lang w:val="en-US"/>
        </w:rPr>
        <w:t xml:space="preserve"> an easement by virtue of s2 of the PA 1832, providing it has been used as of right which is 20years of long use</w:t>
      </w:r>
      <w:r w:rsidR="00E7521A">
        <w:rPr>
          <w:lang w:val="en-US"/>
        </w:rPr>
        <w:t xml:space="preserve">, </w:t>
      </w:r>
      <w:r w:rsidR="00685FBF">
        <w:rPr>
          <w:lang w:val="en-US"/>
        </w:rPr>
        <w:t>even though</w:t>
      </w:r>
      <w:r w:rsidR="00E7521A">
        <w:rPr>
          <w:lang w:val="en-US"/>
        </w:rPr>
        <w:t xml:space="preserve"> </w:t>
      </w:r>
      <w:r w:rsidRPr="00657EC9">
        <w:rPr>
          <w:lang w:val="en-US"/>
        </w:rPr>
        <w:t xml:space="preserve">they did not have </w:t>
      </w:r>
      <w:r w:rsidR="00E7521A" w:rsidRPr="00657EC9">
        <w:rPr>
          <w:lang w:val="en-US"/>
        </w:rPr>
        <w:t>permission</w:t>
      </w:r>
      <w:r w:rsidR="00685FBF">
        <w:rPr>
          <w:lang w:val="en-US"/>
        </w:rPr>
        <w:t>,</w:t>
      </w:r>
      <w:r w:rsidR="00E7521A" w:rsidRPr="00657EC9">
        <w:rPr>
          <w:lang w:val="en-US"/>
        </w:rPr>
        <w:t xml:space="preserve"> it</w:t>
      </w:r>
      <w:r w:rsidRPr="00657EC9">
        <w:rPr>
          <w:lang w:val="en-US"/>
        </w:rPr>
        <w:t xml:space="preserve"> was not done in secret or by force</w:t>
      </w:r>
      <w:r w:rsidR="00E7521A">
        <w:rPr>
          <w:lang w:val="en-US"/>
        </w:rPr>
        <w:t xml:space="preserve"> </w:t>
      </w:r>
      <w:r w:rsidRPr="00657EC9">
        <w:rPr>
          <w:lang w:val="en-US"/>
        </w:rPr>
        <w:t>and nobody ha</w:t>
      </w:r>
      <w:r w:rsidR="00E7521A">
        <w:rPr>
          <w:lang w:val="en-US"/>
        </w:rPr>
        <w:t>d</w:t>
      </w:r>
      <w:r w:rsidRPr="00657EC9">
        <w:rPr>
          <w:lang w:val="en-US"/>
        </w:rPr>
        <w:t xml:space="preserve"> taken any notice of them using it, they are entitled then to acquire an easement by prescription</w:t>
      </w:r>
      <w:r w:rsidR="00685FBF">
        <w:rPr>
          <w:lang w:val="en-US"/>
        </w:rPr>
        <w:t xml:space="preserve"> u</w:t>
      </w:r>
      <w:r w:rsidRPr="00657EC9">
        <w:rPr>
          <w:lang w:val="en-US"/>
        </w:rPr>
        <w:t>nder the s2 of the PA 1832</w:t>
      </w:r>
      <w:r w:rsidR="00E7521A">
        <w:rPr>
          <w:lang w:val="en-US"/>
        </w:rPr>
        <w:t xml:space="preserve"> </w:t>
      </w:r>
      <w:r w:rsidRPr="00657EC9">
        <w:rPr>
          <w:lang w:val="en-US"/>
        </w:rPr>
        <w:t xml:space="preserve"> </w:t>
      </w:r>
      <w:r w:rsidR="00685FBF">
        <w:rPr>
          <w:lang w:val="en-US"/>
        </w:rPr>
        <w:t>t</w:t>
      </w:r>
      <w:r w:rsidRPr="00657EC9">
        <w:rPr>
          <w:lang w:val="en-US"/>
        </w:rPr>
        <w:t xml:space="preserve">his </w:t>
      </w:r>
      <w:r w:rsidR="00685FBF">
        <w:rPr>
          <w:lang w:val="en-US"/>
        </w:rPr>
        <w:t xml:space="preserve">act </w:t>
      </w:r>
      <w:r w:rsidRPr="00657EC9">
        <w:rPr>
          <w:lang w:val="en-US"/>
        </w:rPr>
        <w:t>could be relied on because</w:t>
      </w:r>
      <w:r w:rsidR="00685FBF">
        <w:rPr>
          <w:lang w:val="en-US"/>
        </w:rPr>
        <w:t>,</w:t>
      </w:r>
      <w:r w:rsidRPr="00657EC9">
        <w:rPr>
          <w:lang w:val="en-US"/>
        </w:rPr>
        <w:t xml:space="preserve"> they have been using it for over 20years uninterrupted, an</w:t>
      </w:r>
      <w:r w:rsidR="00685FBF">
        <w:rPr>
          <w:lang w:val="en-US"/>
        </w:rPr>
        <w:t>d</w:t>
      </w:r>
      <w:r w:rsidRPr="00657EC9">
        <w:rPr>
          <w:lang w:val="en-US"/>
        </w:rPr>
        <w:t xml:space="preserve"> </w:t>
      </w:r>
      <w:r w:rsidR="00400A56">
        <w:rPr>
          <w:lang w:val="en-US"/>
        </w:rPr>
        <w:t>therefor would be</w:t>
      </w:r>
      <w:r w:rsidR="00685FBF">
        <w:rPr>
          <w:lang w:val="en-US"/>
        </w:rPr>
        <w:t xml:space="preserve"> an </w:t>
      </w:r>
      <w:r w:rsidRPr="00657EC9">
        <w:rPr>
          <w:lang w:val="en-US"/>
        </w:rPr>
        <w:t>equitable easement</w:t>
      </w:r>
      <w:r w:rsidR="00FE60A3">
        <w:rPr>
          <w:lang w:val="en-US"/>
        </w:rPr>
        <w:t>.</w:t>
      </w:r>
      <w:r w:rsidRPr="00657EC9">
        <w:rPr>
          <w:lang w:val="en-US"/>
        </w:rPr>
        <w:t xml:space="preserve"> </w:t>
      </w:r>
      <w:r w:rsidR="00FE60A3">
        <w:rPr>
          <w:lang w:val="en-US"/>
        </w:rPr>
        <w:t>T</w:t>
      </w:r>
      <w:r w:rsidRPr="00657EC9">
        <w:rPr>
          <w:lang w:val="en-US"/>
        </w:rPr>
        <w:t>he Common Law grant is a legal grant and would not be of any use because</w:t>
      </w:r>
      <w:r w:rsidR="00400A56">
        <w:rPr>
          <w:lang w:val="en-US"/>
        </w:rPr>
        <w:t>,</w:t>
      </w:r>
      <w:r w:rsidRPr="00657EC9">
        <w:rPr>
          <w:lang w:val="en-US"/>
        </w:rPr>
        <w:t xml:space="preserve"> it is time immemorial before 1189. After 40years that land becomes absolute.</w:t>
      </w:r>
      <w:r>
        <w:rPr>
          <w:lang w:val="en-US"/>
        </w:rPr>
        <w:t xml:space="preserve"> </w:t>
      </w:r>
      <w:r w:rsidR="00DC4130">
        <w:rPr>
          <w:lang w:val="en-US"/>
        </w:rPr>
        <w:t xml:space="preserve">However, it could not be an easement because, it would have to be a joint easement which the courts do not recognise it as being an easement. A joint easement is </w:t>
      </w:r>
      <w:r w:rsidR="00400A56">
        <w:rPr>
          <w:lang w:val="en-US"/>
        </w:rPr>
        <w:t xml:space="preserve">when two houses are joined and both have easements for the same path this can be </w:t>
      </w:r>
      <w:r w:rsidR="00DC4130">
        <w:rPr>
          <w:lang w:val="en-US"/>
        </w:rPr>
        <w:t>seen in the case of Stack v Jones 1925.</w:t>
      </w:r>
    </w:p>
    <w:p w14:paraId="6C506ABF" w14:textId="77777777" w:rsidR="00875C23" w:rsidRDefault="00875C23" w:rsidP="005D769E">
      <w:pPr>
        <w:rPr>
          <w:b/>
          <w:bCs/>
          <w:lang w:val="en-US"/>
        </w:rPr>
      </w:pPr>
    </w:p>
    <w:p w14:paraId="0759A5D5" w14:textId="3047DB47" w:rsidR="00E9264D" w:rsidRDefault="00E557C2" w:rsidP="005D769E">
      <w:pPr>
        <w:rPr>
          <w:lang w:val="en-US"/>
        </w:rPr>
      </w:pPr>
      <w:r w:rsidRPr="00E557C2">
        <w:rPr>
          <w:lang w:val="en-US"/>
        </w:rPr>
        <w:t xml:space="preserve">There was a valuable and established principle in the case of </w:t>
      </w:r>
      <w:proofErr w:type="spellStart"/>
      <w:r w:rsidRPr="00E557C2">
        <w:rPr>
          <w:lang w:val="en-US"/>
        </w:rPr>
        <w:t>hannings</w:t>
      </w:r>
      <w:proofErr w:type="spellEnd"/>
      <w:r w:rsidRPr="00E557C2">
        <w:rPr>
          <w:lang w:val="en-US"/>
        </w:rPr>
        <w:t xml:space="preserve">, not by force or by secret and with lawful permission. In the lost modern </w:t>
      </w:r>
      <w:r w:rsidR="00FE60A3" w:rsidRPr="00E557C2">
        <w:rPr>
          <w:lang w:val="en-US"/>
        </w:rPr>
        <w:t>grant,</w:t>
      </w:r>
      <w:r w:rsidRPr="00E557C2">
        <w:rPr>
          <w:lang w:val="en-US"/>
        </w:rPr>
        <w:t xml:space="preserve"> the courts adopted the legal fiction</w:t>
      </w:r>
      <w:r w:rsidR="00FE60A3">
        <w:rPr>
          <w:lang w:val="en-US"/>
        </w:rPr>
        <w:t xml:space="preserve"> which</w:t>
      </w:r>
      <w:r w:rsidRPr="00E557C2">
        <w:rPr>
          <w:lang w:val="en-US"/>
        </w:rPr>
        <w:t xml:space="preserve"> gave the dominant owners the impression that they could make money through the not very well written P</w:t>
      </w:r>
      <w:r w:rsidR="00F53E76">
        <w:rPr>
          <w:lang w:val="en-US"/>
        </w:rPr>
        <w:t xml:space="preserve">rescription </w:t>
      </w:r>
      <w:r w:rsidRPr="00E557C2">
        <w:rPr>
          <w:lang w:val="en-US"/>
        </w:rPr>
        <w:t>A</w:t>
      </w:r>
      <w:r w:rsidR="00F53E76">
        <w:rPr>
          <w:lang w:val="en-US"/>
        </w:rPr>
        <w:t>ct</w:t>
      </w:r>
      <w:r w:rsidRPr="00E557C2">
        <w:rPr>
          <w:lang w:val="en-US"/>
        </w:rPr>
        <w:t xml:space="preserve"> 1832</w:t>
      </w:r>
      <w:r w:rsidR="00F53E76">
        <w:rPr>
          <w:lang w:val="en-US"/>
        </w:rPr>
        <w:t xml:space="preserve"> (PA 1832)</w:t>
      </w:r>
      <w:r w:rsidRPr="00E557C2">
        <w:rPr>
          <w:lang w:val="en-US"/>
        </w:rPr>
        <w:t xml:space="preserve"> which caused a lot of problems and debates under s 68 of the Countryside and Rights of Way Act 2000</w:t>
      </w:r>
      <w:r w:rsidR="00400A56">
        <w:rPr>
          <w:lang w:val="en-US"/>
        </w:rPr>
        <w:t>.</w:t>
      </w:r>
      <w:r w:rsidRPr="00E557C2">
        <w:rPr>
          <w:lang w:val="en-US"/>
        </w:rPr>
        <w:t xml:space="preserve">  </w:t>
      </w:r>
      <w:r w:rsidR="00FE60A3">
        <w:rPr>
          <w:lang w:val="en-US"/>
        </w:rPr>
        <w:t>I</w:t>
      </w:r>
      <w:r w:rsidRPr="00E557C2">
        <w:rPr>
          <w:lang w:val="en-US"/>
        </w:rPr>
        <w:t>n the Bakewell case</w:t>
      </w:r>
      <w:r w:rsidR="00FE60A3">
        <w:rPr>
          <w:lang w:val="en-US"/>
        </w:rPr>
        <w:t xml:space="preserve"> it </w:t>
      </w:r>
      <w:r w:rsidRPr="00E557C2">
        <w:rPr>
          <w:lang w:val="en-US"/>
        </w:rPr>
        <w:t>made it a very difficult case because</w:t>
      </w:r>
      <w:r w:rsidR="00FE60A3">
        <w:rPr>
          <w:lang w:val="en-US"/>
        </w:rPr>
        <w:t>,</w:t>
      </w:r>
      <w:r w:rsidRPr="00E557C2">
        <w:rPr>
          <w:lang w:val="en-US"/>
        </w:rPr>
        <w:t xml:space="preserve"> the dominant owner that owned the land in 1927 made a statement that s193 (4) of the Law of Property Act </w:t>
      </w:r>
      <w:r w:rsidR="00F53E76">
        <w:rPr>
          <w:lang w:val="en-US"/>
        </w:rPr>
        <w:t xml:space="preserve">1925 </w:t>
      </w:r>
      <w:r w:rsidRPr="00E557C2">
        <w:rPr>
          <w:lang w:val="en-US"/>
        </w:rPr>
        <w:t>should stand as from 1928, this part of the act would make it an offence for the current servient owners because</w:t>
      </w:r>
      <w:r w:rsidR="00F53E76">
        <w:rPr>
          <w:lang w:val="en-US"/>
        </w:rPr>
        <w:t xml:space="preserve">, </w:t>
      </w:r>
      <w:r w:rsidRPr="00E557C2">
        <w:rPr>
          <w:lang w:val="en-US"/>
        </w:rPr>
        <w:t>they must cross the land in vehicles as there is no other way to get to their homes. They could not acquire an easement by prescription for as of right under s 2 PA 1832 or by a lost modern grant</w:t>
      </w:r>
      <w:r w:rsidR="008409B7">
        <w:rPr>
          <w:lang w:val="en-US"/>
        </w:rPr>
        <w:t xml:space="preserve">. </w:t>
      </w:r>
      <w:r w:rsidRPr="00E557C2">
        <w:rPr>
          <w:lang w:val="en-US"/>
        </w:rPr>
        <w:t>Bakewell Management Ltd v Brandwood and others</w:t>
      </w:r>
      <w:r w:rsidR="00F53E76">
        <w:rPr>
          <w:lang w:val="en-US"/>
        </w:rPr>
        <w:t xml:space="preserve"> </w:t>
      </w:r>
      <w:r w:rsidRPr="00E557C2">
        <w:rPr>
          <w:lang w:val="en-US"/>
        </w:rPr>
        <w:t xml:space="preserve">(2004). The acquisition of property rights can result from actions that are illegal in that sense, public policy does not prevent somebody from doing something. </w:t>
      </w:r>
      <w:proofErr w:type="spellStart"/>
      <w:r w:rsidRPr="00E557C2">
        <w:rPr>
          <w:lang w:val="en-US"/>
        </w:rPr>
        <w:t>hannings</w:t>
      </w:r>
      <w:proofErr w:type="spellEnd"/>
      <w:r w:rsidRPr="00E557C2">
        <w:rPr>
          <w:lang w:val="en-US"/>
        </w:rPr>
        <w:t xml:space="preserve"> can only be justified by public policy because</w:t>
      </w:r>
      <w:r w:rsidR="00400A56">
        <w:rPr>
          <w:lang w:val="en-US"/>
        </w:rPr>
        <w:t xml:space="preserve">, </w:t>
      </w:r>
      <w:r w:rsidRPr="00E557C2">
        <w:rPr>
          <w:lang w:val="en-US"/>
        </w:rPr>
        <w:t>the owner made it illegal as in trespass as the owner did not give permission which then makes it criminal under section 193(4) LPA 1925 (</w:t>
      </w:r>
      <w:proofErr w:type="spellStart"/>
      <w:r w:rsidRPr="00E557C2">
        <w:rPr>
          <w:lang w:val="en-US"/>
        </w:rPr>
        <w:t>Mcfarlane</w:t>
      </w:r>
      <w:proofErr w:type="spellEnd"/>
      <w:r w:rsidRPr="00E557C2">
        <w:rPr>
          <w:lang w:val="en-US"/>
        </w:rPr>
        <w:t xml:space="preserve">, Hopkins and </w:t>
      </w:r>
      <w:proofErr w:type="spellStart"/>
      <w:r w:rsidRPr="00E557C2">
        <w:rPr>
          <w:lang w:val="en-US"/>
        </w:rPr>
        <w:t>Nield</w:t>
      </w:r>
      <w:proofErr w:type="spellEnd"/>
      <w:r w:rsidRPr="00E557C2">
        <w:rPr>
          <w:lang w:val="en-US"/>
        </w:rPr>
        <w:t xml:space="preserve"> (2021.p 883)</w:t>
      </w:r>
      <w:r w:rsidR="00400A56">
        <w:rPr>
          <w:lang w:val="en-US"/>
        </w:rPr>
        <w:t xml:space="preserve">, </w:t>
      </w:r>
      <w:r w:rsidR="00870A33" w:rsidRPr="00870A33">
        <w:rPr>
          <w:lang w:val="en-US"/>
        </w:rPr>
        <w:t xml:space="preserve">torturous trespass does not prevent an easement by prescription. </w:t>
      </w:r>
      <w:r w:rsidR="007907D3">
        <w:rPr>
          <w:lang w:val="en-US"/>
        </w:rPr>
        <w:t>However,</w:t>
      </w:r>
      <w:r w:rsidR="00F53E76">
        <w:rPr>
          <w:lang w:val="en-US"/>
        </w:rPr>
        <w:t xml:space="preserve"> t</w:t>
      </w:r>
      <w:r w:rsidR="00870A33" w:rsidRPr="00870A33">
        <w:rPr>
          <w:lang w:val="en-US"/>
        </w:rPr>
        <w:t>he courts have adapted a legal fiction,</w:t>
      </w:r>
      <w:r w:rsidR="00277032">
        <w:rPr>
          <w:lang w:val="en-US"/>
        </w:rPr>
        <w:t xml:space="preserve"> which is a </w:t>
      </w:r>
      <w:r w:rsidR="00277032" w:rsidRPr="00277032">
        <w:t>legal</w:t>
      </w:r>
      <w:r w:rsidR="00277032" w:rsidRPr="00277032">
        <w:rPr>
          <w:lang w:val="en-US"/>
        </w:rPr>
        <w:t xml:space="preserve"> myth</w:t>
      </w:r>
      <w:r w:rsidR="00277032">
        <w:rPr>
          <w:lang w:val="en-US"/>
        </w:rPr>
        <w:t xml:space="preserve"> that</w:t>
      </w:r>
      <w:r w:rsidR="00277032" w:rsidRPr="00277032">
        <w:rPr>
          <w:lang w:val="en-US"/>
        </w:rPr>
        <w:t xml:space="preserve"> has been around </w:t>
      </w:r>
      <w:r w:rsidR="00277032">
        <w:rPr>
          <w:lang w:val="en-US"/>
        </w:rPr>
        <w:t>since time immemorial,</w:t>
      </w:r>
      <w:r w:rsidR="00277032" w:rsidRPr="00277032">
        <w:rPr>
          <w:lang w:val="en-US"/>
        </w:rPr>
        <w:t xml:space="preserve"> rather than creating new laws</w:t>
      </w:r>
      <w:r w:rsidR="00622CDD">
        <w:rPr>
          <w:lang w:val="en-US"/>
        </w:rPr>
        <w:t>,</w:t>
      </w:r>
      <w:r w:rsidR="00913BA8">
        <w:rPr>
          <w:lang w:val="en-US"/>
        </w:rPr>
        <w:t xml:space="preserve"> </w:t>
      </w:r>
      <w:r w:rsidR="00622CDD">
        <w:rPr>
          <w:lang w:val="en-US"/>
        </w:rPr>
        <w:t>i</w:t>
      </w:r>
      <w:r w:rsidR="00913BA8">
        <w:rPr>
          <w:lang w:val="en-US"/>
        </w:rPr>
        <w:t xml:space="preserve">t would be </w:t>
      </w:r>
      <w:r w:rsidR="00870A33" w:rsidRPr="00870A33">
        <w:rPr>
          <w:lang w:val="en-US"/>
        </w:rPr>
        <w:t>assum</w:t>
      </w:r>
      <w:r w:rsidR="00913BA8">
        <w:rPr>
          <w:lang w:val="en-US"/>
        </w:rPr>
        <w:t>ed</w:t>
      </w:r>
      <w:r w:rsidR="00870A33" w:rsidRPr="00870A33">
        <w:rPr>
          <w:lang w:val="en-US"/>
        </w:rPr>
        <w:t xml:space="preserve"> that there was a grant at some time in the past</w:t>
      </w:r>
      <w:r w:rsidR="00622CDD">
        <w:rPr>
          <w:lang w:val="en-US"/>
        </w:rPr>
        <w:t>. Under</w:t>
      </w:r>
      <w:r w:rsidR="00870A33" w:rsidRPr="00870A33">
        <w:rPr>
          <w:lang w:val="en-US"/>
        </w:rPr>
        <w:t xml:space="preserve"> s2 Prescription Act (PA) 1832 in English law it was never clear about acquiring a prescription by the means of enjoyment, so `the judges used the date` that was set out to be in 1189 by Statute of Westminster 1275. The servient owner of the land would have to prove they had a legal document before 1189 (`R v. </w:t>
      </w:r>
      <w:proofErr w:type="spellStart"/>
      <w:r w:rsidR="00870A33" w:rsidRPr="00870A33">
        <w:rPr>
          <w:lang w:val="en-US"/>
        </w:rPr>
        <w:t>Oxfordshire</w:t>
      </w:r>
      <w:proofErr w:type="spellEnd"/>
      <w:r w:rsidR="00870A33" w:rsidRPr="00870A33">
        <w:rPr>
          <w:lang w:val="en-US"/>
        </w:rPr>
        <w:t xml:space="preserve"> County Council, ex p Sunningwell Parish Council`,1999)</w:t>
      </w:r>
      <w:r w:rsidR="00622CDD">
        <w:rPr>
          <w:lang w:val="en-US"/>
        </w:rPr>
        <w:t>,</w:t>
      </w:r>
      <w:r w:rsidR="00870A33" w:rsidRPr="00870A33">
        <w:rPr>
          <w:lang w:val="en-US"/>
        </w:rPr>
        <w:t xml:space="preserve"> </w:t>
      </w:r>
      <w:r w:rsidR="00622CDD">
        <w:rPr>
          <w:lang w:val="en-US"/>
        </w:rPr>
        <w:t>t</w:t>
      </w:r>
      <w:r w:rsidR="00870A33" w:rsidRPr="00870A33">
        <w:rPr>
          <w:lang w:val="en-US"/>
        </w:rPr>
        <w:t>his is time immemorial and can be seen in the case of Duke of Norfolk v Arbuthnot (1880)</w:t>
      </w:r>
      <w:r w:rsidR="00622CDD">
        <w:rPr>
          <w:lang w:val="en-US"/>
        </w:rPr>
        <w:t>,</w:t>
      </w:r>
      <w:r w:rsidR="00870A33" w:rsidRPr="00870A33">
        <w:rPr>
          <w:lang w:val="en-US"/>
        </w:rPr>
        <w:t xml:space="preserve"> </w:t>
      </w:r>
      <w:r w:rsidR="007907D3">
        <w:rPr>
          <w:lang w:val="en-US"/>
        </w:rPr>
        <w:t>it</w:t>
      </w:r>
      <w:r w:rsidR="00870A33" w:rsidRPr="00870A33">
        <w:rPr>
          <w:lang w:val="en-US"/>
        </w:rPr>
        <w:t xml:space="preserve"> was updated through the PA 1832 which is the common law, lost modern grant and the prescription act 1832. The lost modern grant can be acquired if there has been 20 years of uninterrupted use after </w:t>
      </w:r>
      <w:r w:rsidR="00F53E76" w:rsidRPr="00870A33">
        <w:rPr>
          <w:lang w:val="en-US"/>
        </w:rPr>
        <w:t>1189</w:t>
      </w:r>
      <w:r w:rsidR="00622CDD">
        <w:rPr>
          <w:lang w:val="en-US"/>
        </w:rPr>
        <w:t>.</w:t>
      </w:r>
      <w:r w:rsidR="00F53E76" w:rsidRPr="00870A33">
        <w:rPr>
          <w:lang w:val="en-US"/>
        </w:rPr>
        <w:t xml:space="preserve"> The</w:t>
      </w:r>
      <w:r w:rsidR="00870A33" w:rsidRPr="00870A33">
        <w:rPr>
          <w:lang w:val="en-US"/>
        </w:rPr>
        <w:t xml:space="preserve"> common law is the time immemorial, meaning the dominant land has been used by previous owners before 1189 for 20 years continuously. However, it would not be possible for an easement through common law if the servient owner had evidence that the right was not used as of right, or the right could not have been used at that date, or that the dominant land and the servient land was the same </w:t>
      </w:r>
      <w:r w:rsidR="002447F3" w:rsidRPr="00870A33">
        <w:rPr>
          <w:lang w:val="en-US"/>
        </w:rPr>
        <w:t>owner</w:t>
      </w:r>
      <w:r w:rsidR="002447F3">
        <w:rPr>
          <w:lang w:val="en-US"/>
        </w:rPr>
        <w:t xml:space="preserve"> </w:t>
      </w:r>
      <w:proofErr w:type="spellStart"/>
      <w:r w:rsidR="002447F3" w:rsidRPr="00870A33">
        <w:rPr>
          <w:lang w:val="en-US"/>
        </w:rPr>
        <w:t>laughton</w:t>
      </w:r>
      <w:proofErr w:type="spellEnd"/>
      <w:r w:rsidR="00870A33" w:rsidRPr="00870A33">
        <w:rPr>
          <w:lang w:val="en-US"/>
        </w:rPr>
        <w:t xml:space="preserve"> (2020). </w:t>
      </w:r>
    </w:p>
    <w:p w14:paraId="3E3F3328" w14:textId="2FE3C7C3" w:rsidR="00875C23" w:rsidRPr="00913BA8" w:rsidRDefault="00870A33" w:rsidP="005D769E">
      <w:pPr>
        <w:rPr>
          <w:lang w:val="en-US"/>
        </w:rPr>
      </w:pPr>
      <w:r w:rsidRPr="00870A33">
        <w:rPr>
          <w:lang w:val="en-US"/>
        </w:rPr>
        <w:t>The lost modern grant is a legal fiction showing that the dominant land has been continuously enjoyed as of right over the last 20 years after 1189 and has to uninterrupted use PA 1932. Each of these methods assume that there was a grant or an easement at some time in the past and that it was without force, or without secrecy and with permission. (HM</w:t>
      </w:r>
      <w:r>
        <w:rPr>
          <w:lang w:val="en-US"/>
        </w:rPr>
        <w:t xml:space="preserve"> </w:t>
      </w:r>
      <w:r w:rsidRPr="00870A33">
        <w:rPr>
          <w:lang w:val="en-US"/>
        </w:rPr>
        <w:t xml:space="preserve">Land Registry, 2016). Despite any </w:t>
      </w:r>
      <w:r w:rsidRPr="00870A33">
        <w:rPr>
          <w:lang w:val="en-US"/>
        </w:rPr>
        <w:lastRenderedPageBreak/>
        <w:t xml:space="preserve">proof that no grant was ever given, a right may be formed by a lost modern grant: Norman v. </w:t>
      </w:r>
      <w:proofErr w:type="spellStart"/>
      <w:r w:rsidRPr="00870A33">
        <w:rPr>
          <w:lang w:val="en-US"/>
        </w:rPr>
        <w:t>Tehidy</w:t>
      </w:r>
      <w:proofErr w:type="spellEnd"/>
      <w:r w:rsidRPr="00870A33">
        <w:rPr>
          <w:lang w:val="en-US"/>
        </w:rPr>
        <w:t xml:space="preserve"> Minerals 1971: 2 QB (528), 2 All ER (475). All that was needed was that it was capable of being </w:t>
      </w:r>
      <w:r w:rsidR="00562EAA" w:rsidRPr="00870A33">
        <w:rPr>
          <w:lang w:val="en-US"/>
        </w:rPr>
        <w:t>granted (</w:t>
      </w:r>
      <w:r w:rsidRPr="00870A33">
        <w:rPr>
          <w:lang w:val="en-US"/>
        </w:rPr>
        <w:t xml:space="preserve">Braithwaite 2017).  In the case </w:t>
      </w:r>
      <w:proofErr w:type="spellStart"/>
      <w:r w:rsidRPr="00870A33">
        <w:rPr>
          <w:lang w:val="en-US"/>
        </w:rPr>
        <w:t>Tehidy</w:t>
      </w:r>
      <w:proofErr w:type="spellEnd"/>
      <w:r w:rsidRPr="00870A33">
        <w:rPr>
          <w:lang w:val="en-US"/>
        </w:rPr>
        <w:t xml:space="preserve"> Minerals v Norman (1971), the courts will adapt </w:t>
      </w:r>
      <w:r w:rsidR="00E9264D">
        <w:rPr>
          <w:lang w:val="en-US"/>
        </w:rPr>
        <w:t xml:space="preserve">the </w:t>
      </w:r>
      <w:r w:rsidRPr="00870A33">
        <w:rPr>
          <w:lang w:val="en-US"/>
        </w:rPr>
        <w:t>legal friction as it is confirmed in the case of Welford v Graham [2017] UKUT 297 (TCC). When an easement has been used without force or secrecy but has not had the permission from the dominant owner, if it has been used for 20 years without anybody taking any notice of them using the land it could be assumed that it has been enjoyed as of right, as in the case of Gardener v Hodges`s Kingstone Brewery (1903) (</w:t>
      </w:r>
      <w:proofErr w:type="spellStart"/>
      <w:r w:rsidRPr="00870A33">
        <w:rPr>
          <w:lang w:val="en-US"/>
        </w:rPr>
        <w:t>squareeye</w:t>
      </w:r>
      <w:proofErr w:type="spellEnd"/>
      <w:r w:rsidRPr="00870A33">
        <w:rPr>
          <w:lang w:val="en-US"/>
        </w:rPr>
        <w:t>, 2017).</w:t>
      </w:r>
      <w:r w:rsidR="00227470" w:rsidRPr="00227470">
        <w:t xml:space="preserve"> </w:t>
      </w:r>
      <w:r w:rsidR="00227470" w:rsidRPr="00227470">
        <w:rPr>
          <w:lang w:val="en-US"/>
        </w:rPr>
        <w:t xml:space="preserve">In the case of Dalton v Angus (1881) it was approved for the right to sue Under s 2 of the PA 1832 through the lost modern grant known as a of the legal fiction, as they enjoyed the right of support for 20 years without anybody saying anything about it and was done openly. </w:t>
      </w:r>
      <w:r w:rsidR="0074096A" w:rsidRPr="0074096A">
        <w:rPr>
          <w:lang w:val="en-US"/>
        </w:rPr>
        <w:t>The term "legal fiction" is typically used to refer to the pre-common law general fictions such as "ejectment," "assumpsit," and "lost modern grant" (which, in the landmark decision of Angus v. Dalton, was described as "a repulsive fiction"</w:t>
      </w:r>
      <w:r w:rsidR="00E9264D" w:rsidRPr="0074096A">
        <w:rPr>
          <w:lang w:val="en-US"/>
        </w:rPr>
        <w:t>)</w:t>
      </w:r>
      <w:r w:rsidR="00E9264D">
        <w:rPr>
          <w:lang w:val="en-US"/>
        </w:rPr>
        <w:t xml:space="preserve">, </w:t>
      </w:r>
      <w:r w:rsidR="00E9264D" w:rsidRPr="00227470">
        <w:rPr>
          <w:lang w:val="en-US"/>
        </w:rPr>
        <w:t>Lord</w:t>
      </w:r>
      <w:r w:rsidR="00227470" w:rsidRPr="00E30718">
        <w:rPr>
          <w:lang w:val="en-US"/>
        </w:rPr>
        <w:t xml:space="preserve"> Walker of </w:t>
      </w:r>
      <w:proofErr w:type="spellStart"/>
      <w:r w:rsidR="00227470" w:rsidRPr="00E30718">
        <w:rPr>
          <w:lang w:val="en-US"/>
        </w:rPr>
        <w:t>Gestingthorpe</w:t>
      </w:r>
      <w:proofErr w:type="spellEnd"/>
      <w:r w:rsidR="00227470" w:rsidRPr="00E30718">
        <w:rPr>
          <w:lang w:val="en-US"/>
        </w:rPr>
        <w:t xml:space="preserve"> </w:t>
      </w:r>
      <w:r w:rsidR="00E9264D">
        <w:rPr>
          <w:lang w:val="en-US"/>
        </w:rPr>
        <w:t>(</w:t>
      </w:r>
      <w:r w:rsidR="00227470" w:rsidRPr="00E30718">
        <w:rPr>
          <w:lang w:val="en-US"/>
        </w:rPr>
        <w:t>2016</w:t>
      </w:r>
      <w:r w:rsidR="00227470" w:rsidRPr="00227470">
        <w:rPr>
          <w:b/>
          <w:bCs/>
          <w:lang w:val="en-US"/>
        </w:rPr>
        <w:t>)</w:t>
      </w:r>
      <w:r w:rsidR="00E9264D">
        <w:rPr>
          <w:lang w:val="en-US"/>
        </w:rPr>
        <w:t xml:space="preserve">.  </w:t>
      </w:r>
      <w:r w:rsidR="00C47BA0" w:rsidRPr="00C47BA0">
        <w:rPr>
          <w:lang w:val="en-US"/>
        </w:rPr>
        <w:t>As a limitation period dating back to</w:t>
      </w:r>
      <w:r w:rsidR="00C47BA0">
        <w:rPr>
          <w:lang w:val="en-US"/>
        </w:rPr>
        <w:t xml:space="preserve"> time immemorial </w:t>
      </w:r>
      <w:r w:rsidR="00C47BA0" w:rsidRPr="00C47BA0">
        <w:rPr>
          <w:lang w:val="en-US"/>
        </w:rPr>
        <w:t xml:space="preserve">to utilize the term, many judges have expanded on and made comments about 1189. In Angus v. Dalton (1877) 2 QBD 85, Cockburn J. </w:t>
      </w:r>
      <w:r w:rsidR="00C47BA0">
        <w:rPr>
          <w:lang w:val="en-US"/>
        </w:rPr>
        <w:t>thought</w:t>
      </w:r>
      <w:r w:rsidR="00C47BA0" w:rsidRPr="00C47BA0">
        <w:rPr>
          <w:lang w:val="en-US"/>
        </w:rPr>
        <w:t xml:space="preserve"> that there didn't seem to be a set term of prescription under common law.</w:t>
      </w:r>
      <w:r w:rsidR="00227470" w:rsidRPr="00227470">
        <w:rPr>
          <w:lang w:val="en-US"/>
        </w:rPr>
        <w:t xml:space="preserve"> (Nash 1989).</w:t>
      </w:r>
      <w:r w:rsidR="00C47BA0" w:rsidRPr="00C47BA0">
        <w:t xml:space="preserve"> </w:t>
      </w:r>
      <w:r w:rsidR="00C47BA0" w:rsidRPr="00C47BA0">
        <w:rPr>
          <w:lang w:val="en-US"/>
        </w:rPr>
        <w:t>Where it can be demonstrated that the origin of the enjoyment must have occurred more recently than 1189, a claim to an easement through use since the beginning of time may be challenged</w:t>
      </w:r>
      <w:r w:rsidR="00C47BA0">
        <w:rPr>
          <w:lang w:val="en-US"/>
        </w:rPr>
        <w:t xml:space="preserve"> </w:t>
      </w:r>
      <w:r w:rsidR="00E9264D">
        <w:rPr>
          <w:lang w:val="en-US"/>
        </w:rPr>
        <w:t xml:space="preserve">as can be seen in the case of </w:t>
      </w:r>
      <w:r w:rsidR="00227470" w:rsidRPr="005C056B">
        <w:rPr>
          <w:lang w:val="en-US"/>
        </w:rPr>
        <w:t xml:space="preserve">Bury v Pope </w:t>
      </w:r>
      <w:r w:rsidR="005841A1" w:rsidRPr="005C056B">
        <w:rPr>
          <w:lang w:val="en-US"/>
        </w:rPr>
        <w:t>1588</w:t>
      </w:r>
      <w:r w:rsidR="005841A1">
        <w:rPr>
          <w:lang w:val="en-US"/>
        </w:rPr>
        <w:t xml:space="preserve">. </w:t>
      </w:r>
      <w:r w:rsidR="005841A1" w:rsidRPr="005C056B">
        <w:rPr>
          <w:lang w:val="en-US"/>
        </w:rPr>
        <w:t xml:space="preserve"> </w:t>
      </w:r>
      <w:r w:rsidR="005841A1">
        <w:rPr>
          <w:lang w:val="en-US"/>
        </w:rPr>
        <w:t>Legal</w:t>
      </w:r>
      <w:r w:rsidR="005C056B" w:rsidRPr="005C056B">
        <w:rPr>
          <w:lang w:val="en-US"/>
        </w:rPr>
        <w:t xml:space="preserve"> fictions are by no means indicators of the system's immaturity; rather, they are dynamic tools that, over time, enable courts to strike a balance between adaption and openness</w:t>
      </w:r>
      <w:r w:rsidRPr="00870A33">
        <w:rPr>
          <w:lang w:val="en-US"/>
        </w:rPr>
        <w:t xml:space="preserve"> </w:t>
      </w:r>
      <w:r w:rsidRPr="00E30718">
        <w:rPr>
          <w:lang w:val="en-US"/>
        </w:rPr>
        <w:t>(Del Mar 2013)</w:t>
      </w:r>
      <w:r w:rsidR="00562EAA">
        <w:rPr>
          <w:lang w:val="en-US"/>
        </w:rPr>
        <w:t>.</w:t>
      </w:r>
    </w:p>
    <w:p w14:paraId="529CED6F" w14:textId="77777777" w:rsidR="00875C23" w:rsidRDefault="00875C23" w:rsidP="005D769E">
      <w:pPr>
        <w:rPr>
          <w:b/>
          <w:bCs/>
          <w:lang w:val="en-US"/>
        </w:rPr>
      </w:pPr>
    </w:p>
    <w:p w14:paraId="4B184D00" w14:textId="77777777" w:rsidR="00875C23" w:rsidRDefault="00562EAA" w:rsidP="00413A0D">
      <w:pPr>
        <w:rPr>
          <w:b/>
          <w:bCs/>
          <w:lang w:val="en-US"/>
        </w:rPr>
      </w:pPr>
      <w:r>
        <w:rPr>
          <w:lang w:val="en-US"/>
        </w:rPr>
        <w:t>The d</w:t>
      </w:r>
      <w:r w:rsidR="002C6CA9" w:rsidRPr="002C6CA9">
        <w:rPr>
          <w:lang w:val="en-US"/>
        </w:rPr>
        <w:t>ominant land must be close, in the case of Bailey v Stephens an easement by prescription was not capable of being an easement because, the dominant land and the servient land were miles apart and did not meet the characteristics in Re Ellenborough Park and therefore could not acquire an easement by prescription. However, in Pugh v Savage although it did not meet the characteristics in RE Ellenborough Park because the dominant land was not close but, because it was a leasehold and a fixed period of time s1 (3) LPA 1925 and he was given permission to use the dominant land by the dominant owner, savage was able to acquire an easement by prescription though the prescription act 1832,</w:t>
      </w:r>
      <w:r w:rsidR="00657EC9">
        <w:rPr>
          <w:lang w:val="en-US"/>
        </w:rPr>
        <w:t xml:space="preserve"> i</w:t>
      </w:r>
      <w:r w:rsidR="002C6CA9" w:rsidRPr="002C6CA9">
        <w:rPr>
          <w:lang w:val="en-US"/>
        </w:rPr>
        <w:t xml:space="preserve">n this case it was an exception which made it capable of an easement through the lost modern grant. </w:t>
      </w:r>
      <w:bookmarkStart w:id="2" w:name="_Hlk118149636"/>
    </w:p>
    <w:p w14:paraId="3425EF4F" w14:textId="77777777" w:rsidR="00875C23" w:rsidRDefault="00875C23" w:rsidP="00413A0D">
      <w:pPr>
        <w:rPr>
          <w:b/>
          <w:bCs/>
          <w:lang w:val="en-US"/>
        </w:rPr>
      </w:pPr>
    </w:p>
    <w:p w14:paraId="0B96E8C8" w14:textId="214071FC" w:rsidR="00875C23" w:rsidRDefault="003708FB" w:rsidP="00CA5B61">
      <w:pPr>
        <w:rPr>
          <w:b/>
          <w:bCs/>
          <w:lang w:val="en-US"/>
        </w:rPr>
      </w:pPr>
      <w:r w:rsidRPr="00D1636B">
        <w:rPr>
          <w:lang w:val="en-US"/>
        </w:rPr>
        <w:t>In th</w:t>
      </w:r>
      <w:r w:rsidR="00C0284A">
        <w:rPr>
          <w:lang w:val="en-US"/>
        </w:rPr>
        <w:t>e</w:t>
      </w:r>
      <w:r w:rsidRPr="00D1636B">
        <w:rPr>
          <w:lang w:val="en-US"/>
        </w:rPr>
        <w:t xml:space="preserve"> case </w:t>
      </w:r>
      <w:r w:rsidR="00725FA8">
        <w:rPr>
          <w:lang w:val="en-US"/>
        </w:rPr>
        <w:t>of Orme</w:t>
      </w:r>
      <w:r w:rsidR="00C0284A" w:rsidRPr="00DD2134">
        <w:rPr>
          <w:b/>
          <w:bCs/>
          <w:lang w:val="en-US"/>
        </w:rPr>
        <w:t xml:space="preserve"> </w:t>
      </w:r>
      <w:r w:rsidR="00C0284A" w:rsidRPr="00CE742B">
        <w:rPr>
          <w:lang w:val="en-US"/>
        </w:rPr>
        <w:t>v Lyons (2012)</w:t>
      </w:r>
      <w:r w:rsidR="00C0284A">
        <w:rPr>
          <w:lang w:val="en-US"/>
        </w:rPr>
        <w:t xml:space="preserve"> </w:t>
      </w:r>
      <w:r w:rsidRPr="00D1636B">
        <w:rPr>
          <w:lang w:val="en-US"/>
        </w:rPr>
        <w:t xml:space="preserve">the users were </w:t>
      </w:r>
      <w:r w:rsidR="006137CB">
        <w:rPr>
          <w:lang w:val="en-US"/>
        </w:rPr>
        <w:t xml:space="preserve">not </w:t>
      </w:r>
      <w:r w:rsidRPr="00D1636B">
        <w:rPr>
          <w:lang w:val="en-US"/>
        </w:rPr>
        <w:t>in continuous use of the lan</w:t>
      </w:r>
      <w:r>
        <w:rPr>
          <w:lang w:val="en-US"/>
        </w:rPr>
        <w:t>d</w:t>
      </w:r>
      <w:bookmarkStart w:id="3" w:name="_Hlk118142577"/>
      <w:r w:rsidR="008B6EBB">
        <w:rPr>
          <w:lang w:val="en-US"/>
        </w:rPr>
        <w:t>.</w:t>
      </w:r>
      <w:r w:rsidR="00C0284A">
        <w:rPr>
          <w:b/>
          <w:bCs/>
          <w:lang w:val="en-US"/>
        </w:rPr>
        <w:t xml:space="preserve"> </w:t>
      </w:r>
      <w:bookmarkStart w:id="4" w:name="_Hlk117672336"/>
      <w:bookmarkEnd w:id="3"/>
      <w:r w:rsidR="008B6EBB">
        <w:rPr>
          <w:lang w:val="en-US"/>
        </w:rPr>
        <w:t>I</w:t>
      </w:r>
      <w:r w:rsidR="005D769E">
        <w:rPr>
          <w:lang w:val="en-US"/>
        </w:rPr>
        <w:t xml:space="preserve">t must be a necessity enjoyment of the </w:t>
      </w:r>
      <w:r w:rsidR="00E44773">
        <w:rPr>
          <w:lang w:val="en-US"/>
        </w:rPr>
        <w:t xml:space="preserve">land </w:t>
      </w:r>
      <w:r w:rsidR="005D769E">
        <w:rPr>
          <w:lang w:val="en-US"/>
        </w:rPr>
        <w:t>and</w:t>
      </w:r>
      <w:r w:rsidR="005D769E" w:rsidRPr="00465B49">
        <w:rPr>
          <w:lang w:val="en-US"/>
        </w:rPr>
        <w:t xml:space="preserve"> </w:t>
      </w:r>
      <w:r w:rsidR="005D769E">
        <w:rPr>
          <w:lang w:val="en-US"/>
        </w:rPr>
        <w:t xml:space="preserve">must have been </w:t>
      </w:r>
      <w:r w:rsidR="005D769E" w:rsidRPr="00465B49">
        <w:rPr>
          <w:lang w:val="en-US"/>
        </w:rPr>
        <w:t xml:space="preserve">used at the time by the </w:t>
      </w:r>
      <w:r w:rsidR="006137CB">
        <w:rPr>
          <w:lang w:val="en-US"/>
        </w:rPr>
        <w:t xml:space="preserve">servient </w:t>
      </w:r>
      <w:r w:rsidR="005D769E" w:rsidRPr="00465B49">
        <w:rPr>
          <w:lang w:val="en-US"/>
        </w:rPr>
        <w:t xml:space="preserve">owner when the property </w:t>
      </w:r>
      <w:r w:rsidR="005D769E">
        <w:rPr>
          <w:lang w:val="en-US"/>
        </w:rPr>
        <w:t>had been</w:t>
      </w:r>
      <w:r w:rsidR="005D769E" w:rsidRPr="00465B49">
        <w:rPr>
          <w:lang w:val="en-US"/>
        </w:rPr>
        <w:t xml:space="preserve"> sold</w:t>
      </w:r>
      <w:r w:rsidR="005D769E">
        <w:rPr>
          <w:lang w:val="en-US"/>
        </w:rPr>
        <w:t xml:space="preserve">. </w:t>
      </w:r>
      <w:r w:rsidR="00B378D4">
        <w:rPr>
          <w:lang w:val="en-US"/>
        </w:rPr>
        <w:t>I</w:t>
      </w:r>
      <w:r w:rsidR="006137CB">
        <w:rPr>
          <w:lang w:val="en-US"/>
        </w:rPr>
        <w:t>f they had carried on using the track after the previous owners a prescription as of right 20years use could have been created through the lost modern grant</w:t>
      </w:r>
      <w:r w:rsidR="008B6EBB">
        <w:rPr>
          <w:lang w:val="en-US"/>
        </w:rPr>
        <w:t xml:space="preserve"> </w:t>
      </w:r>
      <w:r w:rsidR="006137CB">
        <w:rPr>
          <w:lang w:val="en-US"/>
        </w:rPr>
        <w:t>because</w:t>
      </w:r>
      <w:r w:rsidR="00B378D4">
        <w:rPr>
          <w:lang w:val="en-US"/>
        </w:rPr>
        <w:t>,</w:t>
      </w:r>
      <w:r w:rsidR="006137CB">
        <w:rPr>
          <w:lang w:val="en-US"/>
        </w:rPr>
        <w:t xml:space="preserve"> it would have been continuous use</w:t>
      </w:r>
      <w:r w:rsidR="00126EF8">
        <w:rPr>
          <w:lang w:val="en-US"/>
        </w:rPr>
        <w:t xml:space="preserve"> and so,</w:t>
      </w:r>
      <w:r w:rsidR="006137CB">
        <w:rPr>
          <w:lang w:val="en-US"/>
        </w:rPr>
        <w:t xml:space="preserve"> </w:t>
      </w:r>
      <w:r w:rsidR="00B378D4">
        <w:rPr>
          <w:lang w:val="en-US"/>
        </w:rPr>
        <w:t>Mr. And</w:t>
      </w:r>
      <w:r w:rsidR="005D769E">
        <w:rPr>
          <w:lang w:val="en-US"/>
        </w:rPr>
        <w:t xml:space="preserve"> Mrs. Lyons would have been covered by </w:t>
      </w:r>
      <w:r w:rsidR="00927EDF">
        <w:rPr>
          <w:lang w:val="en-US"/>
        </w:rPr>
        <w:t>s2 PA 1832</w:t>
      </w:r>
      <w:r w:rsidR="00126EF8">
        <w:rPr>
          <w:lang w:val="en-US"/>
        </w:rPr>
        <w:t xml:space="preserve"> and</w:t>
      </w:r>
      <w:r w:rsidR="005D769E">
        <w:rPr>
          <w:lang w:val="en-US"/>
        </w:rPr>
        <w:t xml:space="preserve"> the easement would have automatically been transferred to them </w:t>
      </w:r>
      <w:r w:rsidR="008B6EBB">
        <w:rPr>
          <w:lang w:val="en-US"/>
        </w:rPr>
        <w:t>as</w:t>
      </w:r>
      <w:r w:rsidR="005D769E">
        <w:rPr>
          <w:lang w:val="en-US"/>
        </w:rPr>
        <w:t xml:space="preserve"> they were the new </w:t>
      </w:r>
      <w:r w:rsidR="00B22F60">
        <w:rPr>
          <w:lang w:val="en-US"/>
        </w:rPr>
        <w:t>owners</w:t>
      </w:r>
      <w:r w:rsidR="008B6EBB">
        <w:rPr>
          <w:lang w:val="en-US"/>
        </w:rPr>
        <w:t xml:space="preserve">, </w:t>
      </w:r>
      <w:r w:rsidR="005E3AF2">
        <w:rPr>
          <w:lang w:val="en-US"/>
        </w:rPr>
        <w:t>th</w:t>
      </w:r>
      <w:r w:rsidR="00E05F22">
        <w:rPr>
          <w:lang w:val="en-US"/>
        </w:rPr>
        <w:t>e</w:t>
      </w:r>
      <w:r w:rsidR="00927EDF">
        <w:rPr>
          <w:lang w:val="en-US"/>
        </w:rPr>
        <w:t xml:space="preserve">re </w:t>
      </w:r>
      <w:r w:rsidR="00E05F22">
        <w:rPr>
          <w:lang w:val="en-US"/>
        </w:rPr>
        <w:t xml:space="preserve">was another route </w:t>
      </w:r>
      <w:r w:rsidR="00927EDF">
        <w:rPr>
          <w:lang w:val="en-US"/>
        </w:rPr>
        <w:t xml:space="preserve">available </w:t>
      </w:r>
      <w:r w:rsidR="00E05F22">
        <w:rPr>
          <w:lang w:val="en-US"/>
        </w:rPr>
        <w:t>in which could have</w:t>
      </w:r>
      <w:r w:rsidR="006137CB">
        <w:rPr>
          <w:lang w:val="en-US"/>
        </w:rPr>
        <w:t xml:space="preserve"> </w:t>
      </w:r>
      <w:r w:rsidR="00927EDF">
        <w:rPr>
          <w:lang w:val="en-US"/>
        </w:rPr>
        <w:t xml:space="preserve">taken so, </w:t>
      </w:r>
      <w:r w:rsidR="00E05F22">
        <w:rPr>
          <w:lang w:val="en-US"/>
        </w:rPr>
        <w:t xml:space="preserve">it was not enough to acquire an easement by </w:t>
      </w:r>
      <w:r w:rsidR="00F13477">
        <w:rPr>
          <w:lang w:val="en-US"/>
        </w:rPr>
        <w:t>prescription</w:t>
      </w:r>
      <w:r w:rsidR="00E05F22">
        <w:rPr>
          <w:lang w:val="en-US"/>
        </w:rPr>
        <w:t xml:space="preserve"> though the lost modern grant</w:t>
      </w:r>
      <w:r w:rsidR="00126EF8">
        <w:rPr>
          <w:lang w:val="en-US"/>
        </w:rPr>
        <w:t xml:space="preserve">. </w:t>
      </w:r>
      <w:r w:rsidR="00F13477">
        <w:rPr>
          <w:lang w:val="en-US"/>
        </w:rPr>
        <w:t>However,</w:t>
      </w:r>
      <w:r w:rsidR="00A77826">
        <w:rPr>
          <w:lang w:val="en-US"/>
        </w:rPr>
        <w:t xml:space="preserve"> in the case of </w:t>
      </w:r>
      <w:proofErr w:type="spellStart"/>
      <w:r w:rsidR="00A77826" w:rsidRPr="00CE742B">
        <w:rPr>
          <w:u w:val="single"/>
          <w:lang w:val="en-US"/>
        </w:rPr>
        <w:t>Diment</w:t>
      </w:r>
      <w:proofErr w:type="spellEnd"/>
      <w:r w:rsidR="00A77826" w:rsidRPr="00CE742B">
        <w:rPr>
          <w:u w:val="single"/>
          <w:lang w:val="en-US"/>
        </w:rPr>
        <w:t xml:space="preserve"> v Foot</w:t>
      </w:r>
      <w:r w:rsidR="00A77826" w:rsidRPr="00BC02C9">
        <w:rPr>
          <w:b/>
          <w:bCs/>
          <w:lang w:val="en-US"/>
        </w:rPr>
        <w:t xml:space="preserve"> [</w:t>
      </w:r>
      <w:r w:rsidR="00A77826" w:rsidRPr="0085159A">
        <w:rPr>
          <w:lang w:val="en-US"/>
        </w:rPr>
        <w:t>1974]</w:t>
      </w:r>
      <w:r w:rsidR="00A77826">
        <w:rPr>
          <w:lang w:val="en-US"/>
        </w:rPr>
        <w:t xml:space="preserve"> it was capable of an easement </w:t>
      </w:r>
      <w:r w:rsidR="00A379EC">
        <w:rPr>
          <w:lang w:val="en-US"/>
        </w:rPr>
        <w:t xml:space="preserve">through the lost modern grant </w:t>
      </w:r>
      <w:r w:rsidR="00A77826">
        <w:rPr>
          <w:lang w:val="en-US"/>
        </w:rPr>
        <w:t xml:space="preserve">because </w:t>
      </w:r>
      <w:r w:rsidR="008B6EBB">
        <w:rPr>
          <w:lang w:val="en-US"/>
        </w:rPr>
        <w:t xml:space="preserve">of </w:t>
      </w:r>
      <w:r w:rsidR="00A77826">
        <w:rPr>
          <w:lang w:val="en-US"/>
        </w:rPr>
        <w:t>the continuous use over 20</w:t>
      </w:r>
      <w:r w:rsidR="00D95048">
        <w:rPr>
          <w:lang w:val="en-US"/>
        </w:rPr>
        <w:t>years</w:t>
      </w:r>
      <w:bookmarkEnd w:id="4"/>
      <w:bookmarkEnd w:id="2"/>
      <w:r w:rsidR="008B6EBB">
        <w:rPr>
          <w:lang w:val="en-US"/>
        </w:rPr>
        <w:t>,</w:t>
      </w:r>
    </w:p>
    <w:p w14:paraId="68DEB988" w14:textId="77777777" w:rsidR="00875C23" w:rsidRDefault="00875C23" w:rsidP="00CA5B61">
      <w:pPr>
        <w:rPr>
          <w:b/>
          <w:bCs/>
          <w:lang w:val="en-US"/>
        </w:rPr>
      </w:pPr>
    </w:p>
    <w:p w14:paraId="00155201" w14:textId="2FFE5742" w:rsidR="009A3B82" w:rsidRPr="00875C23" w:rsidRDefault="008B6EBB" w:rsidP="00CA5B61">
      <w:pPr>
        <w:rPr>
          <w:b/>
          <w:bCs/>
          <w:lang w:val="en-US"/>
        </w:rPr>
      </w:pPr>
      <w:r>
        <w:rPr>
          <w:lang w:val="en-US"/>
        </w:rPr>
        <w:lastRenderedPageBreak/>
        <w:t>t</w:t>
      </w:r>
      <w:r w:rsidR="00C270BA" w:rsidRPr="00C270BA">
        <w:rPr>
          <w:lang w:val="en-US"/>
        </w:rPr>
        <w:t>he easement is deemed lost if the</w:t>
      </w:r>
      <w:r w:rsidR="004E5503">
        <w:rPr>
          <w:lang w:val="en-US"/>
        </w:rPr>
        <w:t xml:space="preserve"> servient</w:t>
      </w:r>
      <w:r w:rsidR="00C270BA" w:rsidRPr="00C270BA">
        <w:rPr>
          <w:lang w:val="en-US"/>
        </w:rPr>
        <w:t xml:space="preserve"> owner acts in any way or does nothing with the intention of giving up the right. The difficulty of establishing </w:t>
      </w:r>
      <w:r w:rsidR="004E5503">
        <w:rPr>
          <w:lang w:val="en-US"/>
        </w:rPr>
        <w:t xml:space="preserve">this </w:t>
      </w:r>
      <w:r w:rsidR="00564D80">
        <w:rPr>
          <w:lang w:val="en-US"/>
        </w:rPr>
        <w:t xml:space="preserve">would be that </w:t>
      </w:r>
      <w:r w:rsidR="004E5503">
        <w:rPr>
          <w:lang w:val="en-US"/>
        </w:rPr>
        <w:t xml:space="preserve">the servient owner would have to prove </w:t>
      </w:r>
      <w:r w:rsidR="00C270BA" w:rsidRPr="00C270BA">
        <w:rPr>
          <w:lang w:val="en-US"/>
        </w:rPr>
        <w:t xml:space="preserve">that </w:t>
      </w:r>
      <w:r w:rsidR="004E5503">
        <w:rPr>
          <w:lang w:val="en-US"/>
        </w:rPr>
        <w:t>they were paying for the use of the land</w:t>
      </w:r>
      <w:r w:rsidR="00B378D4">
        <w:rPr>
          <w:lang w:val="en-US"/>
        </w:rPr>
        <w:t>,</w:t>
      </w:r>
      <w:r w:rsidR="004E5503">
        <w:rPr>
          <w:lang w:val="en-US"/>
        </w:rPr>
        <w:t xml:space="preserve"> </w:t>
      </w:r>
      <w:r w:rsidR="00564D80">
        <w:rPr>
          <w:lang w:val="en-US"/>
        </w:rPr>
        <w:t xml:space="preserve">as </w:t>
      </w:r>
      <w:r w:rsidR="003F0DD8">
        <w:rPr>
          <w:lang w:val="en-US"/>
        </w:rPr>
        <w:t xml:space="preserve">there </w:t>
      </w:r>
      <w:r w:rsidR="004E5503">
        <w:rPr>
          <w:lang w:val="en-US"/>
        </w:rPr>
        <w:t>would be</w:t>
      </w:r>
      <w:r w:rsidR="00C270BA" w:rsidRPr="00C270BA">
        <w:rPr>
          <w:lang w:val="en-US"/>
        </w:rPr>
        <w:t xml:space="preserve"> evidence of this</w:t>
      </w:r>
      <w:r w:rsidR="00B378D4">
        <w:rPr>
          <w:lang w:val="en-US"/>
        </w:rPr>
        <w:t xml:space="preserve"> </w:t>
      </w:r>
      <w:r w:rsidR="00531F75">
        <w:rPr>
          <w:lang w:val="en-US"/>
        </w:rPr>
        <w:t>(</w:t>
      </w:r>
      <w:proofErr w:type="spellStart"/>
      <w:r w:rsidR="00531F75">
        <w:rPr>
          <w:lang w:val="en-US"/>
        </w:rPr>
        <w:t>Mcfarlane</w:t>
      </w:r>
      <w:proofErr w:type="spellEnd"/>
      <w:r w:rsidR="00531F75">
        <w:rPr>
          <w:lang w:val="en-US"/>
        </w:rPr>
        <w:t xml:space="preserve"> 2018 p 954)</w:t>
      </w:r>
      <w:r w:rsidR="003F0DD8">
        <w:rPr>
          <w:lang w:val="en-US"/>
        </w:rPr>
        <w:t>.</w:t>
      </w:r>
      <w:r w:rsidR="00531F75" w:rsidRPr="00531F75">
        <w:rPr>
          <w:lang w:val="en-US"/>
        </w:rPr>
        <w:t xml:space="preserve"> </w:t>
      </w:r>
      <w:r w:rsidR="003F0DD8">
        <w:rPr>
          <w:lang w:val="en-US"/>
        </w:rPr>
        <w:t>H</w:t>
      </w:r>
      <w:r w:rsidR="00531F75" w:rsidRPr="00531F75">
        <w:rPr>
          <w:lang w:val="en-US"/>
        </w:rPr>
        <w:t>owever</w:t>
      </w:r>
      <w:r w:rsidR="00C270BA">
        <w:rPr>
          <w:lang w:val="en-US"/>
        </w:rPr>
        <w:t xml:space="preserve">, </w:t>
      </w:r>
      <w:r w:rsidR="003F0DD8">
        <w:rPr>
          <w:lang w:val="en-US"/>
        </w:rPr>
        <w:t>i</w:t>
      </w:r>
      <w:r w:rsidR="00413A0D" w:rsidRPr="00222429">
        <w:rPr>
          <w:lang w:val="en-US"/>
        </w:rPr>
        <w:t xml:space="preserve">n </w:t>
      </w:r>
      <w:r w:rsidR="00413A0D" w:rsidRPr="00B22F60">
        <w:rPr>
          <w:lang w:val="en-US"/>
        </w:rPr>
        <w:t xml:space="preserve">Liverpool </w:t>
      </w:r>
      <w:proofErr w:type="spellStart"/>
      <w:r w:rsidR="00413A0D" w:rsidRPr="00B22F60">
        <w:rPr>
          <w:lang w:val="en-US"/>
        </w:rPr>
        <w:t>corp</w:t>
      </w:r>
      <w:proofErr w:type="spellEnd"/>
      <w:r w:rsidR="00413A0D" w:rsidRPr="00B22F60">
        <w:rPr>
          <w:lang w:val="en-US"/>
        </w:rPr>
        <w:t xml:space="preserve"> v Coghill (1918)</w:t>
      </w:r>
      <w:r w:rsidR="00413A0D">
        <w:rPr>
          <w:lang w:val="en-US"/>
        </w:rPr>
        <w:t xml:space="preserve"> the</w:t>
      </w:r>
      <w:r w:rsidR="003F0DD8">
        <w:rPr>
          <w:lang w:val="en-US"/>
        </w:rPr>
        <w:t xml:space="preserve"> servient </w:t>
      </w:r>
      <w:r w:rsidR="00413A0D">
        <w:rPr>
          <w:lang w:val="en-US"/>
        </w:rPr>
        <w:t xml:space="preserve">owner enjoyed the right of the </w:t>
      </w:r>
      <w:r w:rsidR="003F0DD8">
        <w:rPr>
          <w:lang w:val="en-US"/>
        </w:rPr>
        <w:t>dominant</w:t>
      </w:r>
      <w:r w:rsidR="00413A0D">
        <w:rPr>
          <w:lang w:val="en-US"/>
        </w:rPr>
        <w:t xml:space="preserve"> </w:t>
      </w:r>
      <w:r w:rsidR="00B378D4">
        <w:rPr>
          <w:lang w:val="en-US"/>
        </w:rPr>
        <w:t xml:space="preserve">owner’s </w:t>
      </w:r>
      <w:r w:rsidR="00413A0D">
        <w:rPr>
          <w:lang w:val="en-US"/>
        </w:rPr>
        <w:t>land in secret and without permission, although the payment would have been proof the</w:t>
      </w:r>
      <w:r w:rsidR="003F0DD8">
        <w:rPr>
          <w:lang w:val="en-US"/>
        </w:rPr>
        <w:t xml:space="preserve"> dominant </w:t>
      </w:r>
      <w:r w:rsidR="00413A0D">
        <w:rPr>
          <w:lang w:val="en-US"/>
        </w:rPr>
        <w:t>owner knew about it</w:t>
      </w:r>
      <w:r w:rsidR="00F13477">
        <w:rPr>
          <w:lang w:val="en-US"/>
        </w:rPr>
        <w:t xml:space="preserve">, </w:t>
      </w:r>
      <w:r w:rsidR="00F13477" w:rsidRPr="006C499E">
        <w:rPr>
          <w:lang w:val="en-US"/>
        </w:rPr>
        <w:t>the</w:t>
      </w:r>
      <w:r w:rsidR="00413A0D" w:rsidRPr="006C499E">
        <w:rPr>
          <w:lang w:val="en-US"/>
        </w:rPr>
        <w:t xml:space="preserve"> acquisition of a prescriptive easement will not be stopped by simple </w:t>
      </w:r>
      <w:r w:rsidR="00413A0D">
        <w:rPr>
          <w:lang w:val="en-US"/>
        </w:rPr>
        <w:t xml:space="preserve">consent </w:t>
      </w:r>
      <w:r w:rsidR="00413A0D" w:rsidRPr="006C499E">
        <w:rPr>
          <w:lang w:val="en-US"/>
        </w:rPr>
        <w:t xml:space="preserve">without </w:t>
      </w:r>
      <w:r w:rsidR="00413A0D">
        <w:rPr>
          <w:lang w:val="en-US"/>
        </w:rPr>
        <w:t xml:space="preserve">a </w:t>
      </w:r>
      <w:r w:rsidR="00413A0D" w:rsidRPr="006C499E">
        <w:rPr>
          <w:lang w:val="en-US"/>
        </w:rPr>
        <w:t>complaint</w:t>
      </w:r>
      <w:r w:rsidR="00B378D4">
        <w:rPr>
          <w:lang w:val="en-US"/>
        </w:rPr>
        <w:t>,</w:t>
      </w:r>
      <w:r w:rsidR="00413A0D">
        <w:rPr>
          <w:lang w:val="en-US"/>
        </w:rPr>
        <w:t xml:space="preserve"> so, in this situation it is not possible to acquire an easement through the lost modern grant or s2 of the PA 1832, and because the time had run out. </w:t>
      </w:r>
    </w:p>
    <w:p w14:paraId="333A74CF" w14:textId="77777777" w:rsidR="00875C23" w:rsidRDefault="008125E2">
      <w:pPr>
        <w:rPr>
          <w:lang w:val="en-US"/>
        </w:rPr>
      </w:pPr>
      <w:bookmarkStart w:id="5" w:name="_Hlk116591811"/>
      <w:r w:rsidRPr="008125E2">
        <w:t xml:space="preserve">Unregistered land would mean that the </w:t>
      </w:r>
      <w:r w:rsidR="003F0DD8">
        <w:t>dominant</w:t>
      </w:r>
      <w:r w:rsidR="0037618E">
        <w:t xml:space="preserve"> </w:t>
      </w:r>
      <w:r w:rsidRPr="008125E2">
        <w:t xml:space="preserve">owner of the land would have to prove </w:t>
      </w:r>
      <w:r w:rsidR="00680DC5">
        <w:t>that there is something in the deed that has a restriction on the dominant land</w:t>
      </w:r>
      <w:r w:rsidR="003F0DD8">
        <w:t>,</w:t>
      </w:r>
      <w:r w:rsidR="00680DC5">
        <w:t xml:space="preserve"> </w:t>
      </w:r>
      <w:r w:rsidRPr="008125E2">
        <w:t xml:space="preserve">this can be quite difficult to prove as the real proof is in the title deed, and </w:t>
      </w:r>
      <w:r w:rsidR="005B536F">
        <w:t xml:space="preserve">deeds </w:t>
      </w:r>
      <w:r w:rsidRPr="008125E2">
        <w:t xml:space="preserve">sometimes can get lost over time, this would mean the </w:t>
      </w:r>
      <w:r w:rsidR="003F0DD8">
        <w:t>servient</w:t>
      </w:r>
      <w:r w:rsidR="0037618E">
        <w:t xml:space="preserve"> </w:t>
      </w:r>
      <w:r w:rsidRPr="008125E2">
        <w:t xml:space="preserve">owners </w:t>
      </w:r>
      <w:r w:rsidR="0037618E">
        <w:t xml:space="preserve">would </w:t>
      </w:r>
      <w:r w:rsidRPr="008125E2">
        <w:t>have to prove they have had procession of the land without disturbance</w:t>
      </w:r>
      <w:r w:rsidR="0037618E">
        <w:t xml:space="preserve"> for 20 years </w:t>
      </w:r>
      <w:r w:rsidRPr="008125E2">
        <w:t xml:space="preserve">Harris and </w:t>
      </w:r>
      <w:proofErr w:type="spellStart"/>
      <w:r w:rsidRPr="008125E2">
        <w:t>Rodell</w:t>
      </w:r>
      <w:proofErr w:type="spellEnd"/>
      <w:r w:rsidRPr="008125E2">
        <w:t xml:space="preserve"> (2022, p. 5)</w:t>
      </w:r>
      <w:r w:rsidR="00A07FDB">
        <w:rPr>
          <w:b/>
          <w:bCs/>
        </w:rPr>
        <w:t>.</w:t>
      </w:r>
      <w:r w:rsidRPr="008125E2">
        <w:rPr>
          <w:b/>
          <w:bCs/>
        </w:rPr>
        <w:t xml:space="preserve"> </w:t>
      </w:r>
      <w:bookmarkEnd w:id="5"/>
      <w:r w:rsidR="000000D5" w:rsidRPr="00B22F60">
        <w:t>The land registry</w:t>
      </w:r>
      <w:r w:rsidR="000000D5">
        <w:rPr>
          <w:b/>
          <w:bCs/>
        </w:rPr>
        <w:t xml:space="preserve"> </w:t>
      </w:r>
      <w:r w:rsidR="000000D5" w:rsidRPr="000000D5">
        <w:t xml:space="preserve">is there for everything to be stored in one place electronically </w:t>
      </w:r>
      <w:r w:rsidR="005B536F">
        <w:t xml:space="preserve">just </w:t>
      </w:r>
      <w:r w:rsidR="005B536F" w:rsidRPr="000000D5">
        <w:t>encase</w:t>
      </w:r>
      <w:r w:rsidR="000000D5" w:rsidRPr="000000D5">
        <w:t xml:space="preserve"> deeds get lost.</w:t>
      </w:r>
    </w:p>
    <w:p w14:paraId="6853F74E" w14:textId="77777777" w:rsidR="00875C23" w:rsidRDefault="00875C23">
      <w:pPr>
        <w:rPr>
          <w:lang w:val="en-US"/>
        </w:rPr>
      </w:pPr>
    </w:p>
    <w:p w14:paraId="2024228F" w14:textId="649FFA58" w:rsidR="00970AD7" w:rsidRPr="00395D1C" w:rsidRDefault="00970AD7">
      <w:pPr>
        <w:rPr>
          <w:lang w:val="en-US"/>
        </w:rPr>
      </w:pPr>
      <w:r w:rsidRPr="00970AD7">
        <w:rPr>
          <w:b/>
          <w:bCs/>
          <w:lang w:val="en-US"/>
        </w:rPr>
        <w:t>Conclusion</w:t>
      </w:r>
    </w:p>
    <w:p w14:paraId="502BD0F2" w14:textId="64040234" w:rsidR="00875C23" w:rsidRDefault="00C71C0B" w:rsidP="00A07FDB">
      <w:pPr>
        <w:rPr>
          <w:b/>
          <w:bCs/>
          <w:lang w:val="en-US"/>
        </w:rPr>
      </w:pPr>
      <w:r>
        <w:rPr>
          <w:lang w:val="en-US"/>
        </w:rPr>
        <w:t>T</w:t>
      </w:r>
      <w:r w:rsidRPr="00E15757">
        <w:rPr>
          <w:lang w:val="en-US"/>
        </w:rPr>
        <w:t xml:space="preserve">he development of prescription shows the common law's advantages and disadvantages. </w:t>
      </w:r>
      <w:r w:rsidR="00564D80">
        <w:rPr>
          <w:lang w:val="en-US"/>
        </w:rPr>
        <w:t>T</w:t>
      </w:r>
      <w:r w:rsidRPr="00E15757">
        <w:rPr>
          <w:lang w:val="en-US"/>
        </w:rPr>
        <w:t>he common law was prepared to defend people who had long-</w:t>
      </w:r>
      <w:r>
        <w:rPr>
          <w:lang w:val="en-US"/>
        </w:rPr>
        <w:t>use of 20years undisturbed as of right to</w:t>
      </w:r>
      <w:r w:rsidRPr="00E15757">
        <w:rPr>
          <w:lang w:val="en-US"/>
        </w:rPr>
        <w:t xml:space="preserve"> establishing a legal right to defend such use</w:t>
      </w:r>
      <w:r>
        <w:rPr>
          <w:lang w:val="en-US"/>
        </w:rPr>
        <w:t xml:space="preserve"> over somebody else is land</w:t>
      </w:r>
      <w:r w:rsidRPr="00E15757">
        <w:rPr>
          <w:lang w:val="en-US"/>
        </w:rPr>
        <w:t xml:space="preserve">. However, the law </w:t>
      </w:r>
      <w:r>
        <w:rPr>
          <w:lang w:val="en-US"/>
        </w:rPr>
        <w:t>made it awkward because, they added that there should be at some time in the past a legal grant refusing to let the uninterrupted use of 20years use serve itself as the basis of such a right.</w:t>
      </w:r>
      <w:r w:rsidRPr="00C71C0B">
        <w:t xml:space="preserve"> </w:t>
      </w:r>
      <w:r>
        <w:t xml:space="preserve">According to (Braithwaite, 2017) </w:t>
      </w:r>
    </w:p>
    <w:p w14:paraId="431461F7" w14:textId="77777777" w:rsidR="00875C23" w:rsidRDefault="00875C23" w:rsidP="00A07FDB">
      <w:pPr>
        <w:rPr>
          <w:b/>
          <w:bCs/>
          <w:lang w:val="en-US"/>
        </w:rPr>
      </w:pPr>
    </w:p>
    <w:p w14:paraId="369E0106" w14:textId="65993747" w:rsidR="0045736A" w:rsidRPr="00BB7507" w:rsidRDefault="0080199B" w:rsidP="00A07FDB">
      <w:pPr>
        <w:rPr>
          <w:b/>
          <w:bCs/>
          <w:lang w:val="en-US"/>
        </w:rPr>
      </w:pPr>
      <w:r>
        <w:rPr>
          <w:lang w:val="en-US"/>
        </w:rPr>
        <w:t>When it comes to Benefits and burdens and fairness, it may be a big burden and will not be fair on the servient owner when it comes to selling the property</w:t>
      </w:r>
      <w:r w:rsidR="00564D80">
        <w:rPr>
          <w:lang w:val="en-US"/>
        </w:rPr>
        <w:t xml:space="preserve"> </w:t>
      </w:r>
      <w:r>
        <w:rPr>
          <w:lang w:val="en-US"/>
        </w:rPr>
        <w:t>because</w:t>
      </w:r>
      <w:r w:rsidR="00564D80">
        <w:rPr>
          <w:lang w:val="en-US"/>
        </w:rPr>
        <w:t>,</w:t>
      </w:r>
      <w:r>
        <w:rPr>
          <w:lang w:val="en-US"/>
        </w:rPr>
        <w:t xml:space="preserve"> if the</w:t>
      </w:r>
      <w:r w:rsidR="00EF72D5">
        <w:rPr>
          <w:lang w:val="en-US"/>
        </w:rPr>
        <w:t>re</w:t>
      </w:r>
      <w:r>
        <w:rPr>
          <w:lang w:val="en-US"/>
        </w:rPr>
        <w:t xml:space="preserve"> is an easement on the property the new owner may not want it and it cannot be </w:t>
      </w:r>
      <w:r w:rsidR="00175420">
        <w:rPr>
          <w:lang w:val="en-US"/>
        </w:rPr>
        <w:t>removed whether</w:t>
      </w:r>
      <w:r>
        <w:rPr>
          <w:lang w:val="en-US"/>
        </w:rPr>
        <w:t xml:space="preserve"> It is lawfully or equitable.</w:t>
      </w:r>
      <w:r w:rsidR="00355CAA">
        <w:rPr>
          <w:lang w:val="en-US"/>
        </w:rPr>
        <w:t xml:space="preserve"> Bevan (201</w:t>
      </w:r>
      <w:r w:rsidR="001B0B57">
        <w:rPr>
          <w:lang w:val="en-US"/>
        </w:rPr>
        <w:t>8</w:t>
      </w:r>
      <w:r w:rsidR="00355CAA">
        <w:rPr>
          <w:lang w:val="en-US"/>
        </w:rPr>
        <w:t xml:space="preserve">). </w:t>
      </w:r>
    </w:p>
    <w:p w14:paraId="57DB62AF" w14:textId="77777777" w:rsidR="00E82169" w:rsidRDefault="00E82169" w:rsidP="00A07FDB">
      <w:pPr>
        <w:rPr>
          <w:lang w:val="en-US"/>
        </w:rPr>
      </w:pPr>
    </w:p>
    <w:p w14:paraId="542587A5" w14:textId="77777777" w:rsidR="0010738F" w:rsidRDefault="0010738F" w:rsidP="00A07FDB">
      <w:pPr>
        <w:rPr>
          <w:lang w:val="en-US"/>
        </w:rPr>
      </w:pPr>
    </w:p>
    <w:p w14:paraId="0853EE50" w14:textId="77777777" w:rsidR="00BB7507" w:rsidRDefault="00BB7507" w:rsidP="00A07FDB">
      <w:pPr>
        <w:rPr>
          <w:lang w:val="en-US"/>
        </w:rPr>
      </w:pPr>
    </w:p>
    <w:p w14:paraId="320014D9" w14:textId="77777777" w:rsidR="00BB7507" w:rsidRDefault="00BB7507" w:rsidP="00A07FDB">
      <w:pPr>
        <w:rPr>
          <w:lang w:val="en-US"/>
        </w:rPr>
      </w:pPr>
    </w:p>
    <w:p w14:paraId="6F22436D" w14:textId="77777777" w:rsidR="00BB7507" w:rsidRDefault="00BB7507" w:rsidP="00A07FDB">
      <w:pPr>
        <w:rPr>
          <w:lang w:val="en-US"/>
        </w:rPr>
      </w:pPr>
    </w:p>
    <w:p w14:paraId="59536BB4" w14:textId="77777777" w:rsidR="00BB7507" w:rsidRDefault="00BB7507" w:rsidP="00A07FDB">
      <w:pPr>
        <w:rPr>
          <w:lang w:val="en-US"/>
        </w:rPr>
      </w:pPr>
    </w:p>
    <w:p w14:paraId="72DB4AE2" w14:textId="77777777" w:rsidR="00BB7507" w:rsidRDefault="00BB7507" w:rsidP="00A07FDB">
      <w:pPr>
        <w:rPr>
          <w:lang w:val="en-US"/>
        </w:rPr>
      </w:pPr>
    </w:p>
    <w:p w14:paraId="377B1DC2" w14:textId="77777777" w:rsidR="00BB7507" w:rsidRDefault="00BB7507" w:rsidP="00A07FDB">
      <w:pPr>
        <w:rPr>
          <w:lang w:val="en-US"/>
        </w:rPr>
      </w:pPr>
    </w:p>
    <w:p w14:paraId="4A574B9F" w14:textId="77777777" w:rsidR="00BB7507" w:rsidRDefault="00BB7507" w:rsidP="00A07FDB">
      <w:pPr>
        <w:rPr>
          <w:lang w:val="en-US"/>
        </w:rPr>
      </w:pPr>
    </w:p>
    <w:p w14:paraId="30B42E9C" w14:textId="77777777" w:rsidR="00BB7507" w:rsidRDefault="00BB7507" w:rsidP="00A07FDB">
      <w:pPr>
        <w:rPr>
          <w:lang w:val="en-US"/>
        </w:rPr>
      </w:pPr>
    </w:p>
    <w:p w14:paraId="39CB9E8D" w14:textId="77777777" w:rsidR="005B536F" w:rsidRDefault="005B536F" w:rsidP="00A07FDB">
      <w:pPr>
        <w:rPr>
          <w:lang w:val="en-US"/>
        </w:rPr>
      </w:pPr>
    </w:p>
    <w:p w14:paraId="193128D9" w14:textId="77777777" w:rsidR="005B536F" w:rsidRDefault="005B536F" w:rsidP="00A07FDB">
      <w:pPr>
        <w:rPr>
          <w:lang w:val="en-US"/>
        </w:rPr>
      </w:pPr>
    </w:p>
    <w:p w14:paraId="1CCDD32A" w14:textId="77777777" w:rsidR="005B536F" w:rsidRDefault="005B536F" w:rsidP="00A07FDB">
      <w:pPr>
        <w:rPr>
          <w:lang w:val="en-US"/>
        </w:rPr>
      </w:pPr>
    </w:p>
    <w:p w14:paraId="44471666" w14:textId="77777777" w:rsidR="005B536F" w:rsidRDefault="005B536F" w:rsidP="00A07FDB">
      <w:pPr>
        <w:rPr>
          <w:lang w:val="en-US"/>
        </w:rPr>
      </w:pPr>
    </w:p>
    <w:p w14:paraId="2014DECD" w14:textId="77777777" w:rsidR="005B536F" w:rsidRDefault="005B536F" w:rsidP="00A07FDB">
      <w:pPr>
        <w:rPr>
          <w:lang w:val="en-US"/>
        </w:rPr>
      </w:pPr>
    </w:p>
    <w:p w14:paraId="2740DC05" w14:textId="77777777" w:rsidR="005B536F" w:rsidRDefault="005B536F" w:rsidP="00A07FDB">
      <w:pPr>
        <w:rPr>
          <w:lang w:val="en-US"/>
        </w:rPr>
      </w:pPr>
    </w:p>
    <w:p w14:paraId="3CCC2BA4" w14:textId="77777777" w:rsidR="00875C23" w:rsidRDefault="00875C23" w:rsidP="00A07FDB">
      <w:pPr>
        <w:rPr>
          <w:lang w:val="en-US"/>
        </w:rPr>
      </w:pPr>
    </w:p>
    <w:p w14:paraId="705BAB4F" w14:textId="5E45F4C6" w:rsidR="00A07FDB" w:rsidRDefault="00AF0FED" w:rsidP="00A07FDB">
      <w:pPr>
        <w:rPr>
          <w:lang w:val="en-US"/>
        </w:rPr>
      </w:pPr>
      <w:r>
        <w:rPr>
          <w:lang w:val="en-US"/>
        </w:rPr>
        <w:t xml:space="preserve">References </w:t>
      </w:r>
    </w:p>
    <w:p w14:paraId="159B5420" w14:textId="01BD1B60" w:rsidR="00C85F4D" w:rsidRDefault="00C85F4D" w:rsidP="00A07FDB">
      <w:pPr>
        <w:rPr>
          <w:lang w:val="en-US"/>
        </w:rPr>
      </w:pPr>
      <w:r>
        <w:rPr>
          <w:lang w:val="en-US"/>
        </w:rPr>
        <w:t xml:space="preserve">Bakewell Management Ltd v Brandwood and others` (2004) Estate Gazette Law Reports, case 15. </w:t>
      </w:r>
      <w:r w:rsidRPr="00C85F4D">
        <w:rPr>
          <w:i/>
          <w:iCs/>
          <w:lang w:val="en-US"/>
        </w:rPr>
        <w:t>Lexis</w:t>
      </w:r>
      <w:r>
        <w:rPr>
          <w:lang w:val="en-US"/>
        </w:rPr>
        <w:t xml:space="preserve">. Available at: </w:t>
      </w:r>
      <w:hyperlink r:id="rId5" w:history="1">
        <w:r w:rsidRPr="00A618EE">
          <w:rPr>
            <w:rStyle w:val="Hyperlink"/>
            <w:lang w:val="en-US"/>
          </w:rPr>
          <w:t>https://plus-lexis-com.ezproxy.uwtsd.ac.uk/uk/document/documentlink/?pdmfid=1001073&amp;crid=923aa594-3e21-43a2-98f6-5594b2f47a75&amp;pddocfullpath=%2Fshared%2Fdocument%2Fcases-uk%2Furn%3AcontentItem%3A4J44-1350-TX1N-H187-00000-00&amp;pdcontentcomponentid=289949&amp;pdproductcontenttypeid=urn%3Apct%3A285&amp;pdiskwicview=false&amp;pdpinpoint=&amp;ecomp=zk4k&amp;prid=c1de295c-f854-40ed-81ab-e3bb8156201a#</w:t>
        </w:r>
      </w:hyperlink>
      <w:r>
        <w:rPr>
          <w:lang w:val="en-US"/>
        </w:rPr>
        <w:t xml:space="preserve">  (Accessed: 21October 2022).</w:t>
      </w:r>
    </w:p>
    <w:p w14:paraId="76EDC2AC" w14:textId="1F0F17C0" w:rsidR="00355CAA" w:rsidRDefault="00355CAA" w:rsidP="00A07FDB">
      <w:pPr>
        <w:rPr>
          <w:lang w:val="en-US"/>
        </w:rPr>
      </w:pPr>
      <w:r>
        <w:rPr>
          <w:lang w:val="en-US"/>
        </w:rPr>
        <w:t>Bevan, C. (2018) `</w:t>
      </w:r>
      <w:r w:rsidRPr="00355CAA">
        <w:t xml:space="preserve"> </w:t>
      </w:r>
      <w:r w:rsidRPr="009A4C84">
        <w:rPr>
          <w:i/>
          <w:iCs/>
          <w:lang w:val="en-US"/>
        </w:rPr>
        <w:t xml:space="preserve">The Doctrine of Benefit and Burden: Reforming the Law of Covenants and the Numerus </w:t>
      </w:r>
      <w:proofErr w:type="spellStart"/>
      <w:r w:rsidRPr="009A4C84">
        <w:rPr>
          <w:i/>
          <w:iCs/>
          <w:lang w:val="en-US"/>
        </w:rPr>
        <w:t>Clausus</w:t>
      </w:r>
      <w:proofErr w:type="spellEnd"/>
      <w:r w:rsidRPr="009A4C84">
        <w:rPr>
          <w:i/>
          <w:iCs/>
          <w:lang w:val="en-US"/>
        </w:rPr>
        <w:t xml:space="preserve"> “</w:t>
      </w:r>
      <w:proofErr w:type="spellStart"/>
      <w:proofErr w:type="gramStart"/>
      <w:r w:rsidRPr="009A4C84">
        <w:rPr>
          <w:i/>
          <w:iCs/>
          <w:lang w:val="en-US"/>
        </w:rPr>
        <w:t>Problem”`</w:t>
      </w:r>
      <w:proofErr w:type="gramEnd"/>
      <w:r w:rsidRPr="009A4C84">
        <w:rPr>
          <w:i/>
          <w:iCs/>
          <w:lang w:val="en-US"/>
        </w:rPr>
        <w:t>,</w:t>
      </w:r>
      <w:r w:rsidRPr="009A4C84">
        <w:rPr>
          <w:lang w:val="en-US"/>
        </w:rPr>
        <w:t>The</w:t>
      </w:r>
      <w:proofErr w:type="spellEnd"/>
      <w:r w:rsidRPr="009A4C84">
        <w:rPr>
          <w:lang w:val="en-US"/>
        </w:rPr>
        <w:t xml:space="preserve"> Cambridge Law Journal</w:t>
      </w:r>
      <w:r w:rsidRPr="00355CAA">
        <w:rPr>
          <w:lang w:val="en-US"/>
        </w:rPr>
        <w:t>,</w:t>
      </w:r>
      <w:r>
        <w:rPr>
          <w:lang w:val="en-US"/>
        </w:rPr>
        <w:t xml:space="preserve"> 77(1)</w:t>
      </w:r>
      <w:r w:rsidR="00711602">
        <w:rPr>
          <w:lang w:val="en-US"/>
        </w:rPr>
        <w:t xml:space="preserve">, pp. 72¬96. Available at: </w:t>
      </w:r>
      <w:hyperlink r:id="rId6" w:history="1">
        <w:r w:rsidR="00711602" w:rsidRPr="00933FE9">
          <w:rPr>
            <w:rStyle w:val="Hyperlink"/>
            <w:lang w:val="en-US"/>
          </w:rPr>
          <w:t>https://plus-lexis-com.ezproxy.uwtsd.ac.uk/uk/document/?pdmfid=1001073&amp;crid=382af0d1-00a6-4ff5-b3c5-59badf89c863&amp;pddocfullpath=%2Fshared%2Fdocument%2Fanalytical-materials-uk%2Furn%3AcontentItem%3A5RYR-XX81-DY08-C2C0-00000-00&amp;pdcontentcomponentid=374818&amp;pdteaserkey=&amp;pdislpamode=false&amp;pddocumentnumber=4&amp;ecomp=tt5k&amp;earg=sr3&amp;prid=0a7b5ccf-3312-4046-9afb-d51339d90b49</w:t>
        </w:r>
      </w:hyperlink>
      <w:r w:rsidR="00711602">
        <w:rPr>
          <w:lang w:val="en-US"/>
        </w:rPr>
        <w:t xml:space="preserve">  (Accessed: 28 October 2022).</w:t>
      </w:r>
    </w:p>
    <w:p w14:paraId="50948808" w14:textId="77777777" w:rsidR="0010440C" w:rsidRDefault="009B54E6" w:rsidP="00A07FDB">
      <w:pPr>
        <w:rPr>
          <w:lang w:val="en-US"/>
        </w:rPr>
      </w:pPr>
      <w:r>
        <w:rPr>
          <w:lang w:val="en-US"/>
        </w:rPr>
        <w:t xml:space="preserve">Braithwaite, </w:t>
      </w:r>
      <w:r w:rsidR="006C6E16">
        <w:rPr>
          <w:lang w:val="en-US"/>
        </w:rPr>
        <w:t>T. (2017) `</w:t>
      </w:r>
      <w:r w:rsidR="006C6E16" w:rsidRPr="009A4C84">
        <w:rPr>
          <w:i/>
          <w:iCs/>
          <w:lang w:val="en-US"/>
        </w:rPr>
        <w:t>Time &amp; tide</w:t>
      </w:r>
      <w:r w:rsidR="006C6E16">
        <w:rPr>
          <w:lang w:val="en-US"/>
        </w:rPr>
        <w:t xml:space="preserve">` </w:t>
      </w:r>
      <w:r w:rsidR="006C6E16" w:rsidRPr="009A4C84">
        <w:rPr>
          <w:lang w:val="en-US"/>
        </w:rPr>
        <w:t>New Law Journal</w:t>
      </w:r>
      <w:r w:rsidR="006C6E16">
        <w:rPr>
          <w:lang w:val="en-US"/>
        </w:rPr>
        <w:t>, 167(7732), p. 13.Available at:</w:t>
      </w:r>
      <w:r w:rsidR="00A50ABD">
        <w:rPr>
          <w:lang w:val="en-US"/>
        </w:rPr>
        <w:t xml:space="preserve"> </w:t>
      </w:r>
      <w:hyperlink r:id="rId7" w:history="1">
        <w:r w:rsidR="00A50ABD" w:rsidRPr="0030220C">
          <w:rPr>
            <w:rStyle w:val="Hyperlink"/>
            <w:lang w:val="en-US"/>
          </w:rPr>
          <w:t>https://plus-lexis-com.ezproxy.uwtsd.ac.uk/uk/document/?pdmfid=1001073&amp;crid=de057475-92b2-41da-8f05-cb7358c77408&amp;pddocfullpath=%2Fshared%2Fdocument%2Fanalytical-materials-uk%2Furn%3AcontentItem%3A5MSK-DDM1-DYJD-X4VG-00000-00&amp;pdcontentcomponentid=280276&amp;pdteaserkey=&amp;pdislpamode=false&amp;pddocumentnumber=9&amp;ecomp=tt5k&amp;earg=sr8&amp;prid=0357625d-a236-41e2-aa98-b5f332fc8dff</w:t>
        </w:r>
      </w:hyperlink>
      <w:r w:rsidR="00A50ABD">
        <w:rPr>
          <w:lang w:val="en-US"/>
        </w:rPr>
        <w:t xml:space="preserve"> (Accessed: 23 October 2022).</w:t>
      </w:r>
      <w:r w:rsidR="0010440C">
        <w:rPr>
          <w:lang w:val="en-US"/>
        </w:rPr>
        <w:t xml:space="preserve"> </w:t>
      </w:r>
    </w:p>
    <w:p w14:paraId="715E9EA5" w14:textId="77777777" w:rsidR="000511DA" w:rsidRDefault="0010440C" w:rsidP="00A07FDB">
      <w:pPr>
        <w:rPr>
          <w:lang w:val="en-US"/>
        </w:rPr>
      </w:pPr>
      <w:r>
        <w:rPr>
          <w:lang w:val="en-US"/>
        </w:rPr>
        <w:t>Del Mar, M. (2013) `</w:t>
      </w:r>
      <w:r w:rsidRPr="0010440C">
        <w:rPr>
          <w:lang w:val="en-US"/>
        </w:rPr>
        <w:t>Legal fictions and legal change</w:t>
      </w:r>
      <w:r>
        <w:rPr>
          <w:lang w:val="en-US"/>
        </w:rPr>
        <w:t xml:space="preserve">` </w:t>
      </w:r>
      <w:r w:rsidRPr="0010440C">
        <w:rPr>
          <w:lang w:val="en-US"/>
        </w:rPr>
        <w:t>Cambridge University Press</w:t>
      </w:r>
      <w:r>
        <w:rPr>
          <w:lang w:val="en-US"/>
        </w:rPr>
        <w:t xml:space="preserve">. Available at: </w:t>
      </w:r>
      <w:hyperlink r:id="rId8" w:history="1">
        <w:r w:rsidRPr="000D65CC">
          <w:rPr>
            <w:rStyle w:val="Hyperlink"/>
            <w:lang w:val="en-US"/>
          </w:rPr>
          <w:t>https://www.cambridge.org/core/journals/international-journal-of-law-in-context/article/abs/legal-fictions-and-legal-change/CDCDA1455D4FAD8CFA8EBBE99221DD6D</w:t>
        </w:r>
      </w:hyperlink>
      <w:r>
        <w:rPr>
          <w:lang w:val="en-US"/>
        </w:rPr>
        <w:t xml:space="preserve"> [Accessed</w:t>
      </w:r>
      <w:r w:rsidR="005841A1">
        <w:rPr>
          <w:lang w:val="en-US"/>
        </w:rPr>
        <w:t>:</w:t>
      </w:r>
      <w:r>
        <w:rPr>
          <w:lang w:val="en-US"/>
        </w:rPr>
        <w:t xml:space="preserve"> 1</w:t>
      </w:r>
      <w:r w:rsidR="003B739C">
        <w:rPr>
          <w:lang w:val="en-US"/>
        </w:rPr>
        <w:t>4</w:t>
      </w:r>
      <w:r>
        <w:rPr>
          <w:lang w:val="en-US"/>
        </w:rPr>
        <w:t xml:space="preserve"> March 2023]. </w:t>
      </w:r>
    </w:p>
    <w:p w14:paraId="3E008C55" w14:textId="14DE0222" w:rsidR="009B54E6" w:rsidRDefault="000511DA" w:rsidP="00A07FDB">
      <w:pPr>
        <w:rPr>
          <w:lang w:val="en-US"/>
        </w:rPr>
      </w:pPr>
      <w:r w:rsidRPr="000511DA">
        <w:rPr>
          <w:lang w:val="en-US"/>
        </w:rPr>
        <w:t>Fox</w:t>
      </w:r>
      <w:r>
        <w:rPr>
          <w:lang w:val="en-US"/>
        </w:rPr>
        <w:t xml:space="preserve">, D (2006) ` </w:t>
      </w:r>
      <w:r w:rsidRPr="000511DA">
        <w:rPr>
          <w:i/>
          <w:iCs/>
          <w:lang w:val="en-US"/>
        </w:rPr>
        <w:t>Relativity of title at law and in equity</w:t>
      </w:r>
      <w:r>
        <w:rPr>
          <w:lang w:val="en-US"/>
        </w:rPr>
        <w:t xml:space="preserve"> ` </w:t>
      </w:r>
      <w:r w:rsidRPr="000511DA">
        <w:rPr>
          <w:lang w:val="en-US"/>
        </w:rPr>
        <w:t>Cambridge Law Journal</w:t>
      </w:r>
      <w:r>
        <w:rPr>
          <w:lang w:val="en-US"/>
        </w:rPr>
        <w:t xml:space="preserve">. Available at: </w:t>
      </w:r>
      <w:hyperlink r:id="rId9" w:history="1">
        <w:r w:rsidRPr="00EA58B7">
          <w:rPr>
            <w:rStyle w:val="Hyperlink"/>
            <w:lang w:val="en-US"/>
          </w:rPr>
          <w:t>https://plus-lexis-com.ezproxy.uwtsd.ac.uk/uk/document/?pdmfid=1001073&amp;crid=3729461d-86ab-4ae3-8f3e-41af120c03c3&amp;pddocfullpath=%2Fshared%2Fdocument%2Fanalytical-materials-uk%2Furn%3AcontentItem%3A556T-TCP1-DY08-C2XK-00000-00&amp;pdcontentcomponentid=374818&amp;pdteaserkey=&amp;pdislpamode=false&amp;pddocumentnumber=1&amp;ecomp=tt5k&amp;earg=sr0&amp;prid=fff7d044-a4c2-4bc5-a975-d7cbfbddedb7</w:t>
        </w:r>
      </w:hyperlink>
      <w:r>
        <w:rPr>
          <w:lang w:val="en-US"/>
        </w:rPr>
        <w:t xml:space="preserve"> (Accessed: 11 April 2023). </w:t>
      </w:r>
    </w:p>
    <w:p w14:paraId="2271D967" w14:textId="5EAD714F" w:rsidR="003C06FF" w:rsidRDefault="003C06FF" w:rsidP="00A07FDB">
      <w:pPr>
        <w:rPr>
          <w:lang w:val="en-US"/>
        </w:rPr>
      </w:pPr>
      <w:r>
        <w:rPr>
          <w:lang w:val="en-US"/>
        </w:rPr>
        <w:t xml:space="preserve">Gray, K. and Gray </w:t>
      </w:r>
      <w:r w:rsidR="00982E23">
        <w:rPr>
          <w:lang w:val="en-US"/>
        </w:rPr>
        <w:t>S.F. (</w:t>
      </w:r>
      <w:r>
        <w:rPr>
          <w:lang w:val="en-US"/>
        </w:rPr>
        <w:t xml:space="preserve">2011) </w:t>
      </w:r>
      <w:r w:rsidRPr="003C06FF">
        <w:rPr>
          <w:i/>
          <w:iCs/>
          <w:lang w:val="en-US"/>
        </w:rPr>
        <w:t>Land Law. Oxford</w:t>
      </w:r>
      <w:r>
        <w:rPr>
          <w:lang w:val="en-US"/>
        </w:rPr>
        <w:t>: University Press.</w:t>
      </w:r>
    </w:p>
    <w:p w14:paraId="5BB08D57" w14:textId="16A9B33E" w:rsidR="00A07FDB" w:rsidRPr="00A07FDB" w:rsidRDefault="00A07FDB" w:rsidP="00A07FDB">
      <w:r w:rsidRPr="00A07FDB">
        <w:t xml:space="preserve">Harris, C. and </w:t>
      </w:r>
      <w:proofErr w:type="spellStart"/>
      <w:r w:rsidRPr="00A07FDB">
        <w:t>Rodell</w:t>
      </w:r>
      <w:proofErr w:type="spellEnd"/>
      <w:r w:rsidRPr="00A07FDB">
        <w:t xml:space="preserve">, A. (2022) </w:t>
      </w:r>
      <w:r w:rsidRPr="009A4C84">
        <w:t>Property law and practice</w:t>
      </w:r>
      <w:r w:rsidRPr="00A07FDB">
        <w:rPr>
          <w:i/>
          <w:iCs/>
        </w:rPr>
        <w:t xml:space="preserve">. </w:t>
      </w:r>
      <w:r w:rsidRPr="00A07FDB">
        <w:t>Birmingham, Guildford: The University of Law 22</w:t>
      </w:r>
      <w:r w:rsidR="003517E6">
        <w:t>.</w:t>
      </w:r>
    </w:p>
    <w:p w14:paraId="5BE76B95" w14:textId="77777777" w:rsidR="00911C15" w:rsidRDefault="00AF0FED" w:rsidP="00360521">
      <w:pPr>
        <w:rPr>
          <w:rFonts w:ascii="Times New Roman" w:eastAsia="Times New Roman" w:hAnsi="Times New Roman" w:cs="Times New Roman"/>
          <w:sz w:val="24"/>
          <w:szCs w:val="24"/>
          <w:lang w:eastAsia="en-GB"/>
        </w:rPr>
      </w:pPr>
      <w:proofErr w:type="spellStart"/>
      <w:r w:rsidRPr="00AF0FED">
        <w:rPr>
          <w:lang w:val="en-US"/>
        </w:rPr>
        <w:lastRenderedPageBreak/>
        <w:t>Helling</w:t>
      </w:r>
      <w:proofErr w:type="spellEnd"/>
      <w:r w:rsidRPr="00AF0FED">
        <w:rPr>
          <w:lang w:val="en-US"/>
        </w:rPr>
        <w:t xml:space="preserve"> </w:t>
      </w:r>
      <w:r>
        <w:rPr>
          <w:lang w:val="en-US"/>
        </w:rPr>
        <w:t xml:space="preserve">A. </w:t>
      </w:r>
      <w:r w:rsidRPr="00AF0FED">
        <w:rPr>
          <w:lang w:val="en-US"/>
        </w:rPr>
        <w:t xml:space="preserve">(2020). Fee Simple | Real Estate Definition &amp; Example | </w:t>
      </w:r>
      <w:proofErr w:type="spellStart"/>
      <w:r w:rsidRPr="00AF0FED">
        <w:rPr>
          <w:lang w:val="en-US"/>
        </w:rPr>
        <w:t>REthority</w:t>
      </w:r>
      <w:proofErr w:type="spellEnd"/>
      <w:r w:rsidRPr="00AF0FED">
        <w:rPr>
          <w:lang w:val="en-US"/>
        </w:rPr>
        <w:t>.</w:t>
      </w:r>
      <w:r w:rsidR="005311B6">
        <w:rPr>
          <w:lang w:val="en-US"/>
        </w:rPr>
        <w:t xml:space="preserve"> </w:t>
      </w:r>
      <w:r w:rsidRPr="00AF0FED">
        <w:rPr>
          <w:lang w:val="en-US"/>
        </w:rPr>
        <w:t xml:space="preserve">rethority.com. Available at: </w:t>
      </w:r>
      <w:hyperlink r:id="rId10" w:anchor=":~:text=Fee%20simple%20is%20a%20form%20of%20ownership%20that" w:history="1">
        <w:r w:rsidRPr="000B1DF9">
          <w:rPr>
            <w:rStyle w:val="Hyperlink"/>
            <w:lang w:val="en-US"/>
          </w:rPr>
          <w:t>https://rethority.com/fee-simple/#:~:text=Fee%20simple%20is%20a%20form%20of%20ownership%20that</w:t>
        </w:r>
      </w:hyperlink>
      <w:r w:rsidRPr="00AF0FED">
        <w:rPr>
          <w:lang w:val="en-US"/>
        </w:rPr>
        <w:t>.</w:t>
      </w:r>
      <w:r>
        <w:rPr>
          <w:lang w:val="en-US"/>
        </w:rPr>
        <w:t xml:space="preserve"> (Accessed: 16 October 2022).</w:t>
      </w:r>
      <w:r w:rsidR="00360521" w:rsidRPr="00360521">
        <w:rPr>
          <w:rFonts w:ascii="Times New Roman" w:eastAsia="Times New Roman" w:hAnsi="Times New Roman" w:cs="Times New Roman"/>
          <w:sz w:val="24"/>
          <w:szCs w:val="24"/>
          <w:lang w:eastAsia="en-GB"/>
        </w:rPr>
        <w:t xml:space="preserve"> </w:t>
      </w:r>
    </w:p>
    <w:p w14:paraId="4FB2A63D" w14:textId="66CBA6FE" w:rsidR="00360521" w:rsidRDefault="00911C15" w:rsidP="00360521">
      <w:pPr>
        <w:rPr>
          <w:rFonts w:ascii="Times New Roman" w:eastAsia="Times New Roman" w:hAnsi="Times New Roman" w:cs="Times New Roman"/>
          <w:sz w:val="24"/>
          <w:szCs w:val="24"/>
          <w:lang w:eastAsia="en-GB"/>
        </w:rPr>
      </w:pPr>
      <w:r w:rsidRPr="00360521">
        <w:t>HM Land Registry</w:t>
      </w:r>
      <w:r>
        <w:t xml:space="preserve"> (2023) `</w:t>
      </w:r>
      <w:r w:rsidR="006B06ED" w:rsidRPr="006B06ED">
        <w:t xml:space="preserve"> Practice guide 8: execution of deeds</w:t>
      </w:r>
      <w:r w:rsidR="006B06ED">
        <w:t xml:space="preserve"> ` GOV.UK. Available at:</w:t>
      </w:r>
      <w:r w:rsidR="006B06ED" w:rsidRPr="006B06ED">
        <w:t xml:space="preserve"> </w:t>
      </w:r>
      <w:hyperlink r:id="rId11" w:history="1">
        <w:r w:rsidR="006B06ED" w:rsidRPr="00045DA4">
          <w:rPr>
            <w:rStyle w:val="Hyperlink"/>
          </w:rPr>
          <w:t>https://www.gov.uk/government/publications/execution-of-deeds/practice-guide-8-execution-of-deeds</w:t>
        </w:r>
      </w:hyperlink>
      <w:r w:rsidR="006B06ED">
        <w:t xml:space="preserve"> (Accessed: 11 April 2023).</w:t>
      </w:r>
    </w:p>
    <w:p w14:paraId="795FA3F7" w14:textId="7137F277" w:rsidR="000A3E5A" w:rsidRDefault="00360521" w:rsidP="000A3E5A">
      <w:pPr>
        <w:rPr>
          <w:rFonts w:ascii="Times New Roman" w:eastAsia="Times New Roman" w:hAnsi="Times New Roman" w:cs="Times New Roman"/>
          <w:sz w:val="24"/>
          <w:szCs w:val="24"/>
          <w:lang w:eastAsia="en-GB"/>
        </w:rPr>
      </w:pPr>
      <w:bookmarkStart w:id="6" w:name="_Hlk132145596"/>
      <w:r w:rsidRPr="00360521">
        <w:t xml:space="preserve">HM Land Registry </w:t>
      </w:r>
      <w:bookmarkEnd w:id="6"/>
      <w:r w:rsidRPr="00360521">
        <w:t>(2016)</w:t>
      </w:r>
      <w:r w:rsidR="00E63B4D">
        <w:t xml:space="preserve"> `</w:t>
      </w:r>
      <w:r w:rsidRPr="00E63B4D">
        <w:t>Practice guide 62: easements</w:t>
      </w:r>
      <w:r w:rsidR="00E63B4D">
        <w:t>`</w:t>
      </w:r>
      <w:r w:rsidRPr="00360521">
        <w:t xml:space="preserve"> GOV.UK. Available at: </w:t>
      </w:r>
      <w:hyperlink r:id="rId12" w:history="1">
        <w:r w:rsidRPr="00360521">
          <w:rPr>
            <w:rStyle w:val="Hyperlink"/>
          </w:rPr>
          <w:t>https://www.gov.uk/government/publications/easements/practice-guide-62-easements</w:t>
        </w:r>
      </w:hyperlink>
      <w:r w:rsidRPr="00360521">
        <w:t xml:space="preserve"> [Accessed: 12 October 2022].</w:t>
      </w:r>
      <w:r w:rsidR="000A3E5A" w:rsidRPr="000A3E5A">
        <w:rPr>
          <w:rFonts w:ascii="Times New Roman" w:eastAsia="Times New Roman" w:hAnsi="Times New Roman" w:cs="Times New Roman"/>
          <w:sz w:val="24"/>
          <w:szCs w:val="24"/>
          <w:lang w:eastAsia="en-GB"/>
        </w:rPr>
        <w:t xml:space="preserve"> </w:t>
      </w:r>
    </w:p>
    <w:p w14:paraId="5116798A" w14:textId="7FDE5251" w:rsidR="005F2D00" w:rsidRDefault="000A3E5A" w:rsidP="000A3E5A">
      <w:r w:rsidRPr="000A3E5A">
        <w:rPr>
          <w:rFonts w:eastAsia="Times New Roman"/>
          <w:lang w:eastAsia="en-GB"/>
        </w:rPr>
        <w:t>Laughton</w:t>
      </w:r>
      <w:r w:rsidR="00E46D0F">
        <w:rPr>
          <w:rFonts w:eastAsia="Times New Roman"/>
          <w:lang w:eastAsia="en-GB"/>
        </w:rPr>
        <w:t xml:space="preserve">, S. </w:t>
      </w:r>
      <w:r w:rsidRPr="000A3E5A">
        <w:rPr>
          <w:rFonts w:eastAsia="Times New Roman"/>
          <w:lang w:eastAsia="en-GB"/>
        </w:rPr>
        <w:t xml:space="preserve">(2020). </w:t>
      </w:r>
      <w:r w:rsidRPr="009A4C84">
        <w:rPr>
          <w:rFonts w:eastAsia="Times New Roman"/>
          <w:lang w:eastAsia="en-GB"/>
        </w:rPr>
        <w:t>easements.</w:t>
      </w:r>
      <w:r w:rsidRPr="000A3E5A">
        <w:rPr>
          <w:rFonts w:eastAsia="Times New Roman"/>
          <w:lang w:eastAsia="en-GB"/>
        </w:rPr>
        <w:t xml:space="preserve">signon.thomsonreuters.com. Available at: </w:t>
      </w:r>
      <w:hyperlink r:id="rId13" w:history="1">
        <w:r w:rsidRPr="0030220C">
          <w:rPr>
            <w:rStyle w:val="Hyperlink"/>
            <w:rFonts w:eastAsia="Times New Roman"/>
            <w:lang w:eastAsia="en-GB"/>
          </w:rPr>
          <w:t>https://uk.westlaw.com/Document/I5E8E55E0908611E29FF8D324E49DFB2F/View/FullText.html?ppcid=5be864dd3aee47fb95ab32b88590e27c&amp;originationContext=ukCommentaryReferences&amp;transitionType=Default&amp;contextData=%28sc.DocLink%29&amp;comp=wluk</w:t>
        </w:r>
      </w:hyperlink>
      <w:r w:rsidRPr="000A3E5A">
        <w:rPr>
          <w:rFonts w:eastAsia="Times New Roman"/>
          <w:lang w:eastAsia="en-GB"/>
        </w:rPr>
        <w:t xml:space="preserve"> </w:t>
      </w:r>
      <w:r>
        <w:rPr>
          <w:rFonts w:eastAsia="Times New Roman"/>
          <w:lang w:eastAsia="en-GB"/>
        </w:rPr>
        <w:t xml:space="preserve"> (Accessed: 14 October 2022).</w:t>
      </w:r>
      <w:r w:rsidR="005F2D00" w:rsidRPr="005F2D00">
        <w:t xml:space="preserve"> </w:t>
      </w:r>
    </w:p>
    <w:p w14:paraId="15360BCF" w14:textId="1C531E8E" w:rsidR="000A3E5A" w:rsidRDefault="005F2D00" w:rsidP="000A3E5A">
      <w:pPr>
        <w:rPr>
          <w:rFonts w:eastAsia="Times New Roman"/>
          <w:lang w:eastAsia="en-GB"/>
        </w:rPr>
      </w:pPr>
      <w:r w:rsidRPr="005F2D00">
        <w:rPr>
          <w:rFonts w:eastAsia="Times New Roman"/>
          <w:lang w:eastAsia="en-GB"/>
        </w:rPr>
        <w:t xml:space="preserve">Lord Walker of </w:t>
      </w:r>
      <w:proofErr w:type="spellStart"/>
      <w:r w:rsidRPr="005F2D00">
        <w:rPr>
          <w:rFonts w:eastAsia="Times New Roman"/>
          <w:lang w:eastAsia="en-GB"/>
        </w:rPr>
        <w:t>Gestingthorpe</w:t>
      </w:r>
      <w:proofErr w:type="spellEnd"/>
      <w:r>
        <w:rPr>
          <w:rFonts w:eastAsia="Times New Roman"/>
          <w:lang w:eastAsia="en-GB"/>
        </w:rPr>
        <w:t xml:space="preserve"> (2016) `</w:t>
      </w:r>
      <w:r w:rsidRPr="005F2D00">
        <w:rPr>
          <w:rFonts w:eastAsia="Times New Roman"/>
          <w:lang w:eastAsia="en-GB"/>
        </w:rPr>
        <w:t>As If…'—The Wonderland of Statutory Hypotheses</w:t>
      </w:r>
      <w:r>
        <w:rPr>
          <w:rFonts w:eastAsia="Times New Roman"/>
          <w:lang w:eastAsia="en-GB"/>
        </w:rPr>
        <w:t>`</w:t>
      </w:r>
      <w:r w:rsidR="00E63B4D" w:rsidRPr="00E63B4D">
        <w:t xml:space="preserve"> </w:t>
      </w:r>
      <w:r w:rsidR="00E63B4D" w:rsidRPr="00E63B4D">
        <w:rPr>
          <w:rFonts w:eastAsia="Times New Roman"/>
          <w:lang w:eastAsia="en-GB"/>
        </w:rPr>
        <w:t>Statute Law Review</w:t>
      </w:r>
      <w:r w:rsidR="00E63B4D">
        <w:rPr>
          <w:rFonts w:eastAsia="Times New Roman"/>
          <w:lang w:eastAsia="en-GB"/>
        </w:rPr>
        <w:t xml:space="preserve">. Available at: </w:t>
      </w:r>
      <w:hyperlink r:id="rId14" w:history="1">
        <w:r w:rsidR="00E63B4D" w:rsidRPr="00D2411D">
          <w:rPr>
            <w:rStyle w:val="Hyperlink"/>
            <w:rFonts w:eastAsia="Times New Roman"/>
            <w:lang w:eastAsia="en-GB"/>
          </w:rPr>
          <w:t>https://plus-lexis-com.ezproxy.uwtsd.ac.uk/uk/document/?pdmfid=1001073&amp;crid=4a10ba7c-ec3a-4b06-88e3-198d74c37ebe&amp;pddocfullpath=%2Fshared%2Fdocument%2Fanalytical-materials-uk%2Furn%3AcontentItem%3A5M4V-TH01-F078-H0W6-00000-00&amp;pdcontentcomponentid=302219&amp;pdteaserkey=&amp;pdislpamode=false&amp;pddocumentnumber=2&amp;ecomp=ht5k&amp;earg=sr1&amp;prid=3c3a9c77-4ffc-483e-bd08-8f572caa64a4</w:t>
        </w:r>
      </w:hyperlink>
      <w:r w:rsidR="00E63B4D">
        <w:rPr>
          <w:rFonts w:eastAsia="Times New Roman"/>
          <w:lang w:eastAsia="en-GB"/>
        </w:rPr>
        <w:t xml:space="preserve"> (Accessed</w:t>
      </w:r>
      <w:r w:rsidR="005841A1">
        <w:rPr>
          <w:rFonts w:eastAsia="Times New Roman"/>
          <w:lang w:eastAsia="en-GB"/>
        </w:rPr>
        <w:t>:</w:t>
      </w:r>
      <w:r w:rsidR="00E63B4D">
        <w:rPr>
          <w:rFonts w:eastAsia="Times New Roman"/>
          <w:lang w:eastAsia="en-GB"/>
        </w:rPr>
        <w:t xml:space="preserve"> 14 March 2023].</w:t>
      </w:r>
    </w:p>
    <w:p w14:paraId="3C8EEA8D" w14:textId="77777777" w:rsidR="001D10AA" w:rsidRDefault="00DF7A0B">
      <w:proofErr w:type="spellStart"/>
      <w:r>
        <w:rPr>
          <w:lang w:val="en-US"/>
        </w:rPr>
        <w:t>Mcfarlane</w:t>
      </w:r>
      <w:proofErr w:type="spellEnd"/>
      <w:r>
        <w:rPr>
          <w:lang w:val="en-US"/>
        </w:rPr>
        <w:t xml:space="preserve">, B., Hopkins, N. and </w:t>
      </w:r>
      <w:proofErr w:type="spellStart"/>
      <w:r>
        <w:rPr>
          <w:lang w:val="en-US"/>
        </w:rPr>
        <w:t>Nield</w:t>
      </w:r>
      <w:proofErr w:type="spellEnd"/>
      <w:r>
        <w:rPr>
          <w:lang w:val="en-US"/>
        </w:rPr>
        <w:t>, S. (20</w:t>
      </w:r>
      <w:r w:rsidR="003C18E0">
        <w:rPr>
          <w:lang w:val="en-US"/>
        </w:rPr>
        <w:t>21</w:t>
      </w:r>
      <w:r>
        <w:rPr>
          <w:lang w:val="en-US"/>
        </w:rPr>
        <w:t xml:space="preserve">) </w:t>
      </w:r>
      <w:r w:rsidRPr="00DF7A0B">
        <w:rPr>
          <w:i/>
          <w:iCs/>
          <w:lang w:val="en-US"/>
        </w:rPr>
        <w:t>Land Law</w:t>
      </w:r>
      <w:r>
        <w:rPr>
          <w:i/>
          <w:iCs/>
          <w:lang w:val="en-US"/>
        </w:rPr>
        <w:t>.</w:t>
      </w:r>
      <w:r w:rsidR="003C18E0">
        <w:rPr>
          <w:lang w:val="en-US"/>
        </w:rPr>
        <w:t>5</w:t>
      </w:r>
      <w:r w:rsidR="002D6CAC" w:rsidRPr="002D6CAC">
        <w:rPr>
          <w:vertAlign w:val="superscript"/>
          <w:lang w:val="en-US"/>
        </w:rPr>
        <w:t>th</w:t>
      </w:r>
      <w:r w:rsidR="002D6CAC" w:rsidRPr="002D6CAC">
        <w:rPr>
          <w:lang w:val="en-US"/>
        </w:rPr>
        <w:t xml:space="preserve"> </w:t>
      </w:r>
      <w:proofErr w:type="spellStart"/>
      <w:r w:rsidR="002D6CAC" w:rsidRPr="002D6CAC">
        <w:rPr>
          <w:lang w:val="en-US"/>
        </w:rPr>
        <w:t>edn</w:t>
      </w:r>
      <w:proofErr w:type="spellEnd"/>
      <w:r w:rsidR="002D6CAC">
        <w:rPr>
          <w:lang w:val="en-US"/>
        </w:rPr>
        <w:t>.</w:t>
      </w:r>
      <w:r>
        <w:rPr>
          <w:i/>
          <w:iCs/>
          <w:lang w:val="en-US"/>
        </w:rPr>
        <w:t xml:space="preserve"> </w:t>
      </w:r>
      <w:r w:rsidRPr="00DF7A0B">
        <w:rPr>
          <w:lang w:val="en-US"/>
        </w:rPr>
        <w:t>OXFORD</w:t>
      </w:r>
      <w:r>
        <w:rPr>
          <w:lang w:val="en-US"/>
        </w:rPr>
        <w:t>: University press</w:t>
      </w:r>
      <w:r w:rsidR="002D6CAC">
        <w:rPr>
          <w:lang w:val="en-US"/>
        </w:rPr>
        <w:t>.</w:t>
      </w:r>
      <w:r w:rsidR="00B90D02" w:rsidRPr="00B90D02">
        <w:t xml:space="preserve"> </w:t>
      </w:r>
    </w:p>
    <w:p w14:paraId="02B50AFC" w14:textId="77777777" w:rsidR="006B06ED" w:rsidRDefault="005F2D00">
      <w:pPr>
        <w:rPr>
          <w:lang w:val="en-US"/>
        </w:rPr>
      </w:pPr>
      <w:r w:rsidRPr="005F2D00">
        <w:rPr>
          <w:lang w:val="en-US"/>
        </w:rPr>
        <w:t>Nash</w:t>
      </w:r>
      <w:r>
        <w:rPr>
          <w:lang w:val="en-US"/>
        </w:rPr>
        <w:t>, M. (1989). `</w:t>
      </w:r>
      <w:r w:rsidRPr="005F2D00">
        <w:t xml:space="preserve"> </w:t>
      </w:r>
      <w:r w:rsidRPr="00230CAC">
        <w:rPr>
          <w:i/>
          <w:iCs/>
          <w:lang w:val="en-US"/>
        </w:rPr>
        <w:t>1189 and the limit of legal memory</w:t>
      </w:r>
      <w:r>
        <w:rPr>
          <w:lang w:val="en-US"/>
        </w:rPr>
        <w:t xml:space="preserve">` </w:t>
      </w:r>
      <w:r w:rsidRPr="005F2D00">
        <w:rPr>
          <w:lang w:val="en-US"/>
        </w:rPr>
        <w:t>New Law Journal</w:t>
      </w:r>
      <w:r>
        <w:rPr>
          <w:lang w:val="en-US"/>
        </w:rPr>
        <w:t>. Available at:</w:t>
      </w:r>
      <w:r w:rsidRPr="005F2D00">
        <w:t xml:space="preserve"> </w:t>
      </w:r>
      <w:hyperlink r:id="rId15" w:history="1">
        <w:r w:rsidRPr="00D2411D">
          <w:rPr>
            <w:rStyle w:val="Hyperlink"/>
            <w:lang w:val="en-US"/>
          </w:rPr>
          <w:t>https://plus-lexis-com.ezproxy.uwtsd.ac.uk/uk/document/?pdmfid=1001073&amp;crid=8ba75389-0f95-4134-ab98-c4edf5725292&amp;pddocfullpath=%2Fshared%2Fdocument%2Fanalytical-materials-uk%2Furn%3AcontentItem%3A4RCW-XHK0-TWWR-G0GH-00000-00&amp;pdcontentcomponentid=280276&amp;pdteaserkey=&amp;pdislpamode=false&amp;pddocumentnumber=1&amp;ecomp=ht5k&amp;earg=sr0&amp;prid=03e7f284-f141-4829-8df2-a5b6f0b78013</w:t>
        </w:r>
      </w:hyperlink>
      <w:r>
        <w:rPr>
          <w:lang w:val="en-US"/>
        </w:rPr>
        <w:t xml:space="preserve"> [Accessed</w:t>
      </w:r>
      <w:r w:rsidR="005841A1">
        <w:rPr>
          <w:lang w:val="en-US"/>
        </w:rPr>
        <w:t>:</w:t>
      </w:r>
      <w:r>
        <w:rPr>
          <w:lang w:val="en-US"/>
        </w:rPr>
        <w:t xml:space="preserve"> 14 March 2023). </w:t>
      </w:r>
    </w:p>
    <w:p w14:paraId="2A5C66C8" w14:textId="78E481EC" w:rsidR="006B06ED" w:rsidRDefault="006B06ED">
      <w:pPr>
        <w:rPr>
          <w:lang w:val="en-US"/>
        </w:rPr>
      </w:pPr>
      <w:r w:rsidRPr="006B06ED">
        <w:rPr>
          <w:lang w:val="en-US"/>
        </w:rPr>
        <w:t xml:space="preserve">Pawlowski, M. (2018) ` Leases—why a deed? ` New Law Journal. Available at: </w:t>
      </w:r>
      <w:hyperlink r:id="rId16" w:history="1">
        <w:r w:rsidRPr="00045DA4">
          <w:rPr>
            <w:rStyle w:val="Hyperlink"/>
            <w:lang w:val="en-US"/>
          </w:rPr>
          <w:t>https://plus-lexis-com.ezproxy.uwtsd.ac.uk/uk/document/?pdmfid=1001073&amp;crid=9fb3397b-0303-4bb1-a2d5-4fee99f46a65&amp;pddocfullpath=%2Fshared%2Fdocument%2Fanalytical-materials-uk%2Furn%3AcontentItem%3A5SM2-TDW1-DYJD-X46N-00000-00&amp;pdcontentcomponentid=280276&amp;pdteaserkey=&amp;pdislpamode=false&amp;pddocumentnumber=2&amp;ecomp=ht5k&amp;earg=sr1&amp;prid=dee41b37-fc6d-490c-b5ae-2a88a3531c0d</w:t>
        </w:r>
      </w:hyperlink>
      <w:r>
        <w:rPr>
          <w:lang w:val="en-US"/>
        </w:rPr>
        <w:t xml:space="preserve"> </w:t>
      </w:r>
      <w:r w:rsidRPr="006B06ED">
        <w:rPr>
          <w:lang w:val="en-US"/>
        </w:rPr>
        <w:t>[Accessed: 14 March 2023].</w:t>
      </w:r>
      <w:r>
        <w:rPr>
          <w:lang w:val="en-US"/>
        </w:rPr>
        <w:t xml:space="preserve"> </w:t>
      </w:r>
    </w:p>
    <w:p w14:paraId="0B7E73D0" w14:textId="18794A5A" w:rsidR="001F75FA" w:rsidRDefault="001F75FA" w:rsidP="001F75FA">
      <w:pPr>
        <w:rPr>
          <w:lang w:val="en-US"/>
        </w:rPr>
      </w:pPr>
      <w:proofErr w:type="spellStart"/>
      <w:r>
        <w:rPr>
          <w:lang w:val="en-US"/>
        </w:rPr>
        <w:t>Poulsom</w:t>
      </w:r>
      <w:proofErr w:type="spellEnd"/>
      <w:r>
        <w:rPr>
          <w:lang w:val="en-US"/>
        </w:rPr>
        <w:t xml:space="preserve">, </w:t>
      </w:r>
      <w:r w:rsidRPr="00643FE0">
        <w:rPr>
          <w:lang w:val="en-US"/>
        </w:rPr>
        <w:t>M</w:t>
      </w:r>
      <w:r>
        <w:rPr>
          <w:lang w:val="en-US"/>
        </w:rPr>
        <w:t xml:space="preserve">. (2016) ` S 62 LPA 1925: </w:t>
      </w:r>
      <w:r w:rsidRPr="00230CAC">
        <w:rPr>
          <w:i/>
          <w:iCs/>
          <w:lang w:val="en-US"/>
        </w:rPr>
        <w:t>Restating the case for reform</w:t>
      </w:r>
      <w:r>
        <w:rPr>
          <w:lang w:val="en-US"/>
        </w:rPr>
        <w:t xml:space="preserve">`, </w:t>
      </w:r>
      <w:r w:rsidRPr="00230CAC">
        <w:rPr>
          <w:lang w:val="en-US"/>
        </w:rPr>
        <w:t>The Journal of Property, and environmental Law, 9</w:t>
      </w:r>
      <w:r>
        <w:rPr>
          <w:lang w:val="en-US"/>
        </w:rPr>
        <w:t xml:space="preserve">(1). pp. 79¬91. Available at: </w:t>
      </w:r>
      <w:hyperlink r:id="rId17" w:history="1">
        <w:r w:rsidRPr="00207038">
          <w:rPr>
            <w:rStyle w:val="Hyperlink"/>
            <w:lang w:val="en-US"/>
          </w:rPr>
          <w:t>https://plus-lexis-com.ezproxy.uwtsd.ac.uk/uk/document/?pdmfid=1001073&amp;crid=c04f5a81-d62f-449c-bc59-7bdd41d66bcc&amp;pddocfullpath=%2Fshared%2Fdocument%2Fanalytical-materials-uk%2Furn%3AcontentItem%3A5PDW-VCG1-F0NH-351M-00000-00&amp;pdcontentcomponentid=385541&amp;pdteaserkey=&amp;pdislpamode=false&amp;pddocumentnumber=1&amp;ecomp=tt5k&amp;earg=sr0&amp;prid=af0bd85d-bc2d-47ee-a9e5-43362b9f9ee8#</w:t>
        </w:r>
      </w:hyperlink>
      <w:r>
        <w:rPr>
          <w:lang w:val="en-US"/>
        </w:rPr>
        <w:t xml:space="preserve"> (Accessed: 24 October 2022).</w:t>
      </w:r>
    </w:p>
    <w:p w14:paraId="7BDBA957" w14:textId="0C7EEFC7" w:rsidR="00A536E8" w:rsidRDefault="001F75FA">
      <w:pPr>
        <w:rPr>
          <w:lang w:val="en-US"/>
        </w:rPr>
      </w:pPr>
      <w:r>
        <w:rPr>
          <w:lang w:val="en-US"/>
        </w:rPr>
        <w:t xml:space="preserve"> </w:t>
      </w:r>
      <w:r w:rsidR="00A536E8">
        <w:rPr>
          <w:lang w:val="en-US"/>
        </w:rPr>
        <w:t xml:space="preserve">R </w:t>
      </w:r>
      <w:r w:rsidR="00A536E8" w:rsidRPr="00A536E8">
        <w:rPr>
          <w:lang w:val="en-US"/>
        </w:rPr>
        <w:t xml:space="preserve">v </w:t>
      </w:r>
      <w:proofErr w:type="spellStart"/>
      <w:r w:rsidR="00A536E8" w:rsidRPr="00A536E8">
        <w:rPr>
          <w:lang w:val="en-US"/>
        </w:rPr>
        <w:t>Oxfordshire</w:t>
      </w:r>
      <w:proofErr w:type="spellEnd"/>
      <w:r w:rsidR="00A536E8" w:rsidRPr="00A536E8">
        <w:rPr>
          <w:lang w:val="en-US"/>
        </w:rPr>
        <w:t xml:space="preserve"> County Council, ex p Sunningwell Parish Council</w:t>
      </w:r>
      <w:r w:rsidR="00A536E8">
        <w:rPr>
          <w:lang w:val="en-US"/>
        </w:rPr>
        <w:t>` (1999</w:t>
      </w:r>
      <w:r w:rsidR="00A536E8" w:rsidRPr="00E82169">
        <w:rPr>
          <w:i/>
          <w:iCs/>
          <w:lang w:val="en-US"/>
        </w:rPr>
        <w:t xml:space="preserve">) </w:t>
      </w:r>
      <w:r w:rsidR="00A536E8" w:rsidRPr="00230CAC">
        <w:t>Estates Gazette</w:t>
      </w:r>
      <w:r w:rsidR="00E82169" w:rsidRPr="00230CAC">
        <w:t xml:space="preserve"> law report</w:t>
      </w:r>
      <w:r w:rsidR="00E82169">
        <w:t>, case 85</w:t>
      </w:r>
      <w:r w:rsidR="009E74E3">
        <w:t xml:space="preserve">. </w:t>
      </w:r>
      <w:r w:rsidR="00A536E8">
        <w:t xml:space="preserve">Available at: </w:t>
      </w:r>
      <w:hyperlink r:id="rId18" w:history="1">
        <w:r w:rsidR="00A536E8" w:rsidRPr="0030220C">
          <w:rPr>
            <w:rStyle w:val="Hyperlink"/>
          </w:rPr>
          <w:t>https://plus-lexis-</w:t>
        </w:r>
        <w:r w:rsidR="00A536E8" w:rsidRPr="0030220C">
          <w:rPr>
            <w:rStyle w:val="Hyperlink"/>
          </w:rPr>
          <w:lastRenderedPageBreak/>
          <w:t>com.ezproxy.uwtsd.ac.uk/uk/document/documentlink/?pdmfid=1001073&amp;crid=36133d10-0ca4-4f83-8775-9e7f880ff3c3&amp;pddocfullpath=%2Fshared%2Fdocument%2Fcases-uk%2Furn%3AcontentItem%3A4J44-1360-TX1N-H09R-00000-00&amp;pdcontentcomponentid=289949&amp;pdproductcontenttypeid=urn%3Apct%3A285&amp;pdiskwicview=false&amp;pdpinpoint=&amp;ecomp=mk4k&amp;prid=dce3ba51-f9d1-4a2a-a2df-4a019b86a538</w:t>
        </w:r>
      </w:hyperlink>
      <w:r w:rsidR="00A536E8">
        <w:t xml:space="preserve"> (Accessed: 23 October 2022).</w:t>
      </w:r>
    </w:p>
    <w:p w14:paraId="4DCEFFB6" w14:textId="268CDF97" w:rsidR="00EC0A4A" w:rsidRDefault="00EC0A4A">
      <w:pPr>
        <w:rPr>
          <w:lang w:val="en-US"/>
        </w:rPr>
      </w:pPr>
      <w:proofErr w:type="spellStart"/>
      <w:r>
        <w:rPr>
          <w:lang w:val="en-US"/>
        </w:rPr>
        <w:t>Warenius</w:t>
      </w:r>
      <w:proofErr w:type="spellEnd"/>
      <w:r>
        <w:rPr>
          <w:lang w:val="en-US"/>
        </w:rPr>
        <w:t>, C. ‘</w:t>
      </w:r>
      <w:r w:rsidRPr="00230CAC">
        <w:rPr>
          <w:i/>
          <w:iCs/>
          <w:lang w:val="en-US"/>
        </w:rPr>
        <w:t>property: easy does it’</w:t>
      </w:r>
      <w:r>
        <w:rPr>
          <w:lang w:val="en-US"/>
        </w:rPr>
        <w:t xml:space="preserve">, </w:t>
      </w:r>
      <w:r w:rsidRPr="00230CAC">
        <w:rPr>
          <w:i/>
          <w:iCs/>
          <w:lang w:val="en-US"/>
        </w:rPr>
        <w:t>New Law Journal</w:t>
      </w:r>
      <w:r>
        <w:rPr>
          <w:lang w:val="en-US"/>
        </w:rPr>
        <w:t>, 162</w:t>
      </w:r>
      <w:r w:rsidR="00873DE2">
        <w:rPr>
          <w:lang w:val="en-US"/>
        </w:rPr>
        <w:t xml:space="preserve">(7510), Available at: </w:t>
      </w:r>
      <w:hyperlink r:id="rId19" w:history="1">
        <w:r w:rsidR="00873DE2" w:rsidRPr="0019624C">
          <w:rPr>
            <w:rStyle w:val="Hyperlink"/>
            <w:lang w:val="en-US"/>
          </w:rPr>
          <w:t>https://plus-lexis-com.ezproxy.uwtsd.ac.uk/uk/document/?pdmfid=1001073&amp;crid=404f898c-60fe-4c5b-803a-6c1e6c52ee82&amp;pddocfullpath=%2Fshared%2Fdocument%2Fanalytical-materials-uk%2Furn%3AcontentItem%3A592N-9RX1-DYJD-X15R-00000-00&amp;pdcontentcomponentid=280276&amp;pdteaserkey=&amp;pdislpamode=false&amp;pddocumentnumber=8&amp;ecomp=ht5k&amp;earg=sr7&amp;prid=ce5d87a6-7df3-4733-8fc0-f757fca0eb5a#</w:t>
        </w:r>
      </w:hyperlink>
      <w:r w:rsidR="00873DE2">
        <w:rPr>
          <w:lang w:val="en-US"/>
        </w:rPr>
        <w:t xml:space="preserve">  (Accessed: 18 October 2022).</w:t>
      </w:r>
    </w:p>
    <w:p w14:paraId="20AB7380" w14:textId="77777777" w:rsidR="00875C23" w:rsidRDefault="00875C23" w:rsidP="0085159A">
      <w:pPr>
        <w:rPr>
          <w:b/>
          <w:bCs/>
          <w:lang w:val="en-US"/>
        </w:rPr>
      </w:pPr>
    </w:p>
    <w:p w14:paraId="5A7A3B3A" w14:textId="77777777" w:rsidR="00BE1740" w:rsidRDefault="00BE1740" w:rsidP="0085159A">
      <w:pPr>
        <w:rPr>
          <w:b/>
          <w:bCs/>
          <w:lang w:val="en-US"/>
        </w:rPr>
      </w:pPr>
    </w:p>
    <w:p w14:paraId="7416EE02" w14:textId="77777777" w:rsidR="00BE1740" w:rsidRDefault="00BE1740" w:rsidP="0085159A">
      <w:pPr>
        <w:rPr>
          <w:b/>
          <w:bCs/>
          <w:lang w:val="en-US"/>
        </w:rPr>
      </w:pPr>
    </w:p>
    <w:p w14:paraId="0C12ACA9" w14:textId="77777777" w:rsidR="00BE1740" w:rsidRDefault="00BE1740" w:rsidP="0085159A">
      <w:pPr>
        <w:rPr>
          <w:b/>
          <w:bCs/>
          <w:lang w:val="en-US"/>
        </w:rPr>
      </w:pPr>
    </w:p>
    <w:p w14:paraId="1BDC3BE4" w14:textId="2EB5B5F8" w:rsidR="0085159A" w:rsidRDefault="00FB1E7F" w:rsidP="0085159A">
      <w:r w:rsidRPr="00FB1E7F">
        <w:rPr>
          <w:b/>
          <w:bCs/>
          <w:lang w:val="en-US"/>
        </w:rPr>
        <w:t>Cases</w:t>
      </w:r>
      <w:r w:rsidR="009C3755" w:rsidRPr="009C3755">
        <w:t xml:space="preserve"> </w:t>
      </w:r>
    </w:p>
    <w:p w14:paraId="58C87BF2" w14:textId="23AFDE6D" w:rsidR="0034673B" w:rsidRDefault="000C30A6" w:rsidP="008F5830">
      <w:pPr>
        <w:rPr>
          <w:lang w:val="en-US"/>
        </w:rPr>
      </w:pPr>
      <w:r>
        <w:rPr>
          <w:lang w:val="en-US"/>
        </w:rPr>
        <w:t>B</w:t>
      </w:r>
      <w:r w:rsidR="0034673B" w:rsidRPr="0034673B">
        <w:rPr>
          <w:lang w:val="en-US"/>
        </w:rPr>
        <w:t xml:space="preserve">ailey v Stephens </w:t>
      </w:r>
      <w:r w:rsidR="0034673B">
        <w:rPr>
          <w:lang w:val="en-US"/>
        </w:rPr>
        <w:t>(1862) ER 1077</w:t>
      </w:r>
    </w:p>
    <w:p w14:paraId="6A648FF5" w14:textId="2A8AB691" w:rsidR="000C30A6" w:rsidRPr="0034673B" w:rsidRDefault="000C30A6" w:rsidP="008F5830">
      <w:pPr>
        <w:rPr>
          <w:u w:val="single"/>
          <w:lang w:val="en-US"/>
        </w:rPr>
      </w:pPr>
      <w:r>
        <w:rPr>
          <w:lang w:val="en-US"/>
        </w:rPr>
        <w:t>Bakewell Management v Brandwood (2004) 2 AC 519</w:t>
      </w:r>
    </w:p>
    <w:p w14:paraId="323CC1D2" w14:textId="77777777" w:rsidR="0034673B" w:rsidRPr="00BB0AED" w:rsidRDefault="0034673B" w:rsidP="0034673B">
      <w:pPr>
        <w:rPr>
          <w:lang w:val="en-US"/>
        </w:rPr>
      </w:pPr>
      <w:r w:rsidRPr="00BB0AED">
        <w:rPr>
          <w:lang w:val="en-US"/>
        </w:rPr>
        <w:t xml:space="preserve">Copeland v </w:t>
      </w:r>
      <w:proofErr w:type="spellStart"/>
      <w:r w:rsidRPr="00BB0AED">
        <w:rPr>
          <w:lang w:val="en-US"/>
        </w:rPr>
        <w:t>Greenhalf</w:t>
      </w:r>
      <w:proofErr w:type="spellEnd"/>
      <w:r>
        <w:rPr>
          <w:b/>
          <w:bCs/>
          <w:lang w:val="en-US"/>
        </w:rPr>
        <w:t xml:space="preserve"> </w:t>
      </w:r>
      <w:r w:rsidRPr="00BB0AED">
        <w:rPr>
          <w:lang w:val="en-US"/>
        </w:rPr>
        <w:t xml:space="preserve">(1952) </w:t>
      </w:r>
      <w:proofErr w:type="spellStart"/>
      <w:r w:rsidRPr="00BB0AED">
        <w:rPr>
          <w:lang w:val="en-US"/>
        </w:rPr>
        <w:t>ch</w:t>
      </w:r>
      <w:proofErr w:type="spellEnd"/>
      <w:r w:rsidRPr="00BB0AED">
        <w:rPr>
          <w:lang w:val="en-US"/>
        </w:rPr>
        <w:t xml:space="preserve"> 488</w:t>
      </w:r>
    </w:p>
    <w:p w14:paraId="50669B6C" w14:textId="6C291816" w:rsidR="00BB0AED" w:rsidRPr="00AF3CC5" w:rsidRDefault="0085159A" w:rsidP="008F5830">
      <w:pPr>
        <w:rPr>
          <w:u w:val="single"/>
          <w:lang w:val="en-US"/>
        </w:rPr>
      </w:pPr>
      <w:proofErr w:type="spellStart"/>
      <w:r w:rsidRPr="0085159A">
        <w:rPr>
          <w:u w:val="single"/>
          <w:lang w:val="en-US"/>
        </w:rPr>
        <w:t>Diment</w:t>
      </w:r>
      <w:proofErr w:type="spellEnd"/>
      <w:r w:rsidRPr="0085159A">
        <w:rPr>
          <w:u w:val="single"/>
          <w:lang w:val="en-US"/>
        </w:rPr>
        <w:t xml:space="preserve"> v Foot</w:t>
      </w:r>
      <w:r>
        <w:rPr>
          <w:u w:val="single"/>
          <w:lang w:val="en-US"/>
        </w:rPr>
        <w:t xml:space="preserve"> </w:t>
      </w:r>
      <w:r w:rsidRPr="0085159A">
        <w:rPr>
          <w:lang w:val="en-US"/>
        </w:rPr>
        <w:t>[1974] 1 WLR 1427, 1435</w:t>
      </w:r>
      <w:r>
        <w:rPr>
          <w:lang w:val="en-US"/>
        </w:rPr>
        <w:t>.</w:t>
      </w:r>
      <w:r w:rsidR="00BB0AED" w:rsidRPr="00BB0AED">
        <w:rPr>
          <w:b/>
          <w:bCs/>
          <w:lang w:val="en-US"/>
        </w:rPr>
        <w:t xml:space="preserve"> </w:t>
      </w:r>
    </w:p>
    <w:p w14:paraId="42E417D6" w14:textId="0BFBB82D" w:rsidR="00260B35" w:rsidRPr="00260B35" w:rsidRDefault="00260B35" w:rsidP="008F5830">
      <w:pPr>
        <w:rPr>
          <w:lang w:val="en-US"/>
        </w:rPr>
      </w:pPr>
      <w:r w:rsidRPr="00260B35">
        <w:rPr>
          <w:lang w:val="en-US"/>
        </w:rPr>
        <w:t xml:space="preserve">Gardener v Hodges`s Kingstone Brewery (1903) </w:t>
      </w:r>
    </w:p>
    <w:p w14:paraId="0E589F0B" w14:textId="306C396F" w:rsidR="00A44DDF" w:rsidRPr="00A44DDF" w:rsidRDefault="00A44DDF" w:rsidP="008F5830">
      <w:pPr>
        <w:rPr>
          <w:lang w:val="en-US"/>
        </w:rPr>
      </w:pPr>
      <w:proofErr w:type="spellStart"/>
      <w:r w:rsidRPr="00A44DDF">
        <w:rPr>
          <w:lang w:val="en-US"/>
        </w:rPr>
        <w:t>Hannings</w:t>
      </w:r>
      <w:proofErr w:type="spellEnd"/>
      <w:r w:rsidRPr="00A44DDF">
        <w:rPr>
          <w:lang w:val="en-US"/>
        </w:rPr>
        <w:t xml:space="preserve"> v top Deck Travel Group Ltd (1993) 68 p &amp; CR 14</w:t>
      </w:r>
    </w:p>
    <w:p w14:paraId="363B8540" w14:textId="7F8DEDA3" w:rsidR="008F5830" w:rsidRPr="007B1EB1" w:rsidRDefault="008F5830" w:rsidP="008F5830">
      <w:pPr>
        <w:rPr>
          <w:iCs/>
        </w:rPr>
      </w:pPr>
      <w:r>
        <w:rPr>
          <w:iCs/>
        </w:rPr>
        <w:t>Hill v Tupper</w:t>
      </w:r>
      <w:r w:rsidRPr="007B1EB1">
        <w:rPr>
          <w:iCs/>
        </w:rPr>
        <w:t>2 H &amp; C 122; 159 ER 51</w:t>
      </w:r>
    </w:p>
    <w:p w14:paraId="7E40C2FA" w14:textId="1045C734" w:rsidR="006E2594" w:rsidRDefault="0085159A" w:rsidP="0085159A">
      <w:pPr>
        <w:rPr>
          <w:lang w:val="en-US"/>
        </w:rPr>
      </w:pPr>
      <w:r>
        <w:rPr>
          <w:lang w:val="en-US"/>
        </w:rPr>
        <w:t xml:space="preserve">Liverpool corporation v </w:t>
      </w:r>
      <w:proofErr w:type="spellStart"/>
      <w:r>
        <w:rPr>
          <w:lang w:val="en-US"/>
        </w:rPr>
        <w:t>coghill</w:t>
      </w:r>
      <w:proofErr w:type="spellEnd"/>
      <w:r>
        <w:rPr>
          <w:lang w:val="en-US"/>
        </w:rPr>
        <w:t xml:space="preserve"> &amp; son, Limited. (1917 L. 808), (1918) 1 Ch. 307.</w:t>
      </w:r>
    </w:p>
    <w:p w14:paraId="5C092232" w14:textId="5FF7C0BF" w:rsidR="00B93B1A" w:rsidRDefault="006E2594" w:rsidP="0085159A">
      <w:pPr>
        <w:rPr>
          <w:lang w:val="en-US"/>
        </w:rPr>
      </w:pPr>
      <w:r w:rsidRPr="006E2594">
        <w:rPr>
          <w:lang w:val="en-US"/>
        </w:rPr>
        <w:t>London and Blenheim Estates Ltd v Ladbroke Retail Parks Ltd [1993] 1 All ER 307</w:t>
      </w:r>
      <w:r>
        <w:rPr>
          <w:lang w:val="en-US"/>
        </w:rPr>
        <w:t xml:space="preserve"> </w:t>
      </w:r>
    </w:p>
    <w:p w14:paraId="2721BD6F" w14:textId="0F89A79E" w:rsidR="00B93B1A" w:rsidRPr="00B93B1A" w:rsidRDefault="00B93B1A" w:rsidP="00B93B1A">
      <w:pPr>
        <w:rPr>
          <w:b/>
          <w:bCs/>
        </w:rPr>
      </w:pPr>
      <w:r w:rsidRPr="00B93B1A">
        <w:rPr>
          <w:lang w:val="en-US"/>
        </w:rPr>
        <w:t xml:space="preserve">Moody v </w:t>
      </w:r>
      <w:proofErr w:type="spellStart"/>
      <w:r w:rsidRPr="00B93B1A">
        <w:rPr>
          <w:lang w:val="en-US"/>
        </w:rPr>
        <w:t>Steggles</w:t>
      </w:r>
      <w:proofErr w:type="spellEnd"/>
      <w:r w:rsidRPr="00B93B1A">
        <w:rPr>
          <w:lang w:val="en-US"/>
        </w:rPr>
        <w:t xml:space="preserve"> </w:t>
      </w:r>
      <w:r>
        <w:t>(</w:t>
      </w:r>
      <w:r w:rsidRPr="00B93B1A">
        <w:t>1878 M. 121.</w:t>
      </w:r>
      <w:r>
        <w:t>)</w:t>
      </w:r>
      <w:r w:rsidRPr="00B93B1A">
        <w:t xml:space="preserve"> (1879) 12 </w:t>
      </w:r>
      <w:proofErr w:type="spellStart"/>
      <w:r w:rsidRPr="00B93B1A">
        <w:t>Ch.D</w:t>
      </w:r>
      <w:proofErr w:type="spellEnd"/>
      <w:r w:rsidRPr="00B93B1A">
        <w:t>. 261</w:t>
      </w:r>
    </w:p>
    <w:p w14:paraId="1B301F71" w14:textId="77777777" w:rsidR="00642ABB" w:rsidRDefault="00C31ACB" w:rsidP="00FB1E7F">
      <w:pPr>
        <w:rPr>
          <w:b/>
        </w:rPr>
      </w:pPr>
      <w:r w:rsidRPr="00C31ACB">
        <w:rPr>
          <w:bCs/>
        </w:rPr>
        <w:t>Orme v Lyons (2012) [2012] EWHC 3308 (Ch</w:t>
      </w:r>
      <w:r w:rsidRPr="00642ABB">
        <w:rPr>
          <w:b/>
        </w:rPr>
        <w:t xml:space="preserve">) </w:t>
      </w:r>
    </w:p>
    <w:p w14:paraId="08E69351" w14:textId="2C73B2B7" w:rsidR="00C31ACB" w:rsidRPr="00535102" w:rsidRDefault="00642ABB" w:rsidP="00FB1E7F">
      <w:pPr>
        <w:rPr>
          <w:lang w:val="en-US"/>
        </w:rPr>
      </w:pPr>
      <w:proofErr w:type="spellStart"/>
      <w:r w:rsidRPr="00642ABB">
        <w:rPr>
          <w:bCs/>
          <w:lang w:val="en-US"/>
        </w:rPr>
        <w:t>pugh</w:t>
      </w:r>
      <w:proofErr w:type="spellEnd"/>
      <w:r w:rsidRPr="00642ABB">
        <w:rPr>
          <w:bCs/>
          <w:lang w:val="en-US"/>
        </w:rPr>
        <w:t xml:space="preserve"> v savage</w:t>
      </w:r>
      <w:r>
        <w:rPr>
          <w:b/>
          <w:bCs/>
          <w:lang w:val="en-US"/>
        </w:rPr>
        <w:t xml:space="preserve"> </w:t>
      </w:r>
      <w:r w:rsidRPr="00642ABB">
        <w:rPr>
          <w:lang w:val="en-US"/>
        </w:rPr>
        <w:t>(1970) QB 373</w:t>
      </w:r>
    </w:p>
    <w:p w14:paraId="2FF14692" w14:textId="77777777" w:rsidR="002C2F65" w:rsidRDefault="0065506E" w:rsidP="00FB1E7F">
      <w:r>
        <w:t>R</w:t>
      </w:r>
      <w:r w:rsidR="00FB1E7F" w:rsidRPr="00FB1E7F">
        <w:t>e Ellenborough Park Re Davies (deceased); Powell and Others v Maddison and Another [1955] 3 All ER 667</w:t>
      </w:r>
    </w:p>
    <w:p w14:paraId="12347B7C" w14:textId="77777777" w:rsidR="00DC4130" w:rsidRDefault="002C2F65" w:rsidP="00FB1E7F">
      <w:r w:rsidRPr="002C2F65">
        <w:t xml:space="preserve">R v Oxfordshire County Council and another, ex </w:t>
      </w:r>
      <w:proofErr w:type="spellStart"/>
      <w:r w:rsidRPr="002C2F65">
        <w:t>parte</w:t>
      </w:r>
      <w:proofErr w:type="spellEnd"/>
      <w:r w:rsidRPr="002C2F65">
        <w:t xml:space="preserve"> Sunningwell Parish Council [1999] 2 EGLR 94</w:t>
      </w:r>
      <w:r>
        <w:t xml:space="preserve"> </w:t>
      </w:r>
    </w:p>
    <w:p w14:paraId="326DBF22" w14:textId="07D1AF08" w:rsidR="00422521" w:rsidRDefault="00DC4130" w:rsidP="00FB1E7F">
      <w:r w:rsidRPr="00DC4130">
        <w:t>Sack v Jones [1925] All ER Rep 514</w:t>
      </w:r>
      <w:r>
        <w:t xml:space="preserve"> </w:t>
      </w:r>
    </w:p>
    <w:p w14:paraId="354D8CCA" w14:textId="77777777" w:rsidR="005A288D" w:rsidRPr="005A288D" w:rsidRDefault="005A288D" w:rsidP="005A288D">
      <w:r w:rsidRPr="005A288D">
        <w:t>TEHIDY MINERALS LTD. AND ANOTHER v. NORMAN AND OTHERS [1971] 2 Q.B. 528</w:t>
      </w:r>
    </w:p>
    <w:p w14:paraId="36BF0C7C" w14:textId="4C128495" w:rsidR="00422521" w:rsidRDefault="00422521" w:rsidP="00FB1E7F">
      <w:r>
        <w:t>The Duke of Norfolk v the Rev George Arbuthnot (1880) 5 C.P.D.390.</w:t>
      </w:r>
    </w:p>
    <w:p w14:paraId="305DD218" w14:textId="374A417C" w:rsidR="00BB0AED" w:rsidRDefault="00535102" w:rsidP="00FB1E7F">
      <w:pPr>
        <w:rPr>
          <w:b/>
          <w:bCs/>
          <w:lang w:val="en-US"/>
        </w:rPr>
      </w:pPr>
      <w:r w:rsidRPr="00535102">
        <w:rPr>
          <w:lang w:val="en-US"/>
        </w:rPr>
        <w:lastRenderedPageBreak/>
        <w:t>Walsh v Lonsdale (1882)</w:t>
      </w:r>
      <w:r>
        <w:rPr>
          <w:lang w:val="en-US"/>
        </w:rPr>
        <w:t xml:space="preserve"> 21 </w:t>
      </w:r>
      <w:proofErr w:type="spellStart"/>
      <w:r>
        <w:rPr>
          <w:lang w:val="en-US"/>
        </w:rPr>
        <w:t>ch</w:t>
      </w:r>
      <w:proofErr w:type="spellEnd"/>
      <w:r>
        <w:rPr>
          <w:lang w:val="en-US"/>
        </w:rPr>
        <w:t xml:space="preserve"> D 9</w:t>
      </w:r>
      <w:r w:rsidR="00BB0AED" w:rsidRPr="00BB0AED">
        <w:rPr>
          <w:b/>
          <w:bCs/>
          <w:lang w:val="en-US"/>
        </w:rPr>
        <w:t xml:space="preserve"> </w:t>
      </w:r>
    </w:p>
    <w:p w14:paraId="2C3EA4B8" w14:textId="5DDF4F18" w:rsidR="002753AD" w:rsidRPr="002753AD" w:rsidRDefault="002753AD" w:rsidP="00FB1E7F">
      <w:pPr>
        <w:rPr>
          <w:lang w:val="en-US"/>
        </w:rPr>
      </w:pPr>
      <w:r w:rsidRPr="002753AD">
        <w:rPr>
          <w:lang w:val="en-US"/>
        </w:rPr>
        <w:t xml:space="preserve">Welford v Graham [2017] UKUT 297 (TCC). </w:t>
      </w:r>
    </w:p>
    <w:p w14:paraId="3F349569" w14:textId="7A41EE79" w:rsidR="002C2F65" w:rsidRPr="00BB0AED" w:rsidRDefault="00BB0AED" w:rsidP="00FB1E7F">
      <w:r w:rsidRPr="00BB0AED">
        <w:rPr>
          <w:lang w:val="en-US"/>
        </w:rPr>
        <w:t>Wright v Macadam (1949</w:t>
      </w:r>
      <w:r>
        <w:rPr>
          <w:lang w:val="en-US"/>
        </w:rPr>
        <w:t>) 2 KB 744</w:t>
      </w:r>
    </w:p>
    <w:p w14:paraId="14D320D2" w14:textId="77777777" w:rsidR="00875C23" w:rsidRDefault="00875C23">
      <w:pPr>
        <w:rPr>
          <w:b/>
          <w:bCs/>
          <w:lang w:val="en-US"/>
        </w:rPr>
      </w:pPr>
    </w:p>
    <w:p w14:paraId="7C487B1D" w14:textId="7FB31900" w:rsidR="00483F6C" w:rsidRPr="009E3FA8" w:rsidRDefault="00483F6C">
      <w:pPr>
        <w:rPr>
          <w:b/>
          <w:bCs/>
          <w:lang w:val="en-US"/>
        </w:rPr>
      </w:pPr>
      <w:r>
        <w:rPr>
          <w:b/>
          <w:bCs/>
          <w:lang w:val="en-US"/>
        </w:rPr>
        <w:t>Legislation</w:t>
      </w:r>
      <w:r w:rsidR="008446A8" w:rsidRPr="008446A8">
        <w:rPr>
          <w:iCs/>
          <w:sz w:val="24"/>
        </w:rPr>
        <w:t xml:space="preserve"> </w:t>
      </w:r>
    </w:p>
    <w:p w14:paraId="0F3A0774" w14:textId="27DADAB8" w:rsidR="0065506E" w:rsidRDefault="0065506E">
      <w:pPr>
        <w:rPr>
          <w:iCs/>
        </w:rPr>
      </w:pPr>
      <w:r w:rsidRPr="0065506E">
        <w:rPr>
          <w:iCs/>
        </w:rPr>
        <w:t xml:space="preserve">Access to Neighbouring Land Act 1992 c 23 </w:t>
      </w:r>
    </w:p>
    <w:p w14:paraId="710D051B" w14:textId="57ACD68D" w:rsidR="008F5830" w:rsidRDefault="008F5830">
      <w:pPr>
        <w:rPr>
          <w:bCs/>
          <w:iCs/>
        </w:rPr>
      </w:pPr>
      <w:r w:rsidRPr="008F5830">
        <w:rPr>
          <w:bCs/>
          <w:iCs/>
        </w:rPr>
        <w:t xml:space="preserve">Countryside and Rights of Way Act 2000 </w:t>
      </w:r>
    </w:p>
    <w:p w14:paraId="0BE6ABD4" w14:textId="31347912" w:rsidR="007B1EB1" w:rsidRPr="00535102" w:rsidRDefault="00535102">
      <w:pPr>
        <w:rPr>
          <w:iCs/>
        </w:rPr>
      </w:pPr>
      <w:r w:rsidRPr="00535102">
        <w:rPr>
          <w:lang w:val="en-US"/>
        </w:rPr>
        <w:t>Law of Property Act (Miscellaneous Provisions) 1989</w:t>
      </w:r>
    </w:p>
    <w:p w14:paraId="387CD9DB" w14:textId="41936EA2" w:rsidR="008C3C4F" w:rsidRPr="0065506E" w:rsidRDefault="008C3C4F">
      <w:pPr>
        <w:rPr>
          <w:iCs/>
        </w:rPr>
      </w:pPr>
      <w:r>
        <w:rPr>
          <w:iCs/>
        </w:rPr>
        <w:t>Law of Property Act 1925</w:t>
      </w:r>
    </w:p>
    <w:p w14:paraId="762293C1" w14:textId="3846D3D7" w:rsidR="00FB1E7F" w:rsidRPr="00FB1E7F" w:rsidRDefault="0065506E">
      <w:pPr>
        <w:rPr>
          <w:b/>
          <w:bCs/>
          <w:lang w:val="en-US"/>
        </w:rPr>
      </w:pPr>
      <w:r>
        <w:rPr>
          <w:lang w:val="en-US"/>
        </w:rPr>
        <w:t>P</w:t>
      </w:r>
      <w:r w:rsidR="00483F6C" w:rsidRPr="00F80E9D">
        <w:rPr>
          <w:lang w:val="en-US"/>
        </w:rPr>
        <w:t>rescription Act 1832</w:t>
      </w:r>
      <w:r w:rsidR="00483F6C">
        <w:rPr>
          <w:lang w:val="en-US"/>
        </w:rPr>
        <w:t xml:space="preserve">  </w:t>
      </w:r>
      <w:r w:rsidR="00FB1E7F">
        <w:rPr>
          <w:b/>
          <w:bCs/>
          <w:lang w:val="en-US"/>
        </w:rPr>
        <w:t xml:space="preserve"> </w:t>
      </w:r>
    </w:p>
    <w:sectPr w:rsidR="00FB1E7F" w:rsidRPr="00FB1E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D876E2"/>
    <w:multiLevelType w:val="hybridMultilevel"/>
    <w:tmpl w:val="5C521540"/>
    <w:lvl w:ilvl="0" w:tplc="7480C8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435B92"/>
    <w:multiLevelType w:val="hybridMultilevel"/>
    <w:tmpl w:val="80DC0D2C"/>
    <w:lvl w:ilvl="0" w:tplc="2D6E5C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9657318">
    <w:abstractNumId w:val="1"/>
  </w:num>
  <w:num w:numId="2" w16cid:durableId="1176530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0B7"/>
    <w:rsid w:val="000000D5"/>
    <w:rsid w:val="000105AC"/>
    <w:rsid w:val="0001367D"/>
    <w:rsid w:val="00023401"/>
    <w:rsid w:val="00024E38"/>
    <w:rsid w:val="00030B4C"/>
    <w:rsid w:val="000411EB"/>
    <w:rsid w:val="0004240A"/>
    <w:rsid w:val="00043A4B"/>
    <w:rsid w:val="000511DA"/>
    <w:rsid w:val="00053D0A"/>
    <w:rsid w:val="00053D22"/>
    <w:rsid w:val="00055C96"/>
    <w:rsid w:val="00064E34"/>
    <w:rsid w:val="000703CF"/>
    <w:rsid w:val="0007586F"/>
    <w:rsid w:val="000765DB"/>
    <w:rsid w:val="00080928"/>
    <w:rsid w:val="000850A0"/>
    <w:rsid w:val="00085800"/>
    <w:rsid w:val="00094933"/>
    <w:rsid w:val="00094E4D"/>
    <w:rsid w:val="000A13A2"/>
    <w:rsid w:val="000A3E5A"/>
    <w:rsid w:val="000A4FD1"/>
    <w:rsid w:val="000A661C"/>
    <w:rsid w:val="000B71B6"/>
    <w:rsid w:val="000C30A6"/>
    <w:rsid w:val="000C65A0"/>
    <w:rsid w:val="000D732B"/>
    <w:rsid w:val="000E08AE"/>
    <w:rsid w:val="000E24DB"/>
    <w:rsid w:val="0010440C"/>
    <w:rsid w:val="00104EC4"/>
    <w:rsid w:val="00105F06"/>
    <w:rsid w:val="0010738F"/>
    <w:rsid w:val="00110E0E"/>
    <w:rsid w:val="00112350"/>
    <w:rsid w:val="00113790"/>
    <w:rsid w:val="001153D0"/>
    <w:rsid w:val="00121A4D"/>
    <w:rsid w:val="00126EF8"/>
    <w:rsid w:val="00133649"/>
    <w:rsid w:val="00136FDC"/>
    <w:rsid w:val="00140123"/>
    <w:rsid w:val="00143BAF"/>
    <w:rsid w:val="001460F8"/>
    <w:rsid w:val="00150342"/>
    <w:rsid w:val="001505EE"/>
    <w:rsid w:val="001516EE"/>
    <w:rsid w:val="0015238A"/>
    <w:rsid w:val="00152A42"/>
    <w:rsid w:val="00155E51"/>
    <w:rsid w:val="00155EDE"/>
    <w:rsid w:val="001602FD"/>
    <w:rsid w:val="00163544"/>
    <w:rsid w:val="0016542B"/>
    <w:rsid w:val="001750B0"/>
    <w:rsid w:val="00175420"/>
    <w:rsid w:val="00180CB9"/>
    <w:rsid w:val="001840CE"/>
    <w:rsid w:val="001964B8"/>
    <w:rsid w:val="001A22EE"/>
    <w:rsid w:val="001A4553"/>
    <w:rsid w:val="001A644D"/>
    <w:rsid w:val="001B0B57"/>
    <w:rsid w:val="001B3DC5"/>
    <w:rsid w:val="001C020D"/>
    <w:rsid w:val="001C18D1"/>
    <w:rsid w:val="001C1B70"/>
    <w:rsid w:val="001C7771"/>
    <w:rsid w:val="001D10AA"/>
    <w:rsid w:val="001D3E8E"/>
    <w:rsid w:val="001D7E7E"/>
    <w:rsid w:val="001F75FA"/>
    <w:rsid w:val="00222429"/>
    <w:rsid w:val="00227470"/>
    <w:rsid w:val="00230CAC"/>
    <w:rsid w:val="002447F3"/>
    <w:rsid w:val="002545F6"/>
    <w:rsid w:val="00260B35"/>
    <w:rsid w:val="00264A9F"/>
    <w:rsid w:val="002658E5"/>
    <w:rsid w:val="00271496"/>
    <w:rsid w:val="002753AD"/>
    <w:rsid w:val="00277032"/>
    <w:rsid w:val="0028275C"/>
    <w:rsid w:val="00282DB6"/>
    <w:rsid w:val="002A2C91"/>
    <w:rsid w:val="002B612F"/>
    <w:rsid w:val="002C189B"/>
    <w:rsid w:val="002C18B5"/>
    <w:rsid w:val="002C2F65"/>
    <w:rsid w:val="002C6CA9"/>
    <w:rsid w:val="002D4E89"/>
    <w:rsid w:val="002D6CAC"/>
    <w:rsid w:val="002E0B8E"/>
    <w:rsid w:val="002F7DDA"/>
    <w:rsid w:val="003033E3"/>
    <w:rsid w:val="00303EEE"/>
    <w:rsid w:val="00305908"/>
    <w:rsid w:val="003165B2"/>
    <w:rsid w:val="00317FE9"/>
    <w:rsid w:val="003216BA"/>
    <w:rsid w:val="003225F2"/>
    <w:rsid w:val="00322713"/>
    <w:rsid w:val="00322B22"/>
    <w:rsid w:val="00327342"/>
    <w:rsid w:val="0034673B"/>
    <w:rsid w:val="003467DC"/>
    <w:rsid w:val="003517E6"/>
    <w:rsid w:val="0035517C"/>
    <w:rsid w:val="00355CAA"/>
    <w:rsid w:val="00360521"/>
    <w:rsid w:val="00363710"/>
    <w:rsid w:val="00370807"/>
    <w:rsid w:val="003708FB"/>
    <w:rsid w:val="0037618E"/>
    <w:rsid w:val="0039263E"/>
    <w:rsid w:val="00395D1C"/>
    <w:rsid w:val="003A79BB"/>
    <w:rsid w:val="003B739C"/>
    <w:rsid w:val="003C06FF"/>
    <w:rsid w:val="003C18E0"/>
    <w:rsid w:val="003D2BBE"/>
    <w:rsid w:val="003D2DEC"/>
    <w:rsid w:val="003D75E2"/>
    <w:rsid w:val="003E32ED"/>
    <w:rsid w:val="003F0DD8"/>
    <w:rsid w:val="003F26A9"/>
    <w:rsid w:val="003F3D08"/>
    <w:rsid w:val="003F6AC1"/>
    <w:rsid w:val="00400A56"/>
    <w:rsid w:val="00413A0D"/>
    <w:rsid w:val="00422521"/>
    <w:rsid w:val="00432544"/>
    <w:rsid w:val="0043739C"/>
    <w:rsid w:val="00440FBC"/>
    <w:rsid w:val="00443957"/>
    <w:rsid w:val="0045736A"/>
    <w:rsid w:val="00457D54"/>
    <w:rsid w:val="00465B49"/>
    <w:rsid w:val="00471077"/>
    <w:rsid w:val="004726BD"/>
    <w:rsid w:val="004831F1"/>
    <w:rsid w:val="00483F6C"/>
    <w:rsid w:val="004860AC"/>
    <w:rsid w:val="004926B6"/>
    <w:rsid w:val="004B3B97"/>
    <w:rsid w:val="004B45F0"/>
    <w:rsid w:val="004B53CD"/>
    <w:rsid w:val="004B7B47"/>
    <w:rsid w:val="004E06F4"/>
    <w:rsid w:val="004E2142"/>
    <w:rsid w:val="004E5503"/>
    <w:rsid w:val="004E6FA7"/>
    <w:rsid w:val="004F62BF"/>
    <w:rsid w:val="004F677A"/>
    <w:rsid w:val="005040B7"/>
    <w:rsid w:val="00504ACC"/>
    <w:rsid w:val="005051DD"/>
    <w:rsid w:val="0050619C"/>
    <w:rsid w:val="005211F3"/>
    <w:rsid w:val="005311B6"/>
    <w:rsid w:val="00531F75"/>
    <w:rsid w:val="00535102"/>
    <w:rsid w:val="00536AC6"/>
    <w:rsid w:val="00544C35"/>
    <w:rsid w:val="005460A2"/>
    <w:rsid w:val="00546360"/>
    <w:rsid w:val="00557CD2"/>
    <w:rsid w:val="00562EAA"/>
    <w:rsid w:val="00564D80"/>
    <w:rsid w:val="00573342"/>
    <w:rsid w:val="0057744C"/>
    <w:rsid w:val="00583B37"/>
    <w:rsid w:val="005841A1"/>
    <w:rsid w:val="00584A8A"/>
    <w:rsid w:val="00586596"/>
    <w:rsid w:val="00586CCD"/>
    <w:rsid w:val="00592521"/>
    <w:rsid w:val="005931DE"/>
    <w:rsid w:val="0059378B"/>
    <w:rsid w:val="00597289"/>
    <w:rsid w:val="00597ACD"/>
    <w:rsid w:val="005A288D"/>
    <w:rsid w:val="005A3EE5"/>
    <w:rsid w:val="005A5E6A"/>
    <w:rsid w:val="005B36F1"/>
    <w:rsid w:val="005B536F"/>
    <w:rsid w:val="005B78E6"/>
    <w:rsid w:val="005C056B"/>
    <w:rsid w:val="005C1FAC"/>
    <w:rsid w:val="005D51EE"/>
    <w:rsid w:val="005D5E84"/>
    <w:rsid w:val="005D769E"/>
    <w:rsid w:val="005E2230"/>
    <w:rsid w:val="005E37B8"/>
    <w:rsid w:val="005E3AF2"/>
    <w:rsid w:val="005F2D00"/>
    <w:rsid w:val="005F577B"/>
    <w:rsid w:val="006004D3"/>
    <w:rsid w:val="00612D2C"/>
    <w:rsid w:val="00613402"/>
    <w:rsid w:val="006137CB"/>
    <w:rsid w:val="00622CDD"/>
    <w:rsid w:val="00623C1E"/>
    <w:rsid w:val="00635273"/>
    <w:rsid w:val="00642ABB"/>
    <w:rsid w:val="00650E53"/>
    <w:rsid w:val="00654E09"/>
    <w:rsid w:val="0065506E"/>
    <w:rsid w:val="00657EC9"/>
    <w:rsid w:val="006625DD"/>
    <w:rsid w:val="006657F2"/>
    <w:rsid w:val="00667627"/>
    <w:rsid w:val="00670302"/>
    <w:rsid w:val="00680DC5"/>
    <w:rsid w:val="00682802"/>
    <w:rsid w:val="00685FBF"/>
    <w:rsid w:val="00690E1F"/>
    <w:rsid w:val="00691843"/>
    <w:rsid w:val="00694E67"/>
    <w:rsid w:val="006A351E"/>
    <w:rsid w:val="006B06ED"/>
    <w:rsid w:val="006B76E3"/>
    <w:rsid w:val="006C499E"/>
    <w:rsid w:val="006C6E16"/>
    <w:rsid w:val="006D7F9F"/>
    <w:rsid w:val="006E047A"/>
    <w:rsid w:val="006E2594"/>
    <w:rsid w:val="006E3AC9"/>
    <w:rsid w:val="006E5B82"/>
    <w:rsid w:val="006E5FBF"/>
    <w:rsid w:val="006F44C9"/>
    <w:rsid w:val="00703366"/>
    <w:rsid w:val="007034F7"/>
    <w:rsid w:val="00703616"/>
    <w:rsid w:val="00711602"/>
    <w:rsid w:val="00725FA8"/>
    <w:rsid w:val="0072606E"/>
    <w:rsid w:val="0073669C"/>
    <w:rsid w:val="0074096A"/>
    <w:rsid w:val="007460D6"/>
    <w:rsid w:val="00746879"/>
    <w:rsid w:val="00752635"/>
    <w:rsid w:val="00757D77"/>
    <w:rsid w:val="007609B4"/>
    <w:rsid w:val="007669F4"/>
    <w:rsid w:val="0077046B"/>
    <w:rsid w:val="0077217D"/>
    <w:rsid w:val="00783150"/>
    <w:rsid w:val="007907D3"/>
    <w:rsid w:val="00797B78"/>
    <w:rsid w:val="007A71AE"/>
    <w:rsid w:val="007B1EB1"/>
    <w:rsid w:val="007B6ED3"/>
    <w:rsid w:val="007C0686"/>
    <w:rsid w:val="007C6B1D"/>
    <w:rsid w:val="007D3C32"/>
    <w:rsid w:val="007D6841"/>
    <w:rsid w:val="007F1C1E"/>
    <w:rsid w:val="007F23CD"/>
    <w:rsid w:val="0080199B"/>
    <w:rsid w:val="00802AA4"/>
    <w:rsid w:val="00802BB0"/>
    <w:rsid w:val="00804DA6"/>
    <w:rsid w:val="008125E2"/>
    <w:rsid w:val="00816BFE"/>
    <w:rsid w:val="00817FC1"/>
    <w:rsid w:val="00824319"/>
    <w:rsid w:val="00830219"/>
    <w:rsid w:val="00831277"/>
    <w:rsid w:val="008409B7"/>
    <w:rsid w:val="008446A8"/>
    <w:rsid w:val="0084655F"/>
    <w:rsid w:val="00847EA5"/>
    <w:rsid w:val="0085159A"/>
    <w:rsid w:val="00862A93"/>
    <w:rsid w:val="008704D8"/>
    <w:rsid w:val="00870A33"/>
    <w:rsid w:val="00871EDE"/>
    <w:rsid w:val="00873BBD"/>
    <w:rsid w:val="00873DE2"/>
    <w:rsid w:val="00875C23"/>
    <w:rsid w:val="00880259"/>
    <w:rsid w:val="00881FE2"/>
    <w:rsid w:val="008823A0"/>
    <w:rsid w:val="00885552"/>
    <w:rsid w:val="00886B7A"/>
    <w:rsid w:val="008A06C5"/>
    <w:rsid w:val="008B43D5"/>
    <w:rsid w:val="008B50FA"/>
    <w:rsid w:val="008B5929"/>
    <w:rsid w:val="008B6EBB"/>
    <w:rsid w:val="008C3C4F"/>
    <w:rsid w:val="008C4E80"/>
    <w:rsid w:val="008E5B57"/>
    <w:rsid w:val="008F5830"/>
    <w:rsid w:val="00901FD4"/>
    <w:rsid w:val="00902866"/>
    <w:rsid w:val="009032D5"/>
    <w:rsid w:val="00911C15"/>
    <w:rsid w:val="00911F28"/>
    <w:rsid w:val="00913BA8"/>
    <w:rsid w:val="0091417D"/>
    <w:rsid w:val="00922875"/>
    <w:rsid w:val="00924D28"/>
    <w:rsid w:val="00927EDF"/>
    <w:rsid w:val="0094196D"/>
    <w:rsid w:val="00947FE9"/>
    <w:rsid w:val="0095314B"/>
    <w:rsid w:val="00955DD0"/>
    <w:rsid w:val="009659C4"/>
    <w:rsid w:val="00966876"/>
    <w:rsid w:val="009676CF"/>
    <w:rsid w:val="00970AD7"/>
    <w:rsid w:val="00974D46"/>
    <w:rsid w:val="0098021D"/>
    <w:rsid w:val="00982E23"/>
    <w:rsid w:val="00986577"/>
    <w:rsid w:val="0099040A"/>
    <w:rsid w:val="009908E8"/>
    <w:rsid w:val="009A0CA5"/>
    <w:rsid w:val="009A3B82"/>
    <w:rsid w:val="009A4C84"/>
    <w:rsid w:val="009B34BB"/>
    <w:rsid w:val="009B54E6"/>
    <w:rsid w:val="009C0B86"/>
    <w:rsid w:val="009C1706"/>
    <w:rsid w:val="009C3755"/>
    <w:rsid w:val="009C6E0B"/>
    <w:rsid w:val="009E1C27"/>
    <w:rsid w:val="009E340E"/>
    <w:rsid w:val="009E3FA8"/>
    <w:rsid w:val="009E4D7D"/>
    <w:rsid w:val="009E5D24"/>
    <w:rsid w:val="009E74E3"/>
    <w:rsid w:val="00A07FDB"/>
    <w:rsid w:val="00A14FB8"/>
    <w:rsid w:val="00A16ECE"/>
    <w:rsid w:val="00A20011"/>
    <w:rsid w:val="00A27781"/>
    <w:rsid w:val="00A34B2D"/>
    <w:rsid w:val="00A379EC"/>
    <w:rsid w:val="00A432FF"/>
    <w:rsid w:val="00A44DDF"/>
    <w:rsid w:val="00A50ABD"/>
    <w:rsid w:val="00A536E8"/>
    <w:rsid w:val="00A5390F"/>
    <w:rsid w:val="00A57613"/>
    <w:rsid w:val="00A616FA"/>
    <w:rsid w:val="00A66A2F"/>
    <w:rsid w:val="00A70E7D"/>
    <w:rsid w:val="00A77826"/>
    <w:rsid w:val="00A81035"/>
    <w:rsid w:val="00A83CE1"/>
    <w:rsid w:val="00A9708B"/>
    <w:rsid w:val="00AA06BE"/>
    <w:rsid w:val="00AA1876"/>
    <w:rsid w:val="00AB0925"/>
    <w:rsid w:val="00AC30A1"/>
    <w:rsid w:val="00AC3724"/>
    <w:rsid w:val="00AE1714"/>
    <w:rsid w:val="00AF0FED"/>
    <w:rsid w:val="00AF14E6"/>
    <w:rsid w:val="00AF3CC5"/>
    <w:rsid w:val="00B01B1C"/>
    <w:rsid w:val="00B114D6"/>
    <w:rsid w:val="00B132D0"/>
    <w:rsid w:val="00B22F60"/>
    <w:rsid w:val="00B23B12"/>
    <w:rsid w:val="00B24256"/>
    <w:rsid w:val="00B26CCA"/>
    <w:rsid w:val="00B3476B"/>
    <w:rsid w:val="00B3503A"/>
    <w:rsid w:val="00B378D4"/>
    <w:rsid w:val="00B5055D"/>
    <w:rsid w:val="00B55BF4"/>
    <w:rsid w:val="00B61D4A"/>
    <w:rsid w:val="00B627F8"/>
    <w:rsid w:val="00B660A3"/>
    <w:rsid w:val="00B67114"/>
    <w:rsid w:val="00B7737B"/>
    <w:rsid w:val="00B90D02"/>
    <w:rsid w:val="00B93B1A"/>
    <w:rsid w:val="00BB0AED"/>
    <w:rsid w:val="00BB36A7"/>
    <w:rsid w:val="00BB38BD"/>
    <w:rsid w:val="00BB7507"/>
    <w:rsid w:val="00BC02C9"/>
    <w:rsid w:val="00BC0D9E"/>
    <w:rsid w:val="00BD692B"/>
    <w:rsid w:val="00BD7785"/>
    <w:rsid w:val="00BE1740"/>
    <w:rsid w:val="00BE4B01"/>
    <w:rsid w:val="00BF713D"/>
    <w:rsid w:val="00BF7CC6"/>
    <w:rsid w:val="00C026F2"/>
    <w:rsid w:val="00C0284A"/>
    <w:rsid w:val="00C12920"/>
    <w:rsid w:val="00C13B96"/>
    <w:rsid w:val="00C259C4"/>
    <w:rsid w:val="00C270BA"/>
    <w:rsid w:val="00C31ACB"/>
    <w:rsid w:val="00C327F0"/>
    <w:rsid w:val="00C47BA0"/>
    <w:rsid w:val="00C50D8F"/>
    <w:rsid w:val="00C62D0A"/>
    <w:rsid w:val="00C658CA"/>
    <w:rsid w:val="00C67EA6"/>
    <w:rsid w:val="00C71C0B"/>
    <w:rsid w:val="00C71E86"/>
    <w:rsid w:val="00C800B1"/>
    <w:rsid w:val="00C85626"/>
    <w:rsid w:val="00C85F4D"/>
    <w:rsid w:val="00CA462A"/>
    <w:rsid w:val="00CA5882"/>
    <w:rsid w:val="00CA5B61"/>
    <w:rsid w:val="00CB1397"/>
    <w:rsid w:val="00CC73C5"/>
    <w:rsid w:val="00CD4D0C"/>
    <w:rsid w:val="00CD77BE"/>
    <w:rsid w:val="00CE742B"/>
    <w:rsid w:val="00CF2A97"/>
    <w:rsid w:val="00CF2FDA"/>
    <w:rsid w:val="00CF44C6"/>
    <w:rsid w:val="00D00315"/>
    <w:rsid w:val="00D01E09"/>
    <w:rsid w:val="00D02F21"/>
    <w:rsid w:val="00D1636B"/>
    <w:rsid w:val="00D21817"/>
    <w:rsid w:val="00D27112"/>
    <w:rsid w:val="00D33001"/>
    <w:rsid w:val="00D36AC0"/>
    <w:rsid w:val="00D37858"/>
    <w:rsid w:val="00D477C1"/>
    <w:rsid w:val="00D515AC"/>
    <w:rsid w:val="00D546E3"/>
    <w:rsid w:val="00D57449"/>
    <w:rsid w:val="00D6430E"/>
    <w:rsid w:val="00D70282"/>
    <w:rsid w:val="00D72103"/>
    <w:rsid w:val="00D77CC5"/>
    <w:rsid w:val="00D86CA5"/>
    <w:rsid w:val="00D95048"/>
    <w:rsid w:val="00D953C5"/>
    <w:rsid w:val="00DA0459"/>
    <w:rsid w:val="00DC4130"/>
    <w:rsid w:val="00DC75F1"/>
    <w:rsid w:val="00DD2134"/>
    <w:rsid w:val="00DD3517"/>
    <w:rsid w:val="00DF770D"/>
    <w:rsid w:val="00DF7A0B"/>
    <w:rsid w:val="00E05F22"/>
    <w:rsid w:val="00E068FB"/>
    <w:rsid w:val="00E10F62"/>
    <w:rsid w:val="00E15757"/>
    <w:rsid w:val="00E21496"/>
    <w:rsid w:val="00E22595"/>
    <w:rsid w:val="00E30718"/>
    <w:rsid w:val="00E317B1"/>
    <w:rsid w:val="00E429CC"/>
    <w:rsid w:val="00E44773"/>
    <w:rsid w:val="00E44F5E"/>
    <w:rsid w:val="00E46D0F"/>
    <w:rsid w:val="00E557C2"/>
    <w:rsid w:val="00E57B59"/>
    <w:rsid w:val="00E63B4D"/>
    <w:rsid w:val="00E67D3E"/>
    <w:rsid w:val="00E7521A"/>
    <w:rsid w:val="00E82169"/>
    <w:rsid w:val="00E901ED"/>
    <w:rsid w:val="00E9264D"/>
    <w:rsid w:val="00E92EE4"/>
    <w:rsid w:val="00E9332D"/>
    <w:rsid w:val="00EA1FFC"/>
    <w:rsid w:val="00EA66A4"/>
    <w:rsid w:val="00EA7401"/>
    <w:rsid w:val="00EC0A4A"/>
    <w:rsid w:val="00EC20FC"/>
    <w:rsid w:val="00EE0F9C"/>
    <w:rsid w:val="00EE7C4A"/>
    <w:rsid w:val="00EF02FD"/>
    <w:rsid w:val="00EF6C2B"/>
    <w:rsid w:val="00EF72D5"/>
    <w:rsid w:val="00EF7C29"/>
    <w:rsid w:val="00F00D5C"/>
    <w:rsid w:val="00F1048E"/>
    <w:rsid w:val="00F10C1D"/>
    <w:rsid w:val="00F13477"/>
    <w:rsid w:val="00F16308"/>
    <w:rsid w:val="00F210D5"/>
    <w:rsid w:val="00F24DAB"/>
    <w:rsid w:val="00F2718F"/>
    <w:rsid w:val="00F307FF"/>
    <w:rsid w:val="00F35E5D"/>
    <w:rsid w:val="00F36EC9"/>
    <w:rsid w:val="00F525FB"/>
    <w:rsid w:val="00F53E76"/>
    <w:rsid w:val="00F6119F"/>
    <w:rsid w:val="00F65FC5"/>
    <w:rsid w:val="00F82799"/>
    <w:rsid w:val="00F83287"/>
    <w:rsid w:val="00F84EA2"/>
    <w:rsid w:val="00FB1B70"/>
    <w:rsid w:val="00FB1E7F"/>
    <w:rsid w:val="00FC7EF8"/>
    <w:rsid w:val="00FE60A3"/>
    <w:rsid w:val="00FF6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738A9"/>
  <w15:chartTrackingRefBased/>
  <w15:docId w15:val="{47E1A96F-9C50-451B-BF65-49CC80C47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B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6">
    <w:name w:val="heading 6"/>
    <w:basedOn w:val="Normal"/>
    <w:next w:val="Normal"/>
    <w:link w:val="Heading6Char"/>
    <w:uiPriority w:val="9"/>
    <w:semiHidden/>
    <w:unhideWhenUsed/>
    <w:qFormat/>
    <w:rsid w:val="00847EA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0FED"/>
    <w:rPr>
      <w:color w:val="0563C1" w:themeColor="hyperlink"/>
      <w:u w:val="single"/>
    </w:rPr>
  </w:style>
  <w:style w:type="character" w:styleId="UnresolvedMention">
    <w:name w:val="Unresolved Mention"/>
    <w:basedOn w:val="DefaultParagraphFont"/>
    <w:uiPriority w:val="99"/>
    <w:semiHidden/>
    <w:unhideWhenUsed/>
    <w:rsid w:val="00AF0FED"/>
    <w:rPr>
      <w:color w:val="605E5C"/>
      <w:shd w:val="clear" w:color="auto" w:fill="E1DFDD"/>
    </w:rPr>
  </w:style>
  <w:style w:type="character" w:styleId="Strong">
    <w:name w:val="Strong"/>
    <w:basedOn w:val="DefaultParagraphFont"/>
    <w:uiPriority w:val="22"/>
    <w:qFormat/>
    <w:rsid w:val="00623C1E"/>
    <w:rPr>
      <w:b/>
      <w:bCs/>
    </w:rPr>
  </w:style>
  <w:style w:type="paragraph" w:customStyle="1" w:styleId="cpe3">
    <w:name w:val="cpe3"/>
    <w:basedOn w:val="Normal"/>
    <w:rsid w:val="00623C1E"/>
    <w:pPr>
      <w:spacing w:after="0" w:line="240" w:lineRule="auto"/>
    </w:pPr>
    <w:rPr>
      <w:rFonts w:ascii="Times New Roman" w:eastAsia="Times New Roman" w:hAnsi="Times New Roman" w:cs="Times New Roman"/>
      <w:b/>
      <w:sz w:val="24"/>
      <w:szCs w:val="20"/>
      <w:lang w:eastAsia="en-GB"/>
    </w:rPr>
  </w:style>
  <w:style w:type="character" w:customStyle="1" w:styleId="Heading6Char">
    <w:name w:val="Heading 6 Char"/>
    <w:basedOn w:val="DefaultParagraphFont"/>
    <w:link w:val="Heading6"/>
    <w:uiPriority w:val="9"/>
    <w:semiHidden/>
    <w:rsid w:val="00847EA5"/>
    <w:rPr>
      <w:rFonts w:asciiTheme="majorHAnsi" w:eastAsiaTheme="majorEastAsia" w:hAnsiTheme="majorHAnsi" w:cstheme="majorBidi"/>
      <w:color w:val="1F3763" w:themeColor="accent1" w:themeShade="7F"/>
    </w:rPr>
  </w:style>
  <w:style w:type="paragraph" w:styleId="NormalWeb">
    <w:name w:val="Normal (Web)"/>
    <w:basedOn w:val="Normal"/>
    <w:uiPriority w:val="99"/>
    <w:unhideWhenUsed/>
    <w:rsid w:val="00360521"/>
    <w:rPr>
      <w:rFonts w:ascii="Times New Roman" w:hAnsi="Times New Roman" w:cs="Times New Roman"/>
      <w:sz w:val="24"/>
      <w:szCs w:val="24"/>
    </w:rPr>
  </w:style>
  <w:style w:type="paragraph" w:styleId="ListParagraph">
    <w:name w:val="List Paragraph"/>
    <w:basedOn w:val="Normal"/>
    <w:uiPriority w:val="34"/>
    <w:qFormat/>
    <w:rsid w:val="00885552"/>
    <w:pPr>
      <w:ind w:left="720"/>
      <w:contextualSpacing/>
    </w:pPr>
  </w:style>
  <w:style w:type="character" w:styleId="FollowedHyperlink">
    <w:name w:val="FollowedHyperlink"/>
    <w:basedOn w:val="DefaultParagraphFont"/>
    <w:uiPriority w:val="99"/>
    <w:semiHidden/>
    <w:unhideWhenUsed/>
    <w:rsid w:val="001B0B57"/>
    <w:rPr>
      <w:color w:val="954F72" w:themeColor="followedHyperlink"/>
      <w:u w:val="single"/>
    </w:rPr>
  </w:style>
  <w:style w:type="character" w:customStyle="1" w:styleId="Heading1Char">
    <w:name w:val="Heading 1 Char"/>
    <w:basedOn w:val="DefaultParagraphFont"/>
    <w:link w:val="Heading1"/>
    <w:uiPriority w:val="9"/>
    <w:rsid w:val="00B93B1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172031">
      <w:bodyDiv w:val="1"/>
      <w:marLeft w:val="0"/>
      <w:marRight w:val="0"/>
      <w:marTop w:val="0"/>
      <w:marBottom w:val="0"/>
      <w:divBdr>
        <w:top w:val="none" w:sz="0" w:space="0" w:color="auto"/>
        <w:left w:val="none" w:sz="0" w:space="0" w:color="auto"/>
        <w:bottom w:val="none" w:sz="0" w:space="0" w:color="auto"/>
        <w:right w:val="none" w:sz="0" w:space="0" w:color="auto"/>
      </w:divBdr>
    </w:div>
    <w:div w:id="637951835">
      <w:bodyDiv w:val="1"/>
      <w:marLeft w:val="0"/>
      <w:marRight w:val="0"/>
      <w:marTop w:val="0"/>
      <w:marBottom w:val="0"/>
      <w:divBdr>
        <w:top w:val="none" w:sz="0" w:space="0" w:color="auto"/>
        <w:left w:val="none" w:sz="0" w:space="0" w:color="auto"/>
        <w:bottom w:val="none" w:sz="0" w:space="0" w:color="auto"/>
        <w:right w:val="none" w:sz="0" w:space="0" w:color="auto"/>
      </w:divBdr>
    </w:div>
    <w:div w:id="984621241">
      <w:bodyDiv w:val="1"/>
      <w:marLeft w:val="0"/>
      <w:marRight w:val="0"/>
      <w:marTop w:val="0"/>
      <w:marBottom w:val="0"/>
      <w:divBdr>
        <w:top w:val="none" w:sz="0" w:space="0" w:color="auto"/>
        <w:left w:val="none" w:sz="0" w:space="0" w:color="auto"/>
        <w:bottom w:val="none" w:sz="0" w:space="0" w:color="auto"/>
        <w:right w:val="none" w:sz="0" w:space="0" w:color="auto"/>
      </w:divBdr>
    </w:div>
    <w:div w:id="1072436528">
      <w:bodyDiv w:val="1"/>
      <w:marLeft w:val="0"/>
      <w:marRight w:val="0"/>
      <w:marTop w:val="0"/>
      <w:marBottom w:val="0"/>
      <w:divBdr>
        <w:top w:val="none" w:sz="0" w:space="0" w:color="auto"/>
        <w:left w:val="none" w:sz="0" w:space="0" w:color="auto"/>
        <w:bottom w:val="none" w:sz="0" w:space="0" w:color="auto"/>
        <w:right w:val="none" w:sz="0" w:space="0" w:color="auto"/>
      </w:divBdr>
    </w:div>
    <w:div w:id="1211377901">
      <w:bodyDiv w:val="1"/>
      <w:marLeft w:val="0"/>
      <w:marRight w:val="0"/>
      <w:marTop w:val="0"/>
      <w:marBottom w:val="0"/>
      <w:divBdr>
        <w:top w:val="none" w:sz="0" w:space="0" w:color="auto"/>
        <w:left w:val="none" w:sz="0" w:space="0" w:color="auto"/>
        <w:bottom w:val="none" w:sz="0" w:space="0" w:color="auto"/>
        <w:right w:val="none" w:sz="0" w:space="0" w:color="auto"/>
      </w:divBdr>
    </w:div>
    <w:div w:id="1363673460">
      <w:bodyDiv w:val="1"/>
      <w:marLeft w:val="0"/>
      <w:marRight w:val="0"/>
      <w:marTop w:val="0"/>
      <w:marBottom w:val="0"/>
      <w:divBdr>
        <w:top w:val="none" w:sz="0" w:space="0" w:color="auto"/>
        <w:left w:val="none" w:sz="0" w:space="0" w:color="auto"/>
        <w:bottom w:val="none" w:sz="0" w:space="0" w:color="auto"/>
        <w:right w:val="none" w:sz="0" w:space="0" w:color="auto"/>
      </w:divBdr>
      <w:divsChild>
        <w:div w:id="2020961600">
          <w:marLeft w:val="0"/>
          <w:marRight w:val="0"/>
          <w:marTop w:val="0"/>
          <w:marBottom w:val="0"/>
          <w:divBdr>
            <w:top w:val="none" w:sz="0" w:space="0" w:color="auto"/>
            <w:left w:val="none" w:sz="0" w:space="0" w:color="auto"/>
            <w:bottom w:val="none" w:sz="0" w:space="0" w:color="auto"/>
            <w:right w:val="none" w:sz="0" w:space="0" w:color="auto"/>
          </w:divBdr>
        </w:div>
      </w:divsChild>
    </w:div>
    <w:div w:id="1488017354">
      <w:bodyDiv w:val="1"/>
      <w:marLeft w:val="0"/>
      <w:marRight w:val="0"/>
      <w:marTop w:val="0"/>
      <w:marBottom w:val="0"/>
      <w:divBdr>
        <w:top w:val="none" w:sz="0" w:space="0" w:color="auto"/>
        <w:left w:val="none" w:sz="0" w:space="0" w:color="auto"/>
        <w:bottom w:val="none" w:sz="0" w:space="0" w:color="auto"/>
        <w:right w:val="none" w:sz="0" w:space="0" w:color="auto"/>
      </w:divBdr>
    </w:div>
    <w:div w:id="1521309537">
      <w:bodyDiv w:val="1"/>
      <w:marLeft w:val="0"/>
      <w:marRight w:val="0"/>
      <w:marTop w:val="0"/>
      <w:marBottom w:val="0"/>
      <w:divBdr>
        <w:top w:val="none" w:sz="0" w:space="0" w:color="auto"/>
        <w:left w:val="none" w:sz="0" w:space="0" w:color="auto"/>
        <w:bottom w:val="none" w:sz="0" w:space="0" w:color="auto"/>
        <w:right w:val="none" w:sz="0" w:space="0" w:color="auto"/>
      </w:divBdr>
    </w:div>
    <w:div w:id="1624538124">
      <w:bodyDiv w:val="1"/>
      <w:marLeft w:val="0"/>
      <w:marRight w:val="0"/>
      <w:marTop w:val="0"/>
      <w:marBottom w:val="0"/>
      <w:divBdr>
        <w:top w:val="none" w:sz="0" w:space="0" w:color="auto"/>
        <w:left w:val="none" w:sz="0" w:space="0" w:color="auto"/>
        <w:bottom w:val="none" w:sz="0" w:space="0" w:color="auto"/>
        <w:right w:val="none" w:sz="0" w:space="0" w:color="auto"/>
      </w:divBdr>
    </w:div>
    <w:div w:id="1656253121">
      <w:bodyDiv w:val="1"/>
      <w:marLeft w:val="0"/>
      <w:marRight w:val="0"/>
      <w:marTop w:val="0"/>
      <w:marBottom w:val="0"/>
      <w:divBdr>
        <w:top w:val="none" w:sz="0" w:space="0" w:color="auto"/>
        <w:left w:val="none" w:sz="0" w:space="0" w:color="auto"/>
        <w:bottom w:val="none" w:sz="0" w:space="0" w:color="auto"/>
        <w:right w:val="none" w:sz="0" w:space="0" w:color="auto"/>
      </w:divBdr>
      <w:divsChild>
        <w:div w:id="16227624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3752277">
      <w:bodyDiv w:val="1"/>
      <w:marLeft w:val="0"/>
      <w:marRight w:val="0"/>
      <w:marTop w:val="0"/>
      <w:marBottom w:val="0"/>
      <w:divBdr>
        <w:top w:val="none" w:sz="0" w:space="0" w:color="auto"/>
        <w:left w:val="none" w:sz="0" w:space="0" w:color="auto"/>
        <w:bottom w:val="none" w:sz="0" w:space="0" w:color="auto"/>
        <w:right w:val="none" w:sz="0" w:space="0" w:color="auto"/>
      </w:divBdr>
    </w:div>
    <w:div w:id="1913738450">
      <w:bodyDiv w:val="1"/>
      <w:marLeft w:val="0"/>
      <w:marRight w:val="0"/>
      <w:marTop w:val="0"/>
      <w:marBottom w:val="0"/>
      <w:divBdr>
        <w:top w:val="none" w:sz="0" w:space="0" w:color="auto"/>
        <w:left w:val="none" w:sz="0" w:space="0" w:color="auto"/>
        <w:bottom w:val="none" w:sz="0" w:space="0" w:color="auto"/>
        <w:right w:val="none" w:sz="0" w:space="0" w:color="auto"/>
      </w:divBdr>
    </w:div>
    <w:div w:id="2032340439">
      <w:bodyDiv w:val="1"/>
      <w:marLeft w:val="0"/>
      <w:marRight w:val="0"/>
      <w:marTop w:val="0"/>
      <w:marBottom w:val="0"/>
      <w:divBdr>
        <w:top w:val="none" w:sz="0" w:space="0" w:color="auto"/>
        <w:left w:val="none" w:sz="0" w:space="0" w:color="auto"/>
        <w:bottom w:val="none" w:sz="0" w:space="0" w:color="auto"/>
        <w:right w:val="none" w:sz="0" w:space="0" w:color="auto"/>
      </w:divBdr>
    </w:div>
    <w:div w:id="2140611696">
      <w:bodyDiv w:val="1"/>
      <w:marLeft w:val="0"/>
      <w:marRight w:val="0"/>
      <w:marTop w:val="0"/>
      <w:marBottom w:val="0"/>
      <w:divBdr>
        <w:top w:val="none" w:sz="0" w:space="0" w:color="auto"/>
        <w:left w:val="none" w:sz="0" w:space="0" w:color="auto"/>
        <w:bottom w:val="none" w:sz="0" w:space="0" w:color="auto"/>
        <w:right w:val="none" w:sz="0" w:space="0" w:color="auto"/>
      </w:divBdr>
      <w:divsChild>
        <w:div w:id="444159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core/journals/international-journal-of-law-in-context/article/abs/legal-fictions-and-legal-change/CDCDA1455D4FAD8CFA8EBBE99221DD6D" TargetMode="External"/><Relationship Id="rId13" Type="http://schemas.openxmlformats.org/officeDocument/2006/relationships/hyperlink" Target="https://uk.westlaw.com/Document/I5E8E55E0908611E29FF8D324E49DFB2F/View/FullText.html?ppcid=5be864dd3aee47fb95ab32b88590e27c&amp;originationContext=ukCommentaryReferences&amp;transitionType=Default&amp;contextData=%28sc.DocLink%29&amp;comp=wluk" TargetMode="External"/><Relationship Id="rId18" Type="http://schemas.openxmlformats.org/officeDocument/2006/relationships/hyperlink" Target="https://plus-lexis-com.ezproxy.uwtsd.ac.uk/uk/document/documentlink/?pdmfid=1001073&amp;crid=36133d10-0ca4-4f83-8775-9e7f880ff3c3&amp;pddocfullpath=%2Fshared%2Fdocument%2Fcases-uk%2Furn%3AcontentItem%3A4J44-1360-TX1N-H09R-00000-00&amp;pdcontentcomponentid=289949&amp;pdproductcontenttypeid=urn%3Apct%3A285&amp;pdiskwicview=false&amp;pdpinpoint=&amp;ecomp=mk4k&amp;prid=dce3ba51-f9d1-4a2a-a2df-4a019b86a53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plus-lexis-com.ezproxy.uwtsd.ac.uk/uk/document/?pdmfid=1001073&amp;crid=de057475-92b2-41da-8f05-cb7358c77408&amp;pddocfullpath=%2Fshared%2Fdocument%2Fanalytical-materials-uk%2Furn%3AcontentItem%3A5MSK-DDM1-DYJD-X4VG-00000-00&amp;pdcontentcomponentid=280276&amp;pdteaserkey=&amp;pdislpamode=false&amp;pddocumentnumber=9&amp;ecomp=tt5k&amp;earg=sr8&amp;prid=0357625d-a236-41e2-aa98-b5f332fc8dff" TargetMode="External"/><Relationship Id="rId12" Type="http://schemas.openxmlformats.org/officeDocument/2006/relationships/hyperlink" Target="https://www.gov.uk/government/publications/easements/practice-guide-62-easements" TargetMode="External"/><Relationship Id="rId17" Type="http://schemas.openxmlformats.org/officeDocument/2006/relationships/hyperlink" Target="https://plus-lexis-com.ezproxy.uwtsd.ac.uk/uk/document/?pdmfid=1001073&amp;crid=c04f5a81-d62f-449c-bc59-7bdd41d66bcc&amp;pddocfullpath=%2Fshared%2Fdocument%2Fanalytical-materials-uk%2Furn%3AcontentItem%3A5PDW-VCG1-F0NH-351M-00000-00&amp;pdcontentcomponentid=385541&amp;pdteaserkey=&amp;pdislpamode=false&amp;pddocumentnumber=1&amp;ecomp=tt5k&amp;earg=sr0&amp;prid=af0bd85d-bc2d-47ee-a9e5-43362b9f9ee8" TargetMode="External"/><Relationship Id="rId2" Type="http://schemas.openxmlformats.org/officeDocument/2006/relationships/styles" Target="styles.xml"/><Relationship Id="rId16" Type="http://schemas.openxmlformats.org/officeDocument/2006/relationships/hyperlink" Target="https://plus-lexis-com.ezproxy.uwtsd.ac.uk/uk/document/?pdmfid=1001073&amp;crid=9fb3397b-0303-4bb1-a2d5-4fee99f46a65&amp;pddocfullpath=%2Fshared%2Fdocument%2Fanalytical-materials-uk%2Furn%3AcontentItem%3A5SM2-TDW1-DYJD-X46N-00000-00&amp;pdcontentcomponentid=280276&amp;pdteaserkey=&amp;pdislpamode=false&amp;pddocumentnumber=2&amp;ecomp=ht5k&amp;earg=sr1&amp;prid=dee41b37-fc6d-490c-b5ae-2a88a3531c0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plus-lexis-com.ezproxy.uwtsd.ac.uk/uk/document/?pdmfid=1001073&amp;crid=382af0d1-00a6-4ff5-b3c5-59badf89c863&amp;pddocfullpath=%2Fshared%2Fdocument%2Fanalytical-materials-uk%2Furn%3AcontentItem%3A5RYR-XX81-DY08-C2C0-00000-00&amp;pdcontentcomponentid=374818&amp;pdteaserkey=&amp;pdislpamode=false&amp;pddocumentnumber=4&amp;ecomp=tt5k&amp;earg=sr3&amp;prid=0a7b5ccf-3312-4046-9afb-d51339d90b49" TargetMode="External"/><Relationship Id="rId11" Type="http://schemas.openxmlformats.org/officeDocument/2006/relationships/hyperlink" Target="https://www.gov.uk/government/publications/execution-of-deeds/practice-guide-8-execution-of-deeds" TargetMode="External"/><Relationship Id="rId5" Type="http://schemas.openxmlformats.org/officeDocument/2006/relationships/hyperlink" Target="https://plus-lexis-com.ezproxy.uwtsd.ac.uk/uk/document/documentlink/?pdmfid=1001073&amp;crid=923aa594-3e21-43a2-98f6-5594b2f47a75&amp;pddocfullpath=%2Fshared%2Fdocument%2Fcases-uk%2Furn%3AcontentItem%3A4J44-1350-TX1N-H187-00000-00&amp;pdcontentcomponentid=289949&amp;pdproductcontenttypeid=urn%3Apct%3A285&amp;pdiskwicview=false&amp;pdpinpoint=&amp;ecomp=zk4k&amp;prid=c1de295c-f854-40ed-81ab-e3bb8156201a" TargetMode="External"/><Relationship Id="rId15" Type="http://schemas.openxmlformats.org/officeDocument/2006/relationships/hyperlink" Target="https://plus-lexis-com.ezproxy.uwtsd.ac.uk/uk/document/?pdmfid=1001073&amp;crid=8ba75389-0f95-4134-ab98-c4edf5725292&amp;pddocfullpath=%2Fshared%2Fdocument%2Fanalytical-materials-uk%2Furn%3AcontentItem%3A4RCW-XHK0-TWWR-G0GH-00000-00&amp;pdcontentcomponentid=280276&amp;pdteaserkey=&amp;pdislpamode=false&amp;pddocumentnumber=1&amp;ecomp=ht5k&amp;earg=sr0&amp;prid=03e7f284-f141-4829-8df2-a5b6f0b78013" TargetMode="External"/><Relationship Id="rId10" Type="http://schemas.openxmlformats.org/officeDocument/2006/relationships/hyperlink" Target="https://rethority.com/fee-simple/" TargetMode="External"/><Relationship Id="rId19" Type="http://schemas.openxmlformats.org/officeDocument/2006/relationships/hyperlink" Target="https://plus-lexis-com.ezproxy.uwtsd.ac.uk/uk/document/?pdmfid=1001073&amp;crid=404f898c-60fe-4c5b-803a-6c1e6c52ee82&amp;pddocfullpath=%2Fshared%2Fdocument%2Fanalytical-materials-uk%2Furn%3AcontentItem%3A592N-9RX1-DYJD-X15R-00000-00&amp;pdcontentcomponentid=280276&amp;pdteaserkey=&amp;pdislpamode=false&amp;pddocumentnumber=8&amp;ecomp=ht5k&amp;earg=sr7&amp;prid=ce5d87a6-7df3-4733-8fc0-f757fca0eb5a" TargetMode="External"/><Relationship Id="rId4" Type="http://schemas.openxmlformats.org/officeDocument/2006/relationships/webSettings" Target="webSettings.xml"/><Relationship Id="rId9" Type="http://schemas.openxmlformats.org/officeDocument/2006/relationships/hyperlink" Target="https://plus-lexis-com.ezproxy.uwtsd.ac.uk/uk/document/?pdmfid=1001073&amp;crid=3729461d-86ab-4ae3-8f3e-41af120c03c3&amp;pddocfullpath=%2Fshared%2Fdocument%2Fanalytical-materials-uk%2Furn%3AcontentItem%3A556T-TCP1-DY08-C2XK-00000-00&amp;pdcontentcomponentid=374818&amp;pdteaserkey=&amp;pdislpamode=false&amp;pddocumentnumber=1&amp;ecomp=tt5k&amp;earg=sr0&amp;prid=fff7d044-a4c2-4bc5-a975-d7cbfbddedb7" TargetMode="External"/><Relationship Id="rId14" Type="http://schemas.openxmlformats.org/officeDocument/2006/relationships/hyperlink" Target="https://plus-lexis-com.ezproxy.uwtsd.ac.uk/uk/document/?pdmfid=1001073&amp;crid=4a10ba7c-ec3a-4b06-88e3-198d74c37ebe&amp;pddocfullpath=%2Fshared%2Fdocument%2Fanalytical-materials-uk%2Furn%3AcontentItem%3A5M4V-TH01-F078-H0W6-00000-00&amp;pdcontentcomponentid=302219&amp;pdteaserkey=&amp;pdislpamode=false&amp;pddocumentnumber=2&amp;ecomp=ht5k&amp;earg=sr1&amp;prid=3c3a9c77-4ffc-483e-bd08-8f572caa64a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1063</TotalTime>
  <Pages>8</Pages>
  <Words>3940</Words>
  <Characters>22461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Evans</dc:creator>
  <cp:keywords/>
  <dc:description/>
  <cp:lastModifiedBy>Beverly Evans</cp:lastModifiedBy>
  <cp:revision>9</cp:revision>
  <dcterms:created xsi:type="dcterms:W3CDTF">2023-03-16T08:05:00Z</dcterms:created>
  <dcterms:modified xsi:type="dcterms:W3CDTF">2023-04-12T23:53:00Z</dcterms:modified>
</cp:coreProperties>
</file>