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3B3F92" w14:textId="17245330" w:rsidR="003E1313" w:rsidRDefault="0097505F" w:rsidP="001A5FA2">
      <w:pPr>
        <w:spacing w:line="360" w:lineRule="auto"/>
        <w:ind w:hanging="22"/>
        <w:jc w:val="both"/>
        <w:rPr>
          <w:sz w:val="24"/>
        </w:rPr>
      </w:pPr>
      <w:r w:rsidRPr="006F32B2">
        <w:rPr>
          <w:sz w:val="24"/>
        </w:rPr>
        <w:t>The purpose of this assignment</w:t>
      </w:r>
      <w:r w:rsidR="00AE582B">
        <w:rPr>
          <w:sz w:val="24"/>
        </w:rPr>
        <w:t>, alongside other aspects,</w:t>
      </w:r>
      <w:r w:rsidRPr="006F32B2">
        <w:rPr>
          <w:sz w:val="24"/>
        </w:rPr>
        <w:t xml:space="preserve"> </w:t>
      </w:r>
      <w:r w:rsidR="00AE582B">
        <w:rPr>
          <w:sz w:val="24"/>
        </w:rPr>
        <w:t xml:space="preserve">is </w:t>
      </w:r>
      <w:r w:rsidRPr="006F32B2">
        <w:rPr>
          <w:sz w:val="24"/>
        </w:rPr>
        <w:t>to explore and discuss a range of contemporary pedagogies, particularly pertaining to their use within the context of Higher Edu</w:t>
      </w:r>
      <w:r w:rsidR="006F32B2">
        <w:rPr>
          <w:sz w:val="24"/>
        </w:rPr>
        <w:t>cation. It is intended that the first section of this</w:t>
      </w:r>
      <w:r w:rsidRPr="006F32B2">
        <w:rPr>
          <w:sz w:val="24"/>
        </w:rPr>
        <w:t xml:space="preserve"> </w:t>
      </w:r>
      <w:r w:rsidR="006F32B2" w:rsidRPr="006F32B2">
        <w:rPr>
          <w:sz w:val="24"/>
        </w:rPr>
        <w:t>study will critically evaluate</w:t>
      </w:r>
      <w:r w:rsidR="00A9072B">
        <w:rPr>
          <w:sz w:val="24"/>
        </w:rPr>
        <w:t>,</w:t>
      </w:r>
      <w:r w:rsidR="006F32B2" w:rsidRPr="006F32B2">
        <w:rPr>
          <w:sz w:val="24"/>
        </w:rPr>
        <w:t xml:space="preserve"> </w:t>
      </w:r>
      <w:r w:rsidR="006F32B2">
        <w:rPr>
          <w:sz w:val="24"/>
        </w:rPr>
        <w:t xml:space="preserve">and </w:t>
      </w:r>
      <w:r w:rsidR="00A9072B">
        <w:rPr>
          <w:sz w:val="24"/>
        </w:rPr>
        <w:t xml:space="preserve">in addition, </w:t>
      </w:r>
      <w:r w:rsidR="006F32B2">
        <w:rPr>
          <w:sz w:val="24"/>
        </w:rPr>
        <w:t xml:space="preserve">attempt to define </w:t>
      </w:r>
      <w:r w:rsidR="006F32B2" w:rsidRPr="006F32B2">
        <w:rPr>
          <w:sz w:val="24"/>
        </w:rPr>
        <w:t>the subject matter</w:t>
      </w:r>
      <w:r w:rsidR="00AE582B">
        <w:rPr>
          <w:sz w:val="24"/>
        </w:rPr>
        <w:t>,</w:t>
      </w:r>
      <w:r w:rsidR="006F32B2" w:rsidRPr="006F32B2">
        <w:rPr>
          <w:sz w:val="24"/>
        </w:rPr>
        <w:t xml:space="preserve"> </w:t>
      </w:r>
      <w:r w:rsidR="00AE582B">
        <w:rPr>
          <w:sz w:val="24"/>
        </w:rPr>
        <w:t>both from a domestic viewpoint (UK)</w:t>
      </w:r>
      <w:r w:rsidR="006F32B2" w:rsidRPr="006F32B2">
        <w:rPr>
          <w:sz w:val="24"/>
        </w:rPr>
        <w:t xml:space="preserve">, as well as incorporating </w:t>
      </w:r>
      <w:r w:rsidR="00A9072B">
        <w:rPr>
          <w:sz w:val="24"/>
        </w:rPr>
        <w:t xml:space="preserve">and analysing </w:t>
      </w:r>
      <w:r w:rsidR="006F32B2" w:rsidRPr="006F32B2">
        <w:rPr>
          <w:sz w:val="24"/>
        </w:rPr>
        <w:t>significant international</w:t>
      </w:r>
      <w:r w:rsidR="006F32B2">
        <w:rPr>
          <w:sz w:val="24"/>
        </w:rPr>
        <w:t xml:space="preserve"> perspectives also. There will also be </w:t>
      </w:r>
      <w:r w:rsidR="00A9072B">
        <w:rPr>
          <w:sz w:val="24"/>
        </w:rPr>
        <w:t xml:space="preserve">multiple </w:t>
      </w:r>
      <w:r w:rsidR="006F32B2">
        <w:rPr>
          <w:sz w:val="24"/>
        </w:rPr>
        <w:t xml:space="preserve">opportunity to define and critique the individual appropriateness of differing pedagogical approaches, and to </w:t>
      </w:r>
      <w:r w:rsidR="00A9072B">
        <w:rPr>
          <w:sz w:val="24"/>
        </w:rPr>
        <w:t xml:space="preserve">critically </w:t>
      </w:r>
      <w:r w:rsidR="006F32B2">
        <w:rPr>
          <w:sz w:val="24"/>
        </w:rPr>
        <w:t xml:space="preserve">assess their value and suitability from </w:t>
      </w:r>
      <w:r w:rsidR="00A9072B">
        <w:rPr>
          <w:sz w:val="24"/>
        </w:rPr>
        <w:t>various</w:t>
      </w:r>
      <w:r w:rsidR="006F32B2">
        <w:rPr>
          <w:sz w:val="24"/>
        </w:rPr>
        <w:t xml:space="preserve"> perspectives. In order to gain a greater understanding of the overall progression of contemporary pedagogical approaches, there must also be </w:t>
      </w:r>
      <w:r w:rsidR="00A9072B">
        <w:rPr>
          <w:sz w:val="24"/>
        </w:rPr>
        <w:t xml:space="preserve">detailed </w:t>
      </w:r>
      <w:r w:rsidR="006F32B2">
        <w:rPr>
          <w:sz w:val="24"/>
        </w:rPr>
        <w:t xml:space="preserve">consideration of the historical progression of such approaches, </w:t>
      </w:r>
      <w:r w:rsidR="00A9072B">
        <w:rPr>
          <w:sz w:val="24"/>
        </w:rPr>
        <w:t>their development, origin, and implementation. As well as this, there will be detailed consideration as to</w:t>
      </w:r>
      <w:r w:rsidR="006F32B2">
        <w:rPr>
          <w:sz w:val="24"/>
        </w:rPr>
        <w:t xml:space="preserve"> how they could be possibly said to reflect not only progression from an educational and academically </w:t>
      </w:r>
      <w:r w:rsidR="00A9072B">
        <w:rPr>
          <w:sz w:val="24"/>
        </w:rPr>
        <w:t>focused</w:t>
      </w:r>
      <w:r w:rsidR="006F32B2">
        <w:rPr>
          <w:sz w:val="24"/>
        </w:rPr>
        <w:t xml:space="preserve"> viewpoint</w:t>
      </w:r>
      <w:r w:rsidR="00AE582B">
        <w:rPr>
          <w:sz w:val="24"/>
        </w:rPr>
        <w:t xml:space="preserve">; </w:t>
      </w:r>
      <w:r w:rsidR="00A9072B">
        <w:rPr>
          <w:sz w:val="24"/>
        </w:rPr>
        <w:t>but</w:t>
      </w:r>
      <w:r w:rsidR="006F32B2">
        <w:rPr>
          <w:sz w:val="24"/>
        </w:rPr>
        <w:t xml:space="preserve"> also how they could be said to perhaps represent and be informed by</w:t>
      </w:r>
      <w:r w:rsidR="00A9072B">
        <w:rPr>
          <w:sz w:val="24"/>
        </w:rPr>
        <w:t>,</w:t>
      </w:r>
      <w:r w:rsidR="006F32B2">
        <w:rPr>
          <w:sz w:val="24"/>
        </w:rPr>
        <w:t xml:space="preserve"> societal, </w:t>
      </w:r>
      <w:r w:rsidR="001A5FA2">
        <w:rPr>
          <w:sz w:val="24"/>
        </w:rPr>
        <w:t>ideological</w:t>
      </w:r>
      <w:r w:rsidR="006F32B2">
        <w:rPr>
          <w:sz w:val="24"/>
        </w:rPr>
        <w:t xml:space="preserve">, economic, and politically motivated </w:t>
      </w:r>
      <w:r w:rsidR="00AE582B">
        <w:rPr>
          <w:sz w:val="24"/>
        </w:rPr>
        <w:t>factors as well</w:t>
      </w:r>
      <w:r w:rsidR="001A5FA2">
        <w:rPr>
          <w:sz w:val="24"/>
        </w:rPr>
        <w:t xml:space="preserve">. </w:t>
      </w:r>
      <w:r w:rsidR="00EF226E">
        <w:rPr>
          <w:sz w:val="24"/>
        </w:rPr>
        <w:t xml:space="preserve">There will be particular detail accorded to the comparatively recent seismic changes in technology, and how this could be said to have affected young people, and how it could be also argued that this requires a change in the approach to pedagogy, as well as assessment, from the point of view of the educator. </w:t>
      </w:r>
      <w:r w:rsidR="001A5FA2">
        <w:rPr>
          <w:sz w:val="24"/>
        </w:rPr>
        <w:t>During</w:t>
      </w:r>
      <w:r w:rsidR="006F32B2">
        <w:rPr>
          <w:sz w:val="24"/>
        </w:rPr>
        <w:t xml:space="preserve"> the second part of this assignment there will discussion and definition of the </w:t>
      </w:r>
      <w:r w:rsidR="001A5FA2">
        <w:rPr>
          <w:sz w:val="24"/>
        </w:rPr>
        <w:t xml:space="preserve">concept of cross-cutting themes, with particular focus upon their integration and assessment within </w:t>
      </w:r>
      <w:r w:rsidR="001A5FA2">
        <w:rPr>
          <w:sz w:val="24"/>
        </w:rPr>
        <w:lastRenderedPageBreak/>
        <w:t xml:space="preserve">learning programmes. It is intended also to scrutinise the argument for and against this approach in Higher Education, and to discuss and explore different approaches to help facilitate the embedding of cross-cutting themes in the day to day approach of the contemporary educator. </w:t>
      </w:r>
      <w:r w:rsidR="00A9072B">
        <w:rPr>
          <w:sz w:val="24"/>
        </w:rPr>
        <w:t xml:space="preserve">Furthermore, it is intended that this section could look at issues surrounding the implementation of cross-cutting themes, and look to suggest and explore both the techniques, and the standards which may be required of educators, to ensure that there is a consistency demonstrated across the HE sector. </w:t>
      </w:r>
      <w:r w:rsidR="00AE582B">
        <w:rPr>
          <w:sz w:val="24"/>
        </w:rPr>
        <w:t>In the third section</w:t>
      </w:r>
      <w:r w:rsidR="001A5FA2">
        <w:rPr>
          <w:sz w:val="24"/>
        </w:rPr>
        <w:t>, we will look at defining and analysing contemporary assessment strategies and techniques, with particular focus on demonstrating a critical understanding of differentiation and assessment</w:t>
      </w:r>
      <w:r w:rsidR="00AE582B">
        <w:rPr>
          <w:sz w:val="24"/>
        </w:rPr>
        <w:t>, of and for</w:t>
      </w:r>
      <w:r w:rsidR="001A5FA2">
        <w:rPr>
          <w:sz w:val="24"/>
        </w:rPr>
        <w:t xml:space="preserve"> learning. Finally, the last section of this assignment will assess and critically evaluate a micro-teaching session delivered to peers, which incorporated the</w:t>
      </w:r>
      <w:r w:rsidR="00AE582B">
        <w:rPr>
          <w:sz w:val="24"/>
        </w:rPr>
        <w:t xml:space="preserve"> use of contemporary pedagogies throughout. The purpose of this section is to look at individual progression, and to try to discover and critique honestly, through reflective thought, the validity and success of said session. With this consideration in mind, and also due to the individual nature of this section of the assignment, there will be </w:t>
      </w:r>
      <w:r w:rsidR="00A9072B">
        <w:rPr>
          <w:sz w:val="24"/>
        </w:rPr>
        <w:t>requirement to divert briefly</w:t>
      </w:r>
      <w:r w:rsidR="00AE582B">
        <w:rPr>
          <w:sz w:val="24"/>
        </w:rPr>
        <w:t xml:space="preserve"> from the usual academic style of third</w:t>
      </w:r>
      <w:r w:rsidR="00A9072B">
        <w:rPr>
          <w:sz w:val="24"/>
        </w:rPr>
        <w:t>-person writing, and to therefore revert</w:t>
      </w:r>
      <w:r w:rsidR="00AE582B">
        <w:rPr>
          <w:sz w:val="24"/>
        </w:rPr>
        <w:t xml:space="preserve"> at that point to a first person narrative approach.  There will be reference to, and critical analysis and review of current literature related to the contemporary pedagogies throughout, with particular attention paid to those utilised during the micro-teach session. </w:t>
      </w:r>
      <w:r w:rsidR="001A5FA2">
        <w:rPr>
          <w:sz w:val="24"/>
        </w:rPr>
        <w:t xml:space="preserve"> </w:t>
      </w:r>
    </w:p>
    <w:p w14:paraId="67981640" w14:textId="77777777" w:rsidR="0087029A" w:rsidRDefault="0087029A" w:rsidP="001A5FA2">
      <w:pPr>
        <w:spacing w:line="360" w:lineRule="auto"/>
        <w:ind w:hanging="22"/>
        <w:jc w:val="both"/>
        <w:rPr>
          <w:sz w:val="24"/>
        </w:rPr>
      </w:pPr>
    </w:p>
    <w:p w14:paraId="3278735C" w14:textId="32CB48AD" w:rsidR="003E1313" w:rsidRDefault="003E1313" w:rsidP="003E1313">
      <w:pPr>
        <w:spacing w:line="360" w:lineRule="auto"/>
        <w:ind w:left="567" w:right="521" w:hanging="22"/>
        <w:jc w:val="both"/>
        <w:rPr>
          <w:i/>
          <w:sz w:val="24"/>
        </w:rPr>
      </w:pPr>
      <w:r>
        <w:rPr>
          <w:i/>
          <w:sz w:val="24"/>
        </w:rPr>
        <w:t xml:space="preserve">‘Pedagogy determines how teachers think and act. Pedagogy affects students’ lives and expectations. Pedagogy is the framework for discussion about teaching and the process by which we do our jobs as teachers’ Pedagogy is a body of knowledge that defines us as professionals. Pedagogy is a belief that all children can learn and that it is the duty of the adult to participate in that growth and development. Pedagogy is a definition of culture and a means to transmit that culture to the next generation’ </w:t>
      </w:r>
      <w:r w:rsidRPr="003E1313">
        <w:rPr>
          <w:i/>
          <w:sz w:val="24"/>
        </w:rPr>
        <w:t>(Kincheloe and Steinberg, 2005)</w:t>
      </w:r>
      <w:r>
        <w:rPr>
          <w:i/>
          <w:sz w:val="24"/>
        </w:rPr>
        <w:t>.</w:t>
      </w:r>
    </w:p>
    <w:p w14:paraId="3BAFE1BA" w14:textId="77777777" w:rsidR="0087029A" w:rsidRPr="003E1313" w:rsidRDefault="0087029A" w:rsidP="003E1313">
      <w:pPr>
        <w:spacing w:line="360" w:lineRule="auto"/>
        <w:ind w:left="567" w:right="521" w:hanging="22"/>
        <w:jc w:val="both"/>
        <w:rPr>
          <w:i/>
          <w:sz w:val="24"/>
        </w:rPr>
      </w:pPr>
      <w:bookmarkStart w:id="0" w:name="_GoBack"/>
      <w:bookmarkEnd w:id="0"/>
    </w:p>
    <w:p w14:paraId="31252301" w14:textId="0EDBD1E5" w:rsidR="004E4C9C" w:rsidRDefault="00A77427" w:rsidP="001A5FA2">
      <w:pPr>
        <w:spacing w:line="360" w:lineRule="auto"/>
        <w:ind w:hanging="22"/>
        <w:jc w:val="both"/>
        <w:rPr>
          <w:sz w:val="24"/>
        </w:rPr>
      </w:pPr>
      <w:r>
        <w:rPr>
          <w:sz w:val="24"/>
        </w:rPr>
        <w:t xml:space="preserve">Pedagogy as a word, is quite simple to define, should one require a simple definition at least. However, as with all very important and difficult words, the history of the battle to own its definition, can give great insight into the complexity of the word itself. </w:t>
      </w:r>
      <w:r w:rsidR="00D77CBF">
        <w:rPr>
          <w:sz w:val="24"/>
        </w:rPr>
        <w:t xml:space="preserve">Pedagogy is defined by most dictionaries as ‘the method and practice of teaching, especially as an academic subject or theoretical concept’ </w:t>
      </w:r>
      <w:r w:rsidR="00D77CBF" w:rsidRPr="00D77CBF">
        <w:rPr>
          <w:sz w:val="24"/>
        </w:rPr>
        <w:t>(The Oxford English dictionary, 2018)</w:t>
      </w:r>
      <w:r w:rsidR="00D77CBF">
        <w:rPr>
          <w:sz w:val="24"/>
        </w:rPr>
        <w:t>, and it</w:t>
      </w:r>
      <w:r w:rsidR="0044718C">
        <w:rPr>
          <w:sz w:val="24"/>
        </w:rPr>
        <w:t>s</w:t>
      </w:r>
      <w:r w:rsidR="00D77CBF">
        <w:rPr>
          <w:sz w:val="24"/>
        </w:rPr>
        <w:t xml:space="preserve"> origin is Greek, </w:t>
      </w:r>
      <w:r w:rsidR="0044718C">
        <w:rPr>
          <w:sz w:val="24"/>
        </w:rPr>
        <w:t xml:space="preserve">derived </w:t>
      </w:r>
      <w:r w:rsidR="00D77CBF">
        <w:rPr>
          <w:sz w:val="24"/>
        </w:rPr>
        <w:t xml:space="preserve">from the word ‘paidagogos’, or ‘boy leader’, or ‘servant whose office it was to take the children to school’ </w:t>
      </w:r>
      <w:r w:rsidR="00D77CBF" w:rsidRPr="00D77CBF">
        <w:rPr>
          <w:sz w:val="24"/>
        </w:rPr>
        <w:t>(Young, 2009)</w:t>
      </w:r>
      <w:r w:rsidR="00D77CBF">
        <w:rPr>
          <w:sz w:val="24"/>
        </w:rPr>
        <w:t xml:space="preserve">. </w:t>
      </w:r>
      <w:r w:rsidR="0044718C">
        <w:rPr>
          <w:sz w:val="24"/>
        </w:rPr>
        <w:t xml:space="preserve">The difficulty with definition arises when we look at further definitions, like the Merriam-Webster online dictionary, which bills itself as ‘America’s Most Trusted Dictionary’. In that publication pedagogy is described as ‘the art, science or profession of teaching’ </w:t>
      </w:r>
      <w:r w:rsidR="0044718C" w:rsidRPr="0044718C">
        <w:rPr>
          <w:sz w:val="24"/>
        </w:rPr>
        <w:t>(Merriam-webster.com, 2019)</w:t>
      </w:r>
      <w:r w:rsidR="0044718C">
        <w:rPr>
          <w:sz w:val="24"/>
        </w:rPr>
        <w:t xml:space="preserve">. For </w:t>
      </w:r>
      <w:r w:rsidR="0044718C">
        <w:rPr>
          <w:sz w:val="24"/>
        </w:rPr>
        <w:lastRenderedPageBreak/>
        <w:t>those with an enquiring, or some might say, pedantic mind; the question instantly arises: ‘Which is it then, an art, a science, or a profession?’ Those words themselves beg definition and dissection, and are themselves</w:t>
      </w:r>
      <w:r w:rsidR="00EE2A63">
        <w:rPr>
          <w:sz w:val="24"/>
        </w:rPr>
        <w:t>,</w:t>
      </w:r>
      <w:r w:rsidR="0044718C">
        <w:rPr>
          <w:sz w:val="24"/>
        </w:rPr>
        <w:t xml:space="preserve"> open to multiple interpretations depending on </w:t>
      </w:r>
      <w:r w:rsidR="00EE2A63">
        <w:rPr>
          <w:sz w:val="24"/>
        </w:rPr>
        <w:t>perspective and context. They could also be said, particularly with regard to ‘art’ and ‘science, to be in direct opposition to each other</w:t>
      </w:r>
      <w:r w:rsidR="00C171D8">
        <w:rPr>
          <w:sz w:val="24"/>
        </w:rPr>
        <w:t>,</w:t>
      </w:r>
      <w:r w:rsidR="00EE2A63">
        <w:rPr>
          <w:sz w:val="24"/>
        </w:rPr>
        <w:t xml:space="preserve"> </w:t>
      </w:r>
      <w:r w:rsidR="00EE2A63" w:rsidRPr="00EE2A63">
        <w:rPr>
          <w:sz w:val="24"/>
        </w:rPr>
        <w:t>(Buczkowski and Klawiter, 1986)</w:t>
      </w:r>
      <w:r w:rsidR="00EE2A63">
        <w:rPr>
          <w:sz w:val="24"/>
        </w:rPr>
        <w:t xml:space="preserve"> and </w:t>
      </w:r>
      <w:r w:rsidR="00C171D8">
        <w:rPr>
          <w:sz w:val="24"/>
        </w:rPr>
        <w:t xml:space="preserve">are </w:t>
      </w:r>
      <w:r w:rsidR="00EE2A63">
        <w:rPr>
          <w:sz w:val="24"/>
        </w:rPr>
        <w:t xml:space="preserve">therefore contradictory. However, this is probably an insightful indication of the importance of the word in general, and the struggle and requirement for continuous redefinition, </w:t>
      </w:r>
      <w:r w:rsidR="00C171D8">
        <w:rPr>
          <w:sz w:val="24"/>
        </w:rPr>
        <w:t xml:space="preserve">and to be responsible for redefinition, </w:t>
      </w:r>
      <w:r w:rsidR="00EE2A63">
        <w:rPr>
          <w:sz w:val="24"/>
        </w:rPr>
        <w:t xml:space="preserve">perhaps signifies a word which is required to evolve as the theoretical underpinning </w:t>
      </w:r>
      <w:r w:rsidR="00C171D8">
        <w:rPr>
          <w:sz w:val="24"/>
        </w:rPr>
        <w:t xml:space="preserve">which define and demonstrate its definition </w:t>
      </w:r>
      <w:r w:rsidR="00EE2A63">
        <w:rPr>
          <w:sz w:val="24"/>
        </w:rPr>
        <w:t xml:space="preserve">is fluid, and each generation of educator wishes to redefine the word in their image, and to represent their </w:t>
      </w:r>
      <w:r w:rsidR="00C171D8">
        <w:rPr>
          <w:sz w:val="24"/>
        </w:rPr>
        <w:t xml:space="preserve">individual </w:t>
      </w:r>
      <w:r w:rsidR="00EE2A63">
        <w:rPr>
          <w:sz w:val="24"/>
        </w:rPr>
        <w:t xml:space="preserve">place in </w:t>
      </w:r>
      <w:r w:rsidR="00C171D8">
        <w:rPr>
          <w:sz w:val="24"/>
        </w:rPr>
        <w:t xml:space="preserve">its </w:t>
      </w:r>
      <w:r w:rsidR="00EE2A63">
        <w:rPr>
          <w:sz w:val="24"/>
        </w:rPr>
        <w:t>history. To further complicate matters, t</w:t>
      </w:r>
      <w:r w:rsidR="00D77CBF">
        <w:rPr>
          <w:sz w:val="24"/>
        </w:rPr>
        <w:t>here is also another word which it is worth noting at this point, that being ‘andragogy’</w:t>
      </w:r>
      <w:r w:rsidR="00EE2A63">
        <w:rPr>
          <w:sz w:val="24"/>
        </w:rPr>
        <w:t>. Andragogy</w:t>
      </w:r>
      <w:r w:rsidR="00D77CBF">
        <w:rPr>
          <w:sz w:val="24"/>
        </w:rPr>
        <w:t xml:space="preserve"> can be defined as ‘the art and science of helping adults learn’ </w:t>
      </w:r>
      <w:r w:rsidR="00D77CBF" w:rsidRPr="00D77CBF">
        <w:rPr>
          <w:sz w:val="24"/>
        </w:rPr>
        <w:t>(Holmes and Abington-Cooper, 2000)</w:t>
      </w:r>
      <w:r w:rsidR="00EE2A63">
        <w:rPr>
          <w:sz w:val="24"/>
        </w:rPr>
        <w:t xml:space="preserve">, </w:t>
      </w:r>
      <w:r w:rsidR="00A717EF">
        <w:rPr>
          <w:sz w:val="24"/>
        </w:rPr>
        <w:t xml:space="preserve">and according to most sources, was coined by a German school teacher in 1833 called Alexander Kapp, who ‘used the word to describe the educational paradigm employed by the Greek philosopher Plato’ </w:t>
      </w:r>
      <w:r w:rsidR="00A717EF" w:rsidRPr="00A717EF">
        <w:rPr>
          <w:sz w:val="24"/>
        </w:rPr>
        <w:t>(Ozuah, 2016)</w:t>
      </w:r>
      <w:r w:rsidR="00A717EF">
        <w:rPr>
          <w:sz w:val="24"/>
        </w:rPr>
        <w:t xml:space="preserve">. </w:t>
      </w:r>
      <w:r w:rsidR="003E1313">
        <w:rPr>
          <w:sz w:val="24"/>
        </w:rPr>
        <w:t xml:space="preserve">Its use was not particularly common until Eduard C. Lindeman, who was a contemporary </w:t>
      </w:r>
      <w:r w:rsidR="009D4FAD">
        <w:rPr>
          <w:sz w:val="24"/>
        </w:rPr>
        <w:t>and friend of pioneering educational theorist John Dewey</w:t>
      </w:r>
      <w:r w:rsidR="00C171D8">
        <w:rPr>
          <w:sz w:val="24"/>
        </w:rPr>
        <w:t>,</w:t>
      </w:r>
      <w:r w:rsidR="003E1313">
        <w:rPr>
          <w:sz w:val="24"/>
        </w:rPr>
        <w:t xml:space="preserve"> began to investigate and further define the term </w:t>
      </w:r>
      <w:r w:rsidR="009D4FAD">
        <w:rPr>
          <w:sz w:val="24"/>
        </w:rPr>
        <w:t>during</w:t>
      </w:r>
      <w:r w:rsidR="003E1313">
        <w:rPr>
          <w:sz w:val="24"/>
        </w:rPr>
        <w:t xml:space="preserve"> 1926</w:t>
      </w:r>
      <w:r w:rsidR="00C171D8">
        <w:rPr>
          <w:sz w:val="24"/>
        </w:rPr>
        <w:t>,</w:t>
      </w:r>
      <w:r w:rsidR="009D4FAD">
        <w:rPr>
          <w:sz w:val="24"/>
        </w:rPr>
        <w:t xml:space="preserve"> in </w:t>
      </w:r>
      <w:r w:rsidR="00C171D8">
        <w:rPr>
          <w:sz w:val="24"/>
        </w:rPr>
        <w:t>his book</w:t>
      </w:r>
      <w:r w:rsidR="009D4FAD">
        <w:rPr>
          <w:sz w:val="24"/>
        </w:rPr>
        <w:t xml:space="preserve"> ‘The Meaning of Adult Education’. In this work Lindemann differentiated between education for children and </w:t>
      </w:r>
      <w:r w:rsidR="009D4FAD">
        <w:rPr>
          <w:sz w:val="24"/>
        </w:rPr>
        <w:lastRenderedPageBreak/>
        <w:t xml:space="preserve">education for adults, stating that the approach to adult learning ‘will be via the root of problem solving, not subjects’ </w:t>
      </w:r>
      <w:r w:rsidR="009D4FAD" w:rsidRPr="009D4FAD">
        <w:rPr>
          <w:sz w:val="24"/>
        </w:rPr>
        <w:t>(Lindeman and Long, 1989)</w:t>
      </w:r>
      <w:r w:rsidR="009D4FAD">
        <w:rPr>
          <w:sz w:val="24"/>
        </w:rPr>
        <w:t>, and also, perhaps more importantly for the purposes of this work, looked to reinterpret the function of the teacher in adult education. Lindemann stated that specifically within the sphere of adult education, that the role of the teacher required redefinition; in order to move away from being ‘the oracle who speaks from the platform of authority’</w:t>
      </w:r>
      <w:r w:rsidR="004E4C9C">
        <w:rPr>
          <w:sz w:val="24"/>
        </w:rPr>
        <w:t>,</w:t>
      </w:r>
      <w:r w:rsidR="009D4FAD">
        <w:rPr>
          <w:sz w:val="24"/>
        </w:rPr>
        <w:t xml:space="preserve"> and recommended that</w:t>
      </w:r>
      <w:r w:rsidR="00C171D8">
        <w:rPr>
          <w:sz w:val="24"/>
        </w:rPr>
        <w:t xml:space="preserve"> instead, teachers</w:t>
      </w:r>
      <w:r w:rsidR="009D4FAD">
        <w:rPr>
          <w:sz w:val="24"/>
        </w:rPr>
        <w:t xml:space="preserve"> are ‘the guide, the poin</w:t>
      </w:r>
      <w:r w:rsidR="00C171D8">
        <w:rPr>
          <w:sz w:val="24"/>
        </w:rPr>
        <w:t>t</w:t>
      </w:r>
      <w:r w:rsidR="009D4FAD">
        <w:rPr>
          <w:sz w:val="24"/>
        </w:rPr>
        <w:t xml:space="preserve">er-out who also participates in learning in proportion to the vitality and relevance of his facts and experiences’ </w:t>
      </w:r>
      <w:r w:rsidR="00C171D8">
        <w:rPr>
          <w:sz w:val="24"/>
        </w:rPr>
        <w:t>(Lindemann, 1926). To read this now in 2019, it is striking how modernistic this approach is in it</w:t>
      </w:r>
      <w:r w:rsidR="004E4C9C">
        <w:rPr>
          <w:sz w:val="24"/>
        </w:rPr>
        <w:t xml:space="preserve">s concept, particularly considering some of </w:t>
      </w:r>
      <w:r w:rsidR="00C171D8">
        <w:rPr>
          <w:sz w:val="24"/>
        </w:rPr>
        <w:t xml:space="preserve">the current advice for working with millennials who have grown up as digital natives, for whom it could be suggested that the internet is now the ‘fountain of knowledge’ and that ‘discovery, assessment and application’ have ‘become much more important for classroom practice’ </w:t>
      </w:r>
      <w:r w:rsidR="00C171D8" w:rsidRPr="00C171D8">
        <w:rPr>
          <w:sz w:val="24"/>
        </w:rPr>
        <w:t>(Ferris, 2014)</w:t>
      </w:r>
      <w:r w:rsidR="00C171D8">
        <w:rPr>
          <w:sz w:val="24"/>
        </w:rPr>
        <w:t xml:space="preserve">.  </w:t>
      </w:r>
      <w:r w:rsidR="004E4C9C">
        <w:rPr>
          <w:sz w:val="24"/>
        </w:rPr>
        <w:t xml:space="preserve">However you wish to define the word, and as this brief introduction has hopefully demonstrated, there are many, many different viewpoints, perspectives, motivations, and imperatives in place to desire to do so; it is a clearly however a word which is inseparable from the processes of education, from compulsory schooling, right up to Higher Education and professional development.  </w:t>
      </w:r>
    </w:p>
    <w:p w14:paraId="1BB7F532" w14:textId="41F42737" w:rsidR="004E4C9C" w:rsidRDefault="004E4C9C" w:rsidP="00123EC6">
      <w:pPr>
        <w:spacing w:line="360" w:lineRule="auto"/>
        <w:ind w:hanging="22"/>
        <w:jc w:val="both"/>
        <w:rPr>
          <w:sz w:val="24"/>
        </w:rPr>
      </w:pPr>
      <w:r>
        <w:rPr>
          <w:sz w:val="24"/>
        </w:rPr>
        <w:lastRenderedPageBreak/>
        <w:t xml:space="preserve">As we have seen in the previous section, </w:t>
      </w:r>
      <w:r w:rsidR="00951339">
        <w:rPr>
          <w:sz w:val="24"/>
        </w:rPr>
        <w:t>a concise</w:t>
      </w:r>
      <w:r>
        <w:rPr>
          <w:sz w:val="24"/>
        </w:rPr>
        <w:t xml:space="preserve"> definition of the word ‘pedagogy’ is in itself fraught with difficulties, and</w:t>
      </w:r>
      <w:r w:rsidR="00E02FBB">
        <w:rPr>
          <w:sz w:val="24"/>
        </w:rPr>
        <w:t xml:space="preserve"> without question inescapably</w:t>
      </w:r>
      <w:r>
        <w:rPr>
          <w:sz w:val="24"/>
        </w:rPr>
        <w:t xml:space="preserve"> </w:t>
      </w:r>
      <w:r w:rsidR="00E02FBB">
        <w:rPr>
          <w:sz w:val="24"/>
        </w:rPr>
        <w:t xml:space="preserve">and </w:t>
      </w:r>
      <w:r>
        <w:rPr>
          <w:sz w:val="24"/>
        </w:rPr>
        <w:t xml:space="preserve">intrinsically intertwined with the </w:t>
      </w:r>
      <w:r w:rsidR="00951339">
        <w:rPr>
          <w:sz w:val="24"/>
        </w:rPr>
        <w:t xml:space="preserve">historical </w:t>
      </w:r>
      <w:r>
        <w:rPr>
          <w:sz w:val="24"/>
        </w:rPr>
        <w:t>narrative of educational theory</w:t>
      </w:r>
      <w:r w:rsidR="00E02FBB">
        <w:rPr>
          <w:sz w:val="24"/>
        </w:rPr>
        <w:t>,</w:t>
      </w:r>
      <w:r>
        <w:rPr>
          <w:sz w:val="24"/>
        </w:rPr>
        <w:t xml:space="preserve"> from the time of the Ancient Greeks, right up until the present day. However, as Phaedrus, the consciousness that once possessed the body of the narrator of Robert Pirsig in his novel ‘Zen and The Art of Motorcycle Maintenance’, we, for the purposes of this work, must ‘cut deeper and deeper to get at the root of it’ </w:t>
      </w:r>
      <w:r w:rsidR="00FD0A5A" w:rsidRPr="00FD0A5A">
        <w:rPr>
          <w:sz w:val="24"/>
        </w:rPr>
        <w:t>(Pirsig, 2014)</w:t>
      </w:r>
      <w:r w:rsidR="00FD0A5A">
        <w:rPr>
          <w:sz w:val="24"/>
        </w:rPr>
        <w:t xml:space="preserve">. In order to that successfully it is perhaps best at this point to cut pedagogy into its constituent parts, as they are understood today, and look for </w:t>
      </w:r>
      <w:r w:rsidR="00E81307">
        <w:rPr>
          <w:sz w:val="24"/>
        </w:rPr>
        <w:t xml:space="preserve">insight and </w:t>
      </w:r>
      <w:r w:rsidR="00FD0A5A">
        <w:rPr>
          <w:sz w:val="24"/>
        </w:rPr>
        <w:t xml:space="preserve">answers </w:t>
      </w:r>
      <w:r w:rsidR="00E81307">
        <w:rPr>
          <w:sz w:val="24"/>
        </w:rPr>
        <w:t xml:space="preserve">within them. </w:t>
      </w:r>
      <w:r w:rsidR="00E02FBB">
        <w:rPr>
          <w:sz w:val="24"/>
        </w:rPr>
        <w:t xml:space="preserve">The first division will briefly look at </w:t>
      </w:r>
      <w:r w:rsidR="00123EC6">
        <w:rPr>
          <w:sz w:val="24"/>
        </w:rPr>
        <w:t xml:space="preserve">two of </w:t>
      </w:r>
      <w:r w:rsidR="00E02FBB">
        <w:rPr>
          <w:sz w:val="24"/>
        </w:rPr>
        <w:t>the main learning theories of the 20</w:t>
      </w:r>
      <w:r w:rsidR="00E02FBB" w:rsidRPr="00E02FBB">
        <w:rPr>
          <w:sz w:val="24"/>
          <w:vertAlign w:val="superscript"/>
        </w:rPr>
        <w:t>th</w:t>
      </w:r>
      <w:r w:rsidR="00E02FBB">
        <w:rPr>
          <w:sz w:val="24"/>
        </w:rPr>
        <w:t xml:space="preserve"> and 21</w:t>
      </w:r>
      <w:r w:rsidR="00E02FBB" w:rsidRPr="00E02FBB">
        <w:rPr>
          <w:sz w:val="24"/>
          <w:vertAlign w:val="superscript"/>
        </w:rPr>
        <w:t>st</w:t>
      </w:r>
      <w:r w:rsidR="00E02FBB">
        <w:rPr>
          <w:sz w:val="24"/>
        </w:rPr>
        <w:t xml:space="preserve"> centuries; those being Behaviou</w:t>
      </w:r>
      <w:r w:rsidR="00951339">
        <w:rPr>
          <w:sz w:val="24"/>
        </w:rPr>
        <w:t>rism</w:t>
      </w:r>
      <w:r w:rsidR="00E02FBB">
        <w:rPr>
          <w:sz w:val="24"/>
        </w:rPr>
        <w:t xml:space="preserve"> and Constructivism. </w:t>
      </w:r>
    </w:p>
    <w:p w14:paraId="6CC068B6" w14:textId="5563CA41" w:rsidR="00E81307" w:rsidRDefault="00E81307" w:rsidP="001A5FA2">
      <w:pPr>
        <w:spacing w:line="360" w:lineRule="auto"/>
        <w:ind w:hanging="22"/>
        <w:jc w:val="both"/>
        <w:rPr>
          <w:sz w:val="24"/>
        </w:rPr>
      </w:pPr>
      <w:r>
        <w:rPr>
          <w:sz w:val="24"/>
        </w:rPr>
        <w:t xml:space="preserve">During the 1970’s and 1980’s ‘behaviourism was dominant epistemology in education’ </w:t>
      </w:r>
      <w:r w:rsidRPr="00E81307">
        <w:rPr>
          <w:sz w:val="24"/>
        </w:rPr>
        <w:t>(Bichelmeyer and Hsu, 1999)</w:t>
      </w:r>
      <w:r>
        <w:rPr>
          <w:sz w:val="24"/>
        </w:rPr>
        <w:t xml:space="preserve">, and it could be said that its emergence at the beginning </w:t>
      </w:r>
      <w:r w:rsidR="00794F01">
        <w:rPr>
          <w:sz w:val="24"/>
        </w:rPr>
        <w:t>o</w:t>
      </w:r>
      <w:r>
        <w:rPr>
          <w:sz w:val="24"/>
        </w:rPr>
        <w:t>f the 20</w:t>
      </w:r>
      <w:r w:rsidRPr="00E81307">
        <w:rPr>
          <w:sz w:val="24"/>
          <w:vertAlign w:val="superscript"/>
        </w:rPr>
        <w:t>th</w:t>
      </w:r>
      <w:r>
        <w:rPr>
          <w:sz w:val="24"/>
        </w:rPr>
        <w:t xml:space="preserve"> </w:t>
      </w:r>
      <w:r w:rsidR="00794F01">
        <w:rPr>
          <w:sz w:val="24"/>
        </w:rPr>
        <w:t>Century</w:t>
      </w:r>
      <w:r>
        <w:rPr>
          <w:sz w:val="24"/>
        </w:rPr>
        <w:t xml:space="preserve"> </w:t>
      </w:r>
      <w:r w:rsidR="00794F01">
        <w:rPr>
          <w:sz w:val="24"/>
        </w:rPr>
        <w:t>was</w:t>
      </w:r>
      <w:r>
        <w:rPr>
          <w:sz w:val="24"/>
        </w:rPr>
        <w:t xml:space="preserve"> a ‘reaction to the non-scientific or non-empirical and </w:t>
      </w:r>
      <w:r w:rsidR="00794F01">
        <w:rPr>
          <w:sz w:val="24"/>
        </w:rPr>
        <w:t xml:space="preserve">prescriptive analysis of learning which prevailed during that period’ </w:t>
      </w:r>
      <w:r w:rsidR="00794F01" w:rsidRPr="00794F01">
        <w:rPr>
          <w:sz w:val="24"/>
        </w:rPr>
        <w:t>(Rogers, 2013)</w:t>
      </w:r>
      <w:r w:rsidR="00794F01">
        <w:rPr>
          <w:sz w:val="24"/>
        </w:rPr>
        <w:t>. Notable exponents and advocates of the behaviourist approach, included B. F Skinner, Pavlov, Watson and Thorndike</w:t>
      </w:r>
      <w:r w:rsidR="005F3EED">
        <w:rPr>
          <w:sz w:val="24"/>
        </w:rPr>
        <w:t>, and a</w:t>
      </w:r>
      <w:r w:rsidR="00794F01">
        <w:rPr>
          <w:sz w:val="24"/>
        </w:rPr>
        <w:t>t its core, or centre, behaviourism ‘equates learning with changes in either form or frequency of observable performance’</w:t>
      </w:r>
      <w:r w:rsidR="006C6229">
        <w:rPr>
          <w:sz w:val="24"/>
        </w:rPr>
        <w:t xml:space="preserve"> </w:t>
      </w:r>
      <w:r w:rsidR="006C6229" w:rsidRPr="006C6229">
        <w:rPr>
          <w:sz w:val="24"/>
        </w:rPr>
        <w:t>(Ertmer and Newby, 2008)</w:t>
      </w:r>
      <w:r w:rsidR="00C607EC">
        <w:rPr>
          <w:sz w:val="24"/>
        </w:rPr>
        <w:t xml:space="preserve">. </w:t>
      </w:r>
      <w:r w:rsidR="00951339">
        <w:rPr>
          <w:sz w:val="24"/>
        </w:rPr>
        <w:t xml:space="preserve">John B. Watson is </w:t>
      </w:r>
      <w:r w:rsidR="00AA529E">
        <w:rPr>
          <w:sz w:val="24"/>
        </w:rPr>
        <w:t>s</w:t>
      </w:r>
      <w:r w:rsidR="00951339">
        <w:rPr>
          <w:sz w:val="24"/>
        </w:rPr>
        <w:t xml:space="preserve">een </w:t>
      </w:r>
      <w:r w:rsidR="00AA529E">
        <w:rPr>
          <w:sz w:val="24"/>
        </w:rPr>
        <w:t xml:space="preserve">by many </w:t>
      </w:r>
      <w:r w:rsidR="00951339">
        <w:rPr>
          <w:sz w:val="24"/>
        </w:rPr>
        <w:t xml:space="preserve">as </w:t>
      </w:r>
      <w:r w:rsidR="00AA529E">
        <w:rPr>
          <w:sz w:val="24"/>
        </w:rPr>
        <w:t xml:space="preserve">the chief instigator </w:t>
      </w:r>
      <w:r w:rsidR="00857DD3">
        <w:rPr>
          <w:sz w:val="24"/>
        </w:rPr>
        <w:t>and origin of the behavioural movement;</w:t>
      </w:r>
      <w:r w:rsidR="00AA529E">
        <w:rPr>
          <w:sz w:val="24"/>
        </w:rPr>
        <w:t xml:space="preserve"> and as is prevalent in many </w:t>
      </w:r>
      <w:r w:rsidR="00AA529E">
        <w:rPr>
          <w:sz w:val="24"/>
        </w:rPr>
        <w:lastRenderedPageBreak/>
        <w:t>facets of academia, his theory was envisaged in order to disprove establishe</w:t>
      </w:r>
      <w:r w:rsidR="00857DD3">
        <w:rPr>
          <w:sz w:val="24"/>
        </w:rPr>
        <w:t>d theories, and to replace them. I</w:t>
      </w:r>
      <w:r w:rsidR="00AA529E">
        <w:rPr>
          <w:sz w:val="24"/>
        </w:rPr>
        <w:t xml:space="preserve">n this case the two </w:t>
      </w:r>
      <w:r w:rsidR="00857DD3">
        <w:rPr>
          <w:sz w:val="24"/>
        </w:rPr>
        <w:t xml:space="preserve">established </w:t>
      </w:r>
      <w:r w:rsidR="00AA529E">
        <w:rPr>
          <w:sz w:val="24"/>
        </w:rPr>
        <w:t>theories were functionalism and structuralism</w:t>
      </w:r>
      <w:r w:rsidR="008A50AE">
        <w:rPr>
          <w:sz w:val="24"/>
        </w:rPr>
        <w:t xml:space="preserve"> </w:t>
      </w:r>
      <w:r w:rsidR="008A50AE" w:rsidRPr="00AA529E">
        <w:rPr>
          <w:sz w:val="24"/>
        </w:rPr>
        <w:t>(Moore, 2011)</w:t>
      </w:r>
      <w:r w:rsidR="008A50AE">
        <w:rPr>
          <w:sz w:val="24"/>
        </w:rPr>
        <w:t>.</w:t>
      </w:r>
      <w:r w:rsidR="00857DD3">
        <w:rPr>
          <w:sz w:val="24"/>
        </w:rPr>
        <w:t xml:space="preserve"> </w:t>
      </w:r>
      <w:r w:rsidR="008A50AE">
        <w:rPr>
          <w:sz w:val="24"/>
        </w:rPr>
        <w:t>Structuralism could possibly be best described as</w:t>
      </w:r>
      <w:r w:rsidR="00857DD3">
        <w:rPr>
          <w:sz w:val="24"/>
        </w:rPr>
        <w:t xml:space="preserve"> </w:t>
      </w:r>
      <w:r w:rsidR="008A50AE">
        <w:rPr>
          <w:sz w:val="24"/>
        </w:rPr>
        <w:t xml:space="preserve">‘fundamentally a way of thinking about the world which is predominantly concerned with the perception and description of structures’, with Jean Piaget, a very notable name in the field of educational theory, positing the viewpoint that structure ‘can be observed in an arrangement of entities which embodies the fundamental ideas of wholeness, transformation, and self-regulation’ </w:t>
      </w:r>
      <w:r w:rsidR="008A50AE" w:rsidRPr="008A50AE">
        <w:rPr>
          <w:sz w:val="24"/>
        </w:rPr>
        <w:t>(Hawkes, 1988</w:t>
      </w:r>
      <w:r w:rsidR="008A50AE">
        <w:rPr>
          <w:sz w:val="24"/>
        </w:rPr>
        <w:t>)</w:t>
      </w:r>
      <w:r w:rsidR="00AA529E">
        <w:rPr>
          <w:sz w:val="24"/>
        </w:rPr>
        <w:t xml:space="preserve">. </w:t>
      </w:r>
      <w:r w:rsidR="008A50AE">
        <w:rPr>
          <w:sz w:val="24"/>
        </w:rPr>
        <w:t xml:space="preserve">Functionalism is, by contrast </w:t>
      </w:r>
      <w:r w:rsidR="003423F5">
        <w:rPr>
          <w:sz w:val="24"/>
        </w:rPr>
        <w:t>in the field of educational</w:t>
      </w:r>
      <w:r w:rsidR="008A50AE">
        <w:rPr>
          <w:sz w:val="24"/>
        </w:rPr>
        <w:t xml:space="preserve"> </w:t>
      </w:r>
      <w:r w:rsidR="003423F5">
        <w:rPr>
          <w:sz w:val="24"/>
        </w:rPr>
        <w:t xml:space="preserve">theory at least, firmly rooted in a more sociological perspective, looking more at the role of educational institutions in society, and looking at the relationship between them </w:t>
      </w:r>
      <w:r w:rsidR="003423F5" w:rsidRPr="003423F5">
        <w:rPr>
          <w:sz w:val="24"/>
        </w:rPr>
        <w:t>(Levinson, Cookson and Sadonvil, 2002)</w:t>
      </w:r>
      <w:r w:rsidR="003423F5">
        <w:rPr>
          <w:sz w:val="24"/>
        </w:rPr>
        <w:t xml:space="preserve">. </w:t>
      </w:r>
      <w:r w:rsidR="00AA529E">
        <w:rPr>
          <w:sz w:val="24"/>
        </w:rPr>
        <w:t xml:space="preserve">Watson had been inspired by another luminary in the field of psychology, namely Pavlov, who had come to international prominence following the publication of his seminal work on ‘classical conditioning or the linking of a stimulus, which reliably elicits a specific behavioural response’ </w:t>
      </w:r>
      <w:r w:rsidR="00857DD3" w:rsidRPr="00857DD3">
        <w:rPr>
          <w:sz w:val="24"/>
        </w:rPr>
        <w:t>(Peel, 2005</w:t>
      </w:r>
      <w:r w:rsidR="003423F5">
        <w:rPr>
          <w:sz w:val="24"/>
        </w:rPr>
        <w:t>)</w:t>
      </w:r>
      <w:r w:rsidR="00857DD3">
        <w:rPr>
          <w:sz w:val="24"/>
        </w:rPr>
        <w:t xml:space="preserve">. Pavlov’s famous experiment using dogs and a ringing bell in order to </w:t>
      </w:r>
      <w:r w:rsidR="00543B8D">
        <w:rPr>
          <w:sz w:val="24"/>
        </w:rPr>
        <w:t xml:space="preserve">provoke </w:t>
      </w:r>
      <w:r w:rsidR="00857DD3">
        <w:rPr>
          <w:sz w:val="24"/>
        </w:rPr>
        <w:t>a response to external stimuli, inspired Watson to conduct his own experiments with humans, in order to see if he could use the same methodology to produce a similar result. Watson’s experiment involved conditioning a small child to be afraid of a white rabbit, ‘by repeatedly pairing it with the loud clang of a metal bar’</w:t>
      </w:r>
      <w:r w:rsidR="003423F5">
        <w:rPr>
          <w:sz w:val="24"/>
        </w:rPr>
        <w:t xml:space="preserve"> </w:t>
      </w:r>
      <w:r w:rsidR="003423F5" w:rsidRPr="003423F5">
        <w:rPr>
          <w:sz w:val="24"/>
        </w:rPr>
        <w:t>(Weegar, 2012)</w:t>
      </w:r>
      <w:r w:rsidR="003423F5">
        <w:rPr>
          <w:sz w:val="24"/>
        </w:rPr>
        <w:t>.</w:t>
      </w:r>
      <w:r w:rsidR="00857DD3">
        <w:rPr>
          <w:sz w:val="24"/>
        </w:rPr>
        <w:t xml:space="preserve"> </w:t>
      </w:r>
      <w:r w:rsidR="00C607EC">
        <w:rPr>
          <w:sz w:val="24"/>
        </w:rPr>
        <w:lastRenderedPageBreak/>
        <w:t>Also worth noting is that behaviourist theory originates</w:t>
      </w:r>
      <w:r w:rsidR="005F3EED">
        <w:rPr>
          <w:sz w:val="24"/>
        </w:rPr>
        <w:t xml:space="preserve"> </w:t>
      </w:r>
      <w:r w:rsidR="00C607EC">
        <w:rPr>
          <w:sz w:val="24"/>
        </w:rPr>
        <w:t>from the</w:t>
      </w:r>
      <w:r w:rsidR="005F3EED">
        <w:rPr>
          <w:sz w:val="24"/>
        </w:rPr>
        <w:t xml:space="preserve"> </w:t>
      </w:r>
      <w:r w:rsidR="00C607EC">
        <w:rPr>
          <w:sz w:val="24"/>
        </w:rPr>
        <w:t>discipline</w:t>
      </w:r>
      <w:r w:rsidR="005F3EED">
        <w:rPr>
          <w:sz w:val="24"/>
        </w:rPr>
        <w:t xml:space="preserve"> of clinical psychology, </w:t>
      </w:r>
      <w:r w:rsidR="00085138">
        <w:rPr>
          <w:sz w:val="24"/>
        </w:rPr>
        <w:t>as it was at around the beginning of the 20</w:t>
      </w:r>
      <w:r w:rsidR="00085138" w:rsidRPr="00085138">
        <w:rPr>
          <w:sz w:val="24"/>
          <w:vertAlign w:val="superscript"/>
        </w:rPr>
        <w:t>th</w:t>
      </w:r>
      <w:r w:rsidR="00085138">
        <w:rPr>
          <w:sz w:val="24"/>
        </w:rPr>
        <w:t xml:space="preserve"> Century, </w:t>
      </w:r>
      <w:r w:rsidR="00C607EC">
        <w:rPr>
          <w:sz w:val="24"/>
        </w:rPr>
        <w:t xml:space="preserve">and </w:t>
      </w:r>
      <w:r w:rsidR="005F3EED">
        <w:rPr>
          <w:sz w:val="24"/>
        </w:rPr>
        <w:t xml:space="preserve">is </w:t>
      </w:r>
      <w:r w:rsidR="00C607EC">
        <w:rPr>
          <w:sz w:val="24"/>
        </w:rPr>
        <w:t xml:space="preserve">therefore centred </w:t>
      </w:r>
      <w:r w:rsidR="003423F5">
        <w:rPr>
          <w:sz w:val="24"/>
        </w:rPr>
        <w:t>on</w:t>
      </w:r>
      <w:r w:rsidR="005F3EED">
        <w:rPr>
          <w:sz w:val="24"/>
        </w:rPr>
        <w:t xml:space="preserve"> a rather mechanistic viewpoint of learning and the human capacity to learn</w:t>
      </w:r>
      <w:r w:rsidR="00C607EC">
        <w:rPr>
          <w:sz w:val="24"/>
        </w:rPr>
        <w:t>.</w:t>
      </w:r>
      <w:r w:rsidR="005F3EED">
        <w:rPr>
          <w:sz w:val="24"/>
        </w:rPr>
        <w:t xml:space="preserve"> </w:t>
      </w:r>
      <w:r w:rsidR="002A6682">
        <w:rPr>
          <w:sz w:val="24"/>
        </w:rPr>
        <w:t>The</w:t>
      </w:r>
      <w:r w:rsidR="00C607EC">
        <w:rPr>
          <w:sz w:val="24"/>
        </w:rPr>
        <w:t xml:space="preserve"> overarching focus of the key proponents of this theory</w:t>
      </w:r>
      <w:r w:rsidR="002A6682">
        <w:rPr>
          <w:sz w:val="24"/>
        </w:rPr>
        <w:t xml:space="preserve"> was upo</w:t>
      </w:r>
      <w:r w:rsidR="00E02FBB">
        <w:rPr>
          <w:sz w:val="24"/>
        </w:rPr>
        <w:t>n ‘empirical and discernible behaviours rather than on mental processes’</w:t>
      </w:r>
      <w:r w:rsidR="00C607EC">
        <w:rPr>
          <w:sz w:val="24"/>
        </w:rPr>
        <w:t xml:space="preserve">, and this itself was based upon the desire to keep their research and analysis robust and empirical, ‘challenging the prevalent trend’ </w:t>
      </w:r>
      <w:r w:rsidR="002A6682">
        <w:rPr>
          <w:sz w:val="24"/>
        </w:rPr>
        <w:t xml:space="preserve">in that ‘early period of educational science’ </w:t>
      </w:r>
      <w:r w:rsidR="002A6682" w:rsidRPr="00E02FBB">
        <w:rPr>
          <w:sz w:val="24"/>
        </w:rPr>
        <w:t>(Belanger, 2011)</w:t>
      </w:r>
      <w:r w:rsidR="002A6682">
        <w:rPr>
          <w:sz w:val="24"/>
        </w:rPr>
        <w:t xml:space="preserve">. Behaviourists also </w:t>
      </w:r>
      <w:r w:rsidR="00E6637D">
        <w:rPr>
          <w:sz w:val="24"/>
        </w:rPr>
        <w:t xml:space="preserve">were proponents and advocates of limiting and focusing their analysis to solely observable phenomena, with ‘some behaviourists proposing that if no observable change has happened, no learning has occurred’ </w:t>
      </w:r>
      <w:r w:rsidR="00E6637D" w:rsidRPr="00E6637D">
        <w:rPr>
          <w:sz w:val="24"/>
        </w:rPr>
        <w:t>(Jordan, Carlile and Stack, 2008)</w:t>
      </w:r>
      <w:r w:rsidR="00861779">
        <w:rPr>
          <w:sz w:val="24"/>
        </w:rPr>
        <w:t>.</w:t>
      </w:r>
      <w:r w:rsidR="00E6637D">
        <w:rPr>
          <w:sz w:val="24"/>
        </w:rPr>
        <w:t xml:space="preserve"> </w:t>
      </w:r>
      <w:r w:rsidR="00C607EC">
        <w:rPr>
          <w:sz w:val="24"/>
        </w:rPr>
        <w:t>As Skinner himself s</w:t>
      </w:r>
      <w:r w:rsidR="002A6682">
        <w:rPr>
          <w:sz w:val="24"/>
        </w:rPr>
        <w:t xml:space="preserve">tated, </w:t>
      </w:r>
      <w:r w:rsidR="00E6637D">
        <w:rPr>
          <w:sz w:val="24"/>
        </w:rPr>
        <w:t>‘All we need</w:t>
      </w:r>
      <w:r w:rsidR="003423F5">
        <w:rPr>
          <w:sz w:val="24"/>
        </w:rPr>
        <w:t xml:space="preserve"> </w:t>
      </w:r>
      <w:r w:rsidR="00E6637D">
        <w:rPr>
          <w:sz w:val="24"/>
        </w:rPr>
        <w:t>to know to describe and explain behaviour is this: actions followed by good outcomes a</w:t>
      </w:r>
      <w:r w:rsidR="003423F5">
        <w:rPr>
          <w:sz w:val="24"/>
        </w:rPr>
        <w:t>re</w:t>
      </w:r>
      <w:r w:rsidR="00E6637D">
        <w:rPr>
          <w:sz w:val="24"/>
        </w:rPr>
        <w:t xml:space="preserve"> likely to recur, and actions followed by bad outcomes are less likely to recur’ (Skinner, 1953). Critics of a behaviouristic </w:t>
      </w:r>
      <w:r w:rsidR="00123EC6">
        <w:rPr>
          <w:sz w:val="24"/>
        </w:rPr>
        <w:t xml:space="preserve">approach to learning have challenged the validity of its distinction as even a learning theory, arguing that it is instead a ‘performance and reinforcement theory’, and that ‘studies of latent learning indicate reinforcement influences performance, not learning’ </w:t>
      </w:r>
      <w:r w:rsidR="00123EC6" w:rsidRPr="00123EC6">
        <w:rPr>
          <w:sz w:val="24"/>
        </w:rPr>
        <w:t>(Morgan, Ponticell and Gordon, 1998)</w:t>
      </w:r>
      <w:r w:rsidR="00123EC6">
        <w:rPr>
          <w:sz w:val="24"/>
        </w:rPr>
        <w:t xml:space="preserve">. </w:t>
      </w:r>
      <w:r w:rsidR="00D84F6E">
        <w:rPr>
          <w:sz w:val="24"/>
        </w:rPr>
        <w:t xml:space="preserve">The limitations of a behavioural approach are a direct product of the overall concept, which assumes that all humans are the same, and that they all learn in and retain knowledge in the same manner. This fails to take in account innumerable factors which could affect an individuals’ ability to learn, when held </w:t>
      </w:r>
      <w:r w:rsidR="00D84F6E">
        <w:rPr>
          <w:sz w:val="24"/>
        </w:rPr>
        <w:lastRenderedPageBreak/>
        <w:t xml:space="preserve">in comparison against another. These could include vast swathes of mitigating factors, like socio-economic background, environmental and cultural individualities, as well as assuming a rather simplistic and uniform view of one of the most complicated and still little understood organisms, the human brain.   </w:t>
      </w:r>
    </w:p>
    <w:p w14:paraId="235604EE" w14:textId="44E88AAB" w:rsidR="0087029A" w:rsidRDefault="00861779" w:rsidP="004A2100">
      <w:pPr>
        <w:spacing w:line="360" w:lineRule="auto"/>
        <w:jc w:val="both"/>
        <w:rPr>
          <w:sz w:val="24"/>
        </w:rPr>
      </w:pPr>
      <w:r>
        <w:rPr>
          <w:sz w:val="24"/>
        </w:rPr>
        <w:t xml:space="preserve">Constructivist learning theory, it has been contended, is a theory of learning which states ‘that individuals create their own new understandings on the basis of an interaction between what they already know and believe and ideas and knowledge with which they come into contact’ </w:t>
      </w:r>
      <w:r w:rsidRPr="00861779">
        <w:rPr>
          <w:sz w:val="24"/>
        </w:rPr>
        <w:t>(Richardson, 2003)</w:t>
      </w:r>
      <w:r>
        <w:rPr>
          <w:sz w:val="24"/>
        </w:rPr>
        <w:t xml:space="preserve">.  </w:t>
      </w:r>
      <w:r w:rsidR="00FB3E19">
        <w:rPr>
          <w:sz w:val="24"/>
        </w:rPr>
        <w:t xml:space="preserve">Furthermore a constructivist view of learning would see the process as simply a ‘result of mental construction’ where ‘new information is built into and added onto an individual’s current structure of knowledge, understanding and skills’ </w:t>
      </w:r>
      <w:r w:rsidR="004A2100" w:rsidRPr="004A2100">
        <w:rPr>
          <w:sz w:val="24"/>
        </w:rPr>
        <w:t>(Pritchard, 2008)</w:t>
      </w:r>
      <w:r w:rsidR="004A2100">
        <w:rPr>
          <w:sz w:val="24"/>
        </w:rPr>
        <w:t xml:space="preserve">. </w:t>
      </w:r>
      <w:r>
        <w:rPr>
          <w:sz w:val="24"/>
        </w:rPr>
        <w:t>In this respect the teacher in a constructivist classroom would look to provide the students with the tools to ‘learn how to learn’, as opposed to the more traditional early 20</w:t>
      </w:r>
      <w:r w:rsidRPr="00861779">
        <w:rPr>
          <w:sz w:val="24"/>
          <w:vertAlign w:val="superscript"/>
        </w:rPr>
        <w:t>th</w:t>
      </w:r>
      <w:r>
        <w:rPr>
          <w:sz w:val="24"/>
        </w:rPr>
        <w:t xml:space="preserve"> Century approach of the teacher as the aforementioned </w:t>
      </w:r>
      <w:r w:rsidR="00D84F6E">
        <w:rPr>
          <w:sz w:val="24"/>
        </w:rPr>
        <w:t xml:space="preserve">oracle of knowledge, from whom all information is gleaned and accumulated. </w:t>
      </w:r>
      <w:r w:rsidR="00FB3E19">
        <w:rPr>
          <w:sz w:val="24"/>
        </w:rPr>
        <w:t xml:space="preserve">For the teacher or educator, the onus is </w:t>
      </w:r>
      <w:r w:rsidR="004A2100">
        <w:rPr>
          <w:sz w:val="24"/>
        </w:rPr>
        <w:t>therefore up</w:t>
      </w:r>
      <w:r w:rsidR="00FB3E19">
        <w:rPr>
          <w:sz w:val="24"/>
        </w:rPr>
        <w:t xml:space="preserve">on them to look to focus the learner in thinking about the process of learning itself, and to find ways and techniques to facilitate </w:t>
      </w:r>
      <w:r w:rsidR="004A2100">
        <w:rPr>
          <w:sz w:val="24"/>
        </w:rPr>
        <w:t>this attitude and approach within their l</w:t>
      </w:r>
      <w:r w:rsidR="00FB3E19">
        <w:rPr>
          <w:sz w:val="24"/>
        </w:rPr>
        <w:t>earning envi</w:t>
      </w:r>
      <w:r w:rsidR="004A2100">
        <w:rPr>
          <w:sz w:val="24"/>
        </w:rPr>
        <w:t xml:space="preserve">ronment. </w:t>
      </w:r>
      <w:r w:rsidR="00085138">
        <w:rPr>
          <w:sz w:val="24"/>
        </w:rPr>
        <w:t xml:space="preserve">The most notable luminary of the early constructivist approach is possibly Jean Piaget, who put forth a theory of ‘developmental stages’, which looked to define at what ages children </w:t>
      </w:r>
      <w:r w:rsidR="00416F24">
        <w:rPr>
          <w:sz w:val="24"/>
        </w:rPr>
        <w:t>reached</w:t>
      </w:r>
      <w:r w:rsidR="00085138">
        <w:rPr>
          <w:sz w:val="24"/>
        </w:rPr>
        <w:t xml:space="preserve"> certain </w:t>
      </w:r>
      <w:r w:rsidR="00085138">
        <w:rPr>
          <w:sz w:val="24"/>
        </w:rPr>
        <w:lastRenderedPageBreak/>
        <w:t xml:space="preserve">developmental </w:t>
      </w:r>
      <w:r w:rsidR="00416F24">
        <w:rPr>
          <w:sz w:val="24"/>
        </w:rPr>
        <w:t>milestones. Piaget’s background in the field of biology could also be said to have informed his viewpoint with regards to how humans learn. He looked at learning as a ‘process of adjustment to environmental influences’, with ‘two basic processes which form this process of adjustment’, these being ‘assimilation’ and ‘adjustment’, and also saw all organisms (including complex organisms like humans) as ‘constantly seeking to maintain a stability in their existence’, and this was achieved through reaching of a ‘equilibration’, or ‘stable state, where there is no longer a conflict between new and existing knowledge’ (Pritchard, 2008). Also, within the constructivist viewpoint there are a number of further subdivisions and perspectives, including ‘S</w:t>
      </w:r>
      <w:r w:rsidR="00E57FAF">
        <w:rPr>
          <w:sz w:val="24"/>
        </w:rPr>
        <w:t>c</w:t>
      </w:r>
      <w:r w:rsidR="00416F24">
        <w:rPr>
          <w:sz w:val="24"/>
        </w:rPr>
        <w:t xml:space="preserve">hema theory’, where </w:t>
      </w:r>
      <w:r w:rsidR="00E57FAF">
        <w:rPr>
          <w:sz w:val="24"/>
        </w:rPr>
        <w:t xml:space="preserve">constructivists such as Piaget, Schank, and Rumelheart, as well as Johnson –Laird considered mental models as basic structure of cognition </w:t>
      </w:r>
      <w:r w:rsidR="00E57FAF" w:rsidRPr="00E57FAF">
        <w:rPr>
          <w:sz w:val="24"/>
        </w:rPr>
        <w:t>(Bara, 2016)</w:t>
      </w:r>
      <w:r w:rsidR="00E57FAF">
        <w:rPr>
          <w:sz w:val="24"/>
        </w:rPr>
        <w:t xml:space="preserve">, with Johnson-Laird stating that ‘Human beings understand the world by constructing models of it in their mind’ (Johnson-Laird, 1983). In addition, there is also a branch of constructivist thinking which seeks to add the social aspect onto Piaget’s image of ‘the growing child as what he called the ‘lone scientist’ (Pritchard, 2008). It can easily be contended that this image of a child growing and learning in isolation from its peers, </w:t>
      </w:r>
      <w:r w:rsidR="00FC5030">
        <w:rPr>
          <w:sz w:val="24"/>
        </w:rPr>
        <w:t xml:space="preserve">somehow removed </w:t>
      </w:r>
      <w:r w:rsidR="00E57FAF">
        <w:rPr>
          <w:sz w:val="24"/>
        </w:rPr>
        <w:t>from social interaction and stimulation, is a rather clinical and altogether neat image, and therefore fails to take into account a multitude o</w:t>
      </w:r>
      <w:r w:rsidR="00FC5030">
        <w:rPr>
          <w:sz w:val="24"/>
        </w:rPr>
        <w:t xml:space="preserve">f interactions with others which could possibly influence the child. Theorists like Vygotsky, and later on Bruner, placed the emphasis </w:t>
      </w:r>
      <w:r w:rsidR="00B52095">
        <w:rPr>
          <w:sz w:val="24"/>
        </w:rPr>
        <w:t xml:space="preserve">upon the interactions between the learner </w:t>
      </w:r>
      <w:r w:rsidR="00B52095">
        <w:rPr>
          <w:sz w:val="24"/>
        </w:rPr>
        <w:lastRenderedPageBreak/>
        <w:t xml:space="preserve">and others. How and what these interaction were, and where and when they occurred were of particular interest, and Vygotsky focused on dialogue as the ‘vehicle by which ideas are considered, shared and developed’ (Pritchard, 2008).  To summarise constructivist learning theory then at this juncture, it could </w:t>
      </w:r>
      <w:r w:rsidR="00543B8D">
        <w:rPr>
          <w:sz w:val="24"/>
        </w:rPr>
        <w:t xml:space="preserve">be </w:t>
      </w:r>
      <w:r w:rsidR="00B52095">
        <w:rPr>
          <w:sz w:val="24"/>
        </w:rPr>
        <w:t xml:space="preserve">said to </w:t>
      </w:r>
      <w:r w:rsidR="00543B8D">
        <w:rPr>
          <w:sz w:val="24"/>
        </w:rPr>
        <w:t>that firstly ‘the construction of knowledge and not the reproduction of knowledge is paramount’, which therefore puts the processes that the learner ‘puts into place and uses that are (the most) important’ (Jonassen, 1999). This puts less onus on the acquirement of knowledge as the end product of all learning. It is instead about the individual process, and is something that the learner themselves takes ownership over, and is actively engaged with throughout.</w:t>
      </w:r>
    </w:p>
    <w:p w14:paraId="281C8D6D" w14:textId="77777777" w:rsidR="0087029A" w:rsidRDefault="0087029A" w:rsidP="004A2100">
      <w:pPr>
        <w:spacing w:line="360" w:lineRule="auto"/>
        <w:jc w:val="both"/>
        <w:rPr>
          <w:sz w:val="24"/>
        </w:rPr>
      </w:pPr>
    </w:p>
    <w:p w14:paraId="2BF1B7CB" w14:textId="58D028EB" w:rsidR="00543B8D" w:rsidRDefault="00816B23" w:rsidP="004A2100">
      <w:pPr>
        <w:spacing w:line="360" w:lineRule="auto"/>
        <w:jc w:val="both"/>
        <w:rPr>
          <w:sz w:val="24"/>
        </w:rPr>
      </w:pPr>
      <w:r>
        <w:rPr>
          <w:sz w:val="24"/>
        </w:rPr>
        <w:t xml:space="preserve">In conclusion, it </w:t>
      </w:r>
      <w:r w:rsidR="0087029A">
        <w:rPr>
          <w:sz w:val="24"/>
        </w:rPr>
        <w:t xml:space="preserve">can be </w:t>
      </w:r>
      <w:r>
        <w:rPr>
          <w:sz w:val="24"/>
        </w:rPr>
        <w:t xml:space="preserve">clearly </w:t>
      </w:r>
      <w:r w:rsidR="0087029A">
        <w:rPr>
          <w:sz w:val="24"/>
        </w:rPr>
        <w:t>seen</w:t>
      </w:r>
      <w:r>
        <w:rPr>
          <w:sz w:val="24"/>
        </w:rPr>
        <w:t xml:space="preserve"> from the discussion that has got us to this point, that education in the world today is a multi-faceted and ever restless beast, which is under constant buffering and agitation from a vast and disparate variety of sources. As educational theory has progressed, and as it has incorporated influences and ideas from other branches of knowledge, it has become enormous and sometimes unwieldy, but still fluid and open to interpretation and insight from those who wish to further unpick and expand upon it. And despite the innumerate changes in society, that have been a direct or indirect consequence of the introduction of new technologies and ideas, it is still possible to draw a line which starts over two thousand years ago at the stylus of Plato, and will continue to progress long after those who explore and expand on it today are gone and forgotten. There are clear </w:t>
      </w:r>
      <w:r w:rsidR="0007252F">
        <w:rPr>
          <w:sz w:val="24"/>
        </w:rPr>
        <w:t>and unambiguous truths however; ideas and concepts</w:t>
      </w:r>
      <w:r>
        <w:rPr>
          <w:sz w:val="24"/>
        </w:rPr>
        <w:t xml:space="preserve"> that should be consigned to the past, where progression </w:t>
      </w:r>
      <w:r w:rsidR="0007252F">
        <w:rPr>
          <w:sz w:val="24"/>
        </w:rPr>
        <w:t xml:space="preserve">and a greater understanding of the human mind </w:t>
      </w:r>
      <w:r>
        <w:rPr>
          <w:sz w:val="24"/>
        </w:rPr>
        <w:t>has rendered some ideas obsolete, despite the desire by some to reintroduce them.</w:t>
      </w:r>
      <w:r w:rsidR="0007252F">
        <w:rPr>
          <w:sz w:val="24"/>
        </w:rPr>
        <w:t xml:space="preserve"> Teachers in 2019 would be very well advised perhaps, to look at themselves as more like facilitators and professional educators, as opposed to the more traditional image of being the fountain of knowledge at the front of the classroom. This is perhaps because we now live in a world where the answers to most questions, facts certainly, are the click of a mouse away. </w:t>
      </w:r>
      <w:r>
        <w:rPr>
          <w:sz w:val="24"/>
        </w:rPr>
        <w:t xml:space="preserve"> </w:t>
      </w:r>
      <w:r w:rsidR="0007252F">
        <w:rPr>
          <w:sz w:val="24"/>
        </w:rPr>
        <w:t xml:space="preserve">Developing a greater </w:t>
      </w:r>
      <w:r w:rsidR="003F7A4C">
        <w:rPr>
          <w:sz w:val="24"/>
        </w:rPr>
        <w:t>overall knowledge in order to facilitate the easier integration of cross-cutting themes within lessons, and larger schemes of work is also highly recommended. As we move away from educating children and adults through the prism of 20</w:t>
      </w:r>
      <w:r w:rsidR="003F7A4C" w:rsidRPr="003F7A4C">
        <w:rPr>
          <w:sz w:val="24"/>
          <w:vertAlign w:val="superscript"/>
        </w:rPr>
        <w:t>th</w:t>
      </w:r>
      <w:r w:rsidR="003F7A4C">
        <w:rPr>
          <w:sz w:val="24"/>
        </w:rPr>
        <w:t xml:space="preserve"> Century thought processes, we can now look to educating in a 21</w:t>
      </w:r>
      <w:r w:rsidR="003F7A4C" w:rsidRPr="003F7A4C">
        <w:rPr>
          <w:sz w:val="24"/>
          <w:vertAlign w:val="superscript"/>
        </w:rPr>
        <w:t>st</w:t>
      </w:r>
      <w:r w:rsidR="003F7A4C">
        <w:rPr>
          <w:sz w:val="24"/>
        </w:rPr>
        <w:t xml:space="preserve"> Century manner, where the interconnectivity of subjects are celebrated and examined, in order to gain a far more meaningful type of knowledge, which is not based simply upon the regurgitation of facts and figures, and is instead deeper and more meaningful, and looks to encourage a more life-long learning approach. Which in turn, if introduced at a young enough age, far better prepare young people for the more self-motivated and self-reliant models of Further and Higher Education environments.  </w:t>
      </w:r>
    </w:p>
    <w:p w14:paraId="16EE1EC6" w14:textId="5B4E0CDC" w:rsidR="00543B8D" w:rsidRDefault="00543B8D" w:rsidP="004A2100">
      <w:pPr>
        <w:spacing w:line="360" w:lineRule="auto"/>
        <w:jc w:val="both"/>
        <w:rPr>
          <w:sz w:val="24"/>
        </w:rPr>
      </w:pPr>
    </w:p>
    <w:p w14:paraId="559F0EB6" w14:textId="458290F2" w:rsidR="003F7A4C" w:rsidRPr="003F7A4C" w:rsidRDefault="003F7A4C" w:rsidP="004A2100">
      <w:pPr>
        <w:spacing w:line="360" w:lineRule="auto"/>
        <w:jc w:val="both"/>
        <w:rPr>
          <w:sz w:val="24"/>
          <w:u w:val="single"/>
        </w:rPr>
      </w:pPr>
      <w:r w:rsidRPr="003F7A4C">
        <w:rPr>
          <w:sz w:val="24"/>
          <w:u w:val="single"/>
        </w:rPr>
        <w:t>Reflection on 2</w:t>
      </w:r>
      <w:r w:rsidRPr="003F7A4C">
        <w:rPr>
          <w:sz w:val="24"/>
          <w:u w:val="single"/>
          <w:vertAlign w:val="superscript"/>
        </w:rPr>
        <w:t>nd</w:t>
      </w:r>
      <w:r w:rsidRPr="003F7A4C">
        <w:rPr>
          <w:sz w:val="24"/>
          <w:u w:val="single"/>
        </w:rPr>
        <w:t xml:space="preserve"> Micro-teach Session</w:t>
      </w:r>
    </w:p>
    <w:p w14:paraId="79F91A8C" w14:textId="03545720" w:rsidR="004A2100" w:rsidRPr="006F32B2" w:rsidRDefault="004A2100" w:rsidP="004A2100">
      <w:pPr>
        <w:spacing w:line="360" w:lineRule="auto"/>
        <w:jc w:val="both"/>
        <w:rPr>
          <w:sz w:val="24"/>
        </w:rPr>
      </w:pPr>
      <w:r>
        <w:rPr>
          <w:sz w:val="24"/>
        </w:rPr>
        <w:t>For my second micro-teach session, as I am currently undertaking a teaching placement in the Music Department of UWTSD, I decide</w:t>
      </w:r>
      <w:r>
        <w:rPr>
          <w:sz w:val="24"/>
        </w:rPr>
        <w:t>d</w:t>
      </w:r>
      <w:r>
        <w:rPr>
          <w:sz w:val="24"/>
        </w:rPr>
        <w:t xml:space="preserve"> to </w:t>
      </w:r>
      <w:r>
        <w:rPr>
          <w:sz w:val="24"/>
        </w:rPr>
        <w:t xml:space="preserve">produce a lesson which was music-based, but would also incorporate some </w:t>
      </w:r>
      <w:r w:rsidR="00291F4A">
        <w:rPr>
          <w:sz w:val="24"/>
        </w:rPr>
        <w:t xml:space="preserve">interesting </w:t>
      </w:r>
      <w:r>
        <w:rPr>
          <w:sz w:val="24"/>
        </w:rPr>
        <w:t>cross-cutting themes throughout. My musical background is mainly based in performance and composition also, and I have very little theoretical underpinning, so a heavily theoretically based lesson would be unsuitable for me to undertake. In addition to this, the students to whom I would be delivering the lesson were the second year part-time PCET students, and I had no way of knowing prior to the lesson being delivered, if any of them had any previous understanding of musical theory. Also, I felt that due to the length of the lesson required</w:t>
      </w:r>
      <w:r w:rsidR="00291F4A">
        <w:rPr>
          <w:sz w:val="24"/>
        </w:rPr>
        <w:t xml:space="preserve"> (20 minutes)</w:t>
      </w:r>
      <w:r>
        <w:rPr>
          <w:sz w:val="24"/>
        </w:rPr>
        <w:t xml:space="preserve">, I wanted to ensure that it was as fun and interactive as I could make it, whilst also ensuring that I pitched it at the appropriate level. My initial research </w:t>
      </w:r>
      <w:r w:rsidR="00291F4A">
        <w:rPr>
          <w:sz w:val="24"/>
        </w:rPr>
        <w:t xml:space="preserve">sent me down the avenue of National Anthems, as I felt there was sufficient depth in the subject, whilst also being musically based, to allow me produce an interesting lesson. The intention was to look at the history of national anthems in the United Kingdom (UK), and to talk about the context and time of their composition, their adoption by the nation, and how that came about; and how they could be </w:t>
      </w:r>
      <w:r w:rsidR="00D67482">
        <w:rPr>
          <w:sz w:val="24"/>
        </w:rPr>
        <w:t xml:space="preserve">possibly </w:t>
      </w:r>
      <w:r w:rsidR="00291F4A">
        <w:rPr>
          <w:sz w:val="24"/>
        </w:rPr>
        <w:t xml:space="preserve">said to represent </w:t>
      </w:r>
      <w:r w:rsidR="00D67482">
        <w:rPr>
          <w:sz w:val="24"/>
        </w:rPr>
        <w:t xml:space="preserve">the cultural character of </w:t>
      </w:r>
      <w:r w:rsidR="00291F4A">
        <w:rPr>
          <w:sz w:val="24"/>
        </w:rPr>
        <w:t>the individual nations of the UK. There was a lot I felt I could do from a cross-</w:t>
      </w:r>
      <w:r w:rsidR="00291F4A">
        <w:rPr>
          <w:sz w:val="24"/>
        </w:rPr>
        <w:lastRenderedPageBreak/>
        <w:t xml:space="preserve">cutting standpoint with a lesson like that, beginning with concepts of national identity, and the individual and collective histories of the countries that make up the UK. I wanted to look at the </w:t>
      </w:r>
      <w:r w:rsidR="0052772D">
        <w:rPr>
          <w:sz w:val="24"/>
        </w:rPr>
        <w:t xml:space="preserve">Welsh </w:t>
      </w:r>
      <w:r w:rsidR="00291F4A">
        <w:rPr>
          <w:sz w:val="24"/>
        </w:rPr>
        <w:t>anthem through the prism of Welsh identity also, and add another theme to my already burgeoning list. There would also be opportunity then to look at other world anthems that for are no longer in common use due to political or cultural reasons. I envisaged a lesson where I would teach the students all this</w:t>
      </w:r>
      <w:r w:rsidR="001E068A">
        <w:rPr>
          <w:sz w:val="24"/>
        </w:rPr>
        <w:t xml:space="preserve">, and would include two activities and a plenary also. As someone who is a keen advocate for a more constructivist approach to learning, I felt that there would be plenty of opportunities to build upon already existing </w:t>
      </w:r>
      <w:r w:rsidR="00D67482">
        <w:rPr>
          <w:sz w:val="24"/>
        </w:rPr>
        <w:t>knowledge, as most people have a view on which ‘tribe’ or nation they belong to, and</w:t>
      </w:r>
      <w:r w:rsidR="001E068A">
        <w:rPr>
          <w:sz w:val="24"/>
        </w:rPr>
        <w:t xml:space="preserve"> I felt particularly strongly that due to the subject matter touching on aspects of self and nationhood, and individual and collective definition</w:t>
      </w:r>
      <w:r w:rsidR="00D67482">
        <w:rPr>
          <w:sz w:val="24"/>
        </w:rPr>
        <w:t>s</w:t>
      </w:r>
      <w:r w:rsidR="001E068A">
        <w:rPr>
          <w:sz w:val="24"/>
        </w:rPr>
        <w:t xml:space="preserve"> and understanding of self, we could all participate in a really interesting lesson. In practice however I feel now that I was biting off a bit more than I could chew! The breadth and ambition of the lesson was getting larger and larger as my research uncovered more areas of interest, and I began to feel slightly overwhelmed by the size of it all. For me as an individual, questions of definition and self-identification have always interested me, due to my background and heritage. My mother is half Italian, although she never met her father, and my own Welsh father was vehemently anti-Welsh in his viewpoints and philosophies</w:t>
      </w:r>
      <w:r w:rsidR="0052772D">
        <w:rPr>
          <w:sz w:val="24"/>
        </w:rPr>
        <w:t>, and would often tell my brother and I we were European first, British second, and Welsh if anyone required any further definition.</w:t>
      </w:r>
      <w:r w:rsidR="001E068A">
        <w:rPr>
          <w:sz w:val="24"/>
        </w:rPr>
        <w:t xml:space="preserve"> </w:t>
      </w:r>
      <w:r w:rsidR="0052772D">
        <w:rPr>
          <w:sz w:val="24"/>
        </w:rPr>
        <w:lastRenderedPageBreak/>
        <w:t>However, a</w:t>
      </w:r>
      <w:r w:rsidR="001E068A">
        <w:rPr>
          <w:sz w:val="24"/>
        </w:rPr>
        <w:t xml:space="preserve">s I got further and further into the research and preparation, there was a point where I stopped and asked </w:t>
      </w:r>
      <w:r w:rsidR="0052772D">
        <w:rPr>
          <w:sz w:val="24"/>
        </w:rPr>
        <w:t xml:space="preserve">myself </w:t>
      </w:r>
      <w:r w:rsidR="001E068A">
        <w:rPr>
          <w:sz w:val="24"/>
        </w:rPr>
        <w:t>‘who is the lesson for</w:t>
      </w:r>
      <w:r w:rsidR="0052772D">
        <w:rPr>
          <w:sz w:val="24"/>
        </w:rPr>
        <w:t>?</w:t>
      </w:r>
      <w:r w:rsidR="001E068A">
        <w:rPr>
          <w:sz w:val="24"/>
        </w:rPr>
        <w:t xml:space="preserve"> </w:t>
      </w:r>
      <w:r w:rsidR="0052772D">
        <w:rPr>
          <w:sz w:val="24"/>
        </w:rPr>
        <w:t>I</w:t>
      </w:r>
      <w:r w:rsidR="001E068A">
        <w:rPr>
          <w:sz w:val="24"/>
        </w:rPr>
        <w:t>s it for me as a point of interest, or is it for my 2</w:t>
      </w:r>
      <w:r w:rsidR="001E068A" w:rsidRPr="001E068A">
        <w:rPr>
          <w:sz w:val="24"/>
          <w:vertAlign w:val="superscript"/>
        </w:rPr>
        <w:t>nd</w:t>
      </w:r>
      <w:r w:rsidR="001E068A">
        <w:rPr>
          <w:sz w:val="24"/>
        </w:rPr>
        <w:t xml:space="preserve"> micro-teach session for my qualification?</w:t>
      </w:r>
      <w:r w:rsidR="0052772D">
        <w:rPr>
          <w:sz w:val="24"/>
        </w:rPr>
        <w:t>’</w:t>
      </w:r>
      <w:r w:rsidR="001E068A">
        <w:rPr>
          <w:sz w:val="24"/>
        </w:rPr>
        <w:t xml:space="preserve"> At that point I realised that I needed to try a different approach, and to move away from such a broad subject, which I see in retrospect would be much better suited to a larger scheme of work, perhaps taught over 3 to 4 lessons. </w:t>
      </w:r>
      <w:r w:rsidR="0052772D">
        <w:rPr>
          <w:sz w:val="24"/>
        </w:rPr>
        <w:t xml:space="preserve">At this point I was indeed feeling a little despondent and had some feelings of stress over this rapid about-turn after all the work and time I’d expanded upon it. It was then that I put some music on the computer, and decided to take a break in order to formulate a new plan. The music I chose to put on was a live recording of musicians performing songs from the soundtrack of the Coen brothers’ film ‘O Brother Where art Thou?’, which is set in depression-era America, and is loosely based on Homers Iliad. The music is a mixture of bluegrass, folk, traditionals, and spirituals. As I was listening to the music I realised that I’d found my subject matter, and I decided to come up with a lesson which incorporated elements of this style of music, and presented them within a historical context. The cross-cutting themes could look at racism and history, as well as religion, the slave trade, and aspects of American culture. I began at this point to look to at a specific focus for the lesson, and it was at this point that I found the link between </w:t>
      </w:r>
      <w:r w:rsidR="00D67482">
        <w:rPr>
          <w:sz w:val="24"/>
        </w:rPr>
        <w:t xml:space="preserve">slave spirituals and the underground-railroad, which was the network of safe houses that would help escaped slaves flee for the South to </w:t>
      </w:r>
      <w:r w:rsidR="00D67482">
        <w:rPr>
          <w:sz w:val="24"/>
        </w:rPr>
        <w:lastRenderedPageBreak/>
        <w:t xml:space="preserve">the North. Slaves would change the words to traditional Christian songs to reference stops along the way, and as their methods of communication were so heavily policed by their owner, it would allow them to express support for others without fear of retribution also. I began then to start putting together the lesson plan, trying to focus on introducing the concept and subject matter, ensuring that I remembered to assess students’ existing knowledge at the beginning, in order to discuss it and expand upon it, before moving on. I also wanted to introduce a musical performance element to the lesson, because I felt it was a music-based lesson, and it would perhaps be a rare opportunity for some of the students to see and hear live music in a classroom. Over the next two days I </w:t>
      </w:r>
      <w:r w:rsidR="00E55A52">
        <w:rPr>
          <w:sz w:val="24"/>
        </w:rPr>
        <w:t>refined and improved my presentation and resources, and practiced my timings, which I’d found slightly difficult in my first session.</w:t>
      </w:r>
      <w:r w:rsidR="00D67482">
        <w:rPr>
          <w:sz w:val="24"/>
        </w:rPr>
        <w:t xml:space="preserve"> In practice the lesson went extremely well, </w:t>
      </w:r>
      <w:r w:rsidR="00E55A52">
        <w:rPr>
          <w:sz w:val="24"/>
        </w:rPr>
        <w:t xml:space="preserve">I believe the students were very engaged, and found the lesson to be interesting and informative. The timing of the lesson went reasonably well also, and I was happy with my performance of the music too, which I had been worried about beforehand. Again, like the previous session however, I think that I have to work harder on marrying my ambition with reality. I think that that skill is something I will only develop through experience, and I will improve as my career in education progresses.  </w:t>
      </w:r>
      <w:r w:rsidR="00D67482">
        <w:rPr>
          <w:sz w:val="24"/>
        </w:rPr>
        <w:t xml:space="preserve"> </w:t>
      </w:r>
    </w:p>
    <w:p w14:paraId="2E726F85" w14:textId="77777777" w:rsidR="00AE582B" w:rsidRDefault="00AE582B" w:rsidP="006F32B2">
      <w:pPr>
        <w:spacing w:line="360" w:lineRule="auto"/>
        <w:jc w:val="both"/>
        <w:rPr>
          <w:sz w:val="24"/>
        </w:rPr>
      </w:pPr>
    </w:p>
    <w:p w14:paraId="772D0845" w14:textId="77777777" w:rsidR="00AE582B" w:rsidRDefault="00AE582B" w:rsidP="006F32B2">
      <w:pPr>
        <w:spacing w:line="360" w:lineRule="auto"/>
        <w:jc w:val="both"/>
        <w:rPr>
          <w:sz w:val="24"/>
        </w:rPr>
      </w:pPr>
    </w:p>
    <w:p w14:paraId="312E3D05" w14:textId="77777777" w:rsidR="0097505F" w:rsidRPr="006F32B2" w:rsidRDefault="0097505F" w:rsidP="006F32B2">
      <w:pPr>
        <w:spacing w:line="360" w:lineRule="auto"/>
        <w:jc w:val="both"/>
        <w:rPr>
          <w:sz w:val="24"/>
        </w:rPr>
      </w:pPr>
    </w:p>
    <w:p w14:paraId="61BE6940" w14:textId="77777777" w:rsidR="0097505F" w:rsidRPr="006F32B2" w:rsidRDefault="0097505F" w:rsidP="006F32B2">
      <w:pPr>
        <w:spacing w:line="360" w:lineRule="auto"/>
        <w:jc w:val="both"/>
        <w:rPr>
          <w:sz w:val="24"/>
        </w:rPr>
      </w:pPr>
    </w:p>
    <w:p w14:paraId="64E5896C" w14:textId="52AEF89B" w:rsidR="00EF226E" w:rsidRDefault="00EF226E" w:rsidP="006F32B2">
      <w:pPr>
        <w:spacing w:line="360" w:lineRule="auto"/>
        <w:jc w:val="both"/>
        <w:rPr>
          <w:sz w:val="24"/>
        </w:rPr>
      </w:pPr>
    </w:p>
    <w:p w14:paraId="1D8444E0" w14:textId="79EE19F2" w:rsidR="00EF226E" w:rsidRDefault="00EF226E" w:rsidP="006F32B2">
      <w:pPr>
        <w:spacing w:line="360" w:lineRule="auto"/>
        <w:jc w:val="both"/>
        <w:rPr>
          <w:sz w:val="24"/>
        </w:rPr>
      </w:pPr>
    </w:p>
    <w:p w14:paraId="3E6650E0" w14:textId="77777777" w:rsidR="00EF226E" w:rsidRPr="006F32B2" w:rsidRDefault="00EF226E" w:rsidP="006F32B2">
      <w:pPr>
        <w:spacing w:line="360" w:lineRule="auto"/>
        <w:jc w:val="both"/>
        <w:rPr>
          <w:sz w:val="24"/>
        </w:rPr>
      </w:pPr>
    </w:p>
    <w:p w14:paraId="0FF686D6" w14:textId="77777777" w:rsidR="003F7A4C" w:rsidRDefault="003F7A4C" w:rsidP="00E6637D">
      <w:pPr>
        <w:spacing w:line="360" w:lineRule="auto"/>
        <w:jc w:val="both"/>
        <w:rPr>
          <w:b/>
          <w:sz w:val="32"/>
        </w:rPr>
      </w:pPr>
    </w:p>
    <w:p w14:paraId="255506F6" w14:textId="77777777" w:rsidR="003F7A4C" w:rsidRDefault="003F7A4C" w:rsidP="00E6637D">
      <w:pPr>
        <w:spacing w:line="360" w:lineRule="auto"/>
        <w:jc w:val="both"/>
        <w:rPr>
          <w:b/>
          <w:sz w:val="32"/>
        </w:rPr>
      </w:pPr>
    </w:p>
    <w:p w14:paraId="7FB79CC8" w14:textId="77777777" w:rsidR="003F7A4C" w:rsidRDefault="003F7A4C" w:rsidP="00E6637D">
      <w:pPr>
        <w:spacing w:line="360" w:lineRule="auto"/>
        <w:jc w:val="both"/>
        <w:rPr>
          <w:b/>
          <w:sz w:val="32"/>
        </w:rPr>
      </w:pPr>
    </w:p>
    <w:p w14:paraId="0F5BEBFD" w14:textId="77777777" w:rsidR="003F7A4C" w:rsidRDefault="003F7A4C" w:rsidP="00E6637D">
      <w:pPr>
        <w:spacing w:line="360" w:lineRule="auto"/>
        <w:jc w:val="both"/>
        <w:rPr>
          <w:b/>
          <w:sz w:val="32"/>
        </w:rPr>
      </w:pPr>
    </w:p>
    <w:p w14:paraId="55CE3968" w14:textId="77777777" w:rsidR="003F7A4C" w:rsidRDefault="003F7A4C" w:rsidP="00E6637D">
      <w:pPr>
        <w:spacing w:line="360" w:lineRule="auto"/>
        <w:jc w:val="both"/>
        <w:rPr>
          <w:b/>
          <w:sz w:val="32"/>
        </w:rPr>
      </w:pPr>
    </w:p>
    <w:p w14:paraId="4F46D4D3" w14:textId="77777777" w:rsidR="003F7A4C" w:rsidRDefault="003F7A4C" w:rsidP="00E6637D">
      <w:pPr>
        <w:spacing w:line="360" w:lineRule="auto"/>
        <w:jc w:val="both"/>
        <w:rPr>
          <w:b/>
          <w:sz w:val="32"/>
        </w:rPr>
      </w:pPr>
    </w:p>
    <w:p w14:paraId="5F280498" w14:textId="77777777" w:rsidR="003F7A4C" w:rsidRDefault="003F7A4C" w:rsidP="00E6637D">
      <w:pPr>
        <w:spacing w:line="360" w:lineRule="auto"/>
        <w:jc w:val="both"/>
        <w:rPr>
          <w:b/>
          <w:sz w:val="32"/>
        </w:rPr>
      </w:pPr>
    </w:p>
    <w:p w14:paraId="6D8A0BEF" w14:textId="41A0692F" w:rsidR="00E6637D" w:rsidRDefault="00E6637D" w:rsidP="00E6637D">
      <w:pPr>
        <w:spacing w:line="360" w:lineRule="auto"/>
        <w:jc w:val="both"/>
        <w:rPr>
          <w:b/>
          <w:sz w:val="32"/>
        </w:rPr>
      </w:pPr>
      <w:r w:rsidRPr="00E57FAF">
        <w:rPr>
          <w:b/>
          <w:sz w:val="32"/>
        </w:rPr>
        <w:t>References</w:t>
      </w:r>
    </w:p>
    <w:p w14:paraId="5C35BCA5" w14:textId="77777777" w:rsidR="0087029A" w:rsidRPr="0087029A" w:rsidRDefault="0087029A" w:rsidP="0087029A">
      <w:pPr>
        <w:spacing w:line="360" w:lineRule="auto"/>
        <w:jc w:val="both"/>
        <w:rPr>
          <w:sz w:val="24"/>
        </w:rPr>
      </w:pPr>
      <w:r w:rsidRPr="0087029A">
        <w:rPr>
          <w:sz w:val="24"/>
        </w:rPr>
        <w:t>Bara, B. (2016). Cognitive science: A Developmental Approach to the Simulation of the Mind. 2nd ed. Routledge.</w:t>
      </w:r>
    </w:p>
    <w:p w14:paraId="41F009C3" w14:textId="77777777" w:rsidR="0087029A" w:rsidRPr="00E57FAF" w:rsidRDefault="0087029A" w:rsidP="00E6637D">
      <w:pPr>
        <w:spacing w:line="360" w:lineRule="auto"/>
        <w:jc w:val="both"/>
        <w:rPr>
          <w:b/>
          <w:sz w:val="32"/>
        </w:rPr>
      </w:pPr>
    </w:p>
    <w:p w14:paraId="63F8BA72" w14:textId="77777777" w:rsidR="00E6637D" w:rsidRPr="00E6637D" w:rsidRDefault="00E6637D" w:rsidP="00E6637D">
      <w:pPr>
        <w:spacing w:line="360" w:lineRule="auto"/>
        <w:jc w:val="both"/>
        <w:rPr>
          <w:sz w:val="24"/>
        </w:rPr>
      </w:pPr>
      <w:r w:rsidRPr="00E6637D">
        <w:rPr>
          <w:sz w:val="24"/>
        </w:rPr>
        <w:t>Belanger, P. (2011). Theories in Adult Learning and Education. 1st ed. Leverkusen, Germany: Barbara Budrich Publishers.</w:t>
      </w:r>
    </w:p>
    <w:p w14:paraId="58159389" w14:textId="77777777" w:rsidR="00E6637D" w:rsidRPr="00E6637D" w:rsidRDefault="00E6637D" w:rsidP="00E6637D">
      <w:pPr>
        <w:spacing w:line="360" w:lineRule="auto"/>
        <w:jc w:val="both"/>
        <w:rPr>
          <w:sz w:val="24"/>
        </w:rPr>
      </w:pPr>
    </w:p>
    <w:p w14:paraId="4EC9CCBB" w14:textId="77777777" w:rsidR="00E6637D" w:rsidRPr="00E6637D" w:rsidRDefault="00E6637D" w:rsidP="00E6637D">
      <w:pPr>
        <w:spacing w:line="360" w:lineRule="auto"/>
        <w:jc w:val="both"/>
        <w:rPr>
          <w:sz w:val="24"/>
        </w:rPr>
      </w:pPr>
      <w:r w:rsidRPr="00E6637D">
        <w:rPr>
          <w:sz w:val="24"/>
        </w:rPr>
        <w:t>Bichelmeyer, B. and Hsu, Y. (1999). Individually-Guided Education and Problem-Based Learning. [Place of publication not identified]: Distributed by ERIC Clearinghouse.</w:t>
      </w:r>
    </w:p>
    <w:p w14:paraId="2EBFF33B" w14:textId="77777777" w:rsidR="00E6637D" w:rsidRPr="00E6637D" w:rsidRDefault="00E6637D" w:rsidP="00E6637D">
      <w:pPr>
        <w:spacing w:line="360" w:lineRule="auto"/>
        <w:jc w:val="both"/>
        <w:rPr>
          <w:sz w:val="24"/>
        </w:rPr>
      </w:pPr>
    </w:p>
    <w:p w14:paraId="14E2FB59" w14:textId="77777777" w:rsidR="00E6637D" w:rsidRPr="00E6637D" w:rsidRDefault="00E6637D" w:rsidP="00E6637D">
      <w:pPr>
        <w:spacing w:line="360" w:lineRule="auto"/>
        <w:jc w:val="both"/>
        <w:rPr>
          <w:sz w:val="24"/>
        </w:rPr>
      </w:pPr>
      <w:r w:rsidRPr="00E6637D">
        <w:rPr>
          <w:sz w:val="24"/>
        </w:rPr>
        <w:t>Buczkowski, P. and Klawiter, A. (1986). Theories of Ideology and Ideology of Theories. Amsterdam: Rodopi.</w:t>
      </w:r>
    </w:p>
    <w:p w14:paraId="62D141CC" w14:textId="77777777" w:rsidR="00E6637D" w:rsidRPr="00E6637D" w:rsidRDefault="00E6637D" w:rsidP="00E6637D">
      <w:pPr>
        <w:spacing w:line="360" w:lineRule="auto"/>
        <w:jc w:val="both"/>
        <w:rPr>
          <w:sz w:val="24"/>
        </w:rPr>
      </w:pPr>
    </w:p>
    <w:p w14:paraId="10D61F5B" w14:textId="77777777" w:rsidR="00E6637D" w:rsidRPr="00E6637D" w:rsidRDefault="00E6637D" w:rsidP="00E6637D">
      <w:pPr>
        <w:spacing w:line="360" w:lineRule="auto"/>
        <w:jc w:val="both"/>
        <w:rPr>
          <w:sz w:val="24"/>
        </w:rPr>
      </w:pPr>
      <w:r w:rsidRPr="00E6637D">
        <w:rPr>
          <w:sz w:val="24"/>
        </w:rPr>
        <w:lastRenderedPageBreak/>
        <w:t>Ertmer, P. and Newby, T. (2008). Behaviorism, Cognitivism, Constructivism: Comparing Critical Features from an Instructional Design Perspective. Performance Improvement Quarterly, 6(4), pp.50-72.</w:t>
      </w:r>
    </w:p>
    <w:p w14:paraId="017D9D49" w14:textId="77777777" w:rsidR="00E6637D" w:rsidRPr="00E6637D" w:rsidRDefault="00E6637D" w:rsidP="00E6637D">
      <w:pPr>
        <w:spacing w:line="360" w:lineRule="auto"/>
        <w:jc w:val="both"/>
        <w:rPr>
          <w:sz w:val="24"/>
        </w:rPr>
      </w:pPr>
    </w:p>
    <w:p w14:paraId="4B07A7FA" w14:textId="77777777" w:rsidR="00E6637D" w:rsidRPr="00E6637D" w:rsidRDefault="00E6637D" w:rsidP="00E6637D">
      <w:pPr>
        <w:spacing w:line="360" w:lineRule="auto"/>
        <w:jc w:val="both"/>
        <w:rPr>
          <w:sz w:val="24"/>
        </w:rPr>
      </w:pPr>
      <w:r w:rsidRPr="00E6637D">
        <w:rPr>
          <w:sz w:val="24"/>
        </w:rPr>
        <w:t>Ferris, S. (2014). Teaching, Learning, and the Net Generation. Hershey: IGI Global.</w:t>
      </w:r>
    </w:p>
    <w:p w14:paraId="7FC3ECF9" w14:textId="77777777" w:rsidR="00E6637D" w:rsidRPr="00E6637D" w:rsidRDefault="00E6637D" w:rsidP="00E6637D">
      <w:pPr>
        <w:spacing w:line="360" w:lineRule="auto"/>
        <w:jc w:val="both"/>
        <w:rPr>
          <w:sz w:val="24"/>
        </w:rPr>
      </w:pPr>
    </w:p>
    <w:p w14:paraId="1A66F8E2" w14:textId="18FC224C" w:rsidR="00E6637D" w:rsidRDefault="00E6637D" w:rsidP="00E6637D">
      <w:pPr>
        <w:spacing w:line="360" w:lineRule="auto"/>
        <w:jc w:val="both"/>
        <w:rPr>
          <w:sz w:val="24"/>
        </w:rPr>
      </w:pPr>
      <w:r w:rsidRPr="00E6637D">
        <w:rPr>
          <w:sz w:val="24"/>
        </w:rPr>
        <w:t>Fosnot, C. (2005). Constructivism revisited: Implications and reflections. 1st ed. New York: Teachers College Press, pp.276-291.</w:t>
      </w:r>
    </w:p>
    <w:p w14:paraId="0D6270DE" w14:textId="77777777" w:rsidR="0087029A" w:rsidRDefault="0087029A" w:rsidP="0087029A">
      <w:pPr>
        <w:spacing w:line="360" w:lineRule="auto"/>
        <w:jc w:val="both"/>
        <w:rPr>
          <w:sz w:val="24"/>
        </w:rPr>
      </w:pPr>
    </w:p>
    <w:p w14:paraId="35039403" w14:textId="09F16954" w:rsidR="0087029A" w:rsidRPr="0087029A" w:rsidRDefault="0087029A" w:rsidP="0087029A">
      <w:pPr>
        <w:spacing w:line="360" w:lineRule="auto"/>
        <w:jc w:val="both"/>
        <w:rPr>
          <w:sz w:val="24"/>
        </w:rPr>
      </w:pPr>
      <w:r w:rsidRPr="0087029A">
        <w:rPr>
          <w:sz w:val="24"/>
        </w:rPr>
        <w:t>Hawkes, T. (1988). Structuralism &amp; semiotics. London: Routledge.</w:t>
      </w:r>
    </w:p>
    <w:p w14:paraId="655200E4" w14:textId="77777777" w:rsidR="0087029A" w:rsidRPr="0087029A" w:rsidRDefault="0087029A" w:rsidP="0087029A">
      <w:pPr>
        <w:spacing w:line="360" w:lineRule="auto"/>
        <w:jc w:val="both"/>
        <w:rPr>
          <w:sz w:val="24"/>
        </w:rPr>
      </w:pPr>
    </w:p>
    <w:p w14:paraId="1BBC8EC2" w14:textId="77777777" w:rsidR="0087029A" w:rsidRPr="00E6637D" w:rsidRDefault="0087029A" w:rsidP="00E6637D">
      <w:pPr>
        <w:spacing w:line="360" w:lineRule="auto"/>
        <w:jc w:val="both"/>
        <w:rPr>
          <w:sz w:val="24"/>
        </w:rPr>
      </w:pPr>
    </w:p>
    <w:p w14:paraId="7B66A348" w14:textId="77777777" w:rsidR="00E6637D" w:rsidRPr="00E6637D" w:rsidRDefault="00E6637D" w:rsidP="00E6637D">
      <w:pPr>
        <w:spacing w:line="360" w:lineRule="auto"/>
        <w:jc w:val="both"/>
        <w:rPr>
          <w:sz w:val="24"/>
        </w:rPr>
      </w:pPr>
    </w:p>
    <w:p w14:paraId="2B92EF4D" w14:textId="5C744929" w:rsidR="00E6637D" w:rsidRDefault="00E6637D" w:rsidP="00E6637D">
      <w:pPr>
        <w:spacing w:line="360" w:lineRule="auto"/>
        <w:jc w:val="both"/>
        <w:rPr>
          <w:sz w:val="24"/>
        </w:rPr>
      </w:pPr>
      <w:r w:rsidRPr="00E6637D">
        <w:rPr>
          <w:sz w:val="24"/>
        </w:rPr>
        <w:t>Holmes, G. and Abington-Cooper, M. (2000). Pedagogy vs. Andragogy: A False Dichotomy?. The Journal of Technology Studies, 26(2).</w:t>
      </w:r>
    </w:p>
    <w:p w14:paraId="74278814" w14:textId="77777777" w:rsidR="00E57FAF" w:rsidRPr="00E6637D" w:rsidRDefault="00E57FAF" w:rsidP="00E6637D">
      <w:pPr>
        <w:spacing w:line="360" w:lineRule="auto"/>
        <w:jc w:val="both"/>
        <w:rPr>
          <w:sz w:val="24"/>
        </w:rPr>
      </w:pPr>
    </w:p>
    <w:p w14:paraId="4255D0B0" w14:textId="31A81D05" w:rsidR="00E57FAF" w:rsidRPr="00E57FAF" w:rsidRDefault="00E57FAF" w:rsidP="00E57FAF">
      <w:pPr>
        <w:spacing w:line="360" w:lineRule="auto"/>
        <w:jc w:val="both"/>
        <w:rPr>
          <w:sz w:val="24"/>
        </w:rPr>
      </w:pPr>
      <w:r w:rsidRPr="00E57FAF">
        <w:rPr>
          <w:sz w:val="24"/>
        </w:rPr>
        <w:t>Johnson-Laird, P. (1983) Mental Models:</w:t>
      </w:r>
      <w:r>
        <w:rPr>
          <w:sz w:val="24"/>
        </w:rPr>
        <w:t xml:space="preserve"> </w:t>
      </w:r>
      <w:r w:rsidRPr="00E57FAF">
        <w:rPr>
          <w:sz w:val="24"/>
        </w:rPr>
        <w:t>Towards a Cognitive Science of Language, Inference, and Consciousness.</w:t>
      </w:r>
    </w:p>
    <w:p w14:paraId="3EF33769" w14:textId="439F858E" w:rsidR="00E6637D" w:rsidRDefault="00E57FAF" w:rsidP="00E57FAF">
      <w:pPr>
        <w:spacing w:line="360" w:lineRule="auto"/>
        <w:jc w:val="both"/>
        <w:rPr>
          <w:sz w:val="24"/>
        </w:rPr>
      </w:pPr>
      <w:r w:rsidRPr="00E57FAF">
        <w:rPr>
          <w:sz w:val="24"/>
        </w:rPr>
        <w:t>Cambridge, MA: Harvard University Pres</w:t>
      </w:r>
    </w:p>
    <w:p w14:paraId="124C6179" w14:textId="77777777" w:rsidR="003F7A4C" w:rsidRPr="00857DD3" w:rsidRDefault="003F7A4C" w:rsidP="003F7A4C">
      <w:pPr>
        <w:spacing w:line="360" w:lineRule="auto"/>
        <w:jc w:val="both"/>
        <w:rPr>
          <w:sz w:val="24"/>
        </w:rPr>
      </w:pPr>
      <w:r w:rsidRPr="00857DD3">
        <w:rPr>
          <w:sz w:val="24"/>
        </w:rPr>
        <w:t>Jordan, A., Carlile, O. and Stack, A. (2008). Approaches to learning. Maidenhead: Open University Press.</w:t>
      </w:r>
    </w:p>
    <w:p w14:paraId="239F59F0" w14:textId="77777777" w:rsidR="003F7A4C" w:rsidRDefault="003F7A4C" w:rsidP="00E6637D">
      <w:pPr>
        <w:spacing w:line="360" w:lineRule="auto"/>
        <w:jc w:val="both"/>
        <w:rPr>
          <w:sz w:val="24"/>
        </w:rPr>
      </w:pPr>
    </w:p>
    <w:p w14:paraId="13A19A34" w14:textId="0F073C42" w:rsidR="00E6637D" w:rsidRPr="00E6637D" w:rsidRDefault="00E6637D" w:rsidP="00E6637D">
      <w:pPr>
        <w:spacing w:line="360" w:lineRule="auto"/>
        <w:jc w:val="both"/>
        <w:rPr>
          <w:sz w:val="24"/>
        </w:rPr>
      </w:pPr>
      <w:r w:rsidRPr="00E6637D">
        <w:rPr>
          <w:sz w:val="24"/>
        </w:rPr>
        <w:t>Kincheloe, J. and Steinberg, S. (2005). Classroom teaching. Peter Lang.</w:t>
      </w:r>
    </w:p>
    <w:p w14:paraId="39A57550" w14:textId="0747E363" w:rsidR="00E6637D" w:rsidRDefault="00E6637D" w:rsidP="00E6637D">
      <w:pPr>
        <w:spacing w:line="360" w:lineRule="auto"/>
        <w:jc w:val="both"/>
        <w:rPr>
          <w:sz w:val="24"/>
        </w:rPr>
      </w:pPr>
    </w:p>
    <w:p w14:paraId="6A9980B4" w14:textId="77777777" w:rsidR="0087029A" w:rsidRPr="0087029A" w:rsidRDefault="0087029A" w:rsidP="0087029A">
      <w:pPr>
        <w:spacing w:line="360" w:lineRule="auto"/>
        <w:jc w:val="both"/>
        <w:rPr>
          <w:sz w:val="24"/>
        </w:rPr>
      </w:pPr>
      <w:r w:rsidRPr="0087029A">
        <w:rPr>
          <w:sz w:val="24"/>
        </w:rPr>
        <w:t>Levinson, D., Cookson, P. and Sadonvil, A. (2002). Education and Sociology: An Encyclopedia. Rouledge.</w:t>
      </w:r>
    </w:p>
    <w:p w14:paraId="6BEB07EE" w14:textId="77777777" w:rsidR="0087029A" w:rsidRPr="00E6637D" w:rsidRDefault="0087029A" w:rsidP="00E6637D">
      <w:pPr>
        <w:spacing w:line="360" w:lineRule="auto"/>
        <w:jc w:val="both"/>
        <w:rPr>
          <w:sz w:val="24"/>
        </w:rPr>
      </w:pPr>
    </w:p>
    <w:p w14:paraId="1B924F4A" w14:textId="77777777" w:rsidR="00E6637D" w:rsidRPr="00E6637D" w:rsidRDefault="00E6637D" w:rsidP="00E6637D">
      <w:pPr>
        <w:spacing w:line="360" w:lineRule="auto"/>
        <w:jc w:val="both"/>
        <w:rPr>
          <w:sz w:val="24"/>
        </w:rPr>
      </w:pPr>
      <w:r w:rsidRPr="00E6637D">
        <w:rPr>
          <w:sz w:val="24"/>
        </w:rPr>
        <w:lastRenderedPageBreak/>
        <w:t>Lindeman, E. and Long, H. (1989). The meaning of adult education. Oklahoma: Oklahoma Research Center for Continuing Professional and Higher Education.</w:t>
      </w:r>
    </w:p>
    <w:p w14:paraId="56F87976" w14:textId="77777777" w:rsidR="00E6637D" w:rsidRPr="00E6637D" w:rsidRDefault="00E6637D" w:rsidP="00E6637D">
      <w:pPr>
        <w:spacing w:line="360" w:lineRule="auto"/>
        <w:jc w:val="both"/>
        <w:rPr>
          <w:sz w:val="24"/>
        </w:rPr>
      </w:pPr>
    </w:p>
    <w:p w14:paraId="15588AD2" w14:textId="77777777" w:rsidR="00E6637D" w:rsidRPr="00E6637D" w:rsidRDefault="00E6637D" w:rsidP="00E6637D">
      <w:pPr>
        <w:spacing w:line="360" w:lineRule="auto"/>
        <w:jc w:val="both"/>
        <w:rPr>
          <w:sz w:val="24"/>
        </w:rPr>
      </w:pPr>
      <w:r w:rsidRPr="00E6637D">
        <w:rPr>
          <w:sz w:val="24"/>
        </w:rPr>
        <w:t>Merriam-webster.com. (2019). Dictionary by Merriam-Webster: America's most-trusted online dictionary. [online] Available at: https://www.merriam-webster.com/ [Accessed 12 Mar. 2019].</w:t>
      </w:r>
    </w:p>
    <w:p w14:paraId="6D722864" w14:textId="77777777" w:rsidR="003F7A4C" w:rsidRDefault="003F7A4C" w:rsidP="003F7A4C">
      <w:pPr>
        <w:spacing w:line="360" w:lineRule="auto"/>
        <w:jc w:val="both"/>
        <w:rPr>
          <w:sz w:val="24"/>
        </w:rPr>
      </w:pPr>
    </w:p>
    <w:p w14:paraId="5FE6122C" w14:textId="53DA0156" w:rsidR="003F7A4C" w:rsidRPr="00857DD3" w:rsidRDefault="003F7A4C" w:rsidP="003F7A4C">
      <w:pPr>
        <w:spacing w:line="360" w:lineRule="auto"/>
        <w:jc w:val="both"/>
        <w:rPr>
          <w:sz w:val="24"/>
        </w:rPr>
      </w:pPr>
      <w:r w:rsidRPr="00857DD3">
        <w:rPr>
          <w:sz w:val="24"/>
        </w:rPr>
        <w:t>Moore, J. (2011). Behaviorism. The Psychological Record, 61, pp.449-464.</w:t>
      </w:r>
    </w:p>
    <w:p w14:paraId="1853FFB9" w14:textId="77777777" w:rsidR="003F7A4C" w:rsidRPr="00857DD3" w:rsidRDefault="003F7A4C" w:rsidP="003F7A4C">
      <w:pPr>
        <w:spacing w:line="360" w:lineRule="auto"/>
        <w:jc w:val="both"/>
        <w:rPr>
          <w:sz w:val="24"/>
        </w:rPr>
      </w:pPr>
    </w:p>
    <w:p w14:paraId="69861899" w14:textId="77777777" w:rsidR="003F7A4C" w:rsidRPr="00857DD3" w:rsidRDefault="003F7A4C" w:rsidP="003F7A4C">
      <w:pPr>
        <w:spacing w:line="360" w:lineRule="auto"/>
        <w:jc w:val="both"/>
        <w:rPr>
          <w:sz w:val="24"/>
        </w:rPr>
      </w:pPr>
      <w:r w:rsidRPr="00857DD3">
        <w:rPr>
          <w:sz w:val="24"/>
        </w:rPr>
        <w:t>Morgan, R., Ponticell, J. and Gordon, E. (1998). Enhancing learning in training and adult education. Westport Conn.: Praeger.</w:t>
      </w:r>
    </w:p>
    <w:p w14:paraId="00D263CC" w14:textId="77777777" w:rsidR="00E6637D" w:rsidRPr="00E6637D" w:rsidRDefault="00E6637D" w:rsidP="00E6637D">
      <w:pPr>
        <w:spacing w:line="360" w:lineRule="auto"/>
        <w:jc w:val="both"/>
        <w:rPr>
          <w:sz w:val="24"/>
        </w:rPr>
      </w:pPr>
    </w:p>
    <w:p w14:paraId="224B43DB" w14:textId="77777777" w:rsidR="00E6637D" w:rsidRPr="00E6637D" w:rsidRDefault="00E6637D" w:rsidP="00E6637D">
      <w:pPr>
        <w:spacing w:line="360" w:lineRule="auto"/>
        <w:jc w:val="both"/>
        <w:rPr>
          <w:sz w:val="24"/>
        </w:rPr>
      </w:pPr>
      <w:r w:rsidRPr="00E6637D">
        <w:rPr>
          <w:sz w:val="24"/>
        </w:rPr>
        <w:t>Ozuah, P. (2016). First, There Was Pedagogy And Then Came Andragogy. Einstein Journal of Biology and Medicine, 21(2), p.83.</w:t>
      </w:r>
    </w:p>
    <w:p w14:paraId="58F186C8" w14:textId="77777777" w:rsidR="003F7A4C" w:rsidRDefault="003F7A4C" w:rsidP="003F7A4C">
      <w:pPr>
        <w:spacing w:line="360" w:lineRule="auto"/>
        <w:jc w:val="both"/>
        <w:rPr>
          <w:sz w:val="24"/>
        </w:rPr>
      </w:pPr>
    </w:p>
    <w:p w14:paraId="5095A76E" w14:textId="6C06B8EF" w:rsidR="003F7A4C" w:rsidRPr="00857DD3" w:rsidRDefault="003F7A4C" w:rsidP="003F7A4C">
      <w:pPr>
        <w:spacing w:line="360" w:lineRule="auto"/>
        <w:jc w:val="both"/>
        <w:rPr>
          <w:sz w:val="24"/>
        </w:rPr>
      </w:pPr>
      <w:r w:rsidRPr="00857DD3">
        <w:rPr>
          <w:sz w:val="24"/>
        </w:rPr>
        <w:t>Peel, D. (2005). The significance of behavioural learning theory to the development of effective coaching practice. International Journal of Evidence Based Coaching and Mentoring, 3(1), p.18.</w:t>
      </w:r>
    </w:p>
    <w:p w14:paraId="3C76EB9F" w14:textId="77777777" w:rsidR="00E6637D" w:rsidRPr="00E6637D" w:rsidRDefault="00E6637D" w:rsidP="00E6637D">
      <w:pPr>
        <w:spacing w:line="360" w:lineRule="auto"/>
        <w:jc w:val="both"/>
        <w:rPr>
          <w:sz w:val="24"/>
        </w:rPr>
      </w:pPr>
    </w:p>
    <w:p w14:paraId="393A078B" w14:textId="77777777" w:rsidR="00E6637D" w:rsidRPr="00E6637D" w:rsidRDefault="00E6637D" w:rsidP="00E6637D">
      <w:pPr>
        <w:spacing w:line="360" w:lineRule="auto"/>
        <w:jc w:val="both"/>
        <w:rPr>
          <w:sz w:val="24"/>
        </w:rPr>
      </w:pPr>
      <w:r w:rsidRPr="00E6637D">
        <w:rPr>
          <w:sz w:val="24"/>
        </w:rPr>
        <w:t>Pirsig, R. (2014). Zen and the art of motorcycle maintenance. London: Vintage Books.</w:t>
      </w:r>
    </w:p>
    <w:p w14:paraId="5382DB5B" w14:textId="77777777" w:rsidR="0087029A" w:rsidRDefault="0087029A" w:rsidP="0087029A">
      <w:pPr>
        <w:spacing w:line="360" w:lineRule="auto"/>
        <w:jc w:val="both"/>
        <w:rPr>
          <w:sz w:val="24"/>
        </w:rPr>
      </w:pPr>
    </w:p>
    <w:p w14:paraId="13C334A9" w14:textId="7C9AA397" w:rsidR="0087029A" w:rsidRPr="0087029A" w:rsidRDefault="0087029A" w:rsidP="0087029A">
      <w:pPr>
        <w:spacing w:line="360" w:lineRule="auto"/>
        <w:jc w:val="both"/>
        <w:rPr>
          <w:sz w:val="24"/>
        </w:rPr>
      </w:pPr>
      <w:r w:rsidRPr="0087029A">
        <w:rPr>
          <w:sz w:val="24"/>
        </w:rPr>
        <w:t>Pritchard, A. (2008). Ways of learning. 2nd ed. New York: Rouledge.</w:t>
      </w:r>
    </w:p>
    <w:p w14:paraId="42C7E327" w14:textId="77777777" w:rsidR="0087029A" w:rsidRPr="0087029A" w:rsidRDefault="0087029A" w:rsidP="0087029A">
      <w:pPr>
        <w:spacing w:line="360" w:lineRule="auto"/>
        <w:jc w:val="both"/>
        <w:rPr>
          <w:sz w:val="24"/>
        </w:rPr>
      </w:pPr>
    </w:p>
    <w:p w14:paraId="09622C02" w14:textId="77777777" w:rsidR="0087029A" w:rsidRPr="0087029A" w:rsidRDefault="0087029A" w:rsidP="0087029A">
      <w:pPr>
        <w:spacing w:line="360" w:lineRule="auto"/>
        <w:jc w:val="both"/>
        <w:rPr>
          <w:sz w:val="24"/>
        </w:rPr>
      </w:pPr>
      <w:r w:rsidRPr="0087029A">
        <w:rPr>
          <w:sz w:val="24"/>
        </w:rPr>
        <w:t>Richardson, V. (2003). Constructivist Theory. Teacher College Record, 105(9), pp.1623-1640.</w:t>
      </w:r>
    </w:p>
    <w:p w14:paraId="02403A50" w14:textId="77777777" w:rsidR="00E6637D" w:rsidRPr="00E6637D" w:rsidRDefault="00E6637D" w:rsidP="00E6637D">
      <w:pPr>
        <w:spacing w:line="360" w:lineRule="auto"/>
        <w:jc w:val="both"/>
        <w:rPr>
          <w:sz w:val="24"/>
        </w:rPr>
      </w:pPr>
    </w:p>
    <w:p w14:paraId="7509C83B" w14:textId="77777777" w:rsidR="00E6637D" w:rsidRPr="00E6637D" w:rsidRDefault="00E6637D" w:rsidP="00E6637D">
      <w:pPr>
        <w:spacing w:line="360" w:lineRule="auto"/>
        <w:jc w:val="both"/>
        <w:rPr>
          <w:sz w:val="24"/>
        </w:rPr>
      </w:pPr>
      <w:r w:rsidRPr="00E6637D">
        <w:rPr>
          <w:sz w:val="24"/>
        </w:rPr>
        <w:t>Rogers, A. (2013). Theories in adult learning and education. International Review of Education, 59(3), pp.405-407.</w:t>
      </w:r>
    </w:p>
    <w:p w14:paraId="33FA3968" w14:textId="77777777" w:rsidR="003F7A4C" w:rsidRDefault="003F7A4C" w:rsidP="00E6637D">
      <w:pPr>
        <w:spacing w:line="360" w:lineRule="auto"/>
        <w:jc w:val="both"/>
        <w:rPr>
          <w:sz w:val="24"/>
        </w:rPr>
      </w:pPr>
    </w:p>
    <w:p w14:paraId="13536FFB" w14:textId="3FE44A11" w:rsidR="00E6637D" w:rsidRPr="00E6637D" w:rsidRDefault="00E6637D" w:rsidP="00E6637D">
      <w:pPr>
        <w:spacing w:line="360" w:lineRule="auto"/>
        <w:jc w:val="both"/>
        <w:rPr>
          <w:sz w:val="24"/>
        </w:rPr>
      </w:pPr>
      <w:r w:rsidRPr="00E6637D">
        <w:rPr>
          <w:sz w:val="24"/>
        </w:rPr>
        <w:t>Skinner, B. F. (1953). Science and human behavio</w:t>
      </w:r>
      <w:r>
        <w:rPr>
          <w:sz w:val="24"/>
        </w:rPr>
        <w:t>u</w:t>
      </w:r>
      <w:r w:rsidRPr="00E6637D">
        <w:rPr>
          <w:sz w:val="24"/>
        </w:rPr>
        <w:t>r. New York: Macmillan.</w:t>
      </w:r>
    </w:p>
    <w:p w14:paraId="7A5DF7DB" w14:textId="77777777" w:rsidR="003F7A4C" w:rsidRDefault="003F7A4C" w:rsidP="00E6637D">
      <w:pPr>
        <w:spacing w:line="360" w:lineRule="auto"/>
        <w:jc w:val="both"/>
        <w:rPr>
          <w:sz w:val="24"/>
        </w:rPr>
      </w:pPr>
    </w:p>
    <w:p w14:paraId="02FBB3FF" w14:textId="7ACBE004" w:rsidR="00E6637D" w:rsidRPr="00E6637D" w:rsidRDefault="00E6637D" w:rsidP="00E6637D">
      <w:pPr>
        <w:spacing w:line="360" w:lineRule="auto"/>
        <w:jc w:val="both"/>
        <w:rPr>
          <w:sz w:val="24"/>
        </w:rPr>
      </w:pPr>
      <w:r w:rsidRPr="00E6637D">
        <w:rPr>
          <w:sz w:val="24"/>
        </w:rPr>
        <w:t>The Oxford English dictionary. (2018). Oxford: Oxford University Press.</w:t>
      </w:r>
    </w:p>
    <w:p w14:paraId="0D34FFE0" w14:textId="4FD45986" w:rsidR="00E6637D" w:rsidRDefault="00E6637D" w:rsidP="00E6637D">
      <w:pPr>
        <w:spacing w:line="360" w:lineRule="auto"/>
        <w:jc w:val="both"/>
        <w:rPr>
          <w:sz w:val="24"/>
        </w:rPr>
      </w:pPr>
    </w:p>
    <w:p w14:paraId="6D6541BC" w14:textId="77777777" w:rsidR="00D5334A" w:rsidRPr="00857DD3" w:rsidRDefault="00D5334A" w:rsidP="00D5334A">
      <w:pPr>
        <w:spacing w:line="360" w:lineRule="auto"/>
        <w:jc w:val="both"/>
        <w:rPr>
          <w:sz w:val="24"/>
        </w:rPr>
      </w:pPr>
      <w:r w:rsidRPr="00857DD3">
        <w:rPr>
          <w:sz w:val="24"/>
        </w:rPr>
        <w:t>Weegar, M. (2012). A Comparison of Two Theories of Learning -- Behaviorism and Constructivism as applied to Face-to-Face and Online Learning. E-Leader Manila.</w:t>
      </w:r>
    </w:p>
    <w:p w14:paraId="0967FC21" w14:textId="77777777" w:rsidR="00D5334A" w:rsidRPr="00E6637D" w:rsidRDefault="00D5334A" w:rsidP="00E6637D">
      <w:pPr>
        <w:spacing w:line="360" w:lineRule="auto"/>
        <w:jc w:val="both"/>
        <w:rPr>
          <w:sz w:val="24"/>
        </w:rPr>
      </w:pPr>
    </w:p>
    <w:p w14:paraId="530D3A0C" w14:textId="1808EAED" w:rsidR="0097505F" w:rsidRDefault="00E6637D" w:rsidP="00E6637D">
      <w:pPr>
        <w:spacing w:line="360" w:lineRule="auto"/>
        <w:jc w:val="both"/>
        <w:rPr>
          <w:sz w:val="24"/>
        </w:rPr>
      </w:pPr>
      <w:r w:rsidRPr="00E6637D">
        <w:rPr>
          <w:sz w:val="24"/>
        </w:rPr>
        <w:lastRenderedPageBreak/>
        <w:t>Young, M. (2009). Handbook of research on the education of school leaders.</w:t>
      </w:r>
    </w:p>
    <w:p w14:paraId="53E22719" w14:textId="77777777" w:rsidR="0087029A" w:rsidRPr="0087029A" w:rsidRDefault="0087029A" w:rsidP="0087029A">
      <w:pPr>
        <w:spacing w:line="360" w:lineRule="auto"/>
        <w:jc w:val="both"/>
        <w:rPr>
          <w:sz w:val="24"/>
        </w:rPr>
      </w:pPr>
    </w:p>
    <w:p w14:paraId="136A340F" w14:textId="77777777" w:rsidR="0087029A" w:rsidRPr="0087029A" w:rsidRDefault="0087029A" w:rsidP="0087029A">
      <w:pPr>
        <w:spacing w:line="360" w:lineRule="auto"/>
        <w:jc w:val="both"/>
        <w:rPr>
          <w:sz w:val="24"/>
        </w:rPr>
      </w:pPr>
    </w:p>
    <w:p w14:paraId="0B575CD0" w14:textId="77777777" w:rsidR="0087029A" w:rsidRPr="0087029A" w:rsidRDefault="0087029A" w:rsidP="0087029A">
      <w:pPr>
        <w:spacing w:line="360" w:lineRule="auto"/>
        <w:jc w:val="both"/>
        <w:rPr>
          <w:sz w:val="24"/>
        </w:rPr>
      </w:pPr>
    </w:p>
    <w:p w14:paraId="05D8449D" w14:textId="77777777" w:rsidR="0087029A" w:rsidRPr="0087029A" w:rsidRDefault="0087029A" w:rsidP="0087029A">
      <w:pPr>
        <w:spacing w:line="360" w:lineRule="auto"/>
        <w:jc w:val="both"/>
        <w:rPr>
          <w:sz w:val="24"/>
        </w:rPr>
      </w:pPr>
    </w:p>
    <w:p w14:paraId="5B21BCF3" w14:textId="77777777" w:rsidR="0087029A" w:rsidRPr="0087029A" w:rsidRDefault="0087029A" w:rsidP="0087029A">
      <w:pPr>
        <w:spacing w:line="360" w:lineRule="auto"/>
        <w:jc w:val="both"/>
        <w:rPr>
          <w:sz w:val="24"/>
        </w:rPr>
      </w:pPr>
    </w:p>
    <w:sectPr w:rsidR="0087029A" w:rsidRPr="0087029A">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F7675" w14:textId="77777777" w:rsidR="009A26B3" w:rsidRDefault="009A26B3" w:rsidP="0097505F">
      <w:pPr>
        <w:spacing w:after="0" w:line="240" w:lineRule="auto"/>
      </w:pPr>
      <w:r>
        <w:separator/>
      </w:r>
    </w:p>
  </w:endnote>
  <w:endnote w:type="continuationSeparator" w:id="0">
    <w:p w14:paraId="74792EF5" w14:textId="77777777" w:rsidR="009A26B3" w:rsidRDefault="009A26B3" w:rsidP="00975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2918275"/>
      <w:docPartObj>
        <w:docPartGallery w:val="Page Numbers (Bottom of Page)"/>
        <w:docPartUnique/>
      </w:docPartObj>
    </w:sdtPr>
    <w:sdtEndPr>
      <w:rPr>
        <w:noProof/>
      </w:rPr>
    </w:sdtEndPr>
    <w:sdtContent>
      <w:p w14:paraId="50B02F44" w14:textId="497C0584" w:rsidR="0097505F" w:rsidRDefault="0097505F">
        <w:pPr>
          <w:pStyle w:val="Footer"/>
          <w:jc w:val="center"/>
        </w:pPr>
        <w:r>
          <w:fldChar w:fldCharType="begin"/>
        </w:r>
        <w:r>
          <w:instrText xml:space="preserve"> PAGE   \* MERGEFORMAT </w:instrText>
        </w:r>
        <w:r>
          <w:fldChar w:fldCharType="separate"/>
        </w:r>
        <w:r w:rsidR="005B1083">
          <w:rPr>
            <w:noProof/>
          </w:rPr>
          <w:t>8</w:t>
        </w:r>
        <w:r>
          <w:rPr>
            <w:noProof/>
          </w:rPr>
          <w:fldChar w:fldCharType="end"/>
        </w:r>
      </w:p>
    </w:sdtContent>
  </w:sdt>
  <w:p w14:paraId="1212318D" w14:textId="77777777" w:rsidR="0097505F" w:rsidRDefault="00975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068622" w14:textId="77777777" w:rsidR="009A26B3" w:rsidRDefault="009A26B3" w:rsidP="0097505F">
      <w:pPr>
        <w:spacing w:after="0" w:line="240" w:lineRule="auto"/>
      </w:pPr>
      <w:r>
        <w:separator/>
      </w:r>
    </w:p>
  </w:footnote>
  <w:footnote w:type="continuationSeparator" w:id="0">
    <w:p w14:paraId="04387F72" w14:textId="77777777" w:rsidR="009A26B3" w:rsidRDefault="009A26B3" w:rsidP="009750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7222B" w14:textId="77777777" w:rsidR="0097505F" w:rsidRDefault="0097505F">
    <w:pPr>
      <w:pStyle w:val="Header"/>
    </w:pPr>
    <w:r>
      <w:t>P075233</w:t>
    </w:r>
    <w:r>
      <w:ptab w:relativeTo="margin" w:alignment="center" w:leader="none"/>
    </w:r>
    <w:r>
      <w:t>Assignment 2 - ETLA</w:t>
    </w:r>
    <w:r>
      <w:ptab w:relativeTo="margin" w:alignment="right" w:leader="none"/>
    </w:r>
    <w:r>
      <w:t>M6X02269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05F"/>
    <w:rsid w:val="00017914"/>
    <w:rsid w:val="0007252F"/>
    <w:rsid w:val="00085138"/>
    <w:rsid w:val="00123EC6"/>
    <w:rsid w:val="001A5FA2"/>
    <w:rsid w:val="001A764D"/>
    <w:rsid w:val="001E068A"/>
    <w:rsid w:val="00291F4A"/>
    <w:rsid w:val="002A6682"/>
    <w:rsid w:val="003423F5"/>
    <w:rsid w:val="00386EEE"/>
    <w:rsid w:val="003E1313"/>
    <w:rsid w:val="003F7A4C"/>
    <w:rsid w:val="00416F24"/>
    <w:rsid w:val="0044718C"/>
    <w:rsid w:val="004A2100"/>
    <w:rsid w:val="004E4C9C"/>
    <w:rsid w:val="004F545E"/>
    <w:rsid w:val="0052772D"/>
    <w:rsid w:val="00543B8D"/>
    <w:rsid w:val="0055415B"/>
    <w:rsid w:val="005B1083"/>
    <w:rsid w:val="005F3EED"/>
    <w:rsid w:val="006C6229"/>
    <w:rsid w:val="006F32B2"/>
    <w:rsid w:val="00713DEA"/>
    <w:rsid w:val="00794F01"/>
    <w:rsid w:val="00816B23"/>
    <w:rsid w:val="008315E5"/>
    <w:rsid w:val="00857DD3"/>
    <w:rsid w:val="00861779"/>
    <w:rsid w:val="0087029A"/>
    <w:rsid w:val="008A50AE"/>
    <w:rsid w:val="00951339"/>
    <w:rsid w:val="0097505F"/>
    <w:rsid w:val="009A26B3"/>
    <w:rsid w:val="009D4FAD"/>
    <w:rsid w:val="00A717EF"/>
    <w:rsid w:val="00A77427"/>
    <w:rsid w:val="00A9072B"/>
    <w:rsid w:val="00AA529E"/>
    <w:rsid w:val="00AD66AA"/>
    <w:rsid w:val="00AE582B"/>
    <w:rsid w:val="00B52095"/>
    <w:rsid w:val="00C171D8"/>
    <w:rsid w:val="00C607EC"/>
    <w:rsid w:val="00C63BCB"/>
    <w:rsid w:val="00D5334A"/>
    <w:rsid w:val="00D67482"/>
    <w:rsid w:val="00D77CBF"/>
    <w:rsid w:val="00D84F6E"/>
    <w:rsid w:val="00E02FBB"/>
    <w:rsid w:val="00E55A52"/>
    <w:rsid w:val="00E57FAF"/>
    <w:rsid w:val="00E6637D"/>
    <w:rsid w:val="00E81307"/>
    <w:rsid w:val="00EE2A63"/>
    <w:rsid w:val="00EF226E"/>
    <w:rsid w:val="00F017C8"/>
    <w:rsid w:val="00FB3E19"/>
    <w:rsid w:val="00FC5030"/>
    <w:rsid w:val="00FD0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A1F9B4"/>
  <w15:chartTrackingRefBased/>
  <w15:docId w15:val="{911BA030-2FBA-4126-A3D5-91FEAC85A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50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505F"/>
  </w:style>
  <w:style w:type="paragraph" w:styleId="Footer">
    <w:name w:val="footer"/>
    <w:basedOn w:val="Normal"/>
    <w:link w:val="FooterChar"/>
    <w:uiPriority w:val="99"/>
    <w:unhideWhenUsed/>
    <w:rsid w:val="009750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50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4276983">
      <w:bodyDiv w:val="1"/>
      <w:marLeft w:val="0"/>
      <w:marRight w:val="0"/>
      <w:marTop w:val="0"/>
      <w:marBottom w:val="0"/>
      <w:divBdr>
        <w:top w:val="none" w:sz="0" w:space="0" w:color="auto"/>
        <w:left w:val="none" w:sz="0" w:space="0" w:color="auto"/>
        <w:bottom w:val="none" w:sz="0" w:space="0" w:color="auto"/>
        <w:right w:val="none" w:sz="0" w:space="0" w:color="auto"/>
      </w:divBdr>
    </w:div>
    <w:div w:id="130353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4339</Words>
  <Characters>24738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Morgan (P075233)</dc:creator>
  <cp:keywords/>
  <dc:description/>
  <cp:lastModifiedBy>James Morgan (P075233)</cp:lastModifiedBy>
  <cp:revision>2</cp:revision>
  <dcterms:created xsi:type="dcterms:W3CDTF">2019-03-12T19:17:00Z</dcterms:created>
  <dcterms:modified xsi:type="dcterms:W3CDTF">2019-03-12T19:17:00Z</dcterms:modified>
</cp:coreProperties>
</file>