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3631" w:rsidRDefault="00D96A71" w:rsidP="00F756B8">
      <w:pPr>
        <w:spacing w:line="360" w:lineRule="auto"/>
        <w:rPr>
          <w:rFonts w:asciiTheme="majorHAnsi" w:hAnsiTheme="majorHAnsi" w:cstheme="majorHAnsi"/>
          <w:b/>
        </w:rPr>
      </w:pPr>
      <w:r>
        <w:rPr>
          <w:rFonts w:asciiTheme="majorHAnsi" w:hAnsiTheme="majorHAnsi" w:cstheme="majorHAnsi"/>
          <w:b/>
        </w:rPr>
        <w:t>ECAD7004</w:t>
      </w:r>
    </w:p>
    <w:p w:rsidR="00725A64" w:rsidRDefault="00725A64" w:rsidP="00725A64">
      <w:pPr>
        <w:pStyle w:val="AssignSubHeader"/>
      </w:pPr>
      <w:r>
        <w:t>Measuring the response to the teacher through the use of approaches to gaining attention</w:t>
      </w:r>
      <w:r w:rsidR="0094163A">
        <w:t xml:space="preserve">: using hands up, clapping pattern or singing approach. </w:t>
      </w:r>
    </w:p>
    <w:p w:rsidR="00725A64" w:rsidRDefault="00725A64" w:rsidP="00725A64">
      <w:pPr>
        <w:pStyle w:val="AssignBody"/>
      </w:pPr>
    </w:p>
    <w:tbl>
      <w:tblPr>
        <w:tblStyle w:val="TableGrid"/>
        <w:tblW w:w="0" w:type="auto"/>
        <w:tblLook w:val="04A0" w:firstRow="1" w:lastRow="0" w:firstColumn="1" w:lastColumn="0" w:noHBand="0" w:noVBand="1"/>
      </w:tblPr>
      <w:tblGrid>
        <w:gridCol w:w="1722"/>
        <w:gridCol w:w="3644"/>
        <w:gridCol w:w="3644"/>
      </w:tblGrid>
      <w:tr w:rsidR="00725A64" w:rsidRPr="00725A64" w:rsidTr="006837B5">
        <w:tc>
          <w:tcPr>
            <w:tcW w:w="1722" w:type="dxa"/>
            <w:tcBorders>
              <w:top w:val="single" w:sz="4" w:space="0" w:color="auto"/>
              <w:left w:val="single" w:sz="4" w:space="0" w:color="auto"/>
              <w:bottom w:val="single" w:sz="4" w:space="0" w:color="auto"/>
              <w:right w:val="single" w:sz="4" w:space="0" w:color="auto"/>
            </w:tcBorders>
          </w:tcPr>
          <w:p w:rsidR="00725A64" w:rsidRPr="00725A64" w:rsidRDefault="00725A64" w:rsidP="006837B5">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rsidR="00725A64" w:rsidRPr="00725A64" w:rsidRDefault="00725A64" w:rsidP="006837B5">
            <w:pPr>
              <w:pStyle w:val="AssignBody"/>
              <w:rPr>
                <w:rFonts w:cs="Arial"/>
              </w:rPr>
            </w:pPr>
            <w:proofErr w:type="spellStart"/>
            <w:r w:rsidRPr="00725A64">
              <w:rPr>
                <w:rFonts w:cs="Arial"/>
              </w:rPr>
              <w:t>Targed</w:t>
            </w:r>
            <w:proofErr w:type="spellEnd"/>
            <w:r w:rsidRPr="00725A64">
              <w:rPr>
                <w:rFonts w:cs="Arial"/>
              </w:rPr>
              <w:t>/Target</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725A64" w:rsidP="006837B5">
            <w:pPr>
              <w:pStyle w:val="NormalWeb"/>
              <w:spacing w:before="0" w:beforeAutospacing="0" w:after="0" w:afterAutospacing="0"/>
              <w:rPr>
                <w:rFonts w:ascii="Arial" w:hAnsi="Arial" w:cs="Arial"/>
                <w:color w:val="222222"/>
                <w:shd w:val="clear" w:color="auto" w:fill="F8F9FA"/>
                <w:lang w:val="en-US"/>
              </w:rPr>
            </w:pPr>
            <w:proofErr w:type="spellStart"/>
            <w:r w:rsidRPr="00725A64">
              <w:rPr>
                <w:rFonts w:ascii="Arial" w:hAnsi="Arial" w:cs="Arial"/>
                <w:color w:val="222222"/>
                <w:shd w:val="clear" w:color="auto" w:fill="F8F9FA"/>
                <w:lang w:val="en-US"/>
              </w:rPr>
              <w:t>Yr</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hyn</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yr</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wyf</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wedi'i</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wneud</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yn</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yr</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aseiniad</w:t>
            </w:r>
            <w:proofErr w:type="spellEnd"/>
            <w:r w:rsidRPr="00725A64">
              <w:rPr>
                <w:rFonts w:ascii="Arial" w:hAnsi="Arial" w:cs="Arial"/>
                <w:color w:val="222222"/>
                <w:shd w:val="clear" w:color="auto" w:fill="F8F9FA"/>
                <w:lang w:val="en-US"/>
              </w:rPr>
              <w:t xml:space="preserve"> </w:t>
            </w:r>
            <w:proofErr w:type="spellStart"/>
            <w:r w:rsidRPr="00725A64">
              <w:rPr>
                <w:rFonts w:ascii="Arial" w:hAnsi="Arial" w:cs="Arial"/>
                <w:color w:val="222222"/>
                <w:shd w:val="clear" w:color="auto" w:fill="F8F9FA"/>
                <w:lang w:val="en-US"/>
              </w:rPr>
              <w:t>hwn</w:t>
            </w:r>
            <w:proofErr w:type="spellEnd"/>
            <w:r w:rsidRPr="00725A64">
              <w:rPr>
                <w:rFonts w:ascii="Arial" w:hAnsi="Arial" w:cs="Arial"/>
                <w:color w:val="222222"/>
                <w:shd w:val="clear" w:color="auto" w:fill="F8F9FA"/>
                <w:lang w:val="en-US"/>
              </w:rPr>
              <w:t>.</w:t>
            </w:r>
          </w:p>
          <w:p w:rsidR="00725A64" w:rsidRPr="00725A64" w:rsidRDefault="00725A64" w:rsidP="006837B5">
            <w:pPr>
              <w:pStyle w:val="NormalWeb"/>
              <w:spacing w:before="0" w:beforeAutospacing="0" w:after="0" w:afterAutospacing="0"/>
              <w:rPr>
                <w:rFonts w:ascii="Arial" w:hAnsi="Arial" w:cs="Arial"/>
                <w:color w:val="222222"/>
                <w:lang w:val="en-US"/>
              </w:rPr>
            </w:pPr>
          </w:p>
          <w:p w:rsidR="00725A64" w:rsidRPr="00725A64" w:rsidRDefault="00725A64" w:rsidP="006837B5">
            <w:pPr>
              <w:pStyle w:val="NormalWeb"/>
              <w:spacing w:before="0" w:beforeAutospacing="0" w:after="0" w:afterAutospacing="0"/>
              <w:rPr>
                <w:rFonts w:ascii="Arial" w:hAnsi="Arial" w:cs="Arial"/>
                <w:lang w:val="en-US"/>
              </w:rPr>
            </w:pPr>
            <w:r w:rsidRPr="00725A64">
              <w:rPr>
                <w:rFonts w:ascii="Arial" w:hAnsi="Arial" w:cs="Arial"/>
                <w:lang w:val="en-US"/>
              </w:rPr>
              <w:t>What I have done in this assignment.</w:t>
            </w:r>
          </w:p>
        </w:tc>
      </w:tr>
      <w:tr w:rsidR="00725A64" w:rsidRPr="00725A64" w:rsidTr="006837B5">
        <w:tc>
          <w:tcPr>
            <w:tcW w:w="1722" w:type="dxa"/>
            <w:tcBorders>
              <w:top w:val="single" w:sz="4" w:space="0" w:color="auto"/>
              <w:left w:val="single" w:sz="4" w:space="0" w:color="auto"/>
              <w:bottom w:val="single" w:sz="4" w:space="0" w:color="auto"/>
              <w:right w:val="single" w:sz="4" w:space="0" w:color="auto"/>
            </w:tcBorders>
            <w:hideMark/>
          </w:tcPr>
          <w:p w:rsidR="00725A64" w:rsidRPr="00725A64" w:rsidRDefault="00725A64" w:rsidP="006837B5">
            <w:pPr>
              <w:pStyle w:val="AssignBody"/>
              <w:rPr>
                <w:rFonts w:cs="Arial"/>
              </w:rPr>
            </w:pPr>
            <w:proofErr w:type="spellStart"/>
            <w:r w:rsidRPr="00725A64">
              <w:rPr>
                <w:rFonts w:cs="Arial"/>
              </w:rPr>
              <w:t>T</w:t>
            </w:r>
            <w:bookmarkStart w:id="0" w:name="cysill"/>
            <w:bookmarkEnd w:id="0"/>
            <w:r w:rsidRPr="00725A64">
              <w:rPr>
                <w:rFonts w:cs="Arial"/>
              </w:rPr>
              <w:t>arged</w:t>
            </w:r>
            <w:proofErr w:type="spellEnd"/>
            <w:r w:rsidRPr="00725A64">
              <w:rPr>
                <w:rFonts w:cs="Arial"/>
              </w:rPr>
              <w:t>/Target 1</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E30FA5" w:rsidP="006837B5">
            <w:pPr>
              <w:pStyle w:val="AssignBody"/>
              <w:rPr>
                <w:rFonts w:cs="Arial"/>
              </w:rPr>
            </w:pPr>
            <w:r>
              <w:rPr>
                <w:rFonts w:cs="Arial"/>
              </w:rPr>
              <w:t xml:space="preserve">More </w:t>
            </w:r>
            <w:proofErr w:type="spellStart"/>
            <w:r>
              <w:rPr>
                <w:rFonts w:cs="Arial"/>
              </w:rPr>
              <w:t>explicity</w:t>
            </w:r>
            <w:proofErr w:type="spellEnd"/>
            <w:r>
              <w:rPr>
                <w:rFonts w:cs="Arial"/>
              </w:rPr>
              <w:t xml:space="preserve"> critical engagement with lit is needed, especially in the reflections area. </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E30FA5" w:rsidP="006837B5">
            <w:pPr>
              <w:pStyle w:val="AssignBody"/>
              <w:rPr>
                <w:rFonts w:cs="Arial"/>
              </w:rPr>
            </w:pPr>
            <w:r>
              <w:rPr>
                <w:rFonts w:cs="Arial"/>
              </w:rPr>
              <w:t xml:space="preserve">I have tried to give a balanced two sided argument using literature. </w:t>
            </w:r>
          </w:p>
        </w:tc>
      </w:tr>
      <w:tr w:rsidR="00725A64" w:rsidRPr="00725A64" w:rsidTr="006837B5">
        <w:tc>
          <w:tcPr>
            <w:tcW w:w="1722" w:type="dxa"/>
            <w:tcBorders>
              <w:top w:val="single" w:sz="4" w:space="0" w:color="auto"/>
              <w:left w:val="single" w:sz="4" w:space="0" w:color="auto"/>
              <w:bottom w:val="single" w:sz="4" w:space="0" w:color="auto"/>
              <w:right w:val="single" w:sz="4" w:space="0" w:color="auto"/>
            </w:tcBorders>
            <w:hideMark/>
          </w:tcPr>
          <w:p w:rsidR="00725A64" w:rsidRPr="00725A64" w:rsidRDefault="00725A64" w:rsidP="006837B5">
            <w:pPr>
              <w:pStyle w:val="AssignBody"/>
              <w:rPr>
                <w:rFonts w:cs="Arial"/>
              </w:rPr>
            </w:pPr>
            <w:proofErr w:type="spellStart"/>
            <w:r w:rsidRPr="00725A64">
              <w:rPr>
                <w:rFonts w:cs="Arial"/>
              </w:rPr>
              <w:t>Targed</w:t>
            </w:r>
            <w:proofErr w:type="spellEnd"/>
            <w:r w:rsidRPr="00725A64">
              <w:rPr>
                <w:rFonts w:cs="Arial"/>
              </w:rPr>
              <w:t>/Target 2</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E30FA5" w:rsidP="006837B5">
            <w:pPr>
              <w:pStyle w:val="AssignBody"/>
              <w:rPr>
                <w:rFonts w:cs="Arial"/>
              </w:rPr>
            </w:pPr>
            <w:r>
              <w:rPr>
                <w:rFonts w:cs="Arial"/>
              </w:rPr>
              <w:t xml:space="preserve">Aim to ensure all ideas are explain in depth. </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E30FA5" w:rsidP="006837B5">
            <w:pPr>
              <w:pStyle w:val="AssignBody"/>
              <w:rPr>
                <w:rFonts w:cs="Arial"/>
              </w:rPr>
            </w:pPr>
            <w:r>
              <w:rPr>
                <w:rFonts w:cs="Arial"/>
              </w:rPr>
              <w:t xml:space="preserve">I have gone into depth in all my areas as much as possible. </w:t>
            </w:r>
          </w:p>
        </w:tc>
      </w:tr>
      <w:tr w:rsidR="00725A64" w:rsidRPr="00725A64" w:rsidTr="006837B5">
        <w:tc>
          <w:tcPr>
            <w:tcW w:w="1722" w:type="dxa"/>
            <w:tcBorders>
              <w:top w:val="single" w:sz="4" w:space="0" w:color="auto"/>
              <w:left w:val="single" w:sz="4" w:space="0" w:color="auto"/>
              <w:bottom w:val="single" w:sz="4" w:space="0" w:color="auto"/>
              <w:right w:val="single" w:sz="4" w:space="0" w:color="auto"/>
            </w:tcBorders>
            <w:hideMark/>
          </w:tcPr>
          <w:p w:rsidR="00725A64" w:rsidRPr="00725A64" w:rsidRDefault="00725A64" w:rsidP="006837B5">
            <w:pPr>
              <w:pStyle w:val="AssignBody"/>
              <w:rPr>
                <w:rFonts w:cs="Arial"/>
              </w:rPr>
            </w:pPr>
            <w:proofErr w:type="spellStart"/>
            <w:r w:rsidRPr="00725A64">
              <w:rPr>
                <w:rFonts w:cs="Arial"/>
              </w:rPr>
              <w:t>Targed</w:t>
            </w:r>
            <w:proofErr w:type="spellEnd"/>
            <w:r w:rsidRPr="00725A64">
              <w:rPr>
                <w:rFonts w:cs="Arial"/>
              </w:rPr>
              <w:t>/Target 3</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E30FA5" w:rsidP="006837B5">
            <w:pPr>
              <w:pStyle w:val="AssignBody"/>
              <w:rPr>
                <w:rFonts w:cs="Arial"/>
              </w:rPr>
            </w:pPr>
            <w:r>
              <w:rPr>
                <w:rFonts w:cs="Arial"/>
              </w:rPr>
              <w:t xml:space="preserve">Proofread with greater care. </w:t>
            </w:r>
          </w:p>
        </w:tc>
        <w:tc>
          <w:tcPr>
            <w:tcW w:w="3647" w:type="dxa"/>
            <w:tcBorders>
              <w:top w:val="single" w:sz="4" w:space="0" w:color="auto"/>
              <w:left w:val="single" w:sz="4" w:space="0" w:color="auto"/>
              <w:bottom w:val="single" w:sz="4" w:space="0" w:color="auto"/>
              <w:right w:val="single" w:sz="4" w:space="0" w:color="auto"/>
            </w:tcBorders>
          </w:tcPr>
          <w:p w:rsidR="00725A64" w:rsidRPr="00725A64" w:rsidRDefault="00E30FA5" w:rsidP="006837B5">
            <w:pPr>
              <w:pStyle w:val="AssignBody"/>
              <w:rPr>
                <w:rFonts w:cs="Arial"/>
              </w:rPr>
            </w:pPr>
            <w:r>
              <w:rPr>
                <w:rFonts w:cs="Arial"/>
              </w:rPr>
              <w:t xml:space="preserve">I have proofread and got someone else to check my work. </w:t>
            </w:r>
          </w:p>
        </w:tc>
      </w:tr>
    </w:tbl>
    <w:p w:rsidR="00725A64" w:rsidRPr="00725A64" w:rsidRDefault="00725A64" w:rsidP="00725A64">
      <w:pPr>
        <w:pStyle w:val="AssignBody"/>
        <w:rPr>
          <w:rFonts w:cs="Arial"/>
        </w:rPr>
      </w:pPr>
    </w:p>
    <w:p w:rsidR="00725A64" w:rsidRPr="00725A64" w:rsidRDefault="00725A64" w:rsidP="00725A64">
      <w:pPr>
        <w:pStyle w:val="AssignBody"/>
        <w:rPr>
          <w:rFonts w:cs="Arial"/>
        </w:rPr>
      </w:pPr>
    </w:p>
    <w:p w:rsidR="00D96A71" w:rsidRPr="00725A64" w:rsidRDefault="00D96A71" w:rsidP="00725A64">
      <w:pPr>
        <w:spacing w:line="360" w:lineRule="auto"/>
        <w:rPr>
          <w:rFonts w:ascii="Arial" w:hAnsi="Arial" w:cs="Arial"/>
          <w:sz w:val="22"/>
          <w:szCs w:val="22"/>
        </w:rPr>
      </w:pPr>
    </w:p>
    <w:p w:rsidR="008209F9" w:rsidRPr="00725A64" w:rsidRDefault="0088670F" w:rsidP="00725A64">
      <w:pPr>
        <w:spacing w:line="360" w:lineRule="auto"/>
        <w:rPr>
          <w:rFonts w:ascii="Arial" w:hAnsi="Arial" w:cs="Arial"/>
        </w:rPr>
      </w:pPr>
      <w:r w:rsidRPr="00725A64">
        <w:rPr>
          <w:rFonts w:ascii="Arial" w:hAnsi="Arial" w:cs="Arial"/>
        </w:rPr>
        <w:t xml:space="preserve">In the following essay, there will be a </w:t>
      </w:r>
      <w:r w:rsidR="002C5BBB" w:rsidRPr="00725A64">
        <w:rPr>
          <w:rFonts w:ascii="Arial" w:hAnsi="Arial" w:cs="Arial"/>
        </w:rPr>
        <w:t xml:space="preserve">research focus on measuring the learners’ response to the teacher </w:t>
      </w:r>
      <w:r w:rsidR="008209F9" w:rsidRPr="00725A64">
        <w:rPr>
          <w:rFonts w:ascii="Arial" w:hAnsi="Arial" w:cs="Arial"/>
        </w:rPr>
        <w:t xml:space="preserve">using </w:t>
      </w:r>
      <w:r w:rsidR="002C5BBB" w:rsidRPr="00725A64">
        <w:rPr>
          <w:rFonts w:ascii="Arial" w:hAnsi="Arial" w:cs="Arial"/>
        </w:rPr>
        <w:t>a range of approaches</w:t>
      </w:r>
      <w:r w:rsidR="009A64CA" w:rsidRPr="00725A64">
        <w:rPr>
          <w:rFonts w:ascii="Arial" w:hAnsi="Arial" w:cs="Arial"/>
        </w:rPr>
        <w:t xml:space="preserve"> of gaining learners’ attention</w:t>
      </w:r>
      <w:r w:rsidR="002C5BBB" w:rsidRPr="00725A64">
        <w:rPr>
          <w:rFonts w:ascii="Arial" w:hAnsi="Arial" w:cs="Arial"/>
        </w:rPr>
        <w:t xml:space="preserve">. This is </w:t>
      </w:r>
      <w:bookmarkStart w:id="1" w:name="_GoBack"/>
      <w:bookmarkEnd w:id="1"/>
      <w:r w:rsidR="002C5BBB" w:rsidRPr="00725A64">
        <w:rPr>
          <w:rFonts w:ascii="Arial" w:hAnsi="Arial" w:cs="Arial"/>
        </w:rPr>
        <w:t xml:space="preserve">an issue that interested me as </w:t>
      </w:r>
      <w:r w:rsidR="008209F9" w:rsidRPr="00725A64">
        <w:rPr>
          <w:rFonts w:ascii="Arial" w:hAnsi="Arial" w:cs="Arial"/>
        </w:rPr>
        <w:t xml:space="preserve">finding a method which effectively </w:t>
      </w:r>
      <w:r w:rsidR="002C5BBB" w:rsidRPr="00725A64">
        <w:rPr>
          <w:rFonts w:ascii="Arial" w:hAnsi="Arial" w:cs="Arial"/>
        </w:rPr>
        <w:t>gain</w:t>
      </w:r>
      <w:r w:rsidR="008209F9" w:rsidRPr="00725A64">
        <w:rPr>
          <w:rFonts w:ascii="Arial" w:hAnsi="Arial" w:cs="Arial"/>
        </w:rPr>
        <w:t>s</w:t>
      </w:r>
      <w:r w:rsidR="002C5BBB" w:rsidRPr="00725A64">
        <w:rPr>
          <w:rFonts w:ascii="Arial" w:hAnsi="Arial" w:cs="Arial"/>
        </w:rPr>
        <w:t xml:space="preserve"> pupil attention was one of my targets throughout my time in key stage two on</w:t>
      </w:r>
      <w:r w:rsidR="008209F9" w:rsidRPr="00725A64">
        <w:rPr>
          <w:rFonts w:ascii="Arial" w:hAnsi="Arial" w:cs="Arial"/>
        </w:rPr>
        <w:t xml:space="preserve"> my</w:t>
      </w:r>
      <w:r w:rsidR="002C5BBB" w:rsidRPr="00725A64">
        <w:rPr>
          <w:rFonts w:ascii="Arial" w:hAnsi="Arial" w:cs="Arial"/>
        </w:rPr>
        <w:t xml:space="preserve"> </w:t>
      </w:r>
      <w:r w:rsidR="008209F9" w:rsidRPr="00725A64">
        <w:rPr>
          <w:rFonts w:ascii="Arial" w:hAnsi="Arial" w:cs="Arial"/>
        </w:rPr>
        <w:t xml:space="preserve">first </w:t>
      </w:r>
      <w:r w:rsidR="002C5BBB" w:rsidRPr="00725A64">
        <w:rPr>
          <w:rFonts w:ascii="Arial" w:hAnsi="Arial" w:cs="Arial"/>
        </w:rPr>
        <w:t>professional teaching experience. I was interested in testing which methods work best in foundation phase</w:t>
      </w:r>
      <w:r w:rsidR="00EB061F" w:rsidRPr="00725A64">
        <w:rPr>
          <w:rFonts w:ascii="Arial" w:hAnsi="Arial" w:cs="Arial"/>
        </w:rPr>
        <w:t xml:space="preserve"> (FP)</w:t>
      </w:r>
      <w:r w:rsidR="002C5BBB" w:rsidRPr="00725A64">
        <w:rPr>
          <w:rFonts w:ascii="Arial" w:hAnsi="Arial" w:cs="Arial"/>
        </w:rPr>
        <w:t xml:space="preserve"> in compa</w:t>
      </w:r>
      <w:r w:rsidR="00EB061F" w:rsidRPr="00725A64">
        <w:rPr>
          <w:rFonts w:ascii="Arial" w:hAnsi="Arial" w:cs="Arial"/>
        </w:rPr>
        <w:t>rison to the method(s) which work better in key stage two (KS2). When beginning</w:t>
      </w:r>
      <w:r w:rsidR="0094163A">
        <w:rPr>
          <w:rFonts w:ascii="Arial" w:hAnsi="Arial" w:cs="Arial"/>
        </w:rPr>
        <w:t xml:space="preserve"> the first</w:t>
      </w:r>
      <w:r w:rsidR="00EB061F" w:rsidRPr="00725A64">
        <w:rPr>
          <w:rFonts w:ascii="Arial" w:hAnsi="Arial" w:cs="Arial"/>
        </w:rPr>
        <w:t xml:space="preserve"> professional teaching experience, I found it hard to find my own </w:t>
      </w:r>
      <w:r w:rsidR="0094163A">
        <w:rPr>
          <w:rFonts w:ascii="Arial" w:hAnsi="Arial" w:cs="Arial"/>
        </w:rPr>
        <w:t xml:space="preserve">personal </w:t>
      </w:r>
      <w:r w:rsidR="00EB061F" w:rsidRPr="00725A64">
        <w:rPr>
          <w:rFonts w:ascii="Arial" w:hAnsi="Arial" w:cs="Arial"/>
        </w:rPr>
        <w:t xml:space="preserve">method of gaining attention. I had noticed how a range of approaches were used </w:t>
      </w:r>
      <w:r w:rsidR="008209F9" w:rsidRPr="00725A64">
        <w:rPr>
          <w:rFonts w:ascii="Arial" w:hAnsi="Arial" w:cs="Arial"/>
        </w:rPr>
        <w:t>throughout</w:t>
      </w:r>
      <w:r w:rsidR="00EB061F" w:rsidRPr="00725A64">
        <w:rPr>
          <w:rFonts w:ascii="Arial" w:hAnsi="Arial" w:cs="Arial"/>
        </w:rPr>
        <w:t xml:space="preserve"> this particular primary school; the class teacher used a clapping pattern to bring the class together during the lesson, where other teachers used the silence approach, some chanted and some sang. After discussing this research focus with my partner, we were interested in testing a range of these approaches </w:t>
      </w:r>
      <w:r w:rsidR="008C3C3F" w:rsidRPr="00725A64">
        <w:rPr>
          <w:rFonts w:ascii="Arial" w:hAnsi="Arial" w:cs="Arial"/>
        </w:rPr>
        <w:t xml:space="preserve">through a lesson study </w:t>
      </w:r>
      <w:r w:rsidR="00EB061F" w:rsidRPr="00725A64">
        <w:rPr>
          <w:rFonts w:ascii="Arial" w:hAnsi="Arial" w:cs="Arial"/>
        </w:rPr>
        <w:t>and decided to test hands up until silence, clapping a pattern and asking for the pattern to be repeated by the learners and singing the ‘</w:t>
      </w:r>
      <w:proofErr w:type="spellStart"/>
      <w:r w:rsidR="00EB061F" w:rsidRPr="00725A64">
        <w:rPr>
          <w:rFonts w:ascii="Arial" w:hAnsi="Arial" w:cs="Arial"/>
        </w:rPr>
        <w:t>pwy</w:t>
      </w:r>
      <w:proofErr w:type="spellEnd"/>
      <w:r w:rsidR="00EB061F" w:rsidRPr="00725A64">
        <w:rPr>
          <w:rFonts w:ascii="Arial" w:hAnsi="Arial" w:cs="Arial"/>
        </w:rPr>
        <w:t xml:space="preserve"> </w:t>
      </w:r>
      <w:proofErr w:type="spellStart"/>
      <w:r w:rsidR="00EB061F" w:rsidRPr="00725A64">
        <w:rPr>
          <w:rFonts w:ascii="Arial" w:hAnsi="Arial" w:cs="Arial"/>
        </w:rPr>
        <w:t>sy’n</w:t>
      </w:r>
      <w:proofErr w:type="spellEnd"/>
      <w:r w:rsidR="00EB061F" w:rsidRPr="00725A64">
        <w:rPr>
          <w:rFonts w:ascii="Arial" w:hAnsi="Arial" w:cs="Arial"/>
        </w:rPr>
        <w:t xml:space="preserve"> </w:t>
      </w:r>
      <w:proofErr w:type="spellStart"/>
      <w:r w:rsidR="00EB061F" w:rsidRPr="00725A64">
        <w:rPr>
          <w:rFonts w:ascii="Arial" w:hAnsi="Arial" w:cs="Arial"/>
        </w:rPr>
        <w:t>barod</w:t>
      </w:r>
      <w:proofErr w:type="spellEnd"/>
      <w:r w:rsidR="00EB061F" w:rsidRPr="00725A64">
        <w:rPr>
          <w:rFonts w:ascii="Arial" w:hAnsi="Arial" w:cs="Arial"/>
        </w:rPr>
        <w:t xml:space="preserve">’ song until all children were sat nicely with all attention on the teacher. </w:t>
      </w:r>
      <w:r w:rsidR="008209F9" w:rsidRPr="00725A64">
        <w:rPr>
          <w:rFonts w:ascii="Arial" w:hAnsi="Arial" w:cs="Arial"/>
        </w:rPr>
        <w:t xml:space="preserve">Therefore, our question is: “measuring the children’s </w:t>
      </w:r>
      <w:r w:rsidR="008209F9" w:rsidRPr="00725A64">
        <w:rPr>
          <w:rFonts w:ascii="Arial" w:hAnsi="Arial" w:cs="Arial"/>
        </w:rPr>
        <w:lastRenderedPageBreak/>
        <w:t xml:space="preserve">response to the teacher: using hands up, clapping pattern or singing approach”. For our classes, this meant that some individuals were observed and later questioned on the approaches. </w:t>
      </w:r>
    </w:p>
    <w:p w:rsidR="008209F9" w:rsidRPr="00725A64" w:rsidRDefault="008209F9" w:rsidP="00725A64">
      <w:pPr>
        <w:spacing w:line="360" w:lineRule="auto"/>
        <w:rPr>
          <w:rFonts w:ascii="Arial" w:hAnsi="Arial" w:cs="Arial"/>
        </w:rPr>
      </w:pPr>
    </w:p>
    <w:p w:rsidR="00EB061F" w:rsidRPr="00725A64" w:rsidRDefault="008209F9" w:rsidP="00725A64">
      <w:pPr>
        <w:spacing w:line="360" w:lineRule="auto"/>
        <w:rPr>
          <w:rFonts w:ascii="Arial" w:hAnsi="Arial" w:cs="Arial"/>
        </w:rPr>
      </w:pPr>
      <w:r w:rsidRPr="00725A64">
        <w:rPr>
          <w:rFonts w:ascii="Arial" w:hAnsi="Arial" w:cs="Arial"/>
        </w:rPr>
        <w:t>This essay will include a reference to relevant literature, a reference to methodology, ethical considerations as well as results, analysis and an evaluation of our findings before further recommendations for further research</w:t>
      </w:r>
      <w:r w:rsidR="0094163A">
        <w:rPr>
          <w:rFonts w:ascii="Arial" w:hAnsi="Arial" w:cs="Arial"/>
        </w:rPr>
        <w:t xml:space="preserve"> in practice</w:t>
      </w:r>
      <w:r w:rsidRPr="00725A64">
        <w:rPr>
          <w:rFonts w:ascii="Arial" w:hAnsi="Arial" w:cs="Arial"/>
        </w:rPr>
        <w:t xml:space="preserve">. </w:t>
      </w:r>
    </w:p>
    <w:p w:rsidR="00F06482" w:rsidRPr="00725A64" w:rsidRDefault="00F06482" w:rsidP="00725A64">
      <w:pPr>
        <w:spacing w:line="360" w:lineRule="auto"/>
        <w:rPr>
          <w:rFonts w:ascii="Arial" w:hAnsi="Arial" w:cs="Arial"/>
          <w:b/>
        </w:rPr>
      </w:pPr>
    </w:p>
    <w:p w:rsidR="009F613C" w:rsidRDefault="00807D4B" w:rsidP="00725A64">
      <w:pPr>
        <w:spacing w:line="360" w:lineRule="auto"/>
        <w:rPr>
          <w:rFonts w:ascii="Arial" w:hAnsi="Arial" w:cs="Arial"/>
        </w:rPr>
      </w:pPr>
      <w:r w:rsidRPr="00725A64">
        <w:rPr>
          <w:rFonts w:ascii="Arial" w:hAnsi="Arial" w:cs="Arial"/>
        </w:rPr>
        <w:t>I looked into this</w:t>
      </w:r>
      <w:r w:rsidR="00DF7A3C" w:rsidRPr="00725A64">
        <w:rPr>
          <w:rFonts w:ascii="Arial" w:hAnsi="Arial" w:cs="Arial"/>
        </w:rPr>
        <w:t xml:space="preserve"> topic</w:t>
      </w:r>
      <w:r w:rsidRPr="00725A64">
        <w:rPr>
          <w:rFonts w:ascii="Arial" w:hAnsi="Arial" w:cs="Arial"/>
        </w:rPr>
        <w:t xml:space="preserve"> </w:t>
      </w:r>
      <w:r w:rsidR="009F613C" w:rsidRPr="00725A64">
        <w:rPr>
          <w:rFonts w:ascii="Arial" w:hAnsi="Arial" w:cs="Arial"/>
        </w:rPr>
        <w:t xml:space="preserve">of engagement and responding to teachers </w:t>
      </w:r>
      <w:r w:rsidRPr="00725A64">
        <w:rPr>
          <w:rFonts w:ascii="Arial" w:hAnsi="Arial" w:cs="Arial"/>
        </w:rPr>
        <w:t>further by reading books, journal articles, government documents and other online material</w:t>
      </w:r>
      <w:r w:rsidR="0094163A">
        <w:rPr>
          <w:rFonts w:ascii="Arial" w:hAnsi="Arial" w:cs="Arial"/>
        </w:rPr>
        <w:t xml:space="preserve"> such as websites and blogs</w:t>
      </w:r>
      <w:r w:rsidR="00DF7A3C" w:rsidRPr="00725A64">
        <w:rPr>
          <w:rFonts w:ascii="Arial" w:hAnsi="Arial" w:cs="Arial"/>
        </w:rPr>
        <w:t xml:space="preserve">. </w:t>
      </w:r>
      <w:r w:rsidR="007134EA" w:rsidRPr="00725A64">
        <w:rPr>
          <w:rFonts w:ascii="Arial" w:hAnsi="Arial" w:cs="Arial"/>
        </w:rPr>
        <w:t>Student engagement can be generally accepted as “participation in educational practices inside and outside of the classroom which leads to a number of measurable learning outcomes” (</w:t>
      </w:r>
      <w:proofErr w:type="spellStart"/>
      <w:r w:rsidR="007134EA" w:rsidRPr="00725A64">
        <w:rPr>
          <w:rFonts w:ascii="Arial" w:hAnsi="Arial" w:cs="Arial"/>
        </w:rPr>
        <w:t>Kuh</w:t>
      </w:r>
      <w:proofErr w:type="spellEnd"/>
      <w:r w:rsidR="007134EA" w:rsidRPr="00725A64">
        <w:rPr>
          <w:rFonts w:ascii="Arial" w:hAnsi="Arial" w:cs="Arial"/>
        </w:rPr>
        <w:t xml:space="preserve"> et al., 200</w:t>
      </w:r>
      <w:r w:rsidR="009F22B5" w:rsidRPr="00725A64">
        <w:rPr>
          <w:rFonts w:ascii="Arial" w:hAnsi="Arial" w:cs="Arial"/>
        </w:rPr>
        <w:t>7</w:t>
      </w:r>
      <w:r w:rsidR="007134EA" w:rsidRPr="00725A64">
        <w:rPr>
          <w:rFonts w:ascii="Arial" w:hAnsi="Arial" w:cs="Arial"/>
        </w:rPr>
        <w:t xml:space="preserve"> p.87). In contrast to this, definitions by HEFCE (2008) and Coates (2007) outline how engagement is done in</w:t>
      </w:r>
      <w:r w:rsidR="009F613C" w:rsidRPr="00725A64">
        <w:rPr>
          <w:rFonts w:ascii="Arial" w:hAnsi="Arial" w:cs="Arial"/>
        </w:rPr>
        <w:t xml:space="preserve"> </w:t>
      </w:r>
      <w:r w:rsidR="007134EA" w:rsidRPr="00725A64">
        <w:rPr>
          <w:rFonts w:ascii="Arial" w:hAnsi="Arial" w:cs="Arial"/>
        </w:rPr>
        <w:t xml:space="preserve">a way in which the institutions and bodies of education play a role in involving and attempting to motivate students towards constructing a positive learning experience. </w:t>
      </w:r>
      <w:r w:rsidR="00DD0E6F" w:rsidRPr="00725A64">
        <w:rPr>
          <w:rFonts w:ascii="Arial" w:hAnsi="Arial" w:cs="Arial"/>
        </w:rPr>
        <w:t xml:space="preserve">There is much available literature surrounding the topic of engagement. The literature is wide ranging and mixed in understandings. Krause and Coates (2008) place emphasis on the argument that student engagement can be how students are engaging in activities which are linked with pupil attainment. This argument is also present in literature by Hu and </w:t>
      </w:r>
      <w:proofErr w:type="spellStart"/>
      <w:r w:rsidR="00DD0E6F" w:rsidRPr="00725A64">
        <w:rPr>
          <w:rFonts w:ascii="Arial" w:hAnsi="Arial" w:cs="Arial"/>
        </w:rPr>
        <w:t>Kuh</w:t>
      </w:r>
      <w:proofErr w:type="spellEnd"/>
      <w:r w:rsidR="00DD0E6F" w:rsidRPr="00725A64">
        <w:rPr>
          <w:rFonts w:ascii="Arial" w:hAnsi="Arial" w:cs="Arial"/>
        </w:rPr>
        <w:t xml:space="preserve"> (2001) where it is highlighted how the level of pupil’s devotion to education contributes directly to learning outcomes. </w:t>
      </w:r>
    </w:p>
    <w:p w:rsidR="0094163A" w:rsidRPr="00725A64" w:rsidRDefault="0094163A" w:rsidP="00725A64">
      <w:pPr>
        <w:spacing w:line="360" w:lineRule="auto"/>
        <w:rPr>
          <w:rFonts w:ascii="Arial" w:hAnsi="Arial" w:cs="Arial"/>
        </w:rPr>
      </w:pPr>
    </w:p>
    <w:p w:rsidR="00A0401E" w:rsidRPr="00725A64" w:rsidRDefault="00A0401E" w:rsidP="00725A64">
      <w:pPr>
        <w:spacing w:line="360" w:lineRule="auto"/>
        <w:rPr>
          <w:rFonts w:ascii="Arial" w:hAnsi="Arial" w:cs="Arial"/>
        </w:rPr>
      </w:pPr>
      <w:r w:rsidRPr="00725A64">
        <w:rPr>
          <w:rFonts w:ascii="Arial" w:hAnsi="Arial" w:cs="Arial"/>
        </w:rPr>
        <w:t xml:space="preserve">According to </w:t>
      </w:r>
      <w:proofErr w:type="spellStart"/>
      <w:r w:rsidR="009F613C" w:rsidRPr="00725A64">
        <w:rPr>
          <w:rFonts w:ascii="Arial" w:hAnsi="Arial" w:cs="Arial"/>
        </w:rPr>
        <w:t>Trowler</w:t>
      </w:r>
      <w:proofErr w:type="spellEnd"/>
      <w:r w:rsidR="009F613C" w:rsidRPr="00725A64">
        <w:rPr>
          <w:rFonts w:ascii="Arial" w:hAnsi="Arial" w:cs="Arial"/>
        </w:rPr>
        <w:t xml:space="preserve"> (2010)</w:t>
      </w:r>
      <w:r w:rsidRPr="00725A64">
        <w:rPr>
          <w:rFonts w:ascii="Arial" w:hAnsi="Arial" w:cs="Arial"/>
        </w:rPr>
        <w:t xml:space="preserve"> engagement is thought to be more than just </w:t>
      </w:r>
      <w:r w:rsidR="009F613C" w:rsidRPr="00725A64">
        <w:rPr>
          <w:rFonts w:ascii="Arial" w:hAnsi="Arial" w:cs="Arial"/>
        </w:rPr>
        <w:t>involvement</w:t>
      </w:r>
      <w:r w:rsidRPr="00725A64">
        <w:rPr>
          <w:rFonts w:ascii="Arial" w:hAnsi="Arial" w:cs="Arial"/>
        </w:rPr>
        <w:t xml:space="preserve"> or participation</w:t>
      </w:r>
      <w:r w:rsidR="007134EA" w:rsidRPr="00725A64">
        <w:rPr>
          <w:rFonts w:ascii="Arial" w:hAnsi="Arial" w:cs="Arial"/>
        </w:rPr>
        <w:t xml:space="preserve"> as it requires feelings and understanding. Despite being an outdated source, relevant literature from Bloom (1956) in Fredricks et al, (2004)</w:t>
      </w:r>
      <w:r w:rsidR="009F613C" w:rsidRPr="00725A64">
        <w:rPr>
          <w:rFonts w:ascii="Arial" w:hAnsi="Arial" w:cs="Arial"/>
        </w:rPr>
        <w:t xml:space="preserve"> highlights</w:t>
      </w:r>
      <w:r w:rsidR="007134EA" w:rsidRPr="00725A64">
        <w:rPr>
          <w:rFonts w:ascii="Arial" w:hAnsi="Arial" w:cs="Arial"/>
        </w:rPr>
        <w:t xml:space="preserve"> how three dimensions of student engagement have been identified; behavioural engagement, emotional engagement and cognitive engagement</w:t>
      </w:r>
      <w:r w:rsidR="007134EA" w:rsidRPr="00725A64">
        <w:rPr>
          <w:rFonts w:ascii="Arial" w:hAnsi="Arial" w:cs="Arial"/>
          <w:b/>
        </w:rPr>
        <w:t xml:space="preserve">. </w:t>
      </w:r>
      <w:proofErr w:type="spellStart"/>
      <w:r w:rsidR="009F613C" w:rsidRPr="00725A64">
        <w:rPr>
          <w:rFonts w:ascii="Arial" w:hAnsi="Arial" w:cs="Arial"/>
        </w:rPr>
        <w:t>Trowler</w:t>
      </w:r>
      <w:proofErr w:type="spellEnd"/>
      <w:r w:rsidR="009F613C" w:rsidRPr="00725A64">
        <w:rPr>
          <w:rFonts w:ascii="Arial" w:hAnsi="Arial" w:cs="Arial"/>
        </w:rPr>
        <w:t xml:space="preserve"> (2010) has discussed how it is not rare for students to be positively engaged in one or more dimensions while being negatively engaged in one or more aspects</w:t>
      </w:r>
      <w:r w:rsidR="009F22B5" w:rsidRPr="00725A64">
        <w:rPr>
          <w:rFonts w:ascii="Arial" w:hAnsi="Arial" w:cs="Arial"/>
        </w:rPr>
        <w:t xml:space="preserve"> during their education. </w:t>
      </w:r>
      <w:r w:rsidR="00966955" w:rsidRPr="00725A64">
        <w:rPr>
          <w:rFonts w:ascii="Arial" w:hAnsi="Arial" w:cs="Arial"/>
        </w:rPr>
        <w:t xml:space="preserve">Often, students do not cooperatively engage with a learning activity because they may feel as though the activity is uninteresting and </w:t>
      </w:r>
      <w:r w:rsidR="00FB5FBA" w:rsidRPr="00725A64">
        <w:rPr>
          <w:rFonts w:ascii="Arial" w:hAnsi="Arial" w:cs="Arial"/>
        </w:rPr>
        <w:t xml:space="preserve">these individuals may </w:t>
      </w:r>
      <w:r w:rsidR="00966955" w:rsidRPr="00725A64">
        <w:rPr>
          <w:rFonts w:ascii="Arial" w:hAnsi="Arial" w:cs="Arial"/>
        </w:rPr>
        <w:t xml:space="preserve">not feel as though the activity has immediate value to them (Santrock, 2001). </w:t>
      </w:r>
      <w:r w:rsidR="00966955" w:rsidRPr="00725A64">
        <w:rPr>
          <w:rFonts w:ascii="Arial" w:hAnsi="Arial" w:cs="Arial"/>
        </w:rPr>
        <w:lastRenderedPageBreak/>
        <w:t>Students are often intrinsically motived to engage in a learning activity if they recognise that by experiencing the activity, they will be satisfying their needs and will be directly beneficial to their learning</w:t>
      </w:r>
      <w:r w:rsidR="00A34E9B">
        <w:rPr>
          <w:rFonts w:ascii="Arial" w:hAnsi="Arial" w:cs="Arial"/>
        </w:rPr>
        <w:t xml:space="preserve"> (</w:t>
      </w:r>
      <w:proofErr w:type="spellStart"/>
      <w:r w:rsidR="00A34E9B">
        <w:rPr>
          <w:rFonts w:ascii="Arial" w:hAnsi="Arial" w:cs="Arial"/>
        </w:rPr>
        <w:t>Cangelosi</w:t>
      </w:r>
      <w:proofErr w:type="spellEnd"/>
      <w:r w:rsidR="00A34E9B">
        <w:rPr>
          <w:rFonts w:ascii="Arial" w:hAnsi="Arial" w:cs="Arial"/>
        </w:rPr>
        <w:t>, 2014)</w:t>
      </w:r>
      <w:r w:rsidR="00966955" w:rsidRPr="00725A64">
        <w:rPr>
          <w:rFonts w:ascii="Arial" w:hAnsi="Arial" w:cs="Arial"/>
        </w:rPr>
        <w:t xml:space="preserve">. </w:t>
      </w:r>
      <w:proofErr w:type="spellStart"/>
      <w:r w:rsidR="00966955" w:rsidRPr="00725A64">
        <w:rPr>
          <w:rFonts w:ascii="Arial" w:hAnsi="Arial" w:cs="Arial"/>
        </w:rPr>
        <w:t>Cangelosi</w:t>
      </w:r>
      <w:proofErr w:type="spellEnd"/>
      <w:r w:rsidR="00966955" w:rsidRPr="00725A64">
        <w:rPr>
          <w:rFonts w:ascii="Arial" w:hAnsi="Arial" w:cs="Arial"/>
        </w:rPr>
        <w:t xml:space="preserve"> (</w:t>
      </w:r>
      <w:r w:rsidR="00034E73" w:rsidRPr="00725A64">
        <w:rPr>
          <w:rFonts w:ascii="Arial" w:hAnsi="Arial" w:cs="Arial"/>
        </w:rPr>
        <w:t>2014</w:t>
      </w:r>
      <w:r w:rsidR="00966955" w:rsidRPr="00725A64">
        <w:rPr>
          <w:rFonts w:ascii="Arial" w:hAnsi="Arial" w:cs="Arial"/>
        </w:rPr>
        <w:t xml:space="preserve">) further discusses how students are likely to be extrinsically motived to engage in learning, not just due to the value of the educational </w:t>
      </w:r>
      <w:r w:rsidR="00034E73" w:rsidRPr="00725A64">
        <w:rPr>
          <w:rFonts w:ascii="Arial" w:hAnsi="Arial" w:cs="Arial"/>
        </w:rPr>
        <w:t>activity</w:t>
      </w:r>
      <w:r w:rsidR="00966955" w:rsidRPr="00725A64">
        <w:rPr>
          <w:rFonts w:ascii="Arial" w:hAnsi="Arial" w:cs="Arial"/>
        </w:rPr>
        <w:t xml:space="preserve">, but to receive rewards or avoid circumstances imposed if they are off task. </w:t>
      </w:r>
      <w:r w:rsidR="00D61C70" w:rsidRPr="00725A64">
        <w:rPr>
          <w:rFonts w:ascii="Arial" w:hAnsi="Arial" w:cs="Arial"/>
        </w:rPr>
        <w:t>These learnt behaviours that are followed by rewards or a pleasant stimuli are thought to be more likely repeated behaviours than those that are not</w:t>
      </w:r>
      <w:r w:rsidR="00D61C70" w:rsidRPr="00725A64">
        <w:rPr>
          <w:rFonts w:ascii="Arial" w:hAnsi="Arial" w:cs="Arial"/>
        </w:rPr>
        <w:t xml:space="preserve"> </w:t>
      </w:r>
      <w:r w:rsidR="00D61C70" w:rsidRPr="00725A64">
        <w:rPr>
          <w:rFonts w:ascii="Arial" w:hAnsi="Arial" w:cs="Arial"/>
        </w:rPr>
        <w:t>(</w:t>
      </w:r>
      <w:proofErr w:type="spellStart"/>
      <w:r w:rsidR="00D61C70" w:rsidRPr="00725A64">
        <w:rPr>
          <w:rFonts w:ascii="Arial" w:hAnsi="Arial" w:cs="Arial"/>
        </w:rPr>
        <w:t>Cangelosi</w:t>
      </w:r>
      <w:proofErr w:type="spellEnd"/>
      <w:r w:rsidR="00D61C70" w:rsidRPr="00725A64">
        <w:rPr>
          <w:rFonts w:ascii="Arial" w:hAnsi="Arial" w:cs="Arial"/>
        </w:rPr>
        <w:t>, 2014).</w:t>
      </w:r>
    </w:p>
    <w:p w:rsidR="006C5585" w:rsidRPr="00725A64" w:rsidRDefault="006C5585" w:rsidP="00725A64">
      <w:pPr>
        <w:spacing w:line="360" w:lineRule="auto"/>
        <w:rPr>
          <w:rFonts w:ascii="Arial" w:hAnsi="Arial" w:cs="Arial"/>
        </w:rPr>
      </w:pPr>
    </w:p>
    <w:p w:rsidR="006C5585" w:rsidRPr="00725A64" w:rsidRDefault="006C5585" w:rsidP="00725A64">
      <w:pPr>
        <w:spacing w:line="360" w:lineRule="auto"/>
        <w:rPr>
          <w:rFonts w:ascii="Arial" w:hAnsi="Arial" w:cs="Arial"/>
        </w:rPr>
      </w:pPr>
      <w:r w:rsidRPr="00725A64">
        <w:rPr>
          <w:rFonts w:ascii="Arial" w:hAnsi="Arial" w:cs="Arial"/>
        </w:rPr>
        <w:t>Despite above literature discussing how the level of pupil engagement contributes directly to attainment, one of the most common</w:t>
      </w:r>
      <w:r w:rsidR="00034E73" w:rsidRPr="00725A64">
        <w:rPr>
          <w:rFonts w:ascii="Arial" w:hAnsi="Arial" w:cs="Arial"/>
        </w:rPr>
        <w:t>ly discussed</w:t>
      </w:r>
      <w:r w:rsidRPr="00725A64">
        <w:rPr>
          <w:rFonts w:ascii="Arial" w:hAnsi="Arial" w:cs="Arial"/>
        </w:rPr>
        <w:t xml:space="preserve"> school-related concern</w:t>
      </w:r>
      <w:r w:rsidR="00A34E9B">
        <w:rPr>
          <w:rFonts w:ascii="Arial" w:hAnsi="Arial" w:cs="Arial"/>
        </w:rPr>
        <w:t>s</w:t>
      </w:r>
      <w:r w:rsidRPr="00725A64">
        <w:rPr>
          <w:rFonts w:ascii="Arial" w:hAnsi="Arial" w:cs="Arial"/>
        </w:rPr>
        <w:t xml:space="preserve"> involves students who are disengaged from planned learning activities or those who </w:t>
      </w:r>
      <w:r w:rsidR="001D00AE" w:rsidRPr="00725A64">
        <w:rPr>
          <w:rFonts w:ascii="Arial" w:hAnsi="Arial" w:cs="Arial"/>
        </w:rPr>
        <w:t>disrupt the learning of other students (</w:t>
      </w:r>
      <w:proofErr w:type="spellStart"/>
      <w:r w:rsidR="00034E73" w:rsidRPr="00725A64">
        <w:rPr>
          <w:rFonts w:ascii="Arial" w:hAnsi="Arial" w:cs="Arial"/>
        </w:rPr>
        <w:t>Cangelosi</w:t>
      </w:r>
      <w:proofErr w:type="spellEnd"/>
      <w:r w:rsidR="00034E73" w:rsidRPr="00725A64">
        <w:rPr>
          <w:rFonts w:ascii="Arial" w:hAnsi="Arial" w:cs="Arial"/>
        </w:rPr>
        <w:t>, 2014</w:t>
      </w:r>
      <w:r w:rsidR="001D00AE" w:rsidRPr="00725A64">
        <w:rPr>
          <w:rFonts w:ascii="Arial" w:hAnsi="Arial" w:cs="Arial"/>
        </w:rPr>
        <w:t>)</w:t>
      </w:r>
    </w:p>
    <w:p w:rsidR="001D00AE" w:rsidRPr="00725A64" w:rsidRDefault="001D00AE" w:rsidP="00725A64">
      <w:pPr>
        <w:spacing w:line="360" w:lineRule="auto"/>
        <w:rPr>
          <w:rFonts w:ascii="Arial" w:hAnsi="Arial" w:cs="Arial"/>
        </w:rPr>
      </w:pPr>
    </w:p>
    <w:p w:rsidR="001D00AE" w:rsidRPr="00725A64" w:rsidRDefault="00BB35DC" w:rsidP="00725A64">
      <w:pPr>
        <w:spacing w:line="360" w:lineRule="auto"/>
        <w:rPr>
          <w:rFonts w:ascii="Arial" w:hAnsi="Arial" w:cs="Arial"/>
        </w:rPr>
      </w:pPr>
      <w:r w:rsidRPr="00725A64">
        <w:rPr>
          <w:rFonts w:ascii="Arial" w:hAnsi="Arial" w:cs="Arial"/>
        </w:rPr>
        <w:t xml:space="preserve">According to Johnson (1999), </w:t>
      </w:r>
      <w:r w:rsidR="00480BFE" w:rsidRPr="00725A64">
        <w:rPr>
          <w:rFonts w:ascii="Arial" w:hAnsi="Arial" w:cs="Arial"/>
        </w:rPr>
        <w:t>many</w:t>
      </w:r>
      <w:r w:rsidRPr="00725A64">
        <w:rPr>
          <w:rFonts w:ascii="Arial" w:hAnsi="Arial" w:cs="Arial"/>
        </w:rPr>
        <w:t xml:space="preserve"> educators have become so </w:t>
      </w:r>
      <w:r w:rsidR="008D06A7" w:rsidRPr="00725A64">
        <w:rPr>
          <w:rFonts w:ascii="Arial" w:hAnsi="Arial" w:cs="Arial"/>
        </w:rPr>
        <w:t>involved</w:t>
      </w:r>
      <w:r w:rsidRPr="00725A64">
        <w:rPr>
          <w:rFonts w:ascii="Arial" w:hAnsi="Arial" w:cs="Arial"/>
        </w:rPr>
        <w:t xml:space="preserve"> in delivering the </w:t>
      </w:r>
      <w:r w:rsidR="008D06A7" w:rsidRPr="00725A64">
        <w:rPr>
          <w:rFonts w:ascii="Arial" w:hAnsi="Arial" w:cs="Arial"/>
        </w:rPr>
        <w:t>curriculum</w:t>
      </w:r>
      <w:r w:rsidRPr="00725A64">
        <w:rPr>
          <w:rFonts w:ascii="Arial" w:hAnsi="Arial" w:cs="Arial"/>
        </w:rPr>
        <w:t xml:space="preserve">, that they often lack </w:t>
      </w:r>
      <w:r w:rsidR="00480BFE" w:rsidRPr="00725A64">
        <w:rPr>
          <w:rFonts w:ascii="Arial" w:hAnsi="Arial" w:cs="Arial"/>
        </w:rPr>
        <w:t xml:space="preserve">thought into </w:t>
      </w:r>
      <w:r w:rsidRPr="00725A64">
        <w:rPr>
          <w:rFonts w:ascii="Arial" w:hAnsi="Arial" w:cs="Arial"/>
        </w:rPr>
        <w:t>how they deliver the curriculum.</w:t>
      </w:r>
      <w:r w:rsidR="008D06A7" w:rsidRPr="00725A64">
        <w:rPr>
          <w:rFonts w:ascii="Arial" w:hAnsi="Arial" w:cs="Arial"/>
        </w:rPr>
        <w:t xml:space="preserve"> It is clear to see how communication in the classroom is of much importance. Both verbal and nonverbal means of communicating is generally apparent in every classroom. When communication is done without words, it is considered to be non-verbal. These methods can be anything from facial expressions to body movements and posture (Johnson, 1999; Neill, 2017). It is considered by Neill (2017) that non-verbal communication can often lack control and often displays teachers’ or learners’ true intensions which is of much importance when a teacher or learner needs to portray meaning. In literature by Neill (2017), he goes on to discuss how a range of wide range of  </w:t>
      </w:r>
      <w:r w:rsidR="00480BFE" w:rsidRPr="00725A64">
        <w:rPr>
          <w:rFonts w:ascii="Arial" w:hAnsi="Arial" w:cs="Arial"/>
        </w:rPr>
        <w:t>verbal and non-verbal techniques are used to communicate with and control a class</w:t>
      </w:r>
      <w:r w:rsidR="00FD17C7" w:rsidRPr="00725A64">
        <w:rPr>
          <w:rFonts w:ascii="Arial" w:hAnsi="Arial" w:cs="Arial"/>
        </w:rPr>
        <w:t xml:space="preserve">. These methods, however, can vary from school to school and class to class due to suitability, likeliness to respond and what works best (Scrivener, 2012). </w:t>
      </w:r>
      <w:r w:rsidR="007B4866" w:rsidRPr="00725A64">
        <w:rPr>
          <w:rFonts w:ascii="Arial" w:hAnsi="Arial" w:cs="Arial"/>
        </w:rPr>
        <w:t xml:space="preserve">Despite being an outdated source, </w:t>
      </w:r>
      <w:r w:rsidR="0024690F" w:rsidRPr="00725A64">
        <w:rPr>
          <w:rFonts w:ascii="Arial" w:hAnsi="Arial" w:cs="Arial"/>
        </w:rPr>
        <w:t>a</w:t>
      </w:r>
      <w:r w:rsidR="00D5093D" w:rsidRPr="00725A64">
        <w:rPr>
          <w:rFonts w:ascii="Arial" w:hAnsi="Arial" w:cs="Arial"/>
        </w:rPr>
        <w:t xml:space="preserve">n article by </w:t>
      </w:r>
      <w:proofErr w:type="spellStart"/>
      <w:r w:rsidR="00D5093D" w:rsidRPr="00725A64">
        <w:rPr>
          <w:rFonts w:ascii="Arial" w:hAnsi="Arial" w:cs="Arial"/>
        </w:rPr>
        <w:t>Grubaugh</w:t>
      </w:r>
      <w:proofErr w:type="spellEnd"/>
      <w:r w:rsidR="00D5093D" w:rsidRPr="00725A64">
        <w:rPr>
          <w:rFonts w:ascii="Arial" w:hAnsi="Arial" w:cs="Arial"/>
        </w:rPr>
        <w:t xml:space="preserve"> (</w:t>
      </w:r>
      <w:r w:rsidR="0008672C" w:rsidRPr="00725A64">
        <w:rPr>
          <w:rFonts w:ascii="Arial" w:hAnsi="Arial" w:cs="Arial"/>
        </w:rPr>
        <w:t>1989</w:t>
      </w:r>
      <w:r w:rsidR="00D5093D" w:rsidRPr="00725A64">
        <w:rPr>
          <w:rFonts w:ascii="Arial" w:hAnsi="Arial" w:cs="Arial"/>
        </w:rPr>
        <w:t xml:space="preserve">) </w:t>
      </w:r>
      <w:r w:rsidR="007B4866" w:rsidRPr="00725A64">
        <w:rPr>
          <w:rFonts w:ascii="Arial" w:hAnsi="Arial" w:cs="Arial"/>
        </w:rPr>
        <w:t xml:space="preserve">holds some </w:t>
      </w:r>
      <w:r w:rsidR="00E04C0B" w:rsidRPr="00725A64">
        <w:rPr>
          <w:rFonts w:ascii="Arial" w:hAnsi="Arial" w:cs="Arial"/>
        </w:rPr>
        <w:t xml:space="preserve">current views in </w:t>
      </w:r>
      <w:r w:rsidR="00105229" w:rsidRPr="00725A64">
        <w:rPr>
          <w:rFonts w:ascii="Arial" w:hAnsi="Arial" w:cs="Arial"/>
        </w:rPr>
        <w:t>argu</w:t>
      </w:r>
      <w:r w:rsidR="00E04C0B" w:rsidRPr="00725A64">
        <w:rPr>
          <w:rFonts w:ascii="Arial" w:hAnsi="Arial" w:cs="Arial"/>
        </w:rPr>
        <w:t xml:space="preserve">ing how </w:t>
      </w:r>
      <w:r w:rsidR="00105229" w:rsidRPr="00725A64">
        <w:rPr>
          <w:rFonts w:ascii="Arial" w:hAnsi="Arial" w:cs="Arial"/>
        </w:rPr>
        <w:t xml:space="preserve">verbal methods of communication, such as </w:t>
      </w:r>
      <w:r w:rsidR="0024690F" w:rsidRPr="00725A64">
        <w:rPr>
          <w:rFonts w:ascii="Arial" w:hAnsi="Arial" w:cs="Arial"/>
        </w:rPr>
        <w:t xml:space="preserve">singing </w:t>
      </w:r>
      <w:r w:rsidR="00D5093D" w:rsidRPr="00725A64">
        <w:rPr>
          <w:rFonts w:ascii="Arial" w:hAnsi="Arial" w:cs="Arial"/>
        </w:rPr>
        <w:t>and a raise in voice volume</w:t>
      </w:r>
      <w:r w:rsidR="001B1DFF" w:rsidRPr="00725A64">
        <w:rPr>
          <w:rFonts w:ascii="Arial" w:hAnsi="Arial" w:cs="Arial"/>
        </w:rPr>
        <w:t xml:space="preserve"> </w:t>
      </w:r>
      <w:r w:rsidR="00D5093D" w:rsidRPr="00725A64">
        <w:rPr>
          <w:rFonts w:ascii="Arial" w:hAnsi="Arial" w:cs="Arial"/>
        </w:rPr>
        <w:t xml:space="preserve">are more effective than the practiced non-verbal methods of classroom control due to their ability to instantly catch attention and hold authority. Never the less, Williams (1982) recognises how a teacher’s ability to adjust non-verbal as well as verbal use of communication to </w:t>
      </w:r>
      <w:r w:rsidR="00D5093D" w:rsidRPr="00725A64">
        <w:rPr>
          <w:rFonts w:ascii="Arial" w:hAnsi="Arial" w:cs="Arial"/>
        </w:rPr>
        <w:lastRenderedPageBreak/>
        <w:t xml:space="preserve">control the classroom based on its environment is how to achieve an effective level of control. </w:t>
      </w:r>
    </w:p>
    <w:p w:rsidR="008D06A7" w:rsidRPr="00725A64" w:rsidRDefault="008D06A7" w:rsidP="00725A64">
      <w:pPr>
        <w:spacing w:line="360" w:lineRule="auto"/>
        <w:rPr>
          <w:rFonts w:ascii="Arial" w:hAnsi="Arial" w:cs="Arial"/>
        </w:rPr>
      </w:pPr>
    </w:p>
    <w:p w:rsidR="007B0444" w:rsidRPr="00725A64" w:rsidRDefault="007B0444" w:rsidP="00725A64">
      <w:pPr>
        <w:spacing w:line="360" w:lineRule="auto"/>
        <w:rPr>
          <w:rFonts w:ascii="Arial" w:hAnsi="Arial" w:cs="Arial"/>
        </w:rPr>
      </w:pPr>
      <w:r w:rsidRPr="00725A64">
        <w:rPr>
          <w:rFonts w:ascii="Arial" w:hAnsi="Arial" w:cs="Arial"/>
        </w:rPr>
        <w:t>Behaviourist theories identify the role of environmental factors which influence behaviour. Behaviourism is primarily concerned with observable behaviour, as opposed to internal events such as thinking and emotion</w:t>
      </w:r>
      <w:r w:rsidR="00393BA1" w:rsidRPr="00725A64">
        <w:rPr>
          <w:rFonts w:ascii="Arial" w:hAnsi="Arial" w:cs="Arial"/>
        </w:rPr>
        <w:t xml:space="preserve"> (Catania and </w:t>
      </w:r>
      <w:proofErr w:type="spellStart"/>
      <w:r w:rsidR="00393BA1" w:rsidRPr="00725A64">
        <w:rPr>
          <w:rFonts w:ascii="Arial" w:hAnsi="Arial" w:cs="Arial"/>
        </w:rPr>
        <w:t>Harnad</w:t>
      </w:r>
      <w:proofErr w:type="spellEnd"/>
      <w:r w:rsidR="00393BA1" w:rsidRPr="00725A64">
        <w:rPr>
          <w:rFonts w:ascii="Arial" w:hAnsi="Arial" w:cs="Arial"/>
        </w:rPr>
        <w:t>, 1998)</w:t>
      </w:r>
      <w:r w:rsidRPr="00725A64">
        <w:rPr>
          <w:rFonts w:ascii="Arial" w:hAnsi="Arial" w:cs="Arial"/>
        </w:rPr>
        <w:t>. While behaviourists often accept the existence of cognitions and emotions, it is often only the external observable behaviour which can be scientifically measured</w:t>
      </w:r>
      <w:r w:rsidRPr="00725A64">
        <w:rPr>
          <w:rFonts w:ascii="Arial" w:hAnsi="Arial" w:cs="Arial"/>
        </w:rPr>
        <w:t xml:space="preserve"> (McLeod, 2018). There is a significant distinction between the versions of behaviourism: methodological behaviourism by Watson (1913) and radical behaviourism by Skinner (1939). Watson (1913, p.158) </w:t>
      </w:r>
      <w:r w:rsidR="00B86A0B" w:rsidRPr="00725A64">
        <w:rPr>
          <w:rFonts w:ascii="Arial" w:hAnsi="Arial" w:cs="Arial"/>
        </w:rPr>
        <w:t xml:space="preserve">outlines the principles of all behaviourists, which </w:t>
      </w:r>
      <w:r w:rsidR="00FB5FBA" w:rsidRPr="00725A64">
        <w:rPr>
          <w:rFonts w:ascii="Arial" w:hAnsi="Arial" w:cs="Arial"/>
        </w:rPr>
        <w:t xml:space="preserve">explains how </w:t>
      </w:r>
      <w:r w:rsidR="00B86A0B" w:rsidRPr="00725A64">
        <w:rPr>
          <w:rFonts w:ascii="Arial" w:hAnsi="Arial" w:cs="Arial"/>
        </w:rPr>
        <w:t>psycholo</w:t>
      </w:r>
      <w:r w:rsidR="00905B22" w:rsidRPr="00725A64">
        <w:rPr>
          <w:rFonts w:ascii="Arial" w:hAnsi="Arial" w:cs="Arial"/>
        </w:rPr>
        <w:t>gy as the behaviourist view is a purely objective experimental branch of natural science; where the goal is to predict and control behaviour. Skinner, like Watson, recognised the role of mental events</w:t>
      </w:r>
      <w:r w:rsidR="005E6D2E">
        <w:rPr>
          <w:rFonts w:ascii="Arial" w:hAnsi="Arial" w:cs="Arial"/>
        </w:rPr>
        <w:t>.</w:t>
      </w:r>
      <w:r w:rsidR="00905B22" w:rsidRPr="00725A64">
        <w:rPr>
          <w:rFonts w:ascii="Arial" w:hAnsi="Arial" w:cs="Arial"/>
        </w:rPr>
        <w:t xml:space="preserve"> </w:t>
      </w:r>
      <w:r w:rsidR="005E6D2E">
        <w:rPr>
          <w:rFonts w:ascii="Arial" w:hAnsi="Arial" w:cs="Arial"/>
        </w:rPr>
        <w:t>W</w:t>
      </w:r>
      <w:r w:rsidR="00905B22" w:rsidRPr="00725A64">
        <w:rPr>
          <w:rFonts w:ascii="Arial" w:hAnsi="Arial" w:cs="Arial"/>
        </w:rPr>
        <w:t xml:space="preserve">hile he agreed that such private events couldn’t be used to explain behaviour, he proposed that they should be explained in the analysis of behaviour characteristics (McLeod, 2018). </w:t>
      </w:r>
    </w:p>
    <w:p w:rsidR="00905B22" w:rsidRPr="00725A64" w:rsidRDefault="00905B22" w:rsidP="00725A64">
      <w:pPr>
        <w:spacing w:line="360" w:lineRule="auto"/>
        <w:rPr>
          <w:rFonts w:ascii="Arial" w:hAnsi="Arial" w:cs="Arial"/>
        </w:rPr>
      </w:pPr>
    </w:p>
    <w:p w:rsidR="00905B22" w:rsidRPr="00725A64" w:rsidRDefault="00905B22" w:rsidP="00725A64">
      <w:pPr>
        <w:spacing w:line="360" w:lineRule="auto"/>
        <w:rPr>
          <w:rFonts w:ascii="Arial" w:hAnsi="Arial" w:cs="Arial"/>
        </w:rPr>
      </w:pPr>
      <w:r w:rsidRPr="00725A64">
        <w:rPr>
          <w:rFonts w:ascii="Arial" w:hAnsi="Arial" w:cs="Arial"/>
        </w:rPr>
        <w:t xml:space="preserve">The main contrast between Watson (1931) and Skinner (1939) is the extent to which environmental factors have an influential impact on behaviour. Watson believed how the mind is a blank slate at birth, however Skinner accepts the opinion that humans are born with innate behaviours and can recognise the role of biological components in behaviour patterns (McLeod, 2018; </w:t>
      </w:r>
      <w:r w:rsidR="00393BA1" w:rsidRPr="00725A64">
        <w:rPr>
          <w:rFonts w:ascii="Arial" w:hAnsi="Arial" w:cs="Arial"/>
        </w:rPr>
        <w:t xml:space="preserve">Catania and </w:t>
      </w:r>
      <w:proofErr w:type="spellStart"/>
      <w:r w:rsidR="00393BA1" w:rsidRPr="00725A64">
        <w:rPr>
          <w:rFonts w:ascii="Arial" w:hAnsi="Arial" w:cs="Arial"/>
        </w:rPr>
        <w:t>Harnad</w:t>
      </w:r>
      <w:proofErr w:type="spellEnd"/>
      <w:r w:rsidR="00393BA1" w:rsidRPr="00725A64">
        <w:rPr>
          <w:rFonts w:ascii="Arial" w:hAnsi="Arial" w:cs="Arial"/>
        </w:rPr>
        <w:t xml:space="preserve">, 1998). </w:t>
      </w:r>
    </w:p>
    <w:p w:rsidR="00D73A3C" w:rsidRPr="00725A64" w:rsidRDefault="00D73A3C" w:rsidP="00725A64">
      <w:pPr>
        <w:spacing w:line="360" w:lineRule="auto"/>
        <w:rPr>
          <w:rFonts w:ascii="Arial" w:hAnsi="Arial" w:cs="Arial"/>
        </w:rPr>
      </w:pPr>
    </w:p>
    <w:p w:rsidR="00BE2037" w:rsidRPr="00725A64" w:rsidRDefault="002905A4" w:rsidP="00725A64">
      <w:pPr>
        <w:spacing w:line="360" w:lineRule="auto"/>
        <w:rPr>
          <w:rFonts w:ascii="Arial" w:hAnsi="Arial" w:cs="Arial"/>
        </w:rPr>
      </w:pPr>
      <w:r w:rsidRPr="00725A64">
        <w:rPr>
          <w:rFonts w:ascii="Arial" w:hAnsi="Arial" w:cs="Arial"/>
        </w:rPr>
        <w:t>Taking into consideration the above literature, I, alongside my research partner</w:t>
      </w:r>
      <w:r w:rsidR="001119FC" w:rsidRPr="00725A64">
        <w:rPr>
          <w:rFonts w:ascii="Arial" w:hAnsi="Arial" w:cs="Arial"/>
        </w:rPr>
        <w:t>,</w:t>
      </w:r>
      <w:r w:rsidRPr="00725A64">
        <w:rPr>
          <w:rFonts w:ascii="Arial" w:hAnsi="Arial" w:cs="Arial"/>
        </w:rPr>
        <w:t xml:space="preserve"> decided to</w:t>
      </w:r>
      <w:r w:rsidR="00777062" w:rsidRPr="00725A64">
        <w:rPr>
          <w:rFonts w:ascii="Arial" w:hAnsi="Arial" w:cs="Arial"/>
        </w:rPr>
        <w:t xml:space="preserve"> carry out a lesson study up</w:t>
      </w:r>
      <w:r w:rsidR="00F06482" w:rsidRPr="00725A64">
        <w:rPr>
          <w:rFonts w:ascii="Arial" w:hAnsi="Arial" w:cs="Arial"/>
        </w:rPr>
        <w:t xml:space="preserve">on </w:t>
      </w:r>
      <w:r w:rsidR="00777062" w:rsidRPr="00725A64">
        <w:rPr>
          <w:rFonts w:ascii="Arial" w:hAnsi="Arial" w:cs="Arial"/>
        </w:rPr>
        <w:t xml:space="preserve">the most effective methods of gaining attention in the classroom. </w:t>
      </w:r>
      <w:r w:rsidR="005E6D2E">
        <w:rPr>
          <w:rFonts w:ascii="Arial" w:hAnsi="Arial" w:cs="Arial"/>
        </w:rPr>
        <w:t>As a definition</w:t>
      </w:r>
      <w:r w:rsidR="00F06482" w:rsidRPr="00725A64">
        <w:rPr>
          <w:rFonts w:ascii="Arial" w:hAnsi="Arial" w:cs="Arial"/>
        </w:rPr>
        <w:t xml:space="preserve">, methodology has been outlined by Payne and Payne (2004) as ‘a grand scheme of ideas orientating researchers’ work’. In addition to this, Daly (2003) mentions how methodology is often used to encapsulate findings which </w:t>
      </w:r>
      <w:r w:rsidR="001119FC" w:rsidRPr="00725A64">
        <w:rPr>
          <w:rFonts w:ascii="Arial" w:hAnsi="Arial" w:cs="Arial"/>
        </w:rPr>
        <w:t>come</w:t>
      </w:r>
      <w:r w:rsidR="00F06482" w:rsidRPr="00725A64">
        <w:rPr>
          <w:rFonts w:ascii="Arial" w:hAnsi="Arial" w:cs="Arial"/>
        </w:rPr>
        <w:t xml:space="preserve"> together and support</w:t>
      </w:r>
      <w:r w:rsidR="001119FC" w:rsidRPr="00725A64">
        <w:rPr>
          <w:rFonts w:ascii="Arial" w:hAnsi="Arial" w:cs="Arial"/>
        </w:rPr>
        <w:t xml:space="preserve"> </w:t>
      </w:r>
      <w:r w:rsidR="00F06482" w:rsidRPr="00725A64">
        <w:rPr>
          <w:rFonts w:ascii="Arial" w:hAnsi="Arial" w:cs="Arial"/>
        </w:rPr>
        <w:t>research (Newman and Clare, 2016). The</w:t>
      </w:r>
      <w:r w:rsidR="00F06482" w:rsidRPr="00725A64">
        <w:rPr>
          <w:rFonts w:ascii="Arial" w:hAnsi="Arial" w:cs="Arial"/>
        </w:rPr>
        <w:t xml:space="preserve"> methodology used to carry out this research is a lesson study which is action research.</w:t>
      </w:r>
      <w:r w:rsidR="00F06482" w:rsidRPr="00725A64">
        <w:rPr>
          <w:rFonts w:ascii="Arial" w:hAnsi="Arial" w:cs="Arial"/>
        </w:rPr>
        <w:t xml:space="preserve"> Lesson study</w:t>
      </w:r>
      <w:r w:rsidR="001119FC" w:rsidRPr="00725A64">
        <w:rPr>
          <w:rFonts w:ascii="Arial" w:hAnsi="Arial" w:cs="Arial"/>
        </w:rPr>
        <w:t xml:space="preserve"> is a model of collaborative enquiry which orientated from Japan and</w:t>
      </w:r>
      <w:r w:rsidR="00F06482" w:rsidRPr="00725A64">
        <w:rPr>
          <w:rFonts w:ascii="Arial" w:hAnsi="Arial" w:cs="Arial"/>
        </w:rPr>
        <w:t xml:space="preserve"> is described by Rock and Wilson (2005) as a process in which teachers collaborate and support </w:t>
      </w:r>
      <w:r w:rsidR="001119FC" w:rsidRPr="00725A64">
        <w:rPr>
          <w:rFonts w:ascii="Arial" w:hAnsi="Arial" w:cs="Arial"/>
        </w:rPr>
        <w:t xml:space="preserve">a </w:t>
      </w:r>
      <w:r w:rsidR="00F06482" w:rsidRPr="00725A64">
        <w:rPr>
          <w:rFonts w:ascii="Arial" w:hAnsi="Arial" w:cs="Arial"/>
        </w:rPr>
        <w:t xml:space="preserve">potential reform of </w:t>
      </w:r>
      <w:r w:rsidR="001119FC" w:rsidRPr="00725A64">
        <w:rPr>
          <w:rFonts w:ascii="Arial" w:hAnsi="Arial" w:cs="Arial"/>
        </w:rPr>
        <w:t xml:space="preserve">an aspect of </w:t>
      </w:r>
      <w:r w:rsidR="00F06482" w:rsidRPr="00725A64">
        <w:rPr>
          <w:rFonts w:ascii="Arial" w:hAnsi="Arial" w:cs="Arial"/>
        </w:rPr>
        <w:t xml:space="preserve">pedagogy. Likewise, a </w:t>
      </w:r>
      <w:r w:rsidR="00F06482" w:rsidRPr="00725A64">
        <w:rPr>
          <w:rFonts w:ascii="Arial" w:hAnsi="Arial" w:cs="Arial"/>
        </w:rPr>
        <w:lastRenderedPageBreak/>
        <w:t>lesson study is thought by Du</w:t>
      </w:r>
      <w:r w:rsidR="006D472F">
        <w:rPr>
          <w:rFonts w:ascii="Arial" w:hAnsi="Arial" w:cs="Arial"/>
        </w:rPr>
        <w:t>d</w:t>
      </w:r>
      <w:r w:rsidR="00F06482" w:rsidRPr="00725A64">
        <w:rPr>
          <w:rFonts w:ascii="Arial" w:hAnsi="Arial" w:cs="Arial"/>
        </w:rPr>
        <w:t>ley (2014) to be a form of classroom action research which focusses on the development of knowledge and practice. Du</w:t>
      </w:r>
      <w:r w:rsidR="006D472F">
        <w:rPr>
          <w:rFonts w:ascii="Arial" w:hAnsi="Arial" w:cs="Arial"/>
        </w:rPr>
        <w:t>dle</w:t>
      </w:r>
      <w:r w:rsidR="00F06482" w:rsidRPr="00725A64">
        <w:rPr>
          <w:rFonts w:ascii="Arial" w:hAnsi="Arial" w:cs="Arial"/>
        </w:rPr>
        <w:t>y (2014) argues that by conducting a lesson study, teachers are able to see pupil learning occurring in their natural context, within much sharper detail and</w:t>
      </w:r>
      <w:r w:rsidR="001119FC" w:rsidRPr="00725A64">
        <w:rPr>
          <w:rFonts w:ascii="Arial" w:hAnsi="Arial" w:cs="Arial"/>
        </w:rPr>
        <w:t xml:space="preserve"> which</w:t>
      </w:r>
      <w:r w:rsidR="00F06482" w:rsidRPr="00725A64">
        <w:rPr>
          <w:rFonts w:ascii="Arial" w:hAnsi="Arial" w:cs="Arial"/>
        </w:rPr>
        <w:t xml:space="preserve"> involves a supportive teaching and learning community. It is important to highlight how professional learning takes place over a lengthy space of time and must not be a one-off even</w:t>
      </w:r>
      <w:r w:rsidR="001119FC" w:rsidRPr="00725A64">
        <w:rPr>
          <w:rFonts w:ascii="Arial" w:hAnsi="Arial" w:cs="Arial"/>
        </w:rPr>
        <w:t>t, thus, l</w:t>
      </w:r>
      <w:r w:rsidR="00F06482" w:rsidRPr="00725A64">
        <w:rPr>
          <w:rFonts w:ascii="Arial" w:hAnsi="Arial" w:cs="Arial"/>
        </w:rPr>
        <w:t>esson studies allow for experienced as well as inexperienced teachers to learn due to the process of joint planning, joint observation and joint analysis (Du</w:t>
      </w:r>
      <w:r w:rsidR="006D472F">
        <w:rPr>
          <w:rFonts w:ascii="Arial" w:hAnsi="Arial" w:cs="Arial"/>
        </w:rPr>
        <w:t>d</w:t>
      </w:r>
      <w:r w:rsidR="00F06482" w:rsidRPr="00725A64">
        <w:rPr>
          <w:rFonts w:ascii="Arial" w:hAnsi="Arial" w:cs="Arial"/>
        </w:rPr>
        <w:t xml:space="preserve">ley, 2014; Newman and Clare, 2016). </w:t>
      </w:r>
      <w:r w:rsidR="001119FC" w:rsidRPr="00725A64">
        <w:rPr>
          <w:rFonts w:ascii="Arial" w:hAnsi="Arial" w:cs="Arial"/>
        </w:rPr>
        <w:t xml:space="preserve">There are very little critical elements when it comes to the research methodology of lesson studies. None the less, from much literature, it is </w:t>
      </w:r>
      <w:r w:rsidR="00DE3F24" w:rsidRPr="00725A64">
        <w:rPr>
          <w:rFonts w:ascii="Arial" w:hAnsi="Arial" w:cs="Arial"/>
        </w:rPr>
        <w:t>however common to understand how the lesson observation (along with the preparation and reflection) is a time consuming process. Some note that they had difficulty in trying to find time to fi</w:t>
      </w:r>
      <w:r w:rsidR="006D472F">
        <w:rPr>
          <w:rFonts w:ascii="Arial" w:hAnsi="Arial" w:cs="Arial"/>
        </w:rPr>
        <w:t>t</w:t>
      </w:r>
      <w:r w:rsidR="00DE3F24" w:rsidRPr="00725A64">
        <w:rPr>
          <w:rFonts w:ascii="Arial" w:hAnsi="Arial" w:cs="Arial"/>
        </w:rPr>
        <w:t xml:space="preserve"> lesson observation into their teaching timetable</w:t>
      </w:r>
      <w:r w:rsidR="001A30CE" w:rsidRPr="00725A64">
        <w:rPr>
          <w:rFonts w:ascii="Arial" w:hAnsi="Arial" w:cs="Arial"/>
        </w:rPr>
        <w:t xml:space="preserve"> (Weston and Clay, 2018). </w:t>
      </w:r>
    </w:p>
    <w:p w:rsidR="00BE2037" w:rsidRPr="00725A64" w:rsidRDefault="00BE2037" w:rsidP="00725A64">
      <w:pPr>
        <w:spacing w:line="360" w:lineRule="auto"/>
        <w:rPr>
          <w:rFonts w:ascii="Arial" w:hAnsi="Arial" w:cs="Arial"/>
        </w:rPr>
      </w:pPr>
    </w:p>
    <w:p w:rsidR="00DE3F24" w:rsidRPr="00725A64" w:rsidRDefault="00BE2037" w:rsidP="00725A64">
      <w:pPr>
        <w:spacing w:line="360" w:lineRule="auto"/>
        <w:rPr>
          <w:rFonts w:ascii="Arial" w:hAnsi="Arial" w:cs="Arial"/>
        </w:rPr>
      </w:pPr>
      <w:r w:rsidRPr="00725A64">
        <w:rPr>
          <w:rFonts w:ascii="Arial" w:hAnsi="Arial" w:cs="Arial"/>
        </w:rPr>
        <w:t xml:space="preserve">My reflections in this particular lesson observation were </w:t>
      </w:r>
      <w:r w:rsidR="007B3D9C" w:rsidRPr="00725A64">
        <w:rPr>
          <w:rFonts w:ascii="Arial" w:hAnsi="Arial" w:cs="Arial"/>
        </w:rPr>
        <w:t xml:space="preserve">conducted </w:t>
      </w:r>
      <w:r w:rsidRPr="00725A64">
        <w:rPr>
          <w:rFonts w:ascii="Arial" w:hAnsi="Arial" w:cs="Arial"/>
        </w:rPr>
        <w:t>using the Gibbs’ reflective cycle (1988). This was developed to give structure to learning from experiences, thus why we decided to use this cycle when carr</w:t>
      </w:r>
      <w:r w:rsidR="00777876" w:rsidRPr="00725A64">
        <w:rPr>
          <w:rFonts w:ascii="Arial" w:hAnsi="Arial" w:cs="Arial"/>
        </w:rPr>
        <w:t>y</w:t>
      </w:r>
      <w:r w:rsidRPr="00725A64">
        <w:rPr>
          <w:rFonts w:ascii="Arial" w:hAnsi="Arial" w:cs="Arial"/>
        </w:rPr>
        <w:t>ing out the active lesson study. For each stage of the model, there are a number of helpful questions outlined</w:t>
      </w:r>
      <w:r w:rsidR="00777876" w:rsidRPr="00725A64">
        <w:rPr>
          <w:rFonts w:ascii="Arial" w:hAnsi="Arial" w:cs="Arial"/>
        </w:rPr>
        <w:t xml:space="preserve"> in order to reach a thorough reflection. We decided that Gibbs’ reflective model was more suited to our lesson than Kolb’s Experimental learning cycle or Schon’s reflecting in/on action framework as the Gibbs’ model allows for a deeper reflection, and as student teachers, we understood the immediate impact and benefit of thorough reflection; developing the quality of pedagogy through continuous improvement and assessment of teaching, enabling the exploration of new ideas, methods, approaches and material (Wagner, 2006). </w:t>
      </w:r>
    </w:p>
    <w:p w:rsidR="00F06482" w:rsidRPr="00725A64" w:rsidRDefault="00F06482" w:rsidP="00725A64">
      <w:pPr>
        <w:spacing w:line="360" w:lineRule="auto"/>
        <w:rPr>
          <w:rFonts w:ascii="Arial" w:hAnsi="Arial" w:cs="Arial"/>
        </w:rPr>
      </w:pPr>
    </w:p>
    <w:p w:rsidR="00AB10FF" w:rsidRPr="00725A64" w:rsidRDefault="00AB10FF" w:rsidP="00725A64">
      <w:pPr>
        <w:spacing w:line="360" w:lineRule="auto"/>
        <w:rPr>
          <w:rFonts w:ascii="Arial" w:hAnsi="Arial" w:cs="Arial"/>
        </w:rPr>
      </w:pPr>
      <w:r w:rsidRPr="00725A64">
        <w:rPr>
          <w:rFonts w:ascii="Arial" w:hAnsi="Arial" w:cs="Arial"/>
        </w:rPr>
        <w:t xml:space="preserve">Our data collection was qualitative. This is a conceptual method of data collection which is often concerned with the understanding of human behaviour through observation or interview on analysed themes and descriptions (McLeod, 2019). To conduct this qualitative research, we </w:t>
      </w:r>
      <w:r w:rsidR="00A5285F" w:rsidRPr="00725A64">
        <w:rPr>
          <w:rFonts w:ascii="Arial" w:hAnsi="Arial" w:cs="Arial"/>
        </w:rPr>
        <w:t xml:space="preserve">chose </w:t>
      </w:r>
      <w:r w:rsidR="00AA0C30" w:rsidRPr="00725A64">
        <w:rPr>
          <w:rFonts w:ascii="Arial" w:hAnsi="Arial" w:cs="Arial"/>
        </w:rPr>
        <w:t>to use method</w:t>
      </w:r>
      <w:r w:rsidR="00A5285F" w:rsidRPr="00725A64">
        <w:rPr>
          <w:rFonts w:ascii="Arial" w:hAnsi="Arial" w:cs="Arial"/>
        </w:rPr>
        <w:t>s</w:t>
      </w:r>
      <w:r w:rsidR="00AA0C30" w:rsidRPr="00725A64">
        <w:rPr>
          <w:rFonts w:ascii="Arial" w:hAnsi="Arial" w:cs="Arial"/>
        </w:rPr>
        <w:t xml:space="preserve"> of non-participant observation</w:t>
      </w:r>
      <w:r w:rsidR="00B54F04" w:rsidRPr="00725A64">
        <w:rPr>
          <w:rFonts w:ascii="Arial" w:hAnsi="Arial" w:cs="Arial"/>
        </w:rPr>
        <w:t xml:space="preserve"> and focus groups.</w:t>
      </w:r>
      <w:r w:rsidR="00A5285F" w:rsidRPr="00725A64">
        <w:rPr>
          <w:rFonts w:ascii="Arial" w:hAnsi="Arial" w:cs="Arial"/>
        </w:rPr>
        <w:t xml:space="preserve"> With these methods, come a number of benefits and drawbacks. Observations prove the </w:t>
      </w:r>
      <w:r w:rsidRPr="00725A64">
        <w:rPr>
          <w:rFonts w:ascii="Arial" w:hAnsi="Arial" w:cs="Arial"/>
        </w:rPr>
        <w:t>investigator</w:t>
      </w:r>
      <w:r w:rsidR="00A5285F" w:rsidRPr="00725A64">
        <w:rPr>
          <w:rFonts w:ascii="Arial" w:hAnsi="Arial" w:cs="Arial"/>
        </w:rPr>
        <w:t xml:space="preserve"> the freedom of gathering data from live happenings which naturally occur during social situations (Cohen et al, 2007) (in </w:t>
      </w:r>
      <w:r w:rsidR="00A5285F" w:rsidRPr="00725A64">
        <w:rPr>
          <w:rFonts w:ascii="Arial" w:hAnsi="Arial" w:cs="Arial"/>
        </w:rPr>
        <w:lastRenderedPageBreak/>
        <w:t>this c</w:t>
      </w:r>
      <w:r w:rsidR="00940607">
        <w:rPr>
          <w:rFonts w:ascii="Arial" w:hAnsi="Arial" w:cs="Arial"/>
        </w:rPr>
        <w:t>ase</w:t>
      </w:r>
      <w:r w:rsidR="00A5285F" w:rsidRPr="00725A64">
        <w:rPr>
          <w:rFonts w:ascii="Arial" w:hAnsi="Arial" w:cs="Arial"/>
        </w:rPr>
        <w:t xml:space="preserve">, the classroom). However, it is highlighted by </w:t>
      </w:r>
      <w:proofErr w:type="spellStart"/>
      <w:r w:rsidR="00A5285F" w:rsidRPr="00725A64">
        <w:rPr>
          <w:rFonts w:ascii="Arial" w:hAnsi="Arial" w:cs="Arial"/>
        </w:rPr>
        <w:t>Griffee</w:t>
      </w:r>
      <w:proofErr w:type="spellEnd"/>
      <w:r w:rsidR="00A5285F" w:rsidRPr="00725A64">
        <w:rPr>
          <w:rFonts w:ascii="Arial" w:hAnsi="Arial" w:cs="Arial"/>
        </w:rPr>
        <w:t xml:space="preserve"> (2005) that during the observation process, some attitudes to learning could be misinterpreted, misunderstood, unnoticed or taken for granted</w:t>
      </w:r>
      <w:r w:rsidRPr="00725A64">
        <w:rPr>
          <w:rFonts w:ascii="Arial" w:hAnsi="Arial" w:cs="Arial"/>
        </w:rPr>
        <w:t xml:space="preserve">. Much literature also highlights how the presence of an observer may change the ‘normal’ behaviour of the observed individual and so data gained through means of observation would not be based upon regular behaviours (O’Leary, 2013). </w:t>
      </w:r>
      <w:r w:rsidR="00B54F04" w:rsidRPr="00725A64">
        <w:rPr>
          <w:rFonts w:ascii="Arial" w:hAnsi="Arial" w:cs="Arial"/>
        </w:rPr>
        <w:t>During the observation process</w:t>
      </w:r>
      <w:r w:rsidR="00BE4CF3" w:rsidRPr="00725A64">
        <w:rPr>
          <w:rFonts w:ascii="Arial" w:hAnsi="Arial" w:cs="Arial"/>
        </w:rPr>
        <w:t xml:space="preserve"> of this particular lesson study</w:t>
      </w:r>
      <w:r w:rsidR="00B54F04" w:rsidRPr="00725A64">
        <w:rPr>
          <w:rFonts w:ascii="Arial" w:hAnsi="Arial" w:cs="Arial"/>
        </w:rPr>
        <w:t>, the attention gaining methods were recognised and the time until participants were giving the teacher their full attention was recorded. These methods were used and time to gain attention was time</w:t>
      </w:r>
      <w:r w:rsidRPr="00725A64">
        <w:rPr>
          <w:rFonts w:ascii="Arial" w:hAnsi="Arial" w:cs="Arial"/>
        </w:rPr>
        <w:t xml:space="preserve">d (and recorded to the closest second) </w:t>
      </w:r>
      <w:r w:rsidR="00B54F04" w:rsidRPr="00725A64">
        <w:rPr>
          <w:rFonts w:ascii="Arial" w:hAnsi="Arial" w:cs="Arial"/>
        </w:rPr>
        <w:t>throughout the introduction and main teaching areas of the lesson</w:t>
      </w:r>
      <w:r w:rsidRPr="00725A64">
        <w:rPr>
          <w:rFonts w:ascii="Arial" w:hAnsi="Arial" w:cs="Arial"/>
        </w:rPr>
        <w:t xml:space="preserve">. The non-participant observational notes were written within a table formed by my colleague and I which allowed for the focus to be mainly on our research question. When conducting a lesson study, it is likely to go off plan and observe unnecessary happenings in the classroom. Forming a guide to observational notes allows for the observer to gather only data which is fundamental to the research (O’Leary, 2013). </w:t>
      </w:r>
    </w:p>
    <w:p w:rsidR="00AB10FF" w:rsidRPr="00725A64" w:rsidRDefault="00AB10FF" w:rsidP="00725A64">
      <w:pPr>
        <w:spacing w:line="360" w:lineRule="auto"/>
        <w:rPr>
          <w:rFonts w:ascii="Arial" w:hAnsi="Arial" w:cs="Arial"/>
        </w:rPr>
      </w:pPr>
    </w:p>
    <w:p w:rsidR="00753D6D" w:rsidRPr="00725A64" w:rsidRDefault="007B3D9C" w:rsidP="00725A64">
      <w:pPr>
        <w:spacing w:line="360" w:lineRule="auto"/>
        <w:rPr>
          <w:rFonts w:ascii="Arial" w:hAnsi="Arial" w:cs="Arial"/>
        </w:rPr>
      </w:pPr>
      <w:r w:rsidRPr="00725A64">
        <w:rPr>
          <w:rFonts w:ascii="Arial" w:hAnsi="Arial" w:cs="Arial"/>
        </w:rPr>
        <w:t xml:space="preserve">After completing the observation, we </w:t>
      </w:r>
      <w:r w:rsidR="00BE4CF3" w:rsidRPr="00725A64">
        <w:rPr>
          <w:rFonts w:ascii="Arial" w:hAnsi="Arial" w:cs="Arial"/>
        </w:rPr>
        <w:t>conversed with a focus group of three children per class to discuss their feelings on the</w:t>
      </w:r>
      <w:r w:rsidRPr="00725A64">
        <w:rPr>
          <w:rFonts w:ascii="Arial" w:hAnsi="Arial" w:cs="Arial"/>
        </w:rPr>
        <w:t xml:space="preserve"> research</w:t>
      </w:r>
      <w:r w:rsidR="00BE4CF3" w:rsidRPr="00725A64">
        <w:rPr>
          <w:rFonts w:ascii="Arial" w:hAnsi="Arial" w:cs="Arial"/>
        </w:rPr>
        <w:t xml:space="preserve"> topic. </w:t>
      </w:r>
      <w:r w:rsidRPr="00725A64">
        <w:rPr>
          <w:rFonts w:ascii="Arial" w:hAnsi="Arial" w:cs="Arial"/>
        </w:rPr>
        <w:t>Focus groups as a means of gathering qualitative data can be useful when saving time in comparison to interviews and they can offer a broad, in depth range of information</w:t>
      </w:r>
      <w:r w:rsidR="00A66D44" w:rsidRPr="00725A64">
        <w:rPr>
          <w:rFonts w:ascii="Arial" w:hAnsi="Arial" w:cs="Arial"/>
        </w:rPr>
        <w:t xml:space="preserve"> (McLeod, 2019)</w:t>
      </w:r>
      <w:r w:rsidRPr="00725A64">
        <w:rPr>
          <w:rFonts w:ascii="Arial" w:hAnsi="Arial" w:cs="Arial"/>
        </w:rPr>
        <w:t>. Nevertheless, focus groups can be hard to manage and encouraging all participants to contribute can be difficult as there could be a c</w:t>
      </w:r>
      <w:r w:rsidR="0027167B">
        <w:rPr>
          <w:rFonts w:ascii="Arial" w:hAnsi="Arial" w:cs="Arial"/>
        </w:rPr>
        <w:t>ase</w:t>
      </w:r>
      <w:r w:rsidRPr="00725A64">
        <w:rPr>
          <w:rFonts w:ascii="Arial" w:hAnsi="Arial" w:cs="Arial"/>
        </w:rPr>
        <w:t xml:space="preserve"> of dominating </w:t>
      </w:r>
      <w:r w:rsidR="0027167B">
        <w:rPr>
          <w:rFonts w:ascii="Arial" w:hAnsi="Arial" w:cs="Arial"/>
        </w:rPr>
        <w:t xml:space="preserve">and conflicting </w:t>
      </w:r>
      <w:r w:rsidRPr="00725A64">
        <w:rPr>
          <w:rFonts w:ascii="Arial" w:hAnsi="Arial" w:cs="Arial"/>
        </w:rPr>
        <w:t>personalities</w:t>
      </w:r>
      <w:r w:rsidR="00A66D44" w:rsidRPr="00725A64">
        <w:rPr>
          <w:rFonts w:ascii="Arial" w:hAnsi="Arial" w:cs="Arial"/>
        </w:rPr>
        <w:t xml:space="preserve"> (Mansell et al, 2004)</w:t>
      </w:r>
      <w:r w:rsidRPr="00725A64">
        <w:rPr>
          <w:rFonts w:ascii="Arial" w:hAnsi="Arial" w:cs="Arial"/>
        </w:rPr>
        <w:t>. Taking this into account, t</w:t>
      </w:r>
      <w:r w:rsidRPr="00725A64">
        <w:rPr>
          <w:rFonts w:ascii="Arial" w:hAnsi="Arial" w:cs="Arial"/>
        </w:rPr>
        <w:t xml:space="preserve">he sample size of three children was chosen in order to gain a considerable input from each child within the small space of allocated time. </w:t>
      </w:r>
      <w:r w:rsidRPr="00725A64">
        <w:rPr>
          <w:rFonts w:ascii="Arial" w:hAnsi="Arial" w:cs="Arial"/>
        </w:rPr>
        <w:t xml:space="preserve"> </w:t>
      </w:r>
      <w:r w:rsidR="00AB10FF" w:rsidRPr="00725A64">
        <w:rPr>
          <w:rFonts w:ascii="Arial" w:hAnsi="Arial" w:cs="Arial"/>
        </w:rPr>
        <w:t xml:space="preserve"> </w:t>
      </w:r>
    </w:p>
    <w:p w:rsidR="007B3D9C" w:rsidRPr="00725A64" w:rsidRDefault="007B3D9C" w:rsidP="00725A64">
      <w:pPr>
        <w:spacing w:line="360" w:lineRule="auto"/>
        <w:rPr>
          <w:rFonts w:ascii="Arial" w:hAnsi="Arial" w:cs="Arial"/>
        </w:rPr>
      </w:pPr>
    </w:p>
    <w:p w:rsidR="00AA0C30" w:rsidRPr="00725A64" w:rsidRDefault="00B54F04" w:rsidP="00725A64">
      <w:pPr>
        <w:spacing w:line="360" w:lineRule="auto"/>
        <w:rPr>
          <w:rFonts w:ascii="Arial" w:hAnsi="Arial" w:cs="Arial"/>
        </w:rPr>
      </w:pPr>
      <w:r w:rsidRPr="00725A64">
        <w:rPr>
          <w:rFonts w:ascii="Arial" w:hAnsi="Arial" w:cs="Arial"/>
          <w:bCs/>
          <w:color w:val="000000" w:themeColor="text1"/>
        </w:rPr>
        <w:t>T</w:t>
      </w:r>
      <w:r w:rsidR="00AA0C30" w:rsidRPr="00725A64">
        <w:rPr>
          <w:rFonts w:ascii="Arial" w:hAnsi="Arial" w:cs="Arial"/>
          <w:bCs/>
          <w:color w:val="000000" w:themeColor="text1"/>
        </w:rPr>
        <w:t xml:space="preserve">here are a number of different philosophical approaches adopted by qualitative researchers which underpin the development of social research (Richie et al, 2014). Positivism, or ‘the scientific method’ has majorly influenced the way that social enquiry has developed over the last century (Richie et al, 2013). As a philosophy, positivism adopts the view that only factual knowledge which is gained through observation is trustworthy. In positivist studies, the role of the researcher is limited to data collection and interpretation objectively, where the findings are usually </w:t>
      </w:r>
      <w:r w:rsidRPr="00725A64">
        <w:rPr>
          <w:rFonts w:ascii="Arial" w:hAnsi="Arial" w:cs="Arial"/>
          <w:bCs/>
          <w:color w:val="000000" w:themeColor="text1"/>
        </w:rPr>
        <w:t>“</w:t>
      </w:r>
      <w:r w:rsidR="00AA0C30" w:rsidRPr="00725A64">
        <w:rPr>
          <w:rFonts w:ascii="Arial" w:hAnsi="Arial" w:cs="Arial"/>
          <w:bCs/>
          <w:color w:val="000000" w:themeColor="text1"/>
        </w:rPr>
        <w:t>observable and quantifiable</w:t>
      </w:r>
      <w:r w:rsidRPr="00725A64">
        <w:rPr>
          <w:rFonts w:ascii="Arial" w:hAnsi="Arial" w:cs="Arial"/>
          <w:bCs/>
          <w:color w:val="000000" w:themeColor="text1"/>
        </w:rPr>
        <w:t>”</w:t>
      </w:r>
      <w:r w:rsidR="00AA0C30" w:rsidRPr="00725A64">
        <w:rPr>
          <w:rFonts w:ascii="Arial" w:hAnsi="Arial" w:cs="Arial"/>
          <w:bCs/>
          <w:color w:val="000000" w:themeColor="text1"/>
        </w:rPr>
        <w:t xml:space="preserve"> (Collis and Hussey, 2014</w:t>
      </w:r>
      <w:r w:rsidRPr="00725A64">
        <w:rPr>
          <w:rFonts w:ascii="Arial" w:hAnsi="Arial" w:cs="Arial"/>
          <w:bCs/>
          <w:color w:val="000000" w:themeColor="text1"/>
        </w:rPr>
        <w:t xml:space="preserve"> p.98</w:t>
      </w:r>
      <w:r w:rsidR="00AA0C30" w:rsidRPr="00725A64">
        <w:rPr>
          <w:rFonts w:ascii="Arial" w:hAnsi="Arial" w:cs="Arial"/>
          <w:bCs/>
          <w:color w:val="000000" w:themeColor="text1"/>
        </w:rPr>
        <w:t>).</w:t>
      </w:r>
      <w:r w:rsidR="00AA0C30" w:rsidRPr="00725A64">
        <w:rPr>
          <w:rFonts w:ascii="Arial" w:hAnsi="Arial" w:cs="Arial"/>
          <w:bCs/>
          <w:color w:val="000000" w:themeColor="text1"/>
        </w:rPr>
        <w:t xml:space="preserve"> In contrast to this, </w:t>
      </w:r>
      <w:r w:rsidR="00AA0C30" w:rsidRPr="00725A64">
        <w:rPr>
          <w:rFonts w:ascii="Arial" w:hAnsi="Arial" w:cs="Arial"/>
          <w:bCs/>
          <w:color w:val="000000" w:themeColor="text1"/>
        </w:rPr>
        <w:lastRenderedPageBreak/>
        <w:t>there is a philosophical approach towards qualitative research which is the interpretivist approach, whereby the belief that meaning is constructed socially by individuals who interact with the world and activity in its natural context which may differ from person to person (Scotland, 2012; Marriam and Grenier, 2019; Walsham, 2006). Therefore, due to our lesson study research and methods of data collection, this suggests that this research is interpretivist as learners and teachers opinions and reactions differ from person to person</w:t>
      </w:r>
      <w:r w:rsidRPr="00725A64">
        <w:rPr>
          <w:rFonts w:ascii="Arial" w:hAnsi="Arial" w:cs="Arial"/>
          <w:bCs/>
          <w:color w:val="000000" w:themeColor="text1"/>
        </w:rPr>
        <w:t xml:space="preserve"> and we had the opportunity to communicate with learners during the data collection method of focus groups.</w:t>
      </w:r>
    </w:p>
    <w:p w:rsidR="00082CEC" w:rsidRPr="00725A64" w:rsidRDefault="00082CEC" w:rsidP="00725A64">
      <w:pPr>
        <w:pStyle w:val="ListParagraph"/>
        <w:spacing w:line="360" w:lineRule="auto"/>
        <w:rPr>
          <w:rFonts w:ascii="Arial" w:hAnsi="Arial" w:cs="Arial"/>
        </w:rPr>
      </w:pPr>
    </w:p>
    <w:p w:rsidR="00C57732" w:rsidRPr="00725A64" w:rsidRDefault="00C57732" w:rsidP="00725A64">
      <w:pPr>
        <w:spacing w:line="360" w:lineRule="auto"/>
        <w:rPr>
          <w:rFonts w:ascii="Arial" w:hAnsi="Arial" w:cs="Arial"/>
        </w:rPr>
      </w:pPr>
      <w:r w:rsidRPr="00725A64">
        <w:rPr>
          <w:rFonts w:ascii="Arial" w:hAnsi="Arial" w:cs="Arial"/>
        </w:rPr>
        <w:t xml:space="preserve">There are a number of ethical considerations which need to be taken into account </w:t>
      </w:r>
      <w:r w:rsidR="00B2266F">
        <w:rPr>
          <w:rFonts w:ascii="Arial" w:hAnsi="Arial" w:cs="Arial"/>
        </w:rPr>
        <w:t>prior to</w:t>
      </w:r>
      <w:r w:rsidRPr="00725A64">
        <w:rPr>
          <w:rFonts w:ascii="Arial" w:hAnsi="Arial" w:cs="Arial"/>
        </w:rPr>
        <w:t xml:space="preserve"> carrying out research in a classroom setting. The vulnerability of children and young people should not be taken for granted (Hess and McAvoy, 2014). The major ethical issues in conducting research are to ensure informed consent is collected from every participator, respecting anonymity and confidentiality and respect for privacy (BERA, 2018). When complying with ethics, we ensured these guidelines were considered throughout our research. Only individuals with informed consent were observed and chosen to take part in the focus group. Despite not having any issues with receiving consent in this particular instance, there can be issues with lesson study methodology for research when there is a lack of parental consent. Going onto respecting anonymity and confidentiality; this was the ethical issue which we focussed upon most. In order to comply with ethics, we ensured names were not mentioned throughout any part of the data collection or writing process of the research, as well as this, the name of the school was never </w:t>
      </w:r>
      <w:r w:rsidR="00B2266F">
        <w:rPr>
          <w:rFonts w:ascii="Arial" w:hAnsi="Arial" w:cs="Arial"/>
        </w:rPr>
        <w:t>mentioned or written on any research evidence</w:t>
      </w:r>
      <w:r w:rsidRPr="00725A64">
        <w:rPr>
          <w:rFonts w:ascii="Arial" w:hAnsi="Arial" w:cs="Arial"/>
        </w:rPr>
        <w:t xml:space="preserve">. The data was gathered on using hard copies only and was kept for the eyes of only researcher until analysed and later destroyed, thus working in line with the BERA Guidelines (BERA, 2018). </w:t>
      </w:r>
    </w:p>
    <w:p w:rsidR="00C57732" w:rsidRPr="00725A64" w:rsidRDefault="00C57732" w:rsidP="00725A64">
      <w:pPr>
        <w:spacing w:line="360" w:lineRule="auto"/>
        <w:rPr>
          <w:rFonts w:ascii="Arial" w:hAnsi="Arial" w:cs="Arial"/>
        </w:rPr>
      </w:pPr>
    </w:p>
    <w:p w:rsidR="00B37568" w:rsidRPr="00725A64" w:rsidRDefault="00E12C8A" w:rsidP="00725A64">
      <w:pPr>
        <w:spacing w:line="360" w:lineRule="auto"/>
        <w:rPr>
          <w:rFonts w:ascii="Arial" w:hAnsi="Arial" w:cs="Arial"/>
        </w:rPr>
      </w:pPr>
      <w:r w:rsidRPr="00725A64">
        <w:rPr>
          <w:rFonts w:ascii="Arial" w:hAnsi="Arial" w:cs="Arial"/>
        </w:rPr>
        <w:t>When</w:t>
      </w:r>
      <w:r w:rsidR="005A31B9" w:rsidRPr="00725A64">
        <w:rPr>
          <w:rFonts w:ascii="Arial" w:hAnsi="Arial" w:cs="Arial"/>
        </w:rPr>
        <w:t xml:space="preserve"> carrying out the lesson studies, lesson one</w:t>
      </w:r>
      <w:r w:rsidR="009109F1" w:rsidRPr="00725A64">
        <w:rPr>
          <w:rFonts w:ascii="Arial" w:hAnsi="Arial" w:cs="Arial"/>
        </w:rPr>
        <w:t xml:space="preserve"> took place in a year one classroom where the lesson was led by researcher one</w:t>
      </w:r>
      <w:r w:rsidRPr="00725A64">
        <w:rPr>
          <w:rFonts w:ascii="Arial" w:hAnsi="Arial" w:cs="Arial"/>
        </w:rPr>
        <w:t xml:space="preserve"> </w:t>
      </w:r>
      <w:r w:rsidR="005C1C6A">
        <w:rPr>
          <w:rFonts w:ascii="Arial" w:hAnsi="Arial" w:cs="Arial"/>
        </w:rPr>
        <w:t xml:space="preserve">and </w:t>
      </w:r>
      <w:r w:rsidRPr="00725A64">
        <w:rPr>
          <w:rFonts w:ascii="Arial" w:hAnsi="Arial" w:cs="Arial"/>
        </w:rPr>
        <w:t>researcher two was</w:t>
      </w:r>
      <w:r w:rsidR="00F84EE7" w:rsidRPr="00725A64">
        <w:rPr>
          <w:rFonts w:ascii="Arial" w:hAnsi="Arial" w:cs="Arial"/>
        </w:rPr>
        <w:t xml:space="preserve"> observing the </w:t>
      </w:r>
      <w:r w:rsidR="005C1C6A">
        <w:rPr>
          <w:rFonts w:ascii="Arial" w:hAnsi="Arial" w:cs="Arial"/>
        </w:rPr>
        <w:t xml:space="preserve">lesson, </w:t>
      </w:r>
      <w:r w:rsidRPr="00725A64">
        <w:rPr>
          <w:rFonts w:ascii="Arial" w:hAnsi="Arial" w:cs="Arial"/>
        </w:rPr>
        <w:t>recording any evidence</w:t>
      </w:r>
      <w:r w:rsidR="00F84EE7" w:rsidRPr="00725A64">
        <w:rPr>
          <w:rFonts w:ascii="Arial" w:hAnsi="Arial" w:cs="Arial"/>
        </w:rPr>
        <w:t xml:space="preserve"> found</w:t>
      </w:r>
      <w:r w:rsidR="009109F1" w:rsidRPr="00725A64">
        <w:rPr>
          <w:rFonts w:ascii="Arial" w:hAnsi="Arial" w:cs="Arial"/>
        </w:rPr>
        <w:t>. I</w:t>
      </w:r>
      <w:r w:rsidR="005A31B9" w:rsidRPr="00725A64">
        <w:rPr>
          <w:rFonts w:ascii="Arial" w:hAnsi="Arial" w:cs="Arial"/>
        </w:rPr>
        <w:t>t was clear to see how the children achieved their focus of counting on and back in tens from any number</w:t>
      </w:r>
      <w:r w:rsidR="009109F1" w:rsidRPr="00725A64">
        <w:rPr>
          <w:rFonts w:ascii="Arial" w:hAnsi="Arial" w:cs="Arial"/>
        </w:rPr>
        <w:t xml:space="preserve"> throughout many aspects of the lesson</w:t>
      </w:r>
      <w:r w:rsidR="005A31B9" w:rsidRPr="00725A64">
        <w:rPr>
          <w:rFonts w:ascii="Arial" w:hAnsi="Arial" w:cs="Arial"/>
        </w:rPr>
        <w:t>. The children were able to sit on the carpet for the duration of the teacher’s input</w:t>
      </w:r>
      <w:r w:rsidR="00822B7E" w:rsidRPr="00725A64">
        <w:rPr>
          <w:rFonts w:ascii="Arial" w:hAnsi="Arial" w:cs="Arial"/>
        </w:rPr>
        <w:t xml:space="preserve"> which was</w:t>
      </w:r>
      <w:r w:rsidR="005A31B9" w:rsidRPr="00725A64">
        <w:rPr>
          <w:rFonts w:ascii="Arial" w:hAnsi="Arial" w:cs="Arial"/>
        </w:rPr>
        <w:t xml:space="preserve"> based upon recapping previous knowledge. It was noticed that the children were able to follow the teacher’s instruction. The children </w:t>
      </w:r>
      <w:r w:rsidR="005A31B9" w:rsidRPr="00725A64">
        <w:rPr>
          <w:rFonts w:ascii="Arial" w:hAnsi="Arial" w:cs="Arial"/>
        </w:rPr>
        <w:lastRenderedPageBreak/>
        <w:t>successfully achieved the introductory task which included a whole class task of chanting and marching whi</w:t>
      </w:r>
      <w:r w:rsidR="00822B7E" w:rsidRPr="00725A64">
        <w:rPr>
          <w:rFonts w:ascii="Arial" w:hAnsi="Arial" w:cs="Arial"/>
        </w:rPr>
        <w:t xml:space="preserve">le </w:t>
      </w:r>
      <w:r w:rsidR="005A31B9" w:rsidRPr="00725A64">
        <w:rPr>
          <w:rFonts w:ascii="Arial" w:hAnsi="Arial" w:cs="Arial"/>
        </w:rPr>
        <w:t>counting in the two, five and ten times table. There were a number of questions asked to individual children</w:t>
      </w:r>
      <w:r w:rsidR="00822B7E" w:rsidRPr="00725A64">
        <w:rPr>
          <w:rFonts w:ascii="Arial" w:hAnsi="Arial" w:cs="Arial"/>
        </w:rPr>
        <w:t xml:space="preserve"> (chosen using lollypop sticks)</w:t>
      </w:r>
      <w:r w:rsidR="005A31B9" w:rsidRPr="00725A64">
        <w:rPr>
          <w:rFonts w:ascii="Arial" w:hAnsi="Arial" w:cs="Arial"/>
        </w:rPr>
        <w:t xml:space="preserve"> on their work on odd and even </w:t>
      </w:r>
      <w:r w:rsidR="00822B7E" w:rsidRPr="00725A64">
        <w:rPr>
          <w:rFonts w:ascii="Arial" w:hAnsi="Arial" w:cs="Arial"/>
        </w:rPr>
        <w:t>number</w:t>
      </w:r>
      <w:r w:rsidR="005A31B9" w:rsidRPr="00725A64">
        <w:rPr>
          <w:rFonts w:ascii="Arial" w:hAnsi="Arial" w:cs="Arial"/>
        </w:rPr>
        <w:t xml:space="preserve">s well as </w:t>
      </w:r>
      <w:r w:rsidR="00822B7E" w:rsidRPr="00725A64">
        <w:rPr>
          <w:rFonts w:ascii="Arial" w:hAnsi="Arial" w:cs="Arial"/>
        </w:rPr>
        <w:t xml:space="preserve">adding and subtracting using the hundred square on display as a scaffold. The children moved their position in order to see the board and use it to successfully answer their questions. The teacher also posed questions to their children and they were able to successfully use the ‘think pair share’ assessment for learning method to answer questions. This was carried out victoriously and it was clear that these methods of questioning are </w:t>
      </w:r>
      <w:r w:rsidR="009109F1" w:rsidRPr="00725A64">
        <w:rPr>
          <w:rFonts w:ascii="Arial" w:hAnsi="Arial" w:cs="Arial"/>
        </w:rPr>
        <w:t xml:space="preserve">regularly </w:t>
      </w:r>
      <w:r w:rsidR="00822B7E" w:rsidRPr="00725A64">
        <w:rPr>
          <w:rFonts w:ascii="Arial" w:hAnsi="Arial" w:cs="Arial"/>
        </w:rPr>
        <w:t>practiced in the classroom. As well as this, methods of gathering attention were utilised throughout the introduction of the lesson too, these included clapping and singing. Children engaged in discussion and were (mainly) on task throughout the duration of the lesson. The children were directed to their tasks in the continuous and enhanced provision and one maths ability group working with the teacher. This group were the highest ability and so the teacher was able to discuss the task with them and allow them to independently work without continuous guidance.</w:t>
      </w:r>
      <w:r w:rsidR="009109F1" w:rsidRPr="00725A64">
        <w:rPr>
          <w:rFonts w:ascii="Arial" w:hAnsi="Arial" w:cs="Arial"/>
        </w:rPr>
        <w:t xml:space="preserve"> In this task, the children had to complete a blank hundred square by counting down in tens from a number between one and ten. The children in the group were engaged and motivated to learn throughout.</w:t>
      </w:r>
      <w:r w:rsidR="00822B7E" w:rsidRPr="00725A64">
        <w:rPr>
          <w:rFonts w:ascii="Arial" w:hAnsi="Arial" w:cs="Arial"/>
        </w:rPr>
        <w:t xml:space="preserve"> Again, throughout the main part of the lesson, the teacher used methods of gaining attention </w:t>
      </w:r>
      <w:r w:rsidR="009109F1" w:rsidRPr="00725A64">
        <w:rPr>
          <w:rFonts w:ascii="Arial" w:hAnsi="Arial" w:cs="Arial"/>
        </w:rPr>
        <w:t xml:space="preserve">in order </w:t>
      </w:r>
      <w:r w:rsidR="00822B7E" w:rsidRPr="00725A64">
        <w:rPr>
          <w:rFonts w:ascii="Arial" w:hAnsi="Arial" w:cs="Arial"/>
        </w:rPr>
        <w:t>to carry out mini plenaries to discuss what was going well and what needed to be done to complete the tasks. These methods were mostly clapping or singing in order to capture the attention of all children who were engrossed in their tasks. This worked very well. Singing was the method of gaining attention used in order to gather the children from their tasks back onto the carpet to complete a brief plenary on what they had learnt at the end of the lesson.</w:t>
      </w:r>
      <w:r w:rsidR="009109F1" w:rsidRPr="00725A64">
        <w:rPr>
          <w:rFonts w:ascii="Arial" w:hAnsi="Arial" w:cs="Arial"/>
        </w:rPr>
        <w:t xml:space="preserve"> </w:t>
      </w:r>
    </w:p>
    <w:p w:rsidR="00B37568" w:rsidRPr="00725A64" w:rsidRDefault="00B37568" w:rsidP="00725A64">
      <w:pPr>
        <w:spacing w:line="360" w:lineRule="auto"/>
        <w:rPr>
          <w:rFonts w:ascii="Arial" w:hAnsi="Arial" w:cs="Arial"/>
        </w:rPr>
      </w:pPr>
    </w:p>
    <w:p w:rsidR="005A31B9" w:rsidRPr="00725A64" w:rsidRDefault="009109F1" w:rsidP="00725A64">
      <w:pPr>
        <w:spacing w:line="360" w:lineRule="auto"/>
        <w:rPr>
          <w:rFonts w:ascii="Arial" w:hAnsi="Arial" w:cs="Arial"/>
        </w:rPr>
      </w:pPr>
      <w:r w:rsidRPr="00725A64">
        <w:rPr>
          <w:rFonts w:ascii="Arial" w:hAnsi="Arial" w:cs="Arial"/>
        </w:rPr>
        <w:t>Within this lesson,</w:t>
      </w:r>
      <w:r w:rsidR="00822B7E" w:rsidRPr="00725A64">
        <w:rPr>
          <w:rFonts w:ascii="Arial" w:hAnsi="Arial" w:cs="Arial"/>
        </w:rPr>
        <w:t xml:space="preserve"> </w:t>
      </w:r>
      <w:r w:rsidRPr="00725A64">
        <w:rPr>
          <w:rFonts w:ascii="Arial" w:hAnsi="Arial" w:cs="Arial"/>
        </w:rPr>
        <w:t>i</w:t>
      </w:r>
      <w:r w:rsidR="00B95E58" w:rsidRPr="00725A64">
        <w:rPr>
          <w:rFonts w:ascii="Arial" w:hAnsi="Arial" w:cs="Arial"/>
        </w:rPr>
        <w:t>t was</w:t>
      </w:r>
      <w:r w:rsidRPr="00725A64">
        <w:rPr>
          <w:rFonts w:ascii="Arial" w:hAnsi="Arial" w:cs="Arial"/>
        </w:rPr>
        <w:t xml:space="preserve"> clear that the student teacher had planned the lesson and the teacher had planned the continuous provision.</w:t>
      </w:r>
      <w:r w:rsidR="00B95E58" w:rsidRPr="00725A64">
        <w:rPr>
          <w:rFonts w:ascii="Arial" w:hAnsi="Arial" w:cs="Arial"/>
        </w:rPr>
        <w:t xml:space="preserve"> </w:t>
      </w:r>
      <w:r w:rsidR="00822B7E" w:rsidRPr="00725A64">
        <w:rPr>
          <w:rFonts w:ascii="Arial" w:hAnsi="Arial" w:cs="Arial"/>
        </w:rPr>
        <w:t xml:space="preserve">In order to improve on the lesson, </w:t>
      </w:r>
      <w:r w:rsidR="00805192" w:rsidRPr="00725A64">
        <w:rPr>
          <w:rFonts w:ascii="Arial" w:hAnsi="Arial" w:cs="Arial"/>
        </w:rPr>
        <w:t xml:space="preserve">it would have been better if the student teacher worked collaboratively </w:t>
      </w:r>
      <w:r w:rsidR="00B95E58" w:rsidRPr="00725A64">
        <w:rPr>
          <w:rFonts w:ascii="Arial" w:hAnsi="Arial" w:cs="Arial"/>
        </w:rPr>
        <w:t xml:space="preserve">with the teacher </w:t>
      </w:r>
      <w:r w:rsidR="00805192" w:rsidRPr="00725A64">
        <w:rPr>
          <w:rFonts w:ascii="Arial" w:hAnsi="Arial" w:cs="Arial"/>
        </w:rPr>
        <w:t>or organised their work in order to</w:t>
      </w:r>
      <w:r w:rsidR="00B95E58" w:rsidRPr="00725A64">
        <w:rPr>
          <w:rFonts w:ascii="Arial" w:hAnsi="Arial" w:cs="Arial"/>
        </w:rPr>
        <w:t xml:space="preserve"> know </w:t>
      </w:r>
      <w:r w:rsidRPr="00725A64">
        <w:rPr>
          <w:rFonts w:ascii="Arial" w:hAnsi="Arial" w:cs="Arial"/>
        </w:rPr>
        <w:t xml:space="preserve">and understand </w:t>
      </w:r>
      <w:r w:rsidR="00B95E58" w:rsidRPr="00725A64">
        <w:rPr>
          <w:rFonts w:ascii="Arial" w:hAnsi="Arial" w:cs="Arial"/>
        </w:rPr>
        <w:t>what tasks were set out in the continuous provision areas</w:t>
      </w:r>
      <w:r w:rsidRPr="00725A64">
        <w:rPr>
          <w:rFonts w:ascii="Arial" w:hAnsi="Arial" w:cs="Arial"/>
        </w:rPr>
        <w:t xml:space="preserve"> of the classroom. From this experience, we learnt that our research tools were good, however we figured that it would be difficult to gather good reliable results from such little evidence, as one lesson was a short </w:t>
      </w:r>
      <w:r w:rsidRPr="00725A64">
        <w:rPr>
          <w:rFonts w:ascii="Arial" w:hAnsi="Arial" w:cs="Arial"/>
        </w:rPr>
        <w:lastRenderedPageBreak/>
        <w:t>amount of time to gather strong reliable evidence. Thus, as research partners, we discussed how in lesson study two, we will use the methods of gaining attention as frequently as possible in order to gather as much data as possible.</w:t>
      </w:r>
      <w:r w:rsidR="00B37568" w:rsidRPr="00725A64">
        <w:rPr>
          <w:rFonts w:ascii="Arial" w:hAnsi="Arial" w:cs="Arial"/>
        </w:rPr>
        <w:t xml:space="preserve"> However, we did decide that the singing method would not be suited to learners in year five as they had not previously practiced this method. Therefore the non-verbal method of </w:t>
      </w:r>
      <w:r w:rsidR="009D0DD1" w:rsidRPr="00725A64">
        <w:rPr>
          <w:rFonts w:ascii="Arial" w:hAnsi="Arial" w:cs="Arial"/>
        </w:rPr>
        <w:t>the teacher standing in silence</w:t>
      </w:r>
      <w:r w:rsidR="00B37568" w:rsidRPr="00725A64">
        <w:rPr>
          <w:rFonts w:ascii="Arial" w:hAnsi="Arial" w:cs="Arial"/>
        </w:rPr>
        <w:t xml:space="preserve"> until each learner copied and was silent would be measured in the next lesson study.</w:t>
      </w:r>
      <w:r w:rsidRPr="00725A64">
        <w:rPr>
          <w:rFonts w:ascii="Arial" w:hAnsi="Arial" w:cs="Arial"/>
        </w:rPr>
        <w:t xml:space="preserve"> </w:t>
      </w:r>
      <w:r w:rsidR="00B37568" w:rsidRPr="00725A64">
        <w:rPr>
          <w:rFonts w:ascii="Arial" w:hAnsi="Arial" w:cs="Arial"/>
        </w:rPr>
        <w:t>Despite this, we decided that</w:t>
      </w:r>
      <w:r w:rsidRPr="00725A64">
        <w:rPr>
          <w:rFonts w:ascii="Arial" w:hAnsi="Arial" w:cs="Arial"/>
        </w:rPr>
        <w:t xml:space="preserve">, our simple research tools of a timer and a simple table to record any evidence was effective and therefore we decided not to modify any tools in lesson study two. </w:t>
      </w:r>
    </w:p>
    <w:p w:rsidR="009109F1" w:rsidRPr="00725A64" w:rsidRDefault="009109F1" w:rsidP="00725A64">
      <w:pPr>
        <w:spacing w:line="360" w:lineRule="auto"/>
        <w:rPr>
          <w:rFonts w:ascii="Arial" w:hAnsi="Arial" w:cs="Arial"/>
        </w:rPr>
      </w:pPr>
    </w:p>
    <w:p w:rsidR="009109F1" w:rsidRPr="00725A64" w:rsidRDefault="009109F1" w:rsidP="00725A64">
      <w:pPr>
        <w:spacing w:line="360" w:lineRule="auto"/>
        <w:rPr>
          <w:rFonts w:ascii="Arial" w:hAnsi="Arial" w:cs="Arial"/>
        </w:rPr>
      </w:pPr>
      <w:r w:rsidRPr="00725A64">
        <w:rPr>
          <w:rFonts w:ascii="Arial" w:hAnsi="Arial" w:cs="Arial"/>
        </w:rPr>
        <w:t xml:space="preserve">Going onto lesson two, this </w:t>
      </w:r>
      <w:r w:rsidR="00E04F0F" w:rsidRPr="00725A64">
        <w:rPr>
          <w:rFonts w:ascii="Arial" w:hAnsi="Arial" w:cs="Arial"/>
        </w:rPr>
        <w:t xml:space="preserve">took place in a year five classroom </w:t>
      </w:r>
      <w:r w:rsidR="00E12C8A" w:rsidRPr="00725A64">
        <w:rPr>
          <w:rFonts w:ascii="Arial" w:hAnsi="Arial" w:cs="Arial"/>
        </w:rPr>
        <w:t>which was led researcher two and the lesson was observed by researcher one</w:t>
      </w:r>
      <w:r w:rsidR="0080243A" w:rsidRPr="00725A64">
        <w:rPr>
          <w:rFonts w:ascii="Arial" w:hAnsi="Arial" w:cs="Arial"/>
        </w:rPr>
        <w:t xml:space="preserve"> where</w:t>
      </w:r>
      <w:r w:rsidR="00171A69">
        <w:rPr>
          <w:rFonts w:ascii="Arial" w:hAnsi="Arial" w:cs="Arial"/>
        </w:rPr>
        <w:t xml:space="preserve"> any</w:t>
      </w:r>
      <w:r w:rsidR="0080243A" w:rsidRPr="00725A64">
        <w:rPr>
          <w:rFonts w:ascii="Arial" w:hAnsi="Arial" w:cs="Arial"/>
        </w:rPr>
        <w:t xml:space="preserve"> </w:t>
      </w:r>
      <w:r w:rsidR="00E12C8A" w:rsidRPr="00725A64">
        <w:rPr>
          <w:rFonts w:ascii="Arial" w:hAnsi="Arial" w:cs="Arial"/>
        </w:rPr>
        <w:t xml:space="preserve">evidence found was recorded. This </w:t>
      </w:r>
      <w:r w:rsidR="00E04F0F" w:rsidRPr="00725A64">
        <w:rPr>
          <w:rFonts w:ascii="Arial" w:hAnsi="Arial" w:cs="Arial"/>
        </w:rPr>
        <w:t>was</w:t>
      </w:r>
      <w:r w:rsidRPr="00725A64">
        <w:rPr>
          <w:rFonts w:ascii="Arial" w:hAnsi="Arial" w:cs="Arial"/>
        </w:rPr>
        <w:t xml:space="preserve"> a</w:t>
      </w:r>
      <w:r w:rsidR="00E04F0F" w:rsidRPr="00725A64">
        <w:rPr>
          <w:rFonts w:ascii="Arial" w:hAnsi="Arial" w:cs="Arial"/>
        </w:rPr>
        <w:t xml:space="preserve"> coding internet technology lesson where the children were directed to continue their work</w:t>
      </w:r>
      <w:r w:rsidR="009F18EE">
        <w:rPr>
          <w:rFonts w:ascii="Arial" w:hAnsi="Arial" w:cs="Arial"/>
        </w:rPr>
        <w:t xml:space="preserve"> which they has previously started</w:t>
      </w:r>
      <w:r w:rsidR="00E04F0F" w:rsidRPr="00725A64">
        <w:rPr>
          <w:rFonts w:ascii="Arial" w:hAnsi="Arial" w:cs="Arial"/>
        </w:rPr>
        <w:t xml:space="preserve"> on making a birthday card using coding software</w:t>
      </w:r>
      <w:r w:rsidR="000C06A2" w:rsidRPr="00725A64">
        <w:rPr>
          <w:rFonts w:ascii="Arial" w:hAnsi="Arial" w:cs="Arial"/>
        </w:rPr>
        <w:t xml:space="preserve"> on laptops or chrome books. At the start of the lesson, the teacher was able to reiterate the aims and objectives of the task and they were able to recap what happened on their last lesson. Mostly non-verbal methods of gaining attention was used throughout the introduction of this lesson. Most learners were engaged and able to recap last lesson which identified their previous learning and the impact which the lesson made on their learning. The introduction allowed for any problems with last lesson to be prevented during this lesson and pupils had the opportunity to display good learning which other students could ‘magpie’. The children who needed support with using the digital devices were identified and told to sit together with the class teacher where they could offer any help to each other or any help which was needed could be provided by the teacher. This proved how the teacher had built a good relationship with the children and understood their needs in specific areas after only a short time of teaching them. After the very short recapping introduction, the learners went straight into their task and seemed continuously on task. In order to carry out mini plenaries or pass essential messages to the learners, the teacher used more verbal methods of gaining attention. These worked well in order to grasp the attention of the children who were not facing the teacher or who were engrossed in their work. The task itself was a very difficult one and some children didn’t understand the coding language. Understanding was modelled by peers in the classroom instead of being told by the </w:t>
      </w:r>
      <w:r w:rsidR="000C06A2" w:rsidRPr="00725A64">
        <w:rPr>
          <w:rFonts w:ascii="Arial" w:hAnsi="Arial" w:cs="Arial"/>
        </w:rPr>
        <w:lastRenderedPageBreak/>
        <w:t xml:space="preserve">teacher. This was very good practice.  </w:t>
      </w:r>
      <w:r w:rsidR="003E1773" w:rsidRPr="00725A64">
        <w:rPr>
          <w:rFonts w:ascii="Arial" w:hAnsi="Arial" w:cs="Arial"/>
        </w:rPr>
        <w:t xml:space="preserve">Therefore, despite the very busy classroom with some learners needing some extra assistance from peers, digital leaders and a small input from the teacher, all learners were able to successfully complete the task to a good level. </w:t>
      </w:r>
    </w:p>
    <w:p w:rsidR="003E1773" w:rsidRPr="00725A64" w:rsidRDefault="003E1773" w:rsidP="00725A64">
      <w:pPr>
        <w:spacing w:line="360" w:lineRule="auto"/>
        <w:rPr>
          <w:rFonts w:ascii="Arial" w:hAnsi="Arial" w:cs="Arial"/>
        </w:rPr>
      </w:pPr>
    </w:p>
    <w:p w:rsidR="003E1773" w:rsidRPr="00725A64" w:rsidRDefault="003E1773" w:rsidP="00725A64">
      <w:pPr>
        <w:spacing w:line="360" w:lineRule="auto"/>
        <w:rPr>
          <w:rFonts w:ascii="Arial" w:hAnsi="Arial" w:cs="Arial"/>
        </w:rPr>
      </w:pPr>
      <w:r w:rsidRPr="00725A64">
        <w:rPr>
          <w:rFonts w:ascii="Arial" w:hAnsi="Arial" w:cs="Arial"/>
        </w:rPr>
        <w:t xml:space="preserve">For future lessons, it would have been better if the teacher broke down the coding language into a simpler form in order for the children to complete their work without so much assistance. As well as this, there was not much time for the teacher to experiment with the coding programme and so any issues which arose were not always resolved at first attempt. Thus, there was much discussion with the classroom surrounding future coding packages for the students as this was a difficult one to use despite the level of research which took place prior to the lesson. From this particular lesson study experience, it is clear to me that the tools used to collect this evidence were in their simplest form however conducting the overall research was a struggle due to the amount of evidence which could have been collected in this particular class on the methods of gaining classroom attention. </w:t>
      </w:r>
    </w:p>
    <w:p w:rsidR="009A64CA" w:rsidRPr="00725A64" w:rsidRDefault="009A64CA" w:rsidP="00725A64">
      <w:pPr>
        <w:spacing w:line="360" w:lineRule="auto"/>
        <w:rPr>
          <w:rFonts w:ascii="Arial" w:hAnsi="Arial" w:cs="Arial"/>
        </w:rPr>
      </w:pPr>
    </w:p>
    <w:p w:rsidR="007F1B7F" w:rsidRPr="00725A64" w:rsidRDefault="003E1773" w:rsidP="00725A64">
      <w:pPr>
        <w:spacing w:line="360" w:lineRule="auto"/>
        <w:rPr>
          <w:rFonts w:ascii="Arial" w:hAnsi="Arial" w:cs="Arial"/>
        </w:rPr>
      </w:pPr>
      <w:r w:rsidRPr="00725A64">
        <w:rPr>
          <w:rFonts w:ascii="Arial" w:hAnsi="Arial" w:cs="Arial"/>
        </w:rPr>
        <w:t xml:space="preserve">After carrying out these lesson studies, </w:t>
      </w:r>
      <w:r w:rsidR="009D0DD1" w:rsidRPr="00725A64">
        <w:rPr>
          <w:rFonts w:ascii="Arial" w:hAnsi="Arial" w:cs="Arial"/>
        </w:rPr>
        <w:t xml:space="preserve">my research partner and I collated the findings into a simplified table of evidence. Through creating this table of evidence, we were </w:t>
      </w:r>
      <w:r w:rsidR="00AD2405" w:rsidRPr="00725A64">
        <w:rPr>
          <w:rFonts w:ascii="Arial" w:hAnsi="Arial" w:cs="Arial"/>
        </w:rPr>
        <w:t xml:space="preserve">quickly able to identify </w:t>
      </w:r>
      <w:r w:rsidR="009D0DD1" w:rsidRPr="00725A64">
        <w:rPr>
          <w:rFonts w:ascii="Arial" w:hAnsi="Arial" w:cs="Arial"/>
        </w:rPr>
        <w:t xml:space="preserve">how our evidence </w:t>
      </w:r>
      <w:r w:rsidRPr="00725A64">
        <w:rPr>
          <w:rFonts w:ascii="Arial" w:hAnsi="Arial" w:cs="Arial"/>
        </w:rPr>
        <w:t>clearly displayed how</w:t>
      </w:r>
      <w:r w:rsidR="009D0DD1" w:rsidRPr="00725A64">
        <w:rPr>
          <w:rFonts w:ascii="Arial" w:hAnsi="Arial" w:cs="Arial"/>
        </w:rPr>
        <w:t xml:space="preserve"> overall, the</w:t>
      </w:r>
      <w:r w:rsidRPr="00725A64">
        <w:rPr>
          <w:rFonts w:ascii="Arial" w:hAnsi="Arial" w:cs="Arial"/>
        </w:rPr>
        <w:t xml:space="preserve"> </w:t>
      </w:r>
      <w:r w:rsidR="00AC5F98" w:rsidRPr="00725A64">
        <w:rPr>
          <w:rFonts w:ascii="Arial" w:hAnsi="Arial" w:cs="Arial"/>
        </w:rPr>
        <w:t>learners in year one were</w:t>
      </w:r>
      <w:r w:rsidR="009D0DD1" w:rsidRPr="00725A64">
        <w:rPr>
          <w:rFonts w:ascii="Arial" w:hAnsi="Arial" w:cs="Arial"/>
        </w:rPr>
        <w:t xml:space="preserve"> </w:t>
      </w:r>
      <w:r w:rsidR="00AC5F98" w:rsidRPr="00725A64">
        <w:rPr>
          <w:rFonts w:ascii="Arial" w:hAnsi="Arial" w:cs="Arial"/>
        </w:rPr>
        <w:t>quicker to respond to the teacher than the learners in year five</w:t>
      </w:r>
      <w:r w:rsidR="009D0DD1" w:rsidRPr="00725A64">
        <w:rPr>
          <w:rFonts w:ascii="Arial" w:hAnsi="Arial" w:cs="Arial"/>
        </w:rPr>
        <w:t xml:space="preserve"> in each of the attention gaining methods</w:t>
      </w:r>
      <w:r w:rsidR="00AC5F98" w:rsidRPr="00725A64">
        <w:rPr>
          <w:rFonts w:ascii="Arial" w:hAnsi="Arial" w:cs="Arial"/>
        </w:rPr>
        <w:t xml:space="preserve">. </w:t>
      </w:r>
      <w:r w:rsidR="009D0DD1" w:rsidRPr="00725A64">
        <w:rPr>
          <w:rFonts w:ascii="Arial" w:hAnsi="Arial" w:cs="Arial"/>
        </w:rPr>
        <w:t>We also found out that the singing approach to gaining attention was the most effective in year one where evidence showed how in every instance used, the children almost instant in engaging in singing along with the teacher. In contrast to this, the busy young children in year one did not respond well to the non-verbal method of raising a hand as some children often raised their hand but continued to talk.</w:t>
      </w:r>
      <w:r w:rsidR="00BD7A43" w:rsidRPr="00725A64">
        <w:rPr>
          <w:rFonts w:ascii="Arial" w:hAnsi="Arial" w:cs="Arial"/>
        </w:rPr>
        <w:t xml:space="preserve"> Ali and Ali (2011) highlighted that teachers should be aware of nonverbal behaviour and means of communicating nonverbally, also adequate knowledge of the subject of non-verbal communication is essential in the classroom, however it is not always successful. In this instance, the nonverbal method of gaining attention was not effective. </w:t>
      </w:r>
      <w:r w:rsidR="009D0DD1" w:rsidRPr="00725A64">
        <w:rPr>
          <w:rFonts w:ascii="Arial" w:hAnsi="Arial" w:cs="Arial"/>
        </w:rPr>
        <w:t xml:space="preserve">The clapping pattern was only effective with some participators in year one. It was recorded that some learners repeated the clapped pattern instantly, some joined in after repeating it once more, </w:t>
      </w:r>
      <w:r w:rsidR="009D0DD1" w:rsidRPr="00725A64">
        <w:rPr>
          <w:rFonts w:ascii="Arial" w:hAnsi="Arial" w:cs="Arial"/>
        </w:rPr>
        <w:lastRenderedPageBreak/>
        <w:t>and some didn’t participate at all; this was especially evident when the learners were engrossed in their tasks.</w:t>
      </w:r>
      <w:r w:rsidR="00E55459" w:rsidRPr="00725A64">
        <w:rPr>
          <w:rFonts w:ascii="Arial" w:hAnsi="Arial" w:cs="Arial"/>
        </w:rPr>
        <w:t xml:space="preserve"> </w:t>
      </w:r>
    </w:p>
    <w:p w:rsidR="007F1B7F" w:rsidRPr="00725A64" w:rsidRDefault="007F1B7F" w:rsidP="00725A64">
      <w:pPr>
        <w:spacing w:line="360" w:lineRule="auto"/>
        <w:rPr>
          <w:rFonts w:ascii="Arial" w:hAnsi="Arial" w:cs="Arial"/>
        </w:rPr>
      </w:pPr>
    </w:p>
    <w:p w:rsidR="003E1773" w:rsidRPr="00725A64" w:rsidRDefault="007F1B7F" w:rsidP="00725A64">
      <w:pPr>
        <w:spacing w:line="360" w:lineRule="auto"/>
        <w:rPr>
          <w:rFonts w:ascii="Arial" w:hAnsi="Arial" w:cs="Arial"/>
        </w:rPr>
      </w:pPr>
      <w:r w:rsidRPr="00725A64">
        <w:rPr>
          <w:rFonts w:ascii="Arial" w:hAnsi="Arial" w:cs="Arial"/>
        </w:rPr>
        <w:t xml:space="preserve">As for the data from year </w:t>
      </w:r>
      <w:r w:rsidR="000A2EAE" w:rsidRPr="00725A64">
        <w:rPr>
          <w:rFonts w:ascii="Arial" w:hAnsi="Arial" w:cs="Arial"/>
        </w:rPr>
        <w:t>five</w:t>
      </w:r>
      <w:r w:rsidRPr="00725A64">
        <w:rPr>
          <w:rFonts w:ascii="Arial" w:hAnsi="Arial" w:cs="Arial"/>
        </w:rPr>
        <w:t>, the non-verbal hand raising method prevailed as the most effective method of gaining attention, with participants responding almost instantly</w:t>
      </w:r>
      <w:r w:rsidR="00086C27" w:rsidRPr="00725A64">
        <w:rPr>
          <w:rFonts w:ascii="Arial" w:hAnsi="Arial" w:cs="Arial"/>
        </w:rPr>
        <w:t xml:space="preserve"> in every instance</w:t>
      </w:r>
      <w:r w:rsidRPr="00725A64">
        <w:rPr>
          <w:rFonts w:ascii="Arial" w:hAnsi="Arial" w:cs="Arial"/>
        </w:rPr>
        <w:t xml:space="preserve">. </w:t>
      </w:r>
      <w:r w:rsidR="00E55459" w:rsidRPr="00725A64">
        <w:rPr>
          <w:rFonts w:ascii="Arial" w:hAnsi="Arial" w:cs="Arial"/>
        </w:rPr>
        <w:t>The clapping method</w:t>
      </w:r>
      <w:r w:rsidR="00086C27" w:rsidRPr="00725A64">
        <w:rPr>
          <w:rFonts w:ascii="Arial" w:hAnsi="Arial" w:cs="Arial"/>
        </w:rPr>
        <w:t xml:space="preserve"> proved to</w:t>
      </w:r>
      <w:r w:rsidR="00E55459" w:rsidRPr="00725A64">
        <w:rPr>
          <w:rFonts w:ascii="Arial" w:hAnsi="Arial" w:cs="Arial"/>
        </w:rPr>
        <w:t xml:space="preserve"> only </w:t>
      </w:r>
      <w:r w:rsidR="00086C27" w:rsidRPr="00725A64">
        <w:rPr>
          <w:rFonts w:ascii="Arial" w:hAnsi="Arial" w:cs="Arial"/>
        </w:rPr>
        <w:t xml:space="preserve">work </w:t>
      </w:r>
      <w:r w:rsidR="00E55459" w:rsidRPr="00725A64">
        <w:rPr>
          <w:rFonts w:ascii="Arial" w:hAnsi="Arial" w:cs="Arial"/>
        </w:rPr>
        <w:t>effective</w:t>
      </w:r>
      <w:r w:rsidR="00086C27" w:rsidRPr="00725A64">
        <w:rPr>
          <w:rFonts w:ascii="Arial" w:hAnsi="Arial" w:cs="Arial"/>
        </w:rPr>
        <w:t>ly</w:t>
      </w:r>
      <w:r w:rsidR="00E55459" w:rsidRPr="00725A64">
        <w:rPr>
          <w:rFonts w:ascii="Arial" w:hAnsi="Arial" w:cs="Arial"/>
        </w:rPr>
        <w:t xml:space="preserve"> with participators when they were on task, however this still took an average of </w:t>
      </w:r>
      <w:r w:rsidR="00086C27" w:rsidRPr="00725A64">
        <w:rPr>
          <w:rFonts w:ascii="Arial" w:hAnsi="Arial" w:cs="Arial"/>
        </w:rPr>
        <w:t>nine</w:t>
      </w:r>
      <w:r w:rsidR="00E55459" w:rsidRPr="00725A64">
        <w:rPr>
          <w:rFonts w:ascii="Arial" w:hAnsi="Arial" w:cs="Arial"/>
        </w:rPr>
        <w:t xml:space="preserve"> seconds to gain silence and full attention of participants. When the clapping method was used during the introduction, some learners did not participate at all. As well as this, the silence approach was used at the beginning of the lesson</w:t>
      </w:r>
      <w:r w:rsidR="000A2EAE" w:rsidRPr="00725A64">
        <w:rPr>
          <w:rFonts w:ascii="Arial" w:hAnsi="Arial" w:cs="Arial"/>
        </w:rPr>
        <w:t xml:space="preserve"> to gather the children’s attention to ensure they were ready to learn. This method did not work, all learners continued to speak and</w:t>
      </w:r>
      <w:r w:rsidR="00B36360" w:rsidRPr="00725A64">
        <w:rPr>
          <w:rFonts w:ascii="Arial" w:hAnsi="Arial" w:cs="Arial"/>
        </w:rPr>
        <w:t xml:space="preserve"> be disruptive until the teacher raised her voice. </w:t>
      </w:r>
      <w:r w:rsidR="00BD7A43" w:rsidRPr="00725A64">
        <w:rPr>
          <w:rFonts w:ascii="Arial" w:hAnsi="Arial" w:cs="Arial"/>
        </w:rPr>
        <w:t xml:space="preserve">Literature by </w:t>
      </w:r>
      <w:proofErr w:type="spellStart"/>
      <w:r w:rsidR="00BD7A43" w:rsidRPr="00725A64">
        <w:rPr>
          <w:rFonts w:ascii="Arial" w:hAnsi="Arial" w:cs="Arial"/>
        </w:rPr>
        <w:t>Istas</w:t>
      </w:r>
      <w:proofErr w:type="spellEnd"/>
      <w:r w:rsidR="00BD7A43" w:rsidRPr="00725A64">
        <w:rPr>
          <w:rFonts w:ascii="Arial" w:hAnsi="Arial" w:cs="Arial"/>
        </w:rPr>
        <w:t xml:space="preserve"> (2018) conflicts with my findings as they state how the best way to get students attention and prepare then to listen at the start of the lesson is by using the nonverbal cue of freezing the body due to its ability to send a clear consistent message to the learners that the lesson is about to start. Nonetheless, it was clear that this approach was not suitable to the participators in lesson study two. </w:t>
      </w:r>
      <w:r w:rsidR="00BD7A43" w:rsidRPr="00725A64">
        <w:rPr>
          <w:rFonts w:ascii="Arial" w:hAnsi="Arial" w:cs="Arial"/>
        </w:rPr>
        <w:t>Research shows how when we communicate, only a small percentage of our message comes from the words that we use. Over fifty percent of our message comes from our body language, over thirty percent comes from our tone of voice and the remaining comes from our words (</w:t>
      </w:r>
      <w:proofErr w:type="spellStart"/>
      <w:r w:rsidR="00BD7A43" w:rsidRPr="00725A64">
        <w:rPr>
          <w:rFonts w:ascii="Arial" w:hAnsi="Arial" w:cs="Arial"/>
        </w:rPr>
        <w:t>Mehrabian</w:t>
      </w:r>
      <w:proofErr w:type="spellEnd"/>
      <w:r w:rsidR="00BD7A43" w:rsidRPr="00725A64">
        <w:rPr>
          <w:rFonts w:ascii="Arial" w:hAnsi="Arial" w:cs="Arial"/>
        </w:rPr>
        <w:t>, 2007). Therefore,</w:t>
      </w:r>
      <w:r w:rsidR="00D32C87">
        <w:rPr>
          <w:rFonts w:ascii="Arial" w:hAnsi="Arial" w:cs="Arial"/>
        </w:rPr>
        <w:t xml:space="preserve"> it is suggested </w:t>
      </w:r>
      <w:r w:rsidR="004C459E">
        <w:rPr>
          <w:rFonts w:ascii="Arial" w:hAnsi="Arial" w:cs="Arial"/>
        </w:rPr>
        <w:t xml:space="preserve">by </w:t>
      </w:r>
      <w:proofErr w:type="spellStart"/>
      <w:r w:rsidR="004C459E">
        <w:rPr>
          <w:rFonts w:ascii="Arial" w:hAnsi="Arial" w:cs="Arial"/>
        </w:rPr>
        <w:t>Mehrabian</w:t>
      </w:r>
      <w:proofErr w:type="spellEnd"/>
      <w:r w:rsidR="004C459E">
        <w:rPr>
          <w:rFonts w:ascii="Arial" w:hAnsi="Arial" w:cs="Arial"/>
        </w:rPr>
        <w:t xml:space="preserve"> (2007) </w:t>
      </w:r>
      <w:r w:rsidR="00D32C87">
        <w:rPr>
          <w:rFonts w:ascii="Arial" w:hAnsi="Arial" w:cs="Arial"/>
        </w:rPr>
        <w:t>that</w:t>
      </w:r>
      <w:r w:rsidR="00BD7A43" w:rsidRPr="00725A64">
        <w:rPr>
          <w:rFonts w:ascii="Arial" w:hAnsi="Arial" w:cs="Arial"/>
        </w:rPr>
        <w:t xml:space="preserve"> a mixture of verbal and non-verbal communication is essential in the classroom. </w:t>
      </w:r>
    </w:p>
    <w:p w:rsidR="00BC7493" w:rsidRPr="00725A64" w:rsidRDefault="00BC7493" w:rsidP="00725A64">
      <w:pPr>
        <w:spacing w:line="360" w:lineRule="auto"/>
        <w:rPr>
          <w:rFonts w:ascii="Arial" w:hAnsi="Arial" w:cs="Arial"/>
        </w:rPr>
      </w:pPr>
    </w:p>
    <w:p w:rsidR="00BC7493" w:rsidRPr="00725A64" w:rsidRDefault="0024690F" w:rsidP="00725A64">
      <w:pPr>
        <w:spacing w:line="360" w:lineRule="auto"/>
        <w:rPr>
          <w:rFonts w:ascii="Arial" w:hAnsi="Arial" w:cs="Arial"/>
        </w:rPr>
      </w:pPr>
      <w:r w:rsidRPr="00725A64">
        <w:rPr>
          <w:rFonts w:ascii="Arial" w:hAnsi="Arial" w:cs="Arial"/>
        </w:rPr>
        <w:t xml:space="preserve">When conversing with the participators after the lesson studies, every learner in both year one and year five knew what they needed to do when each verbal or non-verbal method of gaining attention is used. This enlightened me to the fact that these methods are regularly practiced in each classroom. The younger children agreed with our findings and stated how the singing method captures their attention the quickest due to it being enjoyable and the song is sang twice – in Welsh and English. </w:t>
      </w:r>
      <w:r w:rsidR="00EC26C9">
        <w:rPr>
          <w:rFonts w:ascii="Arial" w:hAnsi="Arial" w:cs="Arial"/>
        </w:rPr>
        <w:t xml:space="preserve">One participant </w:t>
      </w:r>
      <w:r w:rsidRPr="00725A64">
        <w:rPr>
          <w:rFonts w:ascii="Arial" w:hAnsi="Arial" w:cs="Arial"/>
        </w:rPr>
        <w:t xml:space="preserve">stated that ‘by the end of the two songs, every child is singing’. When discussing the methods with participants in year five, they admitted to reacting to the cue but continuing to be disruptive. One participant discussed how ‘it depends on the body language of the teacher, if I can tell that they’re angry or upset then I will stop straight away, but sometimes I continue to talk’. </w:t>
      </w:r>
      <w:r w:rsidR="00EC26C9">
        <w:rPr>
          <w:rFonts w:ascii="Arial" w:hAnsi="Arial" w:cs="Arial"/>
        </w:rPr>
        <w:t xml:space="preserve">Therefore this participant has </w:t>
      </w:r>
      <w:r w:rsidRPr="00725A64">
        <w:rPr>
          <w:rFonts w:ascii="Arial" w:hAnsi="Arial" w:cs="Arial"/>
        </w:rPr>
        <w:t xml:space="preserve"> </w:t>
      </w:r>
      <w:r w:rsidR="00EC26C9">
        <w:rPr>
          <w:rFonts w:ascii="Arial" w:hAnsi="Arial" w:cs="Arial"/>
        </w:rPr>
        <w:lastRenderedPageBreak/>
        <w:t xml:space="preserve">views which agree </w:t>
      </w:r>
      <w:r w:rsidRPr="00725A64">
        <w:rPr>
          <w:rFonts w:ascii="Arial" w:hAnsi="Arial" w:cs="Arial"/>
        </w:rPr>
        <w:t xml:space="preserve">with </w:t>
      </w:r>
      <w:proofErr w:type="spellStart"/>
      <w:r w:rsidRPr="00725A64">
        <w:rPr>
          <w:rFonts w:ascii="Arial" w:hAnsi="Arial" w:cs="Arial"/>
        </w:rPr>
        <w:t>Grubaugh</w:t>
      </w:r>
      <w:proofErr w:type="spellEnd"/>
      <w:r w:rsidRPr="00725A64">
        <w:rPr>
          <w:rFonts w:ascii="Arial" w:hAnsi="Arial" w:cs="Arial"/>
        </w:rPr>
        <w:t xml:space="preserve"> (1989)</w:t>
      </w:r>
      <w:r w:rsidR="00EC26C9">
        <w:rPr>
          <w:rFonts w:ascii="Arial" w:hAnsi="Arial" w:cs="Arial"/>
        </w:rPr>
        <w:t>,</w:t>
      </w:r>
      <w:r w:rsidRPr="00725A64">
        <w:rPr>
          <w:rFonts w:ascii="Arial" w:hAnsi="Arial" w:cs="Arial"/>
        </w:rPr>
        <w:t xml:space="preserve"> who </w:t>
      </w:r>
      <w:r w:rsidR="00EC26C9">
        <w:rPr>
          <w:rFonts w:ascii="Arial" w:hAnsi="Arial" w:cs="Arial"/>
        </w:rPr>
        <w:t>mentions</w:t>
      </w:r>
      <w:r w:rsidRPr="00725A64">
        <w:rPr>
          <w:rFonts w:ascii="Arial" w:hAnsi="Arial" w:cs="Arial"/>
        </w:rPr>
        <w:t xml:space="preserve"> how non-verbal means of communicating often works well alongside verbal communication, where in the </w:t>
      </w:r>
      <w:r w:rsidRPr="00725A64">
        <w:rPr>
          <w:rFonts w:ascii="Arial" w:hAnsi="Arial" w:cs="Arial"/>
        </w:rPr>
        <w:t>article</w:t>
      </w:r>
      <w:r w:rsidRPr="00725A64">
        <w:rPr>
          <w:rFonts w:ascii="Arial" w:hAnsi="Arial" w:cs="Arial"/>
        </w:rPr>
        <w:t>,</w:t>
      </w:r>
      <w:r w:rsidRPr="00725A64">
        <w:rPr>
          <w:rFonts w:ascii="Arial" w:hAnsi="Arial" w:cs="Arial"/>
        </w:rPr>
        <w:t xml:space="preserve"> </w:t>
      </w:r>
      <w:proofErr w:type="spellStart"/>
      <w:r w:rsidRPr="00725A64">
        <w:rPr>
          <w:rFonts w:ascii="Arial" w:hAnsi="Arial" w:cs="Arial"/>
        </w:rPr>
        <w:t>Grubaugh</w:t>
      </w:r>
      <w:proofErr w:type="spellEnd"/>
      <w:r w:rsidRPr="00725A64">
        <w:rPr>
          <w:rFonts w:ascii="Arial" w:hAnsi="Arial" w:cs="Arial"/>
        </w:rPr>
        <w:t xml:space="preserve"> (1989) </w:t>
      </w:r>
      <w:r w:rsidRPr="00725A64">
        <w:rPr>
          <w:rFonts w:ascii="Arial" w:hAnsi="Arial" w:cs="Arial"/>
        </w:rPr>
        <w:t xml:space="preserve">discusses how a raise in volume or a change in tone alongside a strong body language is the best way of grasping attention of learners in the classroom. </w:t>
      </w:r>
    </w:p>
    <w:p w:rsidR="00FD2EAD" w:rsidRPr="00725A64" w:rsidRDefault="00FD2EAD" w:rsidP="00725A64">
      <w:pPr>
        <w:spacing w:line="360" w:lineRule="auto"/>
        <w:rPr>
          <w:rFonts w:ascii="Arial" w:hAnsi="Arial" w:cs="Arial"/>
        </w:rPr>
      </w:pPr>
    </w:p>
    <w:p w:rsidR="00271EB0" w:rsidRPr="00725A64" w:rsidRDefault="009A64CA" w:rsidP="00725A64">
      <w:pPr>
        <w:spacing w:line="360" w:lineRule="auto"/>
        <w:rPr>
          <w:rFonts w:ascii="Arial" w:hAnsi="Arial" w:cs="Arial"/>
        </w:rPr>
      </w:pPr>
      <w:r w:rsidRPr="00725A64">
        <w:rPr>
          <w:rFonts w:ascii="Arial" w:hAnsi="Arial" w:cs="Arial"/>
        </w:rPr>
        <w:t xml:space="preserve">To summarise, my research partner and I conducted two lesson studies on a year one class and a year five class where we were directly researching the methods in which gain learner’s attention most effectively. After conducting the lesson studies, we used the focus group method to gain a deeper understanding of the learners’ point of view on the topic. The focus group size was just three participants from each year group. This small size focus group was decided due to the lack of time and need for sufficiently detailed answers. </w:t>
      </w:r>
      <w:r w:rsidR="00805233" w:rsidRPr="00725A64">
        <w:rPr>
          <w:rFonts w:ascii="Arial" w:hAnsi="Arial" w:cs="Arial"/>
        </w:rPr>
        <w:t xml:space="preserve">Despite planning the research at an early date, the teaching timetable did not allow for time to consider a piloting our research methods. </w:t>
      </w:r>
      <w:proofErr w:type="spellStart"/>
      <w:r w:rsidR="00805233" w:rsidRPr="00725A64">
        <w:rPr>
          <w:rFonts w:ascii="Arial" w:hAnsi="Arial" w:cs="Arial"/>
        </w:rPr>
        <w:t>Cadete</w:t>
      </w:r>
      <w:proofErr w:type="spellEnd"/>
      <w:r w:rsidR="00805233" w:rsidRPr="00725A64">
        <w:rPr>
          <w:rFonts w:ascii="Arial" w:hAnsi="Arial" w:cs="Arial"/>
        </w:rPr>
        <w:t xml:space="preserve"> (2017) has reinforced how a pilot study does not ensure the success of research, but allows for an assessment of the approach and practice required for a research project. Nevertheless, due to two lesson studies being carried out, we were able to adjust the second study in accordance to the success of the first. </w:t>
      </w:r>
      <w:r w:rsidR="00D319E6" w:rsidRPr="00725A64">
        <w:rPr>
          <w:rFonts w:ascii="Arial" w:hAnsi="Arial" w:cs="Arial"/>
        </w:rPr>
        <w:t xml:space="preserve">The lesson studies proved to be a successful method of gaining sufficient data for our research project. </w:t>
      </w:r>
      <w:r w:rsidR="00271EB0" w:rsidRPr="00725A64">
        <w:rPr>
          <w:rFonts w:ascii="Arial" w:hAnsi="Arial" w:cs="Arial"/>
        </w:rPr>
        <w:t xml:space="preserve">When gaining this information, we used a reflective pro-forma based upon Gibbs’ Reflective Cycle (1988) as this allowed for detailed answers based upon a description of the environment, feelings, and evaluation and a conclusion. This worked well and provided a scaffold to gathering sufficient data. </w:t>
      </w:r>
    </w:p>
    <w:p w:rsidR="00271EB0" w:rsidRPr="00725A64" w:rsidRDefault="00271EB0" w:rsidP="00725A64">
      <w:pPr>
        <w:spacing w:line="360" w:lineRule="auto"/>
        <w:rPr>
          <w:rFonts w:ascii="Arial" w:hAnsi="Arial" w:cs="Arial"/>
        </w:rPr>
      </w:pPr>
    </w:p>
    <w:p w:rsidR="002363DF" w:rsidRPr="00725A64" w:rsidRDefault="007D6A4B" w:rsidP="00725A64">
      <w:pPr>
        <w:spacing w:line="360" w:lineRule="auto"/>
        <w:rPr>
          <w:rFonts w:ascii="Arial" w:hAnsi="Arial" w:cs="Arial"/>
        </w:rPr>
      </w:pPr>
      <w:r w:rsidRPr="00725A64">
        <w:rPr>
          <w:rFonts w:ascii="Arial" w:hAnsi="Arial" w:cs="Arial"/>
        </w:rPr>
        <w:t>In the foreword of his book, Dudley (2014) discusses how by carrying out Lesson Studies, schools are adopting a continuing professional development approach, there is a lot to commend and its distinctive impact on continuing professional development has been highlighted in this book</w:t>
      </w:r>
      <w:r w:rsidR="0032451B" w:rsidRPr="00725A64">
        <w:rPr>
          <w:rFonts w:ascii="Arial" w:hAnsi="Arial" w:cs="Arial"/>
        </w:rPr>
        <w:t xml:space="preserve">; one of the impacted benefits being collaborative research within their own setting to regulate findings and adopt new approaches to pedagogy. Nevertheless, teachers are known to already have a busy timetable with very little adjustment available. Therefore, it can be hard to fit the practice of a collaborative lesson study into the timetable (Mulholland and O’Connor, 2016). Going onto the methodology of focus groups, when carrying out focus groups, we found that the discussion often went off topic and it took some effort to ensure the </w:t>
      </w:r>
      <w:r w:rsidR="0032451B" w:rsidRPr="00725A64">
        <w:rPr>
          <w:rFonts w:ascii="Arial" w:hAnsi="Arial" w:cs="Arial"/>
        </w:rPr>
        <w:lastRenderedPageBreak/>
        <w:t xml:space="preserve">children were taken back to the main focus of the focus group. This is reiterated by Barbour (2008) who mentioned that focus groups can be distracting and can often spark conflict if a disagreement occurs. </w:t>
      </w:r>
      <w:r w:rsidR="00AE7AA8" w:rsidRPr="00725A64">
        <w:rPr>
          <w:rFonts w:ascii="Arial" w:hAnsi="Arial" w:cs="Arial"/>
        </w:rPr>
        <w:t>Nevertheless, these methods of data collection were reliable and ensured that we came away with a sufficient level of evidence to support our research question.</w:t>
      </w:r>
    </w:p>
    <w:p w:rsidR="002363DF" w:rsidRPr="00725A64" w:rsidRDefault="002363DF" w:rsidP="00725A64">
      <w:pPr>
        <w:spacing w:line="360" w:lineRule="auto"/>
        <w:rPr>
          <w:rFonts w:ascii="Arial" w:hAnsi="Arial" w:cs="Arial"/>
        </w:rPr>
      </w:pPr>
    </w:p>
    <w:p w:rsidR="00FD2EAD" w:rsidRPr="00725A64" w:rsidRDefault="000748BB" w:rsidP="00725A64">
      <w:pPr>
        <w:spacing w:line="360" w:lineRule="auto"/>
        <w:rPr>
          <w:rFonts w:ascii="Arial" w:hAnsi="Arial" w:cs="Arial"/>
        </w:rPr>
      </w:pPr>
      <w:r w:rsidRPr="00725A64">
        <w:rPr>
          <w:rFonts w:ascii="Arial" w:hAnsi="Arial" w:cs="Arial"/>
        </w:rPr>
        <w:t xml:space="preserve">Thus, in my next school experience I will ensure a number of methods of gaining attention are practiced in the classroom and are varied in different situations. </w:t>
      </w:r>
      <w:r w:rsidR="002363DF" w:rsidRPr="00725A64">
        <w:rPr>
          <w:rFonts w:ascii="Arial" w:hAnsi="Arial" w:cs="Arial"/>
        </w:rPr>
        <w:t xml:space="preserve">I will test the mentioned methods of gaining attention and incorporate some new methods into my next practice to test which are suited to the cohort of learners. As well as this, from the literature in this essay, I will ensure my body language is considered when conducting verbal methods of communication as </w:t>
      </w:r>
      <w:proofErr w:type="spellStart"/>
      <w:r w:rsidR="002363DF" w:rsidRPr="00725A64">
        <w:rPr>
          <w:rFonts w:ascii="Arial" w:hAnsi="Arial" w:cs="Arial"/>
        </w:rPr>
        <w:t>Mehrabian</w:t>
      </w:r>
      <w:proofErr w:type="spellEnd"/>
      <w:r w:rsidR="002363DF" w:rsidRPr="00725A64">
        <w:rPr>
          <w:rFonts w:ascii="Arial" w:hAnsi="Arial" w:cs="Arial"/>
        </w:rPr>
        <w:t xml:space="preserve"> (2007) reinforced how only a small percentage of a message is passed through words alone. </w:t>
      </w:r>
      <w:r w:rsidR="00B43512" w:rsidRPr="00725A64">
        <w:rPr>
          <w:rFonts w:ascii="Arial" w:hAnsi="Arial" w:cs="Arial"/>
        </w:rPr>
        <w:t xml:space="preserve">If I was to do this again, I would ensure better communication and better preparation was made prior to the lesson studies to ensure each researcher was prepared for at which point of the lesson we were going to be using the attention cues. This would have made the timing methods precise. </w:t>
      </w:r>
      <w:r w:rsidR="00425DE2" w:rsidRPr="00725A64">
        <w:rPr>
          <w:rFonts w:ascii="Arial" w:hAnsi="Arial" w:cs="Arial"/>
        </w:rPr>
        <w:t xml:space="preserve">As well as this, I felt as though the focus group was cut short due to the lack of time available, therefore in future research I would attempt to find some extra time where the focus group could have had a more in-depth conversation on the topic. </w:t>
      </w:r>
    </w:p>
    <w:p w:rsidR="002F0A04" w:rsidRPr="00725A64" w:rsidRDefault="002F0A04" w:rsidP="00725A64">
      <w:pPr>
        <w:spacing w:line="360" w:lineRule="auto"/>
        <w:rPr>
          <w:rFonts w:ascii="Arial" w:hAnsi="Arial" w:cs="Arial"/>
        </w:rPr>
      </w:pPr>
    </w:p>
    <w:p w:rsidR="00725A64" w:rsidRDefault="002F0A04" w:rsidP="00725A64">
      <w:pPr>
        <w:spacing w:line="360" w:lineRule="auto"/>
        <w:rPr>
          <w:rFonts w:ascii="Arial" w:hAnsi="Arial" w:cs="Arial"/>
        </w:rPr>
      </w:pPr>
      <w:r w:rsidRPr="00725A64">
        <w:rPr>
          <w:rFonts w:ascii="Arial" w:hAnsi="Arial" w:cs="Arial"/>
        </w:rPr>
        <w:t xml:space="preserve">In the light of the research, </w:t>
      </w:r>
      <w:r w:rsidRPr="00725A64">
        <w:rPr>
          <w:rFonts w:ascii="Arial" w:hAnsi="Arial" w:cs="Arial"/>
        </w:rPr>
        <w:t xml:space="preserve">we came to the conclusion that verbal methods of gaining attention in the classroom achieved the quickest and most effective outcomes in both year one and year five. Therefore, these findings will be taken forward and practiced to my next educational experience. In addition to this, if I carried out lesson study research again, I would pilot my ideas to ensure suitability to the classroom and the ability to gather sufficient supporting evidence. I would also carry out a series of lesson studies, not just one per class, to ensure that the evidence collected is strong enough to suggest a potential adjustment to pedagogy. </w:t>
      </w:r>
      <w:r w:rsidR="009A64CA" w:rsidRPr="00725A64">
        <w:rPr>
          <w:rStyle w:val="apple-converted-space"/>
          <w:rFonts w:ascii="Arial" w:hAnsi="Arial" w:cs="Arial"/>
          <w:color w:val="222222"/>
        </w:rPr>
        <w:t>Churcher (2007)</w:t>
      </w:r>
      <w:r w:rsidR="009A64CA" w:rsidRPr="00725A64">
        <w:rPr>
          <w:rStyle w:val="apple-converted-space"/>
          <w:rFonts w:ascii="Arial" w:hAnsi="Arial" w:cs="Arial"/>
          <w:color w:val="222222"/>
        </w:rPr>
        <w:t> </w:t>
      </w:r>
      <w:r w:rsidR="009A64CA" w:rsidRPr="00725A64">
        <w:rPr>
          <w:rFonts w:ascii="Arial" w:hAnsi="Arial" w:cs="Arial"/>
          <w:color w:val="222222"/>
        </w:rPr>
        <w:t xml:space="preserve">elaborates on how </w:t>
      </w:r>
      <w:r w:rsidR="009A64CA" w:rsidRPr="00725A64">
        <w:rPr>
          <w:rFonts w:ascii="Arial" w:hAnsi="Arial" w:cs="Arial"/>
          <w:color w:val="222222"/>
        </w:rPr>
        <w:t>“</w:t>
      </w:r>
      <w:r w:rsidR="009A64CA" w:rsidRPr="00725A64">
        <w:rPr>
          <w:rFonts w:ascii="Arial" w:hAnsi="Arial" w:cs="Arial"/>
          <w:color w:val="222222"/>
        </w:rPr>
        <w:t>the teacher as researcher can benefit not only the classroom, but the future direction of education research</w:t>
      </w:r>
      <w:r w:rsidR="009A64CA" w:rsidRPr="00725A64">
        <w:rPr>
          <w:rFonts w:ascii="Arial" w:hAnsi="Arial" w:cs="Arial"/>
          <w:color w:val="222222"/>
        </w:rPr>
        <w:t>”</w:t>
      </w:r>
      <w:r w:rsidR="00F756B8" w:rsidRPr="00725A64">
        <w:rPr>
          <w:rFonts w:ascii="Arial" w:hAnsi="Arial" w:cs="Arial"/>
          <w:color w:val="222222"/>
        </w:rPr>
        <w:t xml:space="preserve"> (p.19)</w:t>
      </w:r>
      <w:r w:rsidR="009A64CA" w:rsidRPr="00725A64">
        <w:rPr>
          <w:rFonts w:ascii="Arial" w:hAnsi="Arial" w:cs="Arial"/>
          <w:color w:val="222222"/>
        </w:rPr>
        <w:t>.</w:t>
      </w:r>
      <w:r w:rsidRPr="00725A64">
        <w:rPr>
          <w:rFonts w:ascii="Arial" w:hAnsi="Arial" w:cs="Arial"/>
          <w:color w:val="222222"/>
        </w:rPr>
        <w:t xml:space="preserve"> Thus, by carrying out lesson studies, good practices can be shared and adopted to benefit teacher practice. </w:t>
      </w:r>
    </w:p>
    <w:p w:rsidR="0018346F" w:rsidRDefault="0018346F" w:rsidP="00725A64">
      <w:pPr>
        <w:spacing w:line="360" w:lineRule="auto"/>
        <w:rPr>
          <w:rFonts w:ascii="Arial" w:hAnsi="Arial" w:cs="Arial"/>
        </w:rPr>
      </w:pPr>
    </w:p>
    <w:p w:rsidR="0018346F" w:rsidRPr="0018346F" w:rsidRDefault="0018346F" w:rsidP="00725A64">
      <w:pPr>
        <w:spacing w:line="360" w:lineRule="auto"/>
        <w:rPr>
          <w:rFonts w:ascii="Arial" w:hAnsi="Arial" w:cs="Arial"/>
        </w:rPr>
      </w:pPr>
    </w:p>
    <w:p w:rsidR="00F756B8" w:rsidRPr="00725A64" w:rsidRDefault="00F756B8" w:rsidP="00725A64">
      <w:pPr>
        <w:spacing w:line="360" w:lineRule="auto"/>
        <w:rPr>
          <w:rFonts w:ascii="Arial" w:hAnsi="Arial" w:cs="Arial"/>
          <w:b/>
          <w:sz w:val="22"/>
          <w:szCs w:val="22"/>
        </w:rPr>
      </w:pPr>
      <w:r w:rsidRPr="00725A64">
        <w:rPr>
          <w:rFonts w:ascii="Arial" w:hAnsi="Arial" w:cs="Arial"/>
          <w:b/>
          <w:sz w:val="22"/>
          <w:szCs w:val="22"/>
        </w:rPr>
        <w:lastRenderedPageBreak/>
        <w:t xml:space="preserve">References </w:t>
      </w:r>
    </w:p>
    <w:p w:rsidR="00F756B8" w:rsidRPr="00725A64" w:rsidRDefault="00F756B8" w:rsidP="00725A64">
      <w:pPr>
        <w:spacing w:line="360" w:lineRule="auto"/>
        <w:rPr>
          <w:rFonts w:ascii="Arial" w:hAnsi="Arial" w:cs="Arial"/>
          <w:sz w:val="22"/>
          <w:szCs w:val="22"/>
        </w:rPr>
      </w:pPr>
    </w:p>
    <w:p w:rsidR="00F756B8" w:rsidRPr="00BD7A43" w:rsidRDefault="00F756B8" w:rsidP="00725A64">
      <w:pPr>
        <w:spacing w:line="360" w:lineRule="auto"/>
        <w:rPr>
          <w:rFonts w:ascii="Arial" w:hAnsi="Arial" w:cs="Arial"/>
          <w:color w:val="000000" w:themeColor="text1"/>
          <w:sz w:val="22"/>
          <w:szCs w:val="22"/>
        </w:rPr>
      </w:pPr>
      <w:r w:rsidRPr="00BD7A43">
        <w:rPr>
          <w:rFonts w:ascii="Arial" w:hAnsi="Arial" w:cs="Arial"/>
          <w:color w:val="222222"/>
          <w:sz w:val="22"/>
          <w:szCs w:val="22"/>
          <w:shd w:val="clear" w:color="auto" w:fill="FFFFFF"/>
        </w:rPr>
        <w:t xml:space="preserve">Ali, A.S.M. and Ali, S., 2011, May. The use of non-verbal communication in the classroom. </w:t>
      </w:r>
      <w:r w:rsidRPr="00BD7A43">
        <w:rPr>
          <w:rFonts w:ascii="Arial" w:hAnsi="Arial" w:cs="Arial"/>
          <w:color w:val="000000" w:themeColor="text1"/>
          <w:sz w:val="22"/>
          <w:szCs w:val="22"/>
          <w:shd w:val="clear" w:color="auto" w:fill="FFFFFF"/>
        </w:rPr>
        <w:t>In</w:t>
      </w:r>
      <w:r w:rsidRPr="00725A64">
        <w:rPr>
          <w:rFonts w:ascii="Arial" w:hAnsi="Arial" w:cs="Arial"/>
          <w:color w:val="000000" w:themeColor="text1"/>
          <w:sz w:val="22"/>
          <w:szCs w:val="22"/>
          <w:shd w:val="clear" w:color="auto" w:fill="FFFFFF"/>
        </w:rPr>
        <w:t> </w:t>
      </w:r>
      <w:r w:rsidRPr="00BD7A43">
        <w:rPr>
          <w:rFonts w:ascii="Arial" w:hAnsi="Arial" w:cs="Arial"/>
          <w:i/>
          <w:iCs/>
          <w:color w:val="000000" w:themeColor="text1"/>
          <w:sz w:val="22"/>
          <w:szCs w:val="22"/>
        </w:rPr>
        <w:t>A paper presented in 1st International Conference on Foreign Language teaching and applied Linguistic Tabuk University</w:t>
      </w:r>
      <w:r w:rsidRPr="00BD7A43">
        <w:rPr>
          <w:rFonts w:ascii="Arial" w:hAnsi="Arial" w:cs="Arial"/>
          <w:color w:val="000000" w:themeColor="text1"/>
          <w:sz w:val="22"/>
          <w:szCs w:val="22"/>
          <w:shd w:val="clear" w:color="auto" w:fill="FFFFFF"/>
        </w:rPr>
        <w:t>.</w:t>
      </w:r>
    </w:p>
    <w:p w:rsidR="00F756B8" w:rsidRPr="00725A64" w:rsidRDefault="00F756B8" w:rsidP="00725A64">
      <w:pPr>
        <w:spacing w:before="100" w:beforeAutospacing="1" w:after="100" w:afterAutospacing="1" w:line="360" w:lineRule="auto"/>
        <w:rPr>
          <w:rFonts w:ascii="Arial" w:hAnsi="Arial" w:cs="Arial"/>
          <w:color w:val="000000" w:themeColor="text1"/>
          <w:sz w:val="22"/>
          <w:szCs w:val="22"/>
        </w:rPr>
      </w:pPr>
      <w:r w:rsidRPr="009F22B5">
        <w:rPr>
          <w:rFonts w:ascii="Arial" w:hAnsi="Arial" w:cs="Arial"/>
          <w:i/>
          <w:iCs/>
          <w:color w:val="000000" w:themeColor="text1"/>
          <w:sz w:val="22"/>
          <w:szCs w:val="22"/>
        </w:rPr>
        <w:t>Assessment and Evaluation in Higher Education</w:t>
      </w:r>
      <w:r w:rsidRPr="009F22B5">
        <w:rPr>
          <w:rFonts w:ascii="Arial" w:hAnsi="Arial" w:cs="Arial"/>
          <w:color w:val="000000" w:themeColor="text1"/>
          <w:sz w:val="22"/>
          <w:szCs w:val="22"/>
        </w:rPr>
        <w:t xml:space="preserve"> 32 (2), pp 121–141 </w:t>
      </w:r>
    </w:p>
    <w:p w:rsidR="00F756B8" w:rsidRPr="00725A64" w:rsidRDefault="00F756B8" w:rsidP="00725A64">
      <w:pPr>
        <w:spacing w:line="360" w:lineRule="auto"/>
        <w:rPr>
          <w:rFonts w:ascii="Arial" w:hAnsi="Arial" w:cs="Arial"/>
          <w:color w:val="000000" w:themeColor="text1"/>
          <w:sz w:val="22"/>
          <w:szCs w:val="22"/>
        </w:rPr>
      </w:pPr>
      <w:r w:rsidRPr="00725A64">
        <w:rPr>
          <w:rFonts w:ascii="Arial" w:hAnsi="Arial" w:cs="Arial"/>
          <w:color w:val="000000" w:themeColor="text1"/>
          <w:sz w:val="22"/>
          <w:szCs w:val="22"/>
          <w:shd w:val="clear" w:color="auto" w:fill="FFFFFF"/>
        </w:rPr>
        <w:t>Barbour, R., 2008.</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Doing focus groups</w:t>
      </w:r>
      <w:r w:rsidRPr="00725A64">
        <w:rPr>
          <w:rFonts w:ascii="Arial" w:hAnsi="Arial" w:cs="Arial"/>
          <w:color w:val="000000" w:themeColor="text1"/>
          <w:sz w:val="22"/>
          <w:szCs w:val="22"/>
          <w:shd w:val="clear" w:color="auto" w:fill="FFFFFF"/>
        </w:rPr>
        <w:t>. Sage.</w:t>
      </w:r>
    </w:p>
    <w:p w:rsidR="00F756B8" w:rsidRPr="00725A64" w:rsidRDefault="00F756B8" w:rsidP="00725A64">
      <w:pPr>
        <w:pStyle w:val="NormalWeb"/>
        <w:spacing w:line="360" w:lineRule="auto"/>
        <w:rPr>
          <w:rFonts w:ascii="Arial" w:hAnsi="Arial" w:cs="Arial"/>
          <w:color w:val="000000" w:themeColor="text1"/>
          <w:sz w:val="22"/>
          <w:szCs w:val="22"/>
        </w:rPr>
      </w:pPr>
      <w:r w:rsidRPr="00725A64">
        <w:rPr>
          <w:rFonts w:ascii="Arial" w:hAnsi="Arial" w:cs="Arial"/>
          <w:color w:val="000000" w:themeColor="text1"/>
          <w:sz w:val="22"/>
          <w:szCs w:val="22"/>
        </w:rPr>
        <w:t>Bloom, B S (</w:t>
      </w:r>
      <w:proofErr w:type="spellStart"/>
      <w:r w:rsidRPr="00725A64">
        <w:rPr>
          <w:rFonts w:ascii="Arial" w:hAnsi="Arial" w:cs="Arial"/>
          <w:color w:val="000000" w:themeColor="text1"/>
          <w:sz w:val="22"/>
          <w:szCs w:val="22"/>
        </w:rPr>
        <w:t>ed</w:t>
      </w:r>
      <w:proofErr w:type="spellEnd"/>
      <w:r w:rsidRPr="00725A64">
        <w:rPr>
          <w:rFonts w:ascii="Arial" w:hAnsi="Arial" w:cs="Arial"/>
          <w:color w:val="000000" w:themeColor="text1"/>
          <w:sz w:val="22"/>
          <w:szCs w:val="22"/>
        </w:rPr>
        <w:t xml:space="preserve"> ) (1956) </w:t>
      </w:r>
      <w:r w:rsidRPr="00725A64">
        <w:rPr>
          <w:rFonts w:ascii="Arial" w:hAnsi="Arial" w:cs="Arial"/>
          <w:i/>
          <w:iCs/>
          <w:color w:val="000000" w:themeColor="text1"/>
          <w:sz w:val="22"/>
          <w:szCs w:val="22"/>
        </w:rPr>
        <w:t xml:space="preserve">Taxonomy of Educational Objectives: the </w:t>
      </w:r>
      <w:proofErr w:type="spellStart"/>
      <w:r w:rsidRPr="00725A64">
        <w:rPr>
          <w:rFonts w:ascii="Arial" w:hAnsi="Arial" w:cs="Arial"/>
          <w:i/>
          <w:iCs/>
          <w:color w:val="000000" w:themeColor="text1"/>
          <w:sz w:val="22"/>
          <w:szCs w:val="22"/>
        </w:rPr>
        <w:t>Classi</w:t>
      </w:r>
      <w:proofErr w:type="spellEnd"/>
      <w:r w:rsidRPr="00725A64">
        <w:rPr>
          <w:rFonts w:ascii="Arial" w:hAnsi="Arial" w:cs="Arial"/>
          <w:i/>
          <w:iCs/>
          <w:color w:val="000000" w:themeColor="text1"/>
          <w:sz w:val="22"/>
          <w:szCs w:val="22"/>
        </w:rPr>
        <w:t xml:space="preserve"> cation of Educational Goals</w:t>
      </w:r>
      <w:r w:rsidRPr="00725A64">
        <w:rPr>
          <w:rFonts w:ascii="Arial" w:hAnsi="Arial" w:cs="Arial"/>
          <w:color w:val="000000" w:themeColor="text1"/>
          <w:sz w:val="22"/>
          <w:szCs w:val="22"/>
        </w:rPr>
        <w:t xml:space="preserve"> New York: D McKay &amp; Co, Inc </w:t>
      </w:r>
    </w:p>
    <w:p w:rsidR="00F756B8" w:rsidRPr="00725A64" w:rsidRDefault="00F756B8" w:rsidP="00725A64">
      <w:pPr>
        <w:spacing w:line="360" w:lineRule="auto"/>
        <w:rPr>
          <w:rFonts w:ascii="Arial" w:hAnsi="Arial" w:cs="Arial"/>
          <w:color w:val="000000" w:themeColor="text1"/>
          <w:sz w:val="22"/>
          <w:szCs w:val="22"/>
          <w:shd w:val="clear" w:color="auto" w:fill="FFFFFF"/>
        </w:rPr>
      </w:pPr>
      <w:proofErr w:type="spellStart"/>
      <w:r w:rsidRPr="00725A64">
        <w:rPr>
          <w:rFonts w:ascii="Arial" w:hAnsi="Arial" w:cs="Arial"/>
          <w:color w:val="000000" w:themeColor="text1"/>
          <w:sz w:val="22"/>
          <w:szCs w:val="22"/>
          <w:shd w:val="clear" w:color="auto" w:fill="FFFFFF"/>
        </w:rPr>
        <w:t>Cadete</w:t>
      </w:r>
      <w:proofErr w:type="spellEnd"/>
      <w:r w:rsidRPr="00725A64">
        <w:rPr>
          <w:rFonts w:ascii="Arial" w:hAnsi="Arial" w:cs="Arial"/>
          <w:color w:val="000000" w:themeColor="text1"/>
          <w:sz w:val="22"/>
          <w:szCs w:val="22"/>
          <w:shd w:val="clear" w:color="auto" w:fill="FFFFFF"/>
        </w:rPr>
        <w:t>, L. (2017). Pilot Studies. [Blog]</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Students for Best Evidence</w:t>
      </w:r>
      <w:r w:rsidRPr="00725A64">
        <w:rPr>
          <w:rFonts w:ascii="Arial" w:hAnsi="Arial" w:cs="Arial"/>
          <w:color w:val="000000" w:themeColor="text1"/>
          <w:sz w:val="22"/>
          <w:szCs w:val="22"/>
          <w:shd w:val="clear" w:color="auto" w:fill="FFFFFF"/>
        </w:rPr>
        <w:t>. Available at: https://www.students4bestevidence.net/blog/2017/07/31/pilot-studies/ [Accessed 10 Feb. 2020].</w:t>
      </w:r>
    </w:p>
    <w:p w:rsidR="00F756B8" w:rsidRPr="00725A64" w:rsidRDefault="00F756B8" w:rsidP="00725A64">
      <w:pPr>
        <w:spacing w:line="360" w:lineRule="auto"/>
        <w:rPr>
          <w:rFonts w:ascii="Arial"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shd w:val="clear" w:color="auto" w:fill="FFFFFF"/>
        </w:rPr>
      </w:pPr>
      <w:proofErr w:type="spellStart"/>
      <w:r w:rsidRPr="00034E73">
        <w:rPr>
          <w:rFonts w:ascii="Arial" w:hAnsi="Arial" w:cs="Arial"/>
          <w:color w:val="000000" w:themeColor="text1"/>
          <w:sz w:val="22"/>
          <w:szCs w:val="22"/>
          <w:shd w:val="clear" w:color="auto" w:fill="FFFFFF"/>
        </w:rPr>
        <w:t>Cangelosi</w:t>
      </w:r>
      <w:proofErr w:type="spellEnd"/>
      <w:r w:rsidRPr="00034E73">
        <w:rPr>
          <w:rFonts w:ascii="Arial" w:hAnsi="Arial" w:cs="Arial"/>
          <w:color w:val="000000" w:themeColor="text1"/>
          <w:sz w:val="22"/>
          <w:szCs w:val="22"/>
          <w:shd w:val="clear" w:color="auto" w:fill="FFFFFF"/>
        </w:rPr>
        <w:t>, J. (2014).</w:t>
      </w:r>
      <w:r w:rsidRPr="00725A64">
        <w:rPr>
          <w:rFonts w:ascii="Arial" w:hAnsi="Arial" w:cs="Arial"/>
          <w:color w:val="000000" w:themeColor="text1"/>
          <w:sz w:val="22"/>
          <w:szCs w:val="22"/>
          <w:shd w:val="clear" w:color="auto" w:fill="FFFFFF"/>
        </w:rPr>
        <w:t> </w:t>
      </w:r>
      <w:r w:rsidRPr="00034E73">
        <w:rPr>
          <w:rFonts w:ascii="Arial" w:hAnsi="Arial" w:cs="Arial"/>
          <w:i/>
          <w:iCs/>
          <w:color w:val="000000" w:themeColor="text1"/>
          <w:sz w:val="22"/>
          <w:szCs w:val="22"/>
        </w:rPr>
        <w:t>Classroom management strategies</w:t>
      </w:r>
      <w:r w:rsidRPr="00034E73">
        <w:rPr>
          <w:rFonts w:ascii="Arial" w:hAnsi="Arial" w:cs="Arial"/>
          <w:color w:val="000000" w:themeColor="text1"/>
          <w:sz w:val="22"/>
          <w:szCs w:val="22"/>
          <w:shd w:val="clear" w:color="auto" w:fill="FFFFFF"/>
        </w:rPr>
        <w:t>. Hoboken, NJ: John Wiley &amp; Sons, Inc.</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393BA1">
        <w:rPr>
          <w:rFonts w:ascii="Arial" w:hAnsi="Arial" w:cs="Arial"/>
          <w:color w:val="000000" w:themeColor="text1"/>
          <w:sz w:val="22"/>
          <w:szCs w:val="22"/>
          <w:shd w:val="clear" w:color="auto" w:fill="FFFFFF"/>
        </w:rPr>
        <w:t xml:space="preserve">Catania, A. C., &amp; </w:t>
      </w:r>
      <w:proofErr w:type="spellStart"/>
      <w:r w:rsidRPr="00393BA1">
        <w:rPr>
          <w:rFonts w:ascii="Arial" w:hAnsi="Arial" w:cs="Arial"/>
          <w:color w:val="000000" w:themeColor="text1"/>
          <w:sz w:val="22"/>
          <w:szCs w:val="22"/>
          <w:shd w:val="clear" w:color="auto" w:fill="FFFFFF"/>
        </w:rPr>
        <w:t>Harnad</w:t>
      </w:r>
      <w:proofErr w:type="spellEnd"/>
      <w:r w:rsidRPr="00393BA1">
        <w:rPr>
          <w:rFonts w:ascii="Arial" w:hAnsi="Arial" w:cs="Arial"/>
          <w:color w:val="000000" w:themeColor="text1"/>
          <w:sz w:val="22"/>
          <w:szCs w:val="22"/>
          <w:shd w:val="clear" w:color="auto" w:fill="FFFFFF"/>
        </w:rPr>
        <w:t xml:space="preserve">, S. (Eds.). (1988). The selection of </w:t>
      </w:r>
      <w:proofErr w:type="spellStart"/>
      <w:r w:rsidRPr="00393BA1">
        <w:rPr>
          <w:rFonts w:ascii="Arial" w:hAnsi="Arial" w:cs="Arial"/>
          <w:color w:val="000000" w:themeColor="text1"/>
          <w:sz w:val="22"/>
          <w:szCs w:val="22"/>
          <w:shd w:val="clear" w:color="auto" w:fill="FFFFFF"/>
        </w:rPr>
        <w:t>behavior</w:t>
      </w:r>
      <w:proofErr w:type="spellEnd"/>
      <w:r w:rsidRPr="00393BA1">
        <w:rPr>
          <w:rFonts w:ascii="Arial" w:hAnsi="Arial" w:cs="Arial"/>
          <w:color w:val="000000" w:themeColor="text1"/>
          <w:sz w:val="22"/>
          <w:szCs w:val="22"/>
          <w:shd w:val="clear" w:color="auto" w:fill="FFFFFF"/>
        </w:rPr>
        <w:t xml:space="preserve">: The operant </w:t>
      </w:r>
      <w:proofErr w:type="spellStart"/>
      <w:r w:rsidRPr="00393BA1">
        <w:rPr>
          <w:rFonts w:ascii="Arial" w:hAnsi="Arial" w:cs="Arial"/>
          <w:color w:val="000000" w:themeColor="text1"/>
          <w:sz w:val="22"/>
          <w:szCs w:val="22"/>
          <w:shd w:val="clear" w:color="auto" w:fill="FFFFFF"/>
        </w:rPr>
        <w:t>behaviorism</w:t>
      </w:r>
      <w:proofErr w:type="spellEnd"/>
      <w:r w:rsidRPr="00393BA1">
        <w:rPr>
          <w:rFonts w:ascii="Arial" w:hAnsi="Arial" w:cs="Arial"/>
          <w:color w:val="000000" w:themeColor="text1"/>
          <w:sz w:val="22"/>
          <w:szCs w:val="22"/>
          <w:shd w:val="clear" w:color="auto" w:fill="FFFFFF"/>
        </w:rPr>
        <w:t xml:space="preserve"> of B. F. Skinner: Comments and consequences. Cambridge University Press.</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rPr>
      </w:pPr>
      <w:r w:rsidRPr="00725A64">
        <w:rPr>
          <w:rFonts w:ascii="Arial" w:hAnsi="Arial" w:cs="Arial"/>
          <w:color w:val="000000" w:themeColor="text1"/>
          <w:sz w:val="22"/>
          <w:szCs w:val="22"/>
          <w:shd w:val="clear" w:color="auto" w:fill="FFFFFF"/>
        </w:rPr>
        <w:t>Churcher, K., 2007. From the Bottom Up: Researching in the Classroom.</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Education Canada</w:t>
      </w:r>
      <w:r w:rsidRPr="00725A64">
        <w:rPr>
          <w:rFonts w:ascii="Arial" w:hAnsi="Arial" w:cs="Arial"/>
          <w:color w:val="000000" w:themeColor="text1"/>
          <w:sz w:val="22"/>
          <w:szCs w:val="22"/>
          <w:shd w:val="clear" w:color="auto" w:fill="FFFFFF"/>
        </w:rPr>
        <w:t>,</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47</w:t>
      </w:r>
      <w:r w:rsidRPr="00725A64">
        <w:rPr>
          <w:rFonts w:ascii="Arial" w:hAnsi="Arial" w:cs="Arial"/>
          <w:color w:val="000000" w:themeColor="text1"/>
          <w:sz w:val="22"/>
          <w:szCs w:val="22"/>
          <w:shd w:val="clear" w:color="auto" w:fill="FFFFFF"/>
        </w:rPr>
        <w:t>(3), pp.64-66.</w:t>
      </w:r>
    </w:p>
    <w:p w:rsidR="00F756B8" w:rsidRPr="009F22B5" w:rsidRDefault="00F756B8" w:rsidP="00725A64">
      <w:pPr>
        <w:spacing w:before="100" w:beforeAutospacing="1" w:after="100" w:afterAutospacing="1" w:line="360" w:lineRule="auto"/>
        <w:rPr>
          <w:rFonts w:ascii="Arial" w:hAnsi="Arial" w:cs="Arial"/>
          <w:color w:val="000000" w:themeColor="text1"/>
          <w:sz w:val="22"/>
          <w:szCs w:val="22"/>
        </w:rPr>
      </w:pPr>
      <w:r w:rsidRPr="009F22B5">
        <w:rPr>
          <w:rFonts w:ascii="Arial" w:hAnsi="Arial" w:cs="Arial"/>
          <w:color w:val="000000" w:themeColor="text1"/>
          <w:sz w:val="22"/>
          <w:szCs w:val="22"/>
        </w:rPr>
        <w:t xml:space="preserve">Coates, H (2007) A Model of Online and General Campus-Based Student Engagement </w:t>
      </w:r>
    </w:p>
    <w:p w:rsidR="00F756B8" w:rsidRPr="00725A64" w:rsidRDefault="00F756B8" w:rsidP="00725A64">
      <w:pPr>
        <w:spacing w:before="100" w:beforeAutospacing="1" w:after="100" w:afterAutospacing="1" w:line="360" w:lineRule="auto"/>
        <w:rPr>
          <w:rFonts w:ascii="Arial" w:hAnsi="Arial" w:cs="Arial"/>
          <w:color w:val="000000" w:themeColor="text1"/>
          <w:sz w:val="22"/>
          <w:szCs w:val="22"/>
        </w:rPr>
      </w:pPr>
      <w:r w:rsidRPr="00725A64">
        <w:rPr>
          <w:rFonts w:ascii="Arial" w:hAnsi="Arial" w:cs="Arial"/>
          <w:color w:val="000000" w:themeColor="text1"/>
          <w:sz w:val="22"/>
          <w:szCs w:val="22"/>
        </w:rPr>
        <w:t xml:space="preserve">Cohen, L., Manion, L., Morrison, K. &amp; </w:t>
      </w:r>
      <w:proofErr w:type="spellStart"/>
      <w:r w:rsidRPr="00725A64">
        <w:rPr>
          <w:rFonts w:ascii="Arial" w:hAnsi="Arial" w:cs="Arial"/>
          <w:color w:val="000000" w:themeColor="text1"/>
          <w:sz w:val="22"/>
          <w:szCs w:val="22"/>
        </w:rPr>
        <w:t>MyiLibrary</w:t>
      </w:r>
      <w:proofErr w:type="spellEnd"/>
      <w:r w:rsidRPr="00725A64">
        <w:rPr>
          <w:rFonts w:ascii="Arial" w:hAnsi="Arial" w:cs="Arial"/>
          <w:color w:val="000000" w:themeColor="text1"/>
          <w:sz w:val="22"/>
          <w:szCs w:val="22"/>
        </w:rPr>
        <w:t xml:space="preserve"> 2007, </w:t>
      </w:r>
      <w:r w:rsidRPr="00725A64">
        <w:rPr>
          <w:rFonts w:ascii="Arial" w:hAnsi="Arial" w:cs="Arial"/>
          <w:i/>
          <w:iCs/>
          <w:color w:val="000000" w:themeColor="text1"/>
          <w:sz w:val="22"/>
          <w:szCs w:val="22"/>
        </w:rPr>
        <w:t>Research methods in education, </w:t>
      </w:r>
      <w:r w:rsidRPr="00725A64">
        <w:rPr>
          <w:rFonts w:ascii="Arial" w:hAnsi="Arial" w:cs="Arial"/>
          <w:color w:val="000000" w:themeColor="text1"/>
          <w:sz w:val="22"/>
          <w:szCs w:val="22"/>
        </w:rPr>
        <w:t xml:space="preserve">6th </w:t>
      </w:r>
      <w:proofErr w:type="spellStart"/>
      <w:r w:rsidRPr="00725A64">
        <w:rPr>
          <w:rFonts w:ascii="Arial" w:hAnsi="Arial" w:cs="Arial"/>
          <w:color w:val="000000" w:themeColor="text1"/>
          <w:sz w:val="22"/>
          <w:szCs w:val="22"/>
        </w:rPr>
        <w:t>edn</w:t>
      </w:r>
      <w:proofErr w:type="spellEnd"/>
      <w:r w:rsidRPr="00725A64">
        <w:rPr>
          <w:rFonts w:ascii="Arial" w:hAnsi="Arial" w:cs="Arial"/>
          <w:color w:val="000000" w:themeColor="text1"/>
          <w:sz w:val="22"/>
          <w:szCs w:val="22"/>
        </w:rPr>
        <w:t xml:space="preserve">, Routledge, </w:t>
      </w:r>
      <w:proofErr w:type="spellStart"/>
      <w:r w:rsidRPr="00725A64">
        <w:rPr>
          <w:rFonts w:ascii="Arial" w:hAnsi="Arial" w:cs="Arial"/>
          <w:color w:val="000000" w:themeColor="text1"/>
          <w:sz w:val="22"/>
          <w:szCs w:val="22"/>
        </w:rPr>
        <w:t>London;New</w:t>
      </w:r>
      <w:proofErr w:type="spellEnd"/>
      <w:r w:rsidRPr="00725A64">
        <w:rPr>
          <w:rFonts w:ascii="Arial" w:hAnsi="Arial" w:cs="Arial"/>
          <w:color w:val="000000" w:themeColor="text1"/>
          <w:sz w:val="22"/>
          <w:szCs w:val="22"/>
        </w:rPr>
        <w:t xml:space="preserve"> York;.</w:t>
      </w: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725A64">
        <w:rPr>
          <w:rFonts w:ascii="Arial" w:hAnsi="Arial" w:cs="Arial"/>
          <w:color w:val="000000" w:themeColor="text1"/>
          <w:sz w:val="22"/>
          <w:szCs w:val="22"/>
          <w:shd w:val="clear" w:color="auto" w:fill="FFFFFF"/>
        </w:rPr>
        <w:t>Collis, J. and Hussey, R. (2014). </w:t>
      </w:r>
      <w:r w:rsidRPr="00725A64">
        <w:rPr>
          <w:rFonts w:ascii="Arial" w:hAnsi="Arial" w:cs="Arial"/>
          <w:i/>
          <w:iCs/>
          <w:color w:val="000000" w:themeColor="text1"/>
          <w:sz w:val="22"/>
          <w:szCs w:val="22"/>
        </w:rPr>
        <w:t>Business research</w:t>
      </w:r>
      <w:r w:rsidRPr="00725A64">
        <w:rPr>
          <w:rFonts w:ascii="Arial" w:hAnsi="Arial" w:cs="Arial"/>
          <w:color w:val="000000" w:themeColor="text1"/>
          <w:sz w:val="22"/>
          <w:szCs w:val="22"/>
          <w:shd w:val="clear" w:color="auto" w:fill="FFFFFF"/>
        </w:rPr>
        <w:t xml:space="preserve">. 4th ed. Basingstoke: </w:t>
      </w:r>
      <w:proofErr w:type="spellStart"/>
      <w:r w:rsidRPr="00725A64">
        <w:rPr>
          <w:rFonts w:ascii="Arial" w:hAnsi="Arial" w:cs="Arial"/>
          <w:color w:val="000000" w:themeColor="text1"/>
          <w:sz w:val="22"/>
          <w:szCs w:val="22"/>
          <w:shd w:val="clear" w:color="auto" w:fill="FFFFFF"/>
        </w:rPr>
        <w:t>Palsgrave</w:t>
      </w:r>
      <w:proofErr w:type="spellEnd"/>
      <w:r w:rsidRPr="00725A64">
        <w:rPr>
          <w:rFonts w:ascii="Arial" w:hAnsi="Arial" w:cs="Arial"/>
          <w:color w:val="000000" w:themeColor="text1"/>
          <w:sz w:val="22"/>
          <w:szCs w:val="22"/>
          <w:shd w:val="clear" w:color="auto" w:fill="FFFFFF"/>
        </w:rPr>
        <w:t xml:space="preserve"> Macmillan.</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rPr>
      </w:pPr>
      <w:r w:rsidRPr="00725A64">
        <w:rPr>
          <w:rFonts w:ascii="Arial" w:hAnsi="Arial" w:cs="Arial"/>
          <w:color w:val="000000" w:themeColor="text1"/>
          <w:sz w:val="22"/>
          <w:szCs w:val="22"/>
        </w:rPr>
        <w:t>Daly, M. (2003) Methodology, in R.L. Miller and J.D Brewer (</w:t>
      </w:r>
      <w:proofErr w:type="spellStart"/>
      <w:r w:rsidRPr="00725A64">
        <w:rPr>
          <w:rFonts w:ascii="Arial" w:hAnsi="Arial" w:cs="Arial"/>
          <w:color w:val="000000" w:themeColor="text1"/>
          <w:sz w:val="22"/>
          <w:szCs w:val="22"/>
        </w:rPr>
        <w:t>eds</w:t>
      </w:r>
      <w:proofErr w:type="spellEnd"/>
      <w:r w:rsidRPr="00725A64">
        <w:rPr>
          <w:rFonts w:ascii="Arial" w:hAnsi="Arial" w:cs="Arial"/>
          <w:color w:val="000000" w:themeColor="text1"/>
          <w:sz w:val="22"/>
          <w:szCs w:val="22"/>
        </w:rPr>
        <w:t xml:space="preserve">) </w:t>
      </w:r>
      <w:r w:rsidRPr="00725A64">
        <w:rPr>
          <w:rFonts w:ascii="Arial" w:hAnsi="Arial" w:cs="Arial"/>
          <w:i/>
          <w:color w:val="000000" w:themeColor="text1"/>
          <w:sz w:val="22"/>
          <w:szCs w:val="22"/>
        </w:rPr>
        <w:t>The A-Z of Social Research.</w:t>
      </w:r>
      <w:r w:rsidRPr="00725A64">
        <w:rPr>
          <w:rFonts w:ascii="Arial" w:hAnsi="Arial" w:cs="Arial"/>
          <w:color w:val="000000" w:themeColor="text1"/>
          <w:sz w:val="22"/>
          <w:szCs w:val="22"/>
        </w:rPr>
        <w:t xml:space="preserve"> London: Sage. </w:t>
      </w:r>
    </w:p>
    <w:p w:rsidR="00F756B8" w:rsidRPr="00725A64" w:rsidRDefault="00F756B8" w:rsidP="00725A64">
      <w:pPr>
        <w:spacing w:line="360" w:lineRule="auto"/>
        <w:rPr>
          <w:rFonts w:ascii="Arial"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rPr>
      </w:pPr>
      <w:r w:rsidRPr="00725A64">
        <w:rPr>
          <w:rFonts w:ascii="Arial" w:hAnsi="Arial" w:cs="Arial"/>
          <w:color w:val="000000" w:themeColor="text1"/>
          <w:sz w:val="22"/>
          <w:szCs w:val="22"/>
          <w:shd w:val="clear" w:color="auto" w:fill="FFFFFF"/>
        </w:rPr>
        <w:t>Dudley, P. ed., 2014.</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Lesson study: Professional learning for our time</w:t>
      </w:r>
      <w:r w:rsidRPr="00725A64">
        <w:rPr>
          <w:rFonts w:ascii="Arial" w:hAnsi="Arial" w:cs="Arial"/>
          <w:color w:val="000000" w:themeColor="text1"/>
          <w:sz w:val="22"/>
          <w:szCs w:val="22"/>
          <w:shd w:val="clear" w:color="auto" w:fill="FFFFFF"/>
        </w:rPr>
        <w:t>. Routledge.</w:t>
      </w:r>
    </w:p>
    <w:p w:rsidR="00F756B8" w:rsidRPr="00AC5F98" w:rsidRDefault="00F756B8" w:rsidP="00725A64">
      <w:pPr>
        <w:spacing w:line="360" w:lineRule="auto"/>
        <w:rPr>
          <w:rFonts w:ascii="Arial" w:hAnsi="Arial" w:cs="Arial"/>
          <w:color w:val="000000" w:themeColor="text1"/>
          <w:sz w:val="22"/>
          <w:szCs w:val="22"/>
        </w:rPr>
      </w:pPr>
      <w:r w:rsidRPr="00AC5F98">
        <w:rPr>
          <w:rFonts w:ascii="Arial" w:hAnsi="Arial" w:cs="Arial"/>
          <w:color w:val="000000" w:themeColor="text1"/>
          <w:sz w:val="22"/>
          <w:szCs w:val="22"/>
          <w:shd w:val="clear" w:color="auto" w:fill="FFFFFF"/>
        </w:rPr>
        <w:lastRenderedPageBreak/>
        <w:t>Dudley, P., 2014. Lesson Study: a handbook.</w:t>
      </w:r>
    </w:p>
    <w:p w:rsidR="00F756B8" w:rsidRPr="00725A64" w:rsidRDefault="00F756B8" w:rsidP="00725A64">
      <w:pPr>
        <w:pStyle w:val="NormalWeb"/>
        <w:spacing w:line="360" w:lineRule="auto"/>
        <w:rPr>
          <w:rFonts w:ascii="Arial" w:hAnsi="Arial" w:cs="Arial"/>
          <w:color w:val="000000" w:themeColor="text1"/>
          <w:sz w:val="22"/>
          <w:szCs w:val="22"/>
        </w:rPr>
      </w:pPr>
      <w:r w:rsidRPr="00725A64">
        <w:rPr>
          <w:rFonts w:ascii="Arial" w:hAnsi="Arial" w:cs="Arial"/>
          <w:color w:val="000000" w:themeColor="text1"/>
          <w:sz w:val="22"/>
          <w:szCs w:val="22"/>
        </w:rPr>
        <w:t xml:space="preserve">Fredricks, J A , Blumenfeld, P C and Paris, A H (2004) School Engagement: Potential of the Concept, State of the Evidence </w:t>
      </w:r>
      <w:r w:rsidRPr="00725A64">
        <w:rPr>
          <w:rFonts w:ascii="Arial" w:hAnsi="Arial" w:cs="Arial"/>
          <w:i/>
          <w:iCs/>
          <w:color w:val="000000" w:themeColor="text1"/>
          <w:sz w:val="22"/>
          <w:szCs w:val="22"/>
        </w:rPr>
        <w:t>Review of Educational Research</w:t>
      </w:r>
      <w:r w:rsidRPr="00725A64">
        <w:rPr>
          <w:rFonts w:ascii="Arial" w:hAnsi="Arial" w:cs="Arial"/>
          <w:color w:val="000000" w:themeColor="text1"/>
          <w:sz w:val="22"/>
          <w:szCs w:val="22"/>
        </w:rPr>
        <w:t xml:space="preserve"> 74 (1), pp 59–109 </w:t>
      </w: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725A64">
        <w:rPr>
          <w:rFonts w:ascii="Arial" w:hAnsi="Arial" w:cs="Arial"/>
          <w:color w:val="000000" w:themeColor="text1"/>
          <w:sz w:val="22"/>
          <w:szCs w:val="22"/>
          <w:shd w:val="clear" w:color="auto" w:fill="FFFFFF"/>
        </w:rPr>
        <w:t xml:space="preserve">Gibbs, G. (1988). Learning by Doing: A guide to teaching and learning methods. Further Education Unit. Oxford Polytechnic: Oxford. </w:t>
      </w:r>
    </w:p>
    <w:p w:rsidR="00F756B8" w:rsidRPr="00725A64" w:rsidRDefault="00F756B8" w:rsidP="00725A64">
      <w:pPr>
        <w:spacing w:before="100" w:beforeAutospacing="1" w:after="100" w:afterAutospacing="1" w:line="360" w:lineRule="auto"/>
        <w:rPr>
          <w:rFonts w:ascii="Arial" w:hAnsi="Arial" w:cs="Arial"/>
          <w:color w:val="000000" w:themeColor="text1"/>
          <w:sz w:val="22"/>
          <w:szCs w:val="22"/>
        </w:rPr>
      </w:pPr>
      <w:proofErr w:type="spellStart"/>
      <w:r w:rsidRPr="00725A64">
        <w:rPr>
          <w:rFonts w:ascii="Arial" w:hAnsi="Arial" w:cs="Arial"/>
          <w:color w:val="000000" w:themeColor="text1"/>
          <w:sz w:val="22"/>
          <w:szCs w:val="22"/>
        </w:rPr>
        <w:t>Griffee</w:t>
      </w:r>
      <w:proofErr w:type="spellEnd"/>
      <w:r w:rsidRPr="00725A64">
        <w:rPr>
          <w:rFonts w:ascii="Arial" w:hAnsi="Arial" w:cs="Arial"/>
          <w:color w:val="000000" w:themeColor="text1"/>
          <w:sz w:val="22"/>
          <w:szCs w:val="22"/>
        </w:rPr>
        <w:t>, D.T. 2005, "Research Tips: Classroom Observation Data Collection, Part II",</w:t>
      </w:r>
      <w:r w:rsidRPr="00725A64">
        <w:rPr>
          <w:rStyle w:val="apple-converted-space"/>
          <w:rFonts w:ascii="Arial" w:hAnsi="Arial" w:cs="Arial"/>
          <w:color w:val="000000" w:themeColor="text1"/>
          <w:sz w:val="22"/>
          <w:szCs w:val="22"/>
        </w:rPr>
        <w:t> </w:t>
      </w:r>
      <w:r w:rsidRPr="00725A64">
        <w:rPr>
          <w:rFonts w:ascii="Arial" w:hAnsi="Arial" w:cs="Arial"/>
          <w:i/>
          <w:iCs/>
          <w:color w:val="000000" w:themeColor="text1"/>
          <w:sz w:val="22"/>
          <w:szCs w:val="22"/>
        </w:rPr>
        <w:t>Journal of Developmental Education,</w:t>
      </w:r>
      <w:r w:rsidRPr="00725A64">
        <w:rPr>
          <w:rStyle w:val="apple-converted-space"/>
          <w:rFonts w:ascii="Arial" w:hAnsi="Arial" w:cs="Arial"/>
          <w:i/>
          <w:iCs/>
          <w:color w:val="000000" w:themeColor="text1"/>
          <w:sz w:val="22"/>
          <w:szCs w:val="22"/>
        </w:rPr>
        <w:t> </w:t>
      </w:r>
      <w:r w:rsidRPr="00725A64">
        <w:rPr>
          <w:rFonts w:ascii="Arial" w:hAnsi="Arial" w:cs="Arial"/>
          <w:color w:val="000000" w:themeColor="text1"/>
          <w:sz w:val="22"/>
          <w:szCs w:val="22"/>
        </w:rPr>
        <w:t>vol. 29, no. 2, pp. 36-39.</w:t>
      </w:r>
    </w:p>
    <w:p w:rsidR="00F756B8" w:rsidRPr="00F057FE" w:rsidRDefault="00F756B8" w:rsidP="00725A64">
      <w:pPr>
        <w:spacing w:line="360" w:lineRule="auto"/>
        <w:rPr>
          <w:rFonts w:ascii="Arial" w:hAnsi="Arial" w:cs="Arial"/>
          <w:color w:val="000000" w:themeColor="text1"/>
          <w:sz w:val="22"/>
          <w:szCs w:val="22"/>
        </w:rPr>
      </w:pPr>
      <w:proofErr w:type="spellStart"/>
      <w:r w:rsidRPr="00F057FE">
        <w:rPr>
          <w:rFonts w:ascii="Arial" w:hAnsi="Arial" w:cs="Arial"/>
          <w:color w:val="000000" w:themeColor="text1"/>
          <w:sz w:val="22"/>
          <w:szCs w:val="22"/>
          <w:shd w:val="clear" w:color="auto" w:fill="FFFFFF"/>
        </w:rPr>
        <w:t>Grubaugh</w:t>
      </w:r>
      <w:proofErr w:type="spellEnd"/>
      <w:r w:rsidRPr="00F057FE">
        <w:rPr>
          <w:rFonts w:ascii="Arial" w:hAnsi="Arial" w:cs="Arial"/>
          <w:color w:val="000000" w:themeColor="text1"/>
          <w:sz w:val="22"/>
          <w:szCs w:val="22"/>
          <w:shd w:val="clear" w:color="auto" w:fill="FFFFFF"/>
        </w:rPr>
        <w:t>, S., 1989. Non-verbal language techniques for better classroom management and discipline.</w:t>
      </w:r>
      <w:r w:rsidRPr="00725A64">
        <w:rPr>
          <w:rFonts w:ascii="Arial" w:hAnsi="Arial" w:cs="Arial"/>
          <w:color w:val="000000" w:themeColor="text1"/>
          <w:sz w:val="22"/>
          <w:szCs w:val="22"/>
          <w:shd w:val="clear" w:color="auto" w:fill="FFFFFF"/>
        </w:rPr>
        <w:t> </w:t>
      </w:r>
      <w:r w:rsidRPr="00F057FE">
        <w:rPr>
          <w:rFonts w:ascii="Arial" w:hAnsi="Arial" w:cs="Arial"/>
          <w:i/>
          <w:iCs/>
          <w:color w:val="000000" w:themeColor="text1"/>
          <w:sz w:val="22"/>
          <w:szCs w:val="22"/>
        </w:rPr>
        <w:t>The High School Journal</w:t>
      </w:r>
      <w:r w:rsidRPr="00F057FE">
        <w:rPr>
          <w:rFonts w:ascii="Arial" w:hAnsi="Arial" w:cs="Arial"/>
          <w:color w:val="000000" w:themeColor="text1"/>
          <w:sz w:val="22"/>
          <w:szCs w:val="22"/>
          <w:shd w:val="clear" w:color="auto" w:fill="FFFFFF"/>
        </w:rPr>
        <w:t>,</w:t>
      </w:r>
      <w:r w:rsidRPr="00725A64">
        <w:rPr>
          <w:rFonts w:ascii="Arial" w:hAnsi="Arial" w:cs="Arial"/>
          <w:color w:val="000000" w:themeColor="text1"/>
          <w:sz w:val="22"/>
          <w:szCs w:val="22"/>
          <w:shd w:val="clear" w:color="auto" w:fill="FFFFFF"/>
        </w:rPr>
        <w:t> </w:t>
      </w:r>
      <w:r w:rsidRPr="00F057FE">
        <w:rPr>
          <w:rFonts w:ascii="Arial" w:hAnsi="Arial" w:cs="Arial"/>
          <w:i/>
          <w:iCs/>
          <w:color w:val="000000" w:themeColor="text1"/>
          <w:sz w:val="22"/>
          <w:szCs w:val="22"/>
        </w:rPr>
        <w:t>73</w:t>
      </w:r>
      <w:r w:rsidRPr="00F057FE">
        <w:rPr>
          <w:rFonts w:ascii="Arial" w:hAnsi="Arial" w:cs="Arial"/>
          <w:color w:val="000000" w:themeColor="text1"/>
          <w:sz w:val="22"/>
          <w:szCs w:val="22"/>
          <w:shd w:val="clear" w:color="auto" w:fill="FFFFFF"/>
        </w:rPr>
        <w:t>(1), pp.34-40.</w:t>
      </w:r>
    </w:p>
    <w:p w:rsidR="00F756B8" w:rsidRPr="009F22B5" w:rsidRDefault="00F756B8" w:rsidP="00725A64">
      <w:pPr>
        <w:spacing w:before="100" w:beforeAutospacing="1" w:after="100" w:afterAutospacing="1" w:line="360" w:lineRule="auto"/>
        <w:rPr>
          <w:rFonts w:ascii="Arial" w:hAnsi="Arial" w:cs="Arial"/>
          <w:color w:val="000000" w:themeColor="text1"/>
          <w:sz w:val="22"/>
          <w:szCs w:val="22"/>
        </w:rPr>
      </w:pPr>
      <w:r w:rsidRPr="009F22B5">
        <w:rPr>
          <w:rFonts w:ascii="Arial" w:hAnsi="Arial" w:cs="Arial"/>
          <w:color w:val="000000" w:themeColor="text1"/>
          <w:sz w:val="22"/>
          <w:szCs w:val="22"/>
        </w:rPr>
        <w:t xml:space="preserve">HEFCE (2008) </w:t>
      </w:r>
      <w:r w:rsidRPr="009F22B5">
        <w:rPr>
          <w:rFonts w:ascii="Arial" w:hAnsi="Arial" w:cs="Arial"/>
          <w:i/>
          <w:iCs/>
          <w:color w:val="000000" w:themeColor="text1"/>
          <w:sz w:val="22"/>
          <w:szCs w:val="22"/>
        </w:rPr>
        <w:t>Tender for a Study into Student Engagement</w:t>
      </w:r>
      <w:r w:rsidRPr="009F22B5">
        <w:rPr>
          <w:rFonts w:ascii="Arial" w:hAnsi="Arial" w:cs="Arial"/>
          <w:color w:val="000000" w:themeColor="text1"/>
          <w:sz w:val="22"/>
          <w:szCs w:val="22"/>
        </w:rPr>
        <w:t xml:space="preserve"> Bristol: Higher Education Funding Council for England </w:t>
      </w:r>
    </w:p>
    <w:p w:rsidR="00F756B8" w:rsidRPr="00C57732" w:rsidRDefault="00F756B8" w:rsidP="00725A64">
      <w:pPr>
        <w:spacing w:line="360" w:lineRule="auto"/>
        <w:rPr>
          <w:rFonts w:ascii="Arial" w:hAnsi="Arial" w:cs="Arial"/>
          <w:color w:val="000000" w:themeColor="text1"/>
          <w:sz w:val="22"/>
          <w:szCs w:val="22"/>
        </w:rPr>
      </w:pPr>
      <w:r w:rsidRPr="00C57732">
        <w:rPr>
          <w:rFonts w:ascii="Arial" w:hAnsi="Arial" w:cs="Arial"/>
          <w:color w:val="000000" w:themeColor="text1"/>
          <w:sz w:val="22"/>
          <w:szCs w:val="22"/>
          <w:shd w:val="clear" w:color="auto" w:fill="FFFFFF"/>
        </w:rPr>
        <w:t>Hess, D.E. and McAvoy, P., 2014.</w:t>
      </w:r>
      <w:r w:rsidRPr="00725A64">
        <w:rPr>
          <w:rFonts w:ascii="Arial" w:hAnsi="Arial" w:cs="Arial"/>
          <w:color w:val="000000" w:themeColor="text1"/>
          <w:sz w:val="22"/>
          <w:szCs w:val="22"/>
          <w:shd w:val="clear" w:color="auto" w:fill="FFFFFF"/>
        </w:rPr>
        <w:t> </w:t>
      </w:r>
      <w:r w:rsidRPr="00C57732">
        <w:rPr>
          <w:rFonts w:ascii="Arial" w:hAnsi="Arial" w:cs="Arial"/>
          <w:i/>
          <w:iCs/>
          <w:color w:val="000000" w:themeColor="text1"/>
          <w:sz w:val="22"/>
          <w:szCs w:val="22"/>
        </w:rPr>
        <w:t>The political classroom: Evidence and ethics in democratic education</w:t>
      </w:r>
      <w:r w:rsidRPr="00C57732">
        <w:rPr>
          <w:rFonts w:ascii="Arial" w:hAnsi="Arial" w:cs="Arial"/>
          <w:color w:val="000000" w:themeColor="text1"/>
          <w:sz w:val="22"/>
          <w:szCs w:val="22"/>
          <w:shd w:val="clear" w:color="auto" w:fill="FFFFFF"/>
        </w:rPr>
        <w:t>. Routledge.</w:t>
      </w:r>
    </w:p>
    <w:p w:rsidR="00F756B8" w:rsidRPr="00725A64" w:rsidRDefault="00F756B8" w:rsidP="00725A64">
      <w:pPr>
        <w:pStyle w:val="NormalWeb"/>
        <w:spacing w:line="360" w:lineRule="auto"/>
        <w:rPr>
          <w:rFonts w:ascii="Arial" w:hAnsi="Arial" w:cs="Arial"/>
          <w:color w:val="000000" w:themeColor="text1"/>
          <w:sz w:val="22"/>
          <w:szCs w:val="22"/>
        </w:rPr>
      </w:pPr>
      <w:r w:rsidRPr="00725A64">
        <w:rPr>
          <w:rFonts w:ascii="Arial" w:hAnsi="Arial" w:cs="Arial"/>
          <w:color w:val="000000" w:themeColor="text1"/>
          <w:sz w:val="22"/>
          <w:szCs w:val="22"/>
        </w:rPr>
        <w:t xml:space="preserve">Hu, S and </w:t>
      </w:r>
      <w:proofErr w:type="spellStart"/>
      <w:r w:rsidRPr="00725A64">
        <w:rPr>
          <w:rFonts w:ascii="Arial" w:hAnsi="Arial" w:cs="Arial"/>
          <w:color w:val="000000" w:themeColor="text1"/>
          <w:sz w:val="22"/>
          <w:szCs w:val="22"/>
        </w:rPr>
        <w:t>Kuh</w:t>
      </w:r>
      <w:proofErr w:type="spellEnd"/>
      <w:r w:rsidRPr="00725A64">
        <w:rPr>
          <w:rFonts w:ascii="Arial" w:hAnsi="Arial" w:cs="Arial"/>
          <w:color w:val="000000" w:themeColor="text1"/>
          <w:sz w:val="22"/>
          <w:szCs w:val="22"/>
        </w:rPr>
        <w:t xml:space="preserve">, G D (2001) Being (Dis)Engaged in Educationally Purposeful Activities: The In </w:t>
      </w:r>
      <w:proofErr w:type="spellStart"/>
      <w:r w:rsidRPr="00725A64">
        <w:rPr>
          <w:rFonts w:ascii="Arial" w:hAnsi="Arial" w:cs="Arial"/>
          <w:color w:val="000000" w:themeColor="text1"/>
          <w:sz w:val="22"/>
          <w:szCs w:val="22"/>
        </w:rPr>
        <w:t>uences</w:t>
      </w:r>
      <w:proofErr w:type="spellEnd"/>
      <w:r w:rsidRPr="00725A64">
        <w:rPr>
          <w:rFonts w:ascii="Arial" w:hAnsi="Arial" w:cs="Arial"/>
          <w:color w:val="000000" w:themeColor="text1"/>
          <w:sz w:val="22"/>
          <w:szCs w:val="22"/>
        </w:rPr>
        <w:t xml:space="preserve"> of Student and Institutional Characteristics </w:t>
      </w:r>
      <w:r w:rsidRPr="00725A64">
        <w:rPr>
          <w:rFonts w:ascii="Arial" w:hAnsi="Arial" w:cs="Arial"/>
          <w:i/>
          <w:iCs/>
          <w:color w:val="000000" w:themeColor="text1"/>
          <w:sz w:val="22"/>
          <w:szCs w:val="22"/>
        </w:rPr>
        <w:t xml:space="preserve">Paper presented at the American Educational Research Association Annual Conference. </w:t>
      </w:r>
      <w:r w:rsidRPr="00725A64">
        <w:rPr>
          <w:rFonts w:ascii="Arial" w:hAnsi="Arial" w:cs="Arial"/>
          <w:color w:val="000000" w:themeColor="text1"/>
          <w:sz w:val="22"/>
          <w:szCs w:val="22"/>
        </w:rPr>
        <w:t xml:space="preserve">Seattle, WA, 10–14 April </w:t>
      </w:r>
    </w:p>
    <w:p w:rsidR="00F756B8" w:rsidRPr="00725A64" w:rsidRDefault="00F756B8" w:rsidP="00725A64">
      <w:pPr>
        <w:spacing w:line="360" w:lineRule="auto"/>
        <w:rPr>
          <w:rFonts w:ascii="Arial" w:hAnsi="Arial" w:cs="Arial"/>
          <w:color w:val="000000" w:themeColor="text1"/>
          <w:sz w:val="22"/>
          <w:szCs w:val="22"/>
          <w:shd w:val="clear" w:color="auto" w:fill="FFFFFF"/>
        </w:rPr>
      </w:pPr>
      <w:proofErr w:type="spellStart"/>
      <w:r w:rsidRPr="00BD7A43">
        <w:rPr>
          <w:rFonts w:ascii="Arial" w:hAnsi="Arial" w:cs="Arial"/>
          <w:color w:val="000000" w:themeColor="text1"/>
          <w:sz w:val="22"/>
          <w:szCs w:val="22"/>
          <w:shd w:val="clear" w:color="auto" w:fill="FFFFFF"/>
        </w:rPr>
        <w:t>Istas</w:t>
      </w:r>
      <w:proofErr w:type="spellEnd"/>
      <w:r w:rsidRPr="00BD7A43">
        <w:rPr>
          <w:rFonts w:ascii="Arial" w:hAnsi="Arial" w:cs="Arial"/>
          <w:color w:val="000000" w:themeColor="text1"/>
          <w:sz w:val="22"/>
          <w:szCs w:val="22"/>
          <w:shd w:val="clear" w:color="auto" w:fill="FFFFFF"/>
        </w:rPr>
        <w:t>, B. (2018). Nonverbal communication in the classroom. [Blog]</w:t>
      </w:r>
      <w:r w:rsidRPr="00725A64">
        <w:rPr>
          <w:rFonts w:ascii="Arial" w:hAnsi="Arial" w:cs="Arial"/>
          <w:color w:val="000000" w:themeColor="text1"/>
          <w:sz w:val="22"/>
          <w:szCs w:val="22"/>
          <w:shd w:val="clear" w:color="auto" w:fill="FFFFFF"/>
        </w:rPr>
        <w:t> </w:t>
      </w:r>
      <w:r w:rsidRPr="00BD7A43">
        <w:rPr>
          <w:rFonts w:ascii="Arial" w:hAnsi="Arial" w:cs="Arial"/>
          <w:i/>
          <w:iCs/>
          <w:color w:val="000000" w:themeColor="text1"/>
          <w:sz w:val="22"/>
          <w:szCs w:val="22"/>
        </w:rPr>
        <w:t>Learners Edge</w:t>
      </w:r>
      <w:r w:rsidRPr="00BD7A43">
        <w:rPr>
          <w:rFonts w:ascii="Arial" w:hAnsi="Arial" w:cs="Arial"/>
          <w:color w:val="000000" w:themeColor="text1"/>
          <w:sz w:val="22"/>
          <w:szCs w:val="22"/>
          <w:shd w:val="clear" w:color="auto" w:fill="FFFFFF"/>
        </w:rPr>
        <w:t>. Available at: https://www.learnersedge.com/blog/nonverbal-communication-in-the-classroom [Accessed 11 Feb. 2020].</w:t>
      </w:r>
    </w:p>
    <w:p w:rsidR="00F756B8" w:rsidRPr="00BD7A43" w:rsidRDefault="00F756B8" w:rsidP="00725A64">
      <w:pPr>
        <w:spacing w:line="360" w:lineRule="auto"/>
        <w:rPr>
          <w:rFonts w:ascii="Arial" w:hAnsi="Arial" w:cs="Arial"/>
          <w:color w:val="000000" w:themeColor="text1"/>
          <w:sz w:val="22"/>
          <w:szCs w:val="22"/>
        </w:rPr>
      </w:pPr>
    </w:p>
    <w:p w:rsidR="00F756B8" w:rsidRPr="00480BFE" w:rsidRDefault="00F756B8" w:rsidP="00725A64">
      <w:pPr>
        <w:spacing w:line="360" w:lineRule="auto"/>
        <w:rPr>
          <w:rFonts w:ascii="Arial" w:hAnsi="Arial" w:cs="Arial"/>
          <w:color w:val="000000" w:themeColor="text1"/>
          <w:sz w:val="22"/>
          <w:szCs w:val="22"/>
        </w:rPr>
      </w:pPr>
      <w:r w:rsidRPr="00480BFE">
        <w:rPr>
          <w:rFonts w:ascii="Arial" w:hAnsi="Arial" w:cs="Arial"/>
          <w:color w:val="000000" w:themeColor="text1"/>
          <w:sz w:val="22"/>
          <w:szCs w:val="22"/>
          <w:shd w:val="clear" w:color="auto" w:fill="FFFFFF"/>
        </w:rPr>
        <w:t>Johnson, M.B., 1999. Communication in the Classroom.</w:t>
      </w:r>
    </w:p>
    <w:p w:rsidR="00F756B8" w:rsidRPr="00725A64" w:rsidRDefault="00F756B8" w:rsidP="00725A64">
      <w:pPr>
        <w:pStyle w:val="NormalWeb"/>
        <w:spacing w:line="360" w:lineRule="auto"/>
        <w:rPr>
          <w:rFonts w:ascii="Arial" w:hAnsi="Arial" w:cs="Arial"/>
          <w:color w:val="000000" w:themeColor="text1"/>
          <w:sz w:val="22"/>
          <w:szCs w:val="22"/>
        </w:rPr>
      </w:pPr>
      <w:r w:rsidRPr="00725A64">
        <w:rPr>
          <w:rFonts w:ascii="Arial" w:hAnsi="Arial" w:cs="Arial"/>
          <w:color w:val="000000" w:themeColor="text1"/>
          <w:sz w:val="22"/>
          <w:szCs w:val="22"/>
        </w:rPr>
        <w:t xml:space="preserve">Krause, K and Coates, H (2008) Students’ Engagement in First-Year University </w:t>
      </w:r>
      <w:r w:rsidRPr="00725A64">
        <w:rPr>
          <w:rFonts w:ascii="Arial" w:hAnsi="Arial" w:cs="Arial"/>
          <w:i/>
          <w:iCs/>
          <w:color w:val="000000" w:themeColor="text1"/>
          <w:sz w:val="22"/>
          <w:szCs w:val="22"/>
        </w:rPr>
        <w:t>Assessment and Evaluation in Higher Education</w:t>
      </w:r>
      <w:r w:rsidRPr="00725A64">
        <w:rPr>
          <w:rFonts w:ascii="Arial" w:hAnsi="Arial" w:cs="Arial"/>
          <w:color w:val="000000" w:themeColor="text1"/>
          <w:sz w:val="22"/>
          <w:szCs w:val="22"/>
        </w:rPr>
        <w:t xml:space="preserve"> 33 (5), pp 493–505 </w:t>
      </w:r>
    </w:p>
    <w:p w:rsidR="00F756B8" w:rsidRPr="009F22B5" w:rsidRDefault="00F756B8" w:rsidP="00725A64">
      <w:pPr>
        <w:spacing w:before="100" w:beforeAutospacing="1" w:after="100" w:afterAutospacing="1" w:line="360" w:lineRule="auto"/>
        <w:rPr>
          <w:rFonts w:ascii="Arial" w:hAnsi="Arial" w:cs="Arial"/>
          <w:color w:val="000000" w:themeColor="text1"/>
          <w:sz w:val="22"/>
          <w:szCs w:val="22"/>
        </w:rPr>
      </w:pPr>
      <w:proofErr w:type="spellStart"/>
      <w:r w:rsidRPr="009F22B5">
        <w:rPr>
          <w:rFonts w:ascii="Arial" w:hAnsi="Arial" w:cs="Arial"/>
          <w:color w:val="000000" w:themeColor="text1"/>
          <w:sz w:val="22"/>
          <w:szCs w:val="22"/>
        </w:rPr>
        <w:t>Kuh</w:t>
      </w:r>
      <w:proofErr w:type="spellEnd"/>
      <w:r w:rsidRPr="009F22B5">
        <w:rPr>
          <w:rFonts w:ascii="Arial" w:hAnsi="Arial" w:cs="Arial"/>
          <w:color w:val="000000" w:themeColor="text1"/>
          <w:sz w:val="22"/>
          <w:szCs w:val="22"/>
        </w:rPr>
        <w:t>, G D (2007) How to</w:t>
      </w:r>
      <w:r w:rsidRPr="00725A64">
        <w:rPr>
          <w:rFonts w:ascii="Arial" w:hAnsi="Arial" w:cs="Arial"/>
          <w:color w:val="000000" w:themeColor="text1"/>
          <w:sz w:val="22"/>
          <w:szCs w:val="22"/>
        </w:rPr>
        <w:t xml:space="preserve"> </w:t>
      </w:r>
      <w:r w:rsidRPr="009F22B5">
        <w:rPr>
          <w:rFonts w:ascii="Arial" w:hAnsi="Arial" w:cs="Arial"/>
          <w:color w:val="000000" w:themeColor="text1"/>
          <w:sz w:val="22"/>
          <w:szCs w:val="22"/>
        </w:rPr>
        <w:t xml:space="preserve">Help Students Achieve </w:t>
      </w:r>
      <w:r w:rsidRPr="009F22B5">
        <w:rPr>
          <w:rFonts w:ascii="Arial" w:hAnsi="Arial" w:cs="Arial"/>
          <w:i/>
          <w:iCs/>
          <w:color w:val="000000" w:themeColor="text1"/>
          <w:sz w:val="22"/>
          <w:szCs w:val="22"/>
        </w:rPr>
        <w:t>Chronicle of Higher Education</w:t>
      </w:r>
      <w:r w:rsidRPr="009F22B5">
        <w:rPr>
          <w:rFonts w:ascii="Arial" w:hAnsi="Arial" w:cs="Arial"/>
          <w:color w:val="000000" w:themeColor="text1"/>
          <w:sz w:val="22"/>
          <w:szCs w:val="22"/>
        </w:rPr>
        <w:t xml:space="preserve"> 53 (41), pp B12–13 </w:t>
      </w: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A66D44">
        <w:rPr>
          <w:rFonts w:ascii="Arial" w:hAnsi="Arial" w:cs="Arial"/>
          <w:color w:val="000000" w:themeColor="text1"/>
          <w:sz w:val="22"/>
          <w:szCs w:val="22"/>
          <w:shd w:val="clear" w:color="auto" w:fill="FFFFFF"/>
        </w:rPr>
        <w:t>Mansell, I., Bennett, G., Northway, R., Mead, D. and Moseley, L., 2004. The learning curve: the advantages and disadvantages in the use of focus groups as a method of data collection.</w:t>
      </w:r>
      <w:r w:rsidRPr="00725A64">
        <w:rPr>
          <w:rFonts w:ascii="Arial" w:hAnsi="Arial" w:cs="Arial"/>
          <w:color w:val="000000" w:themeColor="text1"/>
          <w:sz w:val="22"/>
          <w:szCs w:val="22"/>
          <w:shd w:val="clear" w:color="auto" w:fill="FFFFFF"/>
        </w:rPr>
        <w:t> </w:t>
      </w:r>
      <w:r w:rsidRPr="00A66D44">
        <w:rPr>
          <w:rFonts w:ascii="Arial" w:hAnsi="Arial" w:cs="Arial"/>
          <w:i/>
          <w:iCs/>
          <w:color w:val="000000" w:themeColor="text1"/>
          <w:sz w:val="22"/>
          <w:szCs w:val="22"/>
        </w:rPr>
        <w:t>Nurse researcher</w:t>
      </w:r>
      <w:r w:rsidRPr="00A66D44">
        <w:rPr>
          <w:rFonts w:ascii="Arial" w:hAnsi="Arial" w:cs="Arial"/>
          <w:color w:val="000000" w:themeColor="text1"/>
          <w:sz w:val="22"/>
          <w:szCs w:val="22"/>
          <w:shd w:val="clear" w:color="auto" w:fill="FFFFFF"/>
        </w:rPr>
        <w:t>,</w:t>
      </w:r>
      <w:r w:rsidRPr="00725A64">
        <w:rPr>
          <w:rFonts w:ascii="Arial" w:hAnsi="Arial" w:cs="Arial"/>
          <w:color w:val="000000" w:themeColor="text1"/>
          <w:sz w:val="22"/>
          <w:szCs w:val="22"/>
          <w:shd w:val="clear" w:color="auto" w:fill="FFFFFF"/>
        </w:rPr>
        <w:t> </w:t>
      </w:r>
      <w:r w:rsidRPr="00A66D44">
        <w:rPr>
          <w:rFonts w:ascii="Arial" w:hAnsi="Arial" w:cs="Arial"/>
          <w:i/>
          <w:iCs/>
          <w:color w:val="000000" w:themeColor="text1"/>
          <w:sz w:val="22"/>
          <w:szCs w:val="22"/>
        </w:rPr>
        <w:t>11</w:t>
      </w:r>
      <w:r w:rsidRPr="00A66D44">
        <w:rPr>
          <w:rFonts w:ascii="Arial" w:hAnsi="Arial" w:cs="Arial"/>
          <w:color w:val="000000" w:themeColor="text1"/>
          <w:sz w:val="22"/>
          <w:szCs w:val="22"/>
          <w:shd w:val="clear" w:color="auto" w:fill="FFFFFF"/>
        </w:rPr>
        <w:t>(4).</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725A64">
        <w:rPr>
          <w:rFonts w:ascii="Arial" w:hAnsi="Arial" w:cs="Arial"/>
          <w:color w:val="000000" w:themeColor="text1"/>
          <w:sz w:val="22"/>
          <w:szCs w:val="22"/>
          <w:shd w:val="clear" w:color="auto" w:fill="FFFFFF"/>
        </w:rPr>
        <w:lastRenderedPageBreak/>
        <w:t>Merriam, S. and Grenier, R. (2019).</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Qualitative Research In Practice</w:t>
      </w:r>
      <w:r w:rsidRPr="00725A64">
        <w:rPr>
          <w:rFonts w:ascii="Arial" w:hAnsi="Arial" w:cs="Arial"/>
          <w:color w:val="000000" w:themeColor="text1"/>
          <w:sz w:val="22"/>
          <w:szCs w:val="22"/>
          <w:shd w:val="clear" w:color="auto" w:fill="FFFFFF"/>
        </w:rPr>
        <w:t>. 2nd ed. San Francisco: Josses-Bass.</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725A64">
        <w:rPr>
          <w:rFonts w:ascii="Arial" w:hAnsi="Arial" w:cs="Arial"/>
          <w:color w:val="000000" w:themeColor="text1"/>
          <w:sz w:val="22"/>
          <w:szCs w:val="22"/>
          <w:shd w:val="clear" w:color="auto" w:fill="FFFFFF"/>
        </w:rPr>
        <w:t>Mulholland, M. and O'Connor, U., 2016. Collaborative classroom practice for inclusion: perspectives of classroom teachers and learning support/resource teachers.</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International journal of inclusive education</w:t>
      </w:r>
      <w:r w:rsidRPr="00725A64">
        <w:rPr>
          <w:rFonts w:ascii="Arial" w:hAnsi="Arial" w:cs="Arial"/>
          <w:color w:val="000000" w:themeColor="text1"/>
          <w:sz w:val="22"/>
          <w:szCs w:val="22"/>
          <w:shd w:val="clear" w:color="auto" w:fill="FFFFFF"/>
        </w:rPr>
        <w:t>,</w:t>
      </w:r>
      <w:r w:rsidRPr="00725A64">
        <w:rPr>
          <w:rStyle w:val="apple-converted-space"/>
          <w:rFonts w:ascii="Arial" w:hAnsi="Arial" w:cs="Arial"/>
          <w:color w:val="000000" w:themeColor="text1"/>
          <w:sz w:val="22"/>
          <w:szCs w:val="22"/>
          <w:shd w:val="clear" w:color="auto" w:fill="FFFFFF"/>
        </w:rPr>
        <w:t> </w:t>
      </w:r>
      <w:r w:rsidRPr="00725A64">
        <w:rPr>
          <w:rFonts w:ascii="Arial" w:hAnsi="Arial" w:cs="Arial"/>
          <w:i/>
          <w:iCs/>
          <w:color w:val="000000" w:themeColor="text1"/>
          <w:sz w:val="22"/>
          <w:szCs w:val="22"/>
        </w:rPr>
        <w:t>20</w:t>
      </w:r>
      <w:r w:rsidRPr="00725A64">
        <w:rPr>
          <w:rFonts w:ascii="Arial" w:hAnsi="Arial" w:cs="Arial"/>
          <w:color w:val="000000" w:themeColor="text1"/>
          <w:sz w:val="22"/>
          <w:szCs w:val="22"/>
          <w:shd w:val="clear" w:color="auto" w:fill="FFFFFF"/>
        </w:rPr>
        <w:t>(10), pp.1070-1083.</w:t>
      </w:r>
    </w:p>
    <w:p w:rsidR="00F756B8" w:rsidRPr="00725A64" w:rsidRDefault="00F756B8" w:rsidP="00725A64">
      <w:pPr>
        <w:spacing w:line="360" w:lineRule="auto"/>
        <w:rPr>
          <w:rFonts w:ascii="Arial"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480BFE">
        <w:rPr>
          <w:rFonts w:ascii="Arial" w:hAnsi="Arial" w:cs="Arial"/>
          <w:color w:val="000000" w:themeColor="text1"/>
          <w:sz w:val="22"/>
          <w:szCs w:val="22"/>
          <w:shd w:val="clear" w:color="auto" w:fill="FFFFFF"/>
        </w:rPr>
        <w:t>Neill, S., 2017.</w:t>
      </w:r>
      <w:r w:rsidRPr="00725A64">
        <w:rPr>
          <w:rFonts w:ascii="Arial" w:hAnsi="Arial" w:cs="Arial"/>
          <w:color w:val="000000" w:themeColor="text1"/>
          <w:sz w:val="22"/>
          <w:szCs w:val="22"/>
          <w:shd w:val="clear" w:color="auto" w:fill="FFFFFF"/>
        </w:rPr>
        <w:t> </w:t>
      </w:r>
      <w:r w:rsidRPr="00480BFE">
        <w:rPr>
          <w:rFonts w:ascii="Arial" w:hAnsi="Arial" w:cs="Arial"/>
          <w:i/>
          <w:iCs/>
          <w:color w:val="000000" w:themeColor="text1"/>
          <w:sz w:val="22"/>
          <w:szCs w:val="22"/>
        </w:rPr>
        <w:t>Classroom nonverbal communication</w:t>
      </w:r>
      <w:r w:rsidRPr="00480BFE">
        <w:rPr>
          <w:rFonts w:ascii="Arial" w:hAnsi="Arial" w:cs="Arial"/>
          <w:color w:val="000000" w:themeColor="text1"/>
          <w:sz w:val="22"/>
          <w:szCs w:val="22"/>
          <w:shd w:val="clear" w:color="auto" w:fill="FFFFFF"/>
        </w:rPr>
        <w:t>. Routledge.</w:t>
      </w:r>
    </w:p>
    <w:p w:rsidR="00F756B8" w:rsidRPr="00725A64" w:rsidRDefault="00F756B8" w:rsidP="00725A64">
      <w:pPr>
        <w:spacing w:before="100" w:beforeAutospacing="1" w:after="100" w:afterAutospacing="1" w:line="360" w:lineRule="auto"/>
        <w:rPr>
          <w:rFonts w:ascii="Arial" w:hAnsi="Arial" w:cs="Arial"/>
          <w:color w:val="000000" w:themeColor="text1"/>
          <w:sz w:val="22"/>
          <w:szCs w:val="22"/>
        </w:rPr>
      </w:pPr>
      <w:r w:rsidRPr="00725A64">
        <w:rPr>
          <w:rFonts w:ascii="Arial" w:hAnsi="Arial" w:cs="Arial"/>
          <w:color w:val="000000" w:themeColor="text1"/>
          <w:sz w:val="22"/>
          <w:szCs w:val="22"/>
        </w:rPr>
        <w:t>Newman,</w:t>
      </w:r>
      <w:r w:rsidRPr="00725A64">
        <w:rPr>
          <w:rFonts w:ascii="Arial" w:hAnsi="Arial" w:cs="Arial"/>
          <w:color w:val="000000" w:themeColor="text1"/>
          <w:sz w:val="22"/>
          <w:szCs w:val="22"/>
        </w:rPr>
        <w:t xml:space="preserve"> </w:t>
      </w:r>
      <w:r w:rsidRPr="00725A64">
        <w:rPr>
          <w:rFonts w:ascii="Arial" w:hAnsi="Arial" w:cs="Arial"/>
          <w:color w:val="000000" w:themeColor="text1"/>
          <w:sz w:val="22"/>
          <w:szCs w:val="22"/>
        </w:rPr>
        <w:t>D.S. &amp; Clare, M.M. 2016, "School Psychology as a Relational Enterprise: the Role and Process of Qualitative Methodology", </w:t>
      </w:r>
      <w:r w:rsidRPr="00725A64">
        <w:rPr>
          <w:rFonts w:ascii="Arial" w:hAnsi="Arial" w:cs="Arial"/>
          <w:i/>
          <w:iCs/>
          <w:color w:val="000000" w:themeColor="text1"/>
          <w:sz w:val="22"/>
          <w:szCs w:val="22"/>
        </w:rPr>
        <w:t>Contemporary School Psychology, </w:t>
      </w:r>
      <w:r w:rsidRPr="00725A64">
        <w:rPr>
          <w:rFonts w:ascii="Arial" w:hAnsi="Arial" w:cs="Arial"/>
          <w:color w:val="000000" w:themeColor="text1"/>
          <w:sz w:val="22"/>
          <w:szCs w:val="22"/>
        </w:rPr>
        <w:t>vol. 20, no. 4, pp. 327-335.</w:t>
      </w: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AB10FF">
        <w:rPr>
          <w:rFonts w:ascii="Arial" w:hAnsi="Arial" w:cs="Arial"/>
          <w:color w:val="000000" w:themeColor="text1"/>
          <w:sz w:val="22"/>
          <w:szCs w:val="22"/>
          <w:shd w:val="clear" w:color="auto" w:fill="FFFFFF"/>
        </w:rPr>
        <w:t>O'Leary, M. (2013).</w:t>
      </w:r>
      <w:r w:rsidRPr="00725A64">
        <w:rPr>
          <w:rFonts w:ascii="Arial" w:hAnsi="Arial" w:cs="Arial"/>
          <w:color w:val="000000" w:themeColor="text1"/>
          <w:sz w:val="22"/>
          <w:szCs w:val="22"/>
          <w:shd w:val="clear" w:color="auto" w:fill="FFFFFF"/>
        </w:rPr>
        <w:t> </w:t>
      </w:r>
      <w:r w:rsidRPr="00AB10FF">
        <w:rPr>
          <w:rFonts w:ascii="Arial" w:hAnsi="Arial" w:cs="Arial"/>
          <w:i/>
          <w:iCs/>
          <w:color w:val="000000" w:themeColor="text1"/>
          <w:sz w:val="22"/>
          <w:szCs w:val="22"/>
        </w:rPr>
        <w:t>Classroom Observation</w:t>
      </w:r>
      <w:r w:rsidRPr="00AB10FF">
        <w:rPr>
          <w:rFonts w:ascii="Arial" w:hAnsi="Arial" w:cs="Arial"/>
          <w:color w:val="000000" w:themeColor="text1"/>
          <w:sz w:val="22"/>
          <w:szCs w:val="22"/>
          <w:shd w:val="clear" w:color="auto" w:fill="FFFFFF"/>
        </w:rPr>
        <w:t>. 1st ed. London: Routledge.</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rPr>
      </w:pPr>
      <w:r w:rsidRPr="00725A64">
        <w:rPr>
          <w:rFonts w:ascii="Arial" w:hAnsi="Arial" w:cs="Arial"/>
          <w:color w:val="000000" w:themeColor="text1"/>
          <w:sz w:val="22"/>
          <w:szCs w:val="22"/>
        </w:rPr>
        <w:t xml:space="preserve">Payne, G. and Payne, J. (2004) </w:t>
      </w:r>
      <w:r w:rsidRPr="00725A64">
        <w:rPr>
          <w:rFonts w:ascii="Arial" w:hAnsi="Arial" w:cs="Arial"/>
          <w:i/>
          <w:color w:val="000000" w:themeColor="text1"/>
          <w:sz w:val="22"/>
          <w:szCs w:val="22"/>
        </w:rPr>
        <w:t>Key Concepts in Social Research</w:t>
      </w:r>
      <w:r w:rsidRPr="00725A64">
        <w:rPr>
          <w:rFonts w:ascii="Arial" w:hAnsi="Arial" w:cs="Arial"/>
          <w:color w:val="000000" w:themeColor="text1"/>
          <w:sz w:val="22"/>
          <w:szCs w:val="22"/>
        </w:rPr>
        <w:t xml:space="preserve">. London: Sage. </w:t>
      </w:r>
    </w:p>
    <w:p w:rsidR="00F756B8" w:rsidRPr="00725A64" w:rsidRDefault="00F756B8" w:rsidP="00725A64">
      <w:pPr>
        <w:spacing w:line="360" w:lineRule="auto"/>
        <w:rPr>
          <w:rFonts w:ascii="Arial" w:eastAsiaTheme="minorHAnsi"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F06482">
        <w:rPr>
          <w:rFonts w:ascii="Arial" w:hAnsi="Arial" w:cs="Arial"/>
          <w:color w:val="000000" w:themeColor="text1"/>
          <w:sz w:val="22"/>
          <w:szCs w:val="22"/>
          <w:shd w:val="clear" w:color="auto" w:fill="FFFFFF"/>
        </w:rPr>
        <w:t>Rock, T.C. and Wilson, C., 2005. Improving teaching through lesson study.</w:t>
      </w:r>
      <w:r w:rsidRPr="00725A64">
        <w:rPr>
          <w:rFonts w:ascii="Arial" w:hAnsi="Arial" w:cs="Arial"/>
          <w:color w:val="000000" w:themeColor="text1"/>
          <w:sz w:val="22"/>
          <w:szCs w:val="22"/>
          <w:shd w:val="clear" w:color="auto" w:fill="FFFFFF"/>
        </w:rPr>
        <w:t> </w:t>
      </w:r>
      <w:r w:rsidRPr="00F06482">
        <w:rPr>
          <w:rFonts w:ascii="Arial" w:hAnsi="Arial" w:cs="Arial"/>
          <w:i/>
          <w:iCs/>
          <w:color w:val="000000" w:themeColor="text1"/>
          <w:sz w:val="22"/>
          <w:szCs w:val="22"/>
        </w:rPr>
        <w:t>Teacher education quarterly</w:t>
      </w:r>
      <w:r w:rsidRPr="00F06482">
        <w:rPr>
          <w:rFonts w:ascii="Arial" w:hAnsi="Arial" w:cs="Arial"/>
          <w:color w:val="000000" w:themeColor="text1"/>
          <w:sz w:val="22"/>
          <w:szCs w:val="22"/>
          <w:shd w:val="clear" w:color="auto" w:fill="FFFFFF"/>
        </w:rPr>
        <w:t>,</w:t>
      </w:r>
      <w:r w:rsidRPr="00725A64">
        <w:rPr>
          <w:rFonts w:ascii="Arial" w:hAnsi="Arial" w:cs="Arial"/>
          <w:color w:val="000000" w:themeColor="text1"/>
          <w:sz w:val="22"/>
          <w:szCs w:val="22"/>
          <w:shd w:val="clear" w:color="auto" w:fill="FFFFFF"/>
        </w:rPr>
        <w:t> </w:t>
      </w:r>
      <w:r w:rsidRPr="00F06482">
        <w:rPr>
          <w:rFonts w:ascii="Arial" w:hAnsi="Arial" w:cs="Arial"/>
          <w:i/>
          <w:iCs/>
          <w:color w:val="000000" w:themeColor="text1"/>
          <w:sz w:val="22"/>
          <w:szCs w:val="22"/>
        </w:rPr>
        <w:t>32</w:t>
      </w:r>
      <w:r w:rsidRPr="00F06482">
        <w:rPr>
          <w:rFonts w:ascii="Arial" w:hAnsi="Arial" w:cs="Arial"/>
          <w:color w:val="000000" w:themeColor="text1"/>
          <w:sz w:val="22"/>
          <w:szCs w:val="22"/>
          <w:shd w:val="clear" w:color="auto" w:fill="FFFFFF"/>
        </w:rPr>
        <w:t>(1), pp.77-92.</w:t>
      </w:r>
    </w:p>
    <w:p w:rsidR="00F756B8" w:rsidRPr="00F06482" w:rsidRDefault="00F756B8" w:rsidP="00725A64">
      <w:pPr>
        <w:spacing w:line="360" w:lineRule="auto"/>
        <w:rPr>
          <w:rFonts w:ascii="Arial"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D6298F">
        <w:rPr>
          <w:rFonts w:ascii="Arial" w:hAnsi="Arial" w:cs="Arial"/>
          <w:color w:val="000000" w:themeColor="text1"/>
          <w:sz w:val="22"/>
          <w:szCs w:val="22"/>
          <w:shd w:val="clear" w:color="auto" w:fill="FFFFFF"/>
        </w:rPr>
        <w:t xml:space="preserve">Santrock, J. and </w:t>
      </w:r>
      <w:proofErr w:type="spellStart"/>
      <w:r w:rsidRPr="00D6298F">
        <w:rPr>
          <w:rFonts w:ascii="Arial" w:hAnsi="Arial" w:cs="Arial"/>
          <w:color w:val="000000" w:themeColor="text1"/>
          <w:sz w:val="22"/>
          <w:szCs w:val="22"/>
          <w:shd w:val="clear" w:color="auto" w:fill="FFFFFF"/>
        </w:rPr>
        <w:t>Peden</w:t>
      </w:r>
      <w:proofErr w:type="spellEnd"/>
      <w:r w:rsidRPr="00D6298F">
        <w:rPr>
          <w:rFonts w:ascii="Arial" w:hAnsi="Arial" w:cs="Arial"/>
          <w:color w:val="000000" w:themeColor="text1"/>
          <w:sz w:val="22"/>
          <w:szCs w:val="22"/>
          <w:shd w:val="clear" w:color="auto" w:fill="FFFFFF"/>
        </w:rPr>
        <w:t>, B. (2001).</w:t>
      </w:r>
      <w:r w:rsidRPr="00725A64">
        <w:rPr>
          <w:rFonts w:ascii="Arial" w:hAnsi="Arial" w:cs="Arial"/>
          <w:color w:val="000000" w:themeColor="text1"/>
          <w:sz w:val="22"/>
          <w:szCs w:val="22"/>
          <w:shd w:val="clear" w:color="auto" w:fill="FFFFFF"/>
        </w:rPr>
        <w:t> </w:t>
      </w:r>
      <w:r w:rsidRPr="00D6298F">
        <w:rPr>
          <w:rFonts w:ascii="Arial" w:hAnsi="Arial" w:cs="Arial"/>
          <w:i/>
          <w:iCs/>
          <w:color w:val="000000" w:themeColor="text1"/>
          <w:sz w:val="22"/>
          <w:szCs w:val="22"/>
        </w:rPr>
        <w:t>Child Development</w:t>
      </w:r>
      <w:r w:rsidRPr="00D6298F">
        <w:rPr>
          <w:rFonts w:ascii="Arial" w:hAnsi="Arial" w:cs="Arial"/>
          <w:color w:val="000000" w:themeColor="text1"/>
          <w:sz w:val="22"/>
          <w:szCs w:val="22"/>
          <w:shd w:val="clear" w:color="auto" w:fill="FFFFFF"/>
        </w:rPr>
        <w:t>. Oxford: McGraw-Hill Higher Education.</w:t>
      </w:r>
    </w:p>
    <w:p w:rsidR="00F756B8" w:rsidRPr="00D6298F" w:rsidRDefault="00F756B8" w:rsidP="00725A64">
      <w:pPr>
        <w:spacing w:line="360" w:lineRule="auto"/>
        <w:rPr>
          <w:rFonts w:ascii="Arial"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725A64">
        <w:rPr>
          <w:rFonts w:ascii="Arial" w:hAnsi="Arial" w:cs="Arial"/>
          <w:color w:val="000000" w:themeColor="text1"/>
          <w:sz w:val="22"/>
          <w:szCs w:val="22"/>
          <w:shd w:val="clear" w:color="auto" w:fill="FFFFFF"/>
        </w:rPr>
        <w:t>Scotland, J. (2012). Exploring the Philosophical Underpinnings of Research: Relating Ontology and Epistemology to the Methodology and Methods of the Scientific, Interpretive, and Critical Research Paradigms. </w:t>
      </w:r>
      <w:r w:rsidRPr="00725A64">
        <w:rPr>
          <w:rFonts w:ascii="Arial" w:hAnsi="Arial" w:cs="Arial"/>
          <w:i/>
          <w:iCs/>
          <w:color w:val="000000" w:themeColor="text1"/>
          <w:sz w:val="22"/>
          <w:szCs w:val="22"/>
        </w:rPr>
        <w:t>English Language Teaching</w:t>
      </w:r>
      <w:r w:rsidRPr="00725A64">
        <w:rPr>
          <w:rFonts w:ascii="Arial" w:hAnsi="Arial" w:cs="Arial"/>
          <w:color w:val="000000" w:themeColor="text1"/>
          <w:sz w:val="22"/>
          <w:szCs w:val="22"/>
          <w:shd w:val="clear" w:color="auto" w:fill="FFFFFF"/>
        </w:rPr>
        <w:t>, [online] 5(9). Available at: https://files.eric.ed.gov/fulltext/EJ1080001.pdf [Accessed 28 Mar. 2019].</w:t>
      </w:r>
    </w:p>
    <w:p w:rsidR="00F756B8" w:rsidRPr="00725A64" w:rsidRDefault="00F756B8" w:rsidP="00725A64">
      <w:pPr>
        <w:spacing w:line="360" w:lineRule="auto"/>
        <w:rPr>
          <w:rFonts w:ascii="Arial" w:hAnsi="Arial" w:cs="Arial"/>
          <w:color w:val="000000" w:themeColor="text1"/>
          <w:sz w:val="22"/>
          <w:szCs w:val="22"/>
          <w:shd w:val="clear" w:color="auto" w:fill="FFFFFF"/>
        </w:rPr>
      </w:pPr>
    </w:p>
    <w:p w:rsidR="00F756B8" w:rsidRPr="00725A64" w:rsidRDefault="00F756B8" w:rsidP="00725A64">
      <w:pPr>
        <w:spacing w:line="360" w:lineRule="auto"/>
        <w:rPr>
          <w:rFonts w:ascii="Arial" w:hAnsi="Arial" w:cs="Arial"/>
          <w:color w:val="000000" w:themeColor="text1"/>
          <w:sz w:val="22"/>
          <w:szCs w:val="22"/>
          <w:shd w:val="clear" w:color="auto" w:fill="FFFFFF"/>
        </w:rPr>
      </w:pPr>
      <w:r w:rsidRPr="00480BFE">
        <w:rPr>
          <w:rFonts w:ascii="Arial" w:hAnsi="Arial" w:cs="Arial"/>
          <w:color w:val="000000" w:themeColor="text1"/>
          <w:sz w:val="22"/>
          <w:szCs w:val="22"/>
          <w:shd w:val="clear" w:color="auto" w:fill="FFFFFF"/>
        </w:rPr>
        <w:t>Scrivener, J., 2012.</w:t>
      </w:r>
      <w:r w:rsidRPr="00725A64">
        <w:rPr>
          <w:rFonts w:ascii="Arial" w:hAnsi="Arial" w:cs="Arial"/>
          <w:color w:val="000000" w:themeColor="text1"/>
          <w:sz w:val="22"/>
          <w:szCs w:val="22"/>
          <w:shd w:val="clear" w:color="auto" w:fill="FFFFFF"/>
        </w:rPr>
        <w:t> </w:t>
      </w:r>
      <w:r w:rsidRPr="00480BFE">
        <w:rPr>
          <w:rFonts w:ascii="Arial" w:hAnsi="Arial" w:cs="Arial"/>
          <w:i/>
          <w:iCs/>
          <w:color w:val="000000" w:themeColor="text1"/>
          <w:sz w:val="22"/>
          <w:szCs w:val="22"/>
        </w:rPr>
        <w:t>Classroom management techniques</w:t>
      </w:r>
      <w:r w:rsidRPr="00480BFE">
        <w:rPr>
          <w:rFonts w:ascii="Arial" w:hAnsi="Arial" w:cs="Arial"/>
          <w:color w:val="000000" w:themeColor="text1"/>
          <w:sz w:val="22"/>
          <w:szCs w:val="22"/>
          <w:shd w:val="clear" w:color="auto" w:fill="FFFFFF"/>
        </w:rPr>
        <w:t>. Cambridge University Press.</w:t>
      </w:r>
    </w:p>
    <w:p w:rsidR="00725A64" w:rsidRPr="00480BFE" w:rsidRDefault="00725A64" w:rsidP="00725A64">
      <w:pPr>
        <w:spacing w:line="360" w:lineRule="auto"/>
        <w:rPr>
          <w:rFonts w:ascii="Arial" w:hAnsi="Arial" w:cs="Arial"/>
          <w:color w:val="000000" w:themeColor="text1"/>
          <w:sz w:val="22"/>
          <w:szCs w:val="22"/>
        </w:rPr>
      </w:pPr>
    </w:p>
    <w:p w:rsidR="00F756B8" w:rsidRPr="00725A64" w:rsidRDefault="00F756B8" w:rsidP="00725A64">
      <w:pPr>
        <w:spacing w:line="360" w:lineRule="auto"/>
        <w:rPr>
          <w:rFonts w:ascii="Arial" w:hAnsi="Arial" w:cs="Arial"/>
          <w:color w:val="000000" w:themeColor="text1"/>
          <w:sz w:val="22"/>
          <w:szCs w:val="22"/>
          <w:shd w:val="clear" w:color="auto" w:fill="FFFFFF"/>
        </w:rPr>
      </w:pPr>
      <w:proofErr w:type="spellStart"/>
      <w:r w:rsidRPr="009F22B5">
        <w:rPr>
          <w:rFonts w:ascii="Arial" w:hAnsi="Arial" w:cs="Arial"/>
          <w:color w:val="000000" w:themeColor="text1"/>
          <w:sz w:val="22"/>
          <w:szCs w:val="22"/>
          <w:shd w:val="clear" w:color="auto" w:fill="FFFFFF"/>
        </w:rPr>
        <w:t>Trowler</w:t>
      </w:r>
      <w:proofErr w:type="spellEnd"/>
      <w:r w:rsidRPr="009F22B5">
        <w:rPr>
          <w:rFonts w:ascii="Arial" w:hAnsi="Arial" w:cs="Arial"/>
          <w:color w:val="000000" w:themeColor="text1"/>
          <w:sz w:val="22"/>
          <w:szCs w:val="22"/>
          <w:shd w:val="clear" w:color="auto" w:fill="FFFFFF"/>
        </w:rPr>
        <w:t>, V. (2010).</w:t>
      </w:r>
      <w:r w:rsidRPr="00725A64">
        <w:rPr>
          <w:rFonts w:ascii="Arial" w:hAnsi="Arial" w:cs="Arial"/>
          <w:color w:val="000000" w:themeColor="text1"/>
          <w:sz w:val="22"/>
          <w:szCs w:val="22"/>
          <w:shd w:val="clear" w:color="auto" w:fill="FFFFFF"/>
        </w:rPr>
        <w:t> </w:t>
      </w:r>
      <w:r w:rsidRPr="009F22B5">
        <w:rPr>
          <w:rFonts w:ascii="Arial" w:hAnsi="Arial" w:cs="Arial"/>
          <w:i/>
          <w:iCs/>
          <w:color w:val="000000" w:themeColor="text1"/>
          <w:sz w:val="22"/>
          <w:szCs w:val="22"/>
        </w:rPr>
        <w:t>Student engagement literature review</w:t>
      </w:r>
      <w:r w:rsidRPr="009F22B5">
        <w:rPr>
          <w:rFonts w:ascii="Arial" w:hAnsi="Arial" w:cs="Arial"/>
          <w:color w:val="000000" w:themeColor="text1"/>
          <w:sz w:val="22"/>
          <w:szCs w:val="22"/>
          <w:shd w:val="clear" w:color="auto" w:fill="FFFFFF"/>
        </w:rPr>
        <w:t>. 1st ed. [</w:t>
      </w:r>
      <w:proofErr w:type="spellStart"/>
      <w:r w:rsidRPr="009F22B5">
        <w:rPr>
          <w:rFonts w:ascii="Arial" w:hAnsi="Arial" w:cs="Arial"/>
          <w:color w:val="000000" w:themeColor="text1"/>
          <w:sz w:val="22"/>
          <w:szCs w:val="22"/>
          <w:shd w:val="clear" w:color="auto" w:fill="FFFFFF"/>
        </w:rPr>
        <w:t>ebook</w:t>
      </w:r>
      <w:proofErr w:type="spellEnd"/>
      <w:r w:rsidRPr="009F22B5">
        <w:rPr>
          <w:rFonts w:ascii="Arial" w:hAnsi="Arial" w:cs="Arial"/>
          <w:color w:val="000000" w:themeColor="text1"/>
          <w:sz w:val="22"/>
          <w:szCs w:val="22"/>
          <w:shd w:val="clear" w:color="auto" w:fill="FFFFFF"/>
        </w:rPr>
        <w:t>] London: Lancaster University, pp.1-12. Available at: https://pdfs.semanticscholar.org/6d0c/5f9444fc4e92cca76fe9f426bd107e837a9f.pdf [Accessed 10 Feb. 2020].</w:t>
      </w:r>
    </w:p>
    <w:p w:rsidR="00F756B8" w:rsidRPr="00725A64" w:rsidRDefault="00F756B8" w:rsidP="00725A64">
      <w:pPr>
        <w:spacing w:before="100" w:beforeAutospacing="1" w:after="100" w:afterAutospacing="1" w:line="360" w:lineRule="auto"/>
        <w:rPr>
          <w:rFonts w:ascii="Arial" w:hAnsi="Arial" w:cs="Arial"/>
          <w:color w:val="000000" w:themeColor="text1"/>
          <w:sz w:val="22"/>
          <w:szCs w:val="22"/>
        </w:rPr>
      </w:pPr>
      <w:r w:rsidRPr="00725A64">
        <w:rPr>
          <w:rFonts w:ascii="Arial" w:hAnsi="Arial" w:cs="Arial"/>
          <w:color w:val="000000" w:themeColor="text1"/>
          <w:sz w:val="22"/>
          <w:szCs w:val="22"/>
        </w:rPr>
        <w:t>Walsham, G. 2006, "Doing interpretive research",</w:t>
      </w:r>
      <w:r w:rsidRPr="00725A64">
        <w:rPr>
          <w:rStyle w:val="apple-converted-space"/>
          <w:rFonts w:ascii="Arial" w:hAnsi="Arial" w:cs="Arial"/>
          <w:color w:val="000000" w:themeColor="text1"/>
          <w:sz w:val="22"/>
          <w:szCs w:val="22"/>
        </w:rPr>
        <w:t> </w:t>
      </w:r>
      <w:r w:rsidRPr="00725A64">
        <w:rPr>
          <w:rFonts w:ascii="Arial" w:hAnsi="Arial" w:cs="Arial"/>
          <w:i/>
          <w:iCs/>
          <w:color w:val="000000" w:themeColor="text1"/>
          <w:sz w:val="22"/>
          <w:szCs w:val="22"/>
        </w:rPr>
        <w:t>European Journal of Information Systems,</w:t>
      </w:r>
      <w:r w:rsidRPr="00725A64">
        <w:rPr>
          <w:rStyle w:val="apple-converted-space"/>
          <w:rFonts w:ascii="Arial" w:hAnsi="Arial" w:cs="Arial"/>
          <w:i/>
          <w:iCs/>
          <w:color w:val="000000" w:themeColor="text1"/>
          <w:sz w:val="22"/>
          <w:szCs w:val="22"/>
        </w:rPr>
        <w:t> </w:t>
      </w:r>
      <w:r w:rsidRPr="00725A64">
        <w:rPr>
          <w:rFonts w:ascii="Arial" w:hAnsi="Arial" w:cs="Arial"/>
          <w:color w:val="000000" w:themeColor="text1"/>
          <w:sz w:val="22"/>
          <w:szCs w:val="22"/>
        </w:rPr>
        <w:t>vol. 15, no. 3, pp. 320-330.</w:t>
      </w:r>
    </w:p>
    <w:p w:rsidR="00F756B8" w:rsidRPr="00BE2037" w:rsidRDefault="00F756B8" w:rsidP="00725A64">
      <w:pPr>
        <w:spacing w:line="360" w:lineRule="auto"/>
        <w:rPr>
          <w:rFonts w:ascii="Arial" w:hAnsi="Arial" w:cs="Arial"/>
          <w:color w:val="000000" w:themeColor="text1"/>
          <w:sz w:val="22"/>
          <w:szCs w:val="22"/>
        </w:rPr>
      </w:pPr>
      <w:r w:rsidRPr="00BE2037">
        <w:rPr>
          <w:rFonts w:ascii="Arial" w:hAnsi="Arial" w:cs="Arial"/>
          <w:color w:val="000000" w:themeColor="text1"/>
          <w:sz w:val="22"/>
          <w:szCs w:val="22"/>
          <w:shd w:val="clear" w:color="auto" w:fill="FFFFFF"/>
        </w:rPr>
        <w:lastRenderedPageBreak/>
        <w:t>Weston, D. and Clay, B. (2018).</w:t>
      </w:r>
      <w:r w:rsidRPr="00725A64">
        <w:rPr>
          <w:rFonts w:ascii="Arial" w:hAnsi="Arial" w:cs="Arial"/>
          <w:color w:val="000000" w:themeColor="text1"/>
          <w:sz w:val="22"/>
          <w:szCs w:val="22"/>
          <w:shd w:val="clear" w:color="auto" w:fill="FFFFFF"/>
        </w:rPr>
        <w:t> </w:t>
      </w:r>
      <w:r w:rsidRPr="00BE2037">
        <w:rPr>
          <w:rFonts w:ascii="Arial" w:hAnsi="Arial" w:cs="Arial"/>
          <w:i/>
          <w:iCs/>
          <w:color w:val="000000" w:themeColor="text1"/>
          <w:sz w:val="22"/>
          <w:szCs w:val="22"/>
        </w:rPr>
        <w:t>Unleashing Great Teaching</w:t>
      </w:r>
      <w:r w:rsidRPr="00BE2037">
        <w:rPr>
          <w:rFonts w:ascii="Arial" w:hAnsi="Arial" w:cs="Arial"/>
          <w:color w:val="000000" w:themeColor="text1"/>
          <w:sz w:val="22"/>
          <w:szCs w:val="22"/>
          <w:shd w:val="clear" w:color="auto" w:fill="FFFFFF"/>
        </w:rPr>
        <w:t>. 1st ed. New York: Routledge.</w:t>
      </w:r>
    </w:p>
    <w:p w:rsidR="00EB0491" w:rsidRPr="00807D4B" w:rsidRDefault="00EB0491">
      <w:pPr>
        <w:rPr>
          <w:sz w:val="32"/>
        </w:rPr>
      </w:pPr>
    </w:p>
    <w:sectPr w:rsidR="00EB0491" w:rsidRPr="00807D4B" w:rsidSect="00F449D5">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01D8" w:rsidRDefault="00E301D8" w:rsidP="00725A64">
      <w:r>
        <w:separator/>
      </w:r>
    </w:p>
  </w:endnote>
  <w:endnote w:type="continuationSeparator" w:id="0">
    <w:p w:rsidR="00E301D8" w:rsidRDefault="00E301D8" w:rsidP="00725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3071331"/>
      <w:docPartObj>
        <w:docPartGallery w:val="Page Numbers (Bottom of Page)"/>
        <w:docPartUnique/>
      </w:docPartObj>
    </w:sdtPr>
    <w:sdtContent>
      <w:p w:rsidR="00725A64" w:rsidRDefault="00725A64" w:rsidP="00AA10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25A64" w:rsidRDefault="00725A64" w:rsidP="00725A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8093448"/>
      <w:docPartObj>
        <w:docPartGallery w:val="Page Numbers (Bottom of Page)"/>
        <w:docPartUnique/>
      </w:docPartObj>
    </w:sdtPr>
    <w:sdtContent>
      <w:p w:rsidR="00725A64" w:rsidRDefault="00725A64" w:rsidP="00AA10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25A64" w:rsidRDefault="00725A64" w:rsidP="00725A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01D8" w:rsidRDefault="00E301D8" w:rsidP="00725A64">
      <w:r>
        <w:separator/>
      </w:r>
    </w:p>
  </w:footnote>
  <w:footnote w:type="continuationSeparator" w:id="0">
    <w:p w:rsidR="00E301D8" w:rsidRDefault="00E301D8" w:rsidP="00725A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22845"/>
    <w:multiLevelType w:val="multilevel"/>
    <w:tmpl w:val="55EE2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97DC4"/>
    <w:multiLevelType w:val="multilevel"/>
    <w:tmpl w:val="20DAC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3858FD"/>
    <w:multiLevelType w:val="hybridMultilevel"/>
    <w:tmpl w:val="BE4292FE"/>
    <w:lvl w:ilvl="0" w:tplc="D7789D5E">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C131A8"/>
    <w:multiLevelType w:val="multilevel"/>
    <w:tmpl w:val="76FAD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472134"/>
    <w:multiLevelType w:val="multilevel"/>
    <w:tmpl w:val="1C705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40593A"/>
    <w:multiLevelType w:val="multilevel"/>
    <w:tmpl w:val="A726D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3A31A0"/>
    <w:multiLevelType w:val="multilevel"/>
    <w:tmpl w:val="FBD6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A776CA"/>
    <w:multiLevelType w:val="multilevel"/>
    <w:tmpl w:val="E3362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572C64"/>
    <w:multiLevelType w:val="multilevel"/>
    <w:tmpl w:val="88800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6"/>
  </w:num>
  <w:num w:numId="4">
    <w:abstractNumId w:val="8"/>
  </w:num>
  <w:num w:numId="5">
    <w:abstractNumId w:val="3"/>
  </w:num>
  <w:num w:numId="6">
    <w:abstractNumId w:val="7"/>
  </w:num>
  <w:num w:numId="7">
    <w:abstractNumId w:val="5"/>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D4B"/>
    <w:rsid w:val="0002692D"/>
    <w:rsid w:val="000334F1"/>
    <w:rsid w:val="00034E73"/>
    <w:rsid w:val="0004386D"/>
    <w:rsid w:val="000748BB"/>
    <w:rsid w:val="00082CEC"/>
    <w:rsid w:val="0008672C"/>
    <w:rsid w:val="00086C27"/>
    <w:rsid w:val="000A2EAE"/>
    <w:rsid w:val="000C06A2"/>
    <w:rsid w:val="00105229"/>
    <w:rsid w:val="001119FC"/>
    <w:rsid w:val="0015689B"/>
    <w:rsid w:val="00171A69"/>
    <w:rsid w:val="0018346F"/>
    <w:rsid w:val="001A30CE"/>
    <w:rsid w:val="001B1DFF"/>
    <w:rsid w:val="001D00AE"/>
    <w:rsid w:val="002363DF"/>
    <w:rsid w:val="002457FC"/>
    <w:rsid w:val="0024690F"/>
    <w:rsid w:val="0027167B"/>
    <w:rsid w:val="00271EB0"/>
    <w:rsid w:val="002905A4"/>
    <w:rsid w:val="002B5762"/>
    <w:rsid w:val="002C5BBB"/>
    <w:rsid w:val="002F0A04"/>
    <w:rsid w:val="00313B7B"/>
    <w:rsid w:val="003211B1"/>
    <w:rsid w:val="0032451B"/>
    <w:rsid w:val="00393BA1"/>
    <w:rsid w:val="003D66EC"/>
    <w:rsid w:val="003E1773"/>
    <w:rsid w:val="00425DE2"/>
    <w:rsid w:val="00480BFE"/>
    <w:rsid w:val="00480E2B"/>
    <w:rsid w:val="004C459E"/>
    <w:rsid w:val="00544A35"/>
    <w:rsid w:val="005A31B9"/>
    <w:rsid w:val="005C1C6A"/>
    <w:rsid w:val="005E6039"/>
    <w:rsid w:val="005E6D2E"/>
    <w:rsid w:val="005F47A7"/>
    <w:rsid w:val="00601545"/>
    <w:rsid w:val="00601BD8"/>
    <w:rsid w:val="00641DA9"/>
    <w:rsid w:val="00684DA3"/>
    <w:rsid w:val="006A1C96"/>
    <w:rsid w:val="006C5585"/>
    <w:rsid w:val="006D472F"/>
    <w:rsid w:val="007134EA"/>
    <w:rsid w:val="00724A65"/>
    <w:rsid w:val="00725A64"/>
    <w:rsid w:val="007379AB"/>
    <w:rsid w:val="00743BAD"/>
    <w:rsid w:val="00753D6D"/>
    <w:rsid w:val="00777062"/>
    <w:rsid w:val="00777876"/>
    <w:rsid w:val="0078481D"/>
    <w:rsid w:val="007B0444"/>
    <w:rsid w:val="007B3D9C"/>
    <w:rsid w:val="007B4866"/>
    <w:rsid w:val="007D6A4B"/>
    <w:rsid w:val="007F1B7F"/>
    <w:rsid w:val="0080243A"/>
    <w:rsid w:val="00805192"/>
    <w:rsid w:val="00805233"/>
    <w:rsid w:val="00807D4B"/>
    <w:rsid w:val="008209F9"/>
    <w:rsid w:val="00822B7E"/>
    <w:rsid w:val="00823631"/>
    <w:rsid w:val="0085138B"/>
    <w:rsid w:val="00870D3C"/>
    <w:rsid w:val="0088670F"/>
    <w:rsid w:val="008C3C3F"/>
    <w:rsid w:val="008D06A7"/>
    <w:rsid w:val="00905B22"/>
    <w:rsid w:val="009109F1"/>
    <w:rsid w:val="00940607"/>
    <w:rsid w:val="0094163A"/>
    <w:rsid w:val="00966955"/>
    <w:rsid w:val="009832B3"/>
    <w:rsid w:val="0098716D"/>
    <w:rsid w:val="009A64CA"/>
    <w:rsid w:val="009D0DD1"/>
    <w:rsid w:val="009F18EE"/>
    <w:rsid w:val="009F22B5"/>
    <w:rsid w:val="009F613C"/>
    <w:rsid w:val="00A0401E"/>
    <w:rsid w:val="00A34E9B"/>
    <w:rsid w:val="00A5285F"/>
    <w:rsid w:val="00A62CC0"/>
    <w:rsid w:val="00A66D44"/>
    <w:rsid w:val="00A71897"/>
    <w:rsid w:val="00AA0C30"/>
    <w:rsid w:val="00AB10FF"/>
    <w:rsid w:val="00AC5F98"/>
    <w:rsid w:val="00AD2405"/>
    <w:rsid w:val="00AE3516"/>
    <w:rsid w:val="00AE7AA8"/>
    <w:rsid w:val="00B2266F"/>
    <w:rsid w:val="00B36360"/>
    <w:rsid w:val="00B37568"/>
    <w:rsid w:val="00B43512"/>
    <w:rsid w:val="00B54F04"/>
    <w:rsid w:val="00B86A0B"/>
    <w:rsid w:val="00B95E58"/>
    <w:rsid w:val="00B96759"/>
    <w:rsid w:val="00BB35DC"/>
    <w:rsid w:val="00BC7493"/>
    <w:rsid w:val="00BD7A43"/>
    <w:rsid w:val="00BE2037"/>
    <w:rsid w:val="00BE4CF3"/>
    <w:rsid w:val="00C57732"/>
    <w:rsid w:val="00C8333A"/>
    <w:rsid w:val="00CF4588"/>
    <w:rsid w:val="00D314B9"/>
    <w:rsid w:val="00D319E6"/>
    <w:rsid w:val="00D32C87"/>
    <w:rsid w:val="00D46BE8"/>
    <w:rsid w:val="00D5093D"/>
    <w:rsid w:val="00D61C70"/>
    <w:rsid w:val="00D6298F"/>
    <w:rsid w:val="00D73A3C"/>
    <w:rsid w:val="00D96A71"/>
    <w:rsid w:val="00DD0E6F"/>
    <w:rsid w:val="00DE3F24"/>
    <w:rsid w:val="00DF1E28"/>
    <w:rsid w:val="00DF7A3C"/>
    <w:rsid w:val="00E04C0B"/>
    <w:rsid w:val="00E04F0F"/>
    <w:rsid w:val="00E12C8A"/>
    <w:rsid w:val="00E14EC2"/>
    <w:rsid w:val="00E301D8"/>
    <w:rsid w:val="00E30FA5"/>
    <w:rsid w:val="00E55459"/>
    <w:rsid w:val="00EA553D"/>
    <w:rsid w:val="00EB0491"/>
    <w:rsid w:val="00EB061F"/>
    <w:rsid w:val="00EB594C"/>
    <w:rsid w:val="00EC26C9"/>
    <w:rsid w:val="00F057FE"/>
    <w:rsid w:val="00F06482"/>
    <w:rsid w:val="00F449D5"/>
    <w:rsid w:val="00F756B8"/>
    <w:rsid w:val="00F84EE7"/>
    <w:rsid w:val="00FB5FBA"/>
    <w:rsid w:val="00FD17C7"/>
    <w:rsid w:val="00FD2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7911"/>
  <w15:chartTrackingRefBased/>
  <w15:docId w15:val="{997FE424-CECF-FB4D-87D0-F0052312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64C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D4B"/>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082CEC"/>
    <w:pPr>
      <w:spacing w:before="100" w:beforeAutospacing="1" w:after="100" w:afterAutospacing="1"/>
    </w:pPr>
  </w:style>
  <w:style w:type="character" w:customStyle="1" w:styleId="apple-converted-space">
    <w:name w:val="apple-converted-space"/>
    <w:basedOn w:val="DefaultParagraphFont"/>
    <w:rsid w:val="009F22B5"/>
  </w:style>
  <w:style w:type="paragraph" w:customStyle="1" w:styleId="AssignQuote">
    <w:name w:val="AssignQuote"/>
    <w:basedOn w:val="Normal"/>
    <w:next w:val="AssignBody"/>
    <w:link w:val="AssignQuoteChar"/>
    <w:qFormat/>
    <w:rsid w:val="00725A64"/>
    <w:pPr>
      <w:spacing w:line="360" w:lineRule="auto"/>
      <w:ind w:left="1134" w:right="1134"/>
    </w:pPr>
    <w:rPr>
      <w:rFonts w:ascii="Arial" w:eastAsiaTheme="minorHAnsi" w:hAnsi="Arial" w:cstheme="minorBidi"/>
      <w:i/>
      <w:sz w:val="22"/>
      <w:szCs w:val="22"/>
    </w:rPr>
  </w:style>
  <w:style w:type="paragraph" w:customStyle="1" w:styleId="AssignBody">
    <w:name w:val="AssignBody"/>
    <w:basedOn w:val="AssignQuote"/>
    <w:link w:val="AssignBodyChar"/>
    <w:qFormat/>
    <w:rsid w:val="00725A64"/>
    <w:pPr>
      <w:ind w:left="0" w:right="0"/>
    </w:pPr>
    <w:rPr>
      <w:i w:val="0"/>
    </w:rPr>
  </w:style>
  <w:style w:type="character" w:customStyle="1" w:styleId="AssignQuoteChar">
    <w:name w:val="AssignQuote Char"/>
    <w:basedOn w:val="DefaultParagraphFont"/>
    <w:link w:val="AssignQuote"/>
    <w:rsid w:val="00725A64"/>
    <w:rPr>
      <w:rFonts w:ascii="Arial" w:hAnsi="Arial"/>
      <w:i/>
      <w:sz w:val="22"/>
      <w:szCs w:val="22"/>
    </w:rPr>
  </w:style>
  <w:style w:type="paragraph" w:customStyle="1" w:styleId="AssignSubHeader">
    <w:name w:val="AssignSubHeader"/>
    <w:basedOn w:val="AssignBody"/>
    <w:next w:val="AssignBody"/>
    <w:link w:val="AssignSubHeaderChar"/>
    <w:qFormat/>
    <w:rsid w:val="00725A64"/>
    <w:rPr>
      <w:b/>
      <w:i/>
      <w:sz w:val="28"/>
    </w:rPr>
  </w:style>
  <w:style w:type="character" w:customStyle="1" w:styleId="AssignBodyChar">
    <w:name w:val="AssignBody Char"/>
    <w:basedOn w:val="AssignQuoteChar"/>
    <w:link w:val="AssignBody"/>
    <w:rsid w:val="00725A64"/>
    <w:rPr>
      <w:rFonts w:ascii="Arial" w:hAnsi="Arial"/>
      <w:i w:val="0"/>
      <w:sz w:val="22"/>
      <w:szCs w:val="22"/>
    </w:rPr>
  </w:style>
  <w:style w:type="paragraph" w:customStyle="1" w:styleId="AssignHeader">
    <w:name w:val="AssignHeader"/>
    <w:basedOn w:val="AssignSubHeader"/>
    <w:next w:val="AssignSubHeader"/>
    <w:link w:val="AssignHeaderChar"/>
    <w:qFormat/>
    <w:rsid w:val="00725A64"/>
    <w:pPr>
      <w:jc w:val="center"/>
    </w:pPr>
    <w:rPr>
      <w:sz w:val="36"/>
      <w:u w:val="single"/>
    </w:rPr>
  </w:style>
  <w:style w:type="character" w:customStyle="1" w:styleId="AssignSubHeaderChar">
    <w:name w:val="AssignSubHeader Char"/>
    <w:basedOn w:val="AssignBodyChar"/>
    <w:link w:val="AssignSubHeader"/>
    <w:rsid w:val="00725A64"/>
    <w:rPr>
      <w:rFonts w:ascii="Arial" w:hAnsi="Arial"/>
      <w:b/>
      <w:i/>
      <w:sz w:val="28"/>
      <w:szCs w:val="22"/>
    </w:rPr>
  </w:style>
  <w:style w:type="character" w:customStyle="1" w:styleId="AssignHeaderChar">
    <w:name w:val="AssignHeader Char"/>
    <w:basedOn w:val="AssignSubHeaderChar"/>
    <w:link w:val="AssignHeader"/>
    <w:rsid w:val="00725A64"/>
    <w:rPr>
      <w:rFonts w:ascii="Arial" w:hAnsi="Arial"/>
      <w:b/>
      <w:i/>
      <w:sz w:val="36"/>
      <w:szCs w:val="22"/>
      <w:u w:val="single"/>
    </w:rPr>
  </w:style>
  <w:style w:type="table" w:styleId="TableGrid">
    <w:name w:val="Table Grid"/>
    <w:basedOn w:val="TableNormal"/>
    <w:uiPriority w:val="39"/>
    <w:rsid w:val="00725A6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25A64"/>
    <w:pPr>
      <w:tabs>
        <w:tab w:val="center" w:pos="4513"/>
        <w:tab w:val="right" w:pos="9026"/>
      </w:tabs>
    </w:pPr>
  </w:style>
  <w:style w:type="character" w:customStyle="1" w:styleId="FooterChar">
    <w:name w:val="Footer Char"/>
    <w:basedOn w:val="DefaultParagraphFont"/>
    <w:link w:val="Footer"/>
    <w:uiPriority w:val="99"/>
    <w:rsid w:val="00725A64"/>
    <w:rPr>
      <w:rFonts w:ascii="Times New Roman" w:eastAsia="Times New Roman" w:hAnsi="Times New Roman" w:cs="Times New Roman"/>
    </w:rPr>
  </w:style>
  <w:style w:type="character" w:styleId="PageNumber">
    <w:name w:val="page number"/>
    <w:basedOn w:val="DefaultParagraphFont"/>
    <w:uiPriority w:val="99"/>
    <w:semiHidden/>
    <w:unhideWhenUsed/>
    <w:rsid w:val="00725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7845">
      <w:bodyDiv w:val="1"/>
      <w:marLeft w:val="0"/>
      <w:marRight w:val="0"/>
      <w:marTop w:val="0"/>
      <w:marBottom w:val="0"/>
      <w:divBdr>
        <w:top w:val="none" w:sz="0" w:space="0" w:color="auto"/>
        <w:left w:val="none" w:sz="0" w:space="0" w:color="auto"/>
        <w:bottom w:val="none" w:sz="0" w:space="0" w:color="auto"/>
        <w:right w:val="none" w:sz="0" w:space="0" w:color="auto"/>
      </w:divBdr>
      <w:divsChild>
        <w:div w:id="46923843">
          <w:marLeft w:val="0"/>
          <w:marRight w:val="0"/>
          <w:marTop w:val="0"/>
          <w:marBottom w:val="0"/>
          <w:divBdr>
            <w:top w:val="none" w:sz="0" w:space="0" w:color="auto"/>
            <w:left w:val="none" w:sz="0" w:space="0" w:color="auto"/>
            <w:bottom w:val="none" w:sz="0" w:space="0" w:color="auto"/>
            <w:right w:val="none" w:sz="0" w:space="0" w:color="auto"/>
          </w:divBdr>
          <w:divsChild>
            <w:div w:id="981036847">
              <w:marLeft w:val="0"/>
              <w:marRight w:val="0"/>
              <w:marTop w:val="0"/>
              <w:marBottom w:val="0"/>
              <w:divBdr>
                <w:top w:val="none" w:sz="0" w:space="0" w:color="auto"/>
                <w:left w:val="none" w:sz="0" w:space="0" w:color="auto"/>
                <w:bottom w:val="none" w:sz="0" w:space="0" w:color="auto"/>
                <w:right w:val="none" w:sz="0" w:space="0" w:color="auto"/>
              </w:divBdr>
              <w:divsChild>
                <w:div w:id="1152021263">
                  <w:marLeft w:val="0"/>
                  <w:marRight w:val="0"/>
                  <w:marTop w:val="0"/>
                  <w:marBottom w:val="0"/>
                  <w:divBdr>
                    <w:top w:val="none" w:sz="0" w:space="0" w:color="auto"/>
                    <w:left w:val="none" w:sz="0" w:space="0" w:color="auto"/>
                    <w:bottom w:val="none" w:sz="0" w:space="0" w:color="auto"/>
                    <w:right w:val="none" w:sz="0" w:space="0" w:color="auto"/>
                  </w:divBdr>
                  <w:divsChild>
                    <w:div w:id="62331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13978">
      <w:bodyDiv w:val="1"/>
      <w:marLeft w:val="0"/>
      <w:marRight w:val="0"/>
      <w:marTop w:val="0"/>
      <w:marBottom w:val="0"/>
      <w:divBdr>
        <w:top w:val="none" w:sz="0" w:space="0" w:color="auto"/>
        <w:left w:val="none" w:sz="0" w:space="0" w:color="auto"/>
        <w:bottom w:val="none" w:sz="0" w:space="0" w:color="auto"/>
        <w:right w:val="none" w:sz="0" w:space="0" w:color="auto"/>
      </w:divBdr>
      <w:divsChild>
        <w:div w:id="33124186">
          <w:marLeft w:val="0"/>
          <w:marRight w:val="0"/>
          <w:marTop w:val="0"/>
          <w:marBottom w:val="0"/>
          <w:divBdr>
            <w:top w:val="none" w:sz="0" w:space="0" w:color="auto"/>
            <w:left w:val="none" w:sz="0" w:space="0" w:color="auto"/>
            <w:bottom w:val="none" w:sz="0" w:space="0" w:color="auto"/>
            <w:right w:val="none" w:sz="0" w:space="0" w:color="auto"/>
          </w:divBdr>
          <w:divsChild>
            <w:div w:id="1275987615">
              <w:marLeft w:val="0"/>
              <w:marRight w:val="0"/>
              <w:marTop w:val="0"/>
              <w:marBottom w:val="0"/>
              <w:divBdr>
                <w:top w:val="none" w:sz="0" w:space="0" w:color="auto"/>
                <w:left w:val="none" w:sz="0" w:space="0" w:color="auto"/>
                <w:bottom w:val="none" w:sz="0" w:space="0" w:color="auto"/>
                <w:right w:val="none" w:sz="0" w:space="0" w:color="auto"/>
              </w:divBdr>
              <w:divsChild>
                <w:div w:id="182755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00914">
      <w:bodyDiv w:val="1"/>
      <w:marLeft w:val="0"/>
      <w:marRight w:val="0"/>
      <w:marTop w:val="0"/>
      <w:marBottom w:val="0"/>
      <w:divBdr>
        <w:top w:val="none" w:sz="0" w:space="0" w:color="auto"/>
        <w:left w:val="none" w:sz="0" w:space="0" w:color="auto"/>
        <w:bottom w:val="none" w:sz="0" w:space="0" w:color="auto"/>
        <w:right w:val="none" w:sz="0" w:space="0" w:color="auto"/>
      </w:divBdr>
      <w:divsChild>
        <w:div w:id="641617422">
          <w:marLeft w:val="0"/>
          <w:marRight w:val="0"/>
          <w:marTop w:val="0"/>
          <w:marBottom w:val="0"/>
          <w:divBdr>
            <w:top w:val="none" w:sz="0" w:space="0" w:color="auto"/>
            <w:left w:val="none" w:sz="0" w:space="0" w:color="auto"/>
            <w:bottom w:val="none" w:sz="0" w:space="0" w:color="auto"/>
            <w:right w:val="none" w:sz="0" w:space="0" w:color="auto"/>
          </w:divBdr>
          <w:divsChild>
            <w:div w:id="1148207089">
              <w:marLeft w:val="0"/>
              <w:marRight w:val="0"/>
              <w:marTop w:val="0"/>
              <w:marBottom w:val="0"/>
              <w:divBdr>
                <w:top w:val="none" w:sz="0" w:space="0" w:color="auto"/>
                <w:left w:val="none" w:sz="0" w:space="0" w:color="auto"/>
                <w:bottom w:val="none" w:sz="0" w:space="0" w:color="auto"/>
                <w:right w:val="none" w:sz="0" w:space="0" w:color="auto"/>
              </w:divBdr>
              <w:divsChild>
                <w:div w:id="97540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22977">
      <w:bodyDiv w:val="1"/>
      <w:marLeft w:val="0"/>
      <w:marRight w:val="0"/>
      <w:marTop w:val="0"/>
      <w:marBottom w:val="0"/>
      <w:divBdr>
        <w:top w:val="none" w:sz="0" w:space="0" w:color="auto"/>
        <w:left w:val="none" w:sz="0" w:space="0" w:color="auto"/>
        <w:bottom w:val="none" w:sz="0" w:space="0" w:color="auto"/>
        <w:right w:val="none" w:sz="0" w:space="0" w:color="auto"/>
      </w:divBdr>
    </w:div>
    <w:div w:id="202596517">
      <w:bodyDiv w:val="1"/>
      <w:marLeft w:val="0"/>
      <w:marRight w:val="0"/>
      <w:marTop w:val="0"/>
      <w:marBottom w:val="0"/>
      <w:divBdr>
        <w:top w:val="none" w:sz="0" w:space="0" w:color="auto"/>
        <w:left w:val="none" w:sz="0" w:space="0" w:color="auto"/>
        <w:bottom w:val="none" w:sz="0" w:space="0" w:color="auto"/>
        <w:right w:val="none" w:sz="0" w:space="0" w:color="auto"/>
      </w:divBdr>
    </w:div>
    <w:div w:id="234633569">
      <w:bodyDiv w:val="1"/>
      <w:marLeft w:val="0"/>
      <w:marRight w:val="0"/>
      <w:marTop w:val="0"/>
      <w:marBottom w:val="0"/>
      <w:divBdr>
        <w:top w:val="none" w:sz="0" w:space="0" w:color="auto"/>
        <w:left w:val="none" w:sz="0" w:space="0" w:color="auto"/>
        <w:bottom w:val="none" w:sz="0" w:space="0" w:color="auto"/>
        <w:right w:val="none" w:sz="0" w:space="0" w:color="auto"/>
      </w:divBdr>
      <w:divsChild>
        <w:div w:id="2069065990">
          <w:marLeft w:val="0"/>
          <w:marRight w:val="0"/>
          <w:marTop w:val="0"/>
          <w:marBottom w:val="0"/>
          <w:divBdr>
            <w:top w:val="none" w:sz="0" w:space="0" w:color="auto"/>
            <w:left w:val="none" w:sz="0" w:space="0" w:color="auto"/>
            <w:bottom w:val="none" w:sz="0" w:space="0" w:color="auto"/>
            <w:right w:val="none" w:sz="0" w:space="0" w:color="auto"/>
          </w:divBdr>
          <w:divsChild>
            <w:div w:id="1402676690">
              <w:marLeft w:val="0"/>
              <w:marRight w:val="0"/>
              <w:marTop w:val="0"/>
              <w:marBottom w:val="0"/>
              <w:divBdr>
                <w:top w:val="none" w:sz="0" w:space="0" w:color="auto"/>
                <w:left w:val="none" w:sz="0" w:space="0" w:color="auto"/>
                <w:bottom w:val="none" w:sz="0" w:space="0" w:color="auto"/>
                <w:right w:val="none" w:sz="0" w:space="0" w:color="auto"/>
              </w:divBdr>
              <w:divsChild>
                <w:div w:id="119295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632412">
      <w:bodyDiv w:val="1"/>
      <w:marLeft w:val="0"/>
      <w:marRight w:val="0"/>
      <w:marTop w:val="0"/>
      <w:marBottom w:val="0"/>
      <w:divBdr>
        <w:top w:val="none" w:sz="0" w:space="0" w:color="auto"/>
        <w:left w:val="none" w:sz="0" w:space="0" w:color="auto"/>
        <w:bottom w:val="none" w:sz="0" w:space="0" w:color="auto"/>
        <w:right w:val="none" w:sz="0" w:space="0" w:color="auto"/>
      </w:divBdr>
    </w:div>
    <w:div w:id="275064881">
      <w:bodyDiv w:val="1"/>
      <w:marLeft w:val="0"/>
      <w:marRight w:val="0"/>
      <w:marTop w:val="0"/>
      <w:marBottom w:val="0"/>
      <w:divBdr>
        <w:top w:val="none" w:sz="0" w:space="0" w:color="auto"/>
        <w:left w:val="none" w:sz="0" w:space="0" w:color="auto"/>
        <w:bottom w:val="none" w:sz="0" w:space="0" w:color="auto"/>
        <w:right w:val="none" w:sz="0" w:space="0" w:color="auto"/>
      </w:divBdr>
    </w:div>
    <w:div w:id="353850604">
      <w:bodyDiv w:val="1"/>
      <w:marLeft w:val="0"/>
      <w:marRight w:val="0"/>
      <w:marTop w:val="0"/>
      <w:marBottom w:val="0"/>
      <w:divBdr>
        <w:top w:val="none" w:sz="0" w:space="0" w:color="auto"/>
        <w:left w:val="none" w:sz="0" w:space="0" w:color="auto"/>
        <w:bottom w:val="none" w:sz="0" w:space="0" w:color="auto"/>
        <w:right w:val="none" w:sz="0" w:space="0" w:color="auto"/>
      </w:divBdr>
    </w:div>
    <w:div w:id="365452426">
      <w:bodyDiv w:val="1"/>
      <w:marLeft w:val="0"/>
      <w:marRight w:val="0"/>
      <w:marTop w:val="0"/>
      <w:marBottom w:val="0"/>
      <w:divBdr>
        <w:top w:val="none" w:sz="0" w:space="0" w:color="auto"/>
        <w:left w:val="none" w:sz="0" w:space="0" w:color="auto"/>
        <w:bottom w:val="none" w:sz="0" w:space="0" w:color="auto"/>
        <w:right w:val="none" w:sz="0" w:space="0" w:color="auto"/>
      </w:divBdr>
    </w:div>
    <w:div w:id="430931042">
      <w:bodyDiv w:val="1"/>
      <w:marLeft w:val="0"/>
      <w:marRight w:val="0"/>
      <w:marTop w:val="0"/>
      <w:marBottom w:val="0"/>
      <w:divBdr>
        <w:top w:val="none" w:sz="0" w:space="0" w:color="auto"/>
        <w:left w:val="none" w:sz="0" w:space="0" w:color="auto"/>
        <w:bottom w:val="none" w:sz="0" w:space="0" w:color="auto"/>
        <w:right w:val="none" w:sz="0" w:space="0" w:color="auto"/>
      </w:divBdr>
      <w:divsChild>
        <w:div w:id="117341680">
          <w:marLeft w:val="0"/>
          <w:marRight w:val="0"/>
          <w:marTop w:val="0"/>
          <w:marBottom w:val="0"/>
          <w:divBdr>
            <w:top w:val="none" w:sz="0" w:space="0" w:color="auto"/>
            <w:left w:val="none" w:sz="0" w:space="0" w:color="auto"/>
            <w:bottom w:val="none" w:sz="0" w:space="0" w:color="auto"/>
            <w:right w:val="none" w:sz="0" w:space="0" w:color="auto"/>
          </w:divBdr>
          <w:divsChild>
            <w:div w:id="995376906">
              <w:marLeft w:val="0"/>
              <w:marRight w:val="0"/>
              <w:marTop w:val="0"/>
              <w:marBottom w:val="0"/>
              <w:divBdr>
                <w:top w:val="none" w:sz="0" w:space="0" w:color="auto"/>
                <w:left w:val="none" w:sz="0" w:space="0" w:color="auto"/>
                <w:bottom w:val="none" w:sz="0" w:space="0" w:color="auto"/>
                <w:right w:val="none" w:sz="0" w:space="0" w:color="auto"/>
              </w:divBdr>
              <w:divsChild>
                <w:div w:id="121878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49754">
      <w:bodyDiv w:val="1"/>
      <w:marLeft w:val="0"/>
      <w:marRight w:val="0"/>
      <w:marTop w:val="0"/>
      <w:marBottom w:val="0"/>
      <w:divBdr>
        <w:top w:val="none" w:sz="0" w:space="0" w:color="auto"/>
        <w:left w:val="none" w:sz="0" w:space="0" w:color="auto"/>
        <w:bottom w:val="none" w:sz="0" w:space="0" w:color="auto"/>
        <w:right w:val="none" w:sz="0" w:space="0" w:color="auto"/>
      </w:divBdr>
    </w:div>
    <w:div w:id="460539354">
      <w:bodyDiv w:val="1"/>
      <w:marLeft w:val="0"/>
      <w:marRight w:val="0"/>
      <w:marTop w:val="0"/>
      <w:marBottom w:val="0"/>
      <w:divBdr>
        <w:top w:val="none" w:sz="0" w:space="0" w:color="auto"/>
        <w:left w:val="none" w:sz="0" w:space="0" w:color="auto"/>
        <w:bottom w:val="none" w:sz="0" w:space="0" w:color="auto"/>
        <w:right w:val="none" w:sz="0" w:space="0" w:color="auto"/>
      </w:divBdr>
      <w:divsChild>
        <w:div w:id="595987474">
          <w:marLeft w:val="0"/>
          <w:marRight w:val="0"/>
          <w:marTop w:val="0"/>
          <w:marBottom w:val="0"/>
          <w:divBdr>
            <w:top w:val="none" w:sz="0" w:space="0" w:color="auto"/>
            <w:left w:val="none" w:sz="0" w:space="0" w:color="auto"/>
            <w:bottom w:val="none" w:sz="0" w:space="0" w:color="auto"/>
            <w:right w:val="none" w:sz="0" w:space="0" w:color="auto"/>
          </w:divBdr>
          <w:divsChild>
            <w:div w:id="2064601925">
              <w:marLeft w:val="0"/>
              <w:marRight w:val="0"/>
              <w:marTop w:val="0"/>
              <w:marBottom w:val="0"/>
              <w:divBdr>
                <w:top w:val="none" w:sz="0" w:space="0" w:color="auto"/>
                <w:left w:val="none" w:sz="0" w:space="0" w:color="auto"/>
                <w:bottom w:val="none" w:sz="0" w:space="0" w:color="auto"/>
                <w:right w:val="none" w:sz="0" w:space="0" w:color="auto"/>
              </w:divBdr>
              <w:divsChild>
                <w:div w:id="1011185108">
                  <w:marLeft w:val="0"/>
                  <w:marRight w:val="0"/>
                  <w:marTop w:val="0"/>
                  <w:marBottom w:val="0"/>
                  <w:divBdr>
                    <w:top w:val="none" w:sz="0" w:space="0" w:color="auto"/>
                    <w:left w:val="none" w:sz="0" w:space="0" w:color="auto"/>
                    <w:bottom w:val="none" w:sz="0" w:space="0" w:color="auto"/>
                    <w:right w:val="none" w:sz="0" w:space="0" w:color="auto"/>
                  </w:divBdr>
                  <w:divsChild>
                    <w:div w:id="181810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818661">
      <w:bodyDiv w:val="1"/>
      <w:marLeft w:val="0"/>
      <w:marRight w:val="0"/>
      <w:marTop w:val="0"/>
      <w:marBottom w:val="0"/>
      <w:divBdr>
        <w:top w:val="none" w:sz="0" w:space="0" w:color="auto"/>
        <w:left w:val="none" w:sz="0" w:space="0" w:color="auto"/>
        <w:bottom w:val="none" w:sz="0" w:space="0" w:color="auto"/>
        <w:right w:val="none" w:sz="0" w:space="0" w:color="auto"/>
      </w:divBdr>
    </w:div>
    <w:div w:id="559639034">
      <w:bodyDiv w:val="1"/>
      <w:marLeft w:val="0"/>
      <w:marRight w:val="0"/>
      <w:marTop w:val="0"/>
      <w:marBottom w:val="0"/>
      <w:divBdr>
        <w:top w:val="none" w:sz="0" w:space="0" w:color="auto"/>
        <w:left w:val="none" w:sz="0" w:space="0" w:color="auto"/>
        <w:bottom w:val="none" w:sz="0" w:space="0" w:color="auto"/>
        <w:right w:val="none" w:sz="0" w:space="0" w:color="auto"/>
      </w:divBdr>
    </w:div>
    <w:div w:id="569586149">
      <w:bodyDiv w:val="1"/>
      <w:marLeft w:val="0"/>
      <w:marRight w:val="0"/>
      <w:marTop w:val="0"/>
      <w:marBottom w:val="0"/>
      <w:divBdr>
        <w:top w:val="none" w:sz="0" w:space="0" w:color="auto"/>
        <w:left w:val="none" w:sz="0" w:space="0" w:color="auto"/>
        <w:bottom w:val="none" w:sz="0" w:space="0" w:color="auto"/>
        <w:right w:val="none" w:sz="0" w:space="0" w:color="auto"/>
      </w:divBdr>
    </w:div>
    <w:div w:id="623971599">
      <w:bodyDiv w:val="1"/>
      <w:marLeft w:val="0"/>
      <w:marRight w:val="0"/>
      <w:marTop w:val="0"/>
      <w:marBottom w:val="0"/>
      <w:divBdr>
        <w:top w:val="none" w:sz="0" w:space="0" w:color="auto"/>
        <w:left w:val="none" w:sz="0" w:space="0" w:color="auto"/>
        <w:bottom w:val="none" w:sz="0" w:space="0" w:color="auto"/>
        <w:right w:val="none" w:sz="0" w:space="0" w:color="auto"/>
      </w:divBdr>
    </w:div>
    <w:div w:id="664285675">
      <w:bodyDiv w:val="1"/>
      <w:marLeft w:val="0"/>
      <w:marRight w:val="0"/>
      <w:marTop w:val="0"/>
      <w:marBottom w:val="0"/>
      <w:divBdr>
        <w:top w:val="none" w:sz="0" w:space="0" w:color="auto"/>
        <w:left w:val="none" w:sz="0" w:space="0" w:color="auto"/>
        <w:bottom w:val="none" w:sz="0" w:space="0" w:color="auto"/>
        <w:right w:val="none" w:sz="0" w:space="0" w:color="auto"/>
      </w:divBdr>
      <w:divsChild>
        <w:div w:id="1964194431">
          <w:marLeft w:val="0"/>
          <w:marRight w:val="0"/>
          <w:marTop w:val="0"/>
          <w:marBottom w:val="0"/>
          <w:divBdr>
            <w:top w:val="none" w:sz="0" w:space="0" w:color="auto"/>
            <w:left w:val="none" w:sz="0" w:space="0" w:color="auto"/>
            <w:bottom w:val="none" w:sz="0" w:space="0" w:color="auto"/>
            <w:right w:val="none" w:sz="0" w:space="0" w:color="auto"/>
          </w:divBdr>
          <w:divsChild>
            <w:div w:id="1939098002">
              <w:marLeft w:val="0"/>
              <w:marRight w:val="0"/>
              <w:marTop w:val="0"/>
              <w:marBottom w:val="0"/>
              <w:divBdr>
                <w:top w:val="none" w:sz="0" w:space="0" w:color="auto"/>
                <w:left w:val="none" w:sz="0" w:space="0" w:color="auto"/>
                <w:bottom w:val="none" w:sz="0" w:space="0" w:color="auto"/>
                <w:right w:val="none" w:sz="0" w:space="0" w:color="auto"/>
              </w:divBdr>
              <w:divsChild>
                <w:div w:id="157361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332383">
      <w:bodyDiv w:val="1"/>
      <w:marLeft w:val="0"/>
      <w:marRight w:val="0"/>
      <w:marTop w:val="0"/>
      <w:marBottom w:val="0"/>
      <w:divBdr>
        <w:top w:val="none" w:sz="0" w:space="0" w:color="auto"/>
        <w:left w:val="none" w:sz="0" w:space="0" w:color="auto"/>
        <w:bottom w:val="none" w:sz="0" w:space="0" w:color="auto"/>
        <w:right w:val="none" w:sz="0" w:space="0" w:color="auto"/>
      </w:divBdr>
    </w:div>
    <w:div w:id="898785080">
      <w:bodyDiv w:val="1"/>
      <w:marLeft w:val="0"/>
      <w:marRight w:val="0"/>
      <w:marTop w:val="0"/>
      <w:marBottom w:val="0"/>
      <w:divBdr>
        <w:top w:val="none" w:sz="0" w:space="0" w:color="auto"/>
        <w:left w:val="none" w:sz="0" w:space="0" w:color="auto"/>
        <w:bottom w:val="none" w:sz="0" w:space="0" w:color="auto"/>
        <w:right w:val="none" w:sz="0" w:space="0" w:color="auto"/>
      </w:divBdr>
    </w:div>
    <w:div w:id="922957044">
      <w:bodyDiv w:val="1"/>
      <w:marLeft w:val="0"/>
      <w:marRight w:val="0"/>
      <w:marTop w:val="0"/>
      <w:marBottom w:val="0"/>
      <w:divBdr>
        <w:top w:val="none" w:sz="0" w:space="0" w:color="auto"/>
        <w:left w:val="none" w:sz="0" w:space="0" w:color="auto"/>
        <w:bottom w:val="none" w:sz="0" w:space="0" w:color="auto"/>
        <w:right w:val="none" w:sz="0" w:space="0" w:color="auto"/>
      </w:divBdr>
      <w:divsChild>
        <w:div w:id="1124351599">
          <w:marLeft w:val="0"/>
          <w:marRight w:val="0"/>
          <w:marTop w:val="0"/>
          <w:marBottom w:val="0"/>
          <w:divBdr>
            <w:top w:val="none" w:sz="0" w:space="0" w:color="auto"/>
            <w:left w:val="none" w:sz="0" w:space="0" w:color="auto"/>
            <w:bottom w:val="none" w:sz="0" w:space="0" w:color="auto"/>
            <w:right w:val="none" w:sz="0" w:space="0" w:color="auto"/>
          </w:divBdr>
          <w:divsChild>
            <w:div w:id="1257058279">
              <w:marLeft w:val="0"/>
              <w:marRight w:val="0"/>
              <w:marTop w:val="0"/>
              <w:marBottom w:val="0"/>
              <w:divBdr>
                <w:top w:val="none" w:sz="0" w:space="0" w:color="auto"/>
                <w:left w:val="none" w:sz="0" w:space="0" w:color="auto"/>
                <w:bottom w:val="none" w:sz="0" w:space="0" w:color="auto"/>
                <w:right w:val="none" w:sz="0" w:space="0" w:color="auto"/>
              </w:divBdr>
              <w:divsChild>
                <w:div w:id="66246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064192">
      <w:bodyDiv w:val="1"/>
      <w:marLeft w:val="0"/>
      <w:marRight w:val="0"/>
      <w:marTop w:val="0"/>
      <w:marBottom w:val="0"/>
      <w:divBdr>
        <w:top w:val="none" w:sz="0" w:space="0" w:color="auto"/>
        <w:left w:val="none" w:sz="0" w:space="0" w:color="auto"/>
        <w:bottom w:val="none" w:sz="0" w:space="0" w:color="auto"/>
        <w:right w:val="none" w:sz="0" w:space="0" w:color="auto"/>
      </w:divBdr>
    </w:div>
    <w:div w:id="957955870">
      <w:bodyDiv w:val="1"/>
      <w:marLeft w:val="0"/>
      <w:marRight w:val="0"/>
      <w:marTop w:val="0"/>
      <w:marBottom w:val="0"/>
      <w:divBdr>
        <w:top w:val="none" w:sz="0" w:space="0" w:color="auto"/>
        <w:left w:val="none" w:sz="0" w:space="0" w:color="auto"/>
        <w:bottom w:val="none" w:sz="0" w:space="0" w:color="auto"/>
        <w:right w:val="none" w:sz="0" w:space="0" w:color="auto"/>
      </w:divBdr>
      <w:divsChild>
        <w:div w:id="1990285496">
          <w:marLeft w:val="0"/>
          <w:marRight w:val="0"/>
          <w:marTop w:val="0"/>
          <w:marBottom w:val="0"/>
          <w:divBdr>
            <w:top w:val="none" w:sz="0" w:space="0" w:color="auto"/>
            <w:left w:val="none" w:sz="0" w:space="0" w:color="auto"/>
            <w:bottom w:val="none" w:sz="0" w:space="0" w:color="auto"/>
            <w:right w:val="none" w:sz="0" w:space="0" w:color="auto"/>
          </w:divBdr>
          <w:divsChild>
            <w:div w:id="318971495">
              <w:marLeft w:val="0"/>
              <w:marRight w:val="0"/>
              <w:marTop w:val="0"/>
              <w:marBottom w:val="0"/>
              <w:divBdr>
                <w:top w:val="none" w:sz="0" w:space="0" w:color="auto"/>
                <w:left w:val="none" w:sz="0" w:space="0" w:color="auto"/>
                <w:bottom w:val="none" w:sz="0" w:space="0" w:color="auto"/>
                <w:right w:val="none" w:sz="0" w:space="0" w:color="auto"/>
              </w:divBdr>
              <w:divsChild>
                <w:div w:id="1385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93918">
      <w:bodyDiv w:val="1"/>
      <w:marLeft w:val="0"/>
      <w:marRight w:val="0"/>
      <w:marTop w:val="0"/>
      <w:marBottom w:val="0"/>
      <w:divBdr>
        <w:top w:val="none" w:sz="0" w:space="0" w:color="auto"/>
        <w:left w:val="none" w:sz="0" w:space="0" w:color="auto"/>
        <w:bottom w:val="none" w:sz="0" w:space="0" w:color="auto"/>
        <w:right w:val="none" w:sz="0" w:space="0" w:color="auto"/>
      </w:divBdr>
    </w:div>
    <w:div w:id="1028070856">
      <w:bodyDiv w:val="1"/>
      <w:marLeft w:val="0"/>
      <w:marRight w:val="0"/>
      <w:marTop w:val="0"/>
      <w:marBottom w:val="0"/>
      <w:divBdr>
        <w:top w:val="none" w:sz="0" w:space="0" w:color="auto"/>
        <w:left w:val="none" w:sz="0" w:space="0" w:color="auto"/>
        <w:bottom w:val="none" w:sz="0" w:space="0" w:color="auto"/>
        <w:right w:val="none" w:sz="0" w:space="0" w:color="auto"/>
      </w:divBdr>
    </w:div>
    <w:div w:id="1028795170">
      <w:bodyDiv w:val="1"/>
      <w:marLeft w:val="0"/>
      <w:marRight w:val="0"/>
      <w:marTop w:val="0"/>
      <w:marBottom w:val="0"/>
      <w:divBdr>
        <w:top w:val="none" w:sz="0" w:space="0" w:color="auto"/>
        <w:left w:val="none" w:sz="0" w:space="0" w:color="auto"/>
        <w:bottom w:val="none" w:sz="0" w:space="0" w:color="auto"/>
        <w:right w:val="none" w:sz="0" w:space="0" w:color="auto"/>
      </w:divBdr>
    </w:div>
    <w:div w:id="1062212038">
      <w:bodyDiv w:val="1"/>
      <w:marLeft w:val="0"/>
      <w:marRight w:val="0"/>
      <w:marTop w:val="0"/>
      <w:marBottom w:val="0"/>
      <w:divBdr>
        <w:top w:val="none" w:sz="0" w:space="0" w:color="auto"/>
        <w:left w:val="none" w:sz="0" w:space="0" w:color="auto"/>
        <w:bottom w:val="none" w:sz="0" w:space="0" w:color="auto"/>
        <w:right w:val="none" w:sz="0" w:space="0" w:color="auto"/>
      </w:divBdr>
      <w:divsChild>
        <w:div w:id="1589340165">
          <w:marLeft w:val="0"/>
          <w:marRight w:val="0"/>
          <w:marTop w:val="0"/>
          <w:marBottom w:val="0"/>
          <w:divBdr>
            <w:top w:val="none" w:sz="0" w:space="0" w:color="auto"/>
            <w:left w:val="none" w:sz="0" w:space="0" w:color="auto"/>
            <w:bottom w:val="none" w:sz="0" w:space="0" w:color="auto"/>
            <w:right w:val="none" w:sz="0" w:space="0" w:color="auto"/>
          </w:divBdr>
          <w:divsChild>
            <w:div w:id="821655790">
              <w:marLeft w:val="0"/>
              <w:marRight w:val="0"/>
              <w:marTop w:val="0"/>
              <w:marBottom w:val="0"/>
              <w:divBdr>
                <w:top w:val="none" w:sz="0" w:space="0" w:color="auto"/>
                <w:left w:val="none" w:sz="0" w:space="0" w:color="auto"/>
                <w:bottom w:val="none" w:sz="0" w:space="0" w:color="auto"/>
                <w:right w:val="none" w:sz="0" w:space="0" w:color="auto"/>
              </w:divBdr>
              <w:divsChild>
                <w:div w:id="113013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445364">
      <w:bodyDiv w:val="1"/>
      <w:marLeft w:val="0"/>
      <w:marRight w:val="0"/>
      <w:marTop w:val="0"/>
      <w:marBottom w:val="0"/>
      <w:divBdr>
        <w:top w:val="none" w:sz="0" w:space="0" w:color="auto"/>
        <w:left w:val="none" w:sz="0" w:space="0" w:color="auto"/>
        <w:bottom w:val="none" w:sz="0" w:space="0" w:color="auto"/>
        <w:right w:val="none" w:sz="0" w:space="0" w:color="auto"/>
      </w:divBdr>
      <w:divsChild>
        <w:div w:id="1653291611">
          <w:marLeft w:val="0"/>
          <w:marRight w:val="0"/>
          <w:marTop w:val="0"/>
          <w:marBottom w:val="0"/>
          <w:divBdr>
            <w:top w:val="none" w:sz="0" w:space="0" w:color="auto"/>
            <w:left w:val="none" w:sz="0" w:space="0" w:color="auto"/>
            <w:bottom w:val="none" w:sz="0" w:space="0" w:color="auto"/>
            <w:right w:val="none" w:sz="0" w:space="0" w:color="auto"/>
          </w:divBdr>
          <w:divsChild>
            <w:div w:id="673654946">
              <w:marLeft w:val="0"/>
              <w:marRight w:val="0"/>
              <w:marTop w:val="0"/>
              <w:marBottom w:val="0"/>
              <w:divBdr>
                <w:top w:val="none" w:sz="0" w:space="0" w:color="auto"/>
                <w:left w:val="none" w:sz="0" w:space="0" w:color="auto"/>
                <w:bottom w:val="none" w:sz="0" w:space="0" w:color="auto"/>
                <w:right w:val="none" w:sz="0" w:space="0" w:color="auto"/>
              </w:divBdr>
              <w:divsChild>
                <w:div w:id="34472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735242">
      <w:bodyDiv w:val="1"/>
      <w:marLeft w:val="0"/>
      <w:marRight w:val="0"/>
      <w:marTop w:val="0"/>
      <w:marBottom w:val="0"/>
      <w:divBdr>
        <w:top w:val="none" w:sz="0" w:space="0" w:color="auto"/>
        <w:left w:val="none" w:sz="0" w:space="0" w:color="auto"/>
        <w:bottom w:val="none" w:sz="0" w:space="0" w:color="auto"/>
        <w:right w:val="none" w:sz="0" w:space="0" w:color="auto"/>
      </w:divBdr>
      <w:divsChild>
        <w:div w:id="240524875">
          <w:marLeft w:val="0"/>
          <w:marRight w:val="0"/>
          <w:marTop w:val="0"/>
          <w:marBottom w:val="0"/>
          <w:divBdr>
            <w:top w:val="none" w:sz="0" w:space="0" w:color="auto"/>
            <w:left w:val="none" w:sz="0" w:space="0" w:color="auto"/>
            <w:bottom w:val="none" w:sz="0" w:space="0" w:color="auto"/>
            <w:right w:val="none" w:sz="0" w:space="0" w:color="auto"/>
          </w:divBdr>
          <w:divsChild>
            <w:div w:id="1471942821">
              <w:marLeft w:val="0"/>
              <w:marRight w:val="0"/>
              <w:marTop w:val="0"/>
              <w:marBottom w:val="0"/>
              <w:divBdr>
                <w:top w:val="none" w:sz="0" w:space="0" w:color="auto"/>
                <w:left w:val="none" w:sz="0" w:space="0" w:color="auto"/>
                <w:bottom w:val="none" w:sz="0" w:space="0" w:color="auto"/>
                <w:right w:val="none" w:sz="0" w:space="0" w:color="auto"/>
              </w:divBdr>
              <w:divsChild>
                <w:div w:id="2113554082">
                  <w:marLeft w:val="0"/>
                  <w:marRight w:val="0"/>
                  <w:marTop w:val="0"/>
                  <w:marBottom w:val="0"/>
                  <w:divBdr>
                    <w:top w:val="none" w:sz="0" w:space="0" w:color="auto"/>
                    <w:left w:val="none" w:sz="0" w:space="0" w:color="auto"/>
                    <w:bottom w:val="none" w:sz="0" w:space="0" w:color="auto"/>
                    <w:right w:val="none" w:sz="0" w:space="0" w:color="auto"/>
                  </w:divBdr>
                  <w:divsChild>
                    <w:div w:id="50555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806897">
      <w:bodyDiv w:val="1"/>
      <w:marLeft w:val="0"/>
      <w:marRight w:val="0"/>
      <w:marTop w:val="0"/>
      <w:marBottom w:val="0"/>
      <w:divBdr>
        <w:top w:val="none" w:sz="0" w:space="0" w:color="auto"/>
        <w:left w:val="none" w:sz="0" w:space="0" w:color="auto"/>
        <w:bottom w:val="none" w:sz="0" w:space="0" w:color="auto"/>
        <w:right w:val="none" w:sz="0" w:space="0" w:color="auto"/>
      </w:divBdr>
      <w:divsChild>
        <w:div w:id="282462247">
          <w:marLeft w:val="0"/>
          <w:marRight w:val="0"/>
          <w:marTop w:val="0"/>
          <w:marBottom w:val="0"/>
          <w:divBdr>
            <w:top w:val="none" w:sz="0" w:space="0" w:color="auto"/>
            <w:left w:val="none" w:sz="0" w:space="0" w:color="auto"/>
            <w:bottom w:val="none" w:sz="0" w:space="0" w:color="auto"/>
            <w:right w:val="none" w:sz="0" w:space="0" w:color="auto"/>
          </w:divBdr>
          <w:divsChild>
            <w:div w:id="408503128">
              <w:marLeft w:val="0"/>
              <w:marRight w:val="0"/>
              <w:marTop w:val="0"/>
              <w:marBottom w:val="0"/>
              <w:divBdr>
                <w:top w:val="none" w:sz="0" w:space="0" w:color="auto"/>
                <w:left w:val="none" w:sz="0" w:space="0" w:color="auto"/>
                <w:bottom w:val="none" w:sz="0" w:space="0" w:color="auto"/>
                <w:right w:val="none" w:sz="0" w:space="0" w:color="auto"/>
              </w:divBdr>
              <w:divsChild>
                <w:div w:id="1563758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86231">
      <w:bodyDiv w:val="1"/>
      <w:marLeft w:val="0"/>
      <w:marRight w:val="0"/>
      <w:marTop w:val="0"/>
      <w:marBottom w:val="0"/>
      <w:divBdr>
        <w:top w:val="none" w:sz="0" w:space="0" w:color="auto"/>
        <w:left w:val="none" w:sz="0" w:space="0" w:color="auto"/>
        <w:bottom w:val="none" w:sz="0" w:space="0" w:color="auto"/>
        <w:right w:val="none" w:sz="0" w:space="0" w:color="auto"/>
      </w:divBdr>
    </w:div>
    <w:div w:id="1464731529">
      <w:bodyDiv w:val="1"/>
      <w:marLeft w:val="0"/>
      <w:marRight w:val="0"/>
      <w:marTop w:val="0"/>
      <w:marBottom w:val="0"/>
      <w:divBdr>
        <w:top w:val="none" w:sz="0" w:space="0" w:color="auto"/>
        <w:left w:val="none" w:sz="0" w:space="0" w:color="auto"/>
        <w:bottom w:val="none" w:sz="0" w:space="0" w:color="auto"/>
        <w:right w:val="none" w:sz="0" w:space="0" w:color="auto"/>
      </w:divBdr>
    </w:div>
    <w:div w:id="1480927599">
      <w:bodyDiv w:val="1"/>
      <w:marLeft w:val="0"/>
      <w:marRight w:val="0"/>
      <w:marTop w:val="0"/>
      <w:marBottom w:val="0"/>
      <w:divBdr>
        <w:top w:val="none" w:sz="0" w:space="0" w:color="auto"/>
        <w:left w:val="none" w:sz="0" w:space="0" w:color="auto"/>
        <w:bottom w:val="none" w:sz="0" w:space="0" w:color="auto"/>
        <w:right w:val="none" w:sz="0" w:space="0" w:color="auto"/>
      </w:divBdr>
      <w:divsChild>
        <w:div w:id="1452898365">
          <w:marLeft w:val="0"/>
          <w:marRight w:val="0"/>
          <w:marTop w:val="0"/>
          <w:marBottom w:val="0"/>
          <w:divBdr>
            <w:top w:val="none" w:sz="0" w:space="0" w:color="auto"/>
            <w:left w:val="none" w:sz="0" w:space="0" w:color="auto"/>
            <w:bottom w:val="none" w:sz="0" w:space="0" w:color="auto"/>
            <w:right w:val="none" w:sz="0" w:space="0" w:color="auto"/>
          </w:divBdr>
          <w:divsChild>
            <w:div w:id="2021620677">
              <w:marLeft w:val="0"/>
              <w:marRight w:val="0"/>
              <w:marTop w:val="0"/>
              <w:marBottom w:val="0"/>
              <w:divBdr>
                <w:top w:val="none" w:sz="0" w:space="0" w:color="auto"/>
                <w:left w:val="none" w:sz="0" w:space="0" w:color="auto"/>
                <w:bottom w:val="none" w:sz="0" w:space="0" w:color="auto"/>
                <w:right w:val="none" w:sz="0" w:space="0" w:color="auto"/>
              </w:divBdr>
              <w:divsChild>
                <w:div w:id="18725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047840">
      <w:bodyDiv w:val="1"/>
      <w:marLeft w:val="0"/>
      <w:marRight w:val="0"/>
      <w:marTop w:val="0"/>
      <w:marBottom w:val="0"/>
      <w:divBdr>
        <w:top w:val="none" w:sz="0" w:space="0" w:color="auto"/>
        <w:left w:val="none" w:sz="0" w:space="0" w:color="auto"/>
        <w:bottom w:val="none" w:sz="0" w:space="0" w:color="auto"/>
        <w:right w:val="none" w:sz="0" w:space="0" w:color="auto"/>
      </w:divBdr>
      <w:divsChild>
        <w:div w:id="889538787">
          <w:marLeft w:val="0"/>
          <w:marRight w:val="0"/>
          <w:marTop w:val="0"/>
          <w:marBottom w:val="0"/>
          <w:divBdr>
            <w:top w:val="none" w:sz="0" w:space="0" w:color="auto"/>
            <w:left w:val="none" w:sz="0" w:space="0" w:color="auto"/>
            <w:bottom w:val="none" w:sz="0" w:space="0" w:color="auto"/>
            <w:right w:val="none" w:sz="0" w:space="0" w:color="auto"/>
          </w:divBdr>
          <w:divsChild>
            <w:div w:id="1588422297">
              <w:marLeft w:val="0"/>
              <w:marRight w:val="0"/>
              <w:marTop w:val="0"/>
              <w:marBottom w:val="0"/>
              <w:divBdr>
                <w:top w:val="none" w:sz="0" w:space="0" w:color="auto"/>
                <w:left w:val="none" w:sz="0" w:space="0" w:color="auto"/>
                <w:bottom w:val="none" w:sz="0" w:space="0" w:color="auto"/>
                <w:right w:val="none" w:sz="0" w:space="0" w:color="auto"/>
              </w:divBdr>
              <w:divsChild>
                <w:div w:id="162912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525970">
      <w:bodyDiv w:val="1"/>
      <w:marLeft w:val="0"/>
      <w:marRight w:val="0"/>
      <w:marTop w:val="0"/>
      <w:marBottom w:val="0"/>
      <w:divBdr>
        <w:top w:val="none" w:sz="0" w:space="0" w:color="auto"/>
        <w:left w:val="none" w:sz="0" w:space="0" w:color="auto"/>
        <w:bottom w:val="none" w:sz="0" w:space="0" w:color="auto"/>
        <w:right w:val="none" w:sz="0" w:space="0" w:color="auto"/>
      </w:divBdr>
      <w:divsChild>
        <w:div w:id="690841763">
          <w:marLeft w:val="0"/>
          <w:marRight w:val="0"/>
          <w:marTop w:val="0"/>
          <w:marBottom w:val="0"/>
          <w:divBdr>
            <w:top w:val="none" w:sz="0" w:space="0" w:color="auto"/>
            <w:left w:val="none" w:sz="0" w:space="0" w:color="auto"/>
            <w:bottom w:val="none" w:sz="0" w:space="0" w:color="auto"/>
            <w:right w:val="none" w:sz="0" w:space="0" w:color="auto"/>
          </w:divBdr>
          <w:divsChild>
            <w:div w:id="1468662872">
              <w:marLeft w:val="0"/>
              <w:marRight w:val="0"/>
              <w:marTop w:val="0"/>
              <w:marBottom w:val="0"/>
              <w:divBdr>
                <w:top w:val="none" w:sz="0" w:space="0" w:color="auto"/>
                <w:left w:val="none" w:sz="0" w:space="0" w:color="auto"/>
                <w:bottom w:val="none" w:sz="0" w:space="0" w:color="auto"/>
                <w:right w:val="none" w:sz="0" w:space="0" w:color="auto"/>
              </w:divBdr>
              <w:divsChild>
                <w:div w:id="2063940484">
                  <w:marLeft w:val="0"/>
                  <w:marRight w:val="0"/>
                  <w:marTop w:val="0"/>
                  <w:marBottom w:val="0"/>
                  <w:divBdr>
                    <w:top w:val="none" w:sz="0" w:space="0" w:color="auto"/>
                    <w:left w:val="none" w:sz="0" w:space="0" w:color="auto"/>
                    <w:bottom w:val="none" w:sz="0" w:space="0" w:color="auto"/>
                    <w:right w:val="none" w:sz="0" w:space="0" w:color="auto"/>
                  </w:divBdr>
                  <w:divsChild>
                    <w:div w:id="4194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883918">
      <w:bodyDiv w:val="1"/>
      <w:marLeft w:val="0"/>
      <w:marRight w:val="0"/>
      <w:marTop w:val="0"/>
      <w:marBottom w:val="0"/>
      <w:divBdr>
        <w:top w:val="none" w:sz="0" w:space="0" w:color="auto"/>
        <w:left w:val="none" w:sz="0" w:space="0" w:color="auto"/>
        <w:bottom w:val="none" w:sz="0" w:space="0" w:color="auto"/>
        <w:right w:val="none" w:sz="0" w:space="0" w:color="auto"/>
      </w:divBdr>
    </w:div>
    <w:div w:id="1594895868">
      <w:bodyDiv w:val="1"/>
      <w:marLeft w:val="0"/>
      <w:marRight w:val="0"/>
      <w:marTop w:val="0"/>
      <w:marBottom w:val="0"/>
      <w:divBdr>
        <w:top w:val="none" w:sz="0" w:space="0" w:color="auto"/>
        <w:left w:val="none" w:sz="0" w:space="0" w:color="auto"/>
        <w:bottom w:val="none" w:sz="0" w:space="0" w:color="auto"/>
        <w:right w:val="none" w:sz="0" w:space="0" w:color="auto"/>
      </w:divBdr>
    </w:div>
    <w:div w:id="1677607958">
      <w:bodyDiv w:val="1"/>
      <w:marLeft w:val="0"/>
      <w:marRight w:val="0"/>
      <w:marTop w:val="0"/>
      <w:marBottom w:val="0"/>
      <w:divBdr>
        <w:top w:val="none" w:sz="0" w:space="0" w:color="auto"/>
        <w:left w:val="none" w:sz="0" w:space="0" w:color="auto"/>
        <w:bottom w:val="none" w:sz="0" w:space="0" w:color="auto"/>
        <w:right w:val="none" w:sz="0" w:space="0" w:color="auto"/>
      </w:divBdr>
    </w:div>
    <w:div w:id="1750807140">
      <w:bodyDiv w:val="1"/>
      <w:marLeft w:val="0"/>
      <w:marRight w:val="0"/>
      <w:marTop w:val="0"/>
      <w:marBottom w:val="0"/>
      <w:divBdr>
        <w:top w:val="none" w:sz="0" w:space="0" w:color="auto"/>
        <w:left w:val="none" w:sz="0" w:space="0" w:color="auto"/>
        <w:bottom w:val="none" w:sz="0" w:space="0" w:color="auto"/>
        <w:right w:val="none" w:sz="0" w:space="0" w:color="auto"/>
      </w:divBdr>
      <w:divsChild>
        <w:div w:id="238636667">
          <w:marLeft w:val="0"/>
          <w:marRight w:val="0"/>
          <w:marTop w:val="0"/>
          <w:marBottom w:val="0"/>
          <w:divBdr>
            <w:top w:val="none" w:sz="0" w:space="0" w:color="auto"/>
            <w:left w:val="none" w:sz="0" w:space="0" w:color="auto"/>
            <w:bottom w:val="none" w:sz="0" w:space="0" w:color="auto"/>
            <w:right w:val="none" w:sz="0" w:space="0" w:color="auto"/>
          </w:divBdr>
          <w:divsChild>
            <w:div w:id="1932350126">
              <w:marLeft w:val="0"/>
              <w:marRight w:val="0"/>
              <w:marTop w:val="0"/>
              <w:marBottom w:val="0"/>
              <w:divBdr>
                <w:top w:val="none" w:sz="0" w:space="0" w:color="auto"/>
                <w:left w:val="none" w:sz="0" w:space="0" w:color="auto"/>
                <w:bottom w:val="none" w:sz="0" w:space="0" w:color="auto"/>
                <w:right w:val="none" w:sz="0" w:space="0" w:color="auto"/>
              </w:divBdr>
              <w:divsChild>
                <w:div w:id="755253589">
                  <w:marLeft w:val="0"/>
                  <w:marRight w:val="0"/>
                  <w:marTop w:val="0"/>
                  <w:marBottom w:val="0"/>
                  <w:divBdr>
                    <w:top w:val="none" w:sz="0" w:space="0" w:color="auto"/>
                    <w:left w:val="none" w:sz="0" w:space="0" w:color="auto"/>
                    <w:bottom w:val="none" w:sz="0" w:space="0" w:color="auto"/>
                    <w:right w:val="none" w:sz="0" w:space="0" w:color="auto"/>
                  </w:divBdr>
                  <w:divsChild>
                    <w:div w:id="181235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706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5598</Words>
  <Characters>31915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Nyree Walters (1600231)</dc:creator>
  <cp:keywords/>
  <dc:description/>
  <cp:lastModifiedBy>Nyree Walters (1600231)</cp:lastModifiedBy>
  <cp:revision>2</cp:revision>
  <dcterms:created xsi:type="dcterms:W3CDTF">2020-02-22T14:29:00Z</dcterms:created>
  <dcterms:modified xsi:type="dcterms:W3CDTF">2020-02-22T14:29:00Z</dcterms:modified>
</cp:coreProperties>
</file>