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4DC4F" w14:textId="0504CA06" w:rsidR="005A0382" w:rsidRPr="005A0382" w:rsidRDefault="005A0382">
      <w:pPr>
        <w:rPr>
          <w:lang w:val="en-US"/>
        </w:rPr>
      </w:pPr>
    </w:p>
    <w:p w14:paraId="5E319E7C" w14:textId="77777777" w:rsidR="00A06A20" w:rsidRPr="00A06A20" w:rsidRDefault="00A06A20" w:rsidP="00A06A20">
      <w:pPr>
        <w:spacing w:line="360" w:lineRule="auto"/>
        <w:jc w:val="both"/>
        <w:rPr>
          <w:rFonts w:ascii="Arial" w:hAnsi="Arial" w:cs="Arial"/>
          <w:sz w:val="24"/>
          <w:szCs w:val="24"/>
          <w:lang w:val="en-US"/>
        </w:rPr>
      </w:pPr>
      <w:bookmarkStart w:id="0" w:name="_Hlk14724274"/>
      <w:r w:rsidRPr="00A06A20">
        <w:rPr>
          <w:rFonts w:ascii="Arial" w:hAnsi="Arial" w:cs="Arial"/>
          <w:sz w:val="24"/>
          <w:szCs w:val="24"/>
          <w:lang w:val="en-US"/>
        </w:rPr>
        <w:t>The rational</w:t>
      </w:r>
    </w:p>
    <w:p w14:paraId="3099E4FF"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At the core of advocacy is the concept of independence. </w:t>
      </w:r>
      <w:proofErr w:type="gramStart"/>
      <w:r w:rsidRPr="00A06A20">
        <w:rPr>
          <w:rFonts w:ascii="Arial" w:hAnsi="Arial" w:cs="Arial"/>
          <w:sz w:val="24"/>
          <w:szCs w:val="24"/>
          <w:lang w:val="en-US"/>
        </w:rPr>
        <w:t>Everyone,</w:t>
      </w:r>
      <w:proofErr w:type="gramEnd"/>
      <w:r w:rsidRPr="00A06A20">
        <w:rPr>
          <w:rFonts w:ascii="Arial" w:hAnsi="Arial" w:cs="Arial"/>
          <w:sz w:val="24"/>
          <w:szCs w:val="24"/>
          <w:lang w:val="en-US"/>
        </w:rPr>
        <w:t xml:space="preserve"> should have the right to express their personal views and be able to make choices about their own lives. In environments where an individual may need to approach care services or other services for support, they should have a right to their say in how these services are provided and managed. However, this can be difficult for some </w:t>
      </w:r>
      <w:proofErr w:type="spellStart"/>
      <w:r w:rsidRPr="00A06A20">
        <w:rPr>
          <w:rFonts w:ascii="Arial" w:hAnsi="Arial" w:cs="Arial"/>
          <w:sz w:val="24"/>
          <w:szCs w:val="24"/>
          <w:lang w:val="en-US"/>
        </w:rPr>
        <w:t>individual’s</w:t>
      </w:r>
      <w:proofErr w:type="spellEnd"/>
      <w:r w:rsidRPr="00A06A20">
        <w:rPr>
          <w:rFonts w:ascii="Arial" w:hAnsi="Arial" w:cs="Arial"/>
          <w:sz w:val="24"/>
          <w:szCs w:val="24"/>
          <w:lang w:val="en-US"/>
        </w:rPr>
        <w:t xml:space="preserve"> who may have problems with communicating or because of a disability or illness. In this instance, advocacy has been acknowledged as an important service which may assist individuals to work out what their needs </w:t>
      </w:r>
      <w:proofErr w:type="gramStart"/>
      <w:r w:rsidRPr="00A06A20">
        <w:rPr>
          <w:rFonts w:ascii="Arial" w:hAnsi="Arial" w:cs="Arial"/>
          <w:sz w:val="24"/>
          <w:szCs w:val="24"/>
          <w:lang w:val="en-US"/>
        </w:rPr>
        <w:t>are, and</w:t>
      </w:r>
      <w:proofErr w:type="gramEnd"/>
      <w:r w:rsidRPr="00A06A20">
        <w:rPr>
          <w:rFonts w:ascii="Arial" w:hAnsi="Arial" w:cs="Arial"/>
          <w:sz w:val="24"/>
          <w:szCs w:val="24"/>
          <w:lang w:val="en-US"/>
        </w:rPr>
        <w:t xml:space="preserve"> be able to communicate this information to the relevant service providers. This includes making sure that individuals know their rights and what options are available to them. But most importantly, advocacy can make sure the person feelings and wishes are taken seriously and considered in relation to their health and wellbeing. The support process only ends when the person is fully satisfied with the outcome (Age Concern Cardiff and the Vale of </w:t>
      </w:r>
      <w:proofErr w:type="spellStart"/>
      <w:r w:rsidRPr="00A06A20">
        <w:rPr>
          <w:rFonts w:ascii="Arial" w:hAnsi="Arial" w:cs="Arial"/>
          <w:sz w:val="24"/>
          <w:szCs w:val="24"/>
          <w:lang w:val="en-US"/>
        </w:rPr>
        <w:t>Glamorgan</w:t>
      </w:r>
      <w:proofErr w:type="spellEnd"/>
      <w:r w:rsidRPr="00A06A20">
        <w:rPr>
          <w:rFonts w:ascii="Arial" w:hAnsi="Arial" w:cs="Arial"/>
          <w:sz w:val="24"/>
          <w:szCs w:val="24"/>
          <w:lang w:val="en-US"/>
        </w:rPr>
        <w:t>, 2012).</w:t>
      </w:r>
    </w:p>
    <w:p w14:paraId="72483898" w14:textId="42BDCA48"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 portfolio of information has been created to support an independent advocate in their practice, this includes relevant current legislation, policy, guidelines for good practice, information regarding training opportunities and professional development and a case history to reflect on. For instance, the case of Winterbourne View hospital has been included as it is significant to the improvement of care, legislation and policies in the UK (Department of Health, 2013). </w:t>
      </w:r>
    </w:p>
    <w:p w14:paraId="1987516F" w14:textId="0605F36B"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According to the Department of Health (2015. a), as of April 2016, legislation to support independent advocacy, for example, the Social Services and Wellbeing Act (Wales) 2014 and the Care Act (England) 2014 was implemented to protect the care and support of vulnerable individuals (Welsh Government, 2015; 2019; The National Archives, no date). In response to this, the Joint Improvement Programme (JIP) was developed following the shocking abuse of people with severe learning disabilities at the Winterbourne View hospital (Cafe, 2012; National Health Service, 2012; 2013). The investigation led to the eventual prosecution of eleven members of staff and the closing of the hospital (see, appendix 1, for case history). The JIP aim to support local communities to facilitate improved services for people with autism (with challenging </w:t>
      </w:r>
      <w:r w:rsidRPr="00A06A20">
        <w:rPr>
          <w:rFonts w:ascii="Arial" w:hAnsi="Arial" w:cs="Arial"/>
          <w:sz w:val="24"/>
          <w:szCs w:val="24"/>
          <w:lang w:val="en-US"/>
        </w:rPr>
        <w:lastRenderedPageBreak/>
        <w:t xml:space="preserve">behaviour), learning disabilities or a mental health condition; to essentially reduce the need for vulnerable people to go through assessments and into treatment units like Winterbourne View Hospital (Department of Health 2012). Furthermore, the Department of Health (2013) has argued that the care and planning process often excludes individuals with learning disabilities from being involved in their care plan. Good quality advocacy can empower individuals, but also help uncover possible abuse and neglect which might be happening. The advocacy duty will begin from the initial contact with the local authority and will continue to support the client through the assessment, planning and care process, as well as through the stages of safeguarding enquiry/review (see, appendix, 2). </w:t>
      </w:r>
    </w:p>
    <w:p w14:paraId="774BCFE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be able to support individuals, such as those neglected in the above case history, advocates will need to have a good understanding of the Mental Health Act 1983 (See appendix, 10, p.10). This piece of legislation supports the rights of people with mental health issues in England and Wales. For example, the Charity Mind (2013) provides an independent advocacy service to support and empower individuals with a mental health problem. Mind campaign to improve services for vulnerable individuals, raise social awareness and promote a greater understanding of mental health. Service users may benefit from support in relation to their rights in </w:t>
      </w:r>
      <w:proofErr w:type="gramStart"/>
      <w:r w:rsidRPr="00A06A20">
        <w:rPr>
          <w:rFonts w:ascii="Arial" w:hAnsi="Arial" w:cs="Arial"/>
          <w:sz w:val="24"/>
          <w:szCs w:val="24"/>
          <w:lang w:val="en-US"/>
        </w:rPr>
        <w:t>a number of</w:t>
      </w:r>
      <w:proofErr w:type="gramEnd"/>
      <w:r w:rsidRPr="00A06A20">
        <w:rPr>
          <w:rFonts w:ascii="Arial" w:hAnsi="Arial" w:cs="Arial"/>
          <w:sz w:val="24"/>
          <w:szCs w:val="24"/>
          <w:lang w:val="en-US"/>
        </w:rPr>
        <w:t xml:space="preserve"> ways, for example, treatment in hospital or in the community (see, appendix 10, p. 10). In the case of non-instructed advocacy and in particular where individuals have a reduced  capacity to make decisions for themselves, an independent mental capacity advocate may need to be included in the support process as they will have a sound knowledge of the framework of the Mental Capacity Act 2005 (see, appendix 10, p. 13 and appendix, 11, pp. 55-59). Their job will be to ensure that the individual has an opportunity to be included in decisions that are being made about them (</w:t>
      </w:r>
      <w:proofErr w:type="spellStart"/>
      <w:r w:rsidRPr="00A06A20">
        <w:rPr>
          <w:rFonts w:ascii="Arial" w:hAnsi="Arial" w:cs="Arial"/>
          <w:sz w:val="24"/>
          <w:szCs w:val="24"/>
          <w:lang w:val="en-US"/>
        </w:rPr>
        <w:t>Redley</w:t>
      </w:r>
      <w:proofErr w:type="spellEnd"/>
      <w:r w:rsidRPr="00A06A20">
        <w:rPr>
          <w:rFonts w:ascii="Arial" w:hAnsi="Arial" w:cs="Arial"/>
          <w:sz w:val="24"/>
          <w:szCs w:val="24"/>
          <w:lang w:val="en-US"/>
        </w:rPr>
        <w:t xml:space="preserve"> </w:t>
      </w:r>
      <w:r w:rsidRPr="00A06A20">
        <w:rPr>
          <w:rFonts w:ascii="Arial" w:hAnsi="Arial" w:cs="Arial"/>
          <w:i/>
          <w:iCs/>
          <w:sz w:val="24"/>
          <w:szCs w:val="24"/>
          <w:lang w:val="en-US"/>
        </w:rPr>
        <w:t>et al.</w:t>
      </w:r>
      <w:r w:rsidRPr="00A06A20">
        <w:rPr>
          <w:rFonts w:ascii="Arial" w:hAnsi="Arial" w:cs="Arial"/>
          <w:sz w:val="24"/>
          <w:szCs w:val="24"/>
          <w:lang w:val="en-US"/>
        </w:rPr>
        <w:t xml:space="preserve"> 2010; </w:t>
      </w:r>
      <w:proofErr w:type="spellStart"/>
      <w:r w:rsidRPr="00A06A20">
        <w:rPr>
          <w:rFonts w:ascii="Arial" w:hAnsi="Arial" w:cs="Arial"/>
          <w:sz w:val="24"/>
          <w:szCs w:val="24"/>
          <w:lang w:val="en-US"/>
        </w:rPr>
        <w:t>Samsi</w:t>
      </w:r>
      <w:proofErr w:type="spellEnd"/>
      <w:r w:rsidRPr="00A06A20">
        <w:rPr>
          <w:rFonts w:ascii="Arial" w:hAnsi="Arial" w:cs="Arial"/>
          <w:sz w:val="24"/>
          <w:szCs w:val="24"/>
          <w:lang w:val="en-US"/>
        </w:rPr>
        <w:t xml:space="preserve">, </w:t>
      </w:r>
      <w:proofErr w:type="spellStart"/>
      <w:r w:rsidRPr="00A06A20">
        <w:rPr>
          <w:rFonts w:ascii="Arial" w:hAnsi="Arial" w:cs="Arial"/>
          <w:sz w:val="24"/>
          <w:szCs w:val="24"/>
          <w:lang w:val="en-US"/>
        </w:rPr>
        <w:t>Manthorpe</w:t>
      </w:r>
      <w:proofErr w:type="spellEnd"/>
      <w:r w:rsidRPr="00A06A20">
        <w:rPr>
          <w:rFonts w:ascii="Arial" w:hAnsi="Arial" w:cs="Arial"/>
          <w:sz w:val="24"/>
          <w:szCs w:val="24"/>
          <w:lang w:val="en-US"/>
        </w:rPr>
        <w:t xml:space="preserve"> and Rapaport, 2011). Other legislation regarding duties and responsibilities of independent advocacy may adhere to related human rights and equality legislation, this may include the Equality Act 2010, Human Rights Act 1998; as well as </w:t>
      </w:r>
      <w:proofErr w:type="spellStart"/>
      <w:r w:rsidRPr="00A06A20">
        <w:rPr>
          <w:rFonts w:ascii="Arial" w:hAnsi="Arial" w:cs="Arial"/>
          <w:sz w:val="24"/>
          <w:szCs w:val="24"/>
          <w:lang w:val="en-US"/>
        </w:rPr>
        <w:t>relevent</w:t>
      </w:r>
      <w:proofErr w:type="spellEnd"/>
      <w:r w:rsidRPr="00A06A20">
        <w:rPr>
          <w:rFonts w:ascii="Arial" w:hAnsi="Arial" w:cs="Arial"/>
          <w:sz w:val="24"/>
          <w:szCs w:val="24"/>
          <w:lang w:val="en-US"/>
        </w:rPr>
        <w:t xml:space="preserve"> policies that promote independency and client centred initiatives (see, appendix 11, p. 36).</w:t>
      </w:r>
    </w:p>
    <w:p w14:paraId="32740D83"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Local authorities now </w:t>
      </w:r>
      <w:proofErr w:type="gramStart"/>
      <w:r w:rsidRPr="00A06A20">
        <w:rPr>
          <w:rFonts w:ascii="Arial" w:hAnsi="Arial" w:cs="Arial"/>
          <w:sz w:val="24"/>
          <w:szCs w:val="24"/>
          <w:lang w:val="en-US"/>
        </w:rPr>
        <w:t>have to</w:t>
      </w:r>
      <w:proofErr w:type="gramEnd"/>
      <w:r w:rsidRPr="00A06A20">
        <w:rPr>
          <w:rFonts w:ascii="Arial" w:hAnsi="Arial" w:cs="Arial"/>
          <w:sz w:val="24"/>
          <w:szCs w:val="24"/>
          <w:lang w:val="en-US"/>
        </w:rPr>
        <w:t xml:space="preserve"> provide access to independent advocacy services for children and adults who meet the criteria for support in accordance with the Social Services and Well-being (Wales) Act 2014 (See, appendix 2). For instance, individuals </w:t>
      </w:r>
      <w:r w:rsidRPr="00A06A20">
        <w:rPr>
          <w:rFonts w:ascii="Arial" w:hAnsi="Arial" w:cs="Arial"/>
          <w:sz w:val="24"/>
          <w:szCs w:val="24"/>
          <w:lang w:val="en-US"/>
        </w:rPr>
        <w:lastRenderedPageBreak/>
        <w:t xml:space="preserve">who may find the management process of their own care and support too much of a challenge to face alone. In addition, some vulnerable individuals may not have an appropriate adult to support their individual needs, such as a family, friend or care provider. However, at times entitlements to statutory advocacy may overlap, for example: </w:t>
      </w:r>
    </w:p>
    <w:p w14:paraId="46FCE4F5" w14:textId="2D57F962"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Section 130E of the Mental Health Act, section 332BB of the Education Act, or paragraph 6D of Schedule 17 to the Equality Act 2010, section 35 of the Mental Capacity Act 2005 and section 187 of the National Health Services (Wales) Act 2006 (see, appendix 11, p. 97).</w:t>
      </w:r>
    </w:p>
    <w:p w14:paraId="6EE87686"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When this happens, consideration should be given to facilitate the continuity of the service user’s support by </w:t>
      </w:r>
      <w:proofErr w:type="spellStart"/>
      <w:r w:rsidRPr="00A06A20">
        <w:rPr>
          <w:rFonts w:ascii="Arial" w:hAnsi="Arial" w:cs="Arial"/>
          <w:sz w:val="24"/>
          <w:szCs w:val="24"/>
          <w:lang w:val="en-US"/>
        </w:rPr>
        <w:t>minismising</w:t>
      </w:r>
      <w:proofErr w:type="spellEnd"/>
      <w:r w:rsidRPr="00A06A20">
        <w:rPr>
          <w:rFonts w:ascii="Arial" w:hAnsi="Arial" w:cs="Arial"/>
          <w:sz w:val="24"/>
          <w:szCs w:val="24"/>
          <w:lang w:val="en-US"/>
        </w:rPr>
        <w:t xml:space="preserve"> the need for the individual to have to relay their desired outcomes to different advocates. The most effective outcome would be if all parties concerned could agree a single advocate to support the individual (see, appendix 11, p. 97). According the Social Services and Wellbeing Act 2014, section 181(2), advocacy services is defined as: </w:t>
      </w:r>
    </w:p>
    <w:p w14:paraId="1AD0D0D1" w14:textId="2306F035"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services which </w:t>
      </w:r>
      <w:proofErr w:type="gramStart"/>
      <w:r w:rsidRPr="00A06A20">
        <w:rPr>
          <w:rFonts w:ascii="Arial" w:hAnsi="Arial" w:cs="Arial"/>
          <w:sz w:val="24"/>
          <w:szCs w:val="24"/>
          <w:lang w:val="en-US"/>
        </w:rPr>
        <w:t>provide assistance</w:t>
      </w:r>
      <w:proofErr w:type="gramEnd"/>
      <w:r w:rsidRPr="00A06A20">
        <w:rPr>
          <w:rFonts w:ascii="Arial" w:hAnsi="Arial" w:cs="Arial"/>
          <w:sz w:val="24"/>
          <w:szCs w:val="24"/>
          <w:lang w:val="en-US"/>
        </w:rPr>
        <w:t xml:space="preserve"> (by way of representation or otherwise) to persons for purposes relating to their care and support and that independent advocacy is a service independent of the local authority and adheres to the Care Act 2014 (Care Council for Wales 2016, p. 13). </w:t>
      </w:r>
    </w:p>
    <w:p w14:paraId="57E7A36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 Advocacy code of practice (See, appendix, 3) which adheres to the Social Service and Wellbeing Act (Wales) adds: that independent advocacy safeguards vulnerable individuals whom may be at risk of discrimination and may also be difficult for services to support. Independent advocacy (see, appendix, 4) aims to empower vulnerable individual’s to be able to express their individual needs and to make informed decisions for themselves (Welsh Government, 2015). The concept of ’empowerment’ has become central to the practice and promotion of healthcare. Holcomb-McCoy and Brian (2010) argue that vulnerable individuals are at a significant risk of oppression and is a key consideration during the consultation process in regard of empowerment and advocacy. They define empowerment as: </w:t>
      </w:r>
    </w:p>
    <w:p w14:paraId="5B0F3487" w14:textId="5C39DF4B"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a process of increasing personal, interpersonal, or political power so that individuals, families, and communities can take action to improve their situations. It is a process that fosters power (i.e., the capacity to implement) in disenfranchised and powerless </w:t>
      </w:r>
      <w:r w:rsidRPr="00A06A20">
        <w:rPr>
          <w:rFonts w:ascii="Arial" w:hAnsi="Arial" w:cs="Arial"/>
          <w:sz w:val="24"/>
          <w:szCs w:val="24"/>
          <w:lang w:val="en-US"/>
        </w:rPr>
        <w:lastRenderedPageBreak/>
        <w:t>groups of people, for use in their own lives, in their communities, and in their society by acting on issues that they define as important Holcomb-McCoy and Brian (2010, p. 262).</w:t>
      </w:r>
    </w:p>
    <w:p w14:paraId="662DC8DD" w14:textId="3338295F"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 relationship between and advocate and their client will be primarily based on trust and empowerment and there must be no conflict of interest. An advocate places the individual at the centre of their own decision making and must acquire relevant training and skills to be able to identify the signs of abuse (see, appendix 11, p. 24). There are many tools that an advocate may use in their practice when supporting vulnerable people. For instance, </w:t>
      </w:r>
      <w:proofErr w:type="spellStart"/>
      <w:r w:rsidRPr="00A06A20">
        <w:rPr>
          <w:rFonts w:ascii="Arial" w:hAnsi="Arial" w:cs="Arial"/>
          <w:sz w:val="24"/>
          <w:szCs w:val="24"/>
          <w:lang w:val="en-US"/>
        </w:rPr>
        <w:t>Cattaneo</w:t>
      </w:r>
      <w:proofErr w:type="spellEnd"/>
      <w:r w:rsidRPr="00A06A20">
        <w:rPr>
          <w:rFonts w:ascii="Arial" w:hAnsi="Arial" w:cs="Arial"/>
          <w:sz w:val="24"/>
          <w:szCs w:val="24"/>
          <w:lang w:val="en-US"/>
        </w:rPr>
        <w:t xml:space="preserve"> and Chapman (2010, </w:t>
      </w:r>
      <w:r w:rsidRPr="00A06A20">
        <w:rPr>
          <w:rFonts w:ascii="Arial" w:hAnsi="Arial" w:cs="Arial"/>
          <w:i/>
          <w:iCs/>
          <w:sz w:val="24"/>
          <w:szCs w:val="24"/>
          <w:lang w:val="en-US"/>
        </w:rPr>
        <w:t>cited</w:t>
      </w:r>
      <w:r w:rsidRPr="00A06A20">
        <w:rPr>
          <w:rFonts w:ascii="Arial" w:hAnsi="Arial" w:cs="Arial"/>
          <w:sz w:val="24"/>
          <w:szCs w:val="24"/>
          <w:lang w:val="en-US"/>
        </w:rPr>
        <w:t xml:space="preserve"> in, </w:t>
      </w:r>
      <w:proofErr w:type="spellStart"/>
      <w:r w:rsidRPr="00A06A20">
        <w:rPr>
          <w:rFonts w:ascii="Arial" w:hAnsi="Arial" w:cs="Arial"/>
          <w:sz w:val="24"/>
          <w:szCs w:val="24"/>
          <w:lang w:val="en-US"/>
        </w:rPr>
        <w:t>Cattaneo</w:t>
      </w:r>
      <w:proofErr w:type="spellEnd"/>
      <w:r w:rsidRPr="00A06A20">
        <w:rPr>
          <w:rFonts w:ascii="Arial" w:hAnsi="Arial" w:cs="Arial"/>
          <w:sz w:val="24"/>
          <w:szCs w:val="24"/>
          <w:lang w:val="en-US"/>
        </w:rPr>
        <w:t xml:space="preserve"> and Goodman, 2013) uses the Empowerment Process Model to describe the empowerment building process. For example, when a person is experiencing a lack of power and autonomy in their current position; an advocate may support the individual to set goals to increase their power and </w:t>
      </w:r>
      <w:proofErr w:type="gramStart"/>
      <w:r w:rsidRPr="00A06A20">
        <w:rPr>
          <w:rFonts w:ascii="Arial" w:hAnsi="Arial" w:cs="Arial"/>
          <w:sz w:val="24"/>
          <w:szCs w:val="24"/>
          <w:lang w:val="en-US"/>
        </w:rPr>
        <w:t>take action</w:t>
      </w:r>
      <w:proofErr w:type="gramEnd"/>
      <w:r w:rsidRPr="00A06A20">
        <w:rPr>
          <w:rFonts w:ascii="Arial" w:hAnsi="Arial" w:cs="Arial"/>
          <w:sz w:val="24"/>
          <w:szCs w:val="24"/>
          <w:lang w:val="en-US"/>
        </w:rPr>
        <w:t xml:space="preserve"> themselves; this may help to build the individuals self-efficacy. During the advocacy support process, a relationship between the advocate and the client can be developed. This may further develop trust and confidence where the power and control are ultimately placed back into the hands of the individual (see, appendix, 11, p. 24). This process also aims to widen the individual’s knowledge, skills, local resources and support services, but ultimately supports the individual to be able to observe and reflect on the impact his or her actions may have in relation to changing the current situation (See, appendix 6). </w:t>
      </w:r>
    </w:p>
    <w:p w14:paraId="057FAC44"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There are national occupational standards for professional practitioners such as advocates to adhere to; these highlight the significance of developing good working practice. This entails promoting choice, wellbeing and protection of people. For instance, practice which maintains and evaluates systems to support and promote equality and diversity and individual’s rights in making sure personal choices are upheld in relation to their care and safety (see, appendix, 5). Furthermore, Rose (1990, p. 43) proposes that: </w:t>
      </w:r>
    </w:p>
    <w:p w14:paraId="0E006859"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The advocacy/empowerment orientation to practice is an effort to combat the socially structured alienation, isolation, and poverty of substantive content available to understand ourselves and daily life.</w:t>
      </w:r>
    </w:p>
    <w:p w14:paraId="40AFE849" w14:textId="77777777" w:rsidR="00A06A20" w:rsidRPr="00A06A20" w:rsidRDefault="00A06A20" w:rsidP="00A06A20">
      <w:pPr>
        <w:spacing w:line="360" w:lineRule="auto"/>
        <w:jc w:val="both"/>
        <w:rPr>
          <w:rFonts w:ascii="Arial" w:hAnsi="Arial" w:cs="Arial"/>
          <w:sz w:val="24"/>
          <w:szCs w:val="24"/>
          <w:lang w:val="en-US"/>
        </w:rPr>
      </w:pPr>
    </w:p>
    <w:p w14:paraId="376F1D13"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lastRenderedPageBreak/>
        <w:t xml:space="preserve">Rose (1990) also proposes that this approach to practice places the advocate/practitioner at the heart of addressing the oppressive structures which impact on vulnerable individual’s; the advocate in this case becomes more than a voice for the individual, but a driving force for social change. In addition, for social structures to continue to develop, transformation must take place in relation to both that which causes oppressive conditions and the ideologies which entrap individuals, rendering them defenseless. The fundamentals of advocacy values are rooted within power inequalities in society, for example, between state power that influences services and individual freedom of people using services (Ridley </w:t>
      </w:r>
      <w:r w:rsidRPr="00A06A20">
        <w:rPr>
          <w:rFonts w:ascii="Arial" w:hAnsi="Arial" w:cs="Arial"/>
          <w:i/>
          <w:iCs/>
          <w:sz w:val="24"/>
          <w:szCs w:val="24"/>
          <w:lang w:val="en-US"/>
        </w:rPr>
        <w:t>et al</w:t>
      </w:r>
      <w:r w:rsidRPr="00A06A20">
        <w:rPr>
          <w:rFonts w:ascii="Arial" w:hAnsi="Arial" w:cs="Arial"/>
          <w:sz w:val="24"/>
          <w:szCs w:val="24"/>
          <w:lang w:val="en-US"/>
        </w:rPr>
        <w:t xml:space="preserve">. 2015). Advocates will therefore need to have a sound understanding of relevant theories relating to power and oppression. There are </w:t>
      </w:r>
      <w:proofErr w:type="gramStart"/>
      <w:r w:rsidRPr="00A06A20">
        <w:rPr>
          <w:rFonts w:ascii="Arial" w:hAnsi="Arial" w:cs="Arial"/>
          <w:sz w:val="24"/>
          <w:szCs w:val="24"/>
          <w:lang w:val="en-US"/>
        </w:rPr>
        <w:t>a number of</w:t>
      </w:r>
      <w:proofErr w:type="gramEnd"/>
      <w:r w:rsidRPr="00A06A20">
        <w:rPr>
          <w:rFonts w:ascii="Arial" w:hAnsi="Arial" w:cs="Arial"/>
          <w:sz w:val="24"/>
          <w:szCs w:val="24"/>
          <w:lang w:val="en-US"/>
        </w:rPr>
        <w:t xml:space="preserve"> theoretical perspectives which support this concept, for example, Marx argued that societal inequalities are rooted in class struggles (social stratification) and the powers which control production (capitalism); such as business owners and those who work for the business owners. Marx believed that the very nature of capitalism lies at the heart of exploitation and oppression that generates inequality and disadvantage in society (</w:t>
      </w:r>
      <w:proofErr w:type="spellStart"/>
      <w:r w:rsidRPr="00A06A20">
        <w:rPr>
          <w:rFonts w:ascii="Arial" w:hAnsi="Arial" w:cs="Arial"/>
          <w:sz w:val="24"/>
          <w:szCs w:val="24"/>
          <w:lang w:val="en-US"/>
        </w:rPr>
        <w:t>Haralambos</w:t>
      </w:r>
      <w:proofErr w:type="spellEnd"/>
      <w:r w:rsidRPr="00A06A20">
        <w:rPr>
          <w:rFonts w:ascii="Arial" w:hAnsi="Arial" w:cs="Arial"/>
          <w:sz w:val="24"/>
          <w:szCs w:val="24"/>
          <w:lang w:val="en-US"/>
        </w:rPr>
        <w:t xml:space="preserve"> and </w:t>
      </w:r>
      <w:proofErr w:type="spellStart"/>
      <w:r w:rsidRPr="00A06A20">
        <w:rPr>
          <w:rFonts w:ascii="Arial" w:hAnsi="Arial" w:cs="Arial"/>
          <w:sz w:val="24"/>
          <w:szCs w:val="24"/>
          <w:lang w:val="en-US"/>
        </w:rPr>
        <w:t>Holborn</w:t>
      </w:r>
      <w:proofErr w:type="spellEnd"/>
      <w:r w:rsidRPr="00A06A20">
        <w:rPr>
          <w:rFonts w:ascii="Arial" w:hAnsi="Arial" w:cs="Arial"/>
          <w:sz w:val="24"/>
          <w:szCs w:val="24"/>
          <w:lang w:val="en-US"/>
        </w:rPr>
        <w:t xml:space="preserve">, 2008). Moreover, social justice perspectives have argued how sexist, racist and classist norms are engrained within conventional mental health theory and practice and the impact structural oppression can have on mental health and wellbeing of people affected (Smith, Chambers and </w:t>
      </w:r>
      <w:proofErr w:type="spellStart"/>
      <w:r w:rsidRPr="00A06A20">
        <w:rPr>
          <w:rFonts w:ascii="Arial" w:hAnsi="Arial" w:cs="Arial"/>
          <w:sz w:val="24"/>
          <w:szCs w:val="24"/>
          <w:lang w:val="en-US"/>
        </w:rPr>
        <w:t>Bratini</w:t>
      </w:r>
      <w:proofErr w:type="spellEnd"/>
      <w:r w:rsidRPr="00A06A20">
        <w:rPr>
          <w:rFonts w:ascii="Arial" w:hAnsi="Arial" w:cs="Arial"/>
          <w:sz w:val="24"/>
          <w:szCs w:val="24"/>
          <w:lang w:val="en-US"/>
        </w:rPr>
        <w:t>, 2009). In view of this, practitioners may need to develop socially just interventions regarding their practice with clients from oppressed groups.</w:t>
      </w:r>
    </w:p>
    <w:p w14:paraId="3CBB329A"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achieve this, independent advocates may need to collaborate with a wide range of care and support services as well as other </w:t>
      </w:r>
      <w:proofErr w:type="spellStart"/>
      <w:r w:rsidRPr="00A06A20">
        <w:rPr>
          <w:rFonts w:ascii="Arial" w:hAnsi="Arial" w:cs="Arial"/>
          <w:sz w:val="24"/>
          <w:szCs w:val="24"/>
          <w:lang w:val="en-US"/>
        </w:rPr>
        <w:t>organisations</w:t>
      </w:r>
      <w:proofErr w:type="spellEnd"/>
      <w:r w:rsidRPr="00A06A20">
        <w:rPr>
          <w:rFonts w:ascii="Arial" w:hAnsi="Arial" w:cs="Arial"/>
          <w:sz w:val="24"/>
          <w:szCs w:val="24"/>
          <w:lang w:val="en-US"/>
        </w:rPr>
        <w:t xml:space="preserve"> that can deliver additional support for clients during the advocacy </w:t>
      </w:r>
      <w:proofErr w:type="gramStart"/>
      <w:r w:rsidRPr="00A06A20">
        <w:rPr>
          <w:rFonts w:ascii="Arial" w:hAnsi="Arial" w:cs="Arial"/>
          <w:sz w:val="24"/>
          <w:szCs w:val="24"/>
          <w:lang w:val="en-US"/>
        </w:rPr>
        <w:t>process, and</w:t>
      </w:r>
      <w:proofErr w:type="gramEnd"/>
      <w:r w:rsidRPr="00A06A20">
        <w:rPr>
          <w:rFonts w:ascii="Arial" w:hAnsi="Arial" w:cs="Arial"/>
          <w:sz w:val="24"/>
          <w:szCs w:val="24"/>
          <w:lang w:val="en-US"/>
        </w:rPr>
        <w:t xml:space="preserve"> understand the significance of using and maintaining systems throughout (see, appendix 7). In the case of the Winterbourne hospital it was emphasised how commissioners and council partners had neglected to develop the family support and prevention services. Other failings included ineffective performance management of Primary Care Trusts in the </w:t>
      </w:r>
      <w:proofErr w:type="spellStart"/>
      <w:r w:rsidRPr="00A06A20">
        <w:rPr>
          <w:rFonts w:ascii="Arial" w:hAnsi="Arial" w:cs="Arial"/>
          <w:sz w:val="24"/>
          <w:szCs w:val="24"/>
          <w:lang w:val="en-US"/>
        </w:rPr>
        <w:t>authorising</w:t>
      </w:r>
      <w:proofErr w:type="spellEnd"/>
      <w:r w:rsidRPr="00A06A20">
        <w:rPr>
          <w:rFonts w:ascii="Arial" w:hAnsi="Arial" w:cs="Arial"/>
          <w:sz w:val="24"/>
          <w:szCs w:val="24"/>
          <w:lang w:val="en-US"/>
        </w:rPr>
        <w:t xml:space="preserve"> of placements for this client group. The family support and prevention services play a key role in preventing vulnerable people from being placed into residential care such as that of Winterbourne View (see, appendix,1, p. 2).  National Occupational Standards (2015) highlight the importance of strategically coordinating </w:t>
      </w:r>
      <w:r w:rsidRPr="00A06A20">
        <w:rPr>
          <w:rFonts w:ascii="Arial" w:hAnsi="Arial" w:cs="Arial"/>
          <w:sz w:val="24"/>
          <w:szCs w:val="24"/>
          <w:lang w:val="en-US"/>
        </w:rPr>
        <w:lastRenderedPageBreak/>
        <w:t>networks and partnerships between formal and informal systems in relation to community development. Therefore, communities are strengthened through collective and collaborative actions which may support the care and wellbeing of vulnerable individuals (see, appendix 8).</w:t>
      </w:r>
    </w:p>
    <w:p w14:paraId="74910978"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In response to the implementation of the Social Services and Well-being (Wales) Act 2014, the Care Council for Wales was asked to commission a national learning and development plan to improve a professional’s current awareness and comprehension of advocacy in Wales. An information learning hub was also developed so that all relevant </w:t>
      </w:r>
      <w:proofErr w:type="spellStart"/>
      <w:r w:rsidRPr="00A06A20">
        <w:rPr>
          <w:rFonts w:ascii="Arial" w:hAnsi="Arial" w:cs="Arial"/>
          <w:sz w:val="24"/>
          <w:szCs w:val="24"/>
          <w:lang w:val="en-US"/>
        </w:rPr>
        <w:t>organisations</w:t>
      </w:r>
      <w:proofErr w:type="spellEnd"/>
      <w:r w:rsidRPr="00A06A20">
        <w:rPr>
          <w:rFonts w:ascii="Arial" w:hAnsi="Arial" w:cs="Arial"/>
          <w:sz w:val="24"/>
          <w:szCs w:val="24"/>
          <w:lang w:val="en-US"/>
        </w:rPr>
        <w:t xml:space="preserve"> including advocates </w:t>
      </w:r>
      <w:proofErr w:type="gramStart"/>
      <w:r w:rsidRPr="00A06A20">
        <w:rPr>
          <w:rFonts w:ascii="Arial" w:hAnsi="Arial" w:cs="Arial"/>
          <w:sz w:val="24"/>
          <w:szCs w:val="24"/>
          <w:lang w:val="en-US"/>
        </w:rPr>
        <w:t>are able to</w:t>
      </w:r>
      <w:proofErr w:type="gramEnd"/>
      <w:r w:rsidRPr="00A06A20">
        <w:rPr>
          <w:rFonts w:ascii="Arial" w:hAnsi="Arial" w:cs="Arial"/>
          <w:sz w:val="24"/>
          <w:szCs w:val="24"/>
          <w:lang w:val="en-US"/>
        </w:rPr>
        <w:t xml:space="preserve"> access resources on the Act to assist them in their working practice (Social Care Wales, 2017). This service not only provides an extensive training module (see, appendix, 11) but provides updates to relevant information in relation to the Act. For instance, provides links to information about the Regulation and Inspection of Social Care (Wales) Act 2016 (Morgan, 2019). Although the ‘Independent Professional Advocacy’ training module is mainly aimed at informing individuals who work in social care and support services it may also support an independent advocate to effectively engage with these services. Furthermore, the above training module also provides links to key resources and other materials which may also support an independent advocate in their practice, including:  ‘links to regulations, codes of practice and statutory guidance’, UN Convention on the Rights of Disabled People, Welsh Government’s Framework for Action on Independent Living, ‘Talking Points: Personal Outcomes Approach (2012) – Joint Improvement Team’, ‘Social Care Institute for Excellence (SCIE) Mental Capacity Act (MCA) resource’, ‘Human Rights Explained – The British Institute of Human Rights and an Advocate’s Guide to Independent Non-Instructed Advocacy’ (See, appendix 11, pp. 100-101). For this reason, information regarding these sources of information has not been included in the portfolio. </w:t>
      </w:r>
    </w:p>
    <w:p w14:paraId="7B254464" w14:textId="77777777" w:rsidR="00A06A20" w:rsidRPr="00A06A20" w:rsidRDefault="00A06A20" w:rsidP="00A06A20">
      <w:pPr>
        <w:spacing w:line="360" w:lineRule="auto"/>
        <w:jc w:val="both"/>
        <w:rPr>
          <w:rFonts w:ascii="Arial" w:hAnsi="Arial" w:cs="Arial"/>
          <w:sz w:val="24"/>
          <w:szCs w:val="24"/>
          <w:lang w:val="en-US"/>
        </w:rPr>
      </w:pPr>
      <w:r w:rsidRPr="00A06A20">
        <w:rPr>
          <w:rFonts w:ascii="Arial" w:hAnsi="Arial" w:cs="Arial"/>
          <w:sz w:val="24"/>
          <w:szCs w:val="24"/>
          <w:lang w:val="en-US"/>
        </w:rPr>
        <w:t xml:space="preserve">To conclude, the concept and relevance of reflective practice for independent advocacy will be briefly discussed. Russell (2005) proposes that many professional educationalists continue to pursue reflective practice as a significant element of professional training and development (see, appendix, 12). Hood (2007, </w:t>
      </w:r>
      <w:r w:rsidRPr="00A06A20">
        <w:rPr>
          <w:rFonts w:ascii="Arial" w:hAnsi="Arial" w:cs="Arial"/>
          <w:i/>
          <w:iCs/>
          <w:sz w:val="24"/>
          <w:szCs w:val="24"/>
          <w:lang w:val="en-US"/>
        </w:rPr>
        <w:t>cited</w:t>
      </w:r>
      <w:r w:rsidRPr="00A06A20">
        <w:rPr>
          <w:rFonts w:ascii="Arial" w:hAnsi="Arial" w:cs="Arial"/>
          <w:sz w:val="24"/>
          <w:szCs w:val="24"/>
          <w:lang w:val="en-US"/>
        </w:rPr>
        <w:t xml:space="preserve"> in Stonehouse, 2011) suggests that using a model of reflection may help to reinforce the process and help to build on thoughts and feelings. There are </w:t>
      </w:r>
      <w:proofErr w:type="gramStart"/>
      <w:r w:rsidRPr="00A06A20">
        <w:rPr>
          <w:rFonts w:ascii="Arial" w:hAnsi="Arial" w:cs="Arial"/>
          <w:sz w:val="24"/>
          <w:szCs w:val="24"/>
          <w:lang w:val="en-US"/>
        </w:rPr>
        <w:t>a number of</w:t>
      </w:r>
      <w:proofErr w:type="gramEnd"/>
      <w:r w:rsidRPr="00A06A20">
        <w:rPr>
          <w:rFonts w:ascii="Arial" w:hAnsi="Arial" w:cs="Arial"/>
          <w:sz w:val="24"/>
          <w:szCs w:val="24"/>
          <w:lang w:val="en-US"/>
        </w:rPr>
        <w:t xml:space="preserve"> models used to support reflective practice, for example, Kolb’s Experiential Learning Cycle </w:t>
      </w:r>
      <w:r w:rsidRPr="00A06A20">
        <w:rPr>
          <w:rFonts w:ascii="Arial" w:hAnsi="Arial" w:cs="Arial"/>
          <w:sz w:val="24"/>
          <w:szCs w:val="24"/>
          <w:lang w:val="en-US"/>
        </w:rPr>
        <w:lastRenderedPageBreak/>
        <w:t xml:space="preserve">(1984) and Gibbs Reflective Cycle (1988) (See, appendix, 12, p. 300). </w:t>
      </w:r>
      <w:proofErr w:type="spellStart"/>
      <w:r w:rsidRPr="00A06A20">
        <w:rPr>
          <w:rFonts w:ascii="Arial" w:hAnsi="Arial" w:cs="Arial"/>
          <w:sz w:val="24"/>
          <w:szCs w:val="24"/>
          <w:lang w:val="en-US"/>
        </w:rPr>
        <w:t>Bassot</w:t>
      </w:r>
      <w:proofErr w:type="spellEnd"/>
      <w:r w:rsidRPr="00A06A20">
        <w:rPr>
          <w:rFonts w:ascii="Arial" w:hAnsi="Arial" w:cs="Arial"/>
          <w:sz w:val="24"/>
          <w:szCs w:val="24"/>
          <w:lang w:val="en-US"/>
        </w:rPr>
        <w:t xml:space="preserve"> (2016) emphasis’s that critical reflection plays a significant role in professional practice. When an advocate, for instance approaches their work in a reflective way they may take more time to contemplate their practice at a deeper level including, questioning their approach and gaining greater self -awareness. Wheatley (2002 </w:t>
      </w:r>
      <w:r w:rsidRPr="00A06A20">
        <w:rPr>
          <w:rFonts w:ascii="Arial" w:hAnsi="Arial" w:cs="Arial"/>
          <w:i/>
          <w:iCs/>
          <w:sz w:val="24"/>
          <w:szCs w:val="24"/>
          <w:lang w:val="en-US"/>
        </w:rPr>
        <w:t>cited</w:t>
      </w:r>
      <w:r w:rsidRPr="00A06A20">
        <w:rPr>
          <w:rFonts w:ascii="Arial" w:hAnsi="Arial" w:cs="Arial"/>
          <w:sz w:val="24"/>
          <w:szCs w:val="24"/>
          <w:lang w:val="en-US"/>
        </w:rPr>
        <w:t xml:space="preserve"> in </w:t>
      </w:r>
      <w:proofErr w:type="spellStart"/>
      <w:r w:rsidRPr="00A06A20">
        <w:rPr>
          <w:rFonts w:ascii="Arial" w:hAnsi="Arial" w:cs="Arial"/>
          <w:sz w:val="24"/>
          <w:szCs w:val="24"/>
          <w:lang w:val="en-US"/>
        </w:rPr>
        <w:t>Bassot</w:t>
      </w:r>
      <w:proofErr w:type="spellEnd"/>
      <w:r w:rsidRPr="00A06A20">
        <w:rPr>
          <w:rFonts w:ascii="Arial" w:hAnsi="Arial" w:cs="Arial"/>
          <w:sz w:val="24"/>
          <w:szCs w:val="24"/>
          <w:lang w:val="en-US"/>
        </w:rPr>
        <w:t>, 2016, p. 1) claims that ‘without reflection, we go blindly on our own way, creating more unintended consequences, and failing to achieve anything useful.’</w:t>
      </w:r>
    </w:p>
    <w:p w14:paraId="69A0AA23" w14:textId="77777777" w:rsidR="00A06A20" w:rsidRDefault="00A06A20" w:rsidP="009228E7">
      <w:pPr>
        <w:spacing w:line="360" w:lineRule="auto"/>
        <w:rPr>
          <w:rFonts w:ascii="Arial" w:hAnsi="Arial" w:cs="Arial"/>
          <w:sz w:val="24"/>
          <w:szCs w:val="24"/>
          <w:lang w:val="en-US"/>
        </w:rPr>
      </w:pPr>
    </w:p>
    <w:bookmarkEnd w:id="0"/>
    <w:p w14:paraId="4210FB94" w14:textId="77777777" w:rsidR="007C69F3" w:rsidRDefault="007C69F3" w:rsidP="00396114">
      <w:pPr>
        <w:jc w:val="center"/>
        <w:rPr>
          <w:lang w:val="en-US"/>
        </w:rPr>
      </w:pPr>
    </w:p>
    <w:p w14:paraId="552485A8" w14:textId="77777777" w:rsidR="007C69F3" w:rsidRDefault="007C69F3" w:rsidP="00396114">
      <w:pPr>
        <w:jc w:val="center"/>
        <w:rPr>
          <w:lang w:val="en-US"/>
        </w:rPr>
      </w:pPr>
    </w:p>
    <w:p w14:paraId="279D593D" w14:textId="77777777" w:rsidR="007C69F3" w:rsidRDefault="007C69F3" w:rsidP="00396114">
      <w:pPr>
        <w:jc w:val="center"/>
        <w:rPr>
          <w:lang w:val="en-US"/>
        </w:rPr>
      </w:pPr>
    </w:p>
    <w:p w14:paraId="5DDC2843" w14:textId="77777777" w:rsidR="007C69F3" w:rsidRDefault="007C69F3" w:rsidP="00396114">
      <w:pPr>
        <w:jc w:val="center"/>
        <w:rPr>
          <w:lang w:val="en-US"/>
        </w:rPr>
      </w:pPr>
    </w:p>
    <w:p w14:paraId="6E9C8FFB" w14:textId="77777777" w:rsidR="007C69F3" w:rsidRDefault="007C69F3" w:rsidP="00396114">
      <w:pPr>
        <w:jc w:val="center"/>
        <w:rPr>
          <w:lang w:val="en-US"/>
        </w:rPr>
      </w:pPr>
    </w:p>
    <w:p w14:paraId="1BED9E83" w14:textId="77777777" w:rsidR="007C69F3" w:rsidRDefault="007C69F3" w:rsidP="00396114">
      <w:pPr>
        <w:jc w:val="center"/>
        <w:rPr>
          <w:lang w:val="en-US"/>
        </w:rPr>
      </w:pPr>
    </w:p>
    <w:p w14:paraId="24C3B7EB" w14:textId="69CF69A9" w:rsidR="007C69F3" w:rsidRDefault="007C69F3" w:rsidP="00A06A20">
      <w:pPr>
        <w:rPr>
          <w:lang w:val="en-US"/>
        </w:rPr>
      </w:pPr>
    </w:p>
    <w:p w14:paraId="551569E9" w14:textId="318CF09A" w:rsidR="00A06A20" w:rsidRDefault="00A06A20" w:rsidP="00A06A20">
      <w:pPr>
        <w:rPr>
          <w:lang w:val="en-US"/>
        </w:rPr>
      </w:pPr>
    </w:p>
    <w:p w14:paraId="06F71F70" w14:textId="517DB6D8" w:rsidR="00A06A20" w:rsidRDefault="00A06A20" w:rsidP="00A06A20">
      <w:pPr>
        <w:rPr>
          <w:lang w:val="en-US"/>
        </w:rPr>
      </w:pPr>
    </w:p>
    <w:p w14:paraId="5EDC6E49" w14:textId="497FBCFD" w:rsidR="00A06A20" w:rsidRDefault="00A06A20" w:rsidP="00A06A20">
      <w:pPr>
        <w:rPr>
          <w:lang w:val="en-US"/>
        </w:rPr>
      </w:pPr>
    </w:p>
    <w:p w14:paraId="448200EA" w14:textId="4A69E407" w:rsidR="00A06A20" w:rsidRDefault="00A06A20" w:rsidP="00A06A20">
      <w:pPr>
        <w:rPr>
          <w:lang w:val="en-US"/>
        </w:rPr>
      </w:pPr>
    </w:p>
    <w:p w14:paraId="5B5DC445" w14:textId="373F8234" w:rsidR="00A06A20" w:rsidRDefault="00A06A20" w:rsidP="00A06A20">
      <w:pPr>
        <w:rPr>
          <w:lang w:val="en-US"/>
        </w:rPr>
      </w:pPr>
    </w:p>
    <w:p w14:paraId="1A72D764" w14:textId="77777777" w:rsidR="00A06A20" w:rsidRDefault="00A06A20" w:rsidP="00A06A20">
      <w:pPr>
        <w:rPr>
          <w:lang w:val="en-US"/>
        </w:rPr>
      </w:pPr>
    </w:p>
    <w:p w14:paraId="02A3079F" w14:textId="77777777" w:rsidR="007C69F3" w:rsidRDefault="007C69F3" w:rsidP="00396114">
      <w:pPr>
        <w:jc w:val="center"/>
        <w:rPr>
          <w:lang w:val="en-US"/>
        </w:rPr>
      </w:pPr>
    </w:p>
    <w:p w14:paraId="3CA9A7D8" w14:textId="77777777" w:rsidR="00A06A20" w:rsidRDefault="00A06A20" w:rsidP="00396114">
      <w:pPr>
        <w:jc w:val="center"/>
        <w:rPr>
          <w:lang w:val="en-US"/>
        </w:rPr>
      </w:pPr>
    </w:p>
    <w:p w14:paraId="298C13F0" w14:textId="77777777" w:rsidR="00A06A20" w:rsidRDefault="00A06A20" w:rsidP="00396114">
      <w:pPr>
        <w:jc w:val="center"/>
        <w:rPr>
          <w:lang w:val="en-US"/>
        </w:rPr>
      </w:pPr>
    </w:p>
    <w:p w14:paraId="6B7693E7" w14:textId="77777777" w:rsidR="00A06A20" w:rsidRDefault="00A06A20" w:rsidP="00396114">
      <w:pPr>
        <w:jc w:val="center"/>
        <w:rPr>
          <w:lang w:val="en-US"/>
        </w:rPr>
      </w:pPr>
    </w:p>
    <w:p w14:paraId="2005BAF7" w14:textId="77777777" w:rsidR="00A06A20" w:rsidRDefault="00A06A20" w:rsidP="00396114">
      <w:pPr>
        <w:jc w:val="center"/>
        <w:rPr>
          <w:lang w:val="en-US"/>
        </w:rPr>
      </w:pPr>
    </w:p>
    <w:p w14:paraId="04F68736" w14:textId="77777777" w:rsidR="00A06A20" w:rsidRDefault="00A06A20" w:rsidP="00396114">
      <w:pPr>
        <w:jc w:val="center"/>
        <w:rPr>
          <w:lang w:val="en-US"/>
        </w:rPr>
      </w:pPr>
    </w:p>
    <w:p w14:paraId="26E454F0" w14:textId="77777777" w:rsidR="00A06A20" w:rsidRDefault="00A06A20" w:rsidP="00396114">
      <w:pPr>
        <w:jc w:val="center"/>
        <w:rPr>
          <w:lang w:val="en-US"/>
        </w:rPr>
      </w:pPr>
    </w:p>
    <w:p w14:paraId="7EB2D1E6" w14:textId="77777777" w:rsidR="00A06A20" w:rsidRDefault="00A06A20" w:rsidP="00396114">
      <w:pPr>
        <w:jc w:val="center"/>
        <w:rPr>
          <w:lang w:val="en-US"/>
        </w:rPr>
      </w:pPr>
    </w:p>
    <w:p w14:paraId="744DED8D" w14:textId="77777777" w:rsidR="00A06A20" w:rsidRDefault="00A06A20" w:rsidP="00396114">
      <w:pPr>
        <w:jc w:val="center"/>
        <w:rPr>
          <w:lang w:val="en-US"/>
        </w:rPr>
      </w:pPr>
    </w:p>
    <w:p w14:paraId="30E7F812" w14:textId="77777777" w:rsidR="00A06A20" w:rsidRDefault="00A06A20" w:rsidP="00396114">
      <w:pPr>
        <w:jc w:val="center"/>
        <w:rPr>
          <w:lang w:val="en-US"/>
        </w:rPr>
      </w:pPr>
    </w:p>
    <w:p w14:paraId="0F69B1C2" w14:textId="4E249D2F" w:rsidR="005F371E" w:rsidRDefault="005F371E" w:rsidP="00396114">
      <w:pPr>
        <w:jc w:val="center"/>
        <w:rPr>
          <w:lang w:val="en-US"/>
        </w:rPr>
      </w:pPr>
      <w:bookmarkStart w:id="1" w:name="_GoBack"/>
      <w:bookmarkEnd w:id="1"/>
      <w:r>
        <w:rPr>
          <w:lang w:val="en-US"/>
        </w:rPr>
        <w:lastRenderedPageBreak/>
        <w:t>References</w:t>
      </w:r>
    </w:p>
    <w:p w14:paraId="67B05FEE" w14:textId="745D1635" w:rsidR="00456EFF" w:rsidRDefault="00456EFF">
      <w:pPr>
        <w:rPr>
          <w:lang w:val="en-US"/>
        </w:rPr>
      </w:pPr>
    </w:p>
    <w:p w14:paraId="7B4BACB7" w14:textId="60D4C03C" w:rsidR="00A17EB4" w:rsidRDefault="00456EFF">
      <w:pPr>
        <w:rPr>
          <w:lang w:val="en-US"/>
        </w:rPr>
      </w:pPr>
      <w:r w:rsidRPr="00456EFF">
        <w:rPr>
          <w:lang w:val="en-US"/>
        </w:rPr>
        <w:t xml:space="preserve">Age Concern Cardiff and the Vale of </w:t>
      </w:r>
      <w:proofErr w:type="spellStart"/>
      <w:r w:rsidRPr="00456EFF">
        <w:rPr>
          <w:lang w:val="en-US"/>
        </w:rPr>
        <w:t>Glamorgan</w:t>
      </w:r>
      <w:proofErr w:type="spellEnd"/>
      <w:r>
        <w:rPr>
          <w:lang w:val="en-US"/>
        </w:rPr>
        <w:t xml:space="preserve"> (</w:t>
      </w:r>
      <w:r w:rsidRPr="00456EFF">
        <w:rPr>
          <w:lang w:val="en-US"/>
        </w:rPr>
        <w:t>2012</w:t>
      </w:r>
      <w:r>
        <w:rPr>
          <w:lang w:val="en-US"/>
        </w:rPr>
        <w:t xml:space="preserve">) </w:t>
      </w:r>
      <w:r w:rsidRPr="009A66F6">
        <w:rPr>
          <w:i/>
          <w:iCs/>
          <w:lang w:val="en-US"/>
        </w:rPr>
        <w:t>An Advocate’s guide to Independent Non-Instructed Advocacy: Older People and Dementia Principles, Practice and Guide to Further Resources</w:t>
      </w:r>
      <w:r w:rsidR="00A0198A">
        <w:rPr>
          <w:lang w:val="en-US"/>
        </w:rPr>
        <w:t xml:space="preserve">. Available at: </w:t>
      </w:r>
      <w:hyperlink r:id="rId6" w:history="1">
        <w:r w:rsidR="00A0198A" w:rsidRPr="005F3080">
          <w:rPr>
            <w:rStyle w:val="Hyperlink"/>
            <w:lang w:val="en-US"/>
          </w:rPr>
          <w:t>http://opaal.org.uk/app/uploads/2015/09/An-Advocates-Guide-to-Non-Instructed-Advocacy-2013.pdf</w:t>
        </w:r>
      </w:hyperlink>
      <w:r w:rsidR="00A0198A">
        <w:rPr>
          <w:lang w:val="en-US"/>
        </w:rPr>
        <w:t xml:space="preserve"> (Accessed on: 22 July 2019).</w:t>
      </w:r>
    </w:p>
    <w:p w14:paraId="78B914FA" w14:textId="2CF0B576" w:rsidR="00050E46" w:rsidRDefault="00050E46">
      <w:pPr>
        <w:rPr>
          <w:lang w:val="en-US"/>
        </w:rPr>
      </w:pPr>
      <w:r>
        <w:rPr>
          <w:lang w:val="en-US"/>
        </w:rPr>
        <w:t xml:space="preserve">Cardiff University (2017) </w:t>
      </w:r>
      <w:r w:rsidRPr="009B5523">
        <w:rPr>
          <w:i/>
          <w:iCs/>
          <w:lang w:val="en-US"/>
        </w:rPr>
        <w:t>Advocacy and Access to Information under the Social Services and Well-being (Wales) Act 2014 Mencap WISE Student Advice Project</w:t>
      </w:r>
      <w:r>
        <w:rPr>
          <w:lang w:val="en-US"/>
        </w:rPr>
        <w:t xml:space="preserve">. Available at: </w:t>
      </w:r>
      <w:hyperlink r:id="rId7" w:history="1">
        <w:r w:rsidRPr="003B71F4">
          <w:rPr>
            <w:rStyle w:val="Hyperlink"/>
            <w:lang w:val="en-US"/>
          </w:rPr>
          <w:t>https://www.mencap.org.uk/sites/default/files/2017-05/Advocacy%20and%20Access%20to%20Information%20under%20SSWB%28W%29A%202014%20%28March%202017%29.pdf</w:t>
        </w:r>
      </w:hyperlink>
      <w:r>
        <w:rPr>
          <w:lang w:val="en-US"/>
        </w:rPr>
        <w:t xml:space="preserve"> </w:t>
      </w:r>
      <w:r w:rsidRPr="00050E46">
        <w:rPr>
          <w:lang w:val="en-US"/>
        </w:rPr>
        <w:cr/>
      </w:r>
      <w:r>
        <w:rPr>
          <w:lang w:val="en-US"/>
        </w:rPr>
        <w:t xml:space="preserve"> </w:t>
      </w:r>
    </w:p>
    <w:p w14:paraId="6A614D62" w14:textId="4766044A" w:rsidR="00075298" w:rsidRDefault="00075298">
      <w:pPr>
        <w:rPr>
          <w:lang w:val="en-US"/>
        </w:rPr>
      </w:pPr>
      <w:r>
        <w:rPr>
          <w:lang w:val="en-US"/>
        </w:rPr>
        <w:t>Cafe, R. (2012) ‘</w:t>
      </w:r>
      <w:r w:rsidRPr="00075298">
        <w:rPr>
          <w:lang w:val="en-US"/>
        </w:rPr>
        <w:t>Winterbourne View: Abuse footage shocked nation</w:t>
      </w:r>
      <w:r>
        <w:rPr>
          <w:lang w:val="en-US"/>
        </w:rPr>
        <w:t xml:space="preserve">.’ </w:t>
      </w:r>
      <w:r w:rsidRPr="00075298">
        <w:rPr>
          <w:i/>
          <w:iCs/>
          <w:lang w:val="en-US"/>
        </w:rPr>
        <w:t>BBC News</w:t>
      </w:r>
      <w:r>
        <w:rPr>
          <w:lang w:val="en-US"/>
        </w:rPr>
        <w:t>. Available at</w:t>
      </w:r>
      <w:r w:rsidR="00385D42">
        <w:rPr>
          <w:lang w:val="en-US"/>
        </w:rPr>
        <w:t>:</w:t>
      </w:r>
      <w:r>
        <w:rPr>
          <w:lang w:val="en-US"/>
        </w:rPr>
        <w:t xml:space="preserve"> </w:t>
      </w:r>
      <w:hyperlink r:id="rId8" w:history="1">
        <w:r w:rsidRPr="00A36115">
          <w:rPr>
            <w:rStyle w:val="Hyperlink"/>
            <w:lang w:val="en-US"/>
          </w:rPr>
          <w:t>https://www.bbc.co.uk/news/uk-england-bristol-20084254</w:t>
        </w:r>
      </w:hyperlink>
      <w:r>
        <w:rPr>
          <w:lang w:val="en-US"/>
        </w:rPr>
        <w:t xml:space="preserve"> (Accessed on</w:t>
      </w:r>
      <w:r w:rsidR="00385D42">
        <w:rPr>
          <w:lang w:val="en-US"/>
        </w:rPr>
        <w:t>:</w:t>
      </w:r>
      <w:r>
        <w:rPr>
          <w:lang w:val="en-US"/>
        </w:rPr>
        <w:t xml:space="preserve"> 17</w:t>
      </w:r>
      <w:r w:rsidR="00385D42">
        <w:rPr>
          <w:lang w:val="en-US"/>
        </w:rPr>
        <w:t xml:space="preserve"> </w:t>
      </w:r>
      <w:r>
        <w:rPr>
          <w:lang w:val="en-US"/>
        </w:rPr>
        <w:t>July 2017).</w:t>
      </w:r>
    </w:p>
    <w:p w14:paraId="75906819" w14:textId="74CF3A48" w:rsidR="00BA5EC1" w:rsidRDefault="00BA5EC1" w:rsidP="00BA5EC1">
      <w:pPr>
        <w:rPr>
          <w:lang w:val="en-US"/>
        </w:rPr>
      </w:pPr>
      <w:r>
        <w:rPr>
          <w:lang w:val="en-US"/>
        </w:rPr>
        <w:t xml:space="preserve">Care Council for Wales (2016). </w:t>
      </w:r>
      <w:r w:rsidRPr="005D1BB9">
        <w:rPr>
          <w:i/>
          <w:iCs/>
          <w:lang w:val="en-US"/>
        </w:rPr>
        <w:t>Social Services and Well-being (Wales) Act Training: Independent Advocacy</w:t>
      </w:r>
      <w:r>
        <w:rPr>
          <w:lang w:val="en-US"/>
        </w:rPr>
        <w:t>. Available at</w:t>
      </w:r>
      <w:r w:rsidR="00385D42">
        <w:rPr>
          <w:lang w:val="en-US"/>
        </w:rPr>
        <w:t>:</w:t>
      </w:r>
      <w:r>
        <w:rPr>
          <w:lang w:val="en-US"/>
        </w:rPr>
        <w:t xml:space="preserve"> </w:t>
      </w:r>
      <w:hyperlink r:id="rId9" w:history="1">
        <w:r w:rsidRPr="00A36115">
          <w:rPr>
            <w:rStyle w:val="Hyperlink"/>
            <w:lang w:val="en-US"/>
          </w:rPr>
          <w:t>https://socialcare.wales/hub/hub-resource-sub-categories/advocacy</w:t>
        </w:r>
      </w:hyperlink>
      <w:r>
        <w:rPr>
          <w:lang w:val="en-US"/>
        </w:rPr>
        <w:t xml:space="preserve"> (Accessed on</w:t>
      </w:r>
      <w:r w:rsidR="00385D42">
        <w:rPr>
          <w:lang w:val="en-US"/>
        </w:rPr>
        <w:t>:</w:t>
      </w:r>
      <w:r>
        <w:rPr>
          <w:lang w:val="en-US"/>
        </w:rPr>
        <w:t xml:space="preserve"> 16 July 2019).</w:t>
      </w:r>
    </w:p>
    <w:p w14:paraId="3483ABA3" w14:textId="52CC9EC2" w:rsidR="007328A7" w:rsidRDefault="007328A7" w:rsidP="00BA5EC1">
      <w:pPr>
        <w:rPr>
          <w:lang w:val="en-US"/>
        </w:rPr>
      </w:pPr>
      <w:r>
        <w:rPr>
          <w:lang w:val="en-US"/>
        </w:rPr>
        <w:t>Department of Health (2012)</w:t>
      </w:r>
      <w:r w:rsidR="00706AF6">
        <w:rPr>
          <w:lang w:val="en-US"/>
        </w:rPr>
        <w:t>.</w:t>
      </w:r>
      <w:r>
        <w:rPr>
          <w:lang w:val="en-US"/>
        </w:rPr>
        <w:t xml:space="preserve"> </w:t>
      </w:r>
      <w:r w:rsidRPr="007328A7">
        <w:rPr>
          <w:lang w:val="en-US"/>
        </w:rPr>
        <w:t>Transforming care: A national response to Winterbourne View Hospital</w:t>
      </w:r>
      <w:r>
        <w:rPr>
          <w:lang w:val="en-US"/>
        </w:rPr>
        <w:t>. Available at</w:t>
      </w:r>
      <w:r w:rsidR="00385D42">
        <w:rPr>
          <w:lang w:val="en-US"/>
        </w:rPr>
        <w:t>:</w:t>
      </w:r>
      <w:r>
        <w:rPr>
          <w:lang w:val="en-US"/>
        </w:rPr>
        <w:t xml:space="preserve"> </w:t>
      </w:r>
      <w:hyperlink r:id="rId10" w:history="1">
        <w:r w:rsidRPr="00A36115">
          <w:rPr>
            <w:rStyle w:val="Hyperlink"/>
            <w:lang w:val="en-US"/>
          </w:rPr>
          <w:t>https://assets.publishing.service.gov.uk/government/uploads/system/uploads/attachment_data/file/213216/easy-read-of-final-report.pdf</w:t>
        </w:r>
      </w:hyperlink>
      <w:r>
        <w:rPr>
          <w:lang w:val="en-US"/>
        </w:rPr>
        <w:t xml:space="preserve"> (</w:t>
      </w:r>
      <w:r w:rsidR="00385D42">
        <w:rPr>
          <w:lang w:val="en-US"/>
        </w:rPr>
        <w:t>A</w:t>
      </w:r>
      <w:r>
        <w:rPr>
          <w:lang w:val="en-US"/>
        </w:rPr>
        <w:t>ccessed on</w:t>
      </w:r>
      <w:r w:rsidR="00385D42">
        <w:rPr>
          <w:lang w:val="en-US"/>
        </w:rPr>
        <w:t>:</w:t>
      </w:r>
      <w:r>
        <w:rPr>
          <w:lang w:val="en-US"/>
        </w:rPr>
        <w:t xml:space="preserve"> 17 July 2019).</w:t>
      </w:r>
    </w:p>
    <w:p w14:paraId="1E83622F" w14:textId="3EA7770E" w:rsidR="00706AF6" w:rsidRDefault="00706AF6">
      <w:pPr>
        <w:rPr>
          <w:lang w:val="en-US"/>
        </w:rPr>
      </w:pPr>
      <w:r>
        <w:rPr>
          <w:lang w:val="en-US"/>
        </w:rPr>
        <w:t>Department of Health (2013). Transforming care: a national response the Winterbourne View Hospital. Final Report. Available at</w:t>
      </w:r>
      <w:r w:rsidR="00385D42">
        <w:rPr>
          <w:lang w:val="en-US"/>
        </w:rPr>
        <w:t>:</w:t>
      </w:r>
      <w:r>
        <w:rPr>
          <w:lang w:val="en-US"/>
        </w:rPr>
        <w:t xml:space="preserve"> </w:t>
      </w:r>
      <w:hyperlink r:id="rId11" w:history="1">
        <w:r w:rsidRPr="00A36115">
          <w:rPr>
            <w:rStyle w:val="Hyperlink"/>
            <w:lang w:val="en-US"/>
          </w:rPr>
          <w:t>https://assets.publishing.service.gov.uk/government/uploads/system/uploads/attachment_data/file/175561/Transforming_Care_A_National_Response_to_Winterbourne_View_Hospital_Impact_Assessment.pdf</w:t>
        </w:r>
      </w:hyperlink>
      <w:r>
        <w:rPr>
          <w:lang w:val="en-US"/>
        </w:rPr>
        <w:t xml:space="preserve"> (Accessed on</w:t>
      </w:r>
      <w:r w:rsidR="00385D42">
        <w:rPr>
          <w:lang w:val="en-US"/>
        </w:rPr>
        <w:t>:</w:t>
      </w:r>
      <w:r>
        <w:rPr>
          <w:lang w:val="en-US"/>
        </w:rPr>
        <w:t xml:space="preserve"> 17 July 2019).</w:t>
      </w:r>
      <w:r w:rsidRPr="00706AF6">
        <w:rPr>
          <w:lang w:val="en-US"/>
        </w:rPr>
        <w:cr/>
      </w:r>
    </w:p>
    <w:p w14:paraId="5ACB2C7A" w14:textId="1187E5FB" w:rsidR="00971B9D" w:rsidRDefault="005F371E">
      <w:pPr>
        <w:rPr>
          <w:lang w:val="en-US"/>
        </w:rPr>
      </w:pPr>
      <w:r>
        <w:rPr>
          <w:lang w:val="en-US"/>
        </w:rPr>
        <w:t>Department of Health (2015)</w:t>
      </w:r>
      <w:r w:rsidR="00C95635">
        <w:rPr>
          <w:lang w:val="en-US"/>
        </w:rPr>
        <w:t>.</w:t>
      </w:r>
      <w:r>
        <w:rPr>
          <w:lang w:val="en-US"/>
        </w:rPr>
        <w:t xml:space="preserve"> </w:t>
      </w:r>
      <w:r w:rsidRPr="00971B9D">
        <w:rPr>
          <w:i/>
          <w:iCs/>
          <w:lang w:val="en-US"/>
        </w:rPr>
        <w:t>Briefing Note: Advocacy under the Care Act 2014</w:t>
      </w:r>
      <w:r>
        <w:rPr>
          <w:lang w:val="en-US"/>
        </w:rPr>
        <w:t>. Available at</w:t>
      </w:r>
      <w:r w:rsidR="00385D42">
        <w:rPr>
          <w:lang w:val="en-US"/>
        </w:rPr>
        <w:t xml:space="preserve">: </w:t>
      </w:r>
      <w:hyperlink r:id="rId12" w:history="1">
        <w:r w:rsidR="00385D42" w:rsidRPr="005F3080">
          <w:rPr>
            <w:rStyle w:val="Hyperlink"/>
            <w:lang w:val="en-US"/>
          </w:rPr>
          <w:t>https://www.local.gov.uk/sites/default/files/documents/briefing-note-independent-a3d.pdf</w:t>
        </w:r>
      </w:hyperlink>
      <w:r>
        <w:rPr>
          <w:lang w:val="en-US"/>
        </w:rPr>
        <w:t xml:space="preserve"> (</w:t>
      </w:r>
      <w:r w:rsidR="00385D42">
        <w:rPr>
          <w:lang w:val="en-US"/>
        </w:rPr>
        <w:t>A</w:t>
      </w:r>
      <w:r>
        <w:rPr>
          <w:lang w:val="en-US"/>
        </w:rPr>
        <w:t>ccessed on</w:t>
      </w:r>
      <w:r w:rsidR="00385D42">
        <w:rPr>
          <w:lang w:val="en-US"/>
        </w:rPr>
        <w:t>:</w:t>
      </w:r>
      <w:r>
        <w:rPr>
          <w:lang w:val="en-US"/>
        </w:rPr>
        <w:t xml:space="preserve"> 16 July 2019.</w:t>
      </w:r>
    </w:p>
    <w:p w14:paraId="330DC9F2" w14:textId="770B14D2" w:rsidR="00971B9D" w:rsidRDefault="00971B9D">
      <w:pPr>
        <w:rPr>
          <w:lang w:val="en-US"/>
        </w:rPr>
      </w:pPr>
      <w:r>
        <w:rPr>
          <w:lang w:val="en-US"/>
        </w:rPr>
        <w:t>Department of Health (2015</w:t>
      </w:r>
      <w:r w:rsidR="000B3267">
        <w:rPr>
          <w:lang w:val="en-US"/>
        </w:rPr>
        <w:t>, a</w:t>
      </w:r>
      <w:r>
        <w:rPr>
          <w:lang w:val="en-US"/>
        </w:rPr>
        <w:t>)</w:t>
      </w:r>
      <w:r w:rsidR="00C95635">
        <w:rPr>
          <w:lang w:val="en-US"/>
        </w:rPr>
        <w:t>.</w:t>
      </w:r>
      <w:r>
        <w:rPr>
          <w:lang w:val="en-US"/>
        </w:rPr>
        <w:t xml:space="preserve"> </w:t>
      </w:r>
      <w:r w:rsidRPr="00971B9D">
        <w:rPr>
          <w:i/>
          <w:iCs/>
          <w:lang w:val="en-US"/>
        </w:rPr>
        <w:t>Briefing Note: Independent Advocacy under the Care Act 2014 - Care and Support Providers</w:t>
      </w:r>
      <w:r>
        <w:rPr>
          <w:i/>
          <w:iCs/>
          <w:lang w:val="en-US"/>
        </w:rPr>
        <w:t xml:space="preserve">.  </w:t>
      </w:r>
      <w:r>
        <w:rPr>
          <w:lang w:val="en-US"/>
        </w:rPr>
        <w:t>Available at</w:t>
      </w:r>
      <w:r w:rsidR="00385D42">
        <w:rPr>
          <w:lang w:val="en-US"/>
        </w:rPr>
        <w:t>:</w:t>
      </w:r>
      <w:r>
        <w:rPr>
          <w:lang w:val="en-US"/>
        </w:rPr>
        <w:t xml:space="preserve"> </w:t>
      </w:r>
      <w:hyperlink r:id="rId13" w:history="1">
        <w:r w:rsidRPr="00A36115">
          <w:rPr>
            <w:rStyle w:val="Hyperlink"/>
            <w:lang w:val="en-US"/>
          </w:rPr>
          <w:t>https://www.local.gov.uk/sites/default/files/documents/briefing-note-independent-79d.pdf</w:t>
        </w:r>
      </w:hyperlink>
      <w:r>
        <w:rPr>
          <w:lang w:val="en-US"/>
        </w:rPr>
        <w:t xml:space="preserve"> (Accessed on</w:t>
      </w:r>
      <w:r w:rsidR="00385D42">
        <w:rPr>
          <w:lang w:val="en-US"/>
        </w:rPr>
        <w:t xml:space="preserve">: </w:t>
      </w:r>
      <w:r>
        <w:rPr>
          <w:lang w:val="en-US"/>
        </w:rPr>
        <w:t>16 July 2019).</w:t>
      </w:r>
    </w:p>
    <w:p w14:paraId="33ABE29C" w14:textId="08D73EE1" w:rsidR="00061D85" w:rsidRDefault="00061D85">
      <w:pPr>
        <w:rPr>
          <w:lang w:val="en-US"/>
        </w:rPr>
      </w:pPr>
      <w:r>
        <w:rPr>
          <w:lang w:val="en-US"/>
        </w:rPr>
        <w:t>Department of Health (2015</w:t>
      </w:r>
      <w:r w:rsidR="007328A7">
        <w:rPr>
          <w:lang w:val="en-US"/>
        </w:rPr>
        <w:t>, b</w:t>
      </w:r>
      <w:r>
        <w:rPr>
          <w:lang w:val="en-US"/>
        </w:rPr>
        <w:t>) Independent Advocacy and the Care Act. Available at</w:t>
      </w:r>
      <w:r w:rsidR="00385D42">
        <w:rPr>
          <w:lang w:val="en-US"/>
        </w:rPr>
        <w:t>:</w:t>
      </w:r>
      <w:r>
        <w:rPr>
          <w:lang w:val="en-US"/>
        </w:rPr>
        <w:t xml:space="preserve"> </w:t>
      </w:r>
      <w:hyperlink r:id="rId14" w:history="1">
        <w:r w:rsidRPr="00A36115">
          <w:rPr>
            <w:rStyle w:val="Hyperlink"/>
            <w:lang w:val="en-US"/>
          </w:rPr>
          <w:t>https://www.local.gov.uk/sites/default/files/documents/independent-advocacy-and--16a.pdf</w:t>
        </w:r>
      </w:hyperlink>
      <w:r>
        <w:rPr>
          <w:lang w:val="en-US"/>
        </w:rPr>
        <w:t xml:space="preserve"> (Accessed on</w:t>
      </w:r>
      <w:r w:rsidR="00385D42">
        <w:rPr>
          <w:lang w:val="en-US"/>
        </w:rPr>
        <w:t>:</w:t>
      </w:r>
      <w:r>
        <w:rPr>
          <w:lang w:val="en-US"/>
        </w:rPr>
        <w:t xml:space="preserve"> 16 July </w:t>
      </w:r>
      <w:r w:rsidR="000B12DA">
        <w:rPr>
          <w:lang w:val="en-US"/>
        </w:rPr>
        <w:t>(</w:t>
      </w:r>
      <w:r>
        <w:rPr>
          <w:lang w:val="en-US"/>
        </w:rPr>
        <w:t>2019).</w:t>
      </w:r>
    </w:p>
    <w:p w14:paraId="66D22A9B" w14:textId="136F730F" w:rsidR="00AC7EE0" w:rsidRDefault="00AC7EE0">
      <w:pPr>
        <w:rPr>
          <w:lang w:val="en-US"/>
        </w:rPr>
      </w:pPr>
      <w:r>
        <w:rPr>
          <w:lang w:val="en-US"/>
        </w:rPr>
        <w:t xml:space="preserve">National Archives (2019) </w:t>
      </w:r>
      <w:r w:rsidRPr="00AC7EE0">
        <w:rPr>
          <w:lang w:val="en-US"/>
        </w:rPr>
        <w:t>Social Services and Well-being (Wales) Act 2014</w:t>
      </w:r>
      <w:r>
        <w:rPr>
          <w:lang w:val="en-US"/>
        </w:rPr>
        <w:t>. Available at</w:t>
      </w:r>
      <w:r w:rsidR="00385D42">
        <w:rPr>
          <w:lang w:val="en-US"/>
        </w:rPr>
        <w:t>:</w:t>
      </w:r>
      <w:r>
        <w:rPr>
          <w:lang w:val="en-US"/>
        </w:rPr>
        <w:t xml:space="preserve"> </w:t>
      </w:r>
      <w:hyperlink r:id="rId15" w:history="1">
        <w:r w:rsidRPr="00A36115">
          <w:rPr>
            <w:rStyle w:val="Hyperlink"/>
            <w:lang w:val="en-US"/>
          </w:rPr>
          <w:t>http://www.legislation.gov.uk/anaw/2014/4</w:t>
        </w:r>
      </w:hyperlink>
      <w:r>
        <w:rPr>
          <w:lang w:val="en-US"/>
        </w:rPr>
        <w:t xml:space="preserve"> (Accessed on</w:t>
      </w:r>
      <w:r w:rsidR="00385D42">
        <w:rPr>
          <w:lang w:val="en-US"/>
        </w:rPr>
        <w:t>:</w:t>
      </w:r>
      <w:r>
        <w:rPr>
          <w:lang w:val="en-US"/>
        </w:rPr>
        <w:t xml:space="preserve"> 16 July 2019). </w:t>
      </w:r>
    </w:p>
    <w:p w14:paraId="67F6B950" w14:textId="158F0DD0" w:rsidR="000B12DA" w:rsidRDefault="000B12DA">
      <w:pPr>
        <w:rPr>
          <w:lang w:val="en-US"/>
        </w:rPr>
      </w:pPr>
      <w:r w:rsidRPr="000B12DA">
        <w:rPr>
          <w:lang w:val="en-US"/>
        </w:rPr>
        <w:lastRenderedPageBreak/>
        <w:t>National Health Service</w:t>
      </w:r>
      <w:r>
        <w:rPr>
          <w:lang w:val="en-US"/>
        </w:rPr>
        <w:t xml:space="preserve"> (</w:t>
      </w:r>
      <w:r w:rsidRPr="000B12DA">
        <w:rPr>
          <w:lang w:val="en-US"/>
        </w:rPr>
        <w:t>2012</w:t>
      </w:r>
      <w:r>
        <w:rPr>
          <w:lang w:val="en-US"/>
        </w:rPr>
        <w:t xml:space="preserve">). </w:t>
      </w:r>
      <w:r w:rsidRPr="000B12DA">
        <w:rPr>
          <w:i/>
          <w:iCs/>
          <w:lang w:val="en-US"/>
        </w:rPr>
        <w:t>Winterbourne View failures lead to care system review</w:t>
      </w:r>
      <w:r>
        <w:rPr>
          <w:i/>
          <w:iCs/>
          <w:lang w:val="en-US"/>
        </w:rPr>
        <w:t xml:space="preserve">. </w:t>
      </w:r>
      <w:r w:rsidRPr="000B12DA">
        <w:rPr>
          <w:lang w:val="en-US"/>
        </w:rPr>
        <w:t>Available at</w:t>
      </w:r>
      <w:r w:rsidR="00385D42">
        <w:rPr>
          <w:lang w:val="en-US"/>
        </w:rPr>
        <w:t>:</w:t>
      </w:r>
      <w:r>
        <w:rPr>
          <w:i/>
          <w:iCs/>
          <w:lang w:val="en-US"/>
        </w:rPr>
        <w:t xml:space="preserve"> </w:t>
      </w:r>
      <w:hyperlink r:id="rId16" w:history="1">
        <w:r w:rsidRPr="00A36115">
          <w:rPr>
            <w:rStyle w:val="Hyperlink"/>
            <w:lang w:val="en-US"/>
          </w:rPr>
          <w:t>https://www.nhs.uk/news/medical-practice/winterbourne-view-failures-lead-to-care-system-review/</w:t>
        </w:r>
      </w:hyperlink>
      <w:r>
        <w:rPr>
          <w:lang w:val="en-US"/>
        </w:rPr>
        <w:t xml:space="preserve"> (Accessed on</w:t>
      </w:r>
      <w:r w:rsidR="00385D42">
        <w:rPr>
          <w:lang w:val="en-US"/>
        </w:rPr>
        <w:t>:</w:t>
      </w:r>
      <w:r>
        <w:rPr>
          <w:lang w:val="en-US"/>
        </w:rPr>
        <w:t xml:space="preserve"> 17</w:t>
      </w:r>
      <w:r w:rsidR="00385D42">
        <w:rPr>
          <w:vertAlign w:val="superscript"/>
          <w:lang w:val="en-US"/>
        </w:rPr>
        <w:t xml:space="preserve"> </w:t>
      </w:r>
      <w:r>
        <w:rPr>
          <w:lang w:val="en-US"/>
        </w:rPr>
        <w:t>July 2019).</w:t>
      </w:r>
    </w:p>
    <w:p w14:paraId="3867A815" w14:textId="580901FD" w:rsidR="00C44B76" w:rsidRDefault="00C44B76">
      <w:pPr>
        <w:rPr>
          <w:lang w:val="en-US"/>
        </w:rPr>
      </w:pPr>
      <w:proofErr w:type="spellStart"/>
      <w:r w:rsidRPr="00C44B76">
        <w:rPr>
          <w:lang w:val="en-US"/>
        </w:rPr>
        <w:t>Haralambos</w:t>
      </w:r>
      <w:proofErr w:type="spellEnd"/>
      <w:r>
        <w:rPr>
          <w:lang w:val="en-US"/>
        </w:rPr>
        <w:t>, M.</w:t>
      </w:r>
      <w:r w:rsidRPr="00C44B76">
        <w:rPr>
          <w:lang w:val="en-US"/>
        </w:rPr>
        <w:t xml:space="preserve"> and </w:t>
      </w:r>
      <w:proofErr w:type="spellStart"/>
      <w:r w:rsidRPr="00C44B76">
        <w:rPr>
          <w:lang w:val="en-US"/>
        </w:rPr>
        <w:t>Holborn</w:t>
      </w:r>
      <w:proofErr w:type="spellEnd"/>
      <w:r>
        <w:rPr>
          <w:lang w:val="en-US"/>
        </w:rPr>
        <w:t>, M (</w:t>
      </w:r>
      <w:r w:rsidRPr="00C44B76">
        <w:rPr>
          <w:lang w:val="en-US"/>
        </w:rPr>
        <w:t>2008</w:t>
      </w:r>
      <w:r>
        <w:rPr>
          <w:lang w:val="en-US"/>
        </w:rPr>
        <w:t>)</w:t>
      </w:r>
      <w:r w:rsidRPr="00C44B76">
        <w:rPr>
          <w:i/>
          <w:iCs/>
          <w:lang w:val="en-US"/>
        </w:rPr>
        <w:t xml:space="preserve"> Sociology: Themes and Perspectives</w:t>
      </w:r>
      <w:r>
        <w:rPr>
          <w:lang w:val="en-US"/>
        </w:rPr>
        <w:t>. Seventh edition. London: HarperCollins Publishers Limited.</w:t>
      </w:r>
    </w:p>
    <w:p w14:paraId="41D53357" w14:textId="266FD712" w:rsidR="003B0747" w:rsidRDefault="003B0747">
      <w:pPr>
        <w:rPr>
          <w:lang w:val="en-US"/>
        </w:rPr>
      </w:pPr>
      <w:r w:rsidRPr="003B0747">
        <w:rPr>
          <w:lang w:val="en-US"/>
        </w:rPr>
        <w:t>Holcomb-McCoy</w:t>
      </w:r>
      <w:r>
        <w:rPr>
          <w:lang w:val="en-US"/>
        </w:rPr>
        <w:t>, C</w:t>
      </w:r>
      <w:r w:rsidRPr="003B0747">
        <w:rPr>
          <w:lang w:val="en-US"/>
        </w:rPr>
        <w:t xml:space="preserve"> and Brian</w:t>
      </w:r>
      <w:r>
        <w:rPr>
          <w:lang w:val="en-US"/>
        </w:rPr>
        <w:t>, J. (</w:t>
      </w:r>
      <w:r w:rsidRPr="003B0747">
        <w:rPr>
          <w:lang w:val="en-US"/>
        </w:rPr>
        <w:t>2010)</w:t>
      </w:r>
      <w:r>
        <w:rPr>
          <w:lang w:val="en-US"/>
        </w:rPr>
        <w:t xml:space="preserve"> ‘</w:t>
      </w:r>
      <w:r w:rsidRPr="003B0747">
        <w:rPr>
          <w:lang w:val="en-US"/>
        </w:rPr>
        <w:t>Advocacy and Empowerment in Parent Consultation: Implications for Theory and Practice</w:t>
      </w:r>
      <w:r>
        <w:rPr>
          <w:lang w:val="en-US"/>
        </w:rPr>
        <w:t>.’ Journal of Counseling and Development, 88(3), pp. 259-268. Available at</w:t>
      </w:r>
      <w:r w:rsidR="00385D42">
        <w:rPr>
          <w:lang w:val="en-US"/>
        </w:rPr>
        <w:t>:</w:t>
      </w:r>
      <w:r>
        <w:rPr>
          <w:lang w:val="en-US"/>
        </w:rPr>
        <w:t xml:space="preserve"> </w:t>
      </w:r>
      <w:hyperlink r:id="rId17" w:history="1">
        <w:r w:rsidRPr="00A36115">
          <w:rPr>
            <w:rStyle w:val="Hyperlink"/>
            <w:lang w:val="en-US"/>
          </w:rPr>
          <w:t>https://www.researchgate.net/publication/263617124_Advocacy_and_Empowerment_in_Parent_Consultation_Implications_for_Theory_and_Practice</w:t>
        </w:r>
      </w:hyperlink>
      <w:r>
        <w:rPr>
          <w:lang w:val="en-US"/>
        </w:rPr>
        <w:t xml:space="preserve"> (Accessed on</w:t>
      </w:r>
      <w:r w:rsidR="00385D42">
        <w:rPr>
          <w:lang w:val="en-US"/>
        </w:rPr>
        <w:t>:</w:t>
      </w:r>
      <w:r>
        <w:rPr>
          <w:lang w:val="en-US"/>
        </w:rPr>
        <w:t xml:space="preserve"> 17 July 2019).</w:t>
      </w:r>
      <w:r w:rsidRPr="003B0747">
        <w:rPr>
          <w:lang w:val="en-US"/>
        </w:rPr>
        <w:cr/>
      </w:r>
    </w:p>
    <w:p w14:paraId="66D4D4FB" w14:textId="5D5C4F55" w:rsidR="004D5D0C" w:rsidRDefault="004D5D0C">
      <w:pPr>
        <w:rPr>
          <w:lang w:val="en-US"/>
        </w:rPr>
      </w:pPr>
      <w:r>
        <w:rPr>
          <w:lang w:val="en-US"/>
        </w:rPr>
        <w:t xml:space="preserve">Mind (2013) </w:t>
      </w:r>
      <w:r w:rsidRPr="004D5D0C">
        <w:rPr>
          <w:lang w:val="en-US"/>
        </w:rPr>
        <w:t>Advocacy in mental health</w:t>
      </w:r>
      <w:r>
        <w:rPr>
          <w:lang w:val="en-US"/>
        </w:rPr>
        <w:t xml:space="preserve">. Available at: </w:t>
      </w:r>
      <w:hyperlink r:id="rId18" w:anchor=".XTQ-oPZFzIU" w:history="1">
        <w:r w:rsidRPr="003B71F4">
          <w:rPr>
            <w:rStyle w:val="Hyperlink"/>
            <w:lang w:val="en-US"/>
          </w:rPr>
          <w:t>https://www.mind.org.uk/information-support/guides-to-support-and-services/advocacy/#.XTQ-oPZFzIU</w:t>
        </w:r>
      </w:hyperlink>
      <w:r>
        <w:rPr>
          <w:lang w:val="en-US"/>
        </w:rPr>
        <w:t xml:space="preserve"> (Accessed on: 21 July 2019).</w:t>
      </w:r>
    </w:p>
    <w:p w14:paraId="395C4D9D" w14:textId="629EA57E" w:rsidR="00FE59B8" w:rsidRDefault="00FE59B8" w:rsidP="00FE59B8">
      <w:pPr>
        <w:rPr>
          <w:lang w:val="en-US"/>
        </w:rPr>
      </w:pPr>
      <w:r>
        <w:rPr>
          <w:lang w:val="en-US"/>
        </w:rPr>
        <w:t xml:space="preserve">Morgan, J (2019) </w:t>
      </w:r>
      <w:r w:rsidRPr="00FE59B8">
        <w:rPr>
          <w:lang w:val="en-US"/>
        </w:rPr>
        <w:t>Cabinet statement</w:t>
      </w:r>
      <w:r>
        <w:rPr>
          <w:lang w:val="en-US"/>
        </w:rPr>
        <w:t xml:space="preserve"> </w:t>
      </w:r>
      <w:r w:rsidRPr="00FE59B8">
        <w:rPr>
          <w:lang w:val="en-US"/>
        </w:rPr>
        <w:t>Written Statement: Update on implementation of the Regulation and Inspection of Social Care (Wales) Act 2016</w:t>
      </w:r>
      <w:r>
        <w:rPr>
          <w:lang w:val="en-US"/>
        </w:rPr>
        <w:t xml:space="preserve">. Available at: </w:t>
      </w:r>
      <w:hyperlink r:id="rId19" w:history="1">
        <w:r w:rsidRPr="005F3080">
          <w:rPr>
            <w:rStyle w:val="Hyperlink"/>
            <w:lang w:val="en-US"/>
          </w:rPr>
          <w:t>https://gov.wales/written-statement-update-implementation-regulation-and-inspection-social-care-wales-act-2016</w:t>
        </w:r>
      </w:hyperlink>
      <w:r>
        <w:rPr>
          <w:lang w:val="en-US"/>
        </w:rPr>
        <w:t xml:space="preserve"> (Accessed on: 22 July 2019).</w:t>
      </w:r>
    </w:p>
    <w:p w14:paraId="7B3FC14A" w14:textId="27D9CE4D" w:rsidR="007A5E63" w:rsidRDefault="007A5E63" w:rsidP="00FE59B8">
      <w:pPr>
        <w:rPr>
          <w:lang w:val="en-US"/>
        </w:rPr>
      </w:pPr>
      <w:r>
        <w:rPr>
          <w:lang w:val="en-US"/>
        </w:rPr>
        <w:t xml:space="preserve">Ridley, </w:t>
      </w:r>
      <w:r w:rsidRPr="007A5E63">
        <w:rPr>
          <w:lang w:val="en-US"/>
        </w:rPr>
        <w:t>J</w:t>
      </w:r>
      <w:r>
        <w:rPr>
          <w:lang w:val="en-US"/>
        </w:rPr>
        <w:t>.</w:t>
      </w:r>
      <w:r w:rsidRPr="007A5E63">
        <w:rPr>
          <w:lang w:val="en-US"/>
        </w:rPr>
        <w:t xml:space="preserve"> </w:t>
      </w:r>
      <w:proofErr w:type="spellStart"/>
      <w:r w:rsidRPr="007A5E63">
        <w:rPr>
          <w:lang w:val="en-US"/>
        </w:rPr>
        <w:t>Newbigging</w:t>
      </w:r>
      <w:proofErr w:type="spellEnd"/>
      <w:r w:rsidRPr="007A5E63">
        <w:rPr>
          <w:lang w:val="en-US"/>
        </w:rPr>
        <w:t xml:space="preserve">, </w:t>
      </w:r>
      <w:r>
        <w:rPr>
          <w:lang w:val="en-US"/>
        </w:rPr>
        <w:t>K.</w:t>
      </w:r>
      <w:r w:rsidRPr="007A5E63">
        <w:rPr>
          <w:lang w:val="en-US"/>
        </w:rPr>
        <w:t xml:space="preserve"> McKeown, </w:t>
      </w:r>
      <w:r>
        <w:rPr>
          <w:lang w:val="en-US"/>
        </w:rPr>
        <w:t xml:space="preserve">M. </w:t>
      </w:r>
      <w:r w:rsidRPr="007A5E63">
        <w:rPr>
          <w:lang w:val="en-US"/>
        </w:rPr>
        <w:t xml:space="preserve"> </w:t>
      </w:r>
      <w:proofErr w:type="spellStart"/>
      <w:r w:rsidRPr="007A5E63">
        <w:rPr>
          <w:lang w:val="en-US"/>
        </w:rPr>
        <w:t>Sadd</w:t>
      </w:r>
      <w:proofErr w:type="spellEnd"/>
      <w:r w:rsidRPr="007A5E63">
        <w:rPr>
          <w:lang w:val="en-US"/>
        </w:rPr>
        <w:t xml:space="preserve">, </w:t>
      </w:r>
      <w:r>
        <w:rPr>
          <w:lang w:val="en-US"/>
        </w:rPr>
        <w:t xml:space="preserve">J. </w:t>
      </w:r>
      <w:r w:rsidRPr="007A5E63">
        <w:rPr>
          <w:lang w:val="en-US"/>
        </w:rPr>
        <w:t xml:space="preserve">Machin, </w:t>
      </w:r>
      <w:r>
        <w:rPr>
          <w:lang w:val="en-US"/>
        </w:rPr>
        <w:t xml:space="preserve">K. </w:t>
      </w:r>
      <w:r w:rsidRPr="007A5E63">
        <w:rPr>
          <w:lang w:val="en-US"/>
        </w:rPr>
        <w:t xml:space="preserve">Cruse, </w:t>
      </w:r>
      <w:r>
        <w:rPr>
          <w:lang w:val="en-US"/>
        </w:rPr>
        <w:t xml:space="preserve">K. </w:t>
      </w:r>
      <w:r w:rsidRPr="007A5E63">
        <w:rPr>
          <w:lang w:val="en-US"/>
        </w:rPr>
        <w:t xml:space="preserve">De La Haye, </w:t>
      </w:r>
      <w:r>
        <w:rPr>
          <w:lang w:val="en-US"/>
        </w:rPr>
        <w:t xml:space="preserve">S. </w:t>
      </w:r>
      <w:r w:rsidRPr="007A5E63">
        <w:rPr>
          <w:lang w:val="en-US"/>
        </w:rPr>
        <w:t>Able</w:t>
      </w:r>
      <w:r>
        <w:rPr>
          <w:lang w:val="en-US"/>
        </w:rPr>
        <w:t xml:space="preserve">, L and </w:t>
      </w:r>
      <w:proofErr w:type="spellStart"/>
      <w:r>
        <w:rPr>
          <w:lang w:val="en-US"/>
        </w:rPr>
        <w:t>Poursanidou</w:t>
      </w:r>
      <w:proofErr w:type="spellEnd"/>
      <w:r>
        <w:rPr>
          <w:lang w:val="en-US"/>
        </w:rPr>
        <w:t xml:space="preserve">, K (2015) </w:t>
      </w:r>
      <w:r w:rsidRPr="007A5E63">
        <w:rPr>
          <w:i/>
          <w:iCs/>
          <w:lang w:val="en-US"/>
        </w:rPr>
        <w:t>Independent Mental Health Advocacy: The Right to Be Heard: Context, Values and Good Practice.</w:t>
      </w:r>
      <w:r>
        <w:rPr>
          <w:lang w:val="en-US"/>
        </w:rPr>
        <w:t xml:space="preserve"> London. Philadelphia: Jessica Kingsley Publishers.</w:t>
      </w:r>
    </w:p>
    <w:p w14:paraId="69CC396F" w14:textId="0127F5C2" w:rsidR="00FA473A" w:rsidRDefault="00FA473A" w:rsidP="00FE59B8">
      <w:pPr>
        <w:rPr>
          <w:lang w:val="en-US"/>
        </w:rPr>
      </w:pPr>
      <w:r w:rsidRPr="00FA473A">
        <w:rPr>
          <w:lang w:val="en-US"/>
        </w:rPr>
        <w:t xml:space="preserve"> </w:t>
      </w:r>
      <w:proofErr w:type="spellStart"/>
      <w:r w:rsidRPr="00FA473A">
        <w:rPr>
          <w:lang w:val="en-US"/>
        </w:rPr>
        <w:t>Redley</w:t>
      </w:r>
      <w:proofErr w:type="spellEnd"/>
      <w:r w:rsidRPr="00FA473A">
        <w:rPr>
          <w:lang w:val="en-US"/>
        </w:rPr>
        <w:t xml:space="preserve">, </w:t>
      </w:r>
      <w:r>
        <w:rPr>
          <w:lang w:val="en-US"/>
        </w:rPr>
        <w:t xml:space="preserve">M. </w:t>
      </w:r>
      <w:r w:rsidRPr="00FA473A">
        <w:rPr>
          <w:lang w:val="en-US"/>
        </w:rPr>
        <w:t xml:space="preserve">Clare, </w:t>
      </w:r>
      <w:r>
        <w:rPr>
          <w:lang w:val="en-US"/>
        </w:rPr>
        <w:t xml:space="preserve">I. </w:t>
      </w:r>
      <w:r w:rsidRPr="00FA473A">
        <w:rPr>
          <w:lang w:val="en-US"/>
        </w:rPr>
        <w:t xml:space="preserve"> Luke</w:t>
      </w:r>
      <w:r>
        <w:rPr>
          <w:lang w:val="en-US"/>
        </w:rPr>
        <w:t>, L</w:t>
      </w:r>
      <w:r w:rsidRPr="00FA473A">
        <w:rPr>
          <w:lang w:val="en-US"/>
        </w:rPr>
        <w:t xml:space="preserve"> and Holland</w:t>
      </w:r>
      <w:r>
        <w:rPr>
          <w:lang w:val="en-US"/>
        </w:rPr>
        <w:t>, AJ. (20</w:t>
      </w:r>
      <w:r w:rsidR="00F208CA">
        <w:rPr>
          <w:lang w:val="en-US"/>
        </w:rPr>
        <w:t>10</w:t>
      </w:r>
      <w:r>
        <w:rPr>
          <w:lang w:val="en-US"/>
        </w:rPr>
        <w:t>) ‘</w:t>
      </w:r>
      <w:r w:rsidRPr="00FA473A">
        <w:rPr>
          <w:lang w:val="en-US"/>
        </w:rPr>
        <w:t>Mental Capacity Act (England and Wales) 2005: The Emergent Independent Mental Capacity Advocate (IMCA) Service</w:t>
      </w:r>
      <w:r>
        <w:rPr>
          <w:lang w:val="en-US"/>
        </w:rPr>
        <w:t xml:space="preserve">.’ </w:t>
      </w:r>
      <w:r w:rsidRPr="00FA473A">
        <w:rPr>
          <w:i/>
          <w:iCs/>
          <w:lang w:val="en-US"/>
        </w:rPr>
        <w:t>British Journal of Social Work</w:t>
      </w:r>
      <w:r>
        <w:rPr>
          <w:i/>
          <w:iCs/>
          <w:lang w:val="en-US"/>
        </w:rPr>
        <w:t>,</w:t>
      </w:r>
      <w:r w:rsidRPr="00FA473A">
        <w:rPr>
          <w:lang w:val="en-US"/>
        </w:rPr>
        <w:t xml:space="preserve"> </w:t>
      </w:r>
      <w:r w:rsidR="00F208CA" w:rsidRPr="00F208CA">
        <w:rPr>
          <w:lang w:val="en-US"/>
        </w:rPr>
        <w:t>40</w:t>
      </w:r>
      <w:r w:rsidR="00F208CA">
        <w:rPr>
          <w:lang w:val="en-US"/>
        </w:rPr>
        <w:t>(</w:t>
      </w:r>
      <w:r w:rsidR="00F208CA" w:rsidRPr="00F208CA">
        <w:rPr>
          <w:lang w:val="en-US"/>
        </w:rPr>
        <w:t>6</w:t>
      </w:r>
      <w:r w:rsidR="00F208CA">
        <w:rPr>
          <w:lang w:val="en-US"/>
        </w:rPr>
        <w:t>)</w:t>
      </w:r>
      <w:r w:rsidR="00F208CA" w:rsidRPr="00F208CA">
        <w:rPr>
          <w:lang w:val="en-US"/>
        </w:rPr>
        <w:t>, pp. 1812-1828</w:t>
      </w:r>
      <w:r w:rsidR="00F208CA">
        <w:rPr>
          <w:lang w:val="en-US"/>
        </w:rPr>
        <w:t>.</w:t>
      </w:r>
    </w:p>
    <w:p w14:paraId="5412FA4F" w14:textId="49C5C53C" w:rsidR="00F22DFB" w:rsidRDefault="005A1970">
      <w:pPr>
        <w:rPr>
          <w:lang w:val="en-US"/>
        </w:rPr>
      </w:pPr>
      <w:r>
        <w:rPr>
          <w:lang w:val="en-US"/>
        </w:rPr>
        <w:t>Rose, SM (1990). ‘</w:t>
      </w:r>
      <w:r w:rsidRPr="005A1970">
        <w:rPr>
          <w:lang w:val="en-US"/>
        </w:rPr>
        <w:t>Advocacy/Empowerment: An Approach to Clinical Practice for Social Work</w:t>
      </w:r>
      <w:r>
        <w:rPr>
          <w:lang w:val="en-US"/>
        </w:rPr>
        <w:t xml:space="preserve">.’ </w:t>
      </w:r>
      <w:r w:rsidRPr="005A1970">
        <w:rPr>
          <w:lang w:val="en-US"/>
        </w:rPr>
        <w:t>The Journal of Sociology &amp; Social Welfare</w:t>
      </w:r>
      <w:r>
        <w:rPr>
          <w:lang w:val="en-US"/>
        </w:rPr>
        <w:t xml:space="preserve">, 17(2), pp. 41-51. Available at: </w:t>
      </w:r>
      <w:hyperlink r:id="rId20" w:history="1">
        <w:r w:rsidR="00124B1B" w:rsidRPr="003B71F4">
          <w:rPr>
            <w:rStyle w:val="Hyperlink"/>
            <w:lang w:val="en-US"/>
          </w:rPr>
          <w:t>https://scholarworks.wmich.edu/cgi/viewcontent.cgi?referer=https://scholar.google.co.uk/scholar?hl=en&amp;as_sdt=0%2C5&amp;q=Advocacy+empowerment+theory+and+practice&amp;btnG=&amp;httpsredir=1&amp;article=1938&amp;context=jssw</w:t>
        </w:r>
      </w:hyperlink>
      <w:r w:rsidR="00124B1B">
        <w:rPr>
          <w:lang w:val="en-US"/>
        </w:rPr>
        <w:t xml:space="preserve"> (Accessed on: 21 July 2019).</w:t>
      </w:r>
      <w:r w:rsidRPr="005A1970">
        <w:rPr>
          <w:lang w:val="en-US"/>
        </w:rPr>
        <w:cr/>
      </w:r>
    </w:p>
    <w:p w14:paraId="582976F7" w14:textId="110A493D" w:rsidR="00FA473A" w:rsidRDefault="00FA473A">
      <w:pPr>
        <w:rPr>
          <w:lang w:val="en-US"/>
        </w:rPr>
      </w:pPr>
      <w:proofErr w:type="spellStart"/>
      <w:r w:rsidRPr="00FA473A">
        <w:rPr>
          <w:lang w:val="en-US"/>
        </w:rPr>
        <w:t>Samsi</w:t>
      </w:r>
      <w:proofErr w:type="spellEnd"/>
      <w:r w:rsidRPr="00FA473A">
        <w:rPr>
          <w:lang w:val="en-US"/>
        </w:rPr>
        <w:t xml:space="preserve">, </w:t>
      </w:r>
      <w:r>
        <w:rPr>
          <w:lang w:val="en-US"/>
        </w:rPr>
        <w:t xml:space="preserve">K. </w:t>
      </w:r>
      <w:proofErr w:type="spellStart"/>
      <w:r w:rsidRPr="00FA473A">
        <w:rPr>
          <w:lang w:val="en-US"/>
        </w:rPr>
        <w:t>Manthorpe</w:t>
      </w:r>
      <w:proofErr w:type="spellEnd"/>
      <w:r>
        <w:rPr>
          <w:lang w:val="en-US"/>
        </w:rPr>
        <w:t>, J</w:t>
      </w:r>
      <w:r w:rsidRPr="00FA473A">
        <w:rPr>
          <w:lang w:val="en-US"/>
        </w:rPr>
        <w:t xml:space="preserve"> and Rapaport</w:t>
      </w:r>
      <w:r>
        <w:rPr>
          <w:lang w:val="en-US"/>
        </w:rPr>
        <w:t xml:space="preserve">, P. (2011) </w:t>
      </w:r>
      <w:r w:rsidRPr="00FA473A">
        <w:rPr>
          <w:lang w:val="en-US"/>
        </w:rPr>
        <w:t>‘As People Get to Know It More’: Experiences and Expectations of the Mental Capacity Act 2005 amongst Local Information, Advice and Advocacy Services</w:t>
      </w:r>
      <w:r>
        <w:rPr>
          <w:lang w:val="en-US"/>
        </w:rPr>
        <w:t xml:space="preserve">.’ </w:t>
      </w:r>
      <w:r w:rsidRPr="00FA473A">
        <w:rPr>
          <w:i/>
          <w:iCs/>
          <w:lang w:val="en-US"/>
        </w:rPr>
        <w:t>Social Policy and Society</w:t>
      </w:r>
      <w:r>
        <w:rPr>
          <w:lang w:val="en-US"/>
        </w:rPr>
        <w:t>, 10(1), pp. 41-54.</w:t>
      </w:r>
    </w:p>
    <w:p w14:paraId="01F94158" w14:textId="60316939" w:rsidR="00F22DFB" w:rsidRPr="000B12DA" w:rsidRDefault="00F22DFB">
      <w:pPr>
        <w:rPr>
          <w:lang w:val="en-US"/>
        </w:rPr>
      </w:pPr>
      <w:r w:rsidRPr="00F22DFB">
        <w:rPr>
          <w:lang w:val="en-US"/>
        </w:rPr>
        <w:t>Smith,</w:t>
      </w:r>
      <w:r>
        <w:rPr>
          <w:lang w:val="en-US"/>
        </w:rPr>
        <w:t xml:space="preserve"> L. </w:t>
      </w:r>
      <w:r w:rsidRPr="00F22DFB">
        <w:rPr>
          <w:lang w:val="en-US"/>
        </w:rPr>
        <w:t>Chambers</w:t>
      </w:r>
      <w:r>
        <w:rPr>
          <w:lang w:val="en-US"/>
        </w:rPr>
        <w:t>, DA</w:t>
      </w:r>
      <w:r w:rsidRPr="00F22DFB">
        <w:rPr>
          <w:lang w:val="en-US"/>
        </w:rPr>
        <w:t xml:space="preserve"> and </w:t>
      </w:r>
      <w:proofErr w:type="spellStart"/>
      <w:r w:rsidRPr="00F22DFB">
        <w:rPr>
          <w:lang w:val="en-US"/>
        </w:rPr>
        <w:t>Bratini</w:t>
      </w:r>
      <w:proofErr w:type="spellEnd"/>
      <w:r w:rsidRPr="00F22DFB">
        <w:rPr>
          <w:lang w:val="en-US"/>
        </w:rPr>
        <w:t xml:space="preserve">, </w:t>
      </w:r>
      <w:r>
        <w:rPr>
          <w:lang w:val="en-US"/>
        </w:rPr>
        <w:t>L (</w:t>
      </w:r>
      <w:r w:rsidRPr="00F22DFB">
        <w:rPr>
          <w:lang w:val="en-US"/>
        </w:rPr>
        <w:t>2009</w:t>
      </w:r>
      <w:r>
        <w:rPr>
          <w:lang w:val="en-US"/>
        </w:rPr>
        <w:t>) ‘</w:t>
      </w:r>
      <w:r w:rsidRPr="00F22DFB">
        <w:rPr>
          <w:lang w:val="en-US"/>
        </w:rPr>
        <w:t>When Oppression Is the Pathogen: The Participatory Development of Socially Just Mental Health Practice</w:t>
      </w:r>
      <w:r>
        <w:rPr>
          <w:lang w:val="en-US"/>
        </w:rPr>
        <w:t xml:space="preserve">.’ </w:t>
      </w:r>
      <w:r w:rsidRPr="00F22DFB">
        <w:rPr>
          <w:lang w:val="en-US"/>
        </w:rPr>
        <w:t>Ame</w:t>
      </w:r>
      <w:r>
        <w:rPr>
          <w:lang w:val="en-US"/>
        </w:rPr>
        <w:t>ri</w:t>
      </w:r>
      <w:r w:rsidRPr="00F22DFB">
        <w:rPr>
          <w:lang w:val="en-US"/>
        </w:rPr>
        <w:t>can Journal of Orthopsychia</w:t>
      </w:r>
      <w:r>
        <w:rPr>
          <w:lang w:val="en-US"/>
        </w:rPr>
        <w:t xml:space="preserve">try, </w:t>
      </w:r>
      <w:r w:rsidRPr="00F22DFB">
        <w:rPr>
          <w:lang w:val="en-US"/>
        </w:rPr>
        <w:t>79</w:t>
      </w:r>
      <w:r>
        <w:rPr>
          <w:lang w:val="en-US"/>
        </w:rPr>
        <w:t>(</w:t>
      </w:r>
      <w:r w:rsidRPr="00F22DFB">
        <w:rPr>
          <w:lang w:val="en-US"/>
        </w:rPr>
        <w:t>2</w:t>
      </w:r>
      <w:r>
        <w:rPr>
          <w:lang w:val="en-US"/>
        </w:rPr>
        <w:t xml:space="preserve">), pp. </w:t>
      </w:r>
      <w:r w:rsidRPr="00F22DFB">
        <w:rPr>
          <w:lang w:val="en-US"/>
        </w:rPr>
        <w:t>159-168</w:t>
      </w:r>
      <w:r>
        <w:rPr>
          <w:lang w:val="en-US"/>
        </w:rPr>
        <w:t xml:space="preserve">. Available at. </w:t>
      </w:r>
      <w:hyperlink r:id="rId21" w:history="1">
        <w:r w:rsidRPr="003B71F4">
          <w:rPr>
            <w:rStyle w:val="Hyperlink"/>
            <w:lang w:val="en-US"/>
          </w:rPr>
          <w:t>https://www.researchgate.net/profile/Debbie_Ann_Chambers/publication/26256444_When_Oppression_Is_the_Pathogen_The_Participatory_Development_of_Socially_Just_Mental_Health_Practice/links/5812bbaf08ae8414914a35a0.pdf</w:t>
        </w:r>
      </w:hyperlink>
      <w:r>
        <w:rPr>
          <w:lang w:val="en-US"/>
        </w:rPr>
        <w:t xml:space="preserve"> (Accessed on: 21 July 2019).</w:t>
      </w:r>
    </w:p>
    <w:p w14:paraId="3AA2BF81" w14:textId="4B7F8CA0" w:rsidR="005302AA" w:rsidRDefault="005302AA">
      <w:pPr>
        <w:rPr>
          <w:lang w:val="en-US"/>
        </w:rPr>
      </w:pPr>
      <w:r w:rsidRPr="005302AA">
        <w:rPr>
          <w:lang w:val="en-US"/>
        </w:rPr>
        <w:t xml:space="preserve">Social Care Institute for Excellence (2014) Independent advocacy under the Care Act 2014: Advocacy and the duty to involve. Available at: </w:t>
      </w:r>
      <w:hyperlink r:id="rId22" w:history="1">
        <w:r w:rsidRPr="003B71F4">
          <w:rPr>
            <w:rStyle w:val="Hyperlink"/>
            <w:lang w:val="en-US"/>
          </w:rPr>
          <w:t>https://www.scie.org.uk/care-act-2014/advocacy-services/commissioning-independent-advocacy/duties/independent-advocacy-care-act.asp</w:t>
        </w:r>
      </w:hyperlink>
      <w:r>
        <w:rPr>
          <w:lang w:val="en-US"/>
        </w:rPr>
        <w:t xml:space="preserve"> </w:t>
      </w:r>
      <w:r w:rsidRPr="005302AA">
        <w:rPr>
          <w:lang w:val="en-US"/>
        </w:rPr>
        <w:t xml:space="preserve"> (Accessed on: 21 July).</w:t>
      </w:r>
    </w:p>
    <w:p w14:paraId="67A59222" w14:textId="4130C290" w:rsidR="00C95635" w:rsidRDefault="00C95635">
      <w:pPr>
        <w:rPr>
          <w:lang w:val="en-US"/>
        </w:rPr>
      </w:pPr>
      <w:r>
        <w:rPr>
          <w:lang w:val="en-US"/>
        </w:rPr>
        <w:lastRenderedPageBreak/>
        <w:t xml:space="preserve">Social care Wales (2017).  </w:t>
      </w:r>
      <w:r w:rsidR="005A0382" w:rsidRPr="005A0382">
        <w:rPr>
          <w:i/>
          <w:iCs/>
          <w:lang w:val="en-US"/>
        </w:rPr>
        <w:t>Learning Resources</w:t>
      </w:r>
      <w:r w:rsidR="005A0382">
        <w:rPr>
          <w:lang w:val="en-US"/>
        </w:rPr>
        <w:t xml:space="preserve">: </w:t>
      </w:r>
      <w:r w:rsidR="005A0382">
        <w:rPr>
          <w:i/>
          <w:iCs/>
          <w:lang w:val="en-US"/>
        </w:rPr>
        <w:t>Hub Prospectus</w:t>
      </w:r>
      <w:r>
        <w:rPr>
          <w:lang w:val="en-US"/>
        </w:rPr>
        <w:t>. Available at</w:t>
      </w:r>
      <w:r w:rsidR="00385D42">
        <w:rPr>
          <w:lang w:val="en-US"/>
        </w:rPr>
        <w:t>:</w:t>
      </w:r>
      <w:r>
        <w:rPr>
          <w:lang w:val="en-US"/>
        </w:rPr>
        <w:t xml:space="preserve"> </w:t>
      </w:r>
      <w:hyperlink r:id="rId23" w:history="1">
        <w:r w:rsidR="005A0382" w:rsidRPr="00A36115">
          <w:rPr>
            <w:rStyle w:val="Hyperlink"/>
            <w:lang w:val="en-US"/>
          </w:rPr>
          <w:t>https://socialcare.wales/hub/resources</w:t>
        </w:r>
      </w:hyperlink>
      <w:r w:rsidR="005A0382">
        <w:rPr>
          <w:lang w:val="en-US"/>
        </w:rPr>
        <w:t xml:space="preserve"> </w:t>
      </w:r>
      <w:r w:rsidR="005A0382" w:rsidRPr="005A0382">
        <w:rPr>
          <w:lang w:val="en-US"/>
        </w:rPr>
        <w:t xml:space="preserve"> </w:t>
      </w:r>
      <w:r>
        <w:rPr>
          <w:lang w:val="en-US"/>
        </w:rPr>
        <w:t>(Accessed on</w:t>
      </w:r>
      <w:r w:rsidR="00385D42">
        <w:rPr>
          <w:lang w:val="en-US"/>
        </w:rPr>
        <w:t>:</w:t>
      </w:r>
      <w:r>
        <w:rPr>
          <w:lang w:val="en-US"/>
        </w:rPr>
        <w:t xml:space="preserve"> 16 July 2019).</w:t>
      </w:r>
    </w:p>
    <w:p w14:paraId="3FD18280" w14:textId="77777777" w:rsidR="000A04F4" w:rsidRPr="000A04F4" w:rsidRDefault="00A17EB4" w:rsidP="000A04F4">
      <w:pPr>
        <w:rPr>
          <w:lang w:val="en-US"/>
        </w:rPr>
      </w:pPr>
      <w:r>
        <w:rPr>
          <w:lang w:val="en-US"/>
        </w:rPr>
        <w:t xml:space="preserve">Stonehouse, </w:t>
      </w:r>
      <w:r w:rsidR="000A04F4">
        <w:rPr>
          <w:lang w:val="en-US"/>
        </w:rPr>
        <w:t>D. (2011) ‘</w:t>
      </w:r>
      <w:r w:rsidR="000A04F4" w:rsidRPr="000A04F4">
        <w:rPr>
          <w:lang w:val="en-US"/>
        </w:rPr>
        <w:t>Using reflective practice to ensure high standards of care</w:t>
      </w:r>
      <w:r w:rsidR="000A04F4">
        <w:rPr>
          <w:lang w:val="en-US"/>
        </w:rPr>
        <w:t xml:space="preserve">.’ </w:t>
      </w:r>
      <w:r w:rsidR="000A04F4" w:rsidRPr="000A04F4">
        <w:rPr>
          <w:lang w:val="en-US"/>
        </w:rPr>
        <w:t>British Journal of</w:t>
      </w:r>
    </w:p>
    <w:p w14:paraId="0A1F2A80" w14:textId="7E3D1F6A" w:rsidR="00A17EB4" w:rsidRDefault="000A04F4" w:rsidP="000A04F4">
      <w:pPr>
        <w:rPr>
          <w:lang w:val="en-US"/>
        </w:rPr>
      </w:pPr>
      <w:r w:rsidRPr="000A04F4">
        <w:rPr>
          <w:lang w:val="en-US"/>
        </w:rPr>
        <w:t xml:space="preserve"> Healthcare Assistants</w:t>
      </w:r>
      <w:r>
        <w:rPr>
          <w:lang w:val="en-US"/>
        </w:rPr>
        <w:t>, 5(6), pp. 299-302. Available at</w:t>
      </w:r>
      <w:r w:rsidR="00385D42">
        <w:rPr>
          <w:lang w:val="en-US"/>
        </w:rPr>
        <w:t>:</w:t>
      </w:r>
      <w:r>
        <w:rPr>
          <w:lang w:val="en-US"/>
        </w:rPr>
        <w:t xml:space="preserve"> </w:t>
      </w:r>
      <w:hyperlink r:id="rId24" w:history="1">
        <w:r w:rsidRPr="005F3080">
          <w:rPr>
            <w:rStyle w:val="Hyperlink"/>
            <w:lang w:val="en-US"/>
          </w:rPr>
          <w:t>https://www.researchgate.net/publication/256682207_Using_Reflective_Practice_To_Ensure_High_Standards_Of_Care</w:t>
        </w:r>
      </w:hyperlink>
      <w:r>
        <w:rPr>
          <w:lang w:val="en-US"/>
        </w:rPr>
        <w:t xml:space="preserve"> (Accessed on: 22 July 2019).</w:t>
      </w:r>
    </w:p>
    <w:p w14:paraId="7CF45928" w14:textId="034D93EA" w:rsidR="00AC7EE0" w:rsidRDefault="00AC7EE0">
      <w:pPr>
        <w:rPr>
          <w:lang w:val="en-US"/>
        </w:rPr>
      </w:pPr>
      <w:r w:rsidRPr="00AC7EE0">
        <w:rPr>
          <w:lang w:val="en-US"/>
        </w:rPr>
        <w:t>The National Archives</w:t>
      </w:r>
      <w:r>
        <w:rPr>
          <w:lang w:val="en-US"/>
        </w:rPr>
        <w:t xml:space="preserve"> (</w:t>
      </w:r>
      <w:r w:rsidRPr="00AC7EE0">
        <w:rPr>
          <w:lang w:val="en-US"/>
        </w:rPr>
        <w:t>no date)</w:t>
      </w:r>
      <w:r>
        <w:rPr>
          <w:lang w:val="en-US"/>
        </w:rPr>
        <w:t>. The Care Act 2014: Independent Advocacy Support. Available at</w:t>
      </w:r>
      <w:r w:rsidR="00385D42">
        <w:rPr>
          <w:lang w:val="en-US"/>
        </w:rPr>
        <w:t>:</w:t>
      </w:r>
      <w:r>
        <w:rPr>
          <w:lang w:val="en-US"/>
        </w:rPr>
        <w:t xml:space="preserve"> </w:t>
      </w:r>
      <w:hyperlink r:id="rId25" w:history="1">
        <w:r w:rsidRPr="00A36115">
          <w:rPr>
            <w:rStyle w:val="Hyperlink"/>
            <w:lang w:val="en-US"/>
          </w:rPr>
          <w:t>http://www.legislation.gov.uk/ukpga/2014/23/part/1/crossheading/independent-advocacy-support</w:t>
        </w:r>
      </w:hyperlink>
      <w:r>
        <w:rPr>
          <w:lang w:val="en-US"/>
        </w:rPr>
        <w:t xml:space="preserve"> (Accessed on</w:t>
      </w:r>
      <w:r w:rsidR="00385D42">
        <w:rPr>
          <w:lang w:val="en-US"/>
        </w:rPr>
        <w:t>:</w:t>
      </w:r>
      <w:r>
        <w:rPr>
          <w:lang w:val="en-US"/>
        </w:rPr>
        <w:t xml:space="preserve"> 16 July 2019).</w:t>
      </w:r>
    </w:p>
    <w:p w14:paraId="45D820BD" w14:textId="491D7B04" w:rsidR="00D20AEB" w:rsidRDefault="00D20AEB">
      <w:pPr>
        <w:rPr>
          <w:lang w:val="en-US"/>
        </w:rPr>
      </w:pPr>
      <w:r>
        <w:rPr>
          <w:lang w:val="en-US"/>
        </w:rPr>
        <w:t xml:space="preserve">Welsh Government (2015) Social Services and Well-being (Wales) Act 2014: </w:t>
      </w:r>
      <w:r w:rsidRPr="00D20AEB">
        <w:rPr>
          <w:lang w:val="en-US"/>
        </w:rPr>
        <w:t>Part 10 Code of Practice (Advocacy)</w:t>
      </w:r>
      <w:r>
        <w:rPr>
          <w:lang w:val="en-US"/>
        </w:rPr>
        <w:t>. Available at</w:t>
      </w:r>
      <w:r w:rsidR="00385D42">
        <w:rPr>
          <w:lang w:val="en-US"/>
        </w:rPr>
        <w:t>:</w:t>
      </w:r>
      <w:r>
        <w:rPr>
          <w:lang w:val="en-US"/>
        </w:rPr>
        <w:t xml:space="preserve"> </w:t>
      </w:r>
      <w:hyperlink r:id="rId26" w:history="1">
        <w:r w:rsidRPr="00A36115">
          <w:rPr>
            <w:rStyle w:val="Hyperlink"/>
            <w:lang w:val="en-US"/>
          </w:rPr>
          <w:t>https://gweddill.gov.wales/docs/dhss/publications/151218part10en.pdf</w:t>
        </w:r>
      </w:hyperlink>
      <w:r>
        <w:rPr>
          <w:lang w:val="en-US"/>
        </w:rPr>
        <w:t xml:space="preserve"> (Accessed on</w:t>
      </w:r>
      <w:r w:rsidR="00385D42">
        <w:rPr>
          <w:lang w:val="en-US"/>
        </w:rPr>
        <w:t>:</w:t>
      </w:r>
      <w:r>
        <w:rPr>
          <w:lang w:val="en-US"/>
        </w:rPr>
        <w:t xml:space="preserve"> 16 July 2019. </w:t>
      </w:r>
    </w:p>
    <w:p w14:paraId="51D9130A" w14:textId="67A49728" w:rsidR="00992A52" w:rsidRDefault="00992A52">
      <w:pPr>
        <w:rPr>
          <w:lang w:val="en-US"/>
        </w:rPr>
      </w:pPr>
      <w:r>
        <w:rPr>
          <w:lang w:val="en-US"/>
        </w:rPr>
        <w:t xml:space="preserve">Welsh Government (2019) </w:t>
      </w:r>
      <w:r w:rsidRPr="00992A52">
        <w:rPr>
          <w:lang w:val="en-US"/>
        </w:rPr>
        <w:t>Social Services and Well-being (Wales) Act 2014</w:t>
      </w:r>
      <w:r w:rsidR="00AC7EE0">
        <w:rPr>
          <w:lang w:val="en-US"/>
        </w:rPr>
        <w:t xml:space="preserve">: </w:t>
      </w:r>
      <w:r w:rsidR="00AC7EE0" w:rsidRPr="00AC7EE0">
        <w:rPr>
          <w:lang w:val="en-US"/>
        </w:rPr>
        <w:t>Part 4 and 5 Code of Practice (Charging and Financial Assessment)</w:t>
      </w:r>
      <w:r w:rsidR="00AC7EE0">
        <w:rPr>
          <w:lang w:val="en-US"/>
        </w:rPr>
        <w:t>. Available at</w:t>
      </w:r>
      <w:r w:rsidR="00385D42">
        <w:rPr>
          <w:lang w:val="en-US"/>
        </w:rPr>
        <w:t xml:space="preserve">: </w:t>
      </w:r>
      <w:hyperlink r:id="rId27" w:history="1">
        <w:r w:rsidR="00385D42" w:rsidRPr="005F3080">
          <w:rPr>
            <w:rStyle w:val="Hyperlink"/>
            <w:lang w:val="en-US"/>
          </w:rPr>
          <w:t>https://gov.wales/sites/default/files/publications/2019-04/social-services-and-well-being-wales-act-2014-part-4-and-5-code-of-practice-charging-and-financial-assessment.pdf</w:t>
        </w:r>
      </w:hyperlink>
      <w:r w:rsidR="00AC7EE0">
        <w:rPr>
          <w:lang w:val="en-US"/>
        </w:rPr>
        <w:t xml:space="preserve"> (Accessed on 16 July 2019).</w:t>
      </w:r>
      <w:r w:rsidR="00AC7EE0" w:rsidRPr="00AC7EE0">
        <w:rPr>
          <w:lang w:val="en-US"/>
        </w:rPr>
        <w:cr/>
      </w:r>
    </w:p>
    <w:p w14:paraId="789EBF95" w14:textId="1B3C7EA2" w:rsidR="005302AA" w:rsidRPr="005F371E" w:rsidRDefault="005302AA">
      <w:pPr>
        <w:rPr>
          <w:lang w:val="en-US"/>
        </w:rPr>
      </w:pPr>
      <w:r w:rsidRPr="005302AA">
        <w:rPr>
          <w:lang w:val="en-US"/>
        </w:rPr>
        <w:cr/>
      </w:r>
    </w:p>
    <w:sectPr w:rsidR="005302AA" w:rsidRPr="005F371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2C0A9" w14:textId="77777777" w:rsidR="007B6783" w:rsidRDefault="007B6783" w:rsidP="00396114">
      <w:pPr>
        <w:spacing w:after="0" w:line="240" w:lineRule="auto"/>
      </w:pPr>
      <w:r>
        <w:separator/>
      </w:r>
    </w:p>
  </w:endnote>
  <w:endnote w:type="continuationSeparator" w:id="0">
    <w:p w14:paraId="5995F7E0" w14:textId="77777777" w:rsidR="007B6783" w:rsidRDefault="007B6783" w:rsidP="00396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179408"/>
      <w:docPartObj>
        <w:docPartGallery w:val="Page Numbers (Bottom of Page)"/>
        <w:docPartUnique/>
      </w:docPartObj>
    </w:sdtPr>
    <w:sdtEndPr>
      <w:rPr>
        <w:noProof/>
      </w:rPr>
    </w:sdtEndPr>
    <w:sdtContent>
      <w:p w14:paraId="7721F17C" w14:textId="0C608D16" w:rsidR="00396114" w:rsidRDefault="003961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485BAF" w14:textId="77777777" w:rsidR="00396114" w:rsidRDefault="00396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ADCE5" w14:textId="77777777" w:rsidR="007B6783" w:rsidRDefault="007B6783" w:rsidP="00396114">
      <w:pPr>
        <w:spacing w:after="0" w:line="240" w:lineRule="auto"/>
      </w:pPr>
      <w:r>
        <w:separator/>
      </w:r>
    </w:p>
  </w:footnote>
  <w:footnote w:type="continuationSeparator" w:id="0">
    <w:p w14:paraId="570B958C" w14:textId="77777777" w:rsidR="007B6783" w:rsidRDefault="007B6783" w:rsidP="00396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1FBB4" w14:textId="4443B0FB" w:rsidR="00396114" w:rsidRDefault="00916580">
    <w:pPr>
      <w:pStyle w:val="Header"/>
    </w:pPr>
    <w:r>
      <w:t>ECAY4001</w:t>
    </w:r>
    <w:r w:rsidR="00396114">
      <w:ptab w:relativeTo="margin" w:alignment="center" w:leader="none"/>
    </w:r>
    <w:r>
      <w:t>1811212</w:t>
    </w:r>
  </w:p>
  <w:p w14:paraId="7BC12F72" w14:textId="3EBDF424" w:rsidR="00396114" w:rsidRDefault="00396114">
    <w:pPr>
      <w:pStyle w:val="Header"/>
    </w:pPr>
    <w:r>
      <w:t xml:space="preserve">Assignment </w:t>
    </w:r>
    <w:r w:rsidR="00916580">
      <w:t>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1E"/>
    <w:rsid w:val="00001C5F"/>
    <w:rsid w:val="00025E8E"/>
    <w:rsid w:val="00050E46"/>
    <w:rsid w:val="00061D85"/>
    <w:rsid w:val="0007167C"/>
    <w:rsid w:val="00075298"/>
    <w:rsid w:val="00090761"/>
    <w:rsid w:val="00096CE5"/>
    <w:rsid w:val="000A00FE"/>
    <w:rsid w:val="000A04F4"/>
    <w:rsid w:val="000B12DA"/>
    <w:rsid w:val="000B3267"/>
    <w:rsid w:val="000D3DCC"/>
    <w:rsid w:val="000F4B4E"/>
    <w:rsid w:val="001220FE"/>
    <w:rsid w:val="00124B1B"/>
    <w:rsid w:val="00124D72"/>
    <w:rsid w:val="0013284F"/>
    <w:rsid w:val="0013361A"/>
    <w:rsid w:val="00147211"/>
    <w:rsid w:val="00170B7B"/>
    <w:rsid w:val="001744C6"/>
    <w:rsid w:val="001766E5"/>
    <w:rsid w:val="0017722F"/>
    <w:rsid w:val="00180913"/>
    <w:rsid w:val="00180C60"/>
    <w:rsid w:val="001849BD"/>
    <w:rsid w:val="001A1F25"/>
    <w:rsid w:val="001B1B39"/>
    <w:rsid w:val="001B254D"/>
    <w:rsid w:val="001C7621"/>
    <w:rsid w:val="001D6CBF"/>
    <w:rsid w:val="001E3C8B"/>
    <w:rsid w:val="001F133F"/>
    <w:rsid w:val="0020133C"/>
    <w:rsid w:val="00202C83"/>
    <w:rsid w:val="00210304"/>
    <w:rsid w:val="00226F67"/>
    <w:rsid w:val="0023442A"/>
    <w:rsid w:val="002350F2"/>
    <w:rsid w:val="00242FFD"/>
    <w:rsid w:val="00246BD1"/>
    <w:rsid w:val="0026095E"/>
    <w:rsid w:val="002665F2"/>
    <w:rsid w:val="00282048"/>
    <w:rsid w:val="002837CE"/>
    <w:rsid w:val="0028478B"/>
    <w:rsid w:val="00287061"/>
    <w:rsid w:val="00296609"/>
    <w:rsid w:val="002C14EA"/>
    <w:rsid w:val="002C6519"/>
    <w:rsid w:val="002C7B9A"/>
    <w:rsid w:val="002D60E2"/>
    <w:rsid w:val="002E7514"/>
    <w:rsid w:val="002F6782"/>
    <w:rsid w:val="00315854"/>
    <w:rsid w:val="003163BD"/>
    <w:rsid w:val="003173DC"/>
    <w:rsid w:val="003231F5"/>
    <w:rsid w:val="003259AF"/>
    <w:rsid w:val="00326706"/>
    <w:rsid w:val="00361CE6"/>
    <w:rsid w:val="0036427E"/>
    <w:rsid w:val="00385803"/>
    <w:rsid w:val="00385D42"/>
    <w:rsid w:val="00385E1E"/>
    <w:rsid w:val="00387126"/>
    <w:rsid w:val="00392096"/>
    <w:rsid w:val="00395307"/>
    <w:rsid w:val="00396114"/>
    <w:rsid w:val="003A34D8"/>
    <w:rsid w:val="003A6A5D"/>
    <w:rsid w:val="003B0747"/>
    <w:rsid w:val="003C4F3D"/>
    <w:rsid w:val="003D37F6"/>
    <w:rsid w:val="003E4DE1"/>
    <w:rsid w:val="003E75FD"/>
    <w:rsid w:val="003F497E"/>
    <w:rsid w:val="00406B51"/>
    <w:rsid w:val="00407B91"/>
    <w:rsid w:val="004138BB"/>
    <w:rsid w:val="00414B8F"/>
    <w:rsid w:val="00422604"/>
    <w:rsid w:val="00444F40"/>
    <w:rsid w:val="00456EFF"/>
    <w:rsid w:val="00464304"/>
    <w:rsid w:val="00465DEA"/>
    <w:rsid w:val="00471DDA"/>
    <w:rsid w:val="0048112D"/>
    <w:rsid w:val="00484C4E"/>
    <w:rsid w:val="0048519E"/>
    <w:rsid w:val="00485F98"/>
    <w:rsid w:val="00490C4C"/>
    <w:rsid w:val="00493C84"/>
    <w:rsid w:val="004967A0"/>
    <w:rsid w:val="004A296E"/>
    <w:rsid w:val="004A4349"/>
    <w:rsid w:val="004A4E93"/>
    <w:rsid w:val="004C1309"/>
    <w:rsid w:val="004C4BA2"/>
    <w:rsid w:val="004D5D0C"/>
    <w:rsid w:val="004E0F5B"/>
    <w:rsid w:val="004E2C12"/>
    <w:rsid w:val="004F2C8F"/>
    <w:rsid w:val="0050365F"/>
    <w:rsid w:val="005048C3"/>
    <w:rsid w:val="00513785"/>
    <w:rsid w:val="005302AA"/>
    <w:rsid w:val="0054387A"/>
    <w:rsid w:val="00544649"/>
    <w:rsid w:val="00571F29"/>
    <w:rsid w:val="00577D89"/>
    <w:rsid w:val="00584B90"/>
    <w:rsid w:val="005A0382"/>
    <w:rsid w:val="005A1970"/>
    <w:rsid w:val="005B1787"/>
    <w:rsid w:val="005D1BB9"/>
    <w:rsid w:val="005D3BD4"/>
    <w:rsid w:val="005D5043"/>
    <w:rsid w:val="005E3786"/>
    <w:rsid w:val="005F371E"/>
    <w:rsid w:val="00601E89"/>
    <w:rsid w:val="006074BD"/>
    <w:rsid w:val="00614C1F"/>
    <w:rsid w:val="00627D93"/>
    <w:rsid w:val="00630994"/>
    <w:rsid w:val="00632C4F"/>
    <w:rsid w:val="0064332B"/>
    <w:rsid w:val="00645E8F"/>
    <w:rsid w:val="00654C62"/>
    <w:rsid w:val="006604AE"/>
    <w:rsid w:val="00662784"/>
    <w:rsid w:val="0068649C"/>
    <w:rsid w:val="0069491E"/>
    <w:rsid w:val="006A1D22"/>
    <w:rsid w:val="006D3B76"/>
    <w:rsid w:val="006D6F34"/>
    <w:rsid w:val="006E33CE"/>
    <w:rsid w:val="006E5D78"/>
    <w:rsid w:val="006E638A"/>
    <w:rsid w:val="00703D28"/>
    <w:rsid w:val="00706AF6"/>
    <w:rsid w:val="00715A45"/>
    <w:rsid w:val="0072499C"/>
    <w:rsid w:val="0072778B"/>
    <w:rsid w:val="007328A7"/>
    <w:rsid w:val="007623B6"/>
    <w:rsid w:val="00762C0A"/>
    <w:rsid w:val="00766DC5"/>
    <w:rsid w:val="00775831"/>
    <w:rsid w:val="007A2BB8"/>
    <w:rsid w:val="007A3581"/>
    <w:rsid w:val="007A5E63"/>
    <w:rsid w:val="007A7A71"/>
    <w:rsid w:val="007B0D0A"/>
    <w:rsid w:val="007B6783"/>
    <w:rsid w:val="007C39EF"/>
    <w:rsid w:val="007C69F3"/>
    <w:rsid w:val="007E5861"/>
    <w:rsid w:val="007E7496"/>
    <w:rsid w:val="00805C57"/>
    <w:rsid w:val="00814996"/>
    <w:rsid w:val="00821CEF"/>
    <w:rsid w:val="00830B03"/>
    <w:rsid w:val="00845941"/>
    <w:rsid w:val="00857E8F"/>
    <w:rsid w:val="008645A6"/>
    <w:rsid w:val="00864921"/>
    <w:rsid w:val="00865A48"/>
    <w:rsid w:val="00867D35"/>
    <w:rsid w:val="00880123"/>
    <w:rsid w:val="00883FF6"/>
    <w:rsid w:val="008C138F"/>
    <w:rsid w:val="008D16E9"/>
    <w:rsid w:val="008D19A1"/>
    <w:rsid w:val="008D2868"/>
    <w:rsid w:val="008D5C83"/>
    <w:rsid w:val="008F2218"/>
    <w:rsid w:val="008F51F8"/>
    <w:rsid w:val="008F5D36"/>
    <w:rsid w:val="008F60C7"/>
    <w:rsid w:val="0091606D"/>
    <w:rsid w:val="00916580"/>
    <w:rsid w:val="0092204F"/>
    <w:rsid w:val="009228E7"/>
    <w:rsid w:val="00932D88"/>
    <w:rsid w:val="00936EE3"/>
    <w:rsid w:val="00941CCD"/>
    <w:rsid w:val="0094289D"/>
    <w:rsid w:val="00943D70"/>
    <w:rsid w:val="00945F27"/>
    <w:rsid w:val="00971B9D"/>
    <w:rsid w:val="00972792"/>
    <w:rsid w:val="00973863"/>
    <w:rsid w:val="009739A1"/>
    <w:rsid w:val="00992A52"/>
    <w:rsid w:val="00997B41"/>
    <w:rsid w:val="009A1E04"/>
    <w:rsid w:val="009A5ADD"/>
    <w:rsid w:val="009A66F6"/>
    <w:rsid w:val="009A7670"/>
    <w:rsid w:val="009B02E5"/>
    <w:rsid w:val="009B5523"/>
    <w:rsid w:val="009B7CD2"/>
    <w:rsid w:val="009C68E7"/>
    <w:rsid w:val="009D1B3E"/>
    <w:rsid w:val="009D22EF"/>
    <w:rsid w:val="00A0198A"/>
    <w:rsid w:val="00A06A20"/>
    <w:rsid w:val="00A15A6B"/>
    <w:rsid w:val="00A17EB4"/>
    <w:rsid w:val="00A17EC4"/>
    <w:rsid w:val="00A212DA"/>
    <w:rsid w:val="00A27FFC"/>
    <w:rsid w:val="00A40026"/>
    <w:rsid w:val="00A44099"/>
    <w:rsid w:val="00A55D21"/>
    <w:rsid w:val="00A5651A"/>
    <w:rsid w:val="00A66822"/>
    <w:rsid w:val="00A779AF"/>
    <w:rsid w:val="00AA5FFA"/>
    <w:rsid w:val="00AA7021"/>
    <w:rsid w:val="00AB52F0"/>
    <w:rsid w:val="00AC5EAD"/>
    <w:rsid w:val="00AC680E"/>
    <w:rsid w:val="00AC7EE0"/>
    <w:rsid w:val="00AD60EA"/>
    <w:rsid w:val="00AE03AD"/>
    <w:rsid w:val="00AE232D"/>
    <w:rsid w:val="00AE2524"/>
    <w:rsid w:val="00AE3B1B"/>
    <w:rsid w:val="00AF268D"/>
    <w:rsid w:val="00AF5108"/>
    <w:rsid w:val="00B1690E"/>
    <w:rsid w:val="00B3319A"/>
    <w:rsid w:val="00B51563"/>
    <w:rsid w:val="00B539D1"/>
    <w:rsid w:val="00B84DBB"/>
    <w:rsid w:val="00B900BC"/>
    <w:rsid w:val="00B90A4D"/>
    <w:rsid w:val="00B96439"/>
    <w:rsid w:val="00BA24F4"/>
    <w:rsid w:val="00BA3736"/>
    <w:rsid w:val="00BA3CBA"/>
    <w:rsid w:val="00BA5EC1"/>
    <w:rsid w:val="00BB1C06"/>
    <w:rsid w:val="00BC3C15"/>
    <w:rsid w:val="00BD0E57"/>
    <w:rsid w:val="00BE3A94"/>
    <w:rsid w:val="00BF13BA"/>
    <w:rsid w:val="00BF5DC1"/>
    <w:rsid w:val="00C05153"/>
    <w:rsid w:val="00C103F2"/>
    <w:rsid w:val="00C1221D"/>
    <w:rsid w:val="00C15454"/>
    <w:rsid w:val="00C158FC"/>
    <w:rsid w:val="00C15BBE"/>
    <w:rsid w:val="00C1717B"/>
    <w:rsid w:val="00C269F9"/>
    <w:rsid w:val="00C3023B"/>
    <w:rsid w:val="00C44B76"/>
    <w:rsid w:val="00C46460"/>
    <w:rsid w:val="00C5419A"/>
    <w:rsid w:val="00C603FC"/>
    <w:rsid w:val="00C71109"/>
    <w:rsid w:val="00C712F9"/>
    <w:rsid w:val="00C77F6E"/>
    <w:rsid w:val="00C80FE0"/>
    <w:rsid w:val="00C832C5"/>
    <w:rsid w:val="00C95635"/>
    <w:rsid w:val="00C97E46"/>
    <w:rsid w:val="00CB0F1A"/>
    <w:rsid w:val="00CB5865"/>
    <w:rsid w:val="00CB73FC"/>
    <w:rsid w:val="00CD6B18"/>
    <w:rsid w:val="00CE2BBC"/>
    <w:rsid w:val="00CF0D45"/>
    <w:rsid w:val="00CF6CF0"/>
    <w:rsid w:val="00D067AF"/>
    <w:rsid w:val="00D20AEB"/>
    <w:rsid w:val="00D25301"/>
    <w:rsid w:val="00D53F3A"/>
    <w:rsid w:val="00D73DA8"/>
    <w:rsid w:val="00D87A0A"/>
    <w:rsid w:val="00DA0F5D"/>
    <w:rsid w:val="00DA7A56"/>
    <w:rsid w:val="00DC5C93"/>
    <w:rsid w:val="00DD0287"/>
    <w:rsid w:val="00DD404B"/>
    <w:rsid w:val="00DE2138"/>
    <w:rsid w:val="00DE31F6"/>
    <w:rsid w:val="00DE5EAE"/>
    <w:rsid w:val="00DF4046"/>
    <w:rsid w:val="00E07031"/>
    <w:rsid w:val="00E07243"/>
    <w:rsid w:val="00E10A27"/>
    <w:rsid w:val="00E14E97"/>
    <w:rsid w:val="00E17FE7"/>
    <w:rsid w:val="00E314CE"/>
    <w:rsid w:val="00E33F0D"/>
    <w:rsid w:val="00E35C1A"/>
    <w:rsid w:val="00E3632F"/>
    <w:rsid w:val="00E677BC"/>
    <w:rsid w:val="00E67F94"/>
    <w:rsid w:val="00E758AE"/>
    <w:rsid w:val="00E8595F"/>
    <w:rsid w:val="00E950B9"/>
    <w:rsid w:val="00EA047C"/>
    <w:rsid w:val="00EA2B5A"/>
    <w:rsid w:val="00EC4DEE"/>
    <w:rsid w:val="00ED37D6"/>
    <w:rsid w:val="00EE2CFE"/>
    <w:rsid w:val="00EE69EF"/>
    <w:rsid w:val="00EF5881"/>
    <w:rsid w:val="00EF61EA"/>
    <w:rsid w:val="00F12AFB"/>
    <w:rsid w:val="00F130AF"/>
    <w:rsid w:val="00F208CA"/>
    <w:rsid w:val="00F22DFB"/>
    <w:rsid w:val="00F50F44"/>
    <w:rsid w:val="00F5635E"/>
    <w:rsid w:val="00F6331F"/>
    <w:rsid w:val="00F63C4F"/>
    <w:rsid w:val="00F81C26"/>
    <w:rsid w:val="00F84DE8"/>
    <w:rsid w:val="00FA473A"/>
    <w:rsid w:val="00FC07C9"/>
    <w:rsid w:val="00FC27EA"/>
    <w:rsid w:val="00FC4B27"/>
    <w:rsid w:val="00FD5A01"/>
    <w:rsid w:val="00FE5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E12D"/>
  <w15:chartTrackingRefBased/>
  <w15:docId w15:val="{CA45E418-656F-4723-A7BF-303B6E27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71E"/>
    <w:rPr>
      <w:color w:val="0563C1" w:themeColor="hyperlink"/>
      <w:u w:val="single"/>
    </w:rPr>
  </w:style>
  <w:style w:type="character" w:styleId="UnresolvedMention">
    <w:name w:val="Unresolved Mention"/>
    <w:basedOn w:val="DefaultParagraphFont"/>
    <w:uiPriority w:val="99"/>
    <w:semiHidden/>
    <w:unhideWhenUsed/>
    <w:rsid w:val="005F371E"/>
    <w:rPr>
      <w:color w:val="605E5C"/>
      <w:shd w:val="clear" w:color="auto" w:fill="E1DFDD"/>
    </w:rPr>
  </w:style>
  <w:style w:type="character" w:styleId="FollowedHyperlink">
    <w:name w:val="FollowedHyperlink"/>
    <w:basedOn w:val="DefaultParagraphFont"/>
    <w:uiPriority w:val="99"/>
    <w:semiHidden/>
    <w:unhideWhenUsed/>
    <w:rsid w:val="00AD60EA"/>
    <w:rPr>
      <w:color w:val="954F72" w:themeColor="followedHyperlink"/>
      <w:u w:val="single"/>
    </w:rPr>
  </w:style>
  <w:style w:type="paragraph" w:styleId="Header">
    <w:name w:val="header"/>
    <w:basedOn w:val="Normal"/>
    <w:link w:val="HeaderChar"/>
    <w:uiPriority w:val="99"/>
    <w:unhideWhenUsed/>
    <w:rsid w:val="00396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114"/>
  </w:style>
  <w:style w:type="paragraph" w:styleId="Footer">
    <w:name w:val="footer"/>
    <w:basedOn w:val="Normal"/>
    <w:link w:val="FooterChar"/>
    <w:uiPriority w:val="99"/>
    <w:unhideWhenUsed/>
    <w:rsid w:val="00396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bristol-20084254" TargetMode="External"/><Relationship Id="rId13" Type="http://schemas.openxmlformats.org/officeDocument/2006/relationships/hyperlink" Target="https://www.local.gov.uk/sites/default/files/documents/briefing-note-independent-79d.pdf" TargetMode="External"/><Relationship Id="rId18" Type="http://schemas.openxmlformats.org/officeDocument/2006/relationships/hyperlink" Target="https://www.mind.org.uk/information-support/guides-to-support-and-services/advocacy/" TargetMode="External"/><Relationship Id="rId26" Type="http://schemas.openxmlformats.org/officeDocument/2006/relationships/hyperlink" Target="https://gweddill.gov.wales/docs/dhss/publications/151218part10en.pdf" TargetMode="External"/><Relationship Id="rId3" Type="http://schemas.openxmlformats.org/officeDocument/2006/relationships/webSettings" Target="webSettings.xml"/><Relationship Id="rId21" Type="http://schemas.openxmlformats.org/officeDocument/2006/relationships/hyperlink" Target="https://www.researchgate.net/profile/Debbie_Ann_Chambers/publication/26256444_When_Oppression_Is_the_Pathogen_The_Participatory_Development_of_Socially_Just_Mental_Health_Practice/links/5812bbaf08ae8414914a35a0.pdf" TargetMode="External"/><Relationship Id="rId7" Type="http://schemas.openxmlformats.org/officeDocument/2006/relationships/hyperlink" Target="https://www.mencap.org.uk/sites/default/files/2017-05/Advocacy%20and%20Access%20to%20Information%20under%20SSWB%28W%29A%202014%20%28March%202017%29.pdf" TargetMode="External"/><Relationship Id="rId12" Type="http://schemas.openxmlformats.org/officeDocument/2006/relationships/hyperlink" Target="https://www.local.gov.uk/sites/default/files/documents/briefing-note-independent-a3d.pdf" TargetMode="External"/><Relationship Id="rId17" Type="http://schemas.openxmlformats.org/officeDocument/2006/relationships/hyperlink" Target="https://www.researchgate.net/publication/263617124_Advocacy_and_Empowerment_in_Parent_Consultation_Implications_for_Theory_and_Practice" TargetMode="External"/><Relationship Id="rId25" Type="http://schemas.openxmlformats.org/officeDocument/2006/relationships/hyperlink" Target="http://www.legislation.gov.uk/ukpga/2014/23/part/1/crossheading/independent-advocacy-support" TargetMode="External"/><Relationship Id="rId2" Type="http://schemas.openxmlformats.org/officeDocument/2006/relationships/settings" Target="settings.xml"/><Relationship Id="rId16" Type="http://schemas.openxmlformats.org/officeDocument/2006/relationships/hyperlink" Target="https://www.nhs.uk/news/medical-practice/winterbourne-view-failures-lead-to-care-system-review/" TargetMode="External"/><Relationship Id="rId20" Type="http://schemas.openxmlformats.org/officeDocument/2006/relationships/hyperlink" Target="https://scholarworks.wmich.edu/cgi/viewcontent.cgi?referer=https://scholar.google.co.uk/scholar?hl=en&amp;as_sdt=0%2C5&amp;q=Advocacy+empowerment+theory+and+practice&amp;btnG=&amp;httpsredir=1&amp;article=1938&amp;context=jssw"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opaal.org.uk/app/uploads/2015/09/An-Advocates-Guide-to-Non-Instructed-Advocacy-2013.pdf" TargetMode="External"/><Relationship Id="rId11" Type="http://schemas.openxmlformats.org/officeDocument/2006/relationships/hyperlink" Target="https://assets.publishing.service.gov.uk/government/uploads/system/uploads/attachment_data/file/175561/Transforming_Care_A_National_Response_to_Winterbourne_View_Hospital_Impact_Assessment.pdf" TargetMode="External"/><Relationship Id="rId24" Type="http://schemas.openxmlformats.org/officeDocument/2006/relationships/hyperlink" Target="https://www.researchgate.net/publication/256682207_Using_Reflective_Practice_To_Ensure_High_Standards_Of_Care" TargetMode="External"/><Relationship Id="rId5" Type="http://schemas.openxmlformats.org/officeDocument/2006/relationships/endnotes" Target="endnotes.xml"/><Relationship Id="rId15" Type="http://schemas.openxmlformats.org/officeDocument/2006/relationships/hyperlink" Target="http://www.legislation.gov.uk/anaw/2014/4" TargetMode="External"/><Relationship Id="rId23" Type="http://schemas.openxmlformats.org/officeDocument/2006/relationships/hyperlink" Target="https://socialcare.wales/hub/resources" TargetMode="External"/><Relationship Id="rId28" Type="http://schemas.openxmlformats.org/officeDocument/2006/relationships/header" Target="header1.xml"/><Relationship Id="rId10" Type="http://schemas.openxmlformats.org/officeDocument/2006/relationships/hyperlink" Target="https://assets.publishing.service.gov.uk/government/uploads/system/uploads/attachment_data/file/213216/easy-read-of-final-report.pdf" TargetMode="External"/><Relationship Id="rId19" Type="http://schemas.openxmlformats.org/officeDocument/2006/relationships/hyperlink" Target="https://gov.wales/written-statement-update-implementation-regulation-and-inspection-social-care-wales-act-2016"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ocialcare.wales/hub/hub-resource-sub-categories/advocacy" TargetMode="External"/><Relationship Id="rId14" Type="http://schemas.openxmlformats.org/officeDocument/2006/relationships/hyperlink" Target="https://www.local.gov.uk/sites/default/files/documents/independent-advocacy-and--16a.pdf" TargetMode="External"/><Relationship Id="rId22" Type="http://schemas.openxmlformats.org/officeDocument/2006/relationships/hyperlink" Target="https://www.scie.org.uk/care-act-2014/advocacy-services/commissioning-independent-advocacy/duties/independent-advocacy-care-act.asp" TargetMode="External"/><Relationship Id="rId27" Type="http://schemas.openxmlformats.org/officeDocument/2006/relationships/hyperlink" Target="https://gov.wales/sites/default/files/publications/2019-04/social-services-and-well-being-wales-act-2014-part-4-and-5-code-of-practice-charging-and-financial-assessment.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3784</Words>
  <Characters>21575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Gale</dc:creator>
  <cp:keywords/>
  <dc:description/>
  <cp:lastModifiedBy>Autumn Gale</cp:lastModifiedBy>
  <cp:revision>2</cp:revision>
  <dcterms:created xsi:type="dcterms:W3CDTF">2019-07-22T22:03:00Z</dcterms:created>
  <dcterms:modified xsi:type="dcterms:W3CDTF">2019-07-22T22:03:00Z</dcterms:modified>
</cp:coreProperties>
</file>