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B3BE99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777D1764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6CEEF04B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080FE5C5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2AC889C3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12696EC2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0B905AAF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0D433AB9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4D1F32BA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65AF5CDE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4A816EF0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58F5FC9D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56699852" w14:textId="77777777" w:rsidR="00575663" w:rsidRDefault="00575663" w:rsidP="00575663">
      <w:pPr>
        <w:jc w:val="center"/>
        <w:rPr>
          <w:rFonts w:ascii="Arial" w:hAnsi="Arial" w:cs="Arial"/>
          <w:b/>
          <w:bCs/>
        </w:rPr>
      </w:pPr>
    </w:p>
    <w:p w14:paraId="1867F196" w14:textId="6FE8F0C5" w:rsidR="00D9654B" w:rsidRPr="00575663" w:rsidRDefault="00961F9E" w:rsidP="00575663">
      <w:pPr>
        <w:jc w:val="center"/>
        <w:rPr>
          <w:rFonts w:ascii="Arial" w:hAnsi="Arial" w:cs="Arial"/>
          <w:b/>
          <w:bCs/>
        </w:rPr>
      </w:pPr>
      <w:r w:rsidRPr="00575663">
        <w:rPr>
          <w:rFonts w:ascii="Arial" w:hAnsi="Arial" w:cs="Arial"/>
          <w:b/>
          <w:bCs/>
        </w:rPr>
        <w:t>A</w:t>
      </w:r>
      <w:r w:rsidR="00892FA6" w:rsidRPr="00575663">
        <w:rPr>
          <w:rFonts w:ascii="Arial" w:hAnsi="Arial" w:cs="Arial"/>
          <w:b/>
          <w:bCs/>
        </w:rPr>
        <w:t>I</w:t>
      </w:r>
      <w:r w:rsidRPr="00575663">
        <w:rPr>
          <w:rFonts w:ascii="Arial" w:hAnsi="Arial" w:cs="Arial"/>
          <w:b/>
          <w:bCs/>
        </w:rPr>
        <w:t xml:space="preserve"> declaration</w:t>
      </w:r>
    </w:p>
    <w:p w14:paraId="2DCDB695" w14:textId="117F28AB" w:rsidR="00961F9E" w:rsidRDefault="00575663" w:rsidP="00575663">
      <w:pPr>
        <w:jc w:val="center"/>
        <w:rPr>
          <w:rFonts w:ascii="Arial" w:hAnsi="Arial" w:cs="Arial"/>
        </w:rPr>
      </w:pPr>
      <w:r w:rsidRPr="00575663">
        <w:rPr>
          <w:rFonts w:ascii="Arial" w:hAnsi="Arial" w:cs="Arial"/>
        </w:rPr>
        <w:t>I confirm that I have not presented any AI generated text as my own work.</w:t>
      </w:r>
    </w:p>
    <w:p w14:paraId="4F9A79FD" w14:textId="77777777" w:rsidR="00961F9E" w:rsidRDefault="00961F9E">
      <w:pPr>
        <w:rPr>
          <w:rFonts w:ascii="Arial" w:hAnsi="Arial" w:cs="Arial"/>
        </w:rPr>
      </w:pPr>
    </w:p>
    <w:p w14:paraId="66A1BAC7" w14:textId="3D26AB34" w:rsidR="00961F9E" w:rsidRDefault="00961F9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0190986" w14:textId="06F36153" w:rsidR="00E4594D" w:rsidRPr="00097766" w:rsidRDefault="00097766" w:rsidP="00E4594D">
      <w:pPr>
        <w:rPr>
          <w:rFonts w:ascii="Arial" w:hAnsi="Arial" w:cs="Arial"/>
          <w:b/>
          <w:bCs/>
        </w:rPr>
      </w:pPr>
      <w:r w:rsidRPr="00097766"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36905EB6" wp14:editId="55F90A11">
            <wp:simplePos x="0" y="0"/>
            <wp:positionH relativeFrom="column">
              <wp:posOffset>0</wp:posOffset>
            </wp:positionH>
            <wp:positionV relativeFrom="paragraph">
              <wp:posOffset>369570</wp:posOffset>
            </wp:positionV>
            <wp:extent cx="5731510" cy="3241675"/>
            <wp:effectExtent l="0" t="0" r="2540" b="0"/>
            <wp:wrapThrough wrapText="bothSides">
              <wp:wrapPolygon edited="0">
                <wp:start x="0" y="0"/>
                <wp:lineTo x="0" y="21452"/>
                <wp:lineTo x="21538" y="21452"/>
                <wp:lineTo x="21538" y="0"/>
                <wp:lineTo x="0" y="0"/>
              </wp:wrapPolygon>
            </wp:wrapThrough>
            <wp:docPr id="772121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12175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97766">
        <w:rPr>
          <w:rFonts w:ascii="Arial" w:hAnsi="Arial" w:cs="Arial"/>
          <w:b/>
          <w:bCs/>
        </w:rPr>
        <w:t>Presentation slides</w:t>
      </w:r>
    </w:p>
    <w:p w14:paraId="5D44356B" w14:textId="77777777" w:rsidR="00097766" w:rsidRDefault="00097766" w:rsidP="00E4594D">
      <w:pPr>
        <w:rPr>
          <w:rFonts w:ascii="Arial" w:hAnsi="Arial" w:cs="Arial"/>
        </w:rPr>
      </w:pPr>
    </w:p>
    <w:p w14:paraId="61B52E32" w14:textId="77777777" w:rsidR="00097766" w:rsidRDefault="00097766" w:rsidP="00E4594D">
      <w:pPr>
        <w:rPr>
          <w:rFonts w:ascii="Arial" w:hAnsi="Arial" w:cs="Arial"/>
        </w:rPr>
      </w:pPr>
    </w:p>
    <w:p w14:paraId="05BFAF4F" w14:textId="77777777" w:rsidR="00E4594D" w:rsidRDefault="00E4594D" w:rsidP="00E4594D">
      <w:pPr>
        <w:tabs>
          <w:tab w:val="left" w:pos="1515"/>
        </w:tabs>
        <w:rPr>
          <w:rFonts w:ascii="Arial" w:hAnsi="Arial" w:cs="Arial"/>
        </w:rPr>
      </w:pPr>
      <w:r w:rsidRPr="00E4594D">
        <w:rPr>
          <w:rFonts w:ascii="Arial" w:hAnsi="Arial" w:cs="Arial"/>
          <w:noProof/>
        </w:rPr>
        <w:drawing>
          <wp:inline distT="0" distB="0" distL="0" distR="0" wp14:anchorId="2A4081F1" wp14:editId="616F4518">
            <wp:extent cx="5731510" cy="3202940"/>
            <wp:effectExtent l="0" t="0" r="2540" b="0"/>
            <wp:docPr id="6978825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88254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2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5C309" w14:textId="77777777" w:rsidR="00E4594D" w:rsidRDefault="00E4594D" w:rsidP="00E4594D">
      <w:pPr>
        <w:tabs>
          <w:tab w:val="left" w:pos="1515"/>
        </w:tabs>
        <w:rPr>
          <w:rFonts w:ascii="Arial" w:hAnsi="Arial" w:cs="Arial"/>
        </w:rPr>
      </w:pPr>
    </w:p>
    <w:p w14:paraId="6A4637F2" w14:textId="77777777" w:rsidR="00E4594D" w:rsidRDefault="00E4594D" w:rsidP="00E4594D">
      <w:pPr>
        <w:tabs>
          <w:tab w:val="left" w:pos="1515"/>
        </w:tabs>
        <w:rPr>
          <w:rFonts w:ascii="Arial" w:hAnsi="Arial" w:cs="Arial"/>
        </w:rPr>
      </w:pPr>
    </w:p>
    <w:p w14:paraId="1CF371C3" w14:textId="77777777" w:rsidR="00E4594D" w:rsidRDefault="00E4594D" w:rsidP="00E4594D">
      <w:pPr>
        <w:tabs>
          <w:tab w:val="left" w:pos="1515"/>
        </w:tabs>
        <w:rPr>
          <w:rFonts w:ascii="Arial" w:hAnsi="Arial" w:cs="Arial"/>
        </w:rPr>
      </w:pPr>
    </w:p>
    <w:p w14:paraId="79B54A06" w14:textId="77777777" w:rsidR="00E4594D" w:rsidRDefault="00E4594D" w:rsidP="00E4594D">
      <w:pPr>
        <w:tabs>
          <w:tab w:val="left" w:pos="1515"/>
        </w:tabs>
        <w:rPr>
          <w:rFonts w:ascii="Arial" w:hAnsi="Arial" w:cs="Arial"/>
        </w:rPr>
      </w:pPr>
    </w:p>
    <w:p w14:paraId="1885148C" w14:textId="77777777" w:rsidR="00E4594D" w:rsidRDefault="00E4594D" w:rsidP="00E4594D">
      <w:pPr>
        <w:tabs>
          <w:tab w:val="left" w:pos="1515"/>
        </w:tabs>
        <w:rPr>
          <w:rFonts w:ascii="Arial" w:hAnsi="Arial" w:cs="Arial"/>
        </w:rPr>
      </w:pPr>
    </w:p>
    <w:p w14:paraId="62B27BAE" w14:textId="77777777" w:rsidR="00E4594D" w:rsidRDefault="00E4594D" w:rsidP="00E4594D">
      <w:pPr>
        <w:tabs>
          <w:tab w:val="left" w:pos="1515"/>
        </w:tabs>
        <w:rPr>
          <w:rFonts w:ascii="Arial" w:hAnsi="Arial" w:cs="Arial"/>
        </w:rPr>
      </w:pPr>
    </w:p>
    <w:p w14:paraId="26C35A3B" w14:textId="77777777" w:rsidR="00E4594D" w:rsidRDefault="00E4594D" w:rsidP="00E4594D">
      <w:pPr>
        <w:tabs>
          <w:tab w:val="left" w:pos="1515"/>
        </w:tabs>
        <w:rPr>
          <w:rFonts w:ascii="Arial" w:hAnsi="Arial" w:cs="Arial"/>
        </w:rPr>
      </w:pPr>
      <w:r w:rsidRPr="00E4594D">
        <w:rPr>
          <w:rFonts w:ascii="Arial" w:hAnsi="Arial" w:cs="Arial"/>
          <w:noProof/>
        </w:rPr>
        <w:drawing>
          <wp:inline distT="0" distB="0" distL="0" distR="0" wp14:anchorId="12C8D5F9" wp14:editId="147C0BB0">
            <wp:extent cx="5731510" cy="3240405"/>
            <wp:effectExtent l="0" t="0" r="2540" b="0"/>
            <wp:docPr id="16808945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89451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0A8009" w14:textId="77777777" w:rsidR="00E4594D" w:rsidRDefault="00E4594D" w:rsidP="00E4594D">
      <w:pPr>
        <w:tabs>
          <w:tab w:val="left" w:pos="1515"/>
        </w:tabs>
        <w:rPr>
          <w:rFonts w:ascii="Arial" w:hAnsi="Arial" w:cs="Arial"/>
        </w:rPr>
      </w:pPr>
    </w:p>
    <w:p w14:paraId="6DF08133" w14:textId="77777777" w:rsidR="00E4594D" w:rsidRDefault="00E4594D" w:rsidP="00E4594D">
      <w:pPr>
        <w:tabs>
          <w:tab w:val="left" w:pos="1515"/>
        </w:tabs>
        <w:rPr>
          <w:rFonts w:ascii="Arial" w:hAnsi="Arial" w:cs="Arial"/>
        </w:rPr>
      </w:pPr>
    </w:p>
    <w:p w14:paraId="2D7B8BA7" w14:textId="77777777" w:rsidR="00226AD8" w:rsidRDefault="00226AD8" w:rsidP="00E4594D">
      <w:pPr>
        <w:tabs>
          <w:tab w:val="left" w:pos="1515"/>
        </w:tabs>
        <w:rPr>
          <w:rFonts w:ascii="Arial" w:hAnsi="Arial" w:cs="Arial"/>
        </w:rPr>
      </w:pPr>
      <w:r w:rsidRPr="00226AD8">
        <w:rPr>
          <w:rFonts w:ascii="Arial" w:hAnsi="Arial" w:cs="Arial"/>
          <w:noProof/>
        </w:rPr>
        <w:drawing>
          <wp:inline distT="0" distB="0" distL="0" distR="0" wp14:anchorId="022A9231" wp14:editId="6412C0FC">
            <wp:extent cx="5731510" cy="3184525"/>
            <wp:effectExtent l="0" t="0" r="2540" b="0"/>
            <wp:docPr id="5422051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20510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890087" w14:textId="77777777" w:rsidR="00226AD8" w:rsidRDefault="00226AD8" w:rsidP="00E4594D">
      <w:pPr>
        <w:tabs>
          <w:tab w:val="left" w:pos="1515"/>
        </w:tabs>
        <w:rPr>
          <w:rFonts w:ascii="Arial" w:hAnsi="Arial" w:cs="Arial"/>
        </w:rPr>
      </w:pPr>
    </w:p>
    <w:p w14:paraId="772F9CA3" w14:textId="77777777" w:rsidR="00226AD8" w:rsidRDefault="00226AD8" w:rsidP="00E4594D">
      <w:pPr>
        <w:tabs>
          <w:tab w:val="left" w:pos="1515"/>
        </w:tabs>
        <w:rPr>
          <w:rFonts w:ascii="Arial" w:hAnsi="Arial" w:cs="Arial"/>
        </w:rPr>
      </w:pPr>
    </w:p>
    <w:p w14:paraId="240F3404" w14:textId="77777777" w:rsidR="00226AD8" w:rsidRDefault="00226AD8" w:rsidP="00E4594D">
      <w:pPr>
        <w:tabs>
          <w:tab w:val="left" w:pos="1515"/>
        </w:tabs>
        <w:rPr>
          <w:rFonts w:ascii="Arial" w:hAnsi="Arial" w:cs="Arial"/>
        </w:rPr>
      </w:pPr>
    </w:p>
    <w:p w14:paraId="425DF58F" w14:textId="77777777" w:rsidR="00226AD8" w:rsidRDefault="00226AD8" w:rsidP="00E4594D">
      <w:pPr>
        <w:tabs>
          <w:tab w:val="left" w:pos="1515"/>
        </w:tabs>
        <w:rPr>
          <w:rFonts w:ascii="Arial" w:hAnsi="Arial" w:cs="Arial"/>
        </w:rPr>
      </w:pPr>
    </w:p>
    <w:p w14:paraId="4FD555D1" w14:textId="77777777" w:rsidR="00226AD8" w:rsidRDefault="00226AD8" w:rsidP="00E4594D">
      <w:pPr>
        <w:tabs>
          <w:tab w:val="left" w:pos="1515"/>
        </w:tabs>
        <w:rPr>
          <w:rFonts w:ascii="Arial" w:hAnsi="Arial" w:cs="Arial"/>
        </w:rPr>
      </w:pPr>
    </w:p>
    <w:p w14:paraId="1499B3AF" w14:textId="77777777" w:rsidR="00226AD8" w:rsidRDefault="00226AD8" w:rsidP="00E4594D">
      <w:pPr>
        <w:tabs>
          <w:tab w:val="left" w:pos="1515"/>
        </w:tabs>
        <w:rPr>
          <w:rFonts w:ascii="Arial" w:hAnsi="Arial" w:cs="Arial"/>
        </w:rPr>
      </w:pPr>
      <w:r w:rsidRPr="00226AD8">
        <w:rPr>
          <w:rFonts w:ascii="Arial" w:hAnsi="Arial" w:cs="Arial"/>
          <w:noProof/>
        </w:rPr>
        <w:drawing>
          <wp:inline distT="0" distB="0" distL="0" distR="0" wp14:anchorId="50588293" wp14:editId="6EE00493">
            <wp:extent cx="5731510" cy="3194050"/>
            <wp:effectExtent l="0" t="0" r="2540" b="6350"/>
            <wp:docPr id="16614381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43817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DE6E5" w14:textId="77777777" w:rsidR="00226AD8" w:rsidRDefault="00226AD8" w:rsidP="00E4594D">
      <w:pPr>
        <w:tabs>
          <w:tab w:val="left" w:pos="1515"/>
        </w:tabs>
        <w:rPr>
          <w:rFonts w:ascii="Arial" w:hAnsi="Arial" w:cs="Arial"/>
        </w:rPr>
      </w:pPr>
    </w:p>
    <w:p w14:paraId="238E4C5F" w14:textId="77777777" w:rsidR="00226AD8" w:rsidRDefault="00226AD8" w:rsidP="00E4594D">
      <w:pPr>
        <w:tabs>
          <w:tab w:val="left" w:pos="1515"/>
        </w:tabs>
        <w:rPr>
          <w:rFonts w:ascii="Arial" w:hAnsi="Arial" w:cs="Arial"/>
        </w:rPr>
      </w:pPr>
    </w:p>
    <w:p w14:paraId="6BC7E756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  <w:r w:rsidRPr="00D87A46">
        <w:rPr>
          <w:rFonts w:ascii="Arial" w:hAnsi="Arial" w:cs="Arial"/>
          <w:noProof/>
        </w:rPr>
        <w:drawing>
          <wp:inline distT="0" distB="0" distL="0" distR="0" wp14:anchorId="68927E5A" wp14:editId="44ABDA33">
            <wp:extent cx="5731510" cy="3215640"/>
            <wp:effectExtent l="0" t="0" r="2540" b="3810"/>
            <wp:docPr id="12010331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03319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04852E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</w:p>
    <w:p w14:paraId="54483104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</w:p>
    <w:p w14:paraId="7735BFEA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</w:p>
    <w:p w14:paraId="63952C66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</w:p>
    <w:p w14:paraId="4C86E9E2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</w:p>
    <w:p w14:paraId="6F6830B0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</w:p>
    <w:p w14:paraId="27933121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  <w:r w:rsidRPr="00D87A46">
        <w:rPr>
          <w:rFonts w:ascii="Arial" w:hAnsi="Arial" w:cs="Arial"/>
          <w:noProof/>
        </w:rPr>
        <w:drawing>
          <wp:inline distT="0" distB="0" distL="0" distR="0" wp14:anchorId="64B72D11" wp14:editId="5F77916A">
            <wp:extent cx="5731510" cy="3187700"/>
            <wp:effectExtent l="0" t="0" r="2540" b="0"/>
            <wp:docPr id="10610357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03572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36E038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</w:p>
    <w:p w14:paraId="6D35DA14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</w:p>
    <w:p w14:paraId="75CF081A" w14:textId="77777777" w:rsidR="00D87A46" w:rsidRDefault="00D87A46" w:rsidP="00E4594D">
      <w:pPr>
        <w:tabs>
          <w:tab w:val="left" w:pos="1515"/>
        </w:tabs>
        <w:rPr>
          <w:rFonts w:ascii="Arial" w:hAnsi="Arial" w:cs="Arial"/>
        </w:rPr>
      </w:pPr>
    </w:p>
    <w:p w14:paraId="2339D81C" w14:textId="77777777" w:rsidR="00894B4C" w:rsidRDefault="00894B4C" w:rsidP="00E4594D">
      <w:pPr>
        <w:tabs>
          <w:tab w:val="left" w:pos="1515"/>
        </w:tabs>
        <w:rPr>
          <w:rFonts w:ascii="Arial" w:hAnsi="Arial" w:cs="Arial"/>
        </w:rPr>
      </w:pPr>
      <w:r w:rsidRPr="00894B4C">
        <w:rPr>
          <w:rFonts w:ascii="Arial" w:hAnsi="Arial" w:cs="Arial"/>
          <w:noProof/>
        </w:rPr>
        <w:drawing>
          <wp:inline distT="0" distB="0" distL="0" distR="0" wp14:anchorId="7C2768B2" wp14:editId="381B07F8">
            <wp:extent cx="5731510" cy="3196590"/>
            <wp:effectExtent l="0" t="0" r="2540" b="3810"/>
            <wp:docPr id="17617983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79832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6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DBC83" w14:textId="77777777" w:rsidR="00894B4C" w:rsidRDefault="00894B4C" w:rsidP="00E4594D">
      <w:pPr>
        <w:tabs>
          <w:tab w:val="left" w:pos="1515"/>
        </w:tabs>
        <w:rPr>
          <w:rFonts w:ascii="Arial" w:hAnsi="Arial" w:cs="Arial"/>
        </w:rPr>
      </w:pPr>
    </w:p>
    <w:p w14:paraId="7397BD07" w14:textId="77777777" w:rsidR="00894B4C" w:rsidRDefault="00894B4C" w:rsidP="00E4594D">
      <w:pPr>
        <w:tabs>
          <w:tab w:val="left" w:pos="1515"/>
        </w:tabs>
        <w:rPr>
          <w:rFonts w:ascii="Arial" w:hAnsi="Arial" w:cs="Arial"/>
        </w:rPr>
      </w:pPr>
    </w:p>
    <w:p w14:paraId="51C665FA" w14:textId="77777777" w:rsidR="00894B4C" w:rsidRDefault="00894B4C" w:rsidP="00E4594D">
      <w:pPr>
        <w:tabs>
          <w:tab w:val="left" w:pos="1515"/>
        </w:tabs>
        <w:rPr>
          <w:rFonts w:ascii="Arial" w:hAnsi="Arial" w:cs="Arial"/>
        </w:rPr>
      </w:pPr>
    </w:p>
    <w:p w14:paraId="7D0DDD47" w14:textId="77777777" w:rsidR="00894B4C" w:rsidRDefault="00894B4C" w:rsidP="00E4594D">
      <w:pPr>
        <w:tabs>
          <w:tab w:val="left" w:pos="1515"/>
        </w:tabs>
        <w:rPr>
          <w:rFonts w:ascii="Arial" w:hAnsi="Arial" w:cs="Arial"/>
        </w:rPr>
      </w:pPr>
    </w:p>
    <w:p w14:paraId="441AE38E" w14:textId="77777777" w:rsidR="00894B4C" w:rsidRDefault="00894B4C" w:rsidP="00E4594D">
      <w:pPr>
        <w:tabs>
          <w:tab w:val="left" w:pos="1515"/>
        </w:tabs>
        <w:rPr>
          <w:rFonts w:ascii="Arial" w:hAnsi="Arial" w:cs="Arial"/>
        </w:rPr>
      </w:pPr>
    </w:p>
    <w:p w14:paraId="65C2E809" w14:textId="77777777" w:rsidR="00894B4C" w:rsidRDefault="00894B4C" w:rsidP="00E4594D">
      <w:pPr>
        <w:tabs>
          <w:tab w:val="left" w:pos="1515"/>
        </w:tabs>
        <w:rPr>
          <w:rFonts w:ascii="Arial" w:hAnsi="Arial" w:cs="Arial"/>
        </w:rPr>
      </w:pPr>
      <w:r w:rsidRPr="00894B4C">
        <w:rPr>
          <w:rFonts w:ascii="Arial" w:hAnsi="Arial" w:cs="Arial"/>
          <w:noProof/>
        </w:rPr>
        <w:drawing>
          <wp:inline distT="0" distB="0" distL="0" distR="0" wp14:anchorId="7D8DBC70" wp14:editId="2978BE5E">
            <wp:extent cx="5731510" cy="3152140"/>
            <wp:effectExtent l="0" t="0" r="2540" b="0"/>
            <wp:docPr id="8009880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98805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2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46D69" w14:textId="77777777" w:rsidR="00894B4C" w:rsidRDefault="00894B4C" w:rsidP="00E4594D">
      <w:pPr>
        <w:tabs>
          <w:tab w:val="left" w:pos="1515"/>
        </w:tabs>
        <w:rPr>
          <w:rFonts w:ascii="Arial" w:hAnsi="Arial" w:cs="Arial"/>
        </w:rPr>
      </w:pPr>
    </w:p>
    <w:p w14:paraId="6F72B746" w14:textId="77777777" w:rsidR="00894B4C" w:rsidRDefault="00894B4C" w:rsidP="00E4594D">
      <w:pPr>
        <w:tabs>
          <w:tab w:val="left" w:pos="1515"/>
        </w:tabs>
        <w:rPr>
          <w:rFonts w:ascii="Arial" w:hAnsi="Arial" w:cs="Arial"/>
        </w:rPr>
      </w:pPr>
    </w:p>
    <w:p w14:paraId="7B8D2E03" w14:textId="77777777" w:rsidR="00892FA6" w:rsidRDefault="00892FA6" w:rsidP="00E4594D">
      <w:pPr>
        <w:tabs>
          <w:tab w:val="left" w:pos="1515"/>
        </w:tabs>
        <w:rPr>
          <w:rFonts w:ascii="Arial" w:hAnsi="Arial" w:cs="Arial"/>
        </w:rPr>
      </w:pPr>
      <w:r w:rsidRPr="00892FA6">
        <w:rPr>
          <w:rFonts w:ascii="Arial" w:hAnsi="Arial" w:cs="Arial"/>
          <w:noProof/>
        </w:rPr>
        <w:drawing>
          <wp:inline distT="0" distB="0" distL="0" distR="0" wp14:anchorId="6411471B" wp14:editId="22069982">
            <wp:extent cx="5731510" cy="3220085"/>
            <wp:effectExtent l="0" t="0" r="2540" b="0"/>
            <wp:docPr id="11594222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42225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01D7D" w14:textId="77777777" w:rsidR="00892FA6" w:rsidRDefault="00892FA6" w:rsidP="00E4594D">
      <w:pPr>
        <w:tabs>
          <w:tab w:val="left" w:pos="1515"/>
        </w:tabs>
        <w:rPr>
          <w:rFonts w:ascii="Arial" w:hAnsi="Arial" w:cs="Arial"/>
        </w:rPr>
      </w:pPr>
    </w:p>
    <w:p w14:paraId="02406F30" w14:textId="77777777" w:rsidR="00892FA6" w:rsidRDefault="00892FA6" w:rsidP="00E4594D">
      <w:pPr>
        <w:tabs>
          <w:tab w:val="left" w:pos="1515"/>
        </w:tabs>
        <w:rPr>
          <w:rFonts w:ascii="Arial" w:hAnsi="Arial" w:cs="Arial"/>
        </w:rPr>
      </w:pPr>
    </w:p>
    <w:p w14:paraId="0B534EA1" w14:textId="77777777" w:rsidR="00892FA6" w:rsidRDefault="00892FA6" w:rsidP="00E4594D">
      <w:pPr>
        <w:tabs>
          <w:tab w:val="left" w:pos="1515"/>
        </w:tabs>
        <w:rPr>
          <w:rFonts w:ascii="Arial" w:hAnsi="Arial" w:cs="Arial"/>
        </w:rPr>
      </w:pPr>
    </w:p>
    <w:p w14:paraId="03EE90E9" w14:textId="77777777" w:rsidR="00892FA6" w:rsidRDefault="00892FA6" w:rsidP="00E4594D">
      <w:pPr>
        <w:tabs>
          <w:tab w:val="left" w:pos="1515"/>
        </w:tabs>
        <w:rPr>
          <w:rFonts w:ascii="Arial" w:hAnsi="Arial" w:cs="Arial"/>
        </w:rPr>
      </w:pPr>
    </w:p>
    <w:p w14:paraId="31998225" w14:textId="77777777" w:rsidR="00892FA6" w:rsidRDefault="00892FA6" w:rsidP="00E4594D">
      <w:pPr>
        <w:tabs>
          <w:tab w:val="left" w:pos="1515"/>
        </w:tabs>
        <w:rPr>
          <w:rFonts w:ascii="Arial" w:hAnsi="Arial" w:cs="Arial"/>
        </w:rPr>
      </w:pPr>
    </w:p>
    <w:p w14:paraId="6E0678B1" w14:textId="77777777" w:rsidR="00892FA6" w:rsidRDefault="00892FA6" w:rsidP="00E4594D">
      <w:pPr>
        <w:tabs>
          <w:tab w:val="left" w:pos="1515"/>
        </w:tabs>
        <w:rPr>
          <w:rFonts w:ascii="Arial" w:hAnsi="Arial" w:cs="Arial"/>
        </w:rPr>
      </w:pPr>
    </w:p>
    <w:p w14:paraId="5E035AA5" w14:textId="1FE71039" w:rsidR="00E4594D" w:rsidRDefault="00892FA6" w:rsidP="00E4594D">
      <w:pPr>
        <w:tabs>
          <w:tab w:val="left" w:pos="1515"/>
        </w:tabs>
        <w:rPr>
          <w:rFonts w:ascii="Arial" w:hAnsi="Arial" w:cs="Arial"/>
        </w:rPr>
      </w:pPr>
      <w:r w:rsidRPr="00892FA6">
        <w:rPr>
          <w:rFonts w:ascii="Arial" w:hAnsi="Arial" w:cs="Arial"/>
          <w:noProof/>
        </w:rPr>
        <w:drawing>
          <wp:inline distT="0" distB="0" distL="0" distR="0" wp14:anchorId="7E66117A" wp14:editId="5F5FBAE1">
            <wp:extent cx="5731510" cy="3259455"/>
            <wp:effectExtent l="0" t="0" r="2540" b="0"/>
            <wp:docPr id="382033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2033487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9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4594D">
        <w:rPr>
          <w:rFonts w:ascii="Arial" w:hAnsi="Arial" w:cs="Arial"/>
        </w:rPr>
        <w:tab/>
      </w:r>
    </w:p>
    <w:p w14:paraId="77FD2EFD" w14:textId="77777777" w:rsidR="007F6842" w:rsidRDefault="007F6842" w:rsidP="00E4594D">
      <w:pPr>
        <w:tabs>
          <w:tab w:val="left" w:pos="1515"/>
        </w:tabs>
        <w:rPr>
          <w:rFonts w:ascii="Arial" w:hAnsi="Arial" w:cs="Arial"/>
        </w:rPr>
      </w:pPr>
    </w:p>
    <w:p w14:paraId="7A22F749" w14:textId="2A759A91" w:rsidR="007F6842" w:rsidRDefault="007F684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CB767A4" w14:textId="7E53A194" w:rsidR="007F6842" w:rsidRPr="0063274B" w:rsidRDefault="007F6842" w:rsidP="00E4594D">
      <w:pPr>
        <w:tabs>
          <w:tab w:val="left" w:pos="1515"/>
        </w:tabs>
        <w:rPr>
          <w:rFonts w:ascii="Arial" w:hAnsi="Arial" w:cs="Arial"/>
          <w:b/>
          <w:bCs/>
        </w:rPr>
      </w:pPr>
      <w:r w:rsidRPr="0063274B">
        <w:rPr>
          <w:rFonts w:ascii="Arial" w:hAnsi="Arial" w:cs="Arial"/>
          <w:b/>
          <w:bCs/>
        </w:rPr>
        <w:lastRenderedPageBreak/>
        <w:t>Reference list:</w:t>
      </w:r>
    </w:p>
    <w:p w14:paraId="64BDCDEE" w14:textId="3148F5CE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Amr, M., Al-Natour, M., Al-Abdallat, B., and Alkhamra, H. (2016) ‘Primary School Teachers' Knowledge, Attitudes and Views on Barriers to Inclusion in Jordan’, </w:t>
      </w:r>
      <w:r w:rsidRPr="007F6842">
        <w:rPr>
          <w:rFonts w:ascii="Arial" w:hAnsi="Arial" w:cs="Arial"/>
          <w:i/>
          <w:iCs/>
        </w:rPr>
        <w:t>International Journal of Special Education</w:t>
      </w:r>
      <w:r w:rsidRPr="007F6842">
        <w:rPr>
          <w:rFonts w:ascii="Arial" w:hAnsi="Arial" w:cs="Arial"/>
        </w:rPr>
        <w:t>, 31(1), pp. 67-77. Available at: https://eric.ed.gov/?id=EJ1099989 (Accessed: 7 March 2026). </w:t>
      </w:r>
    </w:p>
    <w:p w14:paraId="60CE09AC" w14:textId="2D3179D3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Arnaiz-Sánchez, P., De Haro-Rodríguez, R., Caballero, C.M. and Martínez-Abellán, R. (2023) ‘Barriers to Educational Inclusion in Initial Teacher Training’, </w:t>
      </w:r>
      <w:r w:rsidRPr="007F6842">
        <w:rPr>
          <w:rFonts w:ascii="Arial" w:hAnsi="Arial" w:cs="Arial"/>
          <w:i/>
          <w:iCs/>
        </w:rPr>
        <w:t>Societies</w:t>
      </w:r>
      <w:r w:rsidRPr="007F6842">
        <w:rPr>
          <w:rFonts w:ascii="Arial" w:hAnsi="Arial" w:cs="Arial"/>
        </w:rPr>
        <w:t>, 13(2). Available at: https://doi.org/10.3390/soc13020031 </w:t>
      </w:r>
    </w:p>
    <w:p w14:paraId="09513292" w14:textId="502A155E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Bandura, A., Barbaranelli, C., Caprara, G.V. and Pastorelli, C. (2001) ‘Self-Efficacy Beliefs as Shapers of Children's Aspirations and Career Trajectories’, </w:t>
      </w:r>
      <w:r w:rsidRPr="007F6842">
        <w:rPr>
          <w:rFonts w:ascii="Arial" w:hAnsi="Arial" w:cs="Arial"/>
          <w:i/>
          <w:iCs/>
        </w:rPr>
        <w:t>Child Development</w:t>
      </w:r>
      <w:r w:rsidRPr="007F6842">
        <w:rPr>
          <w:rFonts w:ascii="Arial" w:hAnsi="Arial" w:cs="Arial"/>
        </w:rPr>
        <w:t>, 71(1), pp. 187-206. Available at: https://doi.org/10.1111/1467-8624.00273 </w:t>
      </w:r>
    </w:p>
    <w:p w14:paraId="28052EA1" w14:textId="1E99E45E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Bem, S.L. (1983) ‘Gender Schema Theory and Its Implications for Child Development: Raising Gender-Aschematic Children in a Gender-Schematic Society’, </w:t>
      </w:r>
      <w:r w:rsidRPr="007F6842">
        <w:rPr>
          <w:rFonts w:ascii="Arial" w:hAnsi="Arial" w:cs="Arial"/>
          <w:i/>
          <w:iCs/>
        </w:rPr>
        <w:t>Signs</w:t>
      </w:r>
      <w:r w:rsidRPr="007F6842">
        <w:rPr>
          <w:rFonts w:ascii="Arial" w:hAnsi="Arial" w:cs="Arial"/>
        </w:rPr>
        <w:t>, 8(4), pp. 598-616. Available at: https://www.jstor.org/stable/3173685 (Accessed: 3 March 2026). </w:t>
      </w:r>
    </w:p>
    <w:p w14:paraId="0280BCA9" w14:textId="45D9E9AC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Biggs, M. (2024) ‘Gender Identity in the 2021 Census of England and Wales: How a Flawed Question Created Spurious Data’, </w:t>
      </w:r>
      <w:r w:rsidRPr="007F6842">
        <w:rPr>
          <w:rFonts w:ascii="Arial" w:hAnsi="Arial" w:cs="Arial"/>
          <w:i/>
          <w:iCs/>
        </w:rPr>
        <w:t>Sociology</w:t>
      </w:r>
      <w:r w:rsidRPr="007F6842">
        <w:rPr>
          <w:rFonts w:ascii="Arial" w:hAnsi="Arial" w:cs="Arial"/>
        </w:rPr>
        <w:t>, 58(6). Available at: https://doi.org/10.1177/00380385241240441 </w:t>
      </w:r>
    </w:p>
    <w:p w14:paraId="645FF410" w14:textId="2C3C87DB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Bothman, M.P. (1997) </w:t>
      </w:r>
      <w:r w:rsidRPr="007F6842">
        <w:rPr>
          <w:rFonts w:ascii="Arial" w:hAnsi="Arial" w:cs="Arial"/>
          <w:i/>
          <w:iCs/>
        </w:rPr>
        <w:t>The Attitudes of Primary School Teachers Towards Inclusive Education.</w:t>
      </w:r>
      <w:r w:rsidRPr="007F6842">
        <w:rPr>
          <w:rFonts w:ascii="Arial" w:hAnsi="Arial" w:cs="Arial"/>
        </w:rPr>
        <w:t xml:space="preserve"> Masters thesis. University of Johannesburg (South Africa). Available at: https://www.proquest.com/docview/2568281792/fulltextPDF/57E9D9FB511342E1PQ/1?accountid=130472&amp;sourcetype=Dissertations%20&amp;%20Theses (Accessed: 24 February 2026). </w:t>
      </w:r>
    </w:p>
    <w:p w14:paraId="6633A773" w14:textId="7DDA50F8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>Bronfenbrenner, U. (1994) ‘Ecological Models of Human Development’,</w:t>
      </w:r>
      <w:r w:rsidRPr="007F6842">
        <w:rPr>
          <w:rFonts w:ascii="Arial" w:hAnsi="Arial" w:cs="Arial"/>
          <w:i/>
          <w:iCs/>
        </w:rPr>
        <w:t xml:space="preserve"> International Encyclopedia of Education</w:t>
      </w:r>
      <w:r w:rsidRPr="007F6842">
        <w:rPr>
          <w:rFonts w:ascii="Arial" w:hAnsi="Arial" w:cs="Arial"/>
        </w:rPr>
        <w:t>, 3, pp. 37-43. Available at: https://www.ncj.nl/wp-content/uploads/media-import/docs/6a45c1a4-82ad-4f69-957e-1c76966678e2.pdf (Accessed: 7 March 2026). </w:t>
      </w:r>
    </w:p>
    <w:p w14:paraId="688A423A" w14:textId="0A7A3974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>Brown, P.L., Concannon, J.P., Marx, D., Donaldson, C. and Black, A. (2016) ‘An Examination of Middle School Students’ STEM Self-Efficacy, Interests and Perceptions’,</w:t>
      </w:r>
      <w:r w:rsidRPr="007F6842">
        <w:rPr>
          <w:rFonts w:ascii="Arial" w:hAnsi="Arial" w:cs="Arial"/>
          <w:i/>
          <w:iCs/>
        </w:rPr>
        <w:t xml:space="preserve"> Journal of STEM Education: Innovations and Research,</w:t>
      </w:r>
      <w:r w:rsidRPr="007F6842">
        <w:rPr>
          <w:rFonts w:ascii="Arial" w:hAnsi="Arial" w:cs="Arial"/>
        </w:rPr>
        <w:t xml:space="preserve"> 17(3). Available at: https://jstem.org/jstem/index.php/JSTEM/article/view/2137 (Accessed: 7 March 2026). </w:t>
      </w:r>
    </w:p>
    <w:p w14:paraId="0FB74BE8" w14:textId="6039030F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Cahill, B. and Adams, E. (1997) ‘An exploratory study of early childhood teachers’ attitudes toward gender roles’, </w:t>
      </w:r>
      <w:r w:rsidRPr="007F6842">
        <w:rPr>
          <w:rFonts w:ascii="Arial" w:hAnsi="Arial" w:cs="Arial"/>
          <w:i/>
          <w:iCs/>
        </w:rPr>
        <w:t>Sex Roles</w:t>
      </w:r>
      <w:r w:rsidRPr="007F6842">
        <w:rPr>
          <w:rFonts w:ascii="Arial" w:hAnsi="Arial" w:cs="Arial"/>
        </w:rPr>
        <w:t>, 36, pp. 517-529. Available at: https://doi.org/10.1007/BF02766688 </w:t>
      </w:r>
    </w:p>
    <w:p w14:paraId="2649976B" w14:textId="4EE44075" w:rsid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>Callahan, S. and Nicholas, L. (2019) ‘Dragon wings and butterfly wings: implicit gender binarism in early childhood’,</w:t>
      </w:r>
      <w:r w:rsidRPr="007F6842">
        <w:rPr>
          <w:rFonts w:ascii="Arial" w:hAnsi="Arial" w:cs="Arial"/>
          <w:i/>
          <w:iCs/>
        </w:rPr>
        <w:t xml:space="preserve"> Gender and Education</w:t>
      </w:r>
      <w:r w:rsidRPr="007F6842">
        <w:rPr>
          <w:rFonts w:ascii="Arial" w:hAnsi="Arial" w:cs="Arial"/>
        </w:rPr>
        <w:t>, 31(6), pp. 705-723. Available at: https://doi.org/10.1080/09540253.2018.1552361 </w:t>
      </w:r>
    </w:p>
    <w:p w14:paraId="2BE97E5C" w14:textId="77777777" w:rsidR="0063274B" w:rsidRPr="007F6842" w:rsidRDefault="0063274B" w:rsidP="0063274B">
      <w:pPr>
        <w:tabs>
          <w:tab w:val="left" w:pos="1515"/>
        </w:tabs>
        <w:ind w:hanging="284"/>
        <w:rPr>
          <w:rFonts w:ascii="Arial" w:hAnsi="Arial" w:cs="Arial"/>
        </w:rPr>
      </w:pPr>
    </w:p>
    <w:p w14:paraId="461F5E38" w14:textId="51D195CB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lastRenderedPageBreak/>
        <w:t xml:space="preserve">Cano-Hila, A.B. (2022) ‘Understanding Social Inclusion in Contemporary Society: Challenges, Reflections, Limitations, and Proposals’, </w:t>
      </w:r>
      <w:r w:rsidRPr="007F6842">
        <w:rPr>
          <w:rFonts w:ascii="Arial" w:hAnsi="Arial" w:cs="Arial"/>
          <w:i/>
          <w:iCs/>
        </w:rPr>
        <w:t>Promoting Social Inclusive Experiences in Uncertain Time</w:t>
      </w:r>
      <w:r w:rsidRPr="007F6842">
        <w:rPr>
          <w:rFonts w:ascii="Arial" w:hAnsi="Arial" w:cs="Arial"/>
        </w:rPr>
        <w:t>s, 10(2). Available at: https://doi.org/10.17645/si.v10i2.5090 </w:t>
      </w:r>
    </w:p>
    <w:p w14:paraId="721D2FB5" w14:textId="030A773E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Chan, R.C.H. (2022) ‘A social cognitive perspective on gender disparities in self-efficacy, interest, and aspirations in science, technology, engineering, and mathematics (STEM): the influence of cultural and gender norms’, </w:t>
      </w:r>
      <w:r w:rsidRPr="007F6842">
        <w:rPr>
          <w:rFonts w:ascii="Arial" w:hAnsi="Arial" w:cs="Arial"/>
          <w:i/>
          <w:iCs/>
        </w:rPr>
        <w:t>International Journal of STEM Education,</w:t>
      </w:r>
      <w:r w:rsidRPr="007F6842">
        <w:rPr>
          <w:rFonts w:ascii="Arial" w:hAnsi="Arial" w:cs="Arial"/>
        </w:rPr>
        <w:t xml:space="preserve"> 9 (May) article 37. Available at: https://doi.org/10.1186/s40594-022-00352-0 </w:t>
      </w:r>
    </w:p>
    <w:p w14:paraId="23B96A38" w14:textId="7C3A32CD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Chapman, R. (2016) ‘A case study of gendered play in preschools: how early childhood educators’ perceptions of gender influence children's play’, </w:t>
      </w:r>
      <w:r w:rsidRPr="007F6842">
        <w:rPr>
          <w:rFonts w:ascii="Arial" w:hAnsi="Arial" w:cs="Arial"/>
          <w:i/>
          <w:iCs/>
        </w:rPr>
        <w:t>Early Child Development and Care</w:t>
      </w:r>
      <w:r w:rsidRPr="007F6842">
        <w:rPr>
          <w:rFonts w:ascii="Arial" w:hAnsi="Arial" w:cs="Arial"/>
        </w:rPr>
        <w:t>, 186(8), pp. 1271-1284. Available at: https://doi.org/10.1080/03004430.2015.1089435 </w:t>
      </w:r>
    </w:p>
    <w:p w14:paraId="198BB9A9" w14:textId="6238133E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Chapman, R. (2022) ‘Moving beyond ‘gender-neutral’: creating gender expansive environments in early childhood education’, </w:t>
      </w:r>
      <w:r w:rsidRPr="007F6842">
        <w:rPr>
          <w:rFonts w:ascii="Arial" w:hAnsi="Arial" w:cs="Arial"/>
          <w:i/>
          <w:iCs/>
        </w:rPr>
        <w:t>Gender and Education</w:t>
      </w:r>
      <w:r w:rsidRPr="007F6842">
        <w:rPr>
          <w:rFonts w:ascii="Arial" w:hAnsi="Arial" w:cs="Arial"/>
        </w:rPr>
        <w:t>, 34(1), pp. 1-16. Available at: https://doi.org/10.1080/09540253.2021.1902485 </w:t>
      </w:r>
    </w:p>
    <w:p w14:paraId="5D872503" w14:textId="076FAFDD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Charitaki, G., Kourti, I., Gregory, J.L., Ozturk, M., Ismail, Z., Alevriadou, A., Soulis, S-G., Sakici, Ş. And Demirel, C. (2024) ‘Teachers’ Attitudes Towards Inclusive Education: a Cross-National Exploration’, </w:t>
      </w:r>
      <w:r w:rsidRPr="007F6842">
        <w:rPr>
          <w:rFonts w:ascii="Arial" w:hAnsi="Arial" w:cs="Arial"/>
          <w:i/>
          <w:iCs/>
        </w:rPr>
        <w:t>Trends in Psychology</w:t>
      </w:r>
      <w:r w:rsidRPr="007F6842">
        <w:rPr>
          <w:rFonts w:ascii="Arial" w:hAnsi="Arial" w:cs="Arial"/>
        </w:rPr>
        <w:t>, 32, pp. 1120-1147. Available at: https://doi.org/10.1007/s43076-022-00240-0 </w:t>
      </w:r>
    </w:p>
    <w:p w14:paraId="3DB94B95" w14:textId="64C57BAD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Cursino, M. and Dean, G. (2026) </w:t>
      </w:r>
      <w:r w:rsidRPr="007F6842">
        <w:rPr>
          <w:rFonts w:ascii="Arial" w:hAnsi="Arial" w:cs="Arial"/>
          <w:i/>
          <w:iCs/>
        </w:rPr>
        <w:t xml:space="preserve">Social media plays 'huge role' in promoting traditional gender views, say experts. </w:t>
      </w:r>
      <w:r w:rsidRPr="007F6842">
        <w:rPr>
          <w:rFonts w:ascii="Arial" w:hAnsi="Arial" w:cs="Arial"/>
        </w:rPr>
        <w:t>Available at: https://www.bbc.co.uk/news/articles/c4g55v1g95qo (Accessed: 7 March 2026). </w:t>
      </w:r>
    </w:p>
    <w:p w14:paraId="68934B7A" w14:textId="70827C75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>Damigella, D. and Licciardello, O. (2014) ‘Stereotypes and Prejudices at School: A Study on Primary School Reading Books’,</w:t>
      </w:r>
      <w:r w:rsidRPr="007F6842">
        <w:rPr>
          <w:rFonts w:ascii="Arial" w:hAnsi="Arial" w:cs="Arial"/>
          <w:i/>
          <w:iCs/>
        </w:rPr>
        <w:t xml:space="preserve"> Procedia - Social and Behavioural Sciences</w:t>
      </w:r>
      <w:r w:rsidRPr="007F6842">
        <w:rPr>
          <w:rFonts w:ascii="Arial" w:hAnsi="Arial" w:cs="Arial"/>
        </w:rPr>
        <w:t>, 127, pp. 209-213. Available at: https://doi.org/10.1016/j.sbspro.2014.03.242 </w:t>
      </w:r>
    </w:p>
    <w:p w14:paraId="67F3DFB4" w14:textId="4CE3F088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El Zaatari, W. and Maalouf, I. (2022) ‘How the Bronfenbrenner Bio-ecological System Theory Explains the Development of Students’ Sense of Belonging to School?’, </w:t>
      </w:r>
      <w:r w:rsidRPr="007F6842">
        <w:rPr>
          <w:rFonts w:ascii="Arial" w:hAnsi="Arial" w:cs="Arial"/>
          <w:i/>
          <w:iCs/>
        </w:rPr>
        <w:t>Sage Open,</w:t>
      </w:r>
      <w:r w:rsidRPr="007F6842">
        <w:rPr>
          <w:rFonts w:ascii="Arial" w:hAnsi="Arial" w:cs="Arial"/>
        </w:rPr>
        <w:t xml:space="preserve"> 12(4). Available at: https://doi.org/10.1177/21582440221134089 </w:t>
      </w:r>
    </w:p>
    <w:p w14:paraId="723DAA94" w14:textId="04912ABF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>Emilson, A., Folkesson, A-M. and Lindberg, I.M. (2016) ‘Gender Beliefs and Embedded Gendered Values in Preschool’,</w:t>
      </w:r>
      <w:r w:rsidRPr="007F6842">
        <w:rPr>
          <w:rFonts w:ascii="Arial" w:hAnsi="Arial" w:cs="Arial"/>
          <w:i/>
          <w:iCs/>
        </w:rPr>
        <w:t xml:space="preserve"> International Journal of Early Childhood</w:t>
      </w:r>
      <w:r w:rsidRPr="007F6842">
        <w:rPr>
          <w:rFonts w:ascii="Arial" w:hAnsi="Arial" w:cs="Arial"/>
        </w:rPr>
        <w:t>, 48, pp. 225-240. Available at: https://doi.org/10.1007/s13158-016-0162-4 </w:t>
      </w:r>
    </w:p>
    <w:p w14:paraId="3CF021B9" w14:textId="52ECC263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  <w:i/>
          <w:iCs/>
        </w:rPr>
        <w:t>Equality Act 2010, c. 15.</w:t>
      </w:r>
      <w:r w:rsidRPr="007F6842">
        <w:rPr>
          <w:rFonts w:ascii="Arial" w:hAnsi="Arial" w:cs="Arial"/>
        </w:rPr>
        <w:t xml:space="preserve"> Available at: https://www.legislation.gov.uk/ukpga/2010/15/section/6 (Accessed: 4 March 2026).</w:t>
      </w:r>
    </w:p>
    <w:p w14:paraId="3DAD57BB" w14:textId="5BA59F7E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Estyn (2019) </w:t>
      </w:r>
      <w:r w:rsidRPr="007F6842">
        <w:rPr>
          <w:rFonts w:ascii="Arial" w:hAnsi="Arial" w:cs="Arial"/>
          <w:i/>
          <w:iCs/>
        </w:rPr>
        <w:t>Using shared leadership to create an inclusive environment.</w:t>
      </w:r>
      <w:r w:rsidRPr="007F6842">
        <w:rPr>
          <w:rFonts w:ascii="Arial" w:hAnsi="Arial" w:cs="Arial"/>
        </w:rPr>
        <w:t xml:space="preserve"> Available at: https://estyn.gov.wales/improvement-resources/using-shared-leadership-to-create-an-inclusive-environment/ (Accessed: 7 March 2026). </w:t>
      </w:r>
    </w:p>
    <w:p w14:paraId="59B3ECA0" w14:textId="3A4E8340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Estyn (2020) </w:t>
      </w:r>
      <w:r w:rsidRPr="007F6842">
        <w:rPr>
          <w:rFonts w:ascii="Arial" w:hAnsi="Arial" w:cs="Arial"/>
          <w:i/>
          <w:iCs/>
        </w:rPr>
        <w:t>An inclusive ethos and culture promotes effective pupil participation.</w:t>
      </w:r>
      <w:r w:rsidRPr="007F6842">
        <w:rPr>
          <w:rFonts w:ascii="Arial" w:hAnsi="Arial" w:cs="Arial"/>
        </w:rPr>
        <w:t xml:space="preserve"> Available at: https://estyn.gov.wales/improvement-resources/an-inclusive-ethos-and-culture-promotes-effective-pupil-participation/ (Accessed: 7 March 2026). </w:t>
      </w:r>
    </w:p>
    <w:p w14:paraId="495E8621" w14:textId="6F00D304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lastRenderedPageBreak/>
        <w:t xml:space="preserve">Fabes, R.A., Martin, C.L. and Hanish, L.D. (2019) ‘Gender Integration and the Promotion of Inclusive Classroom Climates’, </w:t>
      </w:r>
      <w:r w:rsidRPr="007F6842">
        <w:rPr>
          <w:rFonts w:ascii="Arial" w:hAnsi="Arial" w:cs="Arial"/>
          <w:i/>
          <w:iCs/>
        </w:rPr>
        <w:t>Educational Psychologist</w:t>
      </w:r>
      <w:r w:rsidRPr="007F6842">
        <w:rPr>
          <w:rFonts w:ascii="Arial" w:hAnsi="Arial" w:cs="Arial"/>
        </w:rPr>
        <w:t>, 54(4), pp. 271-285. Available at: https://doi.org/10.1080/00461520.2019.1631826 </w:t>
      </w:r>
    </w:p>
    <w:p w14:paraId="75EA0928" w14:textId="3719737D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Farago, F., Martin, C.L., Granger, K.L., Santos, C.E. and Miller, C.F. (2022) ‘Teachers’ Gender-Role Attitudes and Gendered Classroom Practices’, </w:t>
      </w:r>
      <w:r w:rsidRPr="007F6842">
        <w:rPr>
          <w:rFonts w:ascii="Arial" w:hAnsi="Arial" w:cs="Arial"/>
          <w:i/>
          <w:iCs/>
        </w:rPr>
        <w:t>Sex Roles</w:t>
      </w:r>
      <w:r w:rsidRPr="007F6842">
        <w:rPr>
          <w:rFonts w:ascii="Arial" w:hAnsi="Arial" w:cs="Arial"/>
        </w:rPr>
        <w:t>, 87, pp. 471-486. Available at: https://doi.org/10.1007/s11199-022-01331-z </w:t>
      </w:r>
    </w:p>
    <w:p w14:paraId="532CE2E1" w14:textId="2ECB5896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Gilchrist, E. and Zhang, K.C. (2022) ‘Gender Stereotypes in the UK Primary Schools: Student and Teacher Perceptions’, </w:t>
      </w:r>
      <w:r w:rsidRPr="007F6842">
        <w:rPr>
          <w:rFonts w:ascii="Arial" w:hAnsi="Arial" w:cs="Arial"/>
          <w:i/>
          <w:iCs/>
        </w:rPr>
        <w:t>International Journal of Educational Reform,</w:t>
      </w:r>
      <w:r w:rsidRPr="007F6842">
        <w:rPr>
          <w:rFonts w:ascii="Arial" w:hAnsi="Arial" w:cs="Arial"/>
        </w:rPr>
        <w:t xml:space="preserve"> 33(3). Available at: https://doi.org/10.1177/10567879221114889 </w:t>
      </w:r>
    </w:p>
    <w:p w14:paraId="74603649" w14:textId="0B98D233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Glazzard, J. (2011) ‘Perceptions of the barriers to effective inclusion in one primary school: voices of teachers and teaching assistants’, </w:t>
      </w:r>
      <w:r w:rsidRPr="007F6842">
        <w:rPr>
          <w:rFonts w:ascii="Arial" w:hAnsi="Arial" w:cs="Arial"/>
          <w:i/>
          <w:iCs/>
        </w:rPr>
        <w:t>Support for Learning</w:t>
      </w:r>
      <w:r w:rsidRPr="007F6842">
        <w:rPr>
          <w:rFonts w:ascii="Arial" w:hAnsi="Arial" w:cs="Arial"/>
        </w:rPr>
        <w:t>, 26(2), pp. 56-63. Available at: https://doi.org/10.1111/j.1467-9604.2011.01478.x </w:t>
      </w:r>
    </w:p>
    <w:p w14:paraId="332AD236" w14:textId="25D173DD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>Graham, P. and Arshad-Ayaz, A. (2016) ‘Learned Unsustainability: Bandura’s Bobo Doll Revisited’,</w:t>
      </w:r>
      <w:r w:rsidRPr="007F6842">
        <w:rPr>
          <w:rFonts w:ascii="Arial" w:hAnsi="Arial" w:cs="Arial"/>
          <w:i/>
          <w:iCs/>
        </w:rPr>
        <w:t xml:space="preserve"> Journal of Education for Sustainable Development,</w:t>
      </w:r>
      <w:r w:rsidRPr="007F6842">
        <w:rPr>
          <w:rFonts w:ascii="Arial" w:hAnsi="Arial" w:cs="Arial"/>
        </w:rPr>
        <w:t xml:space="preserve"> 10(2). Available at: https://doi.org/10.1177/0973408216650954 </w:t>
      </w:r>
    </w:p>
    <w:p w14:paraId="04B8AE39" w14:textId="2E3A938D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Gray, C. and Leith, H. (2004) ‘Perpetuating gender stereotypes in the classroom: a teacher perspective’, </w:t>
      </w:r>
      <w:r w:rsidRPr="007F6842">
        <w:rPr>
          <w:rFonts w:ascii="Arial" w:hAnsi="Arial" w:cs="Arial"/>
          <w:i/>
          <w:iCs/>
        </w:rPr>
        <w:t>Education Studies,</w:t>
      </w:r>
      <w:r w:rsidRPr="007F6842">
        <w:rPr>
          <w:rFonts w:ascii="Arial" w:hAnsi="Arial" w:cs="Arial"/>
        </w:rPr>
        <w:t xml:space="preserve"> 30(1), pp. 3-17. Available at: https://doi.org/10.1080/0305569032000159705 </w:t>
      </w:r>
    </w:p>
    <w:p w14:paraId="797B94F9" w14:textId="56DC2155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Hashmi, S., Khan, I.K. and Khanum, N. (2017) ‘Inclusive Education in Government Primary Schools: Teacher Perceptions’, </w:t>
      </w:r>
      <w:r w:rsidRPr="007F6842">
        <w:rPr>
          <w:rFonts w:ascii="Arial" w:hAnsi="Arial" w:cs="Arial"/>
          <w:i/>
          <w:iCs/>
        </w:rPr>
        <w:t>Journal of Education and Educational Development</w:t>
      </w:r>
      <w:r w:rsidRPr="007F6842">
        <w:rPr>
          <w:rFonts w:ascii="Arial" w:hAnsi="Arial" w:cs="Arial"/>
        </w:rPr>
        <w:t>, 4(1). Available at: https://journals.iobm.edu.pk/index.php/joeed/article/view/186 (Accessed: 24 February 2026). </w:t>
      </w:r>
    </w:p>
    <w:p w14:paraId="7FD1BAF7" w14:textId="7D473552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>Jardinez, M.J. and Natividad, L.R. (2024) ‘The Advantages and Challenges of Inclusive Education: Striving for Equity in the Classroom’,</w:t>
      </w:r>
      <w:r w:rsidRPr="007F6842">
        <w:rPr>
          <w:rFonts w:ascii="Arial" w:hAnsi="Arial" w:cs="Arial"/>
          <w:i/>
          <w:iCs/>
        </w:rPr>
        <w:t xml:space="preserve"> International Journal of Education</w:t>
      </w:r>
      <w:r w:rsidRPr="007F6842">
        <w:rPr>
          <w:rFonts w:ascii="Arial" w:hAnsi="Arial" w:cs="Arial"/>
        </w:rPr>
        <w:t>, 12(2), pp. 57-65. Available at: https://eric.ed.gov/?id=EJ1421555 (Accessed: 7 March 2026). </w:t>
      </w:r>
    </w:p>
    <w:p w14:paraId="2BFEA0A6" w14:textId="77777777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Jones, M. (2011) ‘Inclusion, Social Inclusion And Participation’, in M.H. Rioux, L.A. Basser and M. Jones (eds) </w:t>
      </w:r>
      <w:r w:rsidRPr="007F6842">
        <w:rPr>
          <w:rFonts w:ascii="Arial" w:hAnsi="Arial" w:cs="Arial"/>
          <w:i/>
          <w:iCs/>
        </w:rPr>
        <w:t>Critical Perspectives on Human Rights and Disability Law</w:t>
      </w:r>
      <w:r w:rsidRPr="007F6842">
        <w:rPr>
          <w:rFonts w:ascii="Arial" w:hAnsi="Arial" w:cs="Arial"/>
        </w:rPr>
        <w:t>. Brill, pp. 57-82. Available at: https://doi.org/10.1163/ej.9789004189508.i-552.24 </w:t>
      </w:r>
    </w:p>
    <w:p w14:paraId="77159EA1" w14:textId="513A75EC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Kefallinou, A., Symeonidou, S. and Meijer, C.J.W. (2020) ‘Understanding the value of inclusive education and its implementation: A review of the literature’, </w:t>
      </w:r>
      <w:r w:rsidRPr="007F6842">
        <w:rPr>
          <w:rFonts w:ascii="Arial" w:hAnsi="Arial" w:cs="Arial"/>
          <w:i/>
          <w:iCs/>
        </w:rPr>
        <w:t>Prospects</w:t>
      </w:r>
      <w:r w:rsidRPr="007F6842">
        <w:rPr>
          <w:rFonts w:ascii="Arial" w:hAnsi="Arial" w:cs="Arial"/>
        </w:rPr>
        <w:t>, 49, pp. 135-152. Available at: https://doi.org/10.1007/s11125-020-09500-2 </w:t>
      </w:r>
    </w:p>
    <w:p w14:paraId="5150CE11" w14:textId="0A328E12" w:rsid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Jury, M., Laurence, A., Cèbe, S. and Desombre, C. (2023) ‘Teachers’ concerns about inclusive education and the links with teachers’ attitudes’, </w:t>
      </w:r>
      <w:r w:rsidRPr="007F6842">
        <w:rPr>
          <w:rFonts w:ascii="Arial" w:hAnsi="Arial" w:cs="Arial"/>
          <w:i/>
          <w:iCs/>
        </w:rPr>
        <w:t>Frontiers in Education</w:t>
      </w:r>
      <w:r w:rsidRPr="007F6842">
        <w:rPr>
          <w:rFonts w:ascii="Arial" w:hAnsi="Arial" w:cs="Arial"/>
        </w:rPr>
        <w:t>, 7. Available at: https://doi.org/10.3389/feduc.2022.1065919 </w:t>
      </w:r>
    </w:p>
    <w:p w14:paraId="7E3743CC" w14:textId="77777777" w:rsidR="0063274B" w:rsidRDefault="0063274B" w:rsidP="0063274B">
      <w:pPr>
        <w:tabs>
          <w:tab w:val="left" w:pos="1515"/>
        </w:tabs>
        <w:ind w:hanging="284"/>
        <w:rPr>
          <w:rFonts w:ascii="Arial" w:hAnsi="Arial" w:cs="Arial"/>
        </w:rPr>
      </w:pPr>
    </w:p>
    <w:p w14:paraId="51AA93E2" w14:textId="77777777" w:rsidR="0063274B" w:rsidRPr="007F6842" w:rsidRDefault="0063274B" w:rsidP="0063274B">
      <w:pPr>
        <w:tabs>
          <w:tab w:val="left" w:pos="1515"/>
        </w:tabs>
        <w:ind w:hanging="284"/>
        <w:rPr>
          <w:rFonts w:ascii="Arial" w:hAnsi="Arial" w:cs="Arial"/>
        </w:rPr>
      </w:pPr>
    </w:p>
    <w:p w14:paraId="6A572260" w14:textId="589DA5B3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lastRenderedPageBreak/>
        <w:t xml:space="preserve">Knight, C. and Conn, C. (2025) </w:t>
      </w:r>
      <w:r w:rsidRPr="007F6842">
        <w:rPr>
          <w:rFonts w:ascii="Arial" w:hAnsi="Arial" w:cs="Arial"/>
          <w:i/>
          <w:iCs/>
        </w:rPr>
        <w:t xml:space="preserve">A Model for Inclusive Education in Wales. </w:t>
      </w:r>
      <w:r w:rsidRPr="007F6842">
        <w:rPr>
          <w:rFonts w:ascii="Arial" w:hAnsi="Arial" w:cs="Arial"/>
        </w:rPr>
        <w:t>Available at: https://www.bristol.ac.uk/media-library/sites/education/documents/bristol-working-papers-in-education/A%20Model%20for%20Inclusive%20Education_Knight%202025.pdf (Accessed: 3 March 2026). </w:t>
      </w:r>
    </w:p>
    <w:p w14:paraId="3164460A" w14:textId="0ED83C32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Kurowski, M., Černý, M. and Trapl, F. (2022) ‘A Review Study of Research Articles on the Barriers to Inclusive Education in Primary Schools’, </w:t>
      </w:r>
      <w:r w:rsidRPr="007F6842">
        <w:rPr>
          <w:rFonts w:ascii="Arial" w:hAnsi="Arial" w:cs="Arial"/>
          <w:i/>
          <w:iCs/>
        </w:rPr>
        <w:t>Journal on Efficiency and Responsibility in Education and Science</w:t>
      </w:r>
      <w:r w:rsidRPr="007F6842">
        <w:rPr>
          <w:rFonts w:ascii="Arial" w:hAnsi="Arial" w:cs="Arial"/>
        </w:rPr>
        <w:t>, 15(2), pp. 116-130. Available at: https://doi.org/10.7160/eriesj.2022.150206 </w:t>
      </w:r>
    </w:p>
    <w:p w14:paraId="17C3B7DA" w14:textId="7F0DE97D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Lagestad, P.A., Tverbakk, M.L.E., Valle, A.M. and Hanssen, N.B. (2023) ‘Teachers’ Experiences of Inclusion in Classroom Settings’, </w:t>
      </w:r>
      <w:r w:rsidRPr="007F6842">
        <w:rPr>
          <w:rFonts w:ascii="Arial" w:hAnsi="Arial" w:cs="Arial"/>
          <w:i/>
          <w:iCs/>
        </w:rPr>
        <w:t>Education Sciences,</w:t>
      </w:r>
      <w:r w:rsidRPr="007F6842">
        <w:rPr>
          <w:rFonts w:ascii="Arial" w:hAnsi="Arial" w:cs="Arial"/>
        </w:rPr>
        <w:t xml:space="preserve"> 13(11). Available at: https://doi.org/10.3390/educsci13111136 </w:t>
      </w:r>
    </w:p>
    <w:p w14:paraId="65FF714B" w14:textId="00BE120F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Lloyd, C. (2008) ‘Removing barriers to achievement: A strategy for inclusion or exclusion?’, </w:t>
      </w:r>
      <w:r w:rsidRPr="007F6842">
        <w:rPr>
          <w:rFonts w:ascii="Arial" w:hAnsi="Arial" w:cs="Arial"/>
          <w:i/>
          <w:iCs/>
        </w:rPr>
        <w:t>International Journal of Inclusive Education</w:t>
      </w:r>
      <w:r w:rsidRPr="007F6842">
        <w:rPr>
          <w:rFonts w:ascii="Arial" w:hAnsi="Arial" w:cs="Arial"/>
        </w:rPr>
        <w:t>, 12(2), pp. 221-236. Available at: https://doi.org/10.1080/13603110600871413 </w:t>
      </w:r>
    </w:p>
    <w:p w14:paraId="03A9D57A" w14:textId="4591D84E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María, L.S., Aliagas, C. and Rutten K. (2022) ‘Youth’s literary socialisation practices online: A systematic review of research’, </w:t>
      </w:r>
      <w:r w:rsidRPr="007F6842">
        <w:rPr>
          <w:rFonts w:ascii="Arial" w:hAnsi="Arial" w:cs="Arial"/>
          <w:i/>
          <w:iCs/>
        </w:rPr>
        <w:t>Learning, Culture and Social Interaction</w:t>
      </w:r>
      <w:r w:rsidRPr="007F6842">
        <w:rPr>
          <w:rFonts w:ascii="Arial" w:hAnsi="Arial" w:cs="Arial"/>
        </w:rPr>
        <w:t>, 34 (June) article 100628. Available at: https://doi.org/10.1016/j.lcsi.2022.100628 </w:t>
      </w:r>
    </w:p>
    <w:p w14:paraId="39CF6C3C" w14:textId="424906D5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Martin, L. and Cobigo, V. (2011) ‘Definitions Matter in Understanding Social Inclusion’, </w:t>
      </w:r>
      <w:r w:rsidRPr="007F6842">
        <w:rPr>
          <w:rFonts w:ascii="Arial" w:hAnsi="Arial" w:cs="Arial"/>
          <w:i/>
          <w:iCs/>
        </w:rPr>
        <w:t>Journal of Policy and Practice in Intellectual Disabilities.</w:t>
      </w:r>
      <w:r w:rsidRPr="007F6842">
        <w:rPr>
          <w:rFonts w:ascii="Arial" w:hAnsi="Arial" w:cs="Arial"/>
        </w:rPr>
        <w:t xml:space="preserve"> Available at: https://doi.org/10.1111/j.1741-1130.2011.00316.x </w:t>
      </w:r>
    </w:p>
    <w:p w14:paraId="48687EFA" w14:textId="22DB78ED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McDowell, J. (2023) ‘‘If you're a male primary teacher, there's a big “why are you doing that? What is wrong with you?”’ Gendered expectations of male primary teachers: The ‘double bind’’, </w:t>
      </w:r>
      <w:r w:rsidRPr="007F6842">
        <w:rPr>
          <w:rFonts w:ascii="Arial" w:hAnsi="Arial" w:cs="Arial"/>
          <w:i/>
          <w:iCs/>
        </w:rPr>
        <w:t>Sociology Compass</w:t>
      </w:r>
      <w:r w:rsidRPr="007F6842">
        <w:rPr>
          <w:rFonts w:ascii="Arial" w:hAnsi="Arial" w:cs="Arial"/>
        </w:rPr>
        <w:t>, 17(12). Available at: https://doi.org/10.1111/soc4.13145 </w:t>
      </w:r>
    </w:p>
    <w:p w14:paraId="74612E72" w14:textId="50AF02A3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Mullin, A. (2023) ‘Children, Social Inclusion in Education, Autonomy and Hope’, </w:t>
      </w:r>
      <w:r w:rsidRPr="007F6842">
        <w:rPr>
          <w:rFonts w:ascii="Arial" w:hAnsi="Arial" w:cs="Arial"/>
          <w:i/>
          <w:iCs/>
        </w:rPr>
        <w:t xml:space="preserve">Ethics and Social Welfare, </w:t>
      </w:r>
      <w:r w:rsidRPr="007F6842">
        <w:rPr>
          <w:rFonts w:ascii="Arial" w:hAnsi="Arial" w:cs="Arial"/>
        </w:rPr>
        <w:t>17(1), pp. 20-34. Available at: https://doi.org/10.1080/17496535.2022.2112409 </w:t>
      </w:r>
    </w:p>
    <w:p w14:paraId="5A42E2DF" w14:textId="15235E2E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Murray, J. (2026) </w:t>
      </w:r>
      <w:r w:rsidRPr="007F6842">
        <w:rPr>
          <w:rFonts w:ascii="Arial" w:hAnsi="Arial" w:cs="Arial"/>
          <w:i/>
          <w:iCs/>
        </w:rPr>
        <w:t xml:space="preserve">Gen Z males twice as likely as baby boomers to believe wives should obey husbands. </w:t>
      </w:r>
      <w:r w:rsidRPr="007F6842">
        <w:rPr>
          <w:rFonts w:ascii="Arial" w:hAnsi="Arial" w:cs="Arial"/>
        </w:rPr>
        <w:t>Available at: https://www.theguardian.com/world/2026/mar/05/gen-z-men-baby-boomers-wives-should-obey-husbands (Accessed: 7 March 2026). </w:t>
      </w:r>
    </w:p>
    <w:p w14:paraId="3A5715FE" w14:textId="35800986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>Nyström, S., Fejes, A. and Mešić, N. (2023) ‘Social Inclusion Beyond Education and Work: Migrants Meaning</w:t>
      </w:r>
      <w:r w:rsidRPr="007F6842">
        <w:rPr>
          <w:rFonts w:ascii="Cambria Math" w:hAnsi="Cambria Math" w:cs="Cambria Math"/>
        </w:rPr>
        <w:t>‐</w:t>
      </w:r>
      <w:r w:rsidRPr="007F6842">
        <w:rPr>
          <w:rFonts w:ascii="Arial" w:hAnsi="Arial" w:cs="Arial"/>
        </w:rPr>
        <w:t>Making Towards Social Inclusion’,</w:t>
      </w:r>
      <w:r w:rsidRPr="007F6842">
        <w:rPr>
          <w:rFonts w:ascii="Arial" w:hAnsi="Arial" w:cs="Arial"/>
          <w:i/>
          <w:iCs/>
        </w:rPr>
        <w:t xml:space="preserve"> Adult Migrants’ Language Learning, Labour Market, and Social Inclusion</w:t>
      </w:r>
      <w:r w:rsidRPr="007F6842">
        <w:rPr>
          <w:rFonts w:ascii="Arial" w:hAnsi="Arial" w:cs="Arial"/>
        </w:rPr>
        <w:t>, 11(4). Available at: https://doi.org/10.17645/si.v11i4.6984 </w:t>
      </w:r>
    </w:p>
    <w:p w14:paraId="4D861C38" w14:textId="4DB548CE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Ollis, D., Iannucci, C., Keddie, A., Holland, E., Delaney, M. and Kearney, S. (2022) ‘‘Bulldozers aren’t just for boys’: respectful relationships education challenges gender bias in early primary students’, </w:t>
      </w:r>
      <w:r w:rsidRPr="007F6842">
        <w:rPr>
          <w:rFonts w:ascii="Arial" w:hAnsi="Arial" w:cs="Arial"/>
          <w:i/>
          <w:iCs/>
        </w:rPr>
        <w:t>International Journal of Health Promotion and Education</w:t>
      </w:r>
      <w:r w:rsidRPr="007F6842">
        <w:rPr>
          <w:rFonts w:ascii="Arial" w:hAnsi="Arial" w:cs="Arial"/>
        </w:rPr>
        <w:t>, 60(4), pp. 229-242. Available at: https://doi.org/10.1080/14635240.2021.1875020 </w:t>
      </w:r>
    </w:p>
    <w:p w14:paraId="5CB28D5C" w14:textId="7B2D2DB8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lastRenderedPageBreak/>
        <w:t xml:space="preserve">Oluwamayomikun, O.A. (2024) ‘The Impact of Inclusive Education Practices (IEP) on Academic Achievement and Social Integration of Children with Learning Disabilities in Primary Schools in Oyo State, Nigeria’, </w:t>
      </w:r>
      <w:r w:rsidRPr="007F6842">
        <w:rPr>
          <w:rFonts w:ascii="Arial" w:hAnsi="Arial" w:cs="Arial"/>
          <w:i/>
          <w:iCs/>
        </w:rPr>
        <w:t>International Journal of Recent Advances in Multidisciplinary Topics</w:t>
      </w:r>
      <w:r w:rsidRPr="007F6842">
        <w:rPr>
          <w:rFonts w:ascii="Arial" w:hAnsi="Arial" w:cs="Arial"/>
        </w:rPr>
        <w:t>, 5(11). Available at: https://www.academia.edu/143075799/The_Impact_of_Inclusive_Education_Practices_IEP_on_Academic_Achievement_and_Social_Integration_of_Children_with_Learning_Disabilities_in_Primary_Schools_in_Oyo_State_Nigeria (Accessed: 7 March 2026). </w:t>
      </w:r>
    </w:p>
    <w:p w14:paraId="35FA9F9B" w14:textId="679E5F8B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>Palavan, Ö, Çiçek, V. and Yıldırım, B.A. (2018) ‘Attitudes of Primary School Teachers towards Inclusive Education’,</w:t>
      </w:r>
      <w:r w:rsidRPr="007F6842">
        <w:rPr>
          <w:rFonts w:ascii="Arial" w:hAnsi="Arial" w:cs="Arial"/>
          <w:i/>
          <w:iCs/>
        </w:rPr>
        <w:t xml:space="preserve"> Journal of Education and Future</w:t>
      </w:r>
      <w:r w:rsidRPr="007F6842">
        <w:rPr>
          <w:rFonts w:ascii="Arial" w:hAnsi="Arial" w:cs="Arial"/>
        </w:rPr>
        <w:t>, 13, pp. 49-63. Available at: https://dergipark.org.tr/en/pub/jef/article/390822 (Accessed: 24 February 2026). </w:t>
      </w:r>
    </w:p>
    <w:p w14:paraId="5C583E16" w14:textId="34B8D53E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Perry, M.J. (2016) ‘Defining Gender’, in P.J. Du Plessis, C. Ando and K. Tuori (eds) </w:t>
      </w:r>
      <w:r w:rsidRPr="007F6842">
        <w:rPr>
          <w:rFonts w:ascii="Arial" w:hAnsi="Arial" w:cs="Arial"/>
          <w:i/>
          <w:iCs/>
        </w:rPr>
        <w:t>The Oxford Handbook of Roman Law and Society.</w:t>
      </w:r>
      <w:r w:rsidRPr="007F6842">
        <w:rPr>
          <w:rFonts w:ascii="Arial" w:hAnsi="Arial" w:cs="Arial"/>
        </w:rPr>
        <w:t xml:space="preserve"> Oxford University Press, pp. 432-442.</w:t>
      </w:r>
    </w:p>
    <w:p w14:paraId="426DEFD2" w14:textId="19C8CC80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Pryzgoda, J. and Chrisler, J.C. (2000) ‘Definitions of Gender and Sex: The Subtleties of Meaning’, </w:t>
      </w:r>
      <w:r w:rsidRPr="007F6842">
        <w:rPr>
          <w:rFonts w:ascii="Arial" w:hAnsi="Arial" w:cs="Arial"/>
          <w:i/>
          <w:iCs/>
        </w:rPr>
        <w:t>Sex Roles</w:t>
      </w:r>
      <w:r w:rsidRPr="007F6842">
        <w:rPr>
          <w:rFonts w:ascii="Arial" w:hAnsi="Arial" w:cs="Arial"/>
        </w:rPr>
        <w:t>, 43, pp. 553-569. Available at: https://doi.org/10.1023/A:1007123617636 </w:t>
      </w:r>
    </w:p>
    <w:p w14:paraId="328B241C" w14:textId="4A571585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Qvortrup, A. and Qvortrup, L. (2018) ‘Inclusion: Dimensions of inclusion in education’, </w:t>
      </w:r>
      <w:r w:rsidRPr="007F6842">
        <w:rPr>
          <w:rFonts w:ascii="Arial" w:hAnsi="Arial" w:cs="Arial"/>
          <w:i/>
          <w:iCs/>
        </w:rPr>
        <w:t>International Journal of Inclusive Education</w:t>
      </w:r>
      <w:r w:rsidRPr="007F6842">
        <w:rPr>
          <w:rFonts w:ascii="Arial" w:hAnsi="Arial" w:cs="Arial"/>
        </w:rPr>
        <w:t>, 22(7), pp. 803-817. Available at: https://doi.org/10.1080/13603116.2017.1412506 </w:t>
      </w:r>
    </w:p>
    <w:p w14:paraId="3878D733" w14:textId="5DA47050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Radojlovic, J., Kilibarda, T., Radevic, S., Maricic, M., Ilic, K.P., Djordjic, M., Colovic, S., Radmanovic, B., Sekulic, M., Djordjevic, O., Niciforovic, J., Vukomanovic, I.S., Janicijevic, K. and Radovanovic, S. (2022) ‘Attitudes of Primary School Teachers Toward Inclusive Education’, </w:t>
      </w:r>
      <w:r w:rsidRPr="007F6842">
        <w:rPr>
          <w:rFonts w:ascii="Arial" w:hAnsi="Arial" w:cs="Arial"/>
          <w:i/>
          <w:iCs/>
        </w:rPr>
        <w:t>Frontiers in Psychology</w:t>
      </w:r>
      <w:r w:rsidRPr="007F6842">
        <w:rPr>
          <w:rFonts w:ascii="Arial" w:hAnsi="Arial" w:cs="Arial"/>
        </w:rPr>
        <w:t>, 13. Available at: https://doi.org/10.3389/fpsyg.2022.891930 </w:t>
      </w:r>
    </w:p>
    <w:p w14:paraId="72300494" w14:textId="59312104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Razer, M., Friedman, V.J. and Warshofsky, B. (2013) ‘Schools as agents of social exclusion and inclusion’, </w:t>
      </w:r>
      <w:r w:rsidRPr="007F6842">
        <w:rPr>
          <w:rFonts w:ascii="Arial" w:hAnsi="Arial" w:cs="Arial"/>
          <w:i/>
          <w:iCs/>
        </w:rPr>
        <w:t>International Journal of Inclusive Education</w:t>
      </w:r>
      <w:r w:rsidRPr="007F6842">
        <w:rPr>
          <w:rFonts w:ascii="Arial" w:hAnsi="Arial" w:cs="Arial"/>
        </w:rPr>
        <w:t>, 17(11), pp. 1152-1170. Available at: https://doi.org/10.1080/13603116.2012.742145 </w:t>
      </w:r>
    </w:p>
    <w:p w14:paraId="430CDE58" w14:textId="59C3DDF1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  <w:i/>
          <w:iCs/>
        </w:rPr>
        <w:t xml:space="preserve">Rights of Children and Young Persons (Wales) Measure 2011 </w:t>
      </w:r>
      <w:r w:rsidRPr="007F6842">
        <w:rPr>
          <w:rFonts w:ascii="Arial" w:hAnsi="Arial" w:cs="Arial"/>
        </w:rPr>
        <w:t>(nawm 2). Available at: https://www.legislation.gov.uk/mwa/2011/2/contents (Accessed: 3 March 2026). </w:t>
      </w:r>
    </w:p>
    <w:p w14:paraId="19D1B489" w14:textId="244B87CA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Schuelka, M.J. (2018) </w:t>
      </w:r>
      <w:r w:rsidRPr="007F6842">
        <w:rPr>
          <w:rFonts w:ascii="Arial" w:hAnsi="Arial" w:cs="Arial"/>
          <w:i/>
          <w:iCs/>
        </w:rPr>
        <w:t>Implementing Inclusive Education</w:t>
      </w:r>
      <w:r w:rsidRPr="007F6842">
        <w:rPr>
          <w:rFonts w:ascii="Arial" w:hAnsi="Arial" w:cs="Arial"/>
        </w:rPr>
        <w:t>. Available at: https://www.gov.uk/research-for-development-outputs/implementing-inclusive-education (Accessed: 25 February 2026). </w:t>
      </w:r>
    </w:p>
    <w:p w14:paraId="49F91419" w14:textId="0FB3720A" w:rsid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>Shevchenko, Y.M., Dubiaha, S.M., Melash, V.D, Fefilova, T.V. and Saenko, Y.O. (2020) ‘The Role of Teachers in the Organization of Inclusive Education of Primary School Pupils’,</w:t>
      </w:r>
      <w:r w:rsidRPr="007F6842">
        <w:rPr>
          <w:rFonts w:ascii="Arial" w:hAnsi="Arial" w:cs="Arial"/>
          <w:i/>
          <w:iCs/>
        </w:rPr>
        <w:t xml:space="preserve"> International Journal of Higher Education</w:t>
      </w:r>
      <w:r w:rsidRPr="007F6842">
        <w:rPr>
          <w:rFonts w:ascii="Arial" w:hAnsi="Arial" w:cs="Arial"/>
        </w:rPr>
        <w:t>, 9(7), pp. 207-216. Available at: https://doi.org/10.5430/ijhe.v9n7p207 </w:t>
      </w:r>
    </w:p>
    <w:p w14:paraId="6A3E514C" w14:textId="77777777" w:rsidR="0063274B" w:rsidRDefault="0063274B" w:rsidP="0063274B">
      <w:pPr>
        <w:tabs>
          <w:tab w:val="left" w:pos="1515"/>
        </w:tabs>
        <w:ind w:hanging="284"/>
        <w:rPr>
          <w:rFonts w:ascii="Arial" w:hAnsi="Arial" w:cs="Arial"/>
        </w:rPr>
      </w:pPr>
    </w:p>
    <w:p w14:paraId="6855C834" w14:textId="77777777" w:rsidR="0063274B" w:rsidRPr="007F6842" w:rsidRDefault="0063274B" w:rsidP="0063274B">
      <w:pPr>
        <w:tabs>
          <w:tab w:val="left" w:pos="1515"/>
        </w:tabs>
        <w:ind w:hanging="284"/>
        <w:rPr>
          <w:rFonts w:ascii="Arial" w:hAnsi="Arial" w:cs="Arial"/>
        </w:rPr>
      </w:pPr>
    </w:p>
    <w:p w14:paraId="4DE7DB34" w14:textId="2CA0AC08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lastRenderedPageBreak/>
        <w:t xml:space="preserve">Venkatramanan, K. and Jayapriya, J. (2025) ‘Education and Social Inclusion: Breaking Down Barriers for a More Equitable Society’, in. K.N. Chattopadhyay, N.K. Mokta, M.S. Gurjar, D. Ganguli, S.R.C. Ghosh and S. Nath (eds) </w:t>
      </w:r>
      <w:r w:rsidRPr="007F6842">
        <w:rPr>
          <w:rFonts w:ascii="Arial" w:hAnsi="Arial" w:cs="Arial"/>
          <w:i/>
          <w:iCs/>
        </w:rPr>
        <w:t>Dynamics of Social Inclusion and Exclusion: Contemporary Perspectives</w:t>
      </w:r>
      <w:r w:rsidRPr="007F6842">
        <w:rPr>
          <w:rFonts w:ascii="Arial" w:hAnsi="Arial" w:cs="Arial"/>
        </w:rPr>
        <w:t>. Redshine Publication, pp. 34-40. </w:t>
      </w:r>
    </w:p>
    <w:p w14:paraId="401ECE92" w14:textId="2B6D693D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Verma, S. (2021) ‘Chapter 10: Exclusion to Inclusion: The Challenges and Barriers’, in M. Dwivedi and P. Srivastava (eds) </w:t>
      </w:r>
      <w:r w:rsidRPr="007F6842">
        <w:rPr>
          <w:rFonts w:ascii="Arial" w:hAnsi="Arial" w:cs="Arial"/>
          <w:i/>
          <w:iCs/>
        </w:rPr>
        <w:t>Creating Inclusive Classrooms</w:t>
      </w:r>
      <w:r w:rsidRPr="007F6842">
        <w:rPr>
          <w:rFonts w:ascii="Arial" w:hAnsi="Arial" w:cs="Arial"/>
        </w:rPr>
        <w:t>. Sunrise Publications, pp. 112-126.</w:t>
      </w:r>
    </w:p>
    <w:p w14:paraId="64C52F65" w14:textId="0FC74DBF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Vyas, D.P. (2021) ‘Chapter 5: Curriculum Adaptation: A Demand for Inclusive Education’, in M. Dwivedi and P. Srivastava (eds) </w:t>
      </w:r>
      <w:r w:rsidRPr="007F6842">
        <w:rPr>
          <w:rFonts w:ascii="Arial" w:hAnsi="Arial" w:cs="Arial"/>
          <w:i/>
          <w:iCs/>
        </w:rPr>
        <w:t>Creating Inclusive Classrooms</w:t>
      </w:r>
      <w:r w:rsidRPr="007F6842">
        <w:rPr>
          <w:rFonts w:ascii="Arial" w:hAnsi="Arial" w:cs="Arial"/>
        </w:rPr>
        <w:t>. Sunrise Publications, pp. 55-71. </w:t>
      </w:r>
    </w:p>
    <w:p w14:paraId="60A89586" w14:textId="5B5B16CA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Welsh Government (2016) </w:t>
      </w:r>
      <w:r w:rsidRPr="007F6842">
        <w:rPr>
          <w:rFonts w:ascii="Arial" w:hAnsi="Arial" w:cs="Arial"/>
          <w:i/>
          <w:iCs/>
        </w:rPr>
        <w:t xml:space="preserve">Inclusion and pupil support. </w:t>
      </w:r>
      <w:r w:rsidRPr="007F6842">
        <w:rPr>
          <w:rFonts w:ascii="Arial" w:hAnsi="Arial" w:cs="Arial"/>
        </w:rPr>
        <w:t>Available at: https://www.gov.wales/sites/default/files/publications/2018-05/guidance-inclusion-and-pupil-support_0.pdf (Accessed: 3 March 2026). </w:t>
      </w:r>
    </w:p>
    <w:p w14:paraId="602DA2F3" w14:textId="3BAC9010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Welsh Government (2021a) </w:t>
      </w:r>
      <w:r w:rsidRPr="007F6842">
        <w:rPr>
          <w:rFonts w:ascii="Arial" w:hAnsi="Arial" w:cs="Arial"/>
          <w:i/>
          <w:iCs/>
        </w:rPr>
        <w:t>United Nations Convention on the Right of the Child: poster</w:t>
      </w:r>
      <w:r w:rsidRPr="007F6842">
        <w:rPr>
          <w:rFonts w:ascii="Arial" w:hAnsi="Arial" w:cs="Arial"/>
        </w:rPr>
        <w:t>. Available at: https://www.gov.wales/united-nations-convention-right-child-poster (Accessed: 24 February 2026). </w:t>
      </w:r>
    </w:p>
    <w:p w14:paraId="62544A57" w14:textId="3529A23B" w:rsidR="007F6842" w:rsidRPr="007F6842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Welsh Government (2021b) </w:t>
      </w:r>
      <w:r w:rsidRPr="007F6842">
        <w:rPr>
          <w:rFonts w:ascii="Arial" w:hAnsi="Arial" w:cs="Arial"/>
          <w:i/>
          <w:iCs/>
        </w:rPr>
        <w:t>The Curriculum for Wales - Relationships and Sexuality Code.</w:t>
      </w:r>
      <w:r w:rsidRPr="007F6842">
        <w:rPr>
          <w:rFonts w:ascii="Arial" w:hAnsi="Arial" w:cs="Arial"/>
        </w:rPr>
        <w:t xml:space="preserve"> Available at: https://www.gov.wales/sites/default/files/publications/2022-01/curriculum-for-wales-relationships-sexuality-education-code.pdf (Accessed: 7 March 2026).</w:t>
      </w:r>
    </w:p>
    <w:p w14:paraId="22DB1534" w14:textId="77777777" w:rsidR="0063274B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t xml:space="preserve">Welsh Government (2023) </w:t>
      </w:r>
      <w:r w:rsidRPr="007F6842">
        <w:rPr>
          <w:rFonts w:ascii="Arial" w:hAnsi="Arial" w:cs="Arial"/>
          <w:i/>
          <w:iCs/>
        </w:rPr>
        <w:t xml:space="preserve">Sexual orientation and gender identity in Wales (Census 2021) (revised). </w:t>
      </w:r>
      <w:r w:rsidRPr="007F6842">
        <w:rPr>
          <w:rFonts w:ascii="Arial" w:hAnsi="Arial" w:cs="Arial"/>
        </w:rPr>
        <w:t>Available at: https://www.gov.wales/sexual-orientation-and-gender-identity-wales-census-2021-revised-html (Accessed: 7 March 2026).</w:t>
      </w:r>
    </w:p>
    <w:p w14:paraId="392880B4" w14:textId="5CC59467" w:rsidR="007F6842" w:rsidRPr="00E4594D" w:rsidRDefault="007F6842" w:rsidP="0063274B">
      <w:pPr>
        <w:tabs>
          <w:tab w:val="left" w:pos="1515"/>
        </w:tabs>
        <w:ind w:hanging="284"/>
        <w:rPr>
          <w:rFonts w:ascii="Arial" w:hAnsi="Arial" w:cs="Arial"/>
        </w:rPr>
      </w:pPr>
      <w:r w:rsidRPr="007F6842">
        <w:rPr>
          <w:rFonts w:ascii="Arial" w:hAnsi="Arial" w:cs="Arial"/>
        </w:rPr>
        <w:br/>
        <w:t>World Health Organisation (2025)</w:t>
      </w:r>
      <w:r w:rsidRPr="007F6842">
        <w:rPr>
          <w:rFonts w:ascii="Arial" w:hAnsi="Arial" w:cs="Arial"/>
          <w:i/>
          <w:iCs/>
        </w:rPr>
        <w:t xml:space="preserve"> Gender and health.</w:t>
      </w:r>
      <w:r w:rsidRPr="007F6842">
        <w:rPr>
          <w:rFonts w:ascii="Arial" w:hAnsi="Arial" w:cs="Arial"/>
        </w:rPr>
        <w:t xml:space="preserve"> Available at: https://www.who.int/health-topics/gender#tab=tab_1 (Accessed: 7 March 2026).</w:t>
      </w:r>
    </w:p>
    <w:sectPr w:rsidR="007F6842" w:rsidRPr="00E4594D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1DEF3B" w14:textId="77777777" w:rsidR="00D54B48" w:rsidRDefault="00D54B48" w:rsidP="00832B76">
      <w:pPr>
        <w:spacing w:after="0" w:line="240" w:lineRule="auto"/>
      </w:pPr>
      <w:r>
        <w:separator/>
      </w:r>
    </w:p>
  </w:endnote>
  <w:endnote w:type="continuationSeparator" w:id="0">
    <w:p w14:paraId="58F89A2D" w14:textId="77777777" w:rsidR="00D54B48" w:rsidRDefault="00D54B48" w:rsidP="00832B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63208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5ED0B3" w14:textId="5EB93B77" w:rsidR="00097766" w:rsidRDefault="0009776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87B7A8" w14:textId="77777777" w:rsidR="00097766" w:rsidRDefault="000977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7B674F" w14:textId="77777777" w:rsidR="00D54B48" w:rsidRDefault="00D54B48" w:rsidP="00832B76">
      <w:pPr>
        <w:spacing w:after="0" w:line="240" w:lineRule="auto"/>
      </w:pPr>
      <w:r>
        <w:separator/>
      </w:r>
    </w:p>
  </w:footnote>
  <w:footnote w:type="continuationSeparator" w:id="0">
    <w:p w14:paraId="20B52878" w14:textId="77777777" w:rsidR="00D54B48" w:rsidRDefault="00D54B48" w:rsidP="00832B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93AA9F" w14:textId="6989874D" w:rsidR="00097766" w:rsidRPr="00097766" w:rsidRDefault="00832B76" w:rsidP="00097766">
    <w:pPr>
      <w:pStyle w:val="Header"/>
      <w:rPr>
        <w:b/>
        <w:bCs/>
      </w:rPr>
    </w:pPr>
    <w:r w:rsidRPr="00097766">
      <w:rPr>
        <w:rFonts w:ascii="Arial" w:hAnsi="Arial" w:cs="Arial"/>
      </w:rPr>
      <w:t>2200299</w:t>
    </w:r>
    <w:r>
      <w:ptab w:relativeTo="margin" w:alignment="center" w:leader="none"/>
    </w:r>
    <w:r>
      <w:ptab w:relativeTo="margin" w:alignment="right" w:leader="none"/>
    </w:r>
    <w:r w:rsidR="00097766" w:rsidRPr="00097766">
      <w:rPr>
        <w:rFonts w:ascii="Arial" w:eastAsia="Times New Roman" w:hAnsi="Arial" w:cs="Arial"/>
        <w:color w:val="FFFFFF"/>
        <w:kern w:val="36"/>
        <w:sz w:val="48"/>
        <w:szCs w:val="48"/>
        <w:lang w:eastAsia="en-GB"/>
        <w14:ligatures w14:val="none"/>
      </w:rPr>
      <w:t xml:space="preserve"> </w:t>
    </w:r>
    <w:r w:rsidR="00097766" w:rsidRPr="00097766">
      <w:rPr>
        <w:rFonts w:ascii="Arial" w:hAnsi="Arial" w:cs="Arial"/>
      </w:rPr>
      <w:t>ECED7007</w:t>
    </w:r>
  </w:p>
  <w:p w14:paraId="4CF2322F" w14:textId="6A05548D" w:rsidR="00832B76" w:rsidRDefault="00832B7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E3D"/>
    <w:rsid w:val="00097766"/>
    <w:rsid w:val="001760C5"/>
    <w:rsid w:val="001D5303"/>
    <w:rsid w:val="00226AD8"/>
    <w:rsid w:val="003E3E3D"/>
    <w:rsid w:val="004C33E9"/>
    <w:rsid w:val="004F1541"/>
    <w:rsid w:val="00575663"/>
    <w:rsid w:val="00590368"/>
    <w:rsid w:val="0063274B"/>
    <w:rsid w:val="007F6842"/>
    <w:rsid w:val="00832B76"/>
    <w:rsid w:val="00892FA6"/>
    <w:rsid w:val="00894B4C"/>
    <w:rsid w:val="00933A1B"/>
    <w:rsid w:val="00961F9E"/>
    <w:rsid w:val="00B658AD"/>
    <w:rsid w:val="00D54B48"/>
    <w:rsid w:val="00D87A46"/>
    <w:rsid w:val="00D9654B"/>
    <w:rsid w:val="00E459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1F6B5D"/>
  <w15:chartTrackingRefBased/>
  <w15:docId w15:val="{30B1FA83-82D7-4725-8497-62E3B7F89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HAns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3E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3E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3E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3E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3E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3E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3E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3E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3E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3E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3E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3E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3E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3E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3E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3E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3E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3E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3E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3E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3E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3E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3E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3E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3E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3E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3E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3E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3E3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32B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2B76"/>
  </w:style>
  <w:style w:type="paragraph" w:styleId="Footer">
    <w:name w:val="footer"/>
    <w:basedOn w:val="Normal"/>
    <w:link w:val="FooterChar"/>
    <w:uiPriority w:val="99"/>
    <w:unhideWhenUsed/>
    <w:rsid w:val="00832B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2B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4703d605af49039d2e2ffbc2b450d571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ea28bd1aa981eb61462d85a85769ef9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ADA30B9-1BD1-4408-8E4A-0C2DA01E1DD4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2.xml><?xml version="1.0" encoding="utf-8"?>
<ds:datastoreItem xmlns:ds="http://schemas.openxmlformats.org/officeDocument/2006/customXml" ds:itemID="{F3C45A2C-73A4-4AEE-A127-42EB8AF244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4090E6A-7784-44B4-B384-F0AF064DA7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2294</Words>
  <Characters>13080</Characters>
  <Application>Microsoft Office Word</Application>
  <DocSecurity>0</DocSecurity>
  <Lines>109</Lines>
  <Paragraphs>30</Paragraphs>
  <ScaleCrop>false</ScaleCrop>
  <Company/>
  <LinksUpToDate>false</LinksUpToDate>
  <CharactersWithSpaces>15344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Libby Eve Casey (2200299)</dc:creator>
  <cp:keywords/>
  <dc:description/>
  <cp:lastModifiedBy>Libby Casey</cp:lastModifiedBy>
  <cp:revision>2</cp:revision>
  <dcterms:created xsi:type="dcterms:W3CDTF">2026-03-08T17:58:00Z</dcterms:created>
  <dcterms:modified xsi:type="dcterms:W3CDTF">2026-03-08T17:58:00Z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