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ADDD9A" w14:textId="68741F2A" w:rsidR="00420556" w:rsidRPr="008A00D2" w:rsidRDefault="00420556" w:rsidP="002244EB">
      <w:pPr>
        <w:jc w:val="center"/>
        <w:rPr>
          <w:noProof/>
          <w:lang w:val="en-GB"/>
        </w:rPr>
      </w:pPr>
    </w:p>
    <w:p w14:paraId="2A2A5AE2" w14:textId="5CDBC877" w:rsidR="00317C3C" w:rsidRPr="008A00D2" w:rsidRDefault="00317C3C" w:rsidP="002244EB">
      <w:pPr>
        <w:jc w:val="center"/>
        <w:rPr>
          <w:lang w:val="en-GB"/>
        </w:rPr>
      </w:pPr>
      <w:r w:rsidRPr="008A00D2">
        <w:rPr>
          <w:noProof/>
          <w:lang w:val="en-GB"/>
        </w:rPr>
        <w:drawing>
          <wp:inline distT="0" distB="0" distL="0" distR="0" wp14:anchorId="141A25EA" wp14:editId="1E7A98CD">
            <wp:extent cx="3554233" cy="1320233"/>
            <wp:effectExtent l="0" t="0" r="8255" b="0"/>
            <wp:docPr id="1680287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5990" b="17160"/>
                    <a:stretch>
                      <a:fillRect/>
                    </a:stretch>
                  </pic:blipFill>
                  <pic:spPr bwMode="auto">
                    <a:xfrm>
                      <a:off x="0" y="0"/>
                      <a:ext cx="3570685" cy="1326344"/>
                    </a:xfrm>
                    <a:prstGeom prst="rect">
                      <a:avLst/>
                    </a:prstGeom>
                    <a:noFill/>
                    <a:ln>
                      <a:noFill/>
                    </a:ln>
                    <a:extLst>
                      <a:ext uri="{53640926-AAD7-44D8-BBD7-CCE9431645EC}">
                        <a14:shadowObscured xmlns:a14="http://schemas.microsoft.com/office/drawing/2010/main"/>
                      </a:ext>
                    </a:extLst>
                  </pic:spPr>
                </pic:pic>
              </a:graphicData>
            </a:graphic>
          </wp:inline>
        </w:drawing>
      </w:r>
    </w:p>
    <w:p w14:paraId="64BC9F86" w14:textId="77777777" w:rsidR="00317C3C" w:rsidRPr="008A00D2" w:rsidRDefault="00317C3C" w:rsidP="002244EB">
      <w:pPr>
        <w:jc w:val="center"/>
        <w:rPr>
          <w:b/>
          <w:bCs/>
          <w:sz w:val="32"/>
          <w:szCs w:val="32"/>
          <w:lang w:val="en-GB"/>
        </w:rPr>
      </w:pPr>
    </w:p>
    <w:p w14:paraId="661B35BC" w14:textId="4262D61B" w:rsidR="002244EB" w:rsidRPr="008A00D2" w:rsidRDefault="00000000" w:rsidP="002244EB">
      <w:pPr>
        <w:jc w:val="center"/>
        <w:rPr>
          <w:b/>
          <w:bCs/>
          <w:sz w:val="32"/>
          <w:szCs w:val="32"/>
          <w:lang w:val="en-GB"/>
        </w:rPr>
      </w:pPr>
      <w:r w:rsidRPr="008A00D2">
        <w:rPr>
          <w:b/>
          <w:bCs/>
          <w:sz w:val="32"/>
          <w:szCs w:val="32"/>
          <w:lang w:val="en-GB"/>
        </w:rPr>
        <w:t>Master of Business Administration</w:t>
      </w:r>
    </w:p>
    <w:p w14:paraId="3CE95081" w14:textId="77777777" w:rsidR="002244EB" w:rsidRPr="008A00D2" w:rsidRDefault="002244EB" w:rsidP="002244EB">
      <w:pPr>
        <w:jc w:val="center"/>
        <w:rPr>
          <w:b/>
          <w:bCs/>
          <w:sz w:val="32"/>
          <w:szCs w:val="32"/>
          <w:lang w:val="en-GB"/>
        </w:rPr>
      </w:pPr>
    </w:p>
    <w:p w14:paraId="5DC22B38" w14:textId="77777777" w:rsidR="002244EB" w:rsidRPr="008A00D2" w:rsidRDefault="00000000" w:rsidP="002244EB">
      <w:pPr>
        <w:jc w:val="center"/>
        <w:rPr>
          <w:b/>
          <w:bCs/>
          <w:sz w:val="32"/>
          <w:szCs w:val="32"/>
          <w:lang w:val="en-GB"/>
        </w:rPr>
      </w:pPr>
      <w:r w:rsidRPr="008A00D2">
        <w:rPr>
          <w:b/>
          <w:bCs/>
          <w:sz w:val="32"/>
          <w:szCs w:val="32"/>
          <w:lang w:val="en-GB"/>
        </w:rPr>
        <w:t>LCMB7002 Financial Management</w:t>
      </w:r>
    </w:p>
    <w:p w14:paraId="7D00F2AF" w14:textId="77777777" w:rsidR="00282B4C" w:rsidRPr="008A00D2" w:rsidRDefault="00282B4C" w:rsidP="002244EB">
      <w:pPr>
        <w:jc w:val="center"/>
        <w:rPr>
          <w:b/>
          <w:bCs/>
          <w:lang w:val="en-GB"/>
        </w:rPr>
      </w:pPr>
    </w:p>
    <w:p w14:paraId="587BD839" w14:textId="77777777" w:rsidR="00317C3C" w:rsidRPr="008A00D2" w:rsidRDefault="00317C3C" w:rsidP="002244EB">
      <w:pPr>
        <w:jc w:val="center"/>
        <w:rPr>
          <w:b/>
          <w:bCs/>
          <w:sz w:val="32"/>
          <w:szCs w:val="32"/>
          <w:lang w:val="en-GB"/>
        </w:rPr>
      </w:pPr>
    </w:p>
    <w:p w14:paraId="286B20A2" w14:textId="3340D017" w:rsidR="00282B4C" w:rsidRPr="008A00D2" w:rsidRDefault="00000000" w:rsidP="002244EB">
      <w:pPr>
        <w:jc w:val="center"/>
        <w:rPr>
          <w:b/>
          <w:bCs/>
          <w:sz w:val="28"/>
          <w:szCs w:val="28"/>
          <w:lang w:val="en-GB"/>
        </w:rPr>
      </w:pPr>
      <w:r w:rsidRPr="008A00D2">
        <w:rPr>
          <w:b/>
          <w:bCs/>
          <w:sz w:val="28"/>
          <w:szCs w:val="28"/>
          <w:lang w:val="en-GB"/>
        </w:rPr>
        <w:t>Assessment component: Financial performance and management</w:t>
      </w:r>
    </w:p>
    <w:p w14:paraId="30CFA079" w14:textId="77777777" w:rsidR="00282B4C" w:rsidRPr="008A00D2" w:rsidRDefault="00000000" w:rsidP="002244EB">
      <w:pPr>
        <w:jc w:val="center"/>
        <w:rPr>
          <w:b/>
          <w:bCs/>
          <w:sz w:val="28"/>
          <w:szCs w:val="28"/>
          <w:lang w:val="en-GB"/>
        </w:rPr>
      </w:pPr>
      <w:r w:rsidRPr="008A00D2">
        <w:rPr>
          <w:b/>
          <w:bCs/>
          <w:sz w:val="28"/>
          <w:szCs w:val="28"/>
          <w:lang w:val="en-GB"/>
        </w:rPr>
        <w:t>(Case study organisation: InterContinental Hotels Group (IHG))</w:t>
      </w:r>
    </w:p>
    <w:p w14:paraId="284C0F96" w14:textId="77777777" w:rsidR="00282B4C" w:rsidRPr="008A00D2" w:rsidRDefault="00282B4C" w:rsidP="002244EB">
      <w:pPr>
        <w:jc w:val="center"/>
        <w:rPr>
          <w:b/>
          <w:bCs/>
          <w:lang w:val="en-GB"/>
        </w:rPr>
      </w:pPr>
    </w:p>
    <w:p w14:paraId="08FEA7DD" w14:textId="640E26CB" w:rsidR="00282B4C" w:rsidRPr="008A00D2" w:rsidRDefault="00000000" w:rsidP="002244EB">
      <w:pPr>
        <w:jc w:val="center"/>
        <w:rPr>
          <w:b/>
          <w:bCs/>
          <w:lang w:val="en-GB"/>
        </w:rPr>
      </w:pPr>
      <w:r w:rsidRPr="008A00D2">
        <w:rPr>
          <w:b/>
          <w:bCs/>
          <w:lang w:val="en-GB"/>
        </w:rPr>
        <w:t>&lt;</w:t>
      </w:r>
      <w:r w:rsidR="00D23F49">
        <w:rPr>
          <w:b/>
          <w:bCs/>
          <w:lang w:val="en-GB"/>
        </w:rPr>
        <w:t>N</w:t>
      </w:r>
      <w:r w:rsidRPr="008A00D2">
        <w:rPr>
          <w:b/>
          <w:bCs/>
          <w:lang w:val="en-GB"/>
        </w:rPr>
        <w:t>ame</w:t>
      </w:r>
      <w:r w:rsidR="00D23F49">
        <w:rPr>
          <w:b/>
          <w:bCs/>
          <w:lang w:val="en-GB"/>
        </w:rPr>
        <w:t xml:space="preserve">: </w:t>
      </w:r>
      <w:r w:rsidR="00D23F49" w:rsidRPr="00D23F49">
        <w:rPr>
          <w:b/>
          <w:bCs/>
          <w:lang w:val="en-GB"/>
        </w:rPr>
        <w:t xml:space="preserve">Rekhaben </w:t>
      </w:r>
      <w:r w:rsidR="00D23F49">
        <w:rPr>
          <w:b/>
          <w:bCs/>
          <w:lang w:val="en-GB"/>
        </w:rPr>
        <w:t>O</w:t>
      </w:r>
      <w:r w:rsidR="00D23F49" w:rsidRPr="00D23F49">
        <w:rPr>
          <w:b/>
          <w:bCs/>
          <w:lang w:val="en-GB"/>
        </w:rPr>
        <w:t>dedara</w:t>
      </w:r>
      <w:r w:rsidRPr="008A00D2">
        <w:rPr>
          <w:b/>
          <w:bCs/>
          <w:lang w:val="en-GB"/>
        </w:rPr>
        <w:t>&gt;</w:t>
      </w:r>
    </w:p>
    <w:p w14:paraId="2C7A8FDE" w14:textId="215A40F4" w:rsidR="00282B4C" w:rsidRPr="008A00D2" w:rsidRDefault="00000000" w:rsidP="002244EB">
      <w:pPr>
        <w:jc w:val="center"/>
        <w:rPr>
          <w:b/>
          <w:bCs/>
          <w:lang w:val="en-GB"/>
        </w:rPr>
      </w:pPr>
      <w:r w:rsidRPr="008A00D2">
        <w:rPr>
          <w:b/>
          <w:bCs/>
          <w:lang w:val="en-GB"/>
        </w:rPr>
        <w:t>&lt;Student ID</w:t>
      </w:r>
      <w:r w:rsidR="00D23F49">
        <w:rPr>
          <w:b/>
          <w:bCs/>
          <w:lang w:val="en-GB"/>
        </w:rPr>
        <w:t xml:space="preserve">: </w:t>
      </w:r>
      <w:r w:rsidR="00D23F49" w:rsidRPr="00D23F49">
        <w:rPr>
          <w:b/>
          <w:bCs/>
          <w:lang w:val="en-GB"/>
        </w:rPr>
        <w:t>2534406</w:t>
      </w:r>
      <w:r w:rsidRPr="008A00D2">
        <w:rPr>
          <w:b/>
          <w:bCs/>
          <w:lang w:val="en-GB"/>
        </w:rPr>
        <w:t>&gt;</w:t>
      </w:r>
    </w:p>
    <w:p w14:paraId="74EE1588" w14:textId="77777777" w:rsidR="00282B4C" w:rsidRPr="008A00D2" w:rsidRDefault="00282B4C" w:rsidP="002244EB">
      <w:pPr>
        <w:jc w:val="center"/>
        <w:rPr>
          <w:b/>
          <w:bCs/>
          <w:lang w:val="en-GB"/>
        </w:rPr>
      </w:pPr>
    </w:p>
    <w:p w14:paraId="3CA5AB1B" w14:textId="4E4D212F" w:rsidR="00A22232" w:rsidRPr="008A00D2" w:rsidRDefault="00000000" w:rsidP="00317C3C">
      <w:pPr>
        <w:jc w:val="center"/>
        <w:rPr>
          <w:b/>
          <w:bCs/>
          <w:lang w:val="en-GB"/>
        </w:rPr>
      </w:pPr>
      <w:r w:rsidRPr="008A00D2">
        <w:rPr>
          <w:b/>
          <w:bCs/>
          <w:lang w:val="en-GB"/>
        </w:rPr>
        <w:t>Word Count: 5</w:t>
      </w:r>
      <w:r w:rsidR="00531EBE" w:rsidRPr="008A00D2">
        <w:rPr>
          <w:b/>
          <w:bCs/>
          <w:lang w:val="en-GB"/>
        </w:rPr>
        <w:t>123</w:t>
      </w:r>
    </w:p>
    <w:p w14:paraId="7B08FDD4" w14:textId="77777777" w:rsidR="00317C3C" w:rsidRPr="008A00D2" w:rsidRDefault="00317C3C">
      <w:pPr>
        <w:spacing w:line="278" w:lineRule="auto"/>
        <w:jc w:val="left"/>
        <w:rPr>
          <w:b/>
          <w:bCs/>
          <w:lang w:val="en-GB"/>
        </w:rPr>
      </w:pPr>
      <w:r w:rsidRPr="008A00D2">
        <w:rPr>
          <w:b/>
          <w:bCs/>
          <w:lang w:val="en-GB"/>
        </w:rPr>
        <w:br w:type="page"/>
      </w:r>
    </w:p>
    <w:p w14:paraId="73A4D0F7" w14:textId="1C8BAD68" w:rsidR="00A22232" w:rsidRPr="008A00D2" w:rsidRDefault="00A22232" w:rsidP="00A22232">
      <w:pPr>
        <w:rPr>
          <w:b/>
          <w:bCs/>
          <w:lang w:val="en-GB"/>
        </w:rPr>
      </w:pPr>
      <w:r w:rsidRPr="008A00D2">
        <w:rPr>
          <w:b/>
          <w:bCs/>
          <w:lang w:val="en-GB"/>
        </w:rPr>
        <w:lastRenderedPageBreak/>
        <w:t>AI Declaration</w:t>
      </w:r>
    </w:p>
    <w:p w14:paraId="1374619C" w14:textId="358820AF" w:rsidR="00A22232" w:rsidRPr="008A00D2" w:rsidRDefault="00A22232" w:rsidP="00A22232">
      <w:pPr>
        <w:rPr>
          <w:lang w:val="en-GB"/>
        </w:rPr>
      </w:pPr>
      <w:r w:rsidRPr="008A00D2">
        <w:rPr>
          <w:lang w:val="en-GB"/>
        </w:rPr>
        <w:t>ChatGPT was simply used to provide advice on financial ratio and investment appraisal formulae. All the information about finance collected, calculations, analysis and interpretations, strategic recommendations and final written materials were prepared individually. The AI-generated instructions were reviewed and checked carefully and then utilised.</w:t>
      </w:r>
    </w:p>
    <w:p w14:paraId="27C6E71E" w14:textId="77777777" w:rsidR="00282B4C" w:rsidRPr="008A00D2" w:rsidRDefault="00000000">
      <w:pPr>
        <w:spacing w:line="278" w:lineRule="auto"/>
        <w:jc w:val="left"/>
        <w:rPr>
          <w:b/>
          <w:bCs/>
          <w:lang w:val="en-GB"/>
        </w:rPr>
      </w:pPr>
      <w:r w:rsidRPr="008A00D2">
        <w:rPr>
          <w:b/>
          <w:bCs/>
          <w:lang w:val="en-GB"/>
        </w:rPr>
        <w:br w:type="page"/>
      </w:r>
    </w:p>
    <w:sdt>
      <w:sdtPr>
        <w:rPr>
          <w:rFonts w:ascii="Arial" w:eastAsiaTheme="minorHAnsi" w:hAnsi="Arial" w:cstheme="minorBidi"/>
          <w:color w:val="auto"/>
          <w:kern w:val="2"/>
          <w:sz w:val="24"/>
          <w:szCs w:val="24"/>
          <w:lang w:val="en-GB"/>
          <w14:ligatures w14:val="standardContextual"/>
        </w:rPr>
        <w:id w:val="-1561942386"/>
        <w:docPartObj>
          <w:docPartGallery w:val="Table of Contents"/>
          <w:docPartUnique/>
        </w:docPartObj>
      </w:sdtPr>
      <w:sdtEndPr>
        <w:rPr>
          <w:b/>
          <w:bCs/>
          <w:noProof/>
        </w:rPr>
      </w:sdtEndPr>
      <w:sdtContent>
        <w:p w14:paraId="5FF0F150" w14:textId="1A97ED32" w:rsidR="00E327DB" w:rsidRPr="008A00D2" w:rsidRDefault="00E327DB" w:rsidP="00317C3C">
          <w:pPr>
            <w:pStyle w:val="TOCHeading"/>
            <w:spacing w:line="360" w:lineRule="auto"/>
            <w:jc w:val="center"/>
            <w:rPr>
              <w:rFonts w:ascii="Arial" w:hAnsi="Arial" w:cs="Arial"/>
              <w:b/>
              <w:bCs/>
              <w:color w:val="auto"/>
              <w:sz w:val="28"/>
              <w:szCs w:val="28"/>
              <w:lang w:val="en-GB"/>
            </w:rPr>
          </w:pPr>
          <w:r w:rsidRPr="008A00D2">
            <w:rPr>
              <w:rFonts w:ascii="Arial" w:hAnsi="Arial" w:cs="Arial"/>
              <w:b/>
              <w:bCs/>
              <w:color w:val="auto"/>
              <w:sz w:val="28"/>
              <w:szCs w:val="28"/>
              <w:lang w:val="en-GB"/>
            </w:rPr>
            <w:t>Table of Contents</w:t>
          </w:r>
        </w:p>
        <w:p w14:paraId="05926149" w14:textId="366451D6" w:rsidR="00E53CCC" w:rsidRPr="008A00D2" w:rsidRDefault="00E327DB">
          <w:pPr>
            <w:pStyle w:val="TOC1"/>
            <w:rPr>
              <w:rFonts w:asciiTheme="minorHAnsi" w:eastAsiaTheme="minorEastAsia" w:hAnsiTheme="minorHAnsi"/>
              <w:b w:val="0"/>
              <w:bCs w:val="0"/>
              <w:lang w:val="en-GB"/>
            </w:rPr>
          </w:pPr>
          <w:r w:rsidRPr="008A00D2">
            <w:rPr>
              <w:noProof w:val="0"/>
              <w:lang w:val="en-GB"/>
            </w:rPr>
            <w:fldChar w:fldCharType="begin"/>
          </w:r>
          <w:r w:rsidRPr="008A00D2">
            <w:rPr>
              <w:lang w:val="en-GB"/>
            </w:rPr>
            <w:instrText xml:space="preserve"> TOC \o "1-3" \h \z \u </w:instrText>
          </w:r>
          <w:r w:rsidRPr="008A00D2">
            <w:rPr>
              <w:noProof w:val="0"/>
              <w:lang w:val="en-GB"/>
            </w:rPr>
            <w:fldChar w:fldCharType="separate"/>
          </w:r>
          <w:hyperlink w:anchor="_Toc235095531" w:history="1">
            <w:r w:rsidR="00E53CCC" w:rsidRPr="008A00D2">
              <w:rPr>
                <w:rStyle w:val="Hyperlink"/>
                <w:lang w:val="en-GB"/>
              </w:rPr>
              <w:t>1. Financial Health Check</w:t>
            </w:r>
            <w:r w:rsidR="00E53CCC" w:rsidRPr="008A00D2">
              <w:rPr>
                <w:webHidden/>
                <w:lang w:val="en-GB"/>
              </w:rPr>
              <w:tab/>
            </w:r>
            <w:r w:rsidR="00E53CCC" w:rsidRPr="008A00D2">
              <w:rPr>
                <w:webHidden/>
                <w:lang w:val="en-GB"/>
              </w:rPr>
              <w:fldChar w:fldCharType="begin"/>
            </w:r>
            <w:r w:rsidR="00E53CCC" w:rsidRPr="008A00D2">
              <w:rPr>
                <w:webHidden/>
                <w:lang w:val="en-GB"/>
              </w:rPr>
              <w:instrText xml:space="preserve"> PAGEREF _Toc235095531 \h </w:instrText>
            </w:r>
            <w:r w:rsidR="00E53CCC" w:rsidRPr="008A00D2">
              <w:rPr>
                <w:webHidden/>
                <w:lang w:val="en-GB"/>
              </w:rPr>
            </w:r>
            <w:r w:rsidR="00E53CCC" w:rsidRPr="008A00D2">
              <w:rPr>
                <w:webHidden/>
                <w:lang w:val="en-GB"/>
              </w:rPr>
              <w:fldChar w:fldCharType="separate"/>
            </w:r>
            <w:r w:rsidR="00E53CCC" w:rsidRPr="008A00D2">
              <w:rPr>
                <w:webHidden/>
                <w:lang w:val="en-GB"/>
              </w:rPr>
              <w:t>4</w:t>
            </w:r>
            <w:r w:rsidR="00E53CCC" w:rsidRPr="008A00D2">
              <w:rPr>
                <w:webHidden/>
                <w:lang w:val="en-GB"/>
              </w:rPr>
              <w:fldChar w:fldCharType="end"/>
            </w:r>
          </w:hyperlink>
        </w:p>
        <w:p w14:paraId="5BAAED35" w14:textId="586E633B" w:rsidR="00E53CCC" w:rsidRPr="008A00D2" w:rsidRDefault="00E53CCC">
          <w:pPr>
            <w:pStyle w:val="TOC2"/>
            <w:tabs>
              <w:tab w:val="right" w:leader="dot" w:pos="9350"/>
            </w:tabs>
            <w:rPr>
              <w:rFonts w:asciiTheme="minorHAnsi" w:eastAsiaTheme="minorEastAsia" w:hAnsiTheme="minorHAnsi"/>
              <w:noProof/>
              <w:lang w:val="en-GB"/>
            </w:rPr>
          </w:pPr>
          <w:hyperlink w:anchor="_Toc235095532" w:history="1">
            <w:r w:rsidRPr="008A00D2">
              <w:rPr>
                <w:rStyle w:val="Hyperlink"/>
                <w:noProof/>
                <w:lang w:val="en-GB"/>
              </w:rPr>
              <w:t>1.1 Profitability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_Toc235095532 \h </w:instrText>
            </w:r>
            <w:r w:rsidRPr="008A00D2">
              <w:rPr>
                <w:noProof/>
                <w:webHidden/>
                <w:lang w:val="en-GB"/>
              </w:rPr>
            </w:r>
            <w:r w:rsidRPr="008A00D2">
              <w:rPr>
                <w:noProof/>
                <w:webHidden/>
                <w:lang w:val="en-GB"/>
              </w:rPr>
              <w:fldChar w:fldCharType="separate"/>
            </w:r>
            <w:r w:rsidRPr="008A00D2">
              <w:rPr>
                <w:noProof/>
                <w:webHidden/>
                <w:lang w:val="en-GB"/>
              </w:rPr>
              <w:t>5</w:t>
            </w:r>
            <w:r w:rsidRPr="008A00D2">
              <w:rPr>
                <w:noProof/>
                <w:webHidden/>
                <w:lang w:val="en-GB"/>
              </w:rPr>
              <w:fldChar w:fldCharType="end"/>
            </w:r>
          </w:hyperlink>
        </w:p>
        <w:p w14:paraId="475AF33A" w14:textId="77E135FE" w:rsidR="00E53CCC" w:rsidRPr="008A00D2" w:rsidRDefault="00E53CCC">
          <w:pPr>
            <w:pStyle w:val="TOC2"/>
            <w:tabs>
              <w:tab w:val="right" w:leader="dot" w:pos="9350"/>
            </w:tabs>
            <w:rPr>
              <w:rFonts w:asciiTheme="minorHAnsi" w:eastAsiaTheme="minorEastAsia" w:hAnsiTheme="minorHAnsi"/>
              <w:noProof/>
              <w:lang w:val="en-GB"/>
            </w:rPr>
          </w:pPr>
          <w:hyperlink w:anchor="_Toc235095533" w:history="1">
            <w:r w:rsidRPr="008A00D2">
              <w:rPr>
                <w:rStyle w:val="Hyperlink"/>
                <w:noProof/>
                <w:lang w:val="en-GB"/>
              </w:rPr>
              <w:t>1.2 Liquidity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_Toc235095533 \h </w:instrText>
            </w:r>
            <w:r w:rsidRPr="008A00D2">
              <w:rPr>
                <w:noProof/>
                <w:webHidden/>
                <w:lang w:val="en-GB"/>
              </w:rPr>
            </w:r>
            <w:r w:rsidRPr="008A00D2">
              <w:rPr>
                <w:noProof/>
                <w:webHidden/>
                <w:lang w:val="en-GB"/>
              </w:rPr>
              <w:fldChar w:fldCharType="separate"/>
            </w:r>
            <w:r w:rsidRPr="008A00D2">
              <w:rPr>
                <w:noProof/>
                <w:webHidden/>
                <w:lang w:val="en-GB"/>
              </w:rPr>
              <w:t>7</w:t>
            </w:r>
            <w:r w:rsidRPr="008A00D2">
              <w:rPr>
                <w:noProof/>
                <w:webHidden/>
                <w:lang w:val="en-GB"/>
              </w:rPr>
              <w:fldChar w:fldCharType="end"/>
            </w:r>
          </w:hyperlink>
        </w:p>
        <w:p w14:paraId="0731E445" w14:textId="7D0E68F2" w:rsidR="00E53CCC" w:rsidRPr="008A00D2" w:rsidRDefault="00E53CCC">
          <w:pPr>
            <w:pStyle w:val="TOC2"/>
            <w:tabs>
              <w:tab w:val="right" w:leader="dot" w:pos="9350"/>
            </w:tabs>
            <w:rPr>
              <w:rFonts w:asciiTheme="minorHAnsi" w:eastAsiaTheme="minorEastAsia" w:hAnsiTheme="minorHAnsi"/>
              <w:noProof/>
              <w:lang w:val="en-GB"/>
            </w:rPr>
          </w:pPr>
          <w:hyperlink w:anchor="_Toc235095534" w:history="1">
            <w:r w:rsidRPr="008A00D2">
              <w:rPr>
                <w:rStyle w:val="Hyperlink"/>
                <w:noProof/>
                <w:lang w:val="en-GB"/>
              </w:rPr>
              <w:t>1.3 Efficiency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_Toc235095534 \h </w:instrText>
            </w:r>
            <w:r w:rsidRPr="008A00D2">
              <w:rPr>
                <w:noProof/>
                <w:webHidden/>
                <w:lang w:val="en-GB"/>
              </w:rPr>
            </w:r>
            <w:r w:rsidRPr="008A00D2">
              <w:rPr>
                <w:noProof/>
                <w:webHidden/>
                <w:lang w:val="en-GB"/>
              </w:rPr>
              <w:fldChar w:fldCharType="separate"/>
            </w:r>
            <w:r w:rsidRPr="008A00D2">
              <w:rPr>
                <w:noProof/>
                <w:webHidden/>
                <w:lang w:val="en-GB"/>
              </w:rPr>
              <w:t>8</w:t>
            </w:r>
            <w:r w:rsidRPr="008A00D2">
              <w:rPr>
                <w:noProof/>
                <w:webHidden/>
                <w:lang w:val="en-GB"/>
              </w:rPr>
              <w:fldChar w:fldCharType="end"/>
            </w:r>
          </w:hyperlink>
        </w:p>
        <w:p w14:paraId="200EE9A2" w14:textId="38F577C0" w:rsidR="00E53CCC" w:rsidRPr="008A00D2" w:rsidRDefault="00E53CCC">
          <w:pPr>
            <w:pStyle w:val="TOC2"/>
            <w:tabs>
              <w:tab w:val="right" w:leader="dot" w:pos="9350"/>
            </w:tabs>
            <w:rPr>
              <w:rFonts w:asciiTheme="minorHAnsi" w:eastAsiaTheme="minorEastAsia" w:hAnsiTheme="minorHAnsi"/>
              <w:noProof/>
              <w:lang w:val="en-GB"/>
            </w:rPr>
          </w:pPr>
          <w:hyperlink w:anchor="_Toc235095535" w:history="1">
            <w:r w:rsidRPr="008A00D2">
              <w:rPr>
                <w:rStyle w:val="Hyperlink"/>
                <w:noProof/>
                <w:lang w:val="en-GB"/>
              </w:rPr>
              <w:t>1.4 Gearing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_Toc235095535 \h </w:instrText>
            </w:r>
            <w:r w:rsidRPr="008A00D2">
              <w:rPr>
                <w:noProof/>
                <w:webHidden/>
                <w:lang w:val="en-GB"/>
              </w:rPr>
            </w:r>
            <w:r w:rsidRPr="008A00D2">
              <w:rPr>
                <w:noProof/>
                <w:webHidden/>
                <w:lang w:val="en-GB"/>
              </w:rPr>
              <w:fldChar w:fldCharType="separate"/>
            </w:r>
            <w:r w:rsidRPr="008A00D2">
              <w:rPr>
                <w:noProof/>
                <w:webHidden/>
                <w:lang w:val="en-GB"/>
              </w:rPr>
              <w:t>9</w:t>
            </w:r>
            <w:r w:rsidRPr="008A00D2">
              <w:rPr>
                <w:noProof/>
                <w:webHidden/>
                <w:lang w:val="en-GB"/>
              </w:rPr>
              <w:fldChar w:fldCharType="end"/>
            </w:r>
          </w:hyperlink>
        </w:p>
        <w:p w14:paraId="7725B906" w14:textId="5FAE58D4" w:rsidR="00E53CCC" w:rsidRPr="008A00D2" w:rsidRDefault="00E53CCC">
          <w:pPr>
            <w:pStyle w:val="TOC2"/>
            <w:tabs>
              <w:tab w:val="right" w:leader="dot" w:pos="9350"/>
            </w:tabs>
            <w:rPr>
              <w:rFonts w:asciiTheme="minorHAnsi" w:eastAsiaTheme="minorEastAsia" w:hAnsiTheme="minorHAnsi"/>
              <w:noProof/>
              <w:lang w:val="en-GB"/>
            </w:rPr>
          </w:pPr>
          <w:hyperlink w:anchor="_Toc235095536" w:history="1">
            <w:r w:rsidRPr="008A00D2">
              <w:rPr>
                <w:rStyle w:val="Hyperlink"/>
                <w:noProof/>
                <w:lang w:val="en-GB"/>
              </w:rPr>
              <w:t>1.5 Investment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_Toc235095536 \h </w:instrText>
            </w:r>
            <w:r w:rsidRPr="008A00D2">
              <w:rPr>
                <w:noProof/>
                <w:webHidden/>
                <w:lang w:val="en-GB"/>
              </w:rPr>
            </w:r>
            <w:r w:rsidRPr="008A00D2">
              <w:rPr>
                <w:noProof/>
                <w:webHidden/>
                <w:lang w:val="en-GB"/>
              </w:rPr>
              <w:fldChar w:fldCharType="separate"/>
            </w:r>
            <w:r w:rsidRPr="008A00D2">
              <w:rPr>
                <w:noProof/>
                <w:webHidden/>
                <w:lang w:val="en-GB"/>
              </w:rPr>
              <w:t>10</w:t>
            </w:r>
            <w:r w:rsidRPr="008A00D2">
              <w:rPr>
                <w:noProof/>
                <w:webHidden/>
                <w:lang w:val="en-GB"/>
              </w:rPr>
              <w:fldChar w:fldCharType="end"/>
            </w:r>
          </w:hyperlink>
        </w:p>
        <w:p w14:paraId="7D381ED3" w14:textId="1D9A48B8" w:rsidR="00E53CCC" w:rsidRPr="008A00D2" w:rsidRDefault="00E53CCC">
          <w:pPr>
            <w:pStyle w:val="TOC2"/>
            <w:tabs>
              <w:tab w:val="right" w:leader="dot" w:pos="9350"/>
            </w:tabs>
            <w:rPr>
              <w:rFonts w:asciiTheme="minorHAnsi" w:eastAsiaTheme="minorEastAsia" w:hAnsiTheme="minorHAnsi"/>
              <w:noProof/>
              <w:lang w:val="en-GB"/>
            </w:rPr>
          </w:pPr>
          <w:hyperlink w:anchor="_Toc235095537" w:history="1">
            <w:r w:rsidRPr="008A00D2">
              <w:rPr>
                <w:rStyle w:val="Hyperlink"/>
                <w:noProof/>
                <w:lang w:val="en-GB"/>
              </w:rPr>
              <w:t>1.6 Cash Flow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_Toc235095537 \h </w:instrText>
            </w:r>
            <w:r w:rsidRPr="008A00D2">
              <w:rPr>
                <w:noProof/>
                <w:webHidden/>
                <w:lang w:val="en-GB"/>
              </w:rPr>
            </w:r>
            <w:r w:rsidRPr="008A00D2">
              <w:rPr>
                <w:noProof/>
                <w:webHidden/>
                <w:lang w:val="en-GB"/>
              </w:rPr>
              <w:fldChar w:fldCharType="separate"/>
            </w:r>
            <w:r w:rsidRPr="008A00D2">
              <w:rPr>
                <w:noProof/>
                <w:webHidden/>
                <w:lang w:val="en-GB"/>
              </w:rPr>
              <w:t>11</w:t>
            </w:r>
            <w:r w:rsidRPr="008A00D2">
              <w:rPr>
                <w:noProof/>
                <w:webHidden/>
                <w:lang w:val="en-GB"/>
              </w:rPr>
              <w:fldChar w:fldCharType="end"/>
            </w:r>
          </w:hyperlink>
        </w:p>
        <w:p w14:paraId="6D038A66" w14:textId="50AB2E7C" w:rsidR="00E53CCC" w:rsidRPr="008A00D2" w:rsidRDefault="00E53CCC">
          <w:pPr>
            <w:pStyle w:val="TOC1"/>
            <w:rPr>
              <w:rFonts w:asciiTheme="minorHAnsi" w:eastAsiaTheme="minorEastAsia" w:hAnsiTheme="minorHAnsi"/>
              <w:b w:val="0"/>
              <w:bCs w:val="0"/>
              <w:lang w:val="en-GB"/>
            </w:rPr>
          </w:pPr>
          <w:hyperlink w:anchor="_Toc235095538" w:history="1">
            <w:r w:rsidRPr="008A00D2">
              <w:rPr>
                <w:rStyle w:val="Hyperlink"/>
                <w:lang w:val="en-GB"/>
              </w:rPr>
              <w:t>2. Analysis of Working Capital Management</w:t>
            </w:r>
            <w:r w:rsidRPr="008A00D2">
              <w:rPr>
                <w:webHidden/>
                <w:lang w:val="en-GB"/>
              </w:rPr>
              <w:tab/>
            </w:r>
            <w:r w:rsidRPr="008A00D2">
              <w:rPr>
                <w:webHidden/>
                <w:lang w:val="en-GB"/>
              </w:rPr>
              <w:fldChar w:fldCharType="begin"/>
            </w:r>
            <w:r w:rsidRPr="008A00D2">
              <w:rPr>
                <w:webHidden/>
                <w:lang w:val="en-GB"/>
              </w:rPr>
              <w:instrText xml:space="preserve"> PAGEREF _Toc235095538 \h </w:instrText>
            </w:r>
            <w:r w:rsidRPr="008A00D2">
              <w:rPr>
                <w:webHidden/>
                <w:lang w:val="en-GB"/>
              </w:rPr>
            </w:r>
            <w:r w:rsidRPr="008A00D2">
              <w:rPr>
                <w:webHidden/>
                <w:lang w:val="en-GB"/>
              </w:rPr>
              <w:fldChar w:fldCharType="separate"/>
            </w:r>
            <w:r w:rsidRPr="008A00D2">
              <w:rPr>
                <w:webHidden/>
                <w:lang w:val="en-GB"/>
              </w:rPr>
              <w:t>12</w:t>
            </w:r>
            <w:r w:rsidRPr="008A00D2">
              <w:rPr>
                <w:webHidden/>
                <w:lang w:val="en-GB"/>
              </w:rPr>
              <w:fldChar w:fldCharType="end"/>
            </w:r>
          </w:hyperlink>
        </w:p>
        <w:p w14:paraId="3BE14DBC" w14:textId="2C44A7DE" w:rsidR="00E53CCC" w:rsidRPr="008A00D2" w:rsidRDefault="00E53CCC">
          <w:pPr>
            <w:pStyle w:val="TOC2"/>
            <w:tabs>
              <w:tab w:val="right" w:leader="dot" w:pos="9350"/>
            </w:tabs>
            <w:rPr>
              <w:rFonts w:asciiTheme="minorHAnsi" w:eastAsiaTheme="minorEastAsia" w:hAnsiTheme="minorHAnsi"/>
              <w:noProof/>
              <w:lang w:val="en-GB"/>
            </w:rPr>
          </w:pPr>
          <w:hyperlink w:anchor="_Toc235095539" w:history="1">
            <w:r w:rsidRPr="008A00D2">
              <w:rPr>
                <w:rStyle w:val="Hyperlink"/>
                <w:noProof/>
                <w:lang w:val="en-GB"/>
              </w:rPr>
              <w:t>2.1 Cash Operating Cycle</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_Toc235095539 \h </w:instrText>
            </w:r>
            <w:r w:rsidRPr="008A00D2">
              <w:rPr>
                <w:noProof/>
                <w:webHidden/>
                <w:lang w:val="en-GB"/>
              </w:rPr>
            </w:r>
            <w:r w:rsidRPr="008A00D2">
              <w:rPr>
                <w:noProof/>
                <w:webHidden/>
                <w:lang w:val="en-GB"/>
              </w:rPr>
              <w:fldChar w:fldCharType="separate"/>
            </w:r>
            <w:r w:rsidRPr="008A00D2">
              <w:rPr>
                <w:noProof/>
                <w:webHidden/>
                <w:lang w:val="en-GB"/>
              </w:rPr>
              <w:t>12</w:t>
            </w:r>
            <w:r w:rsidRPr="008A00D2">
              <w:rPr>
                <w:noProof/>
                <w:webHidden/>
                <w:lang w:val="en-GB"/>
              </w:rPr>
              <w:fldChar w:fldCharType="end"/>
            </w:r>
          </w:hyperlink>
        </w:p>
        <w:p w14:paraId="4D7007AD" w14:textId="5AC651C4" w:rsidR="00E53CCC" w:rsidRPr="008A00D2" w:rsidRDefault="00E53CCC">
          <w:pPr>
            <w:pStyle w:val="TOC2"/>
            <w:tabs>
              <w:tab w:val="right" w:leader="dot" w:pos="9350"/>
            </w:tabs>
            <w:rPr>
              <w:rFonts w:asciiTheme="minorHAnsi" w:eastAsiaTheme="minorEastAsia" w:hAnsiTheme="minorHAnsi"/>
              <w:noProof/>
              <w:lang w:val="en-GB"/>
            </w:rPr>
          </w:pPr>
          <w:hyperlink w:anchor="_Toc235095540" w:history="1">
            <w:r w:rsidRPr="008A00D2">
              <w:rPr>
                <w:rStyle w:val="Hyperlink"/>
                <w:noProof/>
                <w:lang w:val="en-GB"/>
              </w:rPr>
              <w:t>2.2 Improving Liquidity through working capital reforms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_Toc235095540 \h </w:instrText>
            </w:r>
            <w:r w:rsidRPr="008A00D2">
              <w:rPr>
                <w:noProof/>
                <w:webHidden/>
                <w:lang w:val="en-GB"/>
              </w:rPr>
            </w:r>
            <w:r w:rsidRPr="008A00D2">
              <w:rPr>
                <w:noProof/>
                <w:webHidden/>
                <w:lang w:val="en-GB"/>
              </w:rPr>
              <w:fldChar w:fldCharType="separate"/>
            </w:r>
            <w:r w:rsidRPr="008A00D2">
              <w:rPr>
                <w:noProof/>
                <w:webHidden/>
                <w:lang w:val="en-GB"/>
              </w:rPr>
              <w:t>14</w:t>
            </w:r>
            <w:r w:rsidRPr="008A00D2">
              <w:rPr>
                <w:noProof/>
                <w:webHidden/>
                <w:lang w:val="en-GB"/>
              </w:rPr>
              <w:fldChar w:fldCharType="end"/>
            </w:r>
          </w:hyperlink>
        </w:p>
        <w:p w14:paraId="5DE364A4" w14:textId="5E21115D" w:rsidR="00E53CCC" w:rsidRPr="008A00D2" w:rsidRDefault="00E53CCC">
          <w:pPr>
            <w:pStyle w:val="TOC2"/>
            <w:tabs>
              <w:tab w:val="right" w:leader="dot" w:pos="9350"/>
            </w:tabs>
            <w:rPr>
              <w:rFonts w:asciiTheme="minorHAnsi" w:eastAsiaTheme="minorEastAsia" w:hAnsiTheme="minorHAnsi"/>
              <w:noProof/>
              <w:lang w:val="en-GB"/>
            </w:rPr>
          </w:pPr>
          <w:hyperlink w:anchor="_Toc235095541" w:history="1">
            <w:r w:rsidRPr="008A00D2">
              <w:rPr>
                <w:rStyle w:val="Hyperlink"/>
                <w:noProof/>
                <w:lang w:val="en-GB"/>
              </w:rPr>
              <w:t>2.3 Short-term vs Long-term financing options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_Toc235095541 \h </w:instrText>
            </w:r>
            <w:r w:rsidRPr="008A00D2">
              <w:rPr>
                <w:noProof/>
                <w:webHidden/>
                <w:lang w:val="en-GB"/>
              </w:rPr>
            </w:r>
            <w:r w:rsidRPr="008A00D2">
              <w:rPr>
                <w:noProof/>
                <w:webHidden/>
                <w:lang w:val="en-GB"/>
              </w:rPr>
              <w:fldChar w:fldCharType="separate"/>
            </w:r>
            <w:r w:rsidRPr="008A00D2">
              <w:rPr>
                <w:noProof/>
                <w:webHidden/>
                <w:lang w:val="en-GB"/>
              </w:rPr>
              <w:t>14</w:t>
            </w:r>
            <w:r w:rsidRPr="008A00D2">
              <w:rPr>
                <w:noProof/>
                <w:webHidden/>
                <w:lang w:val="en-GB"/>
              </w:rPr>
              <w:fldChar w:fldCharType="end"/>
            </w:r>
          </w:hyperlink>
        </w:p>
        <w:p w14:paraId="7798DDE3" w14:textId="6EEE41A6" w:rsidR="00E53CCC" w:rsidRPr="008A00D2" w:rsidRDefault="00E53CCC">
          <w:pPr>
            <w:pStyle w:val="TOC1"/>
            <w:rPr>
              <w:rFonts w:asciiTheme="minorHAnsi" w:eastAsiaTheme="minorEastAsia" w:hAnsiTheme="minorHAnsi"/>
              <w:b w:val="0"/>
              <w:bCs w:val="0"/>
              <w:lang w:val="en-GB"/>
            </w:rPr>
          </w:pPr>
          <w:hyperlink w:anchor="_Toc235095542" w:history="1">
            <w:r w:rsidRPr="008A00D2">
              <w:rPr>
                <w:rStyle w:val="Hyperlink"/>
                <w:lang w:val="en-GB"/>
              </w:rPr>
              <w:t>3. Strategy Financial Restructuring Plan</w:t>
            </w:r>
            <w:r w:rsidRPr="008A00D2">
              <w:rPr>
                <w:webHidden/>
                <w:lang w:val="en-GB"/>
              </w:rPr>
              <w:tab/>
            </w:r>
            <w:r w:rsidRPr="008A00D2">
              <w:rPr>
                <w:webHidden/>
                <w:lang w:val="en-GB"/>
              </w:rPr>
              <w:fldChar w:fldCharType="begin"/>
            </w:r>
            <w:r w:rsidRPr="008A00D2">
              <w:rPr>
                <w:webHidden/>
                <w:lang w:val="en-GB"/>
              </w:rPr>
              <w:instrText xml:space="preserve"> PAGEREF _Toc235095542 \h </w:instrText>
            </w:r>
            <w:r w:rsidRPr="008A00D2">
              <w:rPr>
                <w:webHidden/>
                <w:lang w:val="en-GB"/>
              </w:rPr>
            </w:r>
            <w:r w:rsidRPr="008A00D2">
              <w:rPr>
                <w:webHidden/>
                <w:lang w:val="en-GB"/>
              </w:rPr>
              <w:fldChar w:fldCharType="separate"/>
            </w:r>
            <w:r w:rsidRPr="008A00D2">
              <w:rPr>
                <w:webHidden/>
                <w:lang w:val="en-GB"/>
              </w:rPr>
              <w:t>15</w:t>
            </w:r>
            <w:r w:rsidRPr="008A00D2">
              <w:rPr>
                <w:webHidden/>
                <w:lang w:val="en-GB"/>
              </w:rPr>
              <w:fldChar w:fldCharType="end"/>
            </w:r>
          </w:hyperlink>
        </w:p>
        <w:p w14:paraId="3E854666" w14:textId="10B5C981" w:rsidR="00E53CCC" w:rsidRPr="008A00D2" w:rsidRDefault="00E53CCC">
          <w:pPr>
            <w:pStyle w:val="TOC2"/>
            <w:tabs>
              <w:tab w:val="right" w:leader="dot" w:pos="9350"/>
            </w:tabs>
            <w:rPr>
              <w:rFonts w:asciiTheme="minorHAnsi" w:eastAsiaTheme="minorEastAsia" w:hAnsiTheme="minorHAnsi"/>
              <w:noProof/>
              <w:lang w:val="en-GB"/>
            </w:rPr>
          </w:pPr>
          <w:hyperlink w:anchor="_Toc235095543" w:history="1">
            <w:r w:rsidRPr="008A00D2">
              <w:rPr>
                <w:rStyle w:val="Hyperlink"/>
                <w:noProof/>
                <w:lang w:val="en-GB"/>
              </w:rPr>
              <w:t>3.1 Financial Structuring options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_Toc235095543 \h </w:instrText>
            </w:r>
            <w:r w:rsidRPr="008A00D2">
              <w:rPr>
                <w:noProof/>
                <w:webHidden/>
                <w:lang w:val="en-GB"/>
              </w:rPr>
            </w:r>
            <w:r w:rsidRPr="008A00D2">
              <w:rPr>
                <w:noProof/>
                <w:webHidden/>
                <w:lang w:val="en-GB"/>
              </w:rPr>
              <w:fldChar w:fldCharType="separate"/>
            </w:r>
            <w:r w:rsidRPr="008A00D2">
              <w:rPr>
                <w:noProof/>
                <w:webHidden/>
                <w:lang w:val="en-GB"/>
              </w:rPr>
              <w:t>15</w:t>
            </w:r>
            <w:r w:rsidRPr="008A00D2">
              <w:rPr>
                <w:noProof/>
                <w:webHidden/>
                <w:lang w:val="en-GB"/>
              </w:rPr>
              <w:fldChar w:fldCharType="end"/>
            </w:r>
          </w:hyperlink>
        </w:p>
        <w:p w14:paraId="19EA977D" w14:textId="012F3E3D" w:rsidR="00E53CCC" w:rsidRPr="008A00D2" w:rsidRDefault="00E53CCC">
          <w:pPr>
            <w:pStyle w:val="TOC2"/>
            <w:tabs>
              <w:tab w:val="right" w:leader="dot" w:pos="9350"/>
            </w:tabs>
            <w:rPr>
              <w:rFonts w:asciiTheme="minorHAnsi" w:eastAsiaTheme="minorEastAsia" w:hAnsiTheme="minorHAnsi"/>
              <w:noProof/>
              <w:lang w:val="en-GB"/>
            </w:rPr>
          </w:pPr>
          <w:hyperlink w:anchor="_Toc235095544" w:history="1">
            <w:r w:rsidRPr="008A00D2">
              <w:rPr>
                <w:rStyle w:val="Hyperlink"/>
                <w:noProof/>
                <w:lang w:val="en-GB"/>
              </w:rPr>
              <w:t>3.2 Impact on shareholder value, debt structure and operational flexibility</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_Toc235095544 \h </w:instrText>
            </w:r>
            <w:r w:rsidRPr="008A00D2">
              <w:rPr>
                <w:noProof/>
                <w:webHidden/>
                <w:lang w:val="en-GB"/>
              </w:rPr>
            </w:r>
            <w:r w:rsidRPr="008A00D2">
              <w:rPr>
                <w:noProof/>
                <w:webHidden/>
                <w:lang w:val="en-GB"/>
              </w:rPr>
              <w:fldChar w:fldCharType="separate"/>
            </w:r>
            <w:r w:rsidRPr="008A00D2">
              <w:rPr>
                <w:noProof/>
                <w:webHidden/>
                <w:lang w:val="en-GB"/>
              </w:rPr>
              <w:t>16</w:t>
            </w:r>
            <w:r w:rsidRPr="008A00D2">
              <w:rPr>
                <w:noProof/>
                <w:webHidden/>
                <w:lang w:val="en-GB"/>
              </w:rPr>
              <w:fldChar w:fldCharType="end"/>
            </w:r>
          </w:hyperlink>
        </w:p>
        <w:p w14:paraId="57C2677B" w14:textId="425A56B0" w:rsidR="00E53CCC" w:rsidRPr="008A00D2" w:rsidRDefault="00E53CCC">
          <w:pPr>
            <w:pStyle w:val="TOC2"/>
            <w:tabs>
              <w:tab w:val="right" w:leader="dot" w:pos="9350"/>
            </w:tabs>
            <w:rPr>
              <w:rFonts w:asciiTheme="minorHAnsi" w:eastAsiaTheme="minorEastAsia" w:hAnsiTheme="minorHAnsi"/>
              <w:noProof/>
              <w:lang w:val="en-GB"/>
            </w:rPr>
          </w:pPr>
          <w:hyperlink w:anchor="_Toc235095545" w:history="1">
            <w:r w:rsidRPr="008A00D2">
              <w:rPr>
                <w:rStyle w:val="Hyperlink"/>
                <w:noProof/>
                <w:lang w:val="en-GB"/>
              </w:rPr>
              <w:t>3.3 International and Ethical considerations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_Toc235095545 \h </w:instrText>
            </w:r>
            <w:r w:rsidRPr="008A00D2">
              <w:rPr>
                <w:noProof/>
                <w:webHidden/>
                <w:lang w:val="en-GB"/>
              </w:rPr>
            </w:r>
            <w:r w:rsidRPr="008A00D2">
              <w:rPr>
                <w:noProof/>
                <w:webHidden/>
                <w:lang w:val="en-GB"/>
              </w:rPr>
              <w:fldChar w:fldCharType="separate"/>
            </w:r>
            <w:r w:rsidRPr="008A00D2">
              <w:rPr>
                <w:noProof/>
                <w:webHidden/>
                <w:lang w:val="en-GB"/>
              </w:rPr>
              <w:t>17</w:t>
            </w:r>
            <w:r w:rsidRPr="008A00D2">
              <w:rPr>
                <w:noProof/>
                <w:webHidden/>
                <w:lang w:val="en-GB"/>
              </w:rPr>
              <w:fldChar w:fldCharType="end"/>
            </w:r>
          </w:hyperlink>
        </w:p>
        <w:p w14:paraId="5808C80D" w14:textId="3F4D4EDD" w:rsidR="00E53CCC" w:rsidRPr="008A00D2" w:rsidRDefault="00E53CCC">
          <w:pPr>
            <w:pStyle w:val="TOC1"/>
            <w:rPr>
              <w:rFonts w:asciiTheme="minorHAnsi" w:eastAsiaTheme="minorEastAsia" w:hAnsiTheme="minorHAnsi"/>
              <w:b w:val="0"/>
              <w:bCs w:val="0"/>
              <w:lang w:val="en-GB"/>
            </w:rPr>
          </w:pPr>
          <w:hyperlink w:anchor="_Toc235095546" w:history="1">
            <w:r w:rsidRPr="008A00D2">
              <w:rPr>
                <w:rStyle w:val="Hyperlink"/>
                <w:lang w:val="en-GB"/>
              </w:rPr>
              <w:t>4. Capital Budgeting and Investment Appraisal</w:t>
            </w:r>
            <w:r w:rsidRPr="008A00D2">
              <w:rPr>
                <w:webHidden/>
                <w:lang w:val="en-GB"/>
              </w:rPr>
              <w:tab/>
            </w:r>
            <w:r w:rsidRPr="008A00D2">
              <w:rPr>
                <w:webHidden/>
                <w:lang w:val="en-GB"/>
              </w:rPr>
              <w:fldChar w:fldCharType="begin"/>
            </w:r>
            <w:r w:rsidRPr="008A00D2">
              <w:rPr>
                <w:webHidden/>
                <w:lang w:val="en-GB"/>
              </w:rPr>
              <w:instrText xml:space="preserve"> PAGEREF _Toc235095546 \h </w:instrText>
            </w:r>
            <w:r w:rsidRPr="008A00D2">
              <w:rPr>
                <w:webHidden/>
                <w:lang w:val="en-GB"/>
              </w:rPr>
            </w:r>
            <w:r w:rsidRPr="008A00D2">
              <w:rPr>
                <w:webHidden/>
                <w:lang w:val="en-GB"/>
              </w:rPr>
              <w:fldChar w:fldCharType="separate"/>
            </w:r>
            <w:r w:rsidRPr="008A00D2">
              <w:rPr>
                <w:webHidden/>
                <w:lang w:val="en-GB"/>
              </w:rPr>
              <w:t>18</w:t>
            </w:r>
            <w:r w:rsidRPr="008A00D2">
              <w:rPr>
                <w:webHidden/>
                <w:lang w:val="en-GB"/>
              </w:rPr>
              <w:fldChar w:fldCharType="end"/>
            </w:r>
          </w:hyperlink>
        </w:p>
        <w:p w14:paraId="63EF89EA" w14:textId="44F6FDA5" w:rsidR="00E53CCC" w:rsidRPr="008A00D2" w:rsidRDefault="00E53CCC">
          <w:pPr>
            <w:pStyle w:val="TOC2"/>
            <w:tabs>
              <w:tab w:val="right" w:leader="dot" w:pos="9350"/>
            </w:tabs>
            <w:rPr>
              <w:rFonts w:asciiTheme="minorHAnsi" w:eastAsiaTheme="minorEastAsia" w:hAnsiTheme="minorHAnsi"/>
              <w:noProof/>
              <w:lang w:val="en-GB"/>
            </w:rPr>
          </w:pPr>
          <w:hyperlink w:anchor="_Toc235095547" w:history="1">
            <w:r w:rsidRPr="008A00D2">
              <w:rPr>
                <w:rStyle w:val="Hyperlink"/>
                <w:noProof/>
                <w:lang w:val="en-GB"/>
              </w:rPr>
              <w:t>4.1 Payback period and ARR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_Toc235095547 \h </w:instrText>
            </w:r>
            <w:r w:rsidRPr="008A00D2">
              <w:rPr>
                <w:noProof/>
                <w:webHidden/>
                <w:lang w:val="en-GB"/>
              </w:rPr>
            </w:r>
            <w:r w:rsidRPr="008A00D2">
              <w:rPr>
                <w:noProof/>
                <w:webHidden/>
                <w:lang w:val="en-GB"/>
              </w:rPr>
              <w:fldChar w:fldCharType="separate"/>
            </w:r>
            <w:r w:rsidRPr="008A00D2">
              <w:rPr>
                <w:noProof/>
                <w:webHidden/>
                <w:lang w:val="en-GB"/>
              </w:rPr>
              <w:t>19</w:t>
            </w:r>
            <w:r w:rsidRPr="008A00D2">
              <w:rPr>
                <w:noProof/>
                <w:webHidden/>
                <w:lang w:val="en-GB"/>
              </w:rPr>
              <w:fldChar w:fldCharType="end"/>
            </w:r>
          </w:hyperlink>
        </w:p>
        <w:p w14:paraId="778AC520" w14:textId="4AF1B201" w:rsidR="00E53CCC" w:rsidRPr="008A00D2" w:rsidRDefault="00E53CCC">
          <w:pPr>
            <w:pStyle w:val="TOC2"/>
            <w:tabs>
              <w:tab w:val="right" w:leader="dot" w:pos="9350"/>
            </w:tabs>
            <w:rPr>
              <w:rFonts w:asciiTheme="minorHAnsi" w:eastAsiaTheme="minorEastAsia" w:hAnsiTheme="minorHAnsi"/>
              <w:noProof/>
              <w:lang w:val="en-GB"/>
            </w:rPr>
          </w:pPr>
          <w:hyperlink w:anchor="_Toc235095548" w:history="1">
            <w:r w:rsidRPr="008A00D2">
              <w:rPr>
                <w:rStyle w:val="Hyperlink"/>
                <w:noProof/>
                <w:lang w:val="en-GB"/>
              </w:rPr>
              <w:t>4.2 NPV and Index of Profitability</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_Toc235095548 \h </w:instrText>
            </w:r>
            <w:r w:rsidRPr="008A00D2">
              <w:rPr>
                <w:noProof/>
                <w:webHidden/>
                <w:lang w:val="en-GB"/>
              </w:rPr>
            </w:r>
            <w:r w:rsidRPr="008A00D2">
              <w:rPr>
                <w:noProof/>
                <w:webHidden/>
                <w:lang w:val="en-GB"/>
              </w:rPr>
              <w:fldChar w:fldCharType="separate"/>
            </w:r>
            <w:r w:rsidRPr="008A00D2">
              <w:rPr>
                <w:noProof/>
                <w:webHidden/>
                <w:lang w:val="en-GB"/>
              </w:rPr>
              <w:t>19</w:t>
            </w:r>
            <w:r w:rsidRPr="008A00D2">
              <w:rPr>
                <w:noProof/>
                <w:webHidden/>
                <w:lang w:val="en-GB"/>
              </w:rPr>
              <w:fldChar w:fldCharType="end"/>
            </w:r>
          </w:hyperlink>
        </w:p>
        <w:p w14:paraId="21B944C7" w14:textId="72D9E01D" w:rsidR="00E53CCC" w:rsidRPr="008A00D2" w:rsidRDefault="00E53CCC">
          <w:pPr>
            <w:pStyle w:val="TOC2"/>
            <w:tabs>
              <w:tab w:val="right" w:leader="dot" w:pos="9350"/>
            </w:tabs>
            <w:rPr>
              <w:rFonts w:asciiTheme="minorHAnsi" w:eastAsiaTheme="minorEastAsia" w:hAnsiTheme="minorHAnsi"/>
              <w:noProof/>
              <w:lang w:val="en-GB"/>
            </w:rPr>
          </w:pPr>
          <w:hyperlink w:anchor="_Toc235095549" w:history="1">
            <w:r w:rsidRPr="008A00D2">
              <w:rPr>
                <w:rStyle w:val="Hyperlink"/>
                <w:noProof/>
                <w:lang w:val="en-GB"/>
              </w:rPr>
              <w:t>4.3 IRR Analysis and Project Recommendation</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_Toc235095549 \h </w:instrText>
            </w:r>
            <w:r w:rsidRPr="008A00D2">
              <w:rPr>
                <w:noProof/>
                <w:webHidden/>
                <w:lang w:val="en-GB"/>
              </w:rPr>
            </w:r>
            <w:r w:rsidRPr="008A00D2">
              <w:rPr>
                <w:noProof/>
                <w:webHidden/>
                <w:lang w:val="en-GB"/>
              </w:rPr>
              <w:fldChar w:fldCharType="separate"/>
            </w:r>
            <w:r w:rsidRPr="008A00D2">
              <w:rPr>
                <w:noProof/>
                <w:webHidden/>
                <w:lang w:val="en-GB"/>
              </w:rPr>
              <w:t>20</w:t>
            </w:r>
            <w:r w:rsidRPr="008A00D2">
              <w:rPr>
                <w:noProof/>
                <w:webHidden/>
                <w:lang w:val="en-GB"/>
              </w:rPr>
              <w:fldChar w:fldCharType="end"/>
            </w:r>
          </w:hyperlink>
        </w:p>
        <w:p w14:paraId="5B904C59" w14:textId="26CF6C42" w:rsidR="00E53CCC" w:rsidRPr="008A00D2" w:rsidRDefault="00E53CCC">
          <w:pPr>
            <w:pStyle w:val="TOC2"/>
            <w:tabs>
              <w:tab w:val="right" w:leader="dot" w:pos="9350"/>
            </w:tabs>
            <w:rPr>
              <w:rFonts w:asciiTheme="minorHAnsi" w:eastAsiaTheme="minorEastAsia" w:hAnsiTheme="minorHAnsi"/>
              <w:noProof/>
              <w:lang w:val="en-GB"/>
            </w:rPr>
          </w:pPr>
          <w:hyperlink w:anchor="_Toc235095550" w:history="1">
            <w:r w:rsidRPr="008A00D2">
              <w:rPr>
                <w:rStyle w:val="Hyperlink"/>
                <w:noProof/>
                <w:lang w:val="en-GB"/>
              </w:rPr>
              <w:t>4.4 Non-Financial Risk and Strategy</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_Toc235095550 \h </w:instrText>
            </w:r>
            <w:r w:rsidRPr="008A00D2">
              <w:rPr>
                <w:noProof/>
                <w:webHidden/>
                <w:lang w:val="en-GB"/>
              </w:rPr>
            </w:r>
            <w:r w:rsidRPr="008A00D2">
              <w:rPr>
                <w:noProof/>
                <w:webHidden/>
                <w:lang w:val="en-GB"/>
              </w:rPr>
              <w:fldChar w:fldCharType="separate"/>
            </w:r>
            <w:r w:rsidRPr="008A00D2">
              <w:rPr>
                <w:noProof/>
                <w:webHidden/>
                <w:lang w:val="en-GB"/>
              </w:rPr>
              <w:t>21</w:t>
            </w:r>
            <w:r w:rsidRPr="008A00D2">
              <w:rPr>
                <w:noProof/>
                <w:webHidden/>
                <w:lang w:val="en-GB"/>
              </w:rPr>
              <w:fldChar w:fldCharType="end"/>
            </w:r>
          </w:hyperlink>
        </w:p>
        <w:p w14:paraId="49CDEC2A" w14:textId="0198FE2A" w:rsidR="00E53CCC" w:rsidRPr="008A00D2" w:rsidRDefault="00E53CCC">
          <w:pPr>
            <w:pStyle w:val="TOC2"/>
            <w:tabs>
              <w:tab w:val="right" w:leader="dot" w:pos="9350"/>
            </w:tabs>
            <w:rPr>
              <w:rFonts w:asciiTheme="minorHAnsi" w:eastAsiaTheme="minorEastAsia" w:hAnsiTheme="minorHAnsi"/>
              <w:noProof/>
              <w:lang w:val="en-GB"/>
            </w:rPr>
          </w:pPr>
          <w:hyperlink w:anchor="_Toc235095551" w:history="1">
            <w:r w:rsidRPr="008A00D2">
              <w:rPr>
                <w:rStyle w:val="Hyperlink"/>
                <w:noProof/>
                <w:lang w:val="en-GB"/>
              </w:rPr>
              <w:t>4.5 Capital Rationing under the £100 Million constraint</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_Toc235095551 \h </w:instrText>
            </w:r>
            <w:r w:rsidRPr="008A00D2">
              <w:rPr>
                <w:noProof/>
                <w:webHidden/>
                <w:lang w:val="en-GB"/>
              </w:rPr>
            </w:r>
            <w:r w:rsidRPr="008A00D2">
              <w:rPr>
                <w:noProof/>
                <w:webHidden/>
                <w:lang w:val="en-GB"/>
              </w:rPr>
              <w:fldChar w:fldCharType="separate"/>
            </w:r>
            <w:r w:rsidRPr="008A00D2">
              <w:rPr>
                <w:noProof/>
                <w:webHidden/>
                <w:lang w:val="en-GB"/>
              </w:rPr>
              <w:t>22</w:t>
            </w:r>
            <w:r w:rsidRPr="008A00D2">
              <w:rPr>
                <w:noProof/>
                <w:webHidden/>
                <w:lang w:val="en-GB"/>
              </w:rPr>
              <w:fldChar w:fldCharType="end"/>
            </w:r>
          </w:hyperlink>
        </w:p>
        <w:p w14:paraId="7BE9EE6E" w14:textId="7729CBD5" w:rsidR="00E53CCC" w:rsidRPr="008A00D2" w:rsidRDefault="00E53CCC">
          <w:pPr>
            <w:pStyle w:val="TOC1"/>
            <w:rPr>
              <w:rFonts w:asciiTheme="minorHAnsi" w:eastAsiaTheme="minorEastAsia" w:hAnsiTheme="minorHAnsi"/>
              <w:b w:val="0"/>
              <w:bCs w:val="0"/>
              <w:lang w:val="en-GB"/>
            </w:rPr>
          </w:pPr>
          <w:hyperlink w:anchor="_Toc235095552" w:history="1">
            <w:r w:rsidRPr="008A00D2">
              <w:rPr>
                <w:rStyle w:val="Hyperlink"/>
                <w:lang w:val="en-GB"/>
              </w:rPr>
              <w:t>5. Critical Reflection on AI Usage</w:t>
            </w:r>
            <w:r w:rsidRPr="008A00D2">
              <w:rPr>
                <w:webHidden/>
                <w:lang w:val="en-GB"/>
              </w:rPr>
              <w:tab/>
            </w:r>
            <w:r w:rsidRPr="008A00D2">
              <w:rPr>
                <w:webHidden/>
                <w:lang w:val="en-GB"/>
              </w:rPr>
              <w:fldChar w:fldCharType="begin"/>
            </w:r>
            <w:r w:rsidRPr="008A00D2">
              <w:rPr>
                <w:webHidden/>
                <w:lang w:val="en-GB"/>
              </w:rPr>
              <w:instrText xml:space="preserve"> PAGEREF _Toc235095552 \h </w:instrText>
            </w:r>
            <w:r w:rsidRPr="008A00D2">
              <w:rPr>
                <w:webHidden/>
                <w:lang w:val="en-GB"/>
              </w:rPr>
            </w:r>
            <w:r w:rsidRPr="008A00D2">
              <w:rPr>
                <w:webHidden/>
                <w:lang w:val="en-GB"/>
              </w:rPr>
              <w:fldChar w:fldCharType="separate"/>
            </w:r>
            <w:r w:rsidRPr="008A00D2">
              <w:rPr>
                <w:webHidden/>
                <w:lang w:val="en-GB"/>
              </w:rPr>
              <w:t>23</w:t>
            </w:r>
            <w:r w:rsidRPr="008A00D2">
              <w:rPr>
                <w:webHidden/>
                <w:lang w:val="en-GB"/>
              </w:rPr>
              <w:fldChar w:fldCharType="end"/>
            </w:r>
          </w:hyperlink>
        </w:p>
        <w:p w14:paraId="586CF6BC" w14:textId="03B59716" w:rsidR="00E53CCC" w:rsidRPr="008A00D2" w:rsidRDefault="00E53CCC">
          <w:pPr>
            <w:pStyle w:val="TOC2"/>
            <w:tabs>
              <w:tab w:val="right" w:leader="dot" w:pos="9350"/>
            </w:tabs>
            <w:rPr>
              <w:rFonts w:asciiTheme="minorHAnsi" w:eastAsiaTheme="minorEastAsia" w:hAnsiTheme="minorHAnsi"/>
              <w:noProof/>
              <w:lang w:val="en-GB"/>
            </w:rPr>
          </w:pPr>
          <w:hyperlink w:anchor="_Toc235095553" w:history="1">
            <w:r w:rsidRPr="008A00D2">
              <w:rPr>
                <w:rStyle w:val="Hyperlink"/>
                <w:noProof/>
                <w:lang w:val="en-GB"/>
              </w:rPr>
              <w:t>5.1 Tool Disclosure</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_Toc235095553 \h </w:instrText>
            </w:r>
            <w:r w:rsidRPr="008A00D2">
              <w:rPr>
                <w:noProof/>
                <w:webHidden/>
                <w:lang w:val="en-GB"/>
              </w:rPr>
            </w:r>
            <w:r w:rsidRPr="008A00D2">
              <w:rPr>
                <w:noProof/>
                <w:webHidden/>
                <w:lang w:val="en-GB"/>
              </w:rPr>
              <w:fldChar w:fldCharType="separate"/>
            </w:r>
            <w:r w:rsidRPr="008A00D2">
              <w:rPr>
                <w:noProof/>
                <w:webHidden/>
                <w:lang w:val="en-GB"/>
              </w:rPr>
              <w:t>23</w:t>
            </w:r>
            <w:r w:rsidRPr="008A00D2">
              <w:rPr>
                <w:noProof/>
                <w:webHidden/>
                <w:lang w:val="en-GB"/>
              </w:rPr>
              <w:fldChar w:fldCharType="end"/>
            </w:r>
          </w:hyperlink>
        </w:p>
        <w:p w14:paraId="67425F0A" w14:textId="72612491" w:rsidR="00E53CCC" w:rsidRPr="008A00D2" w:rsidRDefault="00E53CCC">
          <w:pPr>
            <w:pStyle w:val="TOC2"/>
            <w:tabs>
              <w:tab w:val="right" w:leader="dot" w:pos="9350"/>
            </w:tabs>
            <w:rPr>
              <w:rFonts w:asciiTheme="minorHAnsi" w:eastAsiaTheme="minorEastAsia" w:hAnsiTheme="minorHAnsi"/>
              <w:noProof/>
              <w:lang w:val="en-GB"/>
            </w:rPr>
          </w:pPr>
          <w:hyperlink w:anchor="_Toc235095554" w:history="1">
            <w:r w:rsidRPr="008A00D2">
              <w:rPr>
                <w:rStyle w:val="Hyperlink"/>
                <w:noProof/>
                <w:lang w:val="en-GB"/>
              </w:rPr>
              <w:t>5.2 Critical Evaluation of AI Output</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_Toc235095554 \h </w:instrText>
            </w:r>
            <w:r w:rsidRPr="008A00D2">
              <w:rPr>
                <w:noProof/>
                <w:webHidden/>
                <w:lang w:val="en-GB"/>
              </w:rPr>
            </w:r>
            <w:r w:rsidRPr="008A00D2">
              <w:rPr>
                <w:noProof/>
                <w:webHidden/>
                <w:lang w:val="en-GB"/>
              </w:rPr>
              <w:fldChar w:fldCharType="separate"/>
            </w:r>
            <w:r w:rsidRPr="008A00D2">
              <w:rPr>
                <w:noProof/>
                <w:webHidden/>
                <w:lang w:val="en-GB"/>
              </w:rPr>
              <w:t>23</w:t>
            </w:r>
            <w:r w:rsidRPr="008A00D2">
              <w:rPr>
                <w:noProof/>
                <w:webHidden/>
                <w:lang w:val="en-GB"/>
              </w:rPr>
              <w:fldChar w:fldCharType="end"/>
            </w:r>
          </w:hyperlink>
        </w:p>
        <w:p w14:paraId="7844ED2D" w14:textId="7CC367A1" w:rsidR="00E53CCC" w:rsidRPr="008A00D2" w:rsidRDefault="00E53CCC">
          <w:pPr>
            <w:pStyle w:val="TOC2"/>
            <w:tabs>
              <w:tab w:val="right" w:leader="dot" w:pos="9350"/>
            </w:tabs>
            <w:rPr>
              <w:rFonts w:asciiTheme="minorHAnsi" w:eastAsiaTheme="minorEastAsia" w:hAnsiTheme="minorHAnsi"/>
              <w:noProof/>
              <w:lang w:val="en-GB"/>
            </w:rPr>
          </w:pPr>
          <w:hyperlink w:anchor="_Toc235095555" w:history="1">
            <w:r w:rsidRPr="008A00D2">
              <w:rPr>
                <w:rStyle w:val="Hyperlink"/>
                <w:noProof/>
                <w:lang w:val="en-GB"/>
              </w:rPr>
              <w:t>5.3 Contribution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_Toc235095555 \h </w:instrText>
            </w:r>
            <w:r w:rsidRPr="008A00D2">
              <w:rPr>
                <w:noProof/>
                <w:webHidden/>
                <w:lang w:val="en-GB"/>
              </w:rPr>
            </w:r>
            <w:r w:rsidRPr="008A00D2">
              <w:rPr>
                <w:noProof/>
                <w:webHidden/>
                <w:lang w:val="en-GB"/>
              </w:rPr>
              <w:fldChar w:fldCharType="separate"/>
            </w:r>
            <w:r w:rsidRPr="008A00D2">
              <w:rPr>
                <w:noProof/>
                <w:webHidden/>
                <w:lang w:val="en-GB"/>
              </w:rPr>
              <w:t>24</w:t>
            </w:r>
            <w:r w:rsidRPr="008A00D2">
              <w:rPr>
                <w:noProof/>
                <w:webHidden/>
                <w:lang w:val="en-GB"/>
              </w:rPr>
              <w:fldChar w:fldCharType="end"/>
            </w:r>
          </w:hyperlink>
        </w:p>
        <w:p w14:paraId="074BE2CB" w14:textId="08629F17" w:rsidR="00E53CCC" w:rsidRPr="008A00D2" w:rsidRDefault="00E53CCC">
          <w:pPr>
            <w:pStyle w:val="TOC2"/>
            <w:tabs>
              <w:tab w:val="right" w:leader="dot" w:pos="9350"/>
            </w:tabs>
            <w:rPr>
              <w:rFonts w:asciiTheme="minorHAnsi" w:eastAsiaTheme="minorEastAsia" w:hAnsiTheme="minorHAnsi"/>
              <w:noProof/>
              <w:lang w:val="en-GB"/>
            </w:rPr>
          </w:pPr>
          <w:hyperlink w:anchor="_Toc235095556" w:history="1">
            <w:r w:rsidRPr="008A00D2">
              <w:rPr>
                <w:rStyle w:val="Hyperlink"/>
                <w:noProof/>
                <w:lang w:val="en-GB"/>
              </w:rPr>
              <w:t>5.4 Ethical &amp; Professional Reflection</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_Toc235095556 \h </w:instrText>
            </w:r>
            <w:r w:rsidRPr="008A00D2">
              <w:rPr>
                <w:noProof/>
                <w:webHidden/>
                <w:lang w:val="en-GB"/>
              </w:rPr>
            </w:r>
            <w:r w:rsidRPr="008A00D2">
              <w:rPr>
                <w:noProof/>
                <w:webHidden/>
                <w:lang w:val="en-GB"/>
              </w:rPr>
              <w:fldChar w:fldCharType="separate"/>
            </w:r>
            <w:r w:rsidRPr="008A00D2">
              <w:rPr>
                <w:noProof/>
                <w:webHidden/>
                <w:lang w:val="en-GB"/>
              </w:rPr>
              <w:t>24</w:t>
            </w:r>
            <w:r w:rsidRPr="008A00D2">
              <w:rPr>
                <w:noProof/>
                <w:webHidden/>
                <w:lang w:val="en-GB"/>
              </w:rPr>
              <w:fldChar w:fldCharType="end"/>
            </w:r>
          </w:hyperlink>
        </w:p>
        <w:p w14:paraId="05483A93" w14:textId="58BF230E" w:rsidR="00E53CCC" w:rsidRPr="008A00D2" w:rsidRDefault="00E53CCC">
          <w:pPr>
            <w:pStyle w:val="TOC1"/>
            <w:rPr>
              <w:rFonts w:asciiTheme="minorHAnsi" w:eastAsiaTheme="minorEastAsia" w:hAnsiTheme="minorHAnsi"/>
              <w:b w:val="0"/>
              <w:bCs w:val="0"/>
              <w:lang w:val="en-GB"/>
            </w:rPr>
          </w:pPr>
          <w:hyperlink w:anchor="_Toc235095557" w:history="1">
            <w:r w:rsidRPr="008A00D2">
              <w:rPr>
                <w:rStyle w:val="Hyperlink"/>
                <w:lang w:val="en-GB"/>
              </w:rPr>
              <w:t>Reference List</w:t>
            </w:r>
            <w:r w:rsidRPr="008A00D2">
              <w:rPr>
                <w:webHidden/>
                <w:lang w:val="en-GB"/>
              </w:rPr>
              <w:tab/>
            </w:r>
            <w:r w:rsidRPr="008A00D2">
              <w:rPr>
                <w:webHidden/>
                <w:lang w:val="en-GB"/>
              </w:rPr>
              <w:fldChar w:fldCharType="begin"/>
            </w:r>
            <w:r w:rsidRPr="008A00D2">
              <w:rPr>
                <w:webHidden/>
                <w:lang w:val="en-GB"/>
              </w:rPr>
              <w:instrText xml:space="preserve"> PAGEREF _Toc235095557 \h </w:instrText>
            </w:r>
            <w:r w:rsidRPr="008A00D2">
              <w:rPr>
                <w:webHidden/>
                <w:lang w:val="en-GB"/>
              </w:rPr>
            </w:r>
            <w:r w:rsidRPr="008A00D2">
              <w:rPr>
                <w:webHidden/>
                <w:lang w:val="en-GB"/>
              </w:rPr>
              <w:fldChar w:fldCharType="separate"/>
            </w:r>
            <w:r w:rsidRPr="008A00D2">
              <w:rPr>
                <w:webHidden/>
                <w:lang w:val="en-GB"/>
              </w:rPr>
              <w:t>25</w:t>
            </w:r>
            <w:r w:rsidRPr="008A00D2">
              <w:rPr>
                <w:webHidden/>
                <w:lang w:val="en-GB"/>
              </w:rPr>
              <w:fldChar w:fldCharType="end"/>
            </w:r>
          </w:hyperlink>
        </w:p>
        <w:p w14:paraId="3EFBCF0D" w14:textId="0EEF80B9" w:rsidR="00E53CCC" w:rsidRPr="008A00D2" w:rsidRDefault="00E53CCC">
          <w:pPr>
            <w:pStyle w:val="TOC1"/>
            <w:rPr>
              <w:rFonts w:asciiTheme="minorHAnsi" w:eastAsiaTheme="minorEastAsia" w:hAnsiTheme="minorHAnsi"/>
              <w:b w:val="0"/>
              <w:bCs w:val="0"/>
              <w:lang w:val="en-GB"/>
            </w:rPr>
          </w:pPr>
          <w:hyperlink w:anchor="_Toc235095558" w:history="1">
            <w:r w:rsidRPr="008A00D2">
              <w:rPr>
                <w:rStyle w:val="Hyperlink"/>
                <w:lang w:val="en-GB"/>
              </w:rPr>
              <w:t>Appendices</w:t>
            </w:r>
            <w:r w:rsidRPr="008A00D2">
              <w:rPr>
                <w:webHidden/>
                <w:lang w:val="en-GB"/>
              </w:rPr>
              <w:tab/>
            </w:r>
            <w:r w:rsidRPr="008A00D2">
              <w:rPr>
                <w:webHidden/>
                <w:lang w:val="en-GB"/>
              </w:rPr>
              <w:fldChar w:fldCharType="begin"/>
            </w:r>
            <w:r w:rsidRPr="008A00D2">
              <w:rPr>
                <w:webHidden/>
                <w:lang w:val="en-GB"/>
              </w:rPr>
              <w:instrText xml:space="preserve"> PAGEREF _Toc235095558 \h </w:instrText>
            </w:r>
            <w:r w:rsidRPr="008A00D2">
              <w:rPr>
                <w:webHidden/>
                <w:lang w:val="en-GB"/>
              </w:rPr>
            </w:r>
            <w:r w:rsidRPr="008A00D2">
              <w:rPr>
                <w:webHidden/>
                <w:lang w:val="en-GB"/>
              </w:rPr>
              <w:fldChar w:fldCharType="separate"/>
            </w:r>
            <w:r w:rsidRPr="008A00D2">
              <w:rPr>
                <w:webHidden/>
                <w:lang w:val="en-GB"/>
              </w:rPr>
              <w:t>30</w:t>
            </w:r>
            <w:r w:rsidRPr="008A00D2">
              <w:rPr>
                <w:webHidden/>
                <w:lang w:val="en-GB"/>
              </w:rPr>
              <w:fldChar w:fldCharType="end"/>
            </w:r>
          </w:hyperlink>
        </w:p>
        <w:p w14:paraId="5D4301A9" w14:textId="04024BE8" w:rsidR="00E53CCC" w:rsidRPr="008A00D2" w:rsidRDefault="00E53CCC">
          <w:pPr>
            <w:pStyle w:val="TOC2"/>
            <w:tabs>
              <w:tab w:val="right" w:leader="dot" w:pos="9350"/>
            </w:tabs>
            <w:rPr>
              <w:rFonts w:asciiTheme="minorHAnsi" w:eastAsiaTheme="minorEastAsia" w:hAnsiTheme="minorHAnsi"/>
              <w:noProof/>
              <w:lang w:val="en-GB"/>
            </w:rPr>
          </w:pPr>
          <w:hyperlink w:anchor="_Toc235095559" w:history="1">
            <w:r w:rsidRPr="008A00D2">
              <w:rPr>
                <w:rStyle w:val="Hyperlink"/>
                <w:noProof/>
                <w:lang w:val="en-GB"/>
              </w:rPr>
              <w:t>Appendix 1: Ratio Analysis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_Toc235095559 \h </w:instrText>
            </w:r>
            <w:r w:rsidRPr="008A00D2">
              <w:rPr>
                <w:noProof/>
                <w:webHidden/>
                <w:lang w:val="en-GB"/>
              </w:rPr>
            </w:r>
            <w:r w:rsidRPr="008A00D2">
              <w:rPr>
                <w:noProof/>
                <w:webHidden/>
                <w:lang w:val="en-GB"/>
              </w:rPr>
              <w:fldChar w:fldCharType="separate"/>
            </w:r>
            <w:r w:rsidRPr="008A00D2">
              <w:rPr>
                <w:noProof/>
                <w:webHidden/>
                <w:lang w:val="en-GB"/>
              </w:rPr>
              <w:t>30</w:t>
            </w:r>
            <w:r w:rsidRPr="008A00D2">
              <w:rPr>
                <w:noProof/>
                <w:webHidden/>
                <w:lang w:val="en-GB"/>
              </w:rPr>
              <w:fldChar w:fldCharType="end"/>
            </w:r>
          </w:hyperlink>
        </w:p>
        <w:p w14:paraId="6EA3855C" w14:textId="52694BB8" w:rsidR="00E53CCC" w:rsidRPr="008A00D2" w:rsidRDefault="00E53CCC">
          <w:pPr>
            <w:pStyle w:val="TOC2"/>
            <w:tabs>
              <w:tab w:val="right" w:leader="dot" w:pos="9350"/>
            </w:tabs>
            <w:rPr>
              <w:rFonts w:asciiTheme="minorHAnsi" w:eastAsiaTheme="minorEastAsia" w:hAnsiTheme="minorHAnsi"/>
              <w:noProof/>
              <w:lang w:val="en-GB"/>
            </w:rPr>
          </w:pPr>
          <w:hyperlink w:anchor="_Toc235095560" w:history="1">
            <w:r w:rsidRPr="008A00D2">
              <w:rPr>
                <w:rStyle w:val="Hyperlink"/>
                <w:noProof/>
                <w:lang w:val="en-GB"/>
              </w:rPr>
              <w:t>Appendix 2: Investment Appraisal Calculations</w:t>
            </w:r>
            <w:r w:rsidRPr="008A00D2">
              <w:rPr>
                <w:noProof/>
                <w:webHidden/>
                <w:lang w:val="en-GB"/>
              </w:rPr>
              <w:tab/>
            </w:r>
            <w:r w:rsidRPr="008A00D2">
              <w:rPr>
                <w:noProof/>
                <w:webHidden/>
                <w:lang w:val="en-GB"/>
              </w:rPr>
              <w:fldChar w:fldCharType="begin"/>
            </w:r>
            <w:r w:rsidRPr="008A00D2">
              <w:rPr>
                <w:noProof/>
                <w:webHidden/>
                <w:lang w:val="en-GB"/>
              </w:rPr>
              <w:instrText xml:space="preserve"> PAGEREF _Toc235095560 \h </w:instrText>
            </w:r>
            <w:r w:rsidRPr="008A00D2">
              <w:rPr>
                <w:noProof/>
                <w:webHidden/>
                <w:lang w:val="en-GB"/>
              </w:rPr>
            </w:r>
            <w:r w:rsidRPr="008A00D2">
              <w:rPr>
                <w:noProof/>
                <w:webHidden/>
                <w:lang w:val="en-GB"/>
              </w:rPr>
              <w:fldChar w:fldCharType="separate"/>
            </w:r>
            <w:r w:rsidRPr="008A00D2">
              <w:rPr>
                <w:noProof/>
                <w:webHidden/>
                <w:lang w:val="en-GB"/>
              </w:rPr>
              <w:t>36</w:t>
            </w:r>
            <w:r w:rsidRPr="008A00D2">
              <w:rPr>
                <w:noProof/>
                <w:webHidden/>
                <w:lang w:val="en-GB"/>
              </w:rPr>
              <w:fldChar w:fldCharType="end"/>
            </w:r>
          </w:hyperlink>
        </w:p>
        <w:p w14:paraId="6BCA2E8B" w14:textId="124019E1" w:rsidR="00282B4C" w:rsidRPr="008A00D2" w:rsidRDefault="00E327DB" w:rsidP="00282B4C">
          <w:pPr>
            <w:rPr>
              <w:lang w:val="en-GB"/>
            </w:rPr>
          </w:pPr>
          <w:r w:rsidRPr="008A00D2">
            <w:rPr>
              <w:b/>
              <w:bCs/>
              <w:noProof/>
              <w:lang w:val="en-GB"/>
            </w:rPr>
            <w:fldChar w:fldCharType="end"/>
          </w:r>
        </w:p>
      </w:sdtContent>
    </w:sdt>
    <w:p w14:paraId="46687891" w14:textId="77777777" w:rsidR="00420556" w:rsidRPr="008A00D2" w:rsidRDefault="00000000" w:rsidP="002244EB">
      <w:pPr>
        <w:spacing w:line="278" w:lineRule="auto"/>
        <w:jc w:val="center"/>
        <w:rPr>
          <w:lang w:val="en-GB"/>
        </w:rPr>
      </w:pPr>
      <w:r w:rsidRPr="008A00D2">
        <w:rPr>
          <w:lang w:val="en-GB"/>
        </w:rPr>
        <w:br w:type="page"/>
      </w:r>
    </w:p>
    <w:p w14:paraId="30E62612" w14:textId="77777777" w:rsidR="00420556" w:rsidRPr="008A00D2" w:rsidRDefault="00000000" w:rsidP="00420556">
      <w:pPr>
        <w:pStyle w:val="Heading1"/>
        <w:rPr>
          <w:lang w:val="en-GB"/>
        </w:rPr>
      </w:pPr>
      <w:bookmarkStart w:id="0" w:name="_Toc235095531"/>
      <w:r w:rsidRPr="008A00D2">
        <w:rPr>
          <w:lang w:val="en-GB"/>
        </w:rPr>
        <w:lastRenderedPageBreak/>
        <w:t>1. Financial Health Check</w:t>
      </w:r>
      <w:bookmarkEnd w:id="0"/>
    </w:p>
    <w:p w14:paraId="084F60C0" w14:textId="77777777" w:rsidR="00420556" w:rsidRPr="008A00D2" w:rsidRDefault="00000000" w:rsidP="00420556">
      <w:pPr>
        <w:jc w:val="center"/>
        <w:rPr>
          <w:lang w:val="en-GB"/>
        </w:rPr>
      </w:pPr>
      <w:r w:rsidRPr="008A00D2">
        <w:rPr>
          <w:noProof/>
          <w:lang w:val="en-GB"/>
        </w:rPr>
        <w:drawing>
          <wp:inline distT="0" distB="0" distL="0" distR="0" wp14:anchorId="03177049" wp14:editId="2E294D1E">
            <wp:extent cx="5526688" cy="4582886"/>
            <wp:effectExtent l="0" t="0" r="0" b="8255"/>
            <wp:docPr id="375410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410353"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532469" cy="4587680"/>
                    </a:xfrm>
                    <a:prstGeom prst="rect">
                      <a:avLst/>
                    </a:prstGeom>
                    <a:noFill/>
                    <a:ln>
                      <a:noFill/>
                    </a:ln>
                  </pic:spPr>
                </pic:pic>
              </a:graphicData>
            </a:graphic>
          </wp:inline>
        </w:drawing>
      </w:r>
    </w:p>
    <w:p w14:paraId="683F61EA" w14:textId="77777777" w:rsidR="00420556" w:rsidRPr="008A00D2" w:rsidRDefault="00000000" w:rsidP="00420556">
      <w:pPr>
        <w:jc w:val="center"/>
        <w:rPr>
          <w:b/>
          <w:bCs/>
          <w:lang w:val="en-GB"/>
        </w:rPr>
      </w:pPr>
      <w:r w:rsidRPr="008A00D2">
        <w:rPr>
          <w:b/>
          <w:bCs/>
          <w:lang w:val="en-GB"/>
        </w:rPr>
        <w:t>Table 1: IHG Financial Statement Data, 2021-2025</w:t>
      </w:r>
    </w:p>
    <w:p w14:paraId="629C48BD" w14:textId="77777777" w:rsidR="00420556" w:rsidRPr="008A00D2" w:rsidRDefault="00000000" w:rsidP="00420556">
      <w:pPr>
        <w:jc w:val="center"/>
        <w:rPr>
          <w:lang w:val="en-GB"/>
        </w:rPr>
      </w:pPr>
      <w:r w:rsidRPr="008A00D2">
        <w:rPr>
          <w:lang w:val="en-GB"/>
        </w:rPr>
        <w:t>Source: Collected from IHGA Annual Reports (2021-2025)</w:t>
      </w:r>
    </w:p>
    <w:p w14:paraId="209F68BB" w14:textId="77777777" w:rsidR="00420556" w:rsidRPr="008A00D2" w:rsidRDefault="00000000" w:rsidP="00420556">
      <w:pPr>
        <w:rPr>
          <w:lang w:val="en-GB"/>
        </w:rPr>
      </w:pPr>
      <w:r w:rsidRPr="008A00D2">
        <w:rPr>
          <w:lang w:val="en-GB"/>
        </w:rPr>
        <w:t>IHG's financial health was evaluated based on five years of financial performance, such as 2021-2025. Profitability, liquidity, efficiency, gearing, investment performance and cash flow generation analysis are done to determine the important trends, strengths and potential financial threats</w:t>
      </w:r>
      <w:r w:rsidR="00456D75" w:rsidRPr="008A00D2">
        <w:rPr>
          <w:lang w:val="en-GB"/>
        </w:rPr>
        <w:t xml:space="preserve"> (Hasidi </w:t>
      </w:r>
      <w:r w:rsidR="00456D75" w:rsidRPr="008A00D2">
        <w:rPr>
          <w:i/>
          <w:iCs/>
          <w:lang w:val="en-GB"/>
        </w:rPr>
        <w:t>et al.,</w:t>
      </w:r>
      <w:r w:rsidR="00456D75" w:rsidRPr="008A00D2">
        <w:rPr>
          <w:lang w:val="en-GB"/>
        </w:rPr>
        <w:t xml:space="preserve"> 2024)</w:t>
      </w:r>
      <w:r w:rsidRPr="008A00D2">
        <w:rPr>
          <w:lang w:val="en-GB"/>
        </w:rPr>
        <w:t>. The Excel sheets behind the financial statements analysed are Table 1 and Table 2, that summarises the calculated financial ratios. The analysis shows that IHG can be characterised by the asset-light business model, under which a significant portion of the hotels are controlled and franchised, rather than owned directly.</w:t>
      </w:r>
    </w:p>
    <w:p w14:paraId="1E81A142" w14:textId="77777777" w:rsidR="00420556" w:rsidRPr="008A00D2" w:rsidRDefault="00000000" w:rsidP="00420556">
      <w:pPr>
        <w:jc w:val="center"/>
        <w:rPr>
          <w:lang w:val="en-GB"/>
        </w:rPr>
      </w:pPr>
      <w:r w:rsidRPr="008A00D2">
        <w:rPr>
          <w:noProof/>
          <w:lang w:val="en-GB"/>
        </w:rPr>
        <w:lastRenderedPageBreak/>
        <w:drawing>
          <wp:inline distT="0" distB="0" distL="0" distR="0" wp14:anchorId="3FB36A93" wp14:editId="610C66FC">
            <wp:extent cx="5943600" cy="1870710"/>
            <wp:effectExtent l="0" t="0" r="0" b="0"/>
            <wp:docPr id="14158190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819050"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3600" cy="1870710"/>
                    </a:xfrm>
                    <a:prstGeom prst="rect">
                      <a:avLst/>
                    </a:prstGeom>
                    <a:noFill/>
                    <a:ln>
                      <a:noFill/>
                    </a:ln>
                  </pic:spPr>
                </pic:pic>
              </a:graphicData>
            </a:graphic>
          </wp:inline>
        </w:drawing>
      </w:r>
    </w:p>
    <w:p w14:paraId="6E1413DA" w14:textId="77777777" w:rsidR="00420556" w:rsidRPr="008A00D2" w:rsidRDefault="00000000" w:rsidP="00420556">
      <w:pPr>
        <w:jc w:val="center"/>
        <w:rPr>
          <w:b/>
          <w:bCs/>
          <w:lang w:val="en-GB"/>
        </w:rPr>
      </w:pPr>
      <w:r w:rsidRPr="008A00D2">
        <w:rPr>
          <w:b/>
          <w:bCs/>
          <w:lang w:val="en-GB"/>
        </w:rPr>
        <w:t>Table 2. IHG Financials Ratio Analysis, 2021-2025</w:t>
      </w:r>
    </w:p>
    <w:p w14:paraId="134A78DA" w14:textId="77777777" w:rsidR="00420556" w:rsidRPr="008A00D2" w:rsidRDefault="00000000" w:rsidP="00420556">
      <w:pPr>
        <w:jc w:val="center"/>
        <w:rPr>
          <w:lang w:val="en-GB"/>
        </w:rPr>
      </w:pPr>
      <w:r w:rsidRPr="008A00D2">
        <w:rPr>
          <w:lang w:val="en-GB"/>
        </w:rPr>
        <w:t>Source: Self-made calculations based on IHGA Annual Reports (2021-2025)</w:t>
      </w:r>
    </w:p>
    <w:p w14:paraId="2B0AF0FA" w14:textId="77777777" w:rsidR="00420556" w:rsidRPr="008A00D2" w:rsidRDefault="00000000" w:rsidP="00420556">
      <w:pPr>
        <w:pStyle w:val="Heading2"/>
        <w:rPr>
          <w:lang w:val="en-GB"/>
        </w:rPr>
      </w:pPr>
      <w:bookmarkStart w:id="1" w:name="_Toc235095532"/>
      <w:r w:rsidRPr="008A00D2">
        <w:rPr>
          <w:lang w:val="en-GB"/>
        </w:rPr>
        <w:t>1.1 Profitability Analysis</w:t>
      </w:r>
      <w:bookmarkEnd w:id="1"/>
    </w:p>
    <w:p w14:paraId="5DCB7FFC" w14:textId="77777777" w:rsidR="00420556" w:rsidRPr="008A00D2" w:rsidRDefault="00000000" w:rsidP="00420556">
      <w:pPr>
        <w:rPr>
          <w:lang w:val="en-GB"/>
        </w:rPr>
      </w:pPr>
      <w:r w:rsidRPr="008A00D2">
        <w:rPr>
          <w:lang w:val="en-GB"/>
        </w:rPr>
        <w:t>Table 2 and Figure 1 illustrate that the profitability of IHG has improved considerably from 2021 to 2025. The operating profit margin increased from 9.52% in 2021 to 12.76% in 2022 before rising sharply to 23.05% in 2023, 26.76% in 2024 and 41.17% in 2025. Likewise, the net profit margin rose to 26.05% as compared to 5.13% over the past five years. These trends have led to a tremendous improvement in the ability of the company to convert revenue into operating and net profit</w:t>
      </w:r>
      <w:r w:rsidR="00456D75" w:rsidRPr="008A00D2">
        <w:rPr>
          <w:lang w:val="en-GB"/>
        </w:rPr>
        <w:t xml:space="preserve"> (Mordi </w:t>
      </w:r>
      <w:r w:rsidR="00456D75" w:rsidRPr="008A00D2">
        <w:rPr>
          <w:i/>
          <w:iCs/>
          <w:lang w:val="en-GB"/>
        </w:rPr>
        <w:t>et al.,</w:t>
      </w:r>
      <w:r w:rsidR="00456D75" w:rsidRPr="008A00D2">
        <w:rPr>
          <w:lang w:val="en-GB"/>
        </w:rPr>
        <w:t xml:space="preserve"> 2025)</w:t>
      </w:r>
      <w:r w:rsidRPr="008A00D2">
        <w:rPr>
          <w:lang w:val="en-GB"/>
        </w:rPr>
        <w:t>.</w:t>
      </w:r>
    </w:p>
    <w:p w14:paraId="62F9C63A" w14:textId="77777777" w:rsidR="00420556" w:rsidRPr="008A00D2" w:rsidRDefault="00000000" w:rsidP="00420556">
      <w:pPr>
        <w:jc w:val="center"/>
        <w:rPr>
          <w:lang w:val="en-GB"/>
        </w:rPr>
      </w:pPr>
      <w:r w:rsidRPr="008A00D2">
        <w:rPr>
          <w:noProof/>
          <w:lang w:val="en-GB"/>
        </w:rPr>
        <w:drawing>
          <wp:inline distT="0" distB="0" distL="0" distR="0" wp14:anchorId="33D7CCBB" wp14:editId="78D5ED15">
            <wp:extent cx="4572000" cy="2743200"/>
            <wp:effectExtent l="0" t="0" r="0" b="0"/>
            <wp:docPr id="741827094" name="Chart 1">
              <a:extLst xmlns:a="http://schemas.openxmlformats.org/drawingml/2006/main">
                <a:ext uri="{FF2B5EF4-FFF2-40B4-BE49-F238E27FC236}">
                  <a16:creationId xmlns:a16="http://schemas.microsoft.com/office/drawing/2014/main" id="{E45E8EA9-2A51-9D20-2F08-BD4702116A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3369D8D" w14:textId="77777777" w:rsidR="00420556" w:rsidRPr="008A00D2" w:rsidRDefault="00000000" w:rsidP="00420556">
      <w:pPr>
        <w:jc w:val="center"/>
        <w:rPr>
          <w:b/>
          <w:bCs/>
          <w:lang w:val="en-GB"/>
        </w:rPr>
      </w:pPr>
      <w:r w:rsidRPr="008A00D2">
        <w:rPr>
          <w:b/>
          <w:bCs/>
          <w:lang w:val="en-GB"/>
        </w:rPr>
        <w:lastRenderedPageBreak/>
        <w:t>Figure 1: IHG Profitability Ratios, 2021–2025</w:t>
      </w:r>
    </w:p>
    <w:p w14:paraId="0146F515" w14:textId="79CF835E" w:rsidR="00420556" w:rsidRPr="008A00D2" w:rsidRDefault="00317C3C" w:rsidP="00420556">
      <w:pPr>
        <w:jc w:val="center"/>
        <w:rPr>
          <w:lang w:val="en-GB"/>
        </w:rPr>
      </w:pPr>
      <w:r w:rsidRPr="008A00D2">
        <w:rPr>
          <w:lang w:val="en-GB"/>
        </w:rPr>
        <w:t>(Source: Self-made calculations based on IHG Annual Reports, 2021-2025)</w:t>
      </w:r>
    </w:p>
    <w:p w14:paraId="1A34C55A" w14:textId="77777777" w:rsidR="00420556" w:rsidRPr="008A00D2" w:rsidRDefault="00000000" w:rsidP="00420556">
      <w:pPr>
        <w:rPr>
          <w:lang w:val="en-GB"/>
        </w:rPr>
      </w:pPr>
      <w:r w:rsidRPr="008A00D2">
        <w:rPr>
          <w:lang w:val="en-GB"/>
        </w:rPr>
        <w:t>The improvement is particularly significant because Table 1 shows that the reported revenue has decreased from 2021 to 2025, but operating profit has increased from 494 million to 1,198 million. The net income also improved to 758 million, as compared to 266 million. This variance indicates that the profitability of the reported revenue base of IHG has been improved significantly and could indicate modifications in revenue reporting, business mix, operating leverage and the advantages of its asset-light franchise and management system</w:t>
      </w:r>
      <w:r w:rsidR="00456D75" w:rsidRPr="008A00D2">
        <w:rPr>
          <w:lang w:val="en-GB"/>
        </w:rPr>
        <w:t xml:space="preserve"> (Andini, 2026)</w:t>
      </w:r>
      <w:r w:rsidRPr="008A00D2">
        <w:rPr>
          <w:lang w:val="en-GB"/>
        </w:rPr>
        <w:t>. The seeming rise in margins, however, should be taken with caution since the reporting revenue composition can change significantly to impact cross-year comparisons.</w:t>
      </w:r>
    </w:p>
    <w:p w14:paraId="7583D34D" w14:textId="77777777" w:rsidR="00420556" w:rsidRPr="008A00D2" w:rsidRDefault="00000000" w:rsidP="00420556">
      <w:pPr>
        <w:rPr>
          <w:lang w:val="en-GB"/>
        </w:rPr>
      </w:pPr>
      <w:r w:rsidRPr="008A00D2">
        <w:rPr>
          <w:lang w:val="en-GB"/>
        </w:rPr>
        <w:t>Return on assets increased from 5.64% in 2021 to 15.58% in 2023 before moderating to 13.23% in 2024 and recovering to 14.18% in 2025. This implies that IHG was much more efficient in the profitability of its properties. Return on equity similarly increased from 8.00% in 2021 to a peak of 20.88% in 2023 before declining to 17.03% in 2024 and 16.45% in 2025. Although the profitability was greatly increased compared to 2021, the fall of the ROE after 2023 indicates that the increase in equity was higher than the increase in net profit, reducing the incremental value added to the stockholders</w:t>
      </w:r>
      <w:r w:rsidR="00456D75" w:rsidRPr="008A00D2">
        <w:rPr>
          <w:lang w:val="en-GB"/>
        </w:rPr>
        <w:t xml:space="preserve"> (Al-Shattarat </w:t>
      </w:r>
      <w:r w:rsidR="00456D75" w:rsidRPr="008A00D2">
        <w:rPr>
          <w:i/>
          <w:iCs/>
          <w:lang w:val="en-GB"/>
        </w:rPr>
        <w:t>et al.,</w:t>
      </w:r>
      <w:r w:rsidR="00456D75" w:rsidRPr="008A00D2">
        <w:rPr>
          <w:lang w:val="en-GB"/>
        </w:rPr>
        <w:t xml:space="preserve"> 2023)</w:t>
      </w:r>
      <w:r w:rsidRPr="008A00D2">
        <w:rPr>
          <w:lang w:val="en-GB"/>
        </w:rPr>
        <w:t>.</w:t>
      </w:r>
    </w:p>
    <w:p w14:paraId="5D4E32DC" w14:textId="77777777" w:rsidR="00420556" w:rsidRPr="008A00D2" w:rsidRDefault="00000000" w:rsidP="00420556">
      <w:pPr>
        <w:pStyle w:val="Heading2"/>
        <w:rPr>
          <w:lang w:val="en-GB"/>
        </w:rPr>
      </w:pPr>
      <w:bookmarkStart w:id="2" w:name="_Toc235095533"/>
      <w:r w:rsidRPr="008A00D2">
        <w:rPr>
          <w:lang w:val="en-GB"/>
        </w:rPr>
        <w:t>1.2 Liquidity Analysis</w:t>
      </w:r>
      <w:bookmarkEnd w:id="2"/>
    </w:p>
    <w:p w14:paraId="1C020A26" w14:textId="505FFA7C" w:rsidR="00420556" w:rsidRPr="008A00D2" w:rsidRDefault="00000000" w:rsidP="00420556">
      <w:pPr>
        <w:rPr>
          <w:lang w:val="en-GB"/>
        </w:rPr>
      </w:pPr>
      <w:r w:rsidRPr="008A00D2">
        <w:rPr>
          <w:lang w:val="en-GB"/>
        </w:rPr>
        <w:t>Table 2 and Figure 2 show that the liquidity position of IHGA declined during the five years. The current ratio declined from 1.27 in 2021 to 1.09 in 2022 and subsequently fell below 1.0, reaching 0.97 in both 2023 and 2024 and 0.98 in 2025. The same trend was almost similar in the quick ratio, which declined by 0.97 to 1.27. The insignificant change in the two ratios indicates that IHG had very low levels of inventory, with a range of only between $4 million and 5 million</w:t>
      </w:r>
      <w:r w:rsidR="00CA5D80" w:rsidRPr="008A00D2">
        <w:rPr>
          <w:lang w:val="en-GB"/>
        </w:rPr>
        <w:t xml:space="preserve"> (Nasution and Yusleny, 2023)</w:t>
      </w:r>
      <w:r w:rsidRPr="008A00D2">
        <w:rPr>
          <w:lang w:val="en-GB"/>
        </w:rPr>
        <w:t>.</w:t>
      </w:r>
    </w:p>
    <w:p w14:paraId="154C20AF" w14:textId="77777777" w:rsidR="00420556" w:rsidRPr="008A00D2" w:rsidRDefault="00000000" w:rsidP="00420556">
      <w:pPr>
        <w:jc w:val="center"/>
        <w:rPr>
          <w:lang w:val="en-GB"/>
        </w:rPr>
      </w:pPr>
      <w:r w:rsidRPr="008A00D2">
        <w:rPr>
          <w:noProof/>
          <w:lang w:val="en-GB"/>
        </w:rPr>
        <w:lastRenderedPageBreak/>
        <w:drawing>
          <wp:inline distT="0" distB="0" distL="0" distR="0" wp14:anchorId="41F545F3" wp14:editId="798956E9">
            <wp:extent cx="4572000" cy="2743200"/>
            <wp:effectExtent l="0" t="0" r="0" b="0"/>
            <wp:docPr id="1915163407" name="Chart 1">
              <a:extLst xmlns:a="http://schemas.openxmlformats.org/drawingml/2006/main">
                <a:ext uri="{FF2B5EF4-FFF2-40B4-BE49-F238E27FC236}">
                  <a16:creationId xmlns:a16="http://schemas.microsoft.com/office/drawing/2014/main" id="{57B6B4FF-73CC-43A0-B421-D7AD5D9F19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8E9AFD" w14:textId="77777777" w:rsidR="00420556" w:rsidRPr="008A00D2" w:rsidRDefault="00000000" w:rsidP="00420556">
      <w:pPr>
        <w:jc w:val="center"/>
        <w:rPr>
          <w:b/>
          <w:bCs/>
          <w:lang w:val="en-GB"/>
        </w:rPr>
      </w:pPr>
      <w:r w:rsidRPr="008A00D2">
        <w:rPr>
          <w:b/>
          <w:bCs/>
          <w:lang w:val="en-GB"/>
        </w:rPr>
        <w:t>Figure 2: IHG Liquidity Ratios, 2021–2025</w:t>
      </w:r>
    </w:p>
    <w:p w14:paraId="0DDCA558" w14:textId="259FE10C" w:rsidR="00420556" w:rsidRPr="008A00D2" w:rsidRDefault="00317C3C" w:rsidP="00420556">
      <w:pPr>
        <w:jc w:val="center"/>
        <w:rPr>
          <w:lang w:val="en-GB"/>
        </w:rPr>
      </w:pPr>
      <w:r w:rsidRPr="008A00D2">
        <w:rPr>
          <w:lang w:val="en-GB"/>
        </w:rPr>
        <w:t>(Source: Self-made calculations based on IHG Annual Reports, 2021-2025)</w:t>
      </w:r>
    </w:p>
    <w:p w14:paraId="64BFD4BE" w14:textId="77777777" w:rsidR="00420556" w:rsidRPr="008A00D2" w:rsidRDefault="00000000" w:rsidP="00420556">
      <w:pPr>
        <w:rPr>
          <w:lang w:val="en-GB"/>
        </w:rPr>
      </w:pPr>
      <w:r w:rsidRPr="008A00D2">
        <w:rPr>
          <w:lang w:val="en-GB"/>
        </w:rPr>
        <w:t>The possible short-term liquidity risk may be reflected by a value of less than 1.0, indicating that current assets are below current liabilities. Currently in 2025, e.g. the current assets were 2,049 million, and the current liabilities were 2,100 million. However, liquidity cannot be measured alone</w:t>
      </w:r>
      <w:r w:rsidR="00456D75" w:rsidRPr="008A00D2">
        <w:rPr>
          <w:lang w:val="en-GB"/>
        </w:rPr>
        <w:t xml:space="preserve"> (Blessing and Sakouvogui, 2023)</w:t>
      </w:r>
      <w:r w:rsidRPr="008A00D2">
        <w:rPr>
          <w:lang w:val="en-GB"/>
        </w:rPr>
        <w:t>. The asset-light business model and operating cash generation developed by IHG can enable the latter to transact its business in a sustainable manner with relatively low conventional liquidity ratios</w:t>
      </w:r>
      <w:r w:rsidR="00456D75" w:rsidRPr="008A00D2">
        <w:rPr>
          <w:lang w:val="en-GB"/>
        </w:rPr>
        <w:t xml:space="preserve"> (Blessing and Sakouvogui, 2023)</w:t>
      </w:r>
      <w:r w:rsidRPr="008A00D2">
        <w:rPr>
          <w:lang w:val="en-GB"/>
        </w:rPr>
        <w:t>. Nevertheless, such a tendency to stay below 1.0 since 2023 deserves special consideration, especially considering the increasing debt of the company.</w:t>
      </w:r>
    </w:p>
    <w:p w14:paraId="2E516A92" w14:textId="77777777" w:rsidR="00420556" w:rsidRPr="008A00D2" w:rsidRDefault="00000000" w:rsidP="00420556">
      <w:pPr>
        <w:pStyle w:val="Heading2"/>
        <w:rPr>
          <w:lang w:val="en-GB"/>
        </w:rPr>
      </w:pPr>
      <w:bookmarkStart w:id="3" w:name="_Toc235095534"/>
      <w:r w:rsidRPr="008A00D2">
        <w:rPr>
          <w:lang w:val="en-GB"/>
        </w:rPr>
        <w:t>1.3 Efficiency Analysis</w:t>
      </w:r>
      <w:bookmarkEnd w:id="3"/>
    </w:p>
    <w:p w14:paraId="04722BF3" w14:textId="77777777" w:rsidR="00420556" w:rsidRPr="008A00D2" w:rsidRDefault="00000000" w:rsidP="00420556">
      <w:pPr>
        <w:rPr>
          <w:lang w:val="en-GB"/>
        </w:rPr>
      </w:pPr>
      <w:r w:rsidRPr="008A00D2">
        <w:rPr>
          <w:lang w:val="en-GB"/>
        </w:rPr>
        <w:t>The huge differences in the working-capital efficiency indicators of IHG are presented in Figure 3. The inventory outstanding days were quite low, and the number decreased to 2.39 days in 2025 compared to 3.00 days in 2021. This conforms to the small contribution of inventory to the inventory-light hospitality model of IHG</w:t>
      </w:r>
      <w:r w:rsidR="00456D75" w:rsidRPr="008A00D2">
        <w:rPr>
          <w:lang w:val="en-GB"/>
        </w:rPr>
        <w:t xml:space="preserve"> (Okafor, 2025)</w:t>
      </w:r>
      <w:r w:rsidRPr="008A00D2">
        <w:rPr>
          <w:lang w:val="en-GB"/>
        </w:rPr>
        <w:t>.</w:t>
      </w:r>
    </w:p>
    <w:p w14:paraId="2B0CB2A4" w14:textId="77777777" w:rsidR="00420556" w:rsidRPr="008A00D2" w:rsidRDefault="00000000" w:rsidP="00420556">
      <w:pPr>
        <w:jc w:val="center"/>
        <w:rPr>
          <w:lang w:val="en-GB"/>
        </w:rPr>
      </w:pPr>
      <w:r w:rsidRPr="008A00D2">
        <w:rPr>
          <w:noProof/>
          <w:lang w:val="en-GB"/>
        </w:rPr>
        <w:lastRenderedPageBreak/>
        <w:drawing>
          <wp:inline distT="0" distB="0" distL="0" distR="0" wp14:anchorId="24D82E78" wp14:editId="147B74F5">
            <wp:extent cx="4572000" cy="2743200"/>
            <wp:effectExtent l="0" t="0" r="0" b="0"/>
            <wp:docPr id="2005294304" name="Chart 1">
              <a:extLst xmlns:a="http://schemas.openxmlformats.org/drawingml/2006/main">
                <a:ext uri="{FF2B5EF4-FFF2-40B4-BE49-F238E27FC236}">
                  <a16:creationId xmlns:a16="http://schemas.microsoft.com/office/drawing/2014/main" id="{6C26F88B-99EB-45A4-887F-D7A6049DBE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2DFB3F" w14:textId="77777777" w:rsidR="00420556" w:rsidRPr="008A00D2" w:rsidRDefault="00000000" w:rsidP="00420556">
      <w:pPr>
        <w:jc w:val="center"/>
        <w:rPr>
          <w:b/>
          <w:bCs/>
          <w:lang w:val="en-GB"/>
        </w:rPr>
      </w:pPr>
      <w:r w:rsidRPr="008A00D2">
        <w:rPr>
          <w:b/>
          <w:bCs/>
          <w:lang w:val="en-GB"/>
        </w:rPr>
        <w:t>Figure 3: IHG Efficiency Ratios, 2021–2025</w:t>
      </w:r>
    </w:p>
    <w:p w14:paraId="7C0C662B" w14:textId="5B08F69A" w:rsidR="00420556" w:rsidRPr="008A00D2" w:rsidRDefault="00317C3C" w:rsidP="00420556">
      <w:pPr>
        <w:jc w:val="center"/>
        <w:rPr>
          <w:lang w:val="en-GB"/>
        </w:rPr>
      </w:pPr>
      <w:r w:rsidRPr="008A00D2">
        <w:rPr>
          <w:lang w:val="en-GB"/>
        </w:rPr>
        <w:t>(Source: Self-made calculations based on IHGA Annual Reports, 2021-2025)</w:t>
      </w:r>
    </w:p>
    <w:p w14:paraId="02B86800" w14:textId="77777777" w:rsidR="00420556" w:rsidRPr="008A00D2" w:rsidRDefault="00000000" w:rsidP="00420556">
      <w:pPr>
        <w:rPr>
          <w:lang w:val="en-GB"/>
        </w:rPr>
      </w:pPr>
      <w:r w:rsidRPr="008A00D2">
        <w:rPr>
          <w:lang w:val="en-GB"/>
        </w:rPr>
        <w:t>A greater concern is the deteriorating sales outstanding. As Table 2 shows, DSO increased continuously from 38.34 days in 2021 to 40.85 days in 2022, 61.96 days in 2023, 78.16 days in 2024 and 108.12 days in 2025. This means that there could be slower collection or a change in revenue mix, or an increasing amount due to franchisees and other counterparties. The trend may put a strain on the working capital even though it may report high profitability</w:t>
      </w:r>
      <w:r w:rsidR="009647EE" w:rsidRPr="008A00D2">
        <w:rPr>
          <w:lang w:val="en-GB"/>
        </w:rPr>
        <w:t xml:space="preserve"> (Olulu-Briggs and Wobo, 2023)</w:t>
      </w:r>
      <w:r w:rsidRPr="008A00D2">
        <w:rPr>
          <w:lang w:val="en-GB"/>
        </w:rPr>
        <w:t>.</w:t>
      </w:r>
    </w:p>
    <w:p w14:paraId="777A7C86" w14:textId="77777777" w:rsidR="00420556" w:rsidRPr="008A00D2" w:rsidRDefault="00000000" w:rsidP="00420556">
      <w:pPr>
        <w:rPr>
          <w:lang w:val="en-GB"/>
        </w:rPr>
      </w:pPr>
      <w:r w:rsidRPr="008A00D2">
        <w:rPr>
          <w:lang w:val="en-GB"/>
        </w:rPr>
        <w:t>The days outstanding paid were quite high, such that it was between 318.46 and 447.90 days. DPO peaked at 447.90 days in 2022, subsequently declined to 318.46 days in 2024 and recovered to 354.97 days in 2025. The long payment days can help the liquidity of the business by allowing the business to hold the cash longer, but the remarkably high DPO values must be used with caution because the cost-of-sales denominator may not be in line with the nature of all the trade payables</w:t>
      </w:r>
      <w:r w:rsidR="009647EE" w:rsidRPr="008A00D2">
        <w:rPr>
          <w:lang w:val="en-GB"/>
        </w:rPr>
        <w:t xml:space="preserve"> (Nie, 2024)</w:t>
      </w:r>
      <w:r w:rsidRPr="008A00D2">
        <w:rPr>
          <w:lang w:val="en-GB"/>
        </w:rPr>
        <w:t>. The measures of efficiency will be directly informative in the analysis of the cash operating cycle that follows.</w:t>
      </w:r>
    </w:p>
    <w:p w14:paraId="3108072F" w14:textId="77777777" w:rsidR="00420556" w:rsidRPr="008A00D2" w:rsidRDefault="00000000" w:rsidP="00420556">
      <w:pPr>
        <w:pStyle w:val="Heading2"/>
        <w:rPr>
          <w:lang w:val="en-GB"/>
        </w:rPr>
      </w:pPr>
      <w:bookmarkStart w:id="4" w:name="_Toc235095535"/>
      <w:r w:rsidRPr="008A00D2">
        <w:rPr>
          <w:lang w:val="en-GB"/>
        </w:rPr>
        <w:lastRenderedPageBreak/>
        <w:t>1.4 Gearing Analysis</w:t>
      </w:r>
      <w:bookmarkEnd w:id="4"/>
    </w:p>
    <w:p w14:paraId="1C087336" w14:textId="77777777" w:rsidR="00420556" w:rsidRPr="008A00D2" w:rsidRDefault="00000000" w:rsidP="00420556">
      <w:pPr>
        <w:rPr>
          <w:lang w:val="en-GB"/>
        </w:rPr>
      </w:pPr>
      <w:r w:rsidRPr="008A00D2">
        <w:rPr>
          <w:lang w:val="en-GB"/>
        </w:rPr>
        <w:t>As indicated in Table 2 and Figure 4, IHG had a high level of financial leverage throughout the period. The debt-to-equity ratio declined in 2021 (2.26) and 2024 (1.60) but slightly grew to 1.68 in 2025. The first drop is that the equity base of the company increased at a higher rate than the amount of debt, and this gave a slight positive change in the capital structure of the company</w:t>
      </w:r>
      <w:r w:rsidR="009647EE" w:rsidRPr="008A00D2">
        <w:rPr>
          <w:lang w:val="en-GB"/>
        </w:rPr>
        <w:t xml:space="preserve"> (Arifaj </w:t>
      </w:r>
      <w:r w:rsidR="009647EE" w:rsidRPr="008A00D2">
        <w:rPr>
          <w:i/>
          <w:iCs/>
          <w:lang w:val="en-GB"/>
        </w:rPr>
        <w:t>et al.,</w:t>
      </w:r>
      <w:r w:rsidR="009647EE" w:rsidRPr="008A00D2">
        <w:rPr>
          <w:lang w:val="en-GB"/>
        </w:rPr>
        <w:t xml:space="preserve"> 2023)</w:t>
      </w:r>
      <w:r w:rsidRPr="008A00D2">
        <w:rPr>
          <w:lang w:val="en-GB"/>
        </w:rPr>
        <w:t>.</w:t>
      </w:r>
    </w:p>
    <w:p w14:paraId="0B38AFFE" w14:textId="77777777" w:rsidR="00420556" w:rsidRPr="008A00D2" w:rsidRDefault="00000000" w:rsidP="00420556">
      <w:pPr>
        <w:jc w:val="center"/>
        <w:rPr>
          <w:lang w:val="en-GB"/>
        </w:rPr>
      </w:pPr>
      <w:r w:rsidRPr="008A00D2">
        <w:rPr>
          <w:noProof/>
          <w:lang w:val="en-GB"/>
        </w:rPr>
        <w:drawing>
          <wp:inline distT="0" distB="0" distL="0" distR="0" wp14:anchorId="5F4299CB" wp14:editId="1912E2D4">
            <wp:extent cx="4572000" cy="2743200"/>
            <wp:effectExtent l="0" t="0" r="0" b="0"/>
            <wp:docPr id="672212376" name="Chart 1">
              <a:extLst xmlns:a="http://schemas.openxmlformats.org/drawingml/2006/main">
                <a:ext uri="{FF2B5EF4-FFF2-40B4-BE49-F238E27FC236}">
                  <a16:creationId xmlns:a16="http://schemas.microsoft.com/office/drawing/2014/main" id="{F049594D-3F44-4BF3-87AE-A078E3204B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8C460CB" w14:textId="77777777" w:rsidR="00420556" w:rsidRPr="008A00D2" w:rsidRDefault="00000000" w:rsidP="00420556">
      <w:pPr>
        <w:jc w:val="center"/>
        <w:rPr>
          <w:b/>
          <w:bCs/>
          <w:lang w:val="en-GB"/>
        </w:rPr>
      </w:pPr>
      <w:r w:rsidRPr="008A00D2">
        <w:rPr>
          <w:b/>
          <w:bCs/>
          <w:lang w:val="en-GB"/>
        </w:rPr>
        <w:t>Figure 4: IHG Gearing Ratios, 2021–2025</w:t>
      </w:r>
    </w:p>
    <w:p w14:paraId="40C20418" w14:textId="08B2CC97" w:rsidR="00420556" w:rsidRPr="008A00D2" w:rsidRDefault="00DD4592" w:rsidP="00420556">
      <w:pPr>
        <w:jc w:val="center"/>
        <w:rPr>
          <w:lang w:val="en-GB"/>
        </w:rPr>
      </w:pPr>
      <w:r w:rsidRPr="008A00D2">
        <w:rPr>
          <w:lang w:val="en-GB"/>
        </w:rPr>
        <w:t>(Source: Self-made calculations based on IHG Annual Reports, 2021-2025)</w:t>
      </w:r>
    </w:p>
    <w:p w14:paraId="6E23D6F8" w14:textId="77777777" w:rsidR="00420556" w:rsidRPr="008A00D2" w:rsidRDefault="00000000" w:rsidP="00420556">
      <w:pPr>
        <w:rPr>
          <w:lang w:val="en-GB"/>
        </w:rPr>
      </w:pPr>
      <w:r w:rsidRPr="008A00D2">
        <w:rPr>
          <w:lang w:val="en-GB"/>
        </w:rPr>
        <w:t>But the trend in the debt-to-assets ratio is even more worrying. After declining from 0.71 in 2021 to 0.67 in 2022, it increased to 0.75 in 2023, 0.78 in 2024 and 0.86 in 2025. As seen in Table 1, total debt in 2025 was 4,607 million in comparison to total assets, which were 5,345 million. This implies that debt was equivalent to approximately 86 per cent of the asset base, and this is more susceptible to changes in interest rate, risk of refinancing and economic shocks</w:t>
      </w:r>
      <w:r w:rsidR="009647EE" w:rsidRPr="008A00D2">
        <w:rPr>
          <w:lang w:val="en-GB"/>
        </w:rPr>
        <w:t xml:space="preserve"> (Ahmad </w:t>
      </w:r>
      <w:r w:rsidR="009647EE" w:rsidRPr="008A00D2">
        <w:rPr>
          <w:i/>
          <w:iCs/>
          <w:lang w:val="en-GB"/>
        </w:rPr>
        <w:t>et al.,</w:t>
      </w:r>
      <w:r w:rsidR="009647EE" w:rsidRPr="008A00D2">
        <w:rPr>
          <w:lang w:val="en-GB"/>
        </w:rPr>
        <w:t xml:space="preserve"> 2026)</w:t>
      </w:r>
      <w:r w:rsidRPr="008A00D2">
        <w:rPr>
          <w:lang w:val="en-GB"/>
        </w:rPr>
        <w:t>. An increase in leverage, thus, is one of the greatest financial risks that was detected by the five-year analysis.</w:t>
      </w:r>
    </w:p>
    <w:p w14:paraId="6FFAE885" w14:textId="77777777" w:rsidR="00420556" w:rsidRPr="008A00D2" w:rsidRDefault="00000000" w:rsidP="00420556">
      <w:pPr>
        <w:pStyle w:val="Heading2"/>
        <w:rPr>
          <w:lang w:val="en-GB"/>
        </w:rPr>
      </w:pPr>
      <w:bookmarkStart w:id="5" w:name="_Toc235095536"/>
      <w:r w:rsidRPr="008A00D2">
        <w:rPr>
          <w:lang w:val="en-GB"/>
        </w:rPr>
        <w:lastRenderedPageBreak/>
        <w:t>1.5 Investment Analysis</w:t>
      </w:r>
      <w:bookmarkEnd w:id="5"/>
    </w:p>
    <w:p w14:paraId="07B71D0C" w14:textId="77777777" w:rsidR="00420556" w:rsidRPr="008A00D2" w:rsidRDefault="00000000" w:rsidP="00420556">
      <w:pPr>
        <w:rPr>
          <w:lang w:val="en-GB"/>
        </w:rPr>
      </w:pPr>
      <w:r w:rsidRPr="008A00D2">
        <w:rPr>
          <w:lang w:val="en-GB"/>
        </w:rPr>
        <w:t>P/E ratio was quite volatile, with Figure 5 illustrating the same. It decreased from 43.69 in 2021 to 27.79 in 2022 and 20.25 in 2023, before increasing to 29.90 in 2024 and declining to 24.94 in 2025.</w:t>
      </w:r>
    </w:p>
    <w:p w14:paraId="16E20A09" w14:textId="77777777" w:rsidR="00420556" w:rsidRPr="008A00D2" w:rsidRDefault="00000000" w:rsidP="00420556">
      <w:pPr>
        <w:jc w:val="center"/>
        <w:rPr>
          <w:lang w:val="en-GB"/>
        </w:rPr>
      </w:pPr>
      <w:r w:rsidRPr="008A00D2">
        <w:rPr>
          <w:noProof/>
          <w:lang w:val="en-GB"/>
        </w:rPr>
        <w:drawing>
          <wp:inline distT="0" distB="0" distL="0" distR="0" wp14:anchorId="0494AFF1" wp14:editId="572E6A9E">
            <wp:extent cx="4572000" cy="2743200"/>
            <wp:effectExtent l="0" t="0" r="0" b="0"/>
            <wp:docPr id="1259292781" name="Chart 1">
              <a:extLst xmlns:a="http://schemas.openxmlformats.org/drawingml/2006/main">
                <a:ext uri="{FF2B5EF4-FFF2-40B4-BE49-F238E27FC236}">
                  <a16:creationId xmlns:a16="http://schemas.microsoft.com/office/drawing/2014/main" id="{B2192B26-1F2D-47CA-9822-B9563B965C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A7C957" w14:textId="77777777" w:rsidR="00420556" w:rsidRPr="008A00D2" w:rsidRDefault="00000000" w:rsidP="00420556">
      <w:pPr>
        <w:jc w:val="center"/>
        <w:rPr>
          <w:b/>
          <w:bCs/>
          <w:lang w:val="en-GB"/>
        </w:rPr>
      </w:pPr>
      <w:r w:rsidRPr="008A00D2">
        <w:rPr>
          <w:b/>
          <w:bCs/>
          <w:lang w:val="en-GB"/>
        </w:rPr>
        <w:t>Figure 5: IHG Price-to-Earnings Ratio, 2021–2025</w:t>
      </w:r>
    </w:p>
    <w:p w14:paraId="57E41926" w14:textId="7A3DA5D4" w:rsidR="00420556" w:rsidRPr="008A00D2" w:rsidRDefault="00DD4592" w:rsidP="00420556">
      <w:pPr>
        <w:jc w:val="center"/>
        <w:rPr>
          <w:lang w:val="en-GB"/>
        </w:rPr>
      </w:pPr>
      <w:r w:rsidRPr="008A00D2">
        <w:rPr>
          <w:lang w:val="en-GB"/>
        </w:rPr>
        <w:t>(Source: Self-made calculations based on IHG Annual Reports, 2021-2025)</w:t>
      </w:r>
    </w:p>
    <w:p w14:paraId="64A59B19" w14:textId="77777777" w:rsidR="00420556" w:rsidRPr="008A00D2" w:rsidRDefault="00000000" w:rsidP="00420556">
      <w:pPr>
        <w:rPr>
          <w:lang w:val="en-GB"/>
        </w:rPr>
      </w:pPr>
      <w:r w:rsidRPr="008A00D2">
        <w:rPr>
          <w:lang w:val="en-GB"/>
        </w:rPr>
        <w:t>The high P/E ratio of 2021 was an indication of high market valuation compared to the comparatively low earnings per share of $1.47. Normalisation of the P/E ratio was realised when EPS recovered the lost value of 4.41 in 2023 and 4.87 in 2025, despite the extreme growth of the share price. Share price increase of 64.22 in 2021 to 121.45 in 2025 indicates that investor confidence is increasing, but the valuation is also sensitive to the further growth in revenues, macroeconomics and sustainability of profitability arising at IHG</w:t>
      </w:r>
      <w:r w:rsidR="009647EE" w:rsidRPr="008A00D2">
        <w:rPr>
          <w:lang w:val="en-GB"/>
        </w:rPr>
        <w:t xml:space="preserve"> (Sadhishkumar and Swarupa, 2024)</w:t>
      </w:r>
      <w:r w:rsidRPr="008A00D2">
        <w:rPr>
          <w:lang w:val="en-GB"/>
        </w:rPr>
        <w:t>.</w:t>
      </w:r>
    </w:p>
    <w:p w14:paraId="403BF52F" w14:textId="77777777" w:rsidR="00420556" w:rsidRPr="008A00D2" w:rsidRDefault="00000000" w:rsidP="00420556">
      <w:pPr>
        <w:pStyle w:val="Heading2"/>
        <w:rPr>
          <w:lang w:val="en-GB"/>
        </w:rPr>
      </w:pPr>
      <w:bookmarkStart w:id="6" w:name="_Toc235095537"/>
      <w:r w:rsidRPr="008A00D2">
        <w:rPr>
          <w:lang w:val="en-GB"/>
        </w:rPr>
        <w:lastRenderedPageBreak/>
        <w:t>1.6 Cash Flow Analysis</w:t>
      </w:r>
      <w:bookmarkEnd w:id="6"/>
    </w:p>
    <w:p w14:paraId="5739E384" w14:textId="77777777" w:rsidR="00420556" w:rsidRPr="008A00D2" w:rsidRDefault="00000000" w:rsidP="00420556">
      <w:pPr>
        <w:rPr>
          <w:lang w:val="en-GB"/>
        </w:rPr>
      </w:pPr>
      <w:r w:rsidRPr="008A00D2">
        <w:rPr>
          <w:lang w:val="en-GB"/>
        </w:rPr>
        <w:t>The cash flow performance is a major financial strength of IHG. As Figure 6 illustrates, the operating cash flow margin will increase to 30.86 in 2025, as compared to 12.26 in 2021, and the free cash flow margin will increase to 28.21 in 2025, as compared to 10.89.</w:t>
      </w:r>
    </w:p>
    <w:p w14:paraId="62DA17D1" w14:textId="77777777" w:rsidR="00420556" w:rsidRPr="008A00D2" w:rsidRDefault="00000000" w:rsidP="00420556">
      <w:pPr>
        <w:jc w:val="center"/>
        <w:rPr>
          <w:lang w:val="en-GB"/>
        </w:rPr>
      </w:pPr>
      <w:r w:rsidRPr="008A00D2">
        <w:rPr>
          <w:noProof/>
          <w:lang w:val="en-GB"/>
        </w:rPr>
        <w:drawing>
          <wp:inline distT="0" distB="0" distL="0" distR="0" wp14:anchorId="2ABD26D6" wp14:editId="3587A7C0">
            <wp:extent cx="4572000" cy="2743200"/>
            <wp:effectExtent l="0" t="0" r="0" b="0"/>
            <wp:docPr id="673929531" name="Chart 1">
              <a:extLst xmlns:a="http://schemas.openxmlformats.org/drawingml/2006/main">
                <a:ext uri="{FF2B5EF4-FFF2-40B4-BE49-F238E27FC236}">
                  <a16:creationId xmlns:a16="http://schemas.microsoft.com/office/drawing/2014/main" id="{F290E855-3DA4-497B-811A-E2807F9C25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3D09719" w14:textId="77777777" w:rsidR="00420556" w:rsidRPr="008A00D2" w:rsidRDefault="00000000" w:rsidP="00420556">
      <w:pPr>
        <w:jc w:val="center"/>
        <w:rPr>
          <w:b/>
          <w:bCs/>
          <w:lang w:val="en-GB"/>
        </w:rPr>
      </w:pPr>
      <w:r w:rsidRPr="008A00D2">
        <w:rPr>
          <w:b/>
          <w:bCs/>
          <w:lang w:val="en-GB"/>
        </w:rPr>
        <w:t>Figure 6: IHG Cash Flow Ratios, 2021–2025</w:t>
      </w:r>
    </w:p>
    <w:p w14:paraId="544182AE" w14:textId="6CDE318A" w:rsidR="00420556" w:rsidRPr="008A00D2" w:rsidRDefault="00DD4592" w:rsidP="00420556">
      <w:pPr>
        <w:jc w:val="center"/>
        <w:rPr>
          <w:lang w:val="en-GB"/>
        </w:rPr>
      </w:pPr>
      <w:r w:rsidRPr="008A00D2">
        <w:rPr>
          <w:lang w:val="en-GB"/>
        </w:rPr>
        <w:t>(Source: Self-made calculations based on IHG Annual Reports, 2021-2025)</w:t>
      </w:r>
    </w:p>
    <w:p w14:paraId="703F3CED" w14:textId="398BE01F" w:rsidR="00420556" w:rsidRPr="008A00D2" w:rsidRDefault="00000000" w:rsidP="00420556">
      <w:pPr>
        <w:rPr>
          <w:lang w:val="en-GB"/>
        </w:rPr>
      </w:pPr>
      <w:r w:rsidRPr="008A00D2">
        <w:rPr>
          <w:lang w:val="en-GB"/>
        </w:rPr>
        <w:t xml:space="preserve">Although there was a temporary decline in both measures in 2024, the high recovery in 2025 demonstrates high cash-generating potential. Table 1 shows that the operating cash flow would amount to a projection of $898 million, and free cash flow would amount to a projection of $821 million in the year 2025. A healthy free cash flow will enable IHG to not only cover its </w:t>
      </w:r>
      <w:r w:rsidR="00DD4592" w:rsidRPr="008A00D2">
        <w:rPr>
          <w:lang w:val="en-GB"/>
        </w:rPr>
        <w:t>debt but</w:t>
      </w:r>
      <w:r w:rsidRPr="008A00D2">
        <w:rPr>
          <w:lang w:val="en-GB"/>
        </w:rPr>
        <w:t xml:space="preserve"> also repay capital to its shareholders and undertake strategic investments</w:t>
      </w:r>
      <w:r w:rsidR="009647EE" w:rsidRPr="008A00D2">
        <w:rPr>
          <w:lang w:val="en-GB"/>
        </w:rPr>
        <w:t xml:space="preserve"> (Sadhishkumar and Swarupa, 2024)</w:t>
      </w:r>
      <w:r w:rsidRPr="008A00D2">
        <w:rPr>
          <w:lang w:val="en-GB"/>
        </w:rPr>
        <w:t>. However, this strength must be counterbalanced by the rising debt-to-assets ratio and the declining traditional liquidity position.</w:t>
      </w:r>
    </w:p>
    <w:p w14:paraId="451149A2" w14:textId="77777777" w:rsidR="00E33A95" w:rsidRPr="008A00D2" w:rsidRDefault="00000000" w:rsidP="00E33A95">
      <w:pPr>
        <w:pStyle w:val="Heading1"/>
        <w:rPr>
          <w:lang w:val="en-GB"/>
        </w:rPr>
      </w:pPr>
      <w:bookmarkStart w:id="7" w:name="_Toc235095538"/>
      <w:r w:rsidRPr="008A00D2">
        <w:rPr>
          <w:lang w:val="en-GB"/>
        </w:rPr>
        <w:lastRenderedPageBreak/>
        <w:t>2. Analysis of Working Capital Management</w:t>
      </w:r>
      <w:bookmarkEnd w:id="7"/>
    </w:p>
    <w:p w14:paraId="32091A21" w14:textId="55445DA6" w:rsidR="002B3A8D" w:rsidRPr="008A00D2" w:rsidRDefault="002B3A8D" w:rsidP="002B3A8D">
      <w:pPr>
        <w:pStyle w:val="Heading2"/>
        <w:rPr>
          <w:lang w:val="en-GB"/>
        </w:rPr>
      </w:pPr>
      <w:bookmarkStart w:id="8" w:name="_Toc235095539"/>
      <w:r w:rsidRPr="008A00D2">
        <w:rPr>
          <w:lang w:val="en-GB"/>
        </w:rPr>
        <w:t>2.1 Cash Operating Cycle</w:t>
      </w:r>
      <w:bookmarkEnd w:id="8"/>
    </w:p>
    <w:p w14:paraId="4342974E" w14:textId="77777777" w:rsidR="00E33A95" w:rsidRPr="008A00D2" w:rsidRDefault="00000000" w:rsidP="00E33A95">
      <w:pPr>
        <w:rPr>
          <w:lang w:val="en-GB"/>
        </w:rPr>
      </w:pPr>
      <w:r w:rsidRPr="008A00D2">
        <w:rPr>
          <w:lang w:val="en-GB"/>
        </w:rPr>
        <w:t>The management of the working capital will play a key role in ensuring that IHG can be able to hold the liquidity, manage its short-term liabilities, and continue its activities on the international front without necessarily depending on outside sources of funds. The cash operating cycle (COC) is the time it takes to collect cash invested in operating activities and cash collected in consequence of sales, considering the Days Inventory Outstanding (DIO), Days Sales Outstanding (DSO) and Days Payable Outstanding (DPO)</w:t>
      </w:r>
      <w:r w:rsidR="009647EE" w:rsidRPr="008A00D2">
        <w:rPr>
          <w:lang w:val="en-GB"/>
        </w:rPr>
        <w:t xml:space="preserve"> (Karim </w:t>
      </w:r>
      <w:r w:rsidR="009647EE" w:rsidRPr="008A00D2">
        <w:rPr>
          <w:i/>
          <w:iCs/>
          <w:lang w:val="en-GB"/>
        </w:rPr>
        <w:t>et al.,</w:t>
      </w:r>
      <w:r w:rsidR="009647EE" w:rsidRPr="008A00D2">
        <w:rPr>
          <w:lang w:val="en-GB"/>
        </w:rPr>
        <w:t xml:space="preserve"> 2024)</w:t>
      </w:r>
      <w:r w:rsidRPr="008A00D2">
        <w:rPr>
          <w:lang w:val="en-GB"/>
        </w:rPr>
        <w:t>. As can be seen in Table 3, IHG experienced a negative COC in 2021</w:t>
      </w:r>
      <w:r w:rsidR="009647EE" w:rsidRPr="008A00D2">
        <w:rPr>
          <w:lang w:val="en-GB"/>
        </w:rPr>
        <w:t>-</w:t>
      </w:r>
      <w:r w:rsidRPr="008A00D2">
        <w:rPr>
          <w:lang w:val="en-GB"/>
        </w:rPr>
        <w:t>2025, which is DIO + DSO -DPO.</w:t>
      </w:r>
    </w:p>
    <w:p w14:paraId="6CB361CD" w14:textId="77777777" w:rsidR="00E33A95" w:rsidRPr="008A00D2" w:rsidRDefault="00000000" w:rsidP="00A0108F">
      <w:pPr>
        <w:jc w:val="center"/>
        <w:rPr>
          <w:lang w:val="en-GB"/>
        </w:rPr>
      </w:pPr>
      <w:r w:rsidRPr="008A00D2">
        <w:rPr>
          <w:noProof/>
          <w:lang w:val="en-GB"/>
        </w:rPr>
        <w:drawing>
          <wp:inline distT="0" distB="0" distL="0" distR="0" wp14:anchorId="303B3995" wp14:editId="6B1CD1E2">
            <wp:extent cx="4419600" cy="1104900"/>
            <wp:effectExtent l="0" t="0" r="0" b="0"/>
            <wp:docPr id="15968806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880667" name="Picture 4"/>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419600" cy="1104900"/>
                    </a:xfrm>
                    <a:prstGeom prst="rect">
                      <a:avLst/>
                    </a:prstGeom>
                    <a:noFill/>
                    <a:ln>
                      <a:noFill/>
                    </a:ln>
                  </pic:spPr>
                </pic:pic>
              </a:graphicData>
            </a:graphic>
          </wp:inline>
        </w:drawing>
      </w:r>
    </w:p>
    <w:p w14:paraId="38BBE6D7" w14:textId="77777777" w:rsidR="00E33A95" w:rsidRPr="008A00D2" w:rsidRDefault="00000000" w:rsidP="00E33A95">
      <w:pPr>
        <w:jc w:val="center"/>
        <w:rPr>
          <w:b/>
          <w:bCs/>
          <w:lang w:val="en-GB"/>
        </w:rPr>
      </w:pPr>
      <w:r w:rsidRPr="008A00D2">
        <w:rPr>
          <w:b/>
          <w:bCs/>
          <w:lang w:val="en-GB"/>
        </w:rPr>
        <w:t>Table 3</w:t>
      </w:r>
      <w:r w:rsidR="00F4189D" w:rsidRPr="008A00D2">
        <w:rPr>
          <w:b/>
          <w:bCs/>
          <w:lang w:val="en-GB"/>
        </w:rPr>
        <w:t>:</w:t>
      </w:r>
      <w:r w:rsidRPr="008A00D2">
        <w:rPr>
          <w:b/>
          <w:bCs/>
          <w:lang w:val="en-GB"/>
        </w:rPr>
        <w:t xml:space="preserve"> IHG Cash Operating Cycle 2021-2025</w:t>
      </w:r>
    </w:p>
    <w:p w14:paraId="1B939934" w14:textId="1D5F6306" w:rsidR="00E33A95" w:rsidRPr="008A00D2" w:rsidRDefault="00DD4592" w:rsidP="00E33A95">
      <w:pPr>
        <w:jc w:val="center"/>
        <w:rPr>
          <w:lang w:val="en-GB"/>
        </w:rPr>
      </w:pPr>
      <w:r w:rsidRPr="008A00D2">
        <w:rPr>
          <w:lang w:val="en-GB"/>
        </w:rPr>
        <w:t>(Source: Self-made calculations based on IHG Annual Reports, 2021-2025)</w:t>
      </w:r>
    </w:p>
    <w:p w14:paraId="0869243B" w14:textId="77777777" w:rsidR="00E33A95" w:rsidRPr="008A00D2" w:rsidRDefault="00000000" w:rsidP="00E33A95">
      <w:pPr>
        <w:rPr>
          <w:lang w:val="en-GB"/>
        </w:rPr>
      </w:pPr>
      <w:r w:rsidRPr="008A00D2">
        <w:rPr>
          <w:lang w:val="en-GB"/>
        </w:rPr>
        <w:t>Table 3 shows that the COC was −393.51 days in 2021 and improved further to −404.48 days in 2022. It, however, declined significantly to -285.82 days in 2023 and -237.85 days in 2024, and then slightly to -244.46 days in 2025. This general trend of an upward movement towards zero can be seen in Figure 7, and it means that there is a decrease in the ability of IHG to sustain its working-capital advantage over the exceptionally negative cycles experienced in 2021 and 2022. The negative COC is normally an indication that the company is receiving operating cash before settling its suppliers, thereby reducing its requirement to borrow to finance its operating capital</w:t>
      </w:r>
      <w:r w:rsidR="009647EE" w:rsidRPr="008A00D2">
        <w:rPr>
          <w:lang w:val="en-GB"/>
        </w:rPr>
        <w:t xml:space="preserve"> (Aldubhani </w:t>
      </w:r>
      <w:r w:rsidR="009647EE" w:rsidRPr="008A00D2">
        <w:rPr>
          <w:i/>
          <w:iCs/>
          <w:lang w:val="en-GB"/>
        </w:rPr>
        <w:t>et al.,</w:t>
      </w:r>
      <w:r w:rsidR="009647EE" w:rsidRPr="008A00D2">
        <w:rPr>
          <w:lang w:val="en-GB"/>
        </w:rPr>
        <w:t xml:space="preserve"> 2022)</w:t>
      </w:r>
      <w:r w:rsidRPr="008A00D2">
        <w:rPr>
          <w:lang w:val="en-GB"/>
        </w:rPr>
        <w:t>.</w:t>
      </w:r>
    </w:p>
    <w:p w14:paraId="449F91B9" w14:textId="77777777" w:rsidR="00E33A95" w:rsidRPr="008A00D2" w:rsidRDefault="00000000" w:rsidP="00E33A95">
      <w:pPr>
        <w:jc w:val="center"/>
        <w:rPr>
          <w:lang w:val="en-GB"/>
        </w:rPr>
      </w:pPr>
      <w:r w:rsidRPr="008A00D2">
        <w:rPr>
          <w:noProof/>
          <w:lang w:val="en-GB"/>
        </w:rPr>
        <w:lastRenderedPageBreak/>
        <w:drawing>
          <wp:inline distT="0" distB="0" distL="0" distR="0" wp14:anchorId="4BACB340" wp14:editId="538E3116">
            <wp:extent cx="4993419" cy="2997642"/>
            <wp:effectExtent l="0" t="0" r="17145" b="12700"/>
            <wp:docPr id="1932619708" name="Chart 1">
              <a:extLst xmlns:a="http://schemas.openxmlformats.org/drawingml/2006/main">
                <a:ext uri="{FF2B5EF4-FFF2-40B4-BE49-F238E27FC236}">
                  <a16:creationId xmlns:a16="http://schemas.microsoft.com/office/drawing/2014/main" id="{75D6BBD0-0125-043E-4283-3884D5E26B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8A63914" w14:textId="77777777" w:rsidR="00E33A95" w:rsidRPr="008A00D2" w:rsidRDefault="00000000" w:rsidP="00E33A95">
      <w:pPr>
        <w:jc w:val="center"/>
        <w:rPr>
          <w:b/>
          <w:bCs/>
          <w:lang w:val="en-GB"/>
        </w:rPr>
      </w:pPr>
      <w:r w:rsidRPr="008A00D2">
        <w:rPr>
          <w:b/>
          <w:bCs/>
          <w:lang w:val="en-GB"/>
        </w:rPr>
        <w:t>Figure 7</w:t>
      </w:r>
      <w:r w:rsidR="00F4189D" w:rsidRPr="008A00D2">
        <w:rPr>
          <w:b/>
          <w:bCs/>
          <w:lang w:val="en-GB"/>
        </w:rPr>
        <w:t>:</w:t>
      </w:r>
      <w:r w:rsidRPr="008A00D2">
        <w:rPr>
          <w:b/>
          <w:bCs/>
          <w:lang w:val="en-GB"/>
        </w:rPr>
        <w:t xml:space="preserve"> IHG Cash Operating Cycle, 2021–2025</w:t>
      </w:r>
    </w:p>
    <w:p w14:paraId="5BE88A0F" w14:textId="3BFCB4A1" w:rsidR="00E33A95" w:rsidRPr="008A00D2" w:rsidRDefault="00DD4592" w:rsidP="00E33A95">
      <w:pPr>
        <w:jc w:val="center"/>
        <w:rPr>
          <w:lang w:val="en-GB"/>
        </w:rPr>
      </w:pPr>
      <w:r w:rsidRPr="008A00D2">
        <w:rPr>
          <w:lang w:val="en-GB"/>
        </w:rPr>
        <w:t xml:space="preserve">(Source: </w:t>
      </w:r>
      <w:r w:rsidR="00F4189D" w:rsidRPr="008A00D2">
        <w:rPr>
          <w:lang w:val="en-GB"/>
        </w:rPr>
        <w:t>Self-made calculations based on IHG Annual Reports</w:t>
      </w:r>
      <w:r w:rsidRPr="008A00D2">
        <w:rPr>
          <w:lang w:val="en-GB"/>
        </w:rPr>
        <w:t xml:space="preserve">, </w:t>
      </w:r>
      <w:r w:rsidR="00F4189D" w:rsidRPr="008A00D2">
        <w:rPr>
          <w:lang w:val="en-GB"/>
        </w:rPr>
        <w:t>2021-2025)</w:t>
      </w:r>
    </w:p>
    <w:p w14:paraId="03053A78" w14:textId="77777777" w:rsidR="00E33A95" w:rsidRPr="008A00D2" w:rsidRDefault="00000000" w:rsidP="00E33A95">
      <w:pPr>
        <w:rPr>
          <w:lang w:val="en-GB"/>
        </w:rPr>
      </w:pPr>
      <w:r w:rsidRPr="008A00D2">
        <w:rPr>
          <w:lang w:val="en-GB"/>
        </w:rPr>
        <w:t>This decrease can be attributed primarily to the fact that the DSO has increased considerably, by 38.34 days in 2021, up to 108.12 days in 2025. This means that its trade receivables have increased significantly compared to its annual revenue and could therefore be locking up cash that can be used to pay debts, invest or distribute dividends to the shareholders</w:t>
      </w:r>
      <w:r w:rsidR="009647EE" w:rsidRPr="008A00D2">
        <w:rPr>
          <w:lang w:val="en-GB"/>
        </w:rPr>
        <w:t xml:space="preserve"> (Chang, 2022)</w:t>
      </w:r>
      <w:r w:rsidRPr="008A00D2">
        <w:rPr>
          <w:lang w:val="en-GB"/>
        </w:rPr>
        <w:t>. IHGA needs to tighten its credit controls by implementing more stringent credit checks of the counterparties, automated invoice watch, earlier forced escalation on overdue balances and incentive on prompt payment. Since IHGA has a global franchise and management network, a centralised digital receivables monitoring may also enhance visibility in the different markets and detect delayed payments much faster.</w:t>
      </w:r>
    </w:p>
    <w:p w14:paraId="7AA0B8F9" w14:textId="31271397" w:rsidR="00E33A95" w:rsidRPr="008A00D2" w:rsidRDefault="00000000" w:rsidP="00E33A95">
      <w:pPr>
        <w:rPr>
          <w:lang w:val="en-GB"/>
        </w:rPr>
      </w:pPr>
      <w:r w:rsidRPr="008A00D2">
        <w:rPr>
          <w:lang w:val="en-GB"/>
        </w:rPr>
        <w:t xml:space="preserve">The DPO was also very high, with an average of 318.46 to 447.90 days, and was the primary cause of the very negative COC. The short-term liquidity could be enhanced by long payment terms since IHG will be able to retain cash. But the high reliance on the demand-lateness of the payments of suppliers can be both ethical and business risks, such as the souring of the supplier, interference with service quality and pressure on </w:t>
      </w:r>
      <w:r w:rsidRPr="008A00D2">
        <w:rPr>
          <w:lang w:val="en-GB"/>
        </w:rPr>
        <w:lastRenderedPageBreak/>
        <w:t>smaller suppliers. Therefore, maximisation of DPO is not the only goal, but the development of sustainable payment conditions that would maximise liquidity conservation and sustainable supplier management</w:t>
      </w:r>
      <w:r w:rsidR="009647EE" w:rsidRPr="008A00D2">
        <w:rPr>
          <w:lang w:val="en-GB"/>
        </w:rPr>
        <w:t xml:space="preserve"> (Mandipa and Sibindi, 2022)</w:t>
      </w:r>
      <w:r w:rsidRPr="008A00D2">
        <w:rPr>
          <w:lang w:val="en-GB"/>
        </w:rPr>
        <w:t>. The extraordinarily large DPO must also be viewed with caution since the cost of sales might not be exactly equal to the trade payables that IHG is building through its business model, which is light on assets.</w:t>
      </w:r>
    </w:p>
    <w:p w14:paraId="58A22590" w14:textId="7D9689A9" w:rsidR="002B3A8D" w:rsidRPr="008A00D2" w:rsidRDefault="002B3A8D" w:rsidP="002B3A8D">
      <w:pPr>
        <w:pStyle w:val="Heading2"/>
        <w:rPr>
          <w:lang w:val="en-GB"/>
        </w:rPr>
      </w:pPr>
      <w:bookmarkStart w:id="9" w:name="_Toc235095540"/>
      <w:r w:rsidRPr="008A00D2">
        <w:rPr>
          <w:lang w:val="en-GB"/>
        </w:rPr>
        <w:t>2.2 Improving Liquidity through working capital reforms</w:t>
      </w:r>
      <w:bookmarkEnd w:id="9"/>
    </w:p>
    <w:p w14:paraId="02E52F2F" w14:textId="77777777" w:rsidR="00E33A95" w:rsidRPr="008A00D2" w:rsidRDefault="00000000" w:rsidP="00E33A95">
      <w:pPr>
        <w:rPr>
          <w:lang w:val="en-GB"/>
        </w:rPr>
      </w:pPr>
      <w:r w:rsidRPr="008A00D2">
        <w:rPr>
          <w:lang w:val="en-GB"/>
        </w:rPr>
        <w:t>IHG ought to seek specific working-capital reforms to enhance liquidity. The reason is that the urgent need is to reduce DSO through improving the collection of receivables and by tightening the credit policy. Dynamic cash-flow forecasting should be done on major geographical markets to forecast short-term funding requirements as well as manage cash exposures to currencies</w:t>
      </w:r>
      <w:r w:rsidR="009647EE" w:rsidRPr="008A00D2">
        <w:rPr>
          <w:lang w:val="en-GB"/>
        </w:rPr>
        <w:t xml:space="preserve"> (Mazanec, 2022)</w:t>
      </w:r>
      <w:r w:rsidRPr="008A00D2">
        <w:rPr>
          <w:lang w:val="en-GB"/>
        </w:rPr>
        <w:t>. Although DIO was extremely low at the level of only 2.39 days in 2025, the optimisation of inventory should not be abandoned at the expense of the quality of the hotel services. These can be used to overcome the liquidity weakness noted in Section 1, where both the current and the quick ratios have stayed below 1.0 since 2023.</w:t>
      </w:r>
    </w:p>
    <w:p w14:paraId="1C654697" w14:textId="6842B99D" w:rsidR="002B3A8D" w:rsidRPr="008A00D2" w:rsidRDefault="002B3A8D" w:rsidP="002B3A8D">
      <w:pPr>
        <w:pStyle w:val="Heading2"/>
        <w:rPr>
          <w:lang w:val="en-GB"/>
        </w:rPr>
      </w:pPr>
      <w:bookmarkStart w:id="10" w:name="_Toc235095541"/>
      <w:r w:rsidRPr="008A00D2">
        <w:rPr>
          <w:lang w:val="en-GB"/>
        </w:rPr>
        <w:t>2.3 Short-term vs Long-term financing options</w:t>
      </w:r>
      <w:bookmarkEnd w:id="10"/>
    </w:p>
    <w:p w14:paraId="2D4FD8E5" w14:textId="77777777" w:rsidR="00E33A95" w:rsidRPr="008A00D2" w:rsidRDefault="00000000" w:rsidP="00E33A95">
      <w:pPr>
        <w:rPr>
          <w:lang w:val="en-GB"/>
        </w:rPr>
      </w:pPr>
      <w:r w:rsidRPr="008A00D2">
        <w:rPr>
          <w:lang w:val="en-GB"/>
        </w:rPr>
        <w:t>As far as financing is concerned, short-term facilities like revolving credit facilities, overdrafts and supplier credit provide flexibility in temporary working-capital situations but put IHG at risk of refinancing and variable interest-rate risks. The financing offered by long-term financing sources such as bonds, term loans or retained earnings is more stable in financing and may result in increased financing costs or long-term leverage</w:t>
      </w:r>
      <w:r w:rsidR="009647EE" w:rsidRPr="008A00D2">
        <w:rPr>
          <w:lang w:val="en-GB"/>
        </w:rPr>
        <w:t xml:space="preserve"> (Olajide </w:t>
      </w:r>
      <w:r w:rsidR="009647EE" w:rsidRPr="008A00D2">
        <w:rPr>
          <w:i/>
          <w:iCs/>
          <w:lang w:val="en-GB"/>
        </w:rPr>
        <w:t>et al.,</w:t>
      </w:r>
      <w:r w:rsidR="009647EE" w:rsidRPr="008A00D2">
        <w:rPr>
          <w:lang w:val="en-GB"/>
        </w:rPr>
        <w:t xml:space="preserve"> 2023)</w:t>
      </w:r>
      <w:r w:rsidRPr="008A00D2">
        <w:rPr>
          <w:lang w:val="en-GB"/>
        </w:rPr>
        <w:t xml:space="preserve">. As IHG had a debt-to-asset ratio of 0.86 in 2025, the approach to additional permanent borrowing must be taken with care. Consequently, internal cash production and working-capital efficiency should be placed at the forefront; short-term credit facilities should be </w:t>
      </w:r>
      <w:r w:rsidR="00F4189D" w:rsidRPr="008A00D2">
        <w:rPr>
          <w:lang w:val="en-GB"/>
        </w:rPr>
        <w:t>built</w:t>
      </w:r>
      <w:r w:rsidRPr="008A00D2">
        <w:rPr>
          <w:lang w:val="en-GB"/>
        </w:rPr>
        <w:t xml:space="preserve"> primarily in the form of a liquidity buffer and not as a source of operating finance</w:t>
      </w:r>
      <w:r w:rsidR="009647EE" w:rsidRPr="008A00D2">
        <w:rPr>
          <w:lang w:val="en-GB"/>
        </w:rPr>
        <w:t xml:space="preserve"> (Jaworski and Czerwonka, 2022)</w:t>
      </w:r>
      <w:r w:rsidRPr="008A00D2">
        <w:rPr>
          <w:lang w:val="en-GB"/>
        </w:rPr>
        <w:t>.</w:t>
      </w:r>
    </w:p>
    <w:p w14:paraId="6B409338" w14:textId="77777777" w:rsidR="00420556" w:rsidRPr="008A00D2" w:rsidRDefault="00000000" w:rsidP="00E33A95">
      <w:pPr>
        <w:rPr>
          <w:lang w:val="en-GB"/>
        </w:rPr>
      </w:pPr>
      <w:r w:rsidRPr="008A00D2">
        <w:rPr>
          <w:lang w:val="en-GB"/>
        </w:rPr>
        <w:lastRenderedPageBreak/>
        <w:t>Overall, Table 3 and Figure 7 show that IHG possesses a very poor COC, which is one of the liquidity strengths, but this strength has declined considerably since 2022. The working-capital strategy of IHG should thus be based on the reduction of DSO, sustainable supplier terms and enhancement of the international cash forecasts.</w:t>
      </w:r>
    </w:p>
    <w:p w14:paraId="275CCDDF" w14:textId="77777777" w:rsidR="009725AC" w:rsidRPr="008A00D2" w:rsidRDefault="00000000" w:rsidP="009725AC">
      <w:pPr>
        <w:pStyle w:val="Heading1"/>
        <w:rPr>
          <w:lang w:val="en-GB"/>
        </w:rPr>
      </w:pPr>
      <w:bookmarkStart w:id="11" w:name="_Toc235095542"/>
      <w:r w:rsidRPr="008A00D2">
        <w:rPr>
          <w:lang w:val="en-GB"/>
        </w:rPr>
        <w:t>3. Strategy Financial Restructuring Plan</w:t>
      </w:r>
      <w:bookmarkEnd w:id="11"/>
    </w:p>
    <w:p w14:paraId="2F18CCE5" w14:textId="186813F4" w:rsidR="002B3A8D" w:rsidRPr="008A00D2" w:rsidRDefault="002B3A8D" w:rsidP="002B3A8D">
      <w:pPr>
        <w:pStyle w:val="Heading2"/>
        <w:rPr>
          <w:lang w:val="en-GB"/>
        </w:rPr>
      </w:pPr>
      <w:bookmarkStart w:id="12" w:name="_Toc235095543"/>
      <w:r w:rsidRPr="008A00D2">
        <w:rPr>
          <w:lang w:val="en-GB"/>
        </w:rPr>
        <w:t>3.1 Financial Structuring options</w:t>
      </w:r>
      <w:bookmarkEnd w:id="12"/>
    </w:p>
    <w:p w14:paraId="2E52A7AC" w14:textId="77777777" w:rsidR="009725AC" w:rsidRPr="008A00D2" w:rsidRDefault="00000000" w:rsidP="009725AC">
      <w:pPr>
        <w:rPr>
          <w:lang w:val="en-GB"/>
        </w:rPr>
      </w:pPr>
      <w:r w:rsidRPr="008A00D2">
        <w:rPr>
          <w:lang w:val="en-GB"/>
        </w:rPr>
        <w:t>The five-year financial health analysis shows that IHGA has registered significant progress in profitability and cash generation, but with growing financial risks relating to leverage, declining conventional liquidity, and reduced quickness in gathering receivables. Table 2 demonstrates that the debt-to-assets ratio went up to 0.86 in 2025, as compared to 0.71 in 2021, with total debt amounting to 4,607 million. At the same time, the current ratio and quick ratio have been less than 1.0 since 2023. Hence, the suggested reorganisation plan must be aimed at selective debt reduction and refinance, backed up by restrained capital allocation and the further growth of the asset-light business model of IHG, but not an equity injection or a big merger</w:t>
      </w:r>
      <w:r w:rsidR="009647EE" w:rsidRPr="008A00D2">
        <w:rPr>
          <w:lang w:val="en-GB"/>
        </w:rPr>
        <w:t xml:space="preserve"> (Mehmood and De Luca, 2025)</w:t>
      </w:r>
      <w:r w:rsidRPr="008A00D2">
        <w:rPr>
          <w:lang w:val="en-GB"/>
        </w:rPr>
        <w:t>.</w:t>
      </w:r>
    </w:p>
    <w:p w14:paraId="33F74C26" w14:textId="77777777" w:rsidR="009725AC" w:rsidRPr="008A00D2" w:rsidRDefault="00000000" w:rsidP="009725AC">
      <w:pPr>
        <w:rPr>
          <w:lang w:val="en-GB"/>
        </w:rPr>
      </w:pPr>
      <w:r w:rsidRPr="008A00D2">
        <w:rPr>
          <w:lang w:val="en-GB"/>
        </w:rPr>
        <w:t>Selective debt reduction by way of internally generated free cash flow should be the first priority. According to Figure 6, IHG has a higher free cash flow margin in 2025 than in 2021 (28.21% vs 10.89%), with a free cash flow amounting to $821 million. A planned percentage ratio of this cash to debt repayment might lessen the financial risk without the need to dilute the shares. This is better for a significant equity injection since new shares would water down the ownership and earnings per share of existing shareholders</w:t>
      </w:r>
      <w:r w:rsidR="009647EE" w:rsidRPr="008A00D2">
        <w:rPr>
          <w:lang w:val="en-GB"/>
        </w:rPr>
        <w:t xml:space="preserve"> (Akbar, 2022)</w:t>
      </w:r>
      <w:r w:rsidRPr="008A00D2">
        <w:rPr>
          <w:lang w:val="en-GB"/>
        </w:rPr>
        <w:t>. Likewise, a mega-merger would create integration expenses, cultural risks and further financial complexity at a time when leverage is already a major issue.</w:t>
      </w:r>
    </w:p>
    <w:p w14:paraId="31311F67" w14:textId="77777777" w:rsidR="009725AC" w:rsidRPr="008A00D2" w:rsidRDefault="00000000" w:rsidP="009725AC">
      <w:pPr>
        <w:rPr>
          <w:lang w:val="en-GB"/>
        </w:rPr>
      </w:pPr>
      <w:r w:rsidRPr="008A00D2">
        <w:rPr>
          <w:lang w:val="en-GB"/>
        </w:rPr>
        <w:t xml:space="preserve">Restructuring debt should also include refinancing high-cost or maturity obligations which are near-maturity and extending the maturity profile where it is economically desirable. This would ease the pressure on refinancing in the short term and enhance operational flexibility. The fixed-rate borrowing can offer more safeguarding against fluctuations in the </w:t>
      </w:r>
      <w:r w:rsidRPr="008A00D2">
        <w:rPr>
          <w:lang w:val="en-GB"/>
        </w:rPr>
        <w:lastRenderedPageBreak/>
        <w:t>interest rates, and a balanced maturity structure would avoid the overburdening of debt that would become due within a given period</w:t>
      </w:r>
      <w:r w:rsidR="009647EE" w:rsidRPr="008A00D2">
        <w:rPr>
          <w:lang w:val="en-GB"/>
        </w:rPr>
        <w:t xml:space="preserve"> (Akbar, 2022)</w:t>
      </w:r>
      <w:r w:rsidRPr="008A00D2">
        <w:rPr>
          <w:lang w:val="en-GB"/>
        </w:rPr>
        <w:t>. Nonetheless, refinancing must not take the place of deleveraging since Table 1 indicates that the total debt grows to $4,607 million in 2025 as compared to 2,834 million in 2022. The sustained growth in debt may ultimately undermine creditworthiness and make people prone to economic crunches.</w:t>
      </w:r>
    </w:p>
    <w:p w14:paraId="66ACA889" w14:textId="4AC6680F" w:rsidR="002B3A8D" w:rsidRPr="008A00D2" w:rsidRDefault="002B3A8D" w:rsidP="002B3A8D">
      <w:pPr>
        <w:pStyle w:val="Heading2"/>
        <w:rPr>
          <w:lang w:val="en-GB"/>
        </w:rPr>
      </w:pPr>
      <w:bookmarkStart w:id="13" w:name="_Toc235095544"/>
      <w:r w:rsidRPr="008A00D2">
        <w:rPr>
          <w:lang w:val="en-GB"/>
        </w:rPr>
        <w:t>3.2 Impact on shareholder value, debt structure and operational flexibility</w:t>
      </w:r>
      <w:bookmarkEnd w:id="13"/>
    </w:p>
    <w:p w14:paraId="448E84D7" w14:textId="77777777" w:rsidR="009725AC" w:rsidRPr="008A00D2" w:rsidRDefault="00000000" w:rsidP="009725AC">
      <w:pPr>
        <w:rPr>
          <w:lang w:val="en-GB"/>
        </w:rPr>
      </w:pPr>
      <w:r w:rsidRPr="008A00D2">
        <w:rPr>
          <w:lang w:val="en-GB"/>
        </w:rPr>
        <w:t>Debt restructuring should be used along with a selective divestiture strategy. The asset-light business model offers a significant strategic benefit to IHG since franchising and management agreements can generate fee-based revenues without necessarily having a high level of direct ownership of hotel property. All non-core or nonperforming assets must then be evaluated to be sold off, and the proceeds used to pay off debt, invest in technology or high-yield strategic options</w:t>
      </w:r>
      <w:r w:rsidR="009647EE" w:rsidRPr="008A00D2">
        <w:rPr>
          <w:lang w:val="en-GB"/>
        </w:rPr>
        <w:t xml:space="preserve"> (Okonkwo </w:t>
      </w:r>
      <w:r w:rsidR="009647EE" w:rsidRPr="008A00D2">
        <w:rPr>
          <w:i/>
          <w:iCs/>
          <w:lang w:val="en-GB"/>
        </w:rPr>
        <w:t>et al.,</w:t>
      </w:r>
      <w:r w:rsidR="009647EE" w:rsidRPr="008A00D2">
        <w:rPr>
          <w:lang w:val="en-GB"/>
        </w:rPr>
        <w:t xml:space="preserve"> 2023)</w:t>
      </w:r>
      <w:r w:rsidRPr="008A00D2">
        <w:rPr>
          <w:lang w:val="en-GB"/>
        </w:rPr>
        <w:t>. However, the divestiture must be discriminatory and not arbitrary. The sale of strategic assets with high strategic value just to get short-term cash may compromise long-term competitive positioning and future earning ability.</w:t>
      </w:r>
    </w:p>
    <w:p w14:paraId="2A8AFE74" w14:textId="77777777" w:rsidR="009725AC" w:rsidRPr="008A00D2" w:rsidRDefault="00000000" w:rsidP="009725AC">
      <w:pPr>
        <w:rPr>
          <w:lang w:val="en-GB"/>
        </w:rPr>
      </w:pPr>
      <w:r w:rsidRPr="008A00D2">
        <w:rPr>
          <w:lang w:val="en-GB"/>
        </w:rPr>
        <w:t xml:space="preserve">The shareholder value can be increased by the proposed restructuring in several ways. The decreased leverage may decrease the financial risk and interest payments, and the increased liquidity may enhance the ability to withstand economic shocks. It is especially crucial since Figure 4 shows that the debt-to-assets ratio grew considerably over the five years. Meanwhile, too much debt payback might impact the dividends, share buybacks, digital transformation and </w:t>
      </w:r>
      <w:r w:rsidR="009647EE" w:rsidRPr="008A00D2">
        <w:rPr>
          <w:lang w:val="en-GB"/>
        </w:rPr>
        <w:t xml:space="preserve">internationalisation (Okonkwo </w:t>
      </w:r>
      <w:r w:rsidR="009647EE" w:rsidRPr="008A00D2">
        <w:rPr>
          <w:i/>
          <w:iCs/>
          <w:lang w:val="en-GB"/>
        </w:rPr>
        <w:t>et al.,</w:t>
      </w:r>
      <w:r w:rsidR="009647EE" w:rsidRPr="008A00D2">
        <w:rPr>
          <w:lang w:val="en-GB"/>
        </w:rPr>
        <w:t xml:space="preserve"> 2023)</w:t>
      </w:r>
      <w:r w:rsidRPr="008A00D2">
        <w:rPr>
          <w:lang w:val="en-GB"/>
        </w:rPr>
        <w:t>. The restructuring plan must, hence, be able to strike a balance between deleveraging and further investment in the initiatives that have the potential to yield sustainable returns.</w:t>
      </w:r>
    </w:p>
    <w:p w14:paraId="295320A3" w14:textId="0CCAAE08" w:rsidR="002B3A8D" w:rsidRPr="008A00D2" w:rsidRDefault="002B3A8D" w:rsidP="002B3A8D">
      <w:pPr>
        <w:pStyle w:val="Heading2"/>
        <w:rPr>
          <w:lang w:val="en-GB"/>
        </w:rPr>
      </w:pPr>
      <w:bookmarkStart w:id="14" w:name="_Toc235095545"/>
      <w:r w:rsidRPr="008A00D2">
        <w:rPr>
          <w:lang w:val="en-GB"/>
        </w:rPr>
        <w:t>3.3 International and Ethical considerations</w:t>
      </w:r>
      <w:bookmarkEnd w:id="14"/>
    </w:p>
    <w:p w14:paraId="31507385" w14:textId="77777777" w:rsidR="009725AC" w:rsidRPr="008A00D2" w:rsidRDefault="00000000" w:rsidP="009725AC">
      <w:pPr>
        <w:rPr>
          <w:lang w:val="en-GB"/>
        </w:rPr>
      </w:pPr>
      <w:r w:rsidRPr="008A00D2">
        <w:rPr>
          <w:lang w:val="en-GB"/>
        </w:rPr>
        <w:t xml:space="preserve">The international considerations are mainly important in the sense that IHG has operations in many geographical markets, and it is susceptible to foreign exchange rates, inflation, political instability of various countries and diverse tax regimes. The currency </w:t>
      </w:r>
      <w:r w:rsidRPr="008A00D2">
        <w:rPr>
          <w:lang w:val="en-GB"/>
        </w:rPr>
        <w:lastRenderedPageBreak/>
        <w:t>movements may impact the fee income, operating costs, debt servicing and translation of overseas earnings. IHG should hence employ natural hedging in cases where revenues and expenses do arise in the same currencies and use financial hedging when there are material exposures</w:t>
      </w:r>
      <w:r w:rsidR="009647EE" w:rsidRPr="008A00D2">
        <w:rPr>
          <w:lang w:val="en-GB"/>
        </w:rPr>
        <w:t xml:space="preserve"> (Akbar, 2022)</w:t>
      </w:r>
      <w:r w:rsidRPr="008A00D2">
        <w:rPr>
          <w:lang w:val="en-GB"/>
        </w:rPr>
        <w:t>. Debt ought to be also designed in appropriate currencies, which provides an economic hedge on international cash flows. The tax planning should be transparent and in line with the applicable international regulations without an aggressive plan that would expose it to legal and reputational risks.</w:t>
      </w:r>
    </w:p>
    <w:p w14:paraId="766C84D0" w14:textId="77777777" w:rsidR="00E33A95" w:rsidRPr="008A00D2" w:rsidRDefault="00000000" w:rsidP="009725AC">
      <w:pPr>
        <w:rPr>
          <w:lang w:val="en-GB"/>
        </w:rPr>
      </w:pPr>
      <w:r w:rsidRPr="008A00D2">
        <w:rPr>
          <w:lang w:val="en-GB"/>
        </w:rPr>
        <w:t>Restructuring decisions should also be affected by ethical and ESG considerations. The process of cost reduction and asset disposals must not produce short-term financial gains at the cost of employees, smaller suppliers, hotel guests or environmental obligations. This is particularly applicable considering that the identified DPO is exceptionally high in Table 2, and additional increases in supplier payment terms would impose a disproportionate burden on smaller companies. Sustainable restructuring must thus ensure just relations with suppliers, develop the workforce and safeguard investment in energy saving and carbon cuts</w:t>
      </w:r>
      <w:r w:rsidR="009647EE" w:rsidRPr="008A00D2">
        <w:rPr>
          <w:lang w:val="en-GB"/>
        </w:rPr>
        <w:t xml:space="preserve"> (Okonkwo </w:t>
      </w:r>
      <w:r w:rsidR="009647EE" w:rsidRPr="008A00D2">
        <w:rPr>
          <w:i/>
          <w:iCs/>
          <w:lang w:val="en-GB"/>
        </w:rPr>
        <w:t>et al.,</w:t>
      </w:r>
      <w:r w:rsidR="009647EE" w:rsidRPr="008A00D2">
        <w:rPr>
          <w:lang w:val="en-GB"/>
        </w:rPr>
        <w:t xml:space="preserve"> 2023)</w:t>
      </w:r>
      <w:r w:rsidRPr="008A00D2">
        <w:rPr>
          <w:lang w:val="en-GB"/>
        </w:rPr>
        <w:t>. In general, the proposed restructuring plan is based on selective deleveraging, debt refinancing, non-core divestitures and ongoing expansion of assets. This would directly respond to the growing leverage and liquidity stresses of IHG and safeguard shareholder value and operating flexibility.</w:t>
      </w:r>
    </w:p>
    <w:p w14:paraId="3C30150D" w14:textId="77777777" w:rsidR="00A0108F" w:rsidRPr="008A00D2" w:rsidRDefault="00000000" w:rsidP="00D907DF">
      <w:pPr>
        <w:pStyle w:val="Heading1"/>
        <w:rPr>
          <w:lang w:val="en-GB"/>
        </w:rPr>
      </w:pPr>
      <w:bookmarkStart w:id="15" w:name="_Toc235095546"/>
      <w:r w:rsidRPr="008A00D2">
        <w:rPr>
          <w:lang w:val="en-GB"/>
        </w:rPr>
        <w:t>4. Capital Budgeting and Investment Appraisal</w:t>
      </w:r>
      <w:bookmarkEnd w:id="15"/>
    </w:p>
    <w:p w14:paraId="1BA4665F" w14:textId="77777777" w:rsidR="00961F87" w:rsidRPr="008A00D2" w:rsidRDefault="00000000" w:rsidP="00A0108F">
      <w:pPr>
        <w:rPr>
          <w:lang w:val="en-GB"/>
        </w:rPr>
      </w:pPr>
      <w:r w:rsidRPr="008A00D2">
        <w:rPr>
          <w:lang w:val="en-GB"/>
        </w:rPr>
        <w:t>Investment appraisal will also be requisite in knowing whether the capital projects that will be proposed can generate sufficient financial returns, besides being aligned with the financial position of IHG and its strategic priorities. Five methods were applied to three comparable projects that had an initial investment of 50 million pounds, including Payback Period (PBP), Accounting rate of return (ARR), Net Present Value (NPV), Profitability Index (PI) and Internal rate of return (IRR)</w:t>
      </w:r>
      <w:r w:rsidR="00087DC7" w:rsidRPr="008A00D2">
        <w:rPr>
          <w:lang w:val="en-GB"/>
        </w:rPr>
        <w:t xml:space="preserve"> (Shaila </w:t>
      </w:r>
      <w:r w:rsidR="00087DC7" w:rsidRPr="008A00D2">
        <w:rPr>
          <w:i/>
          <w:iCs/>
          <w:lang w:val="en-GB"/>
        </w:rPr>
        <w:t>et al.,</w:t>
      </w:r>
      <w:r w:rsidR="00087DC7" w:rsidRPr="008A00D2">
        <w:rPr>
          <w:lang w:val="en-GB"/>
        </w:rPr>
        <w:t xml:space="preserve"> 2025)</w:t>
      </w:r>
      <w:r w:rsidRPr="008A00D2">
        <w:rPr>
          <w:lang w:val="en-GB"/>
        </w:rPr>
        <w:t xml:space="preserve">. An 8% discount rate and straight-line depreciation to zero in five years were used as specified by the assessment brief. </w:t>
      </w:r>
    </w:p>
    <w:p w14:paraId="0CF80B67" w14:textId="77777777" w:rsidR="00961F87" w:rsidRPr="008A00D2" w:rsidRDefault="00000000" w:rsidP="00961F87">
      <w:pPr>
        <w:jc w:val="center"/>
        <w:rPr>
          <w:lang w:val="en-GB"/>
        </w:rPr>
      </w:pPr>
      <w:r w:rsidRPr="008A00D2">
        <w:rPr>
          <w:noProof/>
          <w:lang w:val="en-GB"/>
        </w:rPr>
        <w:lastRenderedPageBreak/>
        <w:drawing>
          <wp:inline distT="0" distB="0" distL="0" distR="0" wp14:anchorId="4185BBF4" wp14:editId="428866D1">
            <wp:extent cx="5943600" cy="1793875"/>
            <wp:effectExtent l="0" t="0" r="0" b="0"/>
            <wp:docPr id="3766864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686445" name="Picture 5"/>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943600" cy="1793875"/>
                    </a:xfrm>
                    <a:prstGeom prst="rect">
                      <a:avLst/>
                    </a:prstGeom>
                    <a:noFill/>
                    <a:ln>
                      <a:noFill/>
                    </a:ln>
                  </pic:spPr>
                </pic:pic>
              </a:graphicData>
            </a:graphic>
          </wp:inline>
        </w:drawing>
      </w:r>
    </w:p>
    <w:p w14:paraId="22DA2D6F" w14:textId="77777777" w:rsidR="00961F87" w:rsidRPr="008A00D2" w:rsidRDefault="00000000" w:rsidP="00961F87">
      <w:pPr>
        <w:jc w:val="center"/>
        <w:rPr>
          <w:b/>
          <w:bCs/>
          <w:lang w:val="en-GB"/>
        </w:rPr>
      </w:pPr>
      <w:r w:rsidRPr="008A00D2">
        <w:rPr>
          <w:b/>
          <w:bCs/>
          <w:lang w:val="en-GB"/>
        </w:rPr>
        <w:t>Table 4: Discounted Cash Flow Analysis</w:t>
      </w:r>
    </w:p>
    <w:p w14:paraId="270DCBF3" w14:textId="415931B7" w:rsidR="00961F87" w:rsidRPr="008A00D2" w:rsidRDefault="00DD4592" w:rsidP="00961F87">
      <w:pPr>
        <w:jc w:val="center"/>
        <w:rPr>
          <w:lang w:val="en-GB"/>
        </w:rPr>
      </w:pPr>
      <w:r w:rsidRPr="008A00D2">
        <w:rPr>
          <w:lang w:val="en-GB"/>
        </w:rPr>
        <w:t>(Source: Self-made calculations based on IHG Annual Reports, 2021-2025)</w:t>
      </w:r>
    </w:p>
    <w:p w14:paraId="5755EDD6" w14:textId="77777777" w:rsidR="00961F87" w:rsidRPr="008A00D2" w:rsidRDefault="00000000" w:rsidP="00961F87">
      <w:pPr>
        <w:jc w:val="center"/>
        <w:rPr>
          <w:lang w:val="en-GB"/>
        </w:rPr>
      </w:pPr>
      <w:r w:rsidRPr="008A00D2">
        <w:rPr>
          <w:noProof/>
          <w:lang w:val="en-GB"/>
        </w:rPr>
        <w:drawing>
          <wp:inline distT="0" distB="0" distL="0" distR="0" wp14:anchorId="05DD3E57" wp14:editId="13AD3DFD">
            <wp:extent cx="4061460" cy="2019300"/>
            <wp:effectExtent l="0" t="0" r="0" b="0"/>
            <wp:docPr id="12504228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22852" name="Picture 6"/>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061460" cy="2019300"/>
                    </a:xfrm>
                    <a:prstGeom prst="rect">
                      <a:avLst/>
                    </a:prstGeom>
                    <a:noFill/>
                    <a:ln>
                      <a:noFill/>
                    </a:ln>
                  </pic:spPr>
                </pic:pic>
              </a:graphicData>
            </a:graphic>
          </wp:inline>
        </w:drawing>
      </w:r>
    </w:p>
    <w:p w14:paraId="16920C4D" w14:textId="77777777" w:rsidR="00961F87" w:rsidRPr="008A00D2" w:rsidRDefault="00000000" w:rsidP="00961F87">
      <w:pPr>
        <w:jc w:val="center"/>
        <w:rPr>
          <w:b/>
          <w:bCs/>
          <w:lang w:val="en-GB"/>
        </w:rPr>
      </w:pPr>
      <w:r w:rsidRPr="008A00D2">
        <w:rPr>
          <w:b/>
          <w:bCs/>
          <w:lang w:val="en-GB"/>
        </w:rPr>
        <w:t>Table 5: Investment appraisal measure</w:t>
      </w:r>
    </w:p>
    <w:p w14:paraId="7BEEAC7A" w14:textId="498A066E" w:rsidR="00961F87" w:rsidRPr="008A00D2" w:rsidRDefault="00DD4592" w:rsidP="00961F87">
      <w:pPr>
        <w:jc w:val="center"/>
        <w:rPr>
          <w:lang w:val="en-GB"/>
        </w:rPr>
      </w:pPr>
      <w:r w:rsidRPr="008A00D2">
        <w:rPr>
          <w:lang w:val="en-GB"/>
        </w:rPr>
        <w:t>(Source: Self-made calculations based on IHG Annual Reports, 2021-2025)</w:t>
      </w:r>
    </w:p>
    <w:p w14:paraId="0E5BC19B" w14:textId="77777777" w:rsidR="00A0108F" w:rsidRPr="008A00D2" w:rsidRDefault="00000000" w:rsidP="00961F87">
      <w:pPr>
        <w:rPr>
          <w:lang w:val="en-GB"/>
        </w:rPr>
      </w:pPr>
      <w:r w:rsidRPr="008A00D2">
        <w:rPr>
          <w:lang w:val="en-GB"/>
        </w:rPr>
        <w:t>Project C is financially superior to Projects A and B, as illustrated in Tables 4 and 5.</w:t>
      </w:r>
    </w:p>
    <w:p w14:paraId="711EFF64" w14:textId="77777777" w:rsidR="00A0108F" w:rsidRPr="008A00D2" w:rsidRDefault="00000000" w:rsidP="00A0108F">
      <w:pPr>
        <w:pStyle w:val="Heading2"/>
        <w:rPr>
          <w:lang w:val="en-GB"/>
        </w:rPr>
      </w:pPr>
      <w:bookmarkStart w:id="16" w:name="_Toc235095547"/>
      <w:r w:rsidRPr="008A00D2">
        <w:rPr>
          <w:lang w:val="en-GB"/>
        </w:rPr>
        <w:t>4.1 Payback period and ARR analysis</w:t>
      </w:r>
      <w:bookmarkEnd w:id="16"/>
      <w:r w:rsidRPr="008A00D2">
        <w:rPr>
          <w:lang w:val="en-GB"/>
        </w:rPr>
        <w:t xml:space="preserve"> </w:t>
      </w:r>
    </w:p>
    <w:p w14:paraId="4D38A659" w14:textId="77777777" w:rsidR="00A0108F" w:rsidRPr="008A00D2" w:rsidRDefault="00000000" w:rsidP="00A0108F">
      <w:pPr>
        <w:rPr>
          <w:lang w:val="en-GB"/>
        </w:rPr>
      </w:pPr>
      <w:r w:rsidRPr="008A00D2">
        <w:rPr>
          <w:lang w:val="en-GB"/>
        </w:rPr>
        <w:t>The time taken to cover the initial investment with cumulative cash inflows is computed using the payback period. Project C has the shortest payback period of 3.60 years, as compared to 4.50 years in Project A and 4.55 years in Project B, as seen in Table 5. Project C will therefore recoup capital invested in the least amount of time and with little exposure to uncertainty in the long term</w:t>
      </w:r>
      <w:r w:rsidR="00087DC7" w:rsidRPr="008A00D2">
        <w:rPr>
          <w:lang w:val="en-GB"/>
        </w:rPr>
        <w:t xml:space="preserve"> (Shaila </w:t>
      </w:r>
      <w:r w:rsidR="00087DC7" w:rsidRPr="008A00D2">
        <w:rPr>
          <w:i/>
          <w:iCs/>
          <w:lang w:val="en-GB"/>
        </w:rPr>
        <w:t>et al.,</w:t>
      </w:r>
      <w:r w:rsidR="00087DC7" w:rsidRPr="008A00D2">
        <w:rPr>
          <w:lang w:val="en-GB"/>
        </w:rPr>
        <w:t xml:space="preserve"> 2025)</w:t>
      </w:r>
      <w:r w:rsidRPr="008A00D2">
        <w:rPr>
          <w:lang w:val="en-GB"/>
        </w:rPr>
        <w:t xml:space="preserve">. This is especially significant </w:t>
      </w:r>
      <w:r w:rsidRPr="008A00D2">
        <w:rPr>
          <w:lang w:val="en-GB"/>
        </w:rPr>
        <w:lastRenderedPageBreak/>
        <w:t>to IHG since, as it was shown in Table 2, the current and quick ratios of the company have stayed below 1.0 since 2023, and the debt-to-assets ratio amounted to 0.86 in 2025. The faster capital recovery would, in turn, be fruitful to financial flexibility and reduce the time period in which the money is tied up.</w:t>
      </w:r>
    </w:p>
    <w:p w14:paraId="11528A76" w14:textId="77777777" w:rsidR="00A0108F" w:rsidRPr="008A00D2" w:rsidRDefault="00000000" w:rsidP="00A0108F">
      <w:pPr>
        <w:rPr>
          <w:lang w:val="en-GB"/>
        </w:rPr>
      </w:pPr>
      <w:r w:rsidRPr="008A00D2">
        <w:rPr>
          <w:lang w:val="en-GB"/>
        </w:rPr>
        <w:t>Nevertheless, the PBP method has a significant weakness since it fails to consider the time value of money and any cash flows which can be achieved after the payback point</w:t>
      </w:r>
      <w:r w:rsidR="00087DC7" w:rsidRPr="008A00D2">
        <w:rPr>
          <w:lang w:val="en-GB"/>
        </w:rPr>
        <w:t xml:space="preserve"> (Shaila </w:t>
      </w:r>
      <w:r w:rsidR="00087DC7" w:rsidRPr="008A00D2">
        <w:rPr>
          <w:i/>
          <w:iCs/>
          <w:lang w:val="en-GB"/>
        </w:rPr>
        <w:t>et al.,</w:t>
      </w:r>
      <w:r w:rsidR="00087DC7" w:rsidRPr="008A00D2">
        <w:rPr>
          <w:lang w:val="en-GB"/>
        </w:rPr>
        <w:t xml:space="preserve"> 2025)</w:t>
      </w:r>
      <w:r w:rsidRPr="008A00D2">
        <w:rPr>
          <w:lang w:val="en-GB"/>
        </w:rPr>
        <w:t>. It should not, therefore, be taken independently to make a big investment decision.</w:t>
      </w:r>
    </w:p>
    <w:p w14:paraId="26969A73" w14:textId="77777777" w:rsidR="00A0108F" w:rsidRPr="008A00D2" w:rsidRDefault="00000000" w:rsidP="00A0108F">
      <w:pPr>
        <w:rPr>
          <w:lang w:val="en-GB"/>
        </w:rPr>
      </w:pPr>
      <w:r w:rsidRPr="008A00D2">
        <w:rPr>
          <w:lang w:val="en-GB"/>
        </w:rPr>
        <w:t>ARR is used to compare accounting profitability with the initial investment. Table 5 indicates that the ARR of Project A, which has an annual straight-line depreciation of £10 million, Project B 2.00 and Project C 6.00 is 1.60, 2.00 and 6.00, respectively. It is Project C, which is therefore obviously better on this basis. The accounting returns of all three projects are, however, very low, and ARR does not consider the timing of cash flows and the time value of money. Therefore, more importance should be given to discounted cash flow techniques in decision-making.</w:t>
      </w:r>
    </w:p>
    <w:p w14:paraId="7AAFEF7C" w14:textId="77777777" w:rsidR="00A0108F" w:rsidRPr="008A00D2" w:rsidRDefault="00000000" w:rsidP="00A0108F">
      <w:pPr>
        <w:pStyle w:val="Heading2"/>
        <w:rPr>
          <w:lang w:val="en-GB"/>
        </w:rPr>
      </w:pPr>
      <w:bookmarkStart w:id="17" w:name="_Toc235095548"/>
      <w:r w:rsidRPr="008A00D2">
        <w:rPr>
          <w:lang w:val="en-GB"/>
        </w:rPr>
        <w:t>4.2 NPV and Index of Profitability</w:t>
      </w:r>
      <w:bookmarkEnd w:id="17"/>
    </w:p>
    <w:p w14:paraId="4A8373B6" w14:textId="32D1819D" w:rsidR="00A0108F" w:rsidRPr="008A00D2" w:rsidRDefault="00000000" w:rsidP="00A0108F">
      <w:pPr>
        <w:rPr>
          <w:lang w:val="en-GB"/>
        </w:rPr>
      </w:pPr>
      <w:r w:rsidRPr="008A00D2">
        <w:rPr>
          <w:lang w:val="en-GB"/>
        </w:rPr>
        <w:t>The NPV is usually the most theoretically sound method of appraising an investment since it quantifies the absolute value of value produced after taking into consideration the required capital returns. At an 8 per cent discount rate, Project A will have a negative NPV of 6.55 million (as indicated in Table 4), and Project B will have a negative NPV of 6.07 million. Both</w:t>
      </w:r>
      <w:r w:rsidR="00DD4592" w:rsidRPr="008A00D2">
        <w:rPr>
          <w:lang w:val="en-GB"/>
        </w:rPr>
        <w:t xml:space="preserve"> are expected</w:t>
      </w:r>
      <w:r w:rsidRPr="008A00D2">
        <w:rPr>
          <w:lang w:val="en-GB"/>
        </w:rPr>
        <w:t xml:space="preserve"> to be discarded, therefore, since their discounted cash inflows do not suffice to recoup their initial investments and the returns they need.</w:t>
      </w:r>
    </w:p>
    <w:p w14:paraId="2FFAFD23" w14:textId="77777777" w:rsidR="00A0108F" w:rsidRPr="008A00D2" w:rsidRDefault="00000000" w:rsidP="00A0108F">
      <w:pPr>
        <w:rPr>
          <w:lang w:val="en-GB"/>
        </w:rPr>
      </w:pPr>
      <w:r w:rsidRPr="008A00D2">
        <w:rPr>
          <w:lang w:val="en-GB"/>
        </w:rPr>
        <w:t xml:space="preserve">On the other hand, Project C has a positive NPV of approximately £0.85 million with the present value for future cash inflows of approximately 50.85 million. Although the positive NPV is not quite high in comparison with the initial value of the investment of 50 million pounds, Project C is the only </w:t>
      </w:r>
      <w:r w:rsidR="00D907DF" w:rsidRPr="008A00D2">
        <w:rPr>
          <w:lang w:val="en-GB"/>
        </w:rPr>
        <w:t>project which</w:t>
      </w:r>
      <w:r w:rsidRPr="008A00D2">
        <w:rPr>
          <w:lang w:val="en-GB"/>
        </w:rPr>
        <w:t xml:space="preserve"> can be supposed to create shareholder value based on the presented assumptions</w:t>
      </w:r>
      <w:r w:rsidR="00087DC7" w:rsidRPr="008A00D2">
        <w:rPr>
          <w:lang w:val="en-GB"/>
        </w:rPr>
        <w:t xml:space="preserve"> (Tulhayat </w:t>
      </w:r>
      <w:r w:rsidR="00087DC7" w:rsidRPr="008A00D2">
        <w:rPr>
          <w:i/>
          <w:iCs/>
          <w:lang w:val="en-GB"/>
        </w:rPr>
        <w:t>et al.,</w:t>
      </w:r>
      <w:r w:rsidR="00087DC7" w:rsidRPr="008A00D2">
        <w:rPr>
          <w:lang w:val="en-GB"/>
        </w:rPr>
        <w:t xml:space="preserve"> 2025)</w:t>
      </w:r>
      <w:r w:rsidRPr="008A00D2">
        <w:rPr>
          <w:lang w:val="en-GB"/>
        </w:rPr>
        <w:t>.</w:t>
      </w:r>
    </w:p>
    <w:p w14:paraId="4ACDF065" w14:textId="3F7DBC07" w:rsidR="00A0108F" w:rsidRPr="008A00D2" w:rsidRDefault="00000000" w:rsidP="00A0108F">
      <w:pPr>
        <w:rPr>
          <w:lang w:val="en-GB"/>
        </w:rPr>
      </w:pPr>
      <w:r w:rsidRPr="008A00D2">
        <w:rPr>
          <w:lang w:val="en-GB"/>
        </w:rPr>
        <w:lastRenderedPageBreak/>
        <w:t xml:space="preserve">This conclusion is supported by the PI results. Table 5 shows that both Projects A and B are not profitable, as the profitability index of these projects stands at 0.869 and 0.879, respectively, which is below the acceptance level of 1.0. Project C gives a PI of approximately </w:t>
      </w:r>
      <w:r w:rsidR="00D907DF" w:rsidRPr="008A00D2">
        <w:rPr>
          <w:lang w:val="en-GB"/>
        </w:rPr>
        <w:t>1.017,</w:t>
      </w:r>
      <w:r w:rsidRPr="008A00D2">
        <w:rPr>
          <w:lang w:val="en-GB"/>
        </w:rPr>
        <w:t xml:space="preserve"> which implies that a one-pound investment will give approximately 1.017 in discounted cash inflows</w:t>
      </w:r>
      <w:r w:rsidR="00DD4592" w:rsidRPr="008A00D2">
        <w:rPr>
          <w:lang w:val="en-GB"/>
        </w:rPr>
        <w:t xml:space="preserve"> (Sinaga et al., 2023)</w:t>
      </w:r>
      <w:r w:rsidRPr="008A00D2">
        <w:rPr>
          <w:lang w:val="en-GB"/>
        </w:rPr>
        <w:t>. Therefore, Project C is the only investment that can be considered acceptable regarding finance with the NPV and PI decision rule.</w:t>
      </w:r>
    </w:p>
    <w:p w14:paraId="598C33DF" w14:textId="77777777" w:rsidR="00A0108F" w:rsidRPr="008A00D2" w:rsidRDefault="00000000" w:rsidP="00A0108F">
      <w:pPr>
        <w:pStyle w:val="Heading2"/>
        <w:rPr>
          <w:lang w:val="en-GB"/>
        </w:rPr>
      </w:pPr>
      <w:bookmarkStart w:id="18" w:name="_Toc235095549"/>
      <w:r w:rsidRPr="008A00D2">
        <w:rPr>
          <w:lang w:val="en-GB"/>
        </w:rPr>
        <w:t>4.3 IRR Analysis and Project Recommendation</w:t>
      </w:r>
      <w:bookmarkEnd w:id="18"/>
    </w:p>
    <w:p w14:paraId="72AEE267" w14:textId="77777777" w:rsidR="00A0108F" w:rsidRPr="008A00D2" w:rsidRDefault="00000000" w:rsidP="00A0108F">
      <w:pPr>
        <w:rPr>
          <w:lang w:val="en-GB"/>
        </w:rPr>
      </w:pPr>
      <w:r w:rsidRPr="008A00D2">
        <w:rPr>
          <w:lang w:val="en-GB"/>
        </w:rPr>
        <w:t>IRR is the discount rate at which the NPV of the project will be zero. Table 5 indicates that the outcome of the appraisal is that the project that has the largest IRR is project C of approximately 8.7, a higher value than the required value of 8. The IRR of projects A and B is far below the hurdle rate and should be abandoned</w:t>
      </w:r>
      <w:r w:rsidR="00087DC7" w:rsidRPr="008A00D2">
        <w:rPr>
          <w:lang w:val="en-GB"/>
        </w:rPr>
        <w:t xml:space="preserve"> (Tulhayat </w:t>
      </w:r>
      <w:r w:rsidR="00087DC7" w:rsidRPr="008A00D2">
        <w:rPr>
          <w:i/>
          <w:iCs/>
          <w:lang w:val="en-GB"/>
        </w:rPr>
        <w:t>et al.,</w:t>
      </w:r>
      <w:r w:rsidR="00087DC7" w:rsidRPr="008A00D2">
        <w:rPr>
          <w:lang w:val="en-GB"/>
        </w:rPr>
        <w:t xml:space="preserve"> 2025)</w:t>
      </w:r>
      <w:r w:rsidRPr="008A00D2">
        <w:rPr>
          <w:lang w:val="en-GB"/>
        </w:rPr>
        <w:t>. The difference between the margin of Project C and the required level is quite minimal, yet in the overall scenario, all five appraisal methods rank it first as the best investment option.</w:t>
      </w:r>
    </w:p>
    <w:p w14:paraId="3A3074F1" w14:textId="77777777" w:rsidR="00A0108F" w:rsidRPr="008A00D2" w:rsidRDefault="00000000" w:rsidP="00A0108F">
      <w:pPr>
        <w:rPr>
          <w:lang w:val="en-GB"/>
        </w:rPr>
      </w:pPr>
      <w:r w:rsidRPr="008A00D2">
        <w:rPr>
          <w:lang w:val="en-GB"/>
        </w:rPr>
        <w:t>Project C is, therefore, recommended. It boasts the lowest payback period, maximum ARR, only positive NPV, only PI greater than 1.0 and maximum IRR. This suggestion is in line with the financial situation of IHG as well. As Figure 6 shows, IHG's operating cash flow margin also improved to 30.86 per cent and its free cash flow margin to 28.21 per cent in 2025, which means that the company has a lot of potential to make its own cash</w:t>
      </w:r>
      <w:r w:rsidR="00087DC7" w:rsidRPr="008A00D2">
        <w:rPr>
          <w:lang w:val="en-GB"/>
        </w:rPr>
        <w:t xml:space="preserve"> (Tulhayat </w:t>
      </w:r>
      <w:r w:rsidR="00087DC7" w:rsidRPr="008A00D2">
        <w:rPr>
          <w:i/>
          <w:iCs/>
          <w:lang w:val="en-GB"/>
        </w:rPr>
        <w:t>et al.,</w:t>
      </w:r>
      <w:r w:rsidR="00087DC7" w:rsidRPr="008A00D2">
        <w:rPr>
          <w:lang w:val="en-GB"/>
        </w:rPr>
        <w:t xml:space="preserve"> 2025)</w:t>
      </w:r>
      <w:r w:rsidRPr="008A00D2">
        <w:rPr>
          <w:lang w:val="en-GB"/>
        </w:rPr>
        <w:t>. Project C, which has a starting investment of 50 million, can therefore be considered cheap considering the cash-generating potential of IHG.</w:t>
      </w:r>
    </w:p>
    <w:p w14:paraId="70030E33" w14:textId="77777777" w:rsidR="00A0108F" w:rsidRPr="008A00D2" w:rsidRDefault="00000000" w:rsidP="00A0108F">
      <w:pPr>
        <w:rPr>
          <w:lang w:val="en-GB"/>
        </w:rPr>
      </w:pPr>
      <w:r w:rsidRPr="008A00D2">
        <w:rPr>
          <w:lang w:val="en-GB"/>
        </w:rPr>
        <w:t>The recommendation, however, needs to be made cautiously. As determined in Sections 1 and 2, IHGA has a current ratio that is lower than 1.0, increasing DSO, and leverage. According to Table 2, both DSO and the debt-to-assets ratio have been on the increase to 108.12 days and 0.86 in 2025, respectively. Project C, however, should be more financed using internal cash than through the massive additional borrowing, thereby not creating an extra burden on the company's debt system.</w:t>
      </w:r>
    </w:p>
    <w:p w14:paraId="4044B3C3" w14:textId="77777777" w:rsidR="00A0108F" w:rsidRPr="008A00D2" w:rsidRDefault="00000000" w:rsidP="00A0108F">
      <w:pPr>
        <w:pStyle w:val="Heading2"/>
        <w:rPr>
          <w:lang w:val="en-GB"/>
        </w:rPr>
      </w:pPr>
      <w:bookmarkStart w:id="19" w:name="_Toc235095550"/>
      <w:r w:rsidRPr="008A00D2">
        <w:rPr>
          <w:lang w:val="en-GB"/>
        </w:rPr>
        <w:lastRenderedPageBreak/>
        <w:t>4.4 Non-Financial Risk and Strategy</w:t>
      </w:r>
      <w:bookmarkEnd w:id="19"/>
    </w:p>
    <w:p w14:paraId="26B115C9" w14:textId="77777777" w:rsidR="00A0108F" w:rsidRPr="008A00D2" w:rsidRDefault="00000000" w:rsidP="00A0108F">
      <w:pPr>
        <w:rPr>
          <w:lang w:val="en-GB"/>
        </w:rPr>
      </w:pPr>
      <w:r w:rsidRPr="008A00D2">
        <w:rPr>
          <w:lang w:val="en-GB"/>
        </w:rPr>
        <w:t>A hospitality company operating in the world cannot survive without financial appraisal. Before investing in Project C, IHG must consider the political instability, foreign-exchange movements, inflation, regulatory changes, environmental needs and country-specific taxation risks in the country where the investment will be taking place. Any political disruption or monetary exchange rate fluctuations could seriously reduce the projected cash flow and change the relatively low positive NPV of the investment into a negative one.</w:t>
      </w:r>
    </w:p>
    <w:p w14:paraId="729D809B" w14:textId="77777777" w:rsidR="00A0108F" w:rsidRPr="008A00D2" w:rsidRDefault="00000000" w:rsidP="00A0108F">
      <w:pPr>
        <w:rPr>
          <w:lang w:val="en-GB"/>
        </w:rPr>
      </w:pPr>
      <w:r w:rsidRPr="008A00D2">
        <w:rPr>
          <w:lang w:val="en-GB"/>
        </w:rPr>
        <w:t>Repeat booking and loyalty programme membership would be supported by a guest-sensible investment that embodies the digital convenience and the well-designed brands of IHG. Conversely, a project which fails to meet the changing customer expectations cannot perform well, despite the financial forecasts being positive in the short term. ESG issues ought to be factored in as well, especially the energy efficiency, carbon emissions, employment standards and impacts on the community. Since the financial margin of superiority of Project C is not very large, sensitivity analysis would be suitable to establish whether small variations in the cash flows, investment costs or discount rates would completely wipe out its positive NPV.</w:t>
      </w:r>
    </w:p>
    <w:p w14:paraId="1F5BAA2E" w14:textId="77777777" w:rsidR="00A0108F" w:rsidRPr="008A00D2" w:rsidRDefault="00000000" w:rsidP="00A0108F">
      <w:pPr>
        <w:pStyle w:val="Heading2"/>
        <w:rPr>
          <w:lang w:val="en-GB"/>
        </w:rPr>
      </w:pPr>
      <w:bookmarkStart w:id="20" w:name="_Toc235095551"/>
      <w:r w:rsidRPr="008A00D2">
        <w:rPr>
          <w:lang w:val="en-GB"/>
        </w:rPr>
        <w:t>4.5 Capital Rationing under the £100 Million constraint</w:t>
      </w:r>
      <w:bookmarkEnd w:id="20"/>
    </w:p>
    <w:p w14:paraId="1A9C6188" w14:textId="77777777" w:rsidR="00A0108F" w:rsidRPr="008A00D2" w:rsidRDefault="00000000" w:rsidP="00A0108F">
      <w:pPr>
        <w:rPr>
          <w:lang w:val="en-GB"/>
        </w:rPr>
      </w:pPr>
      <w:r w:rsidRPr="008A00D2">
        <w:rPr>
          <w:lang w:val="en-GB"/>
        </w:rPr>
        <w:t>The capital rationing will entail the IHG deciding what investment will maximise the shareholder value at the maximum budget of 100 million pounds. Any two projects can be combined and be financially viable with a cost of only 50 million per project. Table 6 illustrates that the cumulative NPV of A+B, A+C and B+C are -12.62 million, -5.70 million and -5.22 million, respectively. Thus, the optimal two-project combination is B + C in case he/she needs to invest the whole 100 million pounds of IHG, since it yields the least negative combined NPV and the greatest combined PI of 0.948.</w:t>
      </w:r>
    </w:p>
    <w:p w14:paraId="7C56686F" w14:textId="77777777" w:rsidR="00961F87" w:rsidRPr="008A00D2" w:rsidRDefault="00000000" w:rsidP="00961F87">
      <w:pPr>
        <w:jc w:val="center"/>
        <w:rPr>
          <w:lang w:val="en-GB"/>
        </w:rPr>
      </w:pPr>
      <w:r w:rsidRPr="008A00D2">
        <w:rPr>
          <w:noProof/>
          <w:lang w:val="en-GB"/>
        </w:rPr>
        <w:drawing>
          <wp:inline distT="0" distB="0" distL="0" distR="0" wp14:anchorId="782FD718" wp14:editId="5E5B98CC">
            <wp:extent cx="4724400" cy="739140"/>
            <wp:effectExtent l="0" t="0" r="0" b="3810"/>
            <wp:docPr id="1189697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697791" name="Picture 7"/>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4724400" cy="739140"/>
                    </a:xfrm>
                    <a:prstGeom prst="rect">
                      <a:avLst/>
                    </a:prstGeom>
                    <a:noFill/>
                    <a:ln>
                      <a:noFill/>
                    </a:ln>
                  </pic:spPr>
                </pic:pic>
              </a:graphicData>
            </a:graphic>
          </wp:inline>
        </w:drawing>
      </w:r>
    </w:p>
    <w:p w14:paraId="19F155D9" w14:textId="77777777" w:rsidR="00961F87" w:rsidRPr="008A00D2" w:rsidRDefault="00000000" w:rsidP="00961F87">
      <w:pPr>
        <w:jc w:val="center"/>
        <w:rPr>
          <w:b/>
          <w:bCs/>
          <w:lang w:val="en-GB"/>
        </w:rPr>
      </w:pPr>
      <w:r w:rsidRPr="008A00D2">
        <w:rPr>
          <w:b/>
          <w:bCs/>
          <w:lang w:val="en-GB"/>
        </w:rPr>
        <w:lastRenderedPageBreak/>
        <w:t>Table 6: Capital rationing measures</w:t>
      </w:r>
    </w:p>
    <w:p w14:paraId="5A77327B" w14:textId="1E24601B" w:rsidR="00961F87" w:rsidRPr="008A00D2" w:rsidRDefault="00DD4592" w:rsidP="00961F87">
      <w:pPr>
        <w:jc w:val="center"/>
        <w:rPr>
          <w:lang w:val="en-GB"/>
        </w:rPr>
      </w:pPr>
      <w:r w:rsidRPr="008A00D2">
        <w:rPr>
          <w:lang w:val="en-GB"/>
        </w:rPr>
        <w:t>(Source: Self-made calculations based on IHG Annual Reports, 2021-2025)</w:t>
      </w:r>
    </w:p>
    <w:p w14:paraId="29D891EB" w14:textId="77777777" w:rsidR="00A0108F" w:rsidRPr="008A00D2" w:rsidRDefault="00000000" w:rsidP="00A0108F">
      <w:pPr>
        <w:rPr>
          <w:lang w:val="en-GB"/>
        </w:rPr>
      </w:pPr>
      <w:r w:rsidRPr="008A00D2">
        <w:rPr>
          <w:lang w:val="en-GB"/>
        </w:rPr>
        <w:t>The assignment, however, indicates that they can invest as much as 100 million pounds; this does not imply that IHG is obliged to spend that amount. Economically, it would not make sense shareholder-value wise to spend 100 million pounds simply because it can be there when all combinations of two projects lead to a negative combined NPV</w:t>
      </w:r>
      <w:r w:rsidR="00087DC7" w:rsidRPr="008A00D2">
        <w:rPr>
          <w:lang w:val="en-GB"/>
        </w:rPr>
        <w:t xml:space="preserve"> (Adurayemi and Ade, 2024)</w:t>
      </w:r>
      <w:r w:rsidRPr="008A00D2">
        <w:rPr>
          <w:lang w:val="en-GB"/>
        </w:rPr>
        <w:t>. Thus, the best capital-rationing choice is to invest 50 million of the money in Project C and keep the remaining 50 million of the money to be invested in other value-creating opportunities. Incorporation of Project A or B would ruin the positive value created by Project C.</w:t>
      </w:r>
    </w:p>
    <w:p w14:paraId="7462BA29" w14:textId="7AEC5C36" w:rsidR="009725AC" w:rsidRPr="008A00D2" w:rsidRDefault="00000000" w:rsidP="00A0108F">
      <w:pPr>
        <w:rPr>
          <w:lang w:val="en-GB"/>
        </w:rPr>
      </w:pPr>
      <w:r w:rsidRPr="008A00D2">
        <w:rPr>
          <w:lang w:val="en-GB"/>
        </w:rPr>
        <w:t xml:space="preserve">All in all, Project C is the best investment option as it prevails in all five appraisal </w:t>
      </w:r>
      <w:r w:rsidR="00A22232" w:rsidRPr="008A00D2">
        <w:rPr>
          <w:lang w:val="en-GB"/>
        </w:rPr>
        <w:t>techniques and</w:t>
      </w:r>
      <w:r w:rsidRPr="008A00D2">
        <w:rPr>
          <w:lang w:val="en-GB"/>
        </w:rPr>
        <w:t xml:space="preserve"> is the only project that generates a positive NPV and PI of more than 1.0. However, its low premium over the 8 per cent required return indicates that IHG ought to expose the project to a stringent sensitivity and non-financial risk analysis prior to ultimate approval.</w:t>
      </w:r>
    </w:p>
    <w:p w14:paraId="0A8CB647" w14:textId="77777777" w:rsidR="00961F87" w:rsidRPr="008A00D2" w:rsidRDefault="00000000" w:rsidP="00961F87">
      <w:pPr>
        <w:pStyle w:val="Heading1"/>
        <w:rPr>
          <w:lang w:val="en-GB"/>
        </w:rPr>
      </w:pPr>
      <w:bookmarkStart w:id="21" w:name="_Toc235095552"/>
      <w:r w:rsidRPr="008A00D2">
        <w:rPr>
          <w:lang w:val="en-GB"/>
        </w:rPr>
        <w:t>5. Critical Reflection on AI Usage</w:t>
      </w:r>
      <w:bookmarkEnd w:id="21"/>
    </w:p>
    <w:p w14:paraId="4C6C426B" w14:textId="1B33F0C0" w:rsidR="00154A90" w:rsidRPr="008A00D2" w:rsidRDefault="00154A90" w:rsidP="00154A90">
      <w:pPr>
        <w:pStyle w:val="Heading2"/>
        <w:rPr>
          <w:lang w:val="en-GB"/>
        </w:rPr>
      </w:pPr>
      <w:bookmarkStart w:id="22" w:name="_Toc235095553"/>
      <w:r w:rsidRPr="008A00D2">
        <w:rPr>
          <w:lang w:val="en-GB"/>
        </w:rPr>
        <w:t>5.1 Tool Disclosure</w:t>
      </w:r>
      <w:bookmarkEnd w:id="22"/>
    </w:p>
    <w:p w14:paraId="53396D2D" w14:textId="77777777" w:rsidR="00961F87" w:rsidRPr="008A00D2" w:rsidRDefault="00000000" w:rsidP="00961F87">
      <w:pPr>
        <w:rPr>
          <w:lang w:val="en-GB"/>
        </w:rPr>
      </w:pPr>
      <w:r w:rsidRPr="008A00D2">
        <w:rPr>
          <w:lang w:val="en-GB"/>
        </w:rPr>
        <w:t>The use of Artificial Intelligence (AI) to develop this financial report has been applied in a few and open ways. The only kind of generative AI tool to be utilised, as it was shown in the AI Use Acknowledgement, was ChatGPT, which was utilised to consult the tool on the proper calculation formulae to apply in financial ratios and investment appraisal techniques. This involved profitability, liquidity, efficiency, gearing, investment and cash-flow ratios, Payback Period (PBP), Accounting Rate of Return (ARR), Net Present Value (NPV), Profitability Index (PI) and Internal Rate of Return (IRR)</w:t>
      </w:r>
      <w:r w:rsidR="00087DC7" w:rsidRPr="008A00D2">
        <w:rPr>
          <w:lang w:val="en-GB"/>
        </w:rPr>
        <w:t xml:space="preserve"> (Lorentzen and Osmundsen, 2023)</w:t>
      </w:r>
      <w:r w:rsidRPr="008A00D2">
        <w:rPr>
          <w:lang w:val="en-GB"/>
        </w:rPr>
        <w:t>. Financial data was not collected with the help of AI; the analysis of the report and the creation of final strategic recommendations were not written by AI.</w:t>
      </w:r>
    </w:p>
    <w:p w14:paraId="472D74BD" w14:textId="34FC314C" w:rsidR="00154A90" w:rsidRPr="008A00D2" w:rsidRDefault="00154A90" w:rsidP="00E53CCC">
      <w:pPr>
        <w:pStyle w:val="Heading2"/>
        <w:rPr>
          <w:lang w:val="en-GB"/>
        </w:rPr>
      </w:pPr>
      <w:bookmarkStart w:id="23" w:name="_Toc235095554"/>
      <w:r w:rsidRPr="008A00D2">
        <w:rPr>
          <w:lang w:val="en-GB"/>
        </w:rPr>
        <w:lastRenderedPageBreak/>
        <w:t xml:space="preserve">5.2 Critical </w:t>
      </w:r>
      <w:r w:rsidR="00E53CCC" w:rsidRPr="008A00D2">
        <w:rPr>
          <w:lang w:val="en-GB"/>
        </w:rPr>
        <w:t>Evaluation</w:t>
      </w:r>
      <w:r w:rsidRPr="008A00D2">
        <w:rPr>
          <w:lang w:val="en-GB"/>
        </w:rPr>
        <w:t xml:space="preserve"> of AI </w:t>
      </w:r>
      <w:r w:rsidR="00E53CCC" w:rsidRPr="008A00D2">
        <w:rPr>
          <w:lang w:val="en-GB"/>
        </w:rPr>
        <w:t>Output</w:t>
      </w:r>
      <w:bookmarkEnd w:id="23"/>
    </w:p>
    <w:p w14:paraId="5D1E37B4" w14:textId="093A3DC4" w:rsidR="00961F87" w:rsidRPr="008A00D2" w:rsidRDefault="00000000" w:rsidP="00961F87">
      <w:pPr>
        <w:rPr>
          <w:lang w:val="en-GB"/>
        </w:rPr>
      </w:pPr>
      <w:r w:rsidRPr="008A00D2">
        <w:rPr>
          <w:lang w:val="en-GB"/>
        </w:rPr>
        <w:t xml:space="preserve">The quality of formulae produced by AI was questioned as opposed to being blindly accepted. Formulas were </w:t>
      </w:r>
      <w:r w:rsidR="00A22232" w:rsidRPr="008A00D2">
        <w:rPr>
          <w:lang w:val="en-GB"/>
        </w:rPr>
        <w:t>cross verified</w:t>
      </w:r>
      <w:r w:rsidRPr="008A00D2">
        <w:rPr>
          <w:lang w:val="en-GB"/>
        </w:rPr>
        <w:t xml:space="preserve"> by each formula against the accepted principles of financial management and then used manually on data found in the annual reports of IHGA. Consistency and reasonableness of the results calculated mathematically were verified. Particular attention was given to such potential AI hallucinations as false formulae, incorrect denominators and logical inconsistency. Indicatively, the differences in the treatment of average and year-end assets, equity, inventory, receivables and payables needed independent methodology judgement</w:t>
      </w:r>
      <w:r w:rsidR="00087DC7" w:rsidRPr="008A00D2">
        <w:rPr>
          <w:lang w:val="en-GB"/>
        </w:rPr>
        <w:t xml:space="preserve"> (Lorentzen and Osmundsen, 2023)</w:t>
      </w:r>
      <w:r w:rsidRPr="008A00D2">
        <w:rPr>
          <w:lang w:val="en-GB"/>
        </w:rPr>
        <w:t>. Similarly, investment appraisal outputs were counterchecked to establish that the following assumptions of an 8 per cent discount rate and straight-line depreciation of the investment appraisal were suitably applied in the assessment brief. The given check proved that AI output is to be used as preliminary help, but not as the data that can be taken as authoritative financial statements.</w:t>
      </w:r>
    </w:p>
    <w:p w14:paraId="5E9872C7" w14:textId="57EB77A1" w:rsidR="00E53CCC" w:rsidRPr="008A00D2" w:rsidRDefault="00E53CCC" w:rsidP="00E53CCC">
      <w:pPr>
        <w:pStyle w:val="Heading2"/>
        <w:rPr>
          <w:lang w:val="en-GB"/>
        </w:rPr>
      </w:pPr>
      <w:bookmarkStart w:id="24" w:name="_Toc235095555"/>
      <w:r w:rsidRPr="008A00D2">
        <w:rPr>
          <w:lang w:val="en-GB"/>
        </w:rPr>
        <w:t>5.3 Contribution Analysis</w:t>
      </w:r>
      <w:bookmarkEnd w:id="24"/>
    </w:p>
    <w:p w14:paraId="6B4BE4DB" w14:textId="77777777" w:rsidR="00961F87" w:rsidRPr="008A00D2" w:rsidRDefault="00000000" w:rsidP="00961F87">
      <w:pPr>
        <w:rPr>
          <w:lang w:val="en-GB"/>
        </w:rPr>
      </w:pPr>
      <w:r w:rsidRPr="008A00D2">
        <w:rPr>
          <w:lang w:val="en-GB"/>
        </w:rPr>
        <w:t>The input of AI was still evidently different to the original work by the student. The independent analysis and strategic synthesis included the selection and collection of IHG financial data, completion of calculations, the creation of tables and figures, interpretation of the five-year trends, analysis of the working capital, design of the restructuring strategy, analysis of investment opportunities, and final recommendations, only with the aid of ChatGPT to find and describe the formulae of calculations</w:t>
      </w:r>
      <w:r w:rsidR="00087DC7" w:rsidRPr="008A00D2">
        <w:rPr>
          <w:lang w:val="en-GB"/>
        </w:rPr>
        <w:t xml:space="preserve"> (Suijs and Azinovic-Yang, 2022)</w:t>
      </w:r>
      <w:r w:rsidRPr="008A00D2">
        <w:rPr>
          <w:lang w:val="en-GB"/>
        </w:rPr>
        <w:t>. As a result, AI was used as a technological support tool, as opposed to a replacement for critical thinking or professional judgement.</w:t>
      </w:r>
    </w:p>
    <w:p w14:paraId="37DC5C8F" w14:textId="24C2C041" w:rsidR="00E53CCC" w:rsidRPr="008A00D2" w:rsidRDefault="00E53CCC" w:rsidP="00E53CCC">
      <w:pPr>
        <w:pStyle w:val="Heading2"/>
        <w:rPr>
          <w:lang w:val="en-GB"/>
        </w:rPr>
      </w:pPr>
      <w:bookmarkStart w:id="25" w:name="_Toc235095556"/>
      <w:r w:rsidRPr="008A00D2">
        <w:rPr>
          <w:lang w:val="en-GB"/>
        </w:rPr>
        <w:t>5.4 Ethical &amp; Professional Reflection</w:t>
      </w:r>
      <w:bookmarkEnd w:id="25"/>
    </w:p>
    <w:p w14:paraId="12B43CA9" w14:textId="4EDF4769" w:rsidR="00DD4592" w:rsidRPr="008A00D2" w:rsidRDefault="00000000" w:rsidP="00DD4592">
      <w:pPr>
        <w:rPr>
          <w:lang w:val="en-GB"/>
        </w:rPr>
      </w:pPr>
      <w:r w:rsidRPr="008A00D2">
        <w:rPr>
          <w:lang w:val="en-GB"/>
        </w:rPr>
        <w:t xml:space="preserve">Artificially intelligent (AI) can be used to increase efficiencies in financial employment, but its use presents pronounced ethical concerns in the areas of transparency, confidentiality and accountability. It can be dangerous to send commercially sensitive data or even personal financial data to outside AI systems, as it could become a data-privacy risk. </w:t>
      </w:r>
      <w:r w:rsidRPr="008A00D2">
        <w:rPr>
          <w:lang w:val="en-GB"/>
        </w:rPr>
        <w:lastRenderedPageBreak/>
        <w:t>Besides, overreliance on AI in decision-making processes at the executive level may result in faulty suggestions, automation bias and professional scepticism. A CFO will always be held responsible for making financial decisions, and they cannot transfer fiduciary responsibility to an AI system</w:t>
      </w:r>
      <w:r w:rsidR="00087DC7" w:rsidRPr="008A00D2">
        <w:rPr>
          <w:lang w:val="en-GB"/>
        </w:rPr>
        <w:t xml:space="preserve"> (Suijs and Azinovic-Yang, 2022)</w:t>
      </w:r>
      <w:r w:rsidRPr="008A00D2">
        <w:rPr>
          <w:lang w:val="en-GB"/>
        </w:rPr>
        <w:t>. Therefore, AI utilisation must be responsible and transparently disclosed, verified by a third party, with confidential information privacy and human control. This report established transparency and ensured that financial interpretations, as well as strategic choices, are made on independent human judgment by limiting AI to formula recommendations.</w:t>
      </w:r>
    </w:p>
    <w:p w14:paraId="6F3B3EA6" w14:textId="77777777" w:rsidR="00DD4592" w:rsidRPr="008A00D2" w:rsidRDefault="00DD4592">
      <w:pPr>
        <w:spacing w:before="0" w:after="160" w:line="278" w:lineRule="auto"/>
        <w:jc w:val="left"/>
        <w:rPr>
          <w:rFonts w:eastAsiaTheme="majorEastAsia" w:cstheme="majorBidi"/>
          <w:b/>
          <w:sz w:val="28"/>
          <w:szCs w:val="40"/>
          <w:lang w:val="en-GB"/>
        </w:rPr>
      </w:pPr>
      <w:r w:rsidRPr="008A00D2">
        <w:rPr>
          <w:lang w:val="en-GB"/>
        </w:rPr>
        <w:br w:type="page"/>
      </w:r>
    </w:p>
    <w:p w14:paraId="4A6DF7FD" w14:textId="201C0D69" w:rsidR="00420556" w:rsidRPr="008A00D2" w:rsidRDefault="00000000" w:rsidP="00087DC7">
      <w:pPr>
        <w:pStyle w:val="Heading1"/>
        <w:rPr>
          <w:lang w:val="en-GB"/>
        </w:rPr>
      </w:pPr>
      <w:bookmarkStart w:id="26" w:name="_Toc235095557"/>
      <w:r w:rsidRPr="008A00D2">
        <w:rPr>
          <w:lang w:val="en-GB"/>
        </w:rPr>
        <w:lastRenderedPageBreak/>
        <w:t>Reference List</w:t>
      </w:r>
      <w:bookmarkEnd w:id="26"/>
    </w:p>
    <w:p w14:paraId="77CF7B4D" w14:textId="77777777" w:rsidR="00087DC7" w:rsidRPr="008A00D2" w:rsidRDefault="00000000" w:rsidP="00CA5D80">
      <w:pPr>
        <w:rPr>
          <w:lang w:val="en-GB"/>
        </w:rPr>
      </w:pPr>
      <w:r w:rsidRPr="008A00D2">
        <w:rPr>
          <w:lang w:val="en-GB"/>
        </w:rPr>
        <w:t xml:space="preserve">Adurayemi, A. C., and Ade, A. M. (2024). Capital Rationing and SMEs Profitability in Nigeria. </w:t>
      </w:r>
      <w:hyperlink r:id="rId22" w:history="1">
        <w:r w:rsidR="00087DC7" w:rsidRPr="008A00D2">
          <w:rPr>
            <w:rStyle w:val="Hyperlink"/>
            <w:lang w:val="en-GB"/>
          </w:rPr>
          <w:t>https://pdfs.semanticscholar.org/35a5/bb49f24316b91aca42cd512ab042a58b81c7.pdf</w:t>
        </w:r>
      </w:hyperlink>
    </w:p>
    <w:p w14:paraId="6DBA235E" w14:textId="77777777" w:rsidR="00087DC7" w:rsidRPr="008A00D2" w:rsidRDefault="00000000" w:rsidP="00CA5D80">
      <w:pPr>
        <w:rPr>
          <w:lang w:val="en-GB"/>
        </w:rPr>
      </w:pPr>
      <w:r w:rsidRPr="008A00D2">
        <w:rPr>
          <w:lang w:val="en-GB"/>
        </w:rPr>
        <w:t>Ahmad, A. A., Karimah, H., and Akbar, M. A. A. (2026). Profitability Stability and Liquidity Risk Mitigation: An Empirical Analysis of Indonesian Guarantee Institutions. </w:t>
      </w:r>
      <w:r w:rsidRPr="008A00D2">
        <w:rPr>
          <w:i/>
          <w:iCs/>
          <w:lang w:val="en-GB"/>
        </w:rPr>
        <w:t>Warmadewa Management and Business Journal (WMBJ)</w:t>
      </w:r>
      <w:r w:rsidRPr="008A00D2">
        <w:rPr>
          <w:lang w:val="en-GB"/>
        </w:rPr>
        <w:t>, </w:t>
      </w:r>
      <w:r w:rsidRPr="008A00D2">
        <w:rPr>
          <w:i/>
          <w:iCs/>
          <w:lang w:val="en-GB"/>
        </w:rPr>
        <w:t>8</w:t>
      </w:r>
      <w:r w:rsidRPr="008A00D2">
        <w:rPr>
          <w:lang w:val="en-GB"/>
        </w:rPr>
        <w:t xml:space="preserve">(1), 42-51. </w:t>
      </w:r>
      <w:hyperlink r:id="rId23" w:history="1">
        <w:r w:rsidR="00087DC7" w:rsidRPr="008A00D2">
          <w:rPr>
            <w:rStyle w:val="Hyperlink"/>
            <w:lang w:val="en-GB"/>
          </w:rPr>
          <w:t>https://ejournal.warmadewa.ac.id/index.php/wmbj/article/view/14517/7274</w:t>
        </w:r>
      </w:hyperlink>
    </w:p>
    <w:p w14:paraId="18EBCAA8" w14:textId="77777777" w:rsidR="00087DC7" w:rsidRPr="008A00D2" w:rsidRDefault="00000000" w:rsidP="00CA5D80">
      <w:pPr>
        <w:rPr>
          <w:lang w:val="en-GB"/>
        </w:rPr>
      </w:pPr>
      <w:r w:rsidRPr="008A00D2">
        <w:rPr>
          <w:lang w:val="en-GB"/>
        </w:rPr>
        <w:t>Akbar, I. (2022). Implementation of Debt to Equity Swap as a Corporation Debt Restructuring Effort. </w:t>
      </w:r>
      <w:r w:rsidRPr="008A00D2">
        <w:rPr>
          <w:i/>
          <w:iCs/>
          <w:lang w:val="en-GB"/>
        </w:rPr>
        <w:t>Legal Brief</w:t>
      </w:r>
      <w:r w:rsidRPr="008A00D2">
        <w:rPr>
          <w:lang w:val="en-GB"/>
        </w:rPr>
        <w:t>, </w:t>
      </w:r>
      <w:r w:rsidRPr="008A00D2">
        <w:rPr>
          <w:i/>
          <w:iCs/>
          <w:lang w:val="en-GB"/>
        </w:rPr>
        <w:t>11</w:t>
      </w:r>
      <w:r w:rsidRPr="008A00D2">
        <w:rPr>
          <w:lang w:val="en-GB"/>
        </w:rPr>
        <w:t xml:space="preserve">(5), 3070-3080. </w:t>
      </w:r>
      <w:hyperlink r:id="rId24" w:history="1">
        <w:r w:rsidR="00087DC7" w:rsidRPr="008A00D2">
          <w:rPr>
            <w:rStyle w:val="Hyperlink"/>
            <w:lang w:val="en-GB"/>
          </w:rPr>
          <w:t>https://www.legal.isha.or.id/index.php/legal/article/download/622/483</w:t>
        </w:r>
      </w:hyperlink>
    </w:p>
    <w:p w14:paraId="28CA4C19" w14:textId="77777777" w:rsidR="00087DC7" w:rsidRPr="008A00D2" w:rsidRDefault="00000000" w:rsidP="00CA5D80">
      <w:pPr>
        <w:rPr>
          <w:lang w:val="en-GB"/>
        </w:rPr>
      </w:pPr>
      <w:r w:rsidRPr="008A00D2">
        <w:rPr>
          <w:lang w:val="en-GB"/>
        </w:rPr>
        <w:t>Aldubhani, M. A., Wang, J., Gong, T., and Maudhah, R. A. (2022). Impact of working capital management on profitability: evidence from listed companies in Qatar. </w:t>
      </w:r>
      <w:r w:rsidRPr="008A00D2">
        <w:rPr>
          <w:i/>
          <w:iCs/>
          <w:lang w:val="en-GB"/>
        </w:rPr>
        <w:t>Journal of Money and Business</w:t>
      </w:r>
      <w:r w:rsidRPr="008A00D2">
        <w:rPr>
          <w:lang w:val="en-GB"/>
        </w:rPr>
        <w:t>, </w:t>
      </w:r>
      <w:r w:rsidRPr="008A00D2">
        <w:rPr>
          <w:i/>
          <w:iCs/>
          <w:lang w:val="en-GB"/>
        </w:rPr>
        <w:t>2</w:t>
      </w:r>
      <w:r w:rsidRPr="008A00D2">
        <w:rPr>
          <w:lang w:val="en-GB"/>
        </w:rPr>
        <w:t xml:space="preserve">(1), 70-81. </w:t>
      </w:r>
      <w:hyperlink r:id="rId25" w:history="1">
        <w:r w:rsidR="00087DC7" w:rsidRPr="008A00D2">
          <w:rPr>
            <w:rStyle w:val="Hyperlink"/>
            <w:lang w:val="en-GB"/>
          </w:rPr>
          <w:t>https://www.emerald.com/jmb/article-pdf/2/1/70/1618176/jmb-08-2021-0032.pdf</w:t>
        </w:r>
      </w:hyperlink>
    </w:p>
    <w:p w14:paraId="73D63658" w14:textId="77777777" w:rsidR="00087DC7" w:rsidRPr="008A00D2" w:rsidRDefault="00000000" w:rsidP="00CA5D80">
      <w:pPr>
        <w:rPr>
          <w:lang w:val="en-GB"/>
        </w:rPr>
      </w:pPr>
      <w:r w:rsidRPr="008A00D2">
        <w:rPr>
          <w:lang w:val="en-GB"/>
        </w:rPr>
        <w:t>Al-Shattarat, H. K., Haddad, H., Abdelateef Mahmoud, S., and Syed, A. M. (2023). The impact of liquidity ratios and cash flow sources in profitability in industrial companies listed in the Amman Stock Exchange. In </w:t>
      </w:r>
      <w:r w:rsidRPr="008A00D2">
        <w:rPr>
          <w:i/>
          <w:iCs/>
          <w:lang w:val="en-GB"/>
        </w:rPr>
        <w:t>Artificial Intelligence (AI) and finance</w:t>
      </w:r>
      <w:r w:rsidRPr="008A00D2">
        <w:rPr>
          <w:lang w:val="en-GB"/>
        </w:rPr>
        <w:t xml:space="preserve"> (pp. 733-743). Cham: Springer Nature Switzerland. </w:t>
      </w:r>
      <w:hyperlink r:id="rId26" w:anchor="page=747" w:history="1">
        <w:r w:rsidR="00087DC7" w:rsidRPr="008A00D2">
          <w:rPr>
            <w:rStyle w:val="Hyperlink"/>
            <w:lang w:val="en-GB"/>
          </w:rPr>
          <w:t>https://www.researchgate.net/profile/Jalal-Al-Kayid-2/publication/373433145_The_Role_of_Digital_Transformation_in_Juvenile_Trial/links/6737b4cfa78ba469f062b8b1/The-Role-of-Digital-Transformation-in-Juvenile-Trial.pdf#page=747</w:t>
        </w:r>
      </w:hyperlink>
    </w:p>
    <w:p w14:paraId="7BEFB0F2" w14:textId="77777777" w:rsidR="00087DC7" w:rsidRPr="008A00D2" w:rsidRDefault="00000000" w:rsidP="00CA5D80">
      <w:pPr>
        <w:rPr>
          <w:lang w:val="en-GB"/>
        </w:rPr>
      </w:pPr>
      <w:r w:rsidRPr="008A00D2">
        <w:rPr>
          <w:lang w:val="en-GB"/>
        </w:rPr>
        <w:t>Andini, Y. S. (2026). Analysis of Financial Performance of Industrial Sector Companies Through Liquidity, Leverage and Efficiency Ratios. </w:t>
      </w:r>
      <w:r w:rsidRPr="008A00D2">
        <w:rPr>
          <w:i/>
          <w:iCs/>
          <w:lang w:val="en-GB"/>
        </w:rPr>
        <w:t>Journal of Governance, Taxation and Auditing</w:t>
      </w:r>
      <w:r w:rsidRPr="008A00D2">
        <w:rPr>
          <w:lang w:val="en-GB"/>
        </w:rPr>
        <w:t>, </w:t>
      </w:r>
      <w:r w:rsidRPr="008A00D2">
        <w:rPr>
          <w:i/>
          <w:iCs/>
          <w:lang w:val="en-GB"/>
        </w:rPr>
        <w:t>4</w:t>
      </w:r>
      <w:r w:rsidRPr="008A00D2">
        <w:rPr>
          <w:lang w:val="en-GB"/>
        </w:rPr>
        <w:t xml:space="preserve">(3), 639-659. </w:t>
      </w:r>
      <w:hyperlink r:id="rId27" w:history="1">
        <w:r w:rsidR="00087DC7" w:rsidRPr="008A00D2">
          <w:rPr>
            <w:rStyle w:val="Hyperlink"/>
            <w:lang w:val="en-GB"/>
          </w:rPr>
          <w:t>https://www.journalkeberlanjutan.com/index.php/JoGTA/article/download/1734/1468</w:t>
        </w:r>
      </w:hyperlink>
    </w:p>
    <w:p w14:paraId="3564322B" w14:textId="77777777" w:rsidR="00087DC7" w:rsidRPr="008A00D2" w:rsidRDefault="00000000" w:rsidP="00CA5D80">
      <w:pPr>
        <w:rPr>
          <w:lang w:val="en-GB"/>
        </w:rPr>
      </w:pPr>
      <w:r w:rsidRPr="008A00D2">
        <w:rPr>
          <w:lang w:val="en-GB"/>
        </w:rPr>
        <w:lastRenderedPageBreak/>
        <w:t>Arifaj, A. H., Berisha, V., Morina, F., and Avdyli, E. (2023). Exploring the impact of cash flow, company size, and debt on financial performance in corporations. </w:t>
      </w:r>
      <w:r w:rsidRPr="008A00D2">
        <w:rPr>
          <w:i/>
          <w:iCs/>
          <w:lang w:val="en-GB"/>
        </w:rPr>
        <w:t>Investment Management &amp; Financial Innovations</w:t>
      </w:r>
      <w:r w:rsidRPr="008A00D2">
        <w:rPr>
          <w:lang w:val="en-GB"/>
        </w:rPr>
        <w:t>, </w:t>
      </w:r>
      <w:r w:rsidRPr="008A00D2">
        <w:rPr>
          <w:i/>
          <w:iCs/>
          <w:lang w:val="en-GB"/>
        </w:rPr>
        <w:t>20</w:t>
      </w:r>
      <w:r w:rsidRPr="008A00D2">
        <w:rPr>
          <w:lang w:val="en-GB"/>
        </w:rPr>
        <w:t xml:space="preserve">(3), 264. </w:t>
      </w:r>
      <w:hyperlink r:id="rId28" w:history="1">
        <w:r w:rsidR="00087DC7" w:rsidRPr="008A00D2">
          <w:rPr>
            <w:rStyle w:val="Hyperlink"/>
            <w:lang w:val="en-GB"/>
          </w:rPr>
          <w:t>https://pdfs.semanticscholar.org/b297/a823988fa5f3b58516df9f08c16c2c20d0e5.pdf</w:t>
        </w:r>
      </w:hyperlink>
    </w:p>
    <w:p w14:paraId="5FE57802" w14:textId="77777777" w:rsidR="00087DC7" w:rsidRPr="008A00D2" w:rsidRDefault="00000000" w:rsidP="00CA5D80">
      <w:pPr>
        <w:rPr>
          <w:lang w:val="en-GB"/>
        </w:rPr>
      </w:pPr>
      <w:r w:rsidRPr="008A00D2">
        <w:rPr>
          <w:lang w:val="en-GB"/>
        </w:rPr>
        <w:t>Blessing, H., and Sakouvogui, G. (2023). Impact of liquidity and solvency ratios on financial performance: a comprehensive analysis. </w:t>
      </w:r>
      <w:r w:rsidRPr="008A00D2">
        <w:rPr>
          <w:i/>
          <w:iCs/>
          <w:lang w:val="en-GB"/>
        </w:rPr>
        <w:t>Indonesia Auditing Research Journal</w:t>
      </w:r>
      <w:r w:rsidRPr="008A00D2">
        <w:rPr>
          <w:lang w:val="en-GB"/>
        </w:rPr>
        <w:t>, </w:t>
      </w:r>
      <w:r w:rsidRPr="008A00D2">
        <w:rPr>
          <w:i/>
          <w:iCs/>
          <w:lang w:val="en-GB"/>
        </w:rPr>
        <w:t>12</w:t>
      </w:r>
      <w:r w:rsidRPr="008A00D2">
        <w:rPr>
          <w:lang w:val="en-GB"/>
        </w:rPr>
        <w:t xml:space="preserve">(3), 102-115. </w:t>
      </w:r>
      <w:hyperlink r:id="rId29" w:history="1">
        <w:r w:rsidR="00087DC7" w:rsidRPr="008A00D2">
          <w:rPr>
            <w:rStyle w:val="Hyperlink"/>
            <w:lang w:val="en-GB"/>
          </w:rPr>
          <w:t>http://journals.iarn.or.id/index.php/ARJ/article/download/208/141</w:t>
        </w:r>
      </w:hyperlink>
    </w:p>
    <w:p w14:paraId="0139BD25" w14:textId="77777777" w:rsidR="00087DC7" w:rsidRPr="008A00D2" w:rsidRDefault="00000000" w:rsidP="00CA5D80">
      <w:pPr>
        <w:rPr>
          <w:lang w:val="en-GB"/>
        </w:rPr>
      </w:pPr>
      <w:r w:rsidRPr="008A00D2">
        <w:rPr>
          <w:lang w:val="en-GB"/>
        </w:rPr>
        <w:t>Chang, C. C. (2022). Cash conversion cycle and corporate performance: Global evidence. In </w:t>
      </w:r>
      <w:r w:rsidRPr="008A00D2">
        <w:rPr>
          <w:i/>
          <w:iCs/>
          <w:lang w:val="en-GB"/>
        </w:rPr>
        <w:t>Encyclopedia of Finance</w:t>
      </w:r>
      <w:r w:rsidRPr="008A00D2">
        <w:rPr>
          <w:lang w:val="en-GB"/>
        </w:rPr>
        <w:t xml:space="preserve"> (pp. 2597-2626). Cham: Springer International Publishing. </w:t>
      </w:r>
      <w:hyperlink r:id="rId30" w:history="1">
        <w:r w:rsidR="00087DC7" w:rsidRPr="008A00D2">
          <w:rPr>
            <w:rStyle w:val="Hyperlink"/>
            <w:lang w:val="en-GB"/>
          </w:rPr>
          <w:t>https://copify.ir/wp-content/uploads/2018/01/2018-4.pdf</w:t>
        </w:r>
      </w:hyperlink>
    </w:p>
    <w:p w14:paraId="1F19F4CF" w14:textId="77777777" w:rsidR="00087DC7" w:rsidRPr="008A00D2" w:rsidRDefault="00000000" w:rsidP="00CA5D80">
      <w:pPr>
        <w:rPr>
          <w:lang w:val="en-GB"/>
        </w:rPr>
      </w:pPr>
      <w:r w:rsidRPr="008A00D2">
        <w:rPr>
          <w:lang w:val="en-GB"/>
        </w:rPr>
        <w:t>Hasidi, M. H., Baheri, J., and Hajar, K. I. (2024). Financial performance evaluation using profitability and liquidity ratio analysis. </w:t>
      </w:r>
      <w:r w:rsidRPr="008A00D2">
        <w:rPr>
          <w:i/>
          <w:iCs/>
          <w:lang w:val="en-GB"/>
        </w:rPr>
        <w:t>Jurnal Ilmiah Manajemen Kesatuan</w:t>
      </w:r>
      <w:r w:rsidRPr="008A00D2">
        <w:rPr>
          <w:lang w:val="en-GB"/>
        </w:rPr>
        <w:t>, </w:t>
      </w:r>
      <w:r w:rsidRPr="008A00D2">
        <w:rPr>
          <w:i/>
          <w:iCs/>
          <w:lang w:val="en-GB"/>
        </w:rPr>
        <w:t>12</w:t>
      </w:r>
      <w:r w:rsidRPr="008A00D2">
        <w:rPr>
          <w:lang w:val="en-GB"/>
        </w:rPr>
        <w:t xml:space="preserve">(4), 1347-1358. </w:t>
      </w:r>
      <w:hyperlink r:id="rId31" w:history="1">
        <w:r w:rsidR="00087DC7" w:rsidRPr="008A00D2">
          <w:rPr>
            <w:rStyle w:val="Hyperlink"/>
            <w:lang w:val="en-GB"/>
          </w:rPr>
          <w:t>https://jurnal.ibik.ac.id/index.php/jimkes/article/download/2742/1966</w:t>
        </w:r>
      </w:hyperlink>
    </w:p>
    <w:p w14:paraId="41D15DCD" w14:textId="77777777" w:rsidR="00087DC7" w:rsidRPr="008A00D2" w:rsidRDefault="00000000" w:rsidP="00CA5D80">
      <w:pPr>
        <w:rPr>
          <w:lang w:val="en-GB"/>
        </w:rPr>
      </w:pPr>
      <w:r w:rsidRPr="008A00D2">
        <w:rPr>
          <w:lang w:val="en-GB"/>
        </w:rPr>
        <w:t>Jaworski, J., and Czerwonka, L. (2022). Profitability and working capital management: evidence from the Warsaw stock exchange. </w:t>
      </w:r>
      <w:r w:rsidRPr="008A00D2">
        <w:rPr>
          <w:i/>
          <w:iCs/>
          <w:lang w:val="en-GB"/>
        </w:rPr>
        <w:t>Journal of Business Economics and Management (JBEM)</w:t>
      </w:r>
      <w:r w:rsidRPr="008A00D2">
        <w:rPr>
          <w:lang w:val="en-GB"/>
        </w:rPr>
        <w:t>, </w:t>
      </w:r>
      <w:r w:rsidRPr="008A00D2">
        <w:rPr>
          <w:i/>
          <w:iCs/>
          <w:lang w:val="en-GB"/>
        </w:rPr>
        <w:t>23</w:t>
      </w:r>
      <w:r w:rsidRPr="008A00D2">
        <w:rPr>
          <w:lang w:val="en-GB"/>
        </w:rPr>
        <w:t xml:space="preserve">(1), 180-198. </w:t>
      </w:r>
      <w:hyperlink r:id="rId32" w:history="1">
        <w:r w:rsidR="00087DC7" w:rsidRPr="008A00D2">
          <w:rPr>
            <w:rStyle w:val="Hyperlink"/>
            <w:lang w:val="en-GB"/>
          </w:rPr>
          <w:t>https://www.econstor.eu/bitstream/10419/317552/1/1807522911.pdf</w:t>
        </w:r>
      </w:hyperlink>
    </w:p>
    <w:p w14:paraId="18085415" w14:textId="77777777" w:rsidR="00087DC7" w:rsidRPr="008A00D2" w:rsidRDefault="00000000" w:rsidP="00CA5D80">
      <w:pPr>
        <w:rPr>
          <w:lang w:val="en-GB"/>
        </w:rPr>
      </w:pPr>
      <w:r w:rsidRPr="008A00D2">
        <w:rPr>
          <w:lang w:val="en-GB"/>
        </w:rPr>
        <w:t>Karim, R., Mamun, M. A. A., and Kamruzzaman, A. S. M. (2024). Cash conversion cycle and financial performance: evidence from manufacturing firms of Bangladesh. </w:t>
      </w:r>
      <w:r w:rsidRPr="008A00D2">
        <w:rPr>
          <w:i/>
          <w:iCs/>
          <w:lang w:val="en-GB"/>
        </w:rPr>
        <w:t>Asian Journal of Economics and Banking</w:t>
      </w:r>
      <w:r w:rsidRPr="008A00D2">
        <w:rPr>
          <w:lang w:val="en-GB"/>
        </w:rPr>
        <w:t>, </w:t>
      </w:r>
      <w:r w:rsidRPr="008A00D2">
        <w:rPr>
          <w:i/>
          <w:iCs/>
          <w:lang w:val="en-GB"/>
        </w:rPr>
        <w:t>8</w:t>
      </w:r>
      <w:r w:rsidRPr="008A00D2">
        <w:rPr>
          <w:lang w:val="en-GB"/>
        </w:rPr>
        <w:t xml:space="preserve">(1), 67-82. </w:t>
      </w:r>
      <w:hyperlink r:id="rId33" w:history="1">
        <w:r w:rsidR="00087DC7" w:rsidRPr="008A00D2">
          <w:rPr>
            <w:rStyle w:val="Hyperlink"/>
            <w:lang w:val="en-GB"/>
          </w:rPr>
          <w:t>https://www.emerald.com/ajeb/article-pdf/8/1/67/9525823/ajeb-03-2022-0033.pdf</w:t>
        </w:r>
      </w:hyperlink>
    </w:p>
    <w:p w14:paraId="128E7A41" w14:textId="77777777" w:rsidR="00087DC7" w:rsidRPr="008A00D2" w:rsidRDefault="00000000" w:rsidP="00CA5D80">
      <w:pPr>
        <w:rPr>
          <w:lang w:val="en-GB"/>
        </w:rPr>
      </w:pPr>
      <w:r w:rsidRPr="008A00D2">
        <w:rPr>
          <w:lang w:val="en-GB"/>
        </w:rPr>
        <w:t>Lorentzen, S., and Osmundsen, P. (2023). Capital rationing and business cycles in the Norwegian petroleum industry. </w:t>
      </w:r>
      <w:r w:rsidRPr="008A00D2">
        <w:rPr>
          <w:i/>
          <w:iCs/>
          <w:lang w:val="en-GB"/>
        </w:rPr>
        <w:t>Available at SSRN 4549624</w:t>
      </w:r>
      <w:r w:rsidRPr="008A00D2">
        <w:rPr>
          <w:lang w:val="en-GB"/>
        </w:rPr>
        <w:t xml:space="preserve">. </w:t>
      </w:r>
      <w:hyperlink r:id="rId34" w:history="1">
        <w:r w:rsidR="00087DC7" w:rsidRPr="008A00D2">
          <w:rPr>
            <w:rStyle w:val="Hyperlink"/>
            <w:lang w:val="en-GB"/>
          </w:rPr>
          <w:t>https://papers.ssrn.com/sol3/Delivery.cfm?abstractid=4549624</w:t>
        </w:r>
      </w:hyperlink>
    </w:p>
    <w:p w14:paraId="7EF4D42B" w14:textId="77777777" w:rsidR="00087DC7" w:rsidRPr="008A00D2" w:rsidRDefault="00000000" w:rsidP="00CA5D80">
      <w:pPr>
        <w:rPr>
          <w:lang w:val="en-GB"/>
        </w:rPr>
      </w:pPr>
      <w:r w:rsidRPr="008A00D2">
        <w:rPr>
          <w:lang w:val="en-GB"/>
        </w:rPr>
        <w:lastRenderedPageBreak/>
        <w:t>Mandipa, G., and Sibindi, A. B. (2022). Financial performance and working capital management practices in the retail sector: empirical evidence from South Africa. </w:t>
      </w:r>
      <w:r w:rsidRPr="008A00D2">
        <w:rPr>
          <w:i/>
          <w:iCs/>
          <w:lang w:val="en-GB"/>
        </w:rPr>
        <w:t>Risks</w:t>
      </w:r>
      <w:r w:rsidRPr="008A00D2">
        <w:rPr>
          <w:lang w:val="en-GB"/>
        </w:rPr>
        <w:t>, </w:t>
      </w:r>
      <w:r w:rsidRPr="008A00D2">
        <w:rPr>
          <w:i/>
          <w:iCs/>
          <w:lang w:val="en-GB"/>
        </w:rPr>
        <w:t>10</w:t>
      </w:r>
      <w:r w:rsidRPr="008A00D2">
        <w:rPr>
          <w:lang w:val="en-GB"/>
        </w:rPr>
        <w:t xml:space="preserve">(3), 63. </w:t>
      </w:r>
      <w:hyperlink r:id="rId35" w:history="1">
        <w:r w:rsidR="00087DC7" w:rsidRPr="008A00D2">
          <w:rPr>
            <w:rStyle w:val="Hyperlink"/>
            <w:lang w:val="en-GB"/>
          </w:rPr>
          <w:t>https://www.mdpi.com/2227-9091/10/3/63</w:t>
        </w:r>
      </w:hyperlink>
    </w:p>
    <w:p w14:paraId="117C7D8B" w14:textId="77777777" w:rsidR="00087DC7" w:rsidRPr="008A00D2" w:rsidRDefault="00000000" w:rsidP="00CA5D80">
      <w:pPr>
        <w:rPr>
          <w:lang w:val="en-GB"/>
        </w:rPr>
      </w:pPr>
      <w:r w:rsidRPr="008A00D2">
        <w:rPr>
          <w:lang w:val="en-GB"/>
        </w:rPr>
        <w:t>Mazanec, J. (2022). The impact of working capital management on corporate performance in small–medium enterprises in the Visegrad Group. </w:t>
      </w:r>
      <w:r w:rsidRPr="008A00D2">
        <w:rPr>
          <w:i/>
          <w:iCs/>
          <w:lang w:val="en-GB"/>
        </w:rPr>
        <w:t>Mathematics</w:t>
      </w:r>
      <w:r w:rsidRPr="008A00D2">
        <w:rPr>
          <w:lang w:val="en-GB"/>
        </w:rPr>
        <w:t>, </w:t>
      </w:r>
      <w:r w:rsidRPr="008A00D2">
        <w:rPr>
          <w:i/>
          <w:iCs/>
          <w:lang w:val="en-GB"/>
        </w:rPr>
        <w:t>10</w:t>
      </w:r>
      <w:r w:rsidRPr="008A00D2">
        <w:rPr>
          <w:lang w:val="en-GB"/>
        </w:rPr>
        <w:t xml:space="preserve">(6), 951. </w:t>
      </w:r>
      <w:hyperlink r:id="rId36" w:history="1">
        <w:r w:rsidR="00087DC7" w:rsidRPr="008A00D2">
          <w:rPr>
            <w:rStyle w:val="Hyperlink"/>
            <w:lang w:val="en-GB"/>
          </w:rPr>
          <w:t>https://www.mdpi.com/2227-7390/10/6/951</w:t>
        </w:r>
      </w:hyperlink>
    </w:p>
    <w:p w14:paraId="6FE90427" w14:textId="77777777" w:rsidR="00087DC7" w:rsidRPr="008A00D2" w:rsidRDefault="00000000" w:rsidP="00CA5D80">
      <w:pPr>
        <w:rPr>
          <w:lang w:val="en-GB"/>
        </w:rPr>
      </w:pPr>
      <w:r w:rsidRPr="008A00D2">
        <w:rPr>
          <w:lang w:val="en-GB"/>
        </w:rPr>
        <w:t>Mehmood, A., and De Luca, F. (2025). Financial distress prediction in private firms: developing a model for troubled debt restructuring. </w:t>
      </w:r>
      <w:r w:rsidRPr="008A00D2">
        <w:rPr>
          <w:i/>
          <w:iCs/>
          <w:lang w:val="en-GB"/>
        </w:rPr>
        <w:t>Journal of Applied Accounting Research</w:t>
      </w:r>
      <w:r w:rsidRPr="008A00D2">
        <w:rPr>
          <w:lang w:val="en-GB"/>
        </w:rPr>
        <w:t>, </w:t>
      </w:r>
      <w:r w:rsidRPr="008A00D2">
        <w:rPr>
          <w:i/>
          <w:iCs/>
          <w:lang w:val="en-GB"/>
        </w:rPr>
        <w:t>26</w:t>
      </w:r>
      <w:r w:rsidRPr="008A00D2">
        <w:rPr>
          <w:lang w:val="en-GB"/>
        </w:rPr>
        <w:t xml:space="preserve">(6), 205-222. </w:t>
      </w:r>
      <w:hyperlink r:id="rId37" w:history="1">
        <w:r w:rsidR="00087DC7" w:rsidRPr="008A00D2">
          <w:rPr>
            <w:rStyle w:val="Hyperlink"/>
            <w:lang w:val="en-GB"/>
          </w:rPr>
          <w:t>https://www.emerald.com/jaar/article-pdf/26/6/205/9873185/jaar-12-2022-0325.pdf</w:t>
        </w:r>
      </w:hyperlink>
    </w:p>
    <w:p w14:paraId="59513105" w14:textId="77777777" w:rsidR="00087DC7" w:rsidRPr="008A00D2" w:rsidRDefault="00000000" w:rsidP="00CA5D80">
      <w:pPr>
        <w:rPr>
          <w:lang w:val="en-GB"/>
        </w:rPr>
      </w:pPr>
      <w:r w:rsidRPr="008A00D2">
        <w:rPr>
          <w:lang w:val="en-GB"/>
        </w:rPr>
        <w:t>Mordi, A. K., Jeroh, E., and Ebiaghan, O. F. (2025). Financial flexibility in R&amp;D investment: A study of operating cash flow, earnings before interest and tax and gearing ratio. </w:t>
      </w:r>
      <w:r w:rsidRPr="008A00D2">
        <w:rPr>
          <w:i/>
          <w:iCs/>
          <w:lang w:val="en-GB"/>
        </w:rPr>
        <w:t>Research Journal of Management Practice| ISSN</w:t>
      </w:r>
      <w:r w:rsidRPr="008A00D2">
        <w:rPr>
          <w:lang w:val="en-GB"/>
        </w:rPr>
        <w:t>, </w:t>
      </w:r>
      <w:r w:rsidRPr="008A00D2">
        <w:rPr>
          <w:i/>
          <w:iCs/>
          <w:lang w:val="en-GB"/>
        </w:rPr>
        <w:t>2782</w:t>
      </w:r>
      <w:r w:rsidRPr="008A00D2">
        <w:rPr>
          <w:lang w:val="en-GB"/>
        </w:rPr>
        <w:t xml:space="preserve">, 7674. </w:t>
      </w:r>
      <w:hyperlink r:id="rId38" w:history="1">
        <w:r w:rsidR="00087DC7" w:rsidRPr="008A00D2">
          <w:rPr>
            <w:rStyle w:val="Hyperlink"/>
            <w:lang w:val="en-GB"/>
          </w:rPr>
          <w:t>https://www.researchgate.net/profile/Kelvin-Adim-Mordi/publication/394032413_Financial_Flexibility_in_RD_Investment_A_Study_of_Operating_Cash_Flow_Earnings_before_Interest_and_Tax_and_Gearing_Ratio/links/68854a77253dcb78df887e25/Financial-Flexibility-in-R-D-Investment-A-Study-of-Operating-Cash-Flow-Earnings-before-Interest-and-Tax-and-Gearing-Ratio.pdf</w:t>
        </w:r>
      </w:hyperlink>
    </w:p>
    <w:p w14:paraId="1AD2798A" w14:textId="77777777" w:rsidR="00087DC7" w:rsidRPr="008A00D2" w:rsidRDefault="00000000" w:rsidP="00CA5D80">
      <w:pPr>
        <w:rPr>
          <w:lang w:val="en-GB"/>
        </w:rPr>
      </w:pPr>
      <w:r w:rsidRPr="008A00D2">
        <w:rPr>
          <w:lang w:val="en-GB"/>
        </w:rPr>
        <w:t>Nasution, Y. A., and Yusleny, Y. (2023, February). Financial Performance Measurement Using Profitability Ratios And Liquidity Ratios. In </w:t>
      </w:r>
      <w:r w:rsidRPr="008A00D2">
        <w:rPr>
          <w:i/>
          <w:iCs/>
          <w:lang w:val="en-GB"/>
        </w:rPr>
        <w:t>Proceeding Medan International Conference on Economic and Business</w:t>
      </w:r>
      <w:r w:rsidRPr="008A00D2">
        <w:rPr>
          <w:lang w:val="en-GB"/>
        </w:rPr>
        <w:t xml:space="preserve"> (Vol. 1, pp. 1730-1741). </w:t>
      </w:r>
      <w:hyperlink r:id="rId39" w:history="1">
        <w:r w:rsidR="00087DC7" w:rsidRPr="008A00D2">
          <w:rPr>
            <w:rStyle w:val="Hyperlink"/>
            <w:lang w:val="en-GB"/>
          </w:rPr>
          <w:t>https://proceeding.umsu.ac.id/index.php/Miceb/article/download/282/303</w:t>
        </w:r>
      </w:hyperlink>
    </w:p>
    <w:p w14:paraId="178D6C1E" w14:textId="77777777" w:rsidR="00087DC7" w:rsidRPr="008A00D2" w:rsidRDefault="00000000" w:rsidP="00CA5D80">
      <w:pPr>
        <w:rPr>
          <w:lang w:val="en-GB"/>
        </w:rPr>
      </w:pPr>
      <w:r w:rsidRPr="008A00D2">
        <w:rPr>
          <w:lang w:val="en-GB"/>
        </w:rPr>
        <w:t>Nie, E. (2024). KP snack financial statement and ratio analysis. In </w:t>
      </w:r>
      <w:r w:rsidRPr="008A00D2">
        <w:rPr>
          <w:i/>
          <w:iCs/>
          <w:lang w:val="en-GB"/>
        </w:rPr>
        <w:t>SHS Web of Conferences</w:t>
      </w:r>
      <w:r w:rsidRPr="008A00D2">
        <w:rPr>
          <w:lang w:val="en-GB"/>
        </w:rPr>
        <w:t xml:space="preserve"> (Vol. 181, p. 02019). EDP Sciences. </w:t>
      </w:r>
      <w:hyperlink r:id="rId40" w:history="1">
        <w:r w:rsidR="00087DC7" w:rsidRPr="008A00D2">
          <w:rPr>
            <w:rStyle w:val="Hyperlink"/>
            <w:lang w:val="en-GB"/>
          </w:rPr>
          <w:t>https://www.shs-conferences.org/articles/shsconf/pdf/2024/01/shsconf_icdeba2023_02019.pdf</w:t>
        </w:r>
      </w:hyperlink>
    </w:p>
    <w:p w14:paraId="27796B3B" w14:textId="77777777" w:rsidR="00087DC7" w:rsidRPr="008A00D2" w:rsidRDefault="00000000" w:rsidP="00CA5D80">
      <w:pPr>
        <w:rPr>
          <w:lang w:val="en-GB"/>
        </w:rPr>
      </w:pPr>
      <w:r w:rsidRPr="008A00D2">
        <w:rPr>
          <w:lang w:val="en-GB"/>
        </w:rPr>
        <w:t xml:space="preserve">Okafor, C. G. (2025). International Journal of Financial Reporting &amp; Policy Implementation2 (4): 5-22, April-June, 2025. </w:t>
      </w:r>
      <w:hyperlink r:id="rId41" w:history="1">
        <w:r w:rsidR="00087DC7" w:rsidRPr="008A00D2">
          <w:rPr>
            <w:rStyle w:val="Hyperlink"/>
            <w:lang w:val="en-GB"/>
          </w:rPr>
          <w:t>https://www.researchgate.net/profile/Orjinta-Ifeoma/publication/398512322_Gearing_Ratios_and_Performance_Evidence_from_Co</w:t>
        </w:r>
        <w:r w:rsidR="00087DC7" w:rsidRPr="008A00D2">
          <w:rPr>
            <w:rStyle w:val="Hyperlink"/>
            <w:lang w:val="en-GB"/>
          </w:rPr>
          <w:lastRenderedPageBreak/>
          <w:t>nsumer_Goods_Firms_in_Nigeria/links/6938da9c7e61d05b530d1f75/Gearing-Ratios-and-Performance-Evidence-from-Consumer-Goods-Firms-in-Nigeria.pdf</w:t>
        </w:r>
      </w:hyperlink>
    </w:p>
    <w:p w14:paraId="78136FFA" w14:textId="77777777" w:rsidR="00087DC7" w:rsidRPr="008A00D2" w:rsidRDefault="00000000" w:rsidP="00CA5D80">
      <w:pPr>
        <w:rPr>
          <w:lang w:val="en-GB"/>
        </w:rPr>
      </w:pPr>
      <w:r w:rsidRPr="008A00D2">
        <w:rPr>
          <w:lang w:val="en-GB"/>
        </w:rPr>
        <w:t>Okonkwo, J. J., Okere, W., Okoye, N. J., and Mkparu, E. T. (2023). The effect of capital restructuring on bank financial performance. </w:t>
      </w:r>
      <w:r w:rsidRPr="008A00D2">
        <w:rPr>
          <w:i/>
          <w:iCs/>
          <w:lang w:val="en-GB"/>
        </w:rPr>
        <w:t>AKRUAL: Jurnal Akuntansi</w:t>
      </w:r>
      <w:r w:rsidRPr="008A00D2">
        <w:rPr>
          <w:lang w:val="en-GB"/>
        </w:rPr>
        <w:t>, </w:t>
      </w:r>
      <w:r w:rsidRPr="008A00D2">
        <w:rPr>
          <w:i/>
          <w:iCs/>
          <w:lang w:val="en-GB"/>
        </w:rPr>
        <w:t>15</w:t>
      </w:r>
      <w:r w:rsidRPr="008A00D2">
        <w:rPr>
          <w:lang w:val="en-GB"/>
        </w:rPr>
        <w:t xml:space="preserve">(1), 14-25. </w:t>
      </w:r>
      <w:hyperlink r:id="rId42" w:history="1">
        <w:r w:rsidR="00087DC7" w:rsidRPr="008A00D2">
          <w:rPr>
            <w:rStyle w:val="Hyperlink"/>
            <w:lang w:val="en-GB"/>
          </w:rPr>
          <w:t>https://journal.unesa.ac.id/index.php/aj/article/download/26632/10442</w:t>
        </w:r>
      </w:hyperlink>
    </w:p>
    <w:p w14:paraId="1CBBB6D8" w14:textId="77777777" w:rsidR="00087DC7" w:rsidRPr="008A00D2" w:rsidRDefault="00000000" w:rsidP="00CA5D80">
      <w:pPr>
        <w:rPr>
          <w:lang w:val="en-GB"/>
        </w:rPr>
      </w:pPr>
      <w:r w:rsidRPr="008A00D2">
        <w:rPr>
          <w:lang w:val="en-GB"/>
        </w:rPr>
        <w:t xml:space="preserve">Olajide, J. O., Otokiti, B. O., Nwani, S., Ogunmokun, A. S., Adekunle, B. I., and Fiemotongha, J. E. (2023). Building a working capital optimisation model for vendor and distributor relationship management. </w:t>
      </w:r>
      <w:r w:rsidRPr="008A00D2">
        <w:rPr>
          <w:i/>
          <w:iCs/>
          <w:lang w:val="en-GB"/>
        </w:rPr>
        <w:t>International Journal of Scientific Research in Civil Engineering</w:t>
      </w:r>
      <w:r w:rsidRPr="008A00D2">
        <w:rPr>
          <w:lang w:val="en-GB"/>
        </w:rPr>
        <w:t>, </w:t>
      </w:r>
      <w:r w:rsidRPr="008A00D2">
        <w:rPr>
          <w:i/>
          <w:iCs/>
          <w:lang w:val="en-GB"/>
        </w:rPr>
        <w:t>7</w:t>
      </w:r>
      <w:r w:rsidRPr="008A00D2">
        <w:rPr>
          <w:lang w:val="en-GB"/>
        </w:rPr>
        <w:t xml:space="preserve">(6), 55-66. </w:t>
      </w:r>
      <w:hyperlink r:id="rId43" w:history="1">
        <w:r w:rsidR="00087DC7" w:rsidRPr="008A00D2">
          <w:rPr>
            <w:rStyle w:val="Hyperlink"/>
            <w:lang w:val="en-GB"/>
          </w:rPr>
          <w:t>https://www.researchgate.net/profile/Bolaji-Adekunle/publication/392502592_Building_a_Working_Capital_Optimization_Model_for_Vendor_and_Distributor_Relationship_Management/links/68454ff7c33afe388acaddae/Building-a-Working-Capital-Optimization-Model-for-Vendor-and-Distributor-Relationship-Management.pdf</w:t>
        </w:r>
      </w:hyperlink>
    </w:p>
    <w:p w14:paraId="68623B08" w14:textId="77777777" w:rsidR="00087DC7" w:rsidRPr="008A00D2" w:rsidRDefault="00000000" w:rsidP="00CA5D80">
      <w:pPr>
        <w:rPr>
          <w:lang w:val="en-GB"/>
        </w:rPr>
      </w:pPr>
      <w:r w:rsidRPr="008A00D2">
        <w:rPr>
          <w:lang w:val="en-GB"/>
        </w:rPr>
        <w:t>Olulu-Briggs, O. V., and Wobo, H. O. (2023). Cash flow, liquidity and capital structure on profitability of quoted manufacturing firms in Nigeria. </w:t>
      </w:r>
      <w:r w:rsidRPr="008A00D2">
        <w:rPr>
          <w:i/>
          <w:iCs/>
          <w:lang w:val="en-GB"/>
        </w:rPr>
        <w:t>ICAN, nd</w:t>
      </w:r>
      <w:r w:rsidRPr="008A00D2">
        <w:rPr>
          <w:lang w:val="en-GB"/>
        </w:rPr>
        <w:t xml:space="preserve">. </w:t>
      </w:r>
      <w:hyperlink r:id="rId44" w:history="1">
        <w:r w:rsidR="00087DC7" w:rsidRPr="008A00D2">
          <w:rPr>
            <w:rStyle w:val="Hyperlink"/>
            <w:lang w:val="en-GB"/>
          </w:rPr>
          <w:t>https://icanig.org/documents/23_CASH_FLOW_LIQUIDITY_AND_CAPITAL_STRUCTURE.pdf</w:t>
        </w:r>
      </w:hyperlink>
    </w:p>
    <w:p w14:paraId="1B7F9573" w14:textId="77777777" w:rsidR="00087DC7" w:rsidRPr="008A00D2" w:rsidRDefault="00000000" w:rsidP="00CA5D80">
      <w:pPr>
        <w:rPr>
          <w:lang w:val="en-GB"/>
        </w:rPr>
      </w:pPr>
      <w:r w:rsidRPr="008A00D2">
        <w:rPr>
          <w:lang w:val="en-GB"/>
        </w:rPr>
        <w:t>Sadhishkumar, V., and Swarupa, P. U. (2024). The efficiency of leverage, liquidity, and profitability on the corporate performance of selected manufacturing companies. </w:t>
      </w:r>
      <w:r w:rsidRPr="008A00D2">
        <w:rPr>
          <w:i/>
          <w:iCs/>
          <w:lang w:val="en-GB"/>
        </w:rPr>
        <w:t>International Journal of Indian Culture and Business Management</w:t>
      </w:r>
      <w:r w:rsidRPr="008A00D2">
        <w:rPr>
          <w:lang w:val="en-GB"/>
        </w:rPr>
        <w:t>, </w:t>
      </w:r>
      <w:r w:rsidRPr="008A00D2">
        <w:rPr>
          <w:i/>
          <w:iCs/>
          <w:lang w:val="en-GB"/>
        </w:rPr>
        <w:t>33</w:t>
      </w:r>
      <w:r w:rsidRPr="008A00D2">
        <w:rPr>
          <w:lang w:val="en-GB"/>
        </w:rPr>
        <w:t xml:space="preserve">(1), 1-21. </w:t>
      </w:r>
      <w:hyperlink r:id="rId45" w:history="1">
        <w:r w:rsidR="00087DC7" w:rsidRPr="008A00D2">
          <w:rPr>
            <w:rStyle w:val="Hyperlink"/>
            <w:lang w:val="en-GB"/>
          </w:rPr>
          <w:t>https://www.researchgate.net/profile/Puma-Swarupa/publication/384379000_The_efficiency_of_leverage_liquidity_and_profitability_on_the_corporate_performance_of_selected_manufacturing_companies/links/66f829bbb753fa724d4f04a8/The-efficiency-of-leverage-liquidity-and-profitability-on-the-corporate-performance-of-selected-manufacturing-companies.pdf</w:t>
        </w:r>
      </w:hyperlink>
    </w:p>
    <w:p w14:paraId="089513B4" w14:textId="77777777" w:rsidR="00087DC7" w:rsidRPr="008A00D2" w:rsidRDefault="00000000" w:rsidP="00CA5D80">
      <w:pPr>
        <w:rPr>
          <w:lang w:val="en-GB"/>
        </w:rPr>
      </w:pPr>
      <w:r w:rsidRPr="008A00D2">
        <w:rPr>
          <w:lang w:val="en-GB"/>
        </w:rPr>
        <w:t xml:space="preserve">Shaila, S., Setyaningsih, E. D., and Islami, V. (2025). Business Feasibility Analysis of RBT Wedding Decoration Using the Payback Period (PP) and Profitability Index (PI) </w:t>
      </w:r>
      <w:r w:rsidRPr="008A00D2">
        <w:rPr>
          <w:lang w:val="en-GB"/>
        </w:rPr>
        <w:lastRenderedPageBreak/>
        <w:t>Methods. </w:t>
      </w:r>
      <w:r w:rsidRPr="008A00D2">
        <w:rPr>
          <w:i/>
          <w:iCs/>
          <w:lang w:val="en-GB"/>
        </w:rPr>
        <w:t>Jurnal Multidisiplin Sahombu</w:t>
      </w:r>
      <w:r w:rsidRPr="008A00D2">
        <w:rPr>
          <w:lang w:val="en-GB"/>
        </w:rPr>
        <w:t>, </w:t>
      </w:r>
      <w:r w:rsidRPr="008A00D2">
        <w:rPr>
          <w:i/>
          <w:iCs/>
          <w:lang w:val="en-GB"/>
        </w:rPr>
        <w:t>5</w:t>
      </w:r>
      <w:r w:rsidRPr="008A00D2">
        <w:rPr>
          <w:lang w:val="en-GB"/>
        </w:rPr>
        <w:t xml:space="preserve">(5), 1388-1401. </w:t>
      </w:r>
      <w:hyperlink r:id="rId46" w:history="1">
        <w:r w:rsidR="00087DC7" w:rsidRPr="008A00D2">
          <w:rPr>
            <w:rStyle w:val="Hyperlink"/>
            <w:lang w:val="en-GB"/>
          </w:rPr>
          <w:t>https://ejournal.seaninstitute.or.id/index.php/JMS/article/download/7114/5403</w:t>
        </w:r>
      </w:hyperlink>
    </w:p>
    <w:p w14:paraId="5A219956" w14:textId="77777777" w:rsidR="00087DC7" w:rsidRPr="008A00D2" w:rsidRDefault="00000000" w:rsidP="00CA5D80">
      <w:pPr>
        <w:rPr>
          <w:lang w:val="en-GB"/>
        </w:rPr>
      </w:pPr>
      <w:r w:rsidRPr="008A00D2">
        <w:rPr>
          <w:lang w:val="en-GB"/>
        </w:rPr>
        <w:t>Sinaga, A. S., Sari, M. M., Hutasuhut, A. A., Zahara, S. T., Amanda, A., Fitri, A., and Caesario, M. A. (2023). Comparison of capital budgeting methods: NPV, IRR, PAYBACK PERIOD. </w:t>
      </w:r>
      <w:r w:rsidRPr="008A00D2">
        <w:rPr>
          <w:i/>
          <w:iCs/>
          <w:lang w:val="en-GB"/>
        </w:rPr>
        <w:t>World Journal of Advanced Research and Reviews</w:t>
      </w:r>
      <w:r w:rsidRPr="008A00D2">
        <w:rPr>
          <w:lang w:val="en-GB"/>
        </w:rPr>
        <w:t>, </w:t>
      </w:r>
      <w:r w:rsidRPr="008A00D2">
        <w:rPr>
          <w:i/>
          <w:iCs/>
          <w:lang w:val="en-GB"/>
        </w:rPr>
        <w:t>19</w:t>
      </w:r>
      <w:r w:rsidRPr="008A00D2">
        <w:rPr>
          <w:lang w:val="en-GB"/>
        </w:rPr>
        <w:t xml:space="preserve">(2), 1078-1081. </w:t>
      </w:r>
      <w:hyperlink r:id="rId47" w:history="1">
        <w:r w:rsidR="00087DC7" w:rsidRPr="008A00D2">
          <w:rPr>
            <w:rStyle w:val="Hyperlink"/>
            <w:lang w:val="en-GB"/>
          </w:rPr>
          <w:t>https://pdfs.semanticscholar.org/35f5/923a958b071288b38d4e960e8268477ec19a.pdf</w:t>
        </w:r>
      </w:hyperlink>
    </w:p>
    <w:p w14:paraId="560453E1" w14:textId="77777777" w:rsidR="00087DC7" w:rsidRPr="008A00D2" w:rsidRDefault="00000000" w:rsidP="00CA5D80">
      <w:pPr>
        <w:rPr>
          <w:lang w:val="en-GB"/>
        </w:rPr>
      </w:pPr>
      <w:r w:rsidRPr="008A00D2">
        <w:rPr>
          <w:lang w:val="en-GB"/>
        </w:rPr>
        <w:t>Suijs, J., and Azinovic-Yang, L. (2022). Firm Disclosures and Investors’ Capital Rationing Incentives. </w:t>
      </w:r>
      <w:r w:rsidRPr="008A00D2">
        <w:rPr>
          <w:i/>
          <w:iCs/>
          <w:lang w:val="en-GB"/>
        </w:rPr>
        <w:t>Available at SSRN 4044719</w:t>
      </w:r>
      <w:r w:rsidRPr="008A00D2">
        <w:rPr>
          <w:lang w:val="en-GB"/>
        </w:rPr>
        <w:t xml:space="preserve">. </w:t>
      </w:r>
      <w:hyperlink r:id="rId48" w:history="1">
        <w:r w:rsidR="00087DC7" w:rsidRPr="008A00D2">
          <w:rPr>
            <w:rStyle w:val="Hyperlink"/>
            <w:lang w:val="en-GB"/>
          </w:rPr>
          <w:t>https://papers.ssrn.com/sol3/Delivery.cfm?abstractid=4044719</w:t>
        </w:r>
      </w:hyperlink>
    </w:p>
    <w:p w14:paraId="0D176DBE" w14:textId="413A4C67" w:rsidR="00E327DB" w:rsidRPr="008A00D2" w:rsidRDefault="00000000" w:rsidP="00CA5D80">
      <w:pPr>
        <w:rPr>
          <w:lang w:val="en-GB"/>
        </w:rPr>
      </w:pPr>
      <w:r w:rsidRPr="008A00D2">
        <w:rPr>
          <w:lang w:val="en-GB"/>
        </w:rPr>
        <w:t>Tulhayat, J. M., Azis, F., and Musa, K. S. P. (2025). Investment Feasibility Analysis in MSMEs Using Payback Period and Profitability Index Approaches: Case Study on Jalangkote Master. </w:t>
      </w:r>
      <w:r w:rsidRPr="008A00D2">
        <w:rPr>
          <w:i/>
          <w:iCs/>
          <w:lang w:val="en-GB"/>
        </w:rPr>
        <w:t>SIMAK</w:t>
      </w:r>
      <w:r w:rsidRPr="008A00D2">
        <w:rPr>
          <w:lang w:val="en-GB"/>
        </w:rPr>
        <w:t>, </w:t>
      </w:r>
      <w:r w:rsidRPr="008A00D2">
        <w:rPr>
          <w:i/>
          <w:iCs/>
          <w:lang w:val="en-GB"/>
        </w:rPr>
        <w:t>23</w:t>
      </w:r>
      <w:r w:rsidRPr="008A00D2">
        <w:rPr>
          <w:lang w:val="en-GB"/>
        </w:rPr>
        <w:t xml:space="preserve">(02), 103-116. </w:t>
      </w:r>
      <w:hyperlink r:id="rId49" w:history="1">
        <w:r w:rsidR="00087DC7" w:rsidRPr="008A00D2">
          <w:rPr>
            <w:rStyle w:val="Hyperlink"/>
            <w:lang w:val="en-GB"/>
          </w:rPr>
          <w:t>http://ojs.feb.uajm.ac.id/index.php/simak/article/download/658/342</w:t>
        </w:r>
      </w:hyperlink>
    </w:p>
    <w:p w14:paraId="667F6B0A" w14:textId="77777777" w:rsidR="00317C3C" w:rsidRPr="008A00D2" w:rsidRDefault="00317C3C">
      <w:pPr>
        <w:spacing w:before="0" w:after="160" w:line="278" w:lineRule="auto"/>
        <w:jc w:val="left"/>
        <w:rPr>
          <w:rFonts w:eastAsiaTheme="majorEastAsia" w:cstheme="majorBidi"/>
          <w:b/>
          <w:sz w:val="28"/>
          <w:szCs w:val="40"/>
          <w:lang w:val="en-GB"/>
        </w:rPr>
      </w:pPr>
      <w:r w:rsidRPr="008A00D2">
        <w:rPr>
          <w:lang w:val="en-GB"/>
        </w:rPr>
        <w:br w:type="page"/>
      </w:r>
    </w:p>
    <w:p w14:paraId="2DA5AF7C" w14:textId="4540EAE0" w:rsidR="00087DC7" w:rsidRPr="008A00D2" w:rsidRDefault="00E327DB" w:rsidP="00E327DB">
      <w:pPr>
        <w:pStyle w:val="Heading1"/>
        <w:rPr>
          <w:lang w:val="en-GB"/>
        </w:rPr>
      </w:pPr>
      <w:bookmarkStart w:id="27" w:name="_Toc235095558"/>
      <w:r w:rsidRPr="008A00D2">
        <w:rPr>
          <w:lang w:val="en-GB"/>
        </w:rPr>
        <w:lastRenderedPageBreak/>
        <w:t>Appendices</w:t>
      </w:r>
      <w:bookmarkEnd w:id="27"/>
    </w:p>
    <w:p w14:paraId="6DBFCC83" w14:textId="1DE00E32" w:rsidR="00E327DB" w:rsidRPr="008A00D2" w:rsidRDefault="00E327DB" w:rsidP="00E327DB">
      <w:pPr>
        <w:pStyle w:val="Heading2"/>
        <w:rPr>
          <w:lang w:val="en-GB"/>
        </w:rPr>
      </w:pPr>
      <w:bookmarkStart w:id="28" w:name="_Toc235095559"/>
      <w:r w:rsidRPr="008A00D2">
        <w:rPr>
          <w:lang w:val="en-GB"/>
        </w:rPr>
        <w:t xml:space="preserve">Appendix 1: Ratio </w:t>
      </w:r>
      <w:r w:rsidR="00317C3C" w:rsidRPr="008A00D2">
        <w:rPr>
          <w:lang w:val="en-GB"/>
        </w:rPr>
        <w:t>Analysis</w:t>
      </w:r>
      <w:bookmarkEnd w:id="28"/>
    </w:p>
    <w:tbl>
      <w:tblPr>
        <w:tblW w:w="7300" w:type="dxa"/>
        <w:jc w:val="center"/>
        <w:tblLook w:val="04A0" w:firstRow="1" w:lastRow="0" w:firstColumn="1" w:lastColumn="0" w:noHBand="0" w:noVBand="1"/>
      </w:tblPr>
      <w:tblGrid>
        <w:gridCol w:w="2500"/>
        <w:gridCol w:w="960"/>
        <w:gridCol w:w="960"/>
        <w:gridCol w:w="960"/>
        <w:gridCol w:w="960"/>
        <w:gridCol w:w="960"/>
      </w:tblGrid>
      <w:tr w:rsidR="00E327DB" w:rsidRPr="008A00D2" w14:paraId="291D9846" w14:textId="77777777" w:rsidTr="00317C3C">
        <w:trPr>
          <w:trHeight w:val="288"/>
          <w:jc w:val="center"/>
        </w:trPr>
        <w:tc>
          <w:tcPr>
            <w:tcW w:w="2500" w:type="dxa"/>
            <w:tcBorders>
              <w:top w:val="single" w:sz="4" w:space="0" w:color="auto"/>
              <w:left w:val="single" w:sz="4" w:space="0" w:color="auto"/>
              <w:bottom w:val="single" w:sz="4" w:space="0" w:color="auto"/>
              <w:right w:val="single" w:sz="4" w:space="0" w:color="auto"/>
            </w:tcBorders>
            <w:noWrap/>
            <w:vAlign w:val="bottom"/>
            <w:hideMark/>
          </w:tcPr>
          <w:p w14:paraId="08640930"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single" w:sz="4" w:space="0" w:color="auto"/>
              <w:left w:val="nil"/>
              <w:bottom w:val="single" w:sz="4" w:space="0" w:color="auto"/>
              <w:right w:val="single" w:sz="4" w:space="0" w:color="auto"/>
            </w:tcBorders>
            <w:noWrap/>
            <w:vAlign w:val="bottom"/>
            <w:hideMark/>
          </w:tcPr>
          <w:p w14:paraId="00C13A67"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2021</w:t>
            </w:r>
          </w:p>
        </w:tc>
        <w:tc>
          <w:tcPr>
            <w:tcW w:w="960" w:type="dxa"/>
            <w:tcBorders>
              <w:top w:val="single" w:sz="4" w:space="0" w:color="auto"/>
              <w:left w:val="nil"/>
              <w:bottom w:val="single" w:sz="4" w:space="0" w:color="auto"/>
              <w:right w:val="single" w:sz="4" w:space="0" w:color="auto"/>
            </w:tcBorders>
            <w:noWrap/>
            <w:vAlign w:val="bottom"/>
            <w:hideMark/>
          </w:tcPr>
          <w:p w14:paraId="0FEA2B3B"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2022</w:t>
            </w:r>
          </w:p>
        </w:tc>
        <w:tc>
          <w:tcPr>
            <w:tcW w:w="960" w:type="dxa"/>
            <w:tcBorders>
              <w:top w:val="single" w:sz="4" w:space="0" w:color="auto"/>
              <w:left w:val="nil"/>
              <w:bottom w:val="single" w:sz="4" w:space="0" w:color="auto"/>
              <w:right w:val="single" w:sz="4" w:space="0" w:color="auto"/>
            </w:tcBorders>
            <w:noWrap/>
            <w:vAlign w:val="bottom"/>
            <w:hideMark/>
          </w:tcPr>
          <w:p w14:paraId="2589378D"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2023</w:t>
            </w:r>
          </w:p>
        </w:tc>
        <w:tc>
          <w:tcPr>
            <w:tcW w:w="960" w:type="dxa"/>
            <w:tcBorders>
              <w:top w:val="single" w:sz="4" w:space="0" w:color="auto"/>
              <w:left w:val="nil"/>
              <w:bottom w:val="single" w:sz="4" w:space="0" w:color="auto"/>
              <w:right w:val="single" w:sz="4" w:space="0" w:color="auto"/>
            </w:tcBorders>
            <w:noWrap/>
            <w:vAlign w:val="bottom"/>
            <w:hideMark/>
          </w:tcPr>
          <w:p w14:paraId="1C24D548"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2024</w:t>
            </w:r>
          </w:p>
        </w:tc>
        <w:tc>
          <w:tcPr>
            <w:tcW w:w="960" w:type="dxa"/>
            <w:tcBorders>
              <w:top w:val="single" w:sz="4" w:space="0" w:color="auto"/>
              <w:left w:val="nil"/>
              <w:bottom w:val="single" w:sz="4" w:space="0" w:color="auto"/>
              <w:right w:val="single" w:sz="4" w:space="0" w:color="auto"/>
            </w:tcBorders>
            <w:noWrap/>
            <w:vAlign w:val="bottom"/>
            <w:hideMark/>
          </w:tcPr>
          <w:p w14:paraId="4C16FE10"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2025</w:t>
            </w:r>
          </w:p>
        </w:tc>
      </w:tr>
      <w:tr w:rsidR="00E327DB" w:rsidRPr="008A00D2" w14:paraId="3F7E19C1"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6F67792A"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Income Statement:</w:t>
            </w:r>
          </w:p>
        </w:tc>
        <w:tc>
          <w:tcPr>
            <w:tcW w:w="960" w:type="dxa"/>
            <w:tcBorders>
              <w:top w:val="nil"/>
              <w:left w:val="nil"/>
              <w:bottom w:val="single" w:sz="4" w:space="0" w:color="auto"/>
              <w:right w:val="single" w:sz="4" w:space="0" w:color="auto"/>
            </w:tcBorders>
            <w:noWrap/>
            <w:vAlign w:val="bottom"/>
            <w:hideMark/>
          </w:tcPr>
          <w:p w14:paraId="6FA021E3"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6D40F560"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70126413"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0C96250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7716C485"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r>
      <w:tr w:rsidR="00E327DB" w:rsidRPr="008A00D2" w14:paraId="336F85C6"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63AEC94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Revenue ($m)</w:t>
            </w:r>
          </w:p>
        </w:tc>
        <w:tc>
          <w:tcPr>
            <w:tcW w:w="960" w:type="dxa"/>
            <w:tcBorders>
              <w:top w:val="nil"/>
              <w:left w:val="nil"/>
              <w:bottom w:val="single" w:sz="4" w:space="0" w:color="auto"/>
              <w:right w:val="single" w:sz="4" w:space="0" w:color="auto"/>
            </w:tcBorders>
            <w:noWrap/>
            <w:vAlign w:val="bottom"/>
            <w:hideMark/>
          </w:tcPr>
          <w:p w14:paraId="436C32D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5189</w:t>
            </w:r>
          </w:p>
        </w:tc>
        <w:tc>
          <w:tcPr>
            <w:tcW w:w="960" w:type="dxa"/>
            <w:tcBorders>
              <w:top w:val="nil"/>
              <w:left w:val="nil"/>
              <w:bottom w:val="single" w:sz="4" w:space="0" w:color="auto"/>
              <w:right w:val="single" w:sz="4" w:space="0" w:color="auto"/>
            </w:tcBorders>
            <w:noWrap/>
            <w:vAlign w:val="bottom"/>
            <w:hideMark/>
          </w:tcPr>
          <w:p w14:paraId="28E6FC4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4923</w:t>
            </w:r>
          </w:p>
        </w:tc>
        <w:tc>
          <w:tcPr>
            <w:tcW w:w="960" w:type="dxa"/>
            <w:tcBorders>
              <w:top w:val="nil"/>
              <w:left w:val="nil"/>
              <w:bottom w:val="single" w:sz="4" w:space="0" w:color="auto"/>
              <w:right w:val="single" w:sz="4" w:space="0" w:color="auto"/>
            </w:tcBorders>
            <w:noWrap/>
            <w:vAlign w:val="bottom"/>
            <w:hideMark/>
          </w:tcPr>
          <w:p w14:paraId="4068328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4624</w:t>
            </w:r>
          </w:p>
        </w:tc>
        <w:tc>
          <w:tcPr>
            <w:tcW w:w="960" w:type="dxa"/>
            <w:tcBorders>
              <w:top w:val="nil"/>
              <w:left w:val="nil"/>
              <w:bottom w:val="single" w:sz="4" w:space="0" w:color="auto"/>
              <w:right w:val="single" w:sz="4" w:space="0" w:color="auto"/>
            </w:tcBorders>
            <w:noWrap/>
            <w:vAlign w:val="bottom"/>
            <w:hideMark/>
          </w:tcPr>
          <w:p w14:paraId="7866B0D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3890</w:t>
            </w:r>
          </w:p>
        </w:tc>
        <w:tc>
          <w:tcPr>
            <w:tcW w:w="960" w:type="dxa"/>
            <w:tcBorders>
              <w:top w:val="nil"/>
              <w:left w:val="nil"/>
              <w:bottom w:val="single" w:sz="4" w:space="0" w:color="auto"/>
              <w:right w:val="single" w:sz="4" w:space="0" w:color="auto"/>
            </w:tcBorders>
            <w:noWrap/>
            <w:vAlign w:val="bottom"/>
            <w:hideMark/>
          </w:tcPr>
          <w:p w14:paraId="169A2AF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2910</w:t>
            </w:r>
          </w:p>
        </w:tc>
      </w:tr>
      <w:tr w:rsidR="00E327DB" w:rsidRPr="008A00D2" w14:paraId="77512D7E"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586BC54F"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Cost of Sales ($m)</w:t>
            </w:r>
          </w:p>
        </w:tc>
        <w:tc>
          <w:tcPr>
            <w:tcW w:w="960" w:type="dxa"/>
            <w:tcBorders>
              <w:top w:val="nil"/>
              <w:left w:val="nil"/>
              <w:bottom w:val="single" w:sz="4" w:space="0" w:color="auto"/>
              <w:right w:val="single" w:sz="4" w:space="0" w:color="auto"/>
            </w:tcBorders>
            <w:noWrap/>
            <w:vAlign w:val="bottom"/>
            <w:hideMark/>
          </w:tcPr>
          <w:p w14:paraId="397D535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486</w:t>
            </w:r>
          </w:p>
        </w:tc>
        <w:tc>
          <w:tcPr>
            <w:tcW w:w="960" w:type="dxa"/>
            <w:tcBorders>
              <w:top w:val="nil"/>
              <w:left w:val="nil"/>
              <w:bottom w:val="single" w:sz="4" w:space="0" w:color="auto"/>
              <w:right w:val="single" w:sz="4" w:space="0" w:color="auto"/>
            </w:tcBorders>
            <w:noWrap/>
            <w:vAlign w:val="bottom"/>
            <w:hideMark/>
          </w:tcPr>
          <w:p w14:paraId="17F43E0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568</w:t>
            </w:r>
          </w:p>
        </w:tc>
        <w:tc>
          <w:tcPr>
            <w:tcW w:w="960" w:type="dxa"/>
            <w:tcBorders>
              <w:top w:val="nil"/>
              <w:left w:val="nil"/>
              <w:bottom w:val="single" w:sz="4" w:space="0" w:color="auto"/>
              <w:right w:val="single" w:sz="4" w:space="0" w:color="auto"/>
            </w:tcBorders>
            <w:noWrap/>
            <w:vAlign w:val="bottom"/>
            <w:hideMark/>
          </w:tcPr>
          <w:p w14:paraId="0FFC563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742</w:t>
            </w:r>
          </w:p>
        </w:tc>
        <w:tc>
          <w:tcPr>
            <w:tcW w:w="960" w:type="dxa"/>
            <w:tcBorders>
              <w:top w:val="nil"/>
              <w:left w:val="nil"/>
              <w:bottom w:val="single" w:sz="4" w:space="0" w:color="auto"/>
              <w:right w:val="single" w:sz="4" w:space="0" w:color="auto"/>
            </w:tcBorders>
            <w:noWrap/>
            <w:vAlign w:val="bottom"/>
            <w:hideMark/>
          </w:tcPr>
          <w:p w14:paraId="5E83E38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745</w:t>
            </w:r>
          </w:p>
        </w:tc>
        <w:tc>
          <w:tcPr>
            <w:tcW w:w="960" w:type="dxa"/>
            <w:tcBorders>
              <w:top w:val="nil"/>
              <w:left w:val="nil"/>
              <w:bottom w:val="single" w:sz="4" w:space="0" w:color="auto"/>
              <w:right w:val="single" w:sz="4" w:space="0" w:color="auto"/>
            </w:tcBorders>
            <w:noWrap/>
            <w:vAlign w:val="bottom"/>
            <w:hideMark/>
          </w:tcPr>
          <w:p w14:paraId="04BD903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764</w:t>
            </w:r>
          </w:p>
        </w:tc>
      </w:tr>
      <w:tr w:rsidR="00E327DB" w:rsidRPr="008A00D2" w14:paraId="5C80450D"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004B337D"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Operating Profit ($m)</w:t>
            </w:r>
          </w:p>
        </w:tc>
        <w:tc>
          <w:tcPr>
            <w:tcW w:w="960" w:type="dxa"/>
            <w:tcBorders>
              <w:top w:val="nil"/>
              <w:left w:val="nil"/>
              <w:bottom w:val="single" w:sz="4" w:space="0" w:color="auto"/>
              <w:right w:val="single" w:sz="4" w:space="0" w:color="auto"/>
            </w:tcBorders>
            <w:noWrap/>
            <w:vAlign w:val="bottom"/>
            <w:hideMark/>
          </w:tcPr>
          <w:p w14:paraId="6002E77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494</w:t>
            </w:r>
          </w:p>
        </w:tc>
        <w:tc>
          <w:tcPr>
            <w:tcW w:w="960" w:type="dxa"/>
            <w:tcBorders>
              <w:top w:val="nil"/>
              <w:left w:val="nil"/>
              <w:bottom w:val="single" w:sz="4" w:space="0" w:color="auto"/>
              <w:right w:val="single" w:sz="4" w:space="0" w:color="auto"/>
            </w:tcBorders>
            <w:noWrap/>
            <w:vAlign w:val="bottom"/>
            <w:hideMark/>
          </w:tcPr>
          <w:p w14:paraId="6A77EFF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628</w:t>
            </w:r>
          </w:p>
        </w:tc>
        <w:tc>
          <w:tcPr>
            <w:tcW w:w="960" w:type="dxa"/>
            <w:tcBorders>
              <w:top w:val="nil"/>
              <w:left w:val="nil"/>
              <w:bottom w:val="single" w:sz="4" w:space="0" w:color="auto"/>
              <w:right w:val="single" w:sz="4" w:space="0" w:color="auto"/>
            </w:tcBorders>
            <w:noWrap/>
            <w:vAlign w:val="bottom"/>
            <w:hideMark/>
          </w:tcPr>
          <w:p w14:paraId="163DD67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1066</w:t>
            </w:r>
          </w:p>
        </w:tc>
        <w:tc>
          <w:tcPr>
            <w:tcW w:w="960" w:type="dxa"/>
            <w:tcBorders>
              <w:top w:val="nil"/>
              <w:left w:val="nil"/>
              <w:bottom w:val="single" w:sz="4" w:space="0" w:color="auto"/>
              <w:right w:val="single" w:sz="4" w:space="0" w:color="auto"/>
            </w:tcBorders>
            <w:noWrap/>
            <w:vAlign w:val="bottom"/>
            <w:hideMark/>
          </w:tcPr>
          <w:p w14:paraId="5D5A214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1041</w:t>
            </w:r>
          </w:p>
        </w:tc>
        <w:tc>
          <w:tcPr>
            <w:tcW w:w="960" w:type="dxa"/>
            <w:tcBorders>
              <w:top w:val="nil"/>
              <w:left w:val="nil"/>
              <w:bottom w:val="single" w:sz="4" w:space="0" w:color="auto"/>
              <w:right w:val="single" w:sz="4" w:space="0" w:color="auto"/>
            </w:tcBorders>
            <w:noWrap/>
            <w:vAlign w:val="bottom"/>
            <w:hideMark/>
          </w:tcPr>
          <w:p w14:paraId="65BB462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1198</w:t>
            </w:r>
          </w:p>
        </w:tc>
      </w:tr>
      <w:tr w:rsidR="00E327DB" w:rsidRPr="008A00D2" w14:paraId="3E058A08"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3FE5E49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Net Profit ($m)</w:t>
            </w:r>
          </w:p>
        </w:tc>
        <w:tc>
          <w:tcPr>
            <w:tcW w:w="960" w:type="dxa"/>
            <w:tcBorders>
              <w:top w:val="nil"/>
              <w:left w:val="nil"/>
              <w:bottom w:val="single" w:sz="4" w:space="0" w:color="auto"/>
              <w:right w:val="single" w:sz="4" w:space="0" w:color="auto"/>
            </w:tcBorders>
            <w:noWrap/>
            <w:vAlign w:val="bottom"/>
            <w:hideMark/>
          </w:tcPr>
          <w:p w14:paraId="717FE2D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266</w:t>
            </w:r>
          </w:p>
        </w:tc>
        <w:tc>
          <w:tcPr>
            <w:tcW w:w="960" w:type="dxa"/>
            <w:tcBorders>
              <w:top w:val="nil"/>
              <w:left w:val="nil"/>
              <w:bottom w:val="single" w:sz="4" w:space="0" w:color="auto"/>
              <w:right w:val="single" w:sz="4" w:space="0" w:color="auto"/>
            </w:tcBorders>
            <w:noWrap/>
            <w:vAlign w:val="bottom"/>
            <w:hideMark/>
          </w:tcPr>
          <w:p w14:paraId="522DB4A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375</w:t>
            </w:r>
          </w:p>
        </w:tc>
        <w:tc>
          <w:tcPr>
            <w:tcW w:w="960" w:type="dxa"/>
            <w:tcBorders>
              <w:top w:val="nil"/>
              <w:left w:val="nil"/>
              <w:bottom w:val="single" w:sz="4" w:space="0" w:color="auto"/>
              <w:right w:val="single" w:sz="4" w:space="0" w:color="auto"/>
            </w:tcBorders>
            <w:noWrap/>
            <w:vAlign w:val="bottom"/>
            <w:hideMark/>
          </w:tcPr>
          <w:p w14:paraId="3E78828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750</w:t>
            </w:r>
          </w:p>
        </w:tc>
        <w:tc>
          <w:tcPr>
            <w:tcW w:w="960" w:type="dxa"/>
            <w:tcBorders>
              <w:top w:val="nil"/>
              <w:left w:val="nil"/>
              <w:bottom w:val="single" w:sz="4" w:space="0" w:color="auto"/>
              <w:right w:val="single" w:sz="4" w:space="0" w:color="auto"/>
            </w:tcBorders>
            <w:noWrap/>
            <w:vAlign w:val="bottom"/>
            <w:hideMark/>
          </w:tcPr>
          <w:p w14:paraId="303515D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628</w:t>
            </w:r>
          </w:p>
        </w:tc>
        <w:tc>
          <w:tcPr>
            <w:tcW w:w="960" w:type="dxa"/>
            <w:tcBorders>
              <w:top w:val="nil"/>
              <w:left w:val="nil"/>
              <w:bottom w:val="single" w:sz="4" w:space="0" w:color="auto"/>
              <w:right w:val="single" w:sz="4" w:space="0" w:color="auto"/>
            </w:tcBorders>
            <w:noWrap/>
            <w:vAlign w:val="bottom"/>
            <w:hideMark/>
          </w:tcPr>
          <w:p w14:paraId="7F92CE6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758</w:t>
            </w:r>
          </w:p>
        </w:tc>
      </w:tr>
      <w:tr w:rsidR="00E327DB" w:rsidRPr="008A00D2" w14:paraId="178739DB"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758D205B"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Balance Sheet:</w:t>
            </w:r>
          </w:p>
        </w:tc>
        <w:tc>
          <w:tcPr>
            <w:tcW w:w="960" w:type="dxa"/>
            <w:tcBorders>
              <w:top w:val="nil"/>
              <w:left w:val="nil"/>
              <w:bottom w:val="single" w:sz="4" w:space="0" w:color="auto"/>
              <w:right w:val="single" w:sz="4" w:space="0" w:color="auto"/>
            </w:tcBorders>
            <w:noWrap/>
            <w:vAlign w:val="bottom"/>
            <w:hideMark/>
          </w:tcPr>
          <w:p w14:paraId="421F3FE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43E2D8F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70AAF623"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69B19E90"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5E1CF245"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r>
      <w:tr w:rsidR="00E327DB" w:rsidRPr="008A00D2" w14:paraId="2D9FD38D"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39C3328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Current assets ($m)</w:t>
            </w:r>
          </w:p>
        </w:tc>
        <w:tc>
          <w:tcPr>
            <w:tcW w:w="960" w:type="dxa"/>
            <w:tcBorders>
              <w:top w:val="nil"/>
              <w:left w:val="nil"/>
              <w:bottom w:val="single" w:sz="4" w:space="0" w:color="auto"/>
              <w:right w:val="single" w:sz="4" w:space="0" w:color="auto"/>
            </w:tcBorders>
            <w:noWrap/>
            <w:vAlign w:val="bottom"/>
            <w:hideMark/>
          </w:tcPr>
          <w:p w14:paraId="1076C9E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2066</w:t>
            </w:r>
          </w:p>
        </w:tc>
        <w:tc>
          <w:tcPr>
            <w:tcW w:w="960" w:type="dxa"/>
            <w:tcBorders>
              <w:top w:val="nil"/>
              <w:left w:val="nil"/>
              <w:bottom w:val="single" w:sz="4" w:space="0" w:color="auto"/>
              <w:right w:val="single" w:sz="4" w:space="0" w:color="auto"/>
            </w:tcBorders>
            <w:noWrap/>
            <w:vAlign w:val="bottom"/>
            <w:hideMark/>
          </w:tcPr>
          <w:p w14:paraId="382B65E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1678</w:t>
            </w:r>
          </w:p>
        </w:tc>
        <w:tc>
          <w:tcPr>
            <w:tcW w:w="960" w:type="dxa"/>
            <w:tcBorders>
              <w:top w:val="nil"/>
              <w:left w:val="nil"/>
              <w:bottom w:val="single" w:sz="4" w:space="0" w:color="auto"/>
              <w:right w:val="single" w:sz="4" w:space="0" w:color="auto"/>
            </w:tcBorders>
            <w:noWrap/>
            <w:vAlign w:val="bottom"/>
            <w:hideMark/>
          </w:tcPr>
          <w:p w14:paraId="73F0117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2129</w:t>
            </w:r>
          </w:p>
        </w:tc>
        <w:tc>
          <w:tcPr>
            <w:tcW w:w="960" w:type="dxa"/>
            <w:tcBorders>
              <w:top w:val="nil"/>
              <w:left w:val="nil"/>
              <w:bottom w:val="single" w:sz="4" w:space="0" w:color="auto"/>
              <w:right w:val="single" w:sz="4" w:space="0" w:color="auto"/>
            </w:tcBorders>
            <w:noWrap/>
            <w:vAlign w:val="bottom"/>
            <w:hideMark/>
          </w:tcPr>
          <w:p w14:paraId="5BDC2E2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1869</w:t>
            </w:r>
          </w:p>
        </w:tc>
        <w:tc>
          <w:tcPr>
            <w:tcW w:w="960" w:type="dxa"/>
            <w:tcBorders>
              <w:top w:val="nil"/>
              <w:left w:val="nil"/>
              <w:bottom w:val="single" w:sz="4" w:space="0" w:color="auto"/>
              <w:right w:val="single" w:sz="4" w:space="0" w:color="auto"/>
            </w:tcBorders>
            <w:noWrap/>
            <w:vAlign w:val="bottom"/>
            <w:hideMark/>
          </w:tcPr>
          <w:p w14:paraId="28E328C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2049</w:t>
            </w:r>
          </w:p>
        </w:tc>
      </w:tr>
      <w:tr w:rsidR="00E327DB" w:rsidRPr="008A00D2" w14:paraId="193D4051"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678394B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Current liabilities ($m)</w:t>
            </w:r>
          </w:p>
        </w:tc>
        <w:tc>
          <w:tcPr>
            <w:tcW w:w="960" w:type="dxa"/>
            <w:tcBorders>
              <w:top w:val="nil"/>
              <w:left w:val="nil"/>
              <w:bottom w:val="single" w:sz="4" w:space="0" w:color="auto"/>
              <w:right w:val="single" w:sz="4" w:space="0" w:color="auto"/>
            </w:tcBorders>
            <w:noWrap/>
            <w:vAlign w:val="bottom"/>
            <w:hideMark/>
          </w:tcPr>
          <w:p w14:paraId="3DED688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1624</w:t>
            </w:r>
          </w:p>
        </w:tc>
        <w:tc>
          <w:tcPr>
            <w:tcW w:w="960" w:type="dxa"/>
            <w:tcBorders>
              <w:top w:val="nil"/>
              <w:left w:val="nil"/>
              <w:bottom w:val="single" w:sz="4" w:space="0" w:color="auto"/>
              <w:right w:val="single" w:sz="4" w:space="0" w:color="auto"/>
            </w:tcBorders>
            <w:noWrap/>
            <w:vAlign w:val="bottom"/>
            <w:hideMark/>
          </w:tcPr>
          <w:p w14:paraId="57CEFAE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1544</w:t>
            </w:r>
          </w:p>
        </w:tc>
        <w:tc>
          <w:tcPr>
            <w:tcW w:w="960" w:type="dxa"/>
            <w:tcBorders>
              <w:top w:val="nil"/>
              <w:left w:val="nil"/>
              <w:bottom w:val="single" w:sz="4" w:space="0" w:color="auto"/>
              <w:right w:val="single" w:sz="4" w:space="0" w:color="auto"/>
            </w:tcBorders>
            <w:noWrap/>
            <w:vAlign w:val="bottom"/>
            <w:hideMark/>
          </w:tcPr>
          <w:p w14:paraId="3A7C21D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2190</w:t>
            </w:r>
          </w:p>
        </w:tc>
        <w:tc>
          <w:tcPr>
            <w:tcW w:w="960" w:type="dxa"/>
            <w:tcBorders>
              <w:top w:val="nil"/>
              <w:left w:val="nil"/>
              <w:bottom w:val="single" w:sz="4" w:space="0" w:color="auto"/>
              <w:right w:val="single" w:sz="4" w:space="0" w:color="auto"/>
            </w:tcBorders>
            <w:noWrap/>
            <w:vAlign w:val="bottom"/>
            <w:hideMark/>
          </w:tcPr>
          <w:p w14:paraId="472A4E1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1928</w:t>
            </w:r>
          </w:p>
        </w:tc>
        <w:tc>
          <w:tcPr>
            <w:tcW w:w="960" w:type="dxa"/>
            <w:tcBorders>
              <w:top w:val="nil"/>
              <w:left w:val="nil"/>
              <w:bottom w:val="single" w:sz="4" w:space="0" w:color="auto"/>
              <w:right w:val="single" w:sz="4" w:space="0" w:color="auto"/>
            </w:tcBorders>
            <w:noWrap/>
            <w:vAlign w:val="bottom"/>
            <w:hideMark/>
          </w:tcPr>
          <w:p w14:paraId="3D02387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2100</w:t>
            </w:r>
          </w:p>
        </w:tc>
      </w:tr>
      <w:tr w:rsidR="00E327DB" w:rsidRPr="008A00D2" w14:paraId="2EE86136"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5DD92C68"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Trade payables ($m)</w:t>
            </w:r>
          </w:p>
        </w:tc>
        <w:tc>
          <w:tcPr>
            <w:tcW w:w="960" w:type="dxa"/>
            <w:tcBorders>
              <w:top w:val="nil"/>
              <w:left w:val="nil"/>
              <w:bottom w:val="single" w:sz="4" w:space="0" w:color="auto"/>
              <w:right w:val="single" w:sz="4" w:space="0" w:color="auto"/>
            </w:tcBorders>
            <w:noWrap/>
            <w:vAlign w:val="bottom"/>
            <w:hideMark/>
          </w:tcPr>
          <w:p w14:paraId="6F89687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579</w:t>
            </w:r>
          </w:p>
        </w:tc>
        <w:tc>
          <w:tcPr>
            <w:tcW w:w="960" w:type="dxa"/>
            <w:tcBorders>
              <w:top w:val="nil"/>
              <w:left w:val="nil"/>
              <w:bottom w:val="single" w:sz="4" w:space="0" w:color="auto"/>
              <w:right w:val="single" w:sz="4" w:space="0" w:color="auto"/>
            </w:tcBorders>
            <w:noWrap/>
            <w:vAlign w:val="bottom"/>
            <w:hideMark/>
          </w:tcPr>
          <w:p w14:paraId="0579C9D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697</w:t>
            </w:r>
          </w:p>
        </w:tc>
        <w:tc>
          <w:tcPr>
            <w:tcW w:w="960" w:type="dxa"/>
            <w:tcBorders>
              <w:top w:val="nil"/>
              <w:left w:val="nil"/>
              <w:bottom w:val="single" w:sz="4" w:space="0" w:color="auto"/>
              <w:right w:val="single" w:sz="4" w:space="0" w:color="auto"/>
            </w:tcBorders>
            <w:noWrap/>
            <w:vAlign w:val="bottom"/>
            <w:hideMark/>
          </w:tcPr>
          <w:p w14:paraId="2C42104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711</w:t>
            </w:r>
          </w:p>
        </w:tc>
        <w:tc>
          <w:tcPr>
            <w:tcW w:w="960" w:type="dxa"/>
            <w:tcBorders>
              <w:top w:val="nil"/>
              <w:left w:val="nil"/>
              <w:bottom w:val="single" w:sz="4" w:space="0" w:color="auto"/>
              <w:right w:val="single" w:sz="4" w:space="0" w:color="auto"/>
            </w:tcBorders>
            <w:noWrap/>
            <w:vAlign w:val="bottom"/>
            <w:hideMark/>
          </w:tcPr>
          <w:p w14:paraId="7D78653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650</w:t>
            </w:r>
          </w:p>
        </w:tc>
        <w:tc>
          <w:tcPr>
            <w:tcW w:w="960" w:type="dxa"/>
            <w:tcBorders>
              <w:top w:val="nil"/>
              <w:left w:val="nil"/>
              <w:bottom w:val="single" w:sz="4" w:space="0" w:color="auto"/>
              <w:right w:val="single" w:sz="4" w:space="0" w:color="auto"/>
            </w:tcBorders>
            <w:noWrap/>
            <w:vAlign w:val="bottom"/>
            <w:hideMark/>
          </w:tcPr>
          <w:p w14:paraId="0ECECF0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743</w:t>
            </w:r>
          </w:p>
        </w:tc>
      </w:tr>
      <w:tr w:rsidR="00E327DB" w:rsidRPr="008A00D2" w14:paraId="50622B88"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23E6142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Trade receivables ($m)</w:t>
            </w:r>
          </w:p>
        </w:tc>
        <w:tc>
          <w:tcPr>
            <w:tcW w:w="960" w:type="dxa"/>
            <w:tcBorders>
              <w:top w:val="nil"/>
              <w:left w:val="nil"/>
              <w:bottom w:val="single" w:sz="4" w:space="0" w:color="auto"/>
              <w:right w:val="single" w:sz="4" w:space="0" w:color="auto"/>
            </w:tcBorders>
            <w:noWrap/>
            <w:vAlign w:val="bottom"/>
            <w:hideMark/>
          </w:tcPr>
          <w:p w14:paraId="4CA01D9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545</w:t>
            </w:r>
          </w:p>
        </w:tc>
        <w:tc>
          <w:tcPr>
            <w:tcW w:w="960" w:type="dxa"/>
            <w:tcBorders>
              <w:top w:val="nil"/>
              <w:left w:val="nil"/>
              <w:bottom w:val="single" w:sz="4" w:space="0" w:color="auto"/>
              <w:right w:val="single" w:sz="4" w:space="0" w:color="auto"/>
            </w:tcBorders>
            <w:noWrap/>
            <w:vAlign w:val="bottom"/>
            <w:hideMark/>
          </w:tcPr>
          <w:p w14:paraId="359B381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551</w:t>
            </w:r>
          </w:p>
        </w:tc>
        <w:tc>
          <w:tcPr>
            <w:tcW w:w="960" w:type="dxa"/>
            <w:tcBorders>
              <w:top w:val="nil"/>
              <w:left w:val="nil"/>
              <w:bottom w:val="single" w:sz="4" w:space="0" w:color="auto"/>
              <w:right w:val="single" w:sz="4" w:space="0" w:color="auto"/>
            </w:tcBorders>
            <w:noWrap/>
            <w:vAlign w:val="bottom"/>
            <w:hideMark/>
          </w:tcPr>
          <w:p w14:paraId="1EC494B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785</w:t>
            </w:r>
          </w:p>
        </w:tc>
        <w:tc>
          <w:tcPr>
            <w:tcW w:w="960" w:type="dxa"/>
            <w:tcBorders>
              <w:top w:val="nil"/>
              <w:left w:val="nil"/>
              <w:bottom w:val="single" w:sz="4" w:space="0" w:color="auto"/>
              <w:right w:val="single" w:sz="4" w:space="0" w:color="auto"/>
            </w:tcBorders>
            <w:noWrap/>
            <w:vAlign w:val="bottom"/>
            <w:hideMark/>
          </w:tcPr>
          <w:p w14:paraId="768A04B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833</w:t>
            </w:r>
          </w:p>
        </w:tc>
        <w:tc>
          <w:tcPr>
            <w:tcW w:w="960" w:type="dxa"/>
            <w:tcBorders>
              <w:top w:val="nil"/>
              <w:left w:val="nil"/>
              <w:bottom w:val="single" w:sz="4" w:space="0" w:color="auto"/>
              <w:right w:val="single" w:sz="4" w:space="0" w:color="auto"/>
            </w:tcBorders>
            <w:noWrap/>
            <w:vAlign w:val="bottom"/>
            <w:hideMark/>
          </w:tcPr>
          <w:p w14:paraId="27E3272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862</w:t>
            </w:r>
          </w:p>
        </w:tc>
      </w:tr>
      <w:tr w:rsidR="00E327DB" w:rsidRPr="008A00D2" w14:paraId="4056D3FC"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612CDFDD"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Inventories ($m)</w:t>
            </w:r>
          </w:p>
        </w:tc>
        <w:tc>
          <w:tcPr>
            <w:tcW w:w="960" w:type="dxa"/>
            <w:tcBorders>
              <w:top w:val="nil"/>
              <w:left w:val="nil"/>
              <w:bottom w:val="single" w:sz="4" w:space="0" w:color="auto"/>
              <w:right w:val="single" w:sz="4" w:space="0" w:color="auto"/>
            </w:tcBorders>
            <w:noWrap/>
            <w:vAlign w:val="bottom"/>
            <w:hideMark/>
          </w:tcPr>
          <w:p w14:paraId="11950AD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w:t>
            </w:r>
          </w:p>
        </w:tc>
        <w:tc>
          <w:tcPr>
            <w:tcW w:w="960" w:type="dxa"/>
            <w:tcBorders>
              <w:top w:val="nil"/>
              <w:left w:val="nil"/>
              <w:bottom w:val="single" w:sz="4" w:space="0" w:color="auto"/>
              <w:right w:val="single" w:sz="4" w:space="0" w:color="auto"/>
            </w:tcBorders>
            <w:noWrap/>
            <w:vAlign w:val="bottom"/>
            <w:hideMark/>
          </w:tcPr>
          <w:p w14:paraId="1DCE712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w:t>
            </w:r>
          </w:p>
        </w:tc>
        <w:tc>
          <w:tcPr>
            <w:tcW w:w="960" w:type="dxa"/>
            <w:tcBorders>
              <w:top w:val="nil"/>
              <w:left w:val="nil"/>
              <w:bottom w:val="single" w:sz="4" w:space="0" w:color="auto"/>
              <w:right w:val="single" w:sz="4" w:space="0" w:color="auto"/>
            </w:tcBorders>
            <w:noWrap/>
            <w:vAlign w:val="bottom"/>
            <w:hideMark/>
          </w:tcPr>
          <w:p w14:paraId="13D7360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w:t>
            </w:r>
          </w:p>
        </w:tc>
        <w:tc>
          <w:tcPr>
            <w:tcW w:w="960" w:type="dxa"/>
            <w:tcBorders>
              <w:top w:val="nil"/>
              <w:left w:val="nil"/>
              <w:bottom w:val="single" w:sz="4" w:space="0" w:color="auto"/>
              <w:right w:val="single" w:sz="4" w:space="0" w:color="auto"/>
            </w:tcBorders>
            <w:noWrap/>
            <w:vAlign w:val="bottom"/>
            <w:hideMark/>
          </w:tcPr>
          <w:p w14:paraId="4240EDC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w:t>
            </w:r>
          </w:p>
        </w:tc>
        <w:tc>
          <w:tcPr>
            <w:tcW w:w="960" w:type="dxa"/>
            <w:tcBorders>
              <w:top w:val="nil"/>
              <w:left w:val="nil"/>
              <w:bottom w:val="single" w:sz="4" w:space="0" w:color="auto"/>
              <w:right w:val="single" w:sz="4" w:space="0" w:color="auto"/>
            </w:tcBorders>
            <w:noWrap/>
            <w:vAlign w:val="bottom"/>
            <w:hideMark/>
          </w:tcPr>
          <w:p w14:paraId="4FEFDF5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w:t>
            </w:r>
          </w:p>
        </w:tc>
      </w:tr>
      <w:tr w:rsidR="00E327DB" w:rsidRPr="008A00D2" w14:paraId="36F7F96E"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5E0F2ECE"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Total assets ($m)</w:t>
            </w:r>
          </w:p>
        </w:tc>
        <w:tc>
          <w:tcPr>
            <w:tcW w:w="960" w:type="dxa"/>
            <w:tcBorders>
              <w:top w:val="nil"/>
              <w:left w:val="nil"/>
              <w:bottom w:val="single" w:sz="4" w:space="0" w:color="auto"/>
              <w:right w:val="single" w:sz="4" w:space="0" w:color="auto"/>
            </w:tcBorders>
            <w:noWrap/>
            <w:vAlign w:val="bottom"/>
            <w:hideMark/>
          </w:tcPr>
          <w:p w14:paraId="078380E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4716</w:t>
            </w:r>
          </w:p>
        </w:tc>
        <w:tc>
          <w:tcPr>
            <w:tcW w:w="960" w:type="dxa"/>
            <w:tcBorders>
              <w:top w:val="nil"/>
              <w:left w:val="nil"/>
              <w:bottom w:val="single" w:sz="4" w:space="0" w:color="auto"/>
              <w:right w:val="single" w:sz="4" w:space="0" w:color="auto"/>
            </w:tcBorders>
            <w:noWrap/>
            <w:vAlign w:val="bottom"/>
            <w:hideMark/>
          </w:tcPr>
          <w:p w14:paraId="5AF4351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4216</w:t>
            </w:r>
          </w:p>
        </w:tc>
        <w:tc>
          <w:tcPr>
            <w:tcW w:w="960" w:type="dxa"/>
            <w:tcBorders>
              <w:top w:val="nil"/>
              <w:left w:val="nil"/>
              <w:bottom w:val="single" w:sz="4" w:space="0" w:color="auto"/>
              <w:right w:val="single" w:sz="4" w:space="0" w:color="auto"/>
            </w:tcBorders>
            <w:noWrap/>
            <w:vAlign w:val="bottom"/>
            <w:hideMark/>
          </w:tcPr>
          <w:p w14:paraId="65A5AF2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4813</w:t>
            </w:r>
          </w:p>
        </w:tc>
        <w:tc>
          <w:tcPr>
            <w:tcW w:w="960" w:type="dxa"/>
            <w:tcBorders>
              <w:top w:val="nil"/>
              <w:left w:val="nil"/>
              <w:bottom w:val="single" w:sz="4" w:space="0" w:color="auto"/>
              <w:right w:val="single" w:sz="4" w:space="0" w:color="auto"/>
            </w:tcBorders>
            <w:noWrap/>
            <w:vAlign w:val="bottom"/>
            <w:hideMark/>
          </w:tcPr>
          <w:p w14:paraId="203CAE4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4748</w:t>
            </w:r>
          </w:p>
        </w:tc>
        <w:tc>
          <w:tcPr>
            <w:tcW w:w="960" w:type="dxa"/>
            <w:tcBorders>
              <w:top w:val="nil"/>
              <w:left w:val="nil"/>
              <w:bottom w:val="single" w:sz="4" w:space="0" w:color="auto"/>
              <w:right w:val="single" w:sz="4" w:space="0" w:color="auto"/>
            </w:tcBorders>
            <w:noWrap/>
            <w:vAlign w:val="bottom"/>
            <w:hideMark/>
          </w:tcPr>
          <w:p w14:paraId="52F5B39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5345</w:t>
            </w:r>
          </w:p>
        </w:tc>
      </w:tr>
      <w:tr w:rsidR="00E327DB" w:rsidRPr="008A00D2" w14:paraId="241D2A21"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6228CCAC"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Total debt ($m)</w:t>
            </w:r>
          </w:p>
        </w:tc>
        <w:tc>
          <w:tcPr>
            <w:tcW w:w="960" w:type="dxa"/>
            <w:tcBorders>
              <w:top w:val="nil"/>
              <w:left w:val="nil"/>
              <w:bottom w:val="single" w:sz="4" w:space="0" w:color="auto"/>
              <w:right w:val="single" w:sz="4" w:space="0" w:color="auto"/>
            </w:tcBorders>
            <w:noWrap/>
            <w:vAlign w:val="bottom"/>
            <w:hideMark/>
          </w:tcPr>
          <w:p w14:paraId="5240C8E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3326</w:t>
            </w:r>
          </w:p>
        </w:tc>
        <w:tc>
          <w:tcPr>
            <w:tcW w:w="960" w:type="dxa"/>
            <w:tcBorders>
              <w:top w:val="nil"/>
              <w:left w:val="nil"/>
              <w:bottom w:val="single" w:sz="4" w:space="0" w:color="auto"/>
              <w:right w:val="single" w:sz="4" w:space="0" w:color="auto"/>
            </w:tcBorders>
            <w:noWrap/>
            <w:vAlign w:val="bottom"/>
            <w:hideMark/>
          </w:tcPr>
          <w:p w14:paraId="1A68781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2834</w:t>
            </w:r>
          </w:p>
        </w:tc>
        <w:tc>
          <w:tcPr>
            <w:tcW w:w="960" w:type="dxa"/>
            <w:tcBorders>
              <w:top w:val="nil"/>
              <w:left w:val="nil"/>
              <w:bottom w:val="single" w:sz="4" w:space="0" w:color="auto"/>
              <w:right w:val="single" w:sz="4" w:space="0" w:color="auto"/>
            </w:tcBorders>
            <w:noWrap/>
            <w:vAlign w:val="bottom"/>
            <w:hideMark/>
          </w:tcPr>
          <w:p w14:paraId="34D42EA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3592</w:t>
            </w:r>
          </w:p>
        </w:tc>
        <w:tc>
          <w:tcPr>
            <w:tcW w:w="960" w:type="dxa"/>
            <w:tcBorders>
              <w:top w:val="nil"/>
              <w:left w:val="nil"/>
              <w:bottom w:val="single" w:sz="4" w:space="0" w:color="auto"/>
              <w:right w:val="single" w:sz="4" w:space="0" w:color="auto"/>
            </w:tcBorders>
            <w:noWrap/>
            <w:vAlign w:val="bottom"/>
            <w:hideMark/>
          </w:tcPr>
          <w:p w14:paraId="4B0F634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3688</w:t>
            </w:r>
          </w:p>
        </w:tc>
        <w:tc>
          <w:tcPr>
            <w:tcW w:w="960" w:type="dxa"/>
            <w:tcBorders>
              <w:top w:val="nil"/>
              <w:left w:val="nil"/>
              <w:bottom w:val="single" w:sz="4" w:space="0" w:color="auto"/>
              <w:right w:val="single" w:sz="4" w:space="0" w:color="auto"/>
            </w:tcBorders>
            <w:noWrap/>
            <w:vAlign w:val="bottom"/>
            <w:hideMark/>
          </w:tcPr>
          <w:p w14:paraId="2860C97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4607</w:t>
            </w:r>
          </w:p>
        </w:tc>
      </w:tr>
      <w:tr w:rsidR="00E327DB" w:rsidRPr="008A00D2" w14:paraId="1A36F174"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0DE5F64E"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Total equity ($m)</w:t>
            </w:r>
          </w:p>
        </w:tc>
        <w:tc>
          <w:tcPr>
            <w:tcW w:w="960" w:type="dxa"/>
            <w:tcBorders>
              <w:top w:val="nil"/>
              <w:left w:val="nil"/>
              <w:bottom w:val="single" w:sz="4" w:space="0" w:color="auto"/>
              <w:right w:val="single" w:sz="4" w:space="0" w:color="auto"/>
            </w:tcBorders>
            <w:noWrap/>
            <w:vAlign w:val="bottom"/>
            <w:hideMark/>
          </w:tcPr>
          <w:p w14:paraId="4A26B84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1474</w:t>
            </w:r>
          </w:p>
        </w:tc>
        <w:tc>
          <w:tcPr>
            <w:tcW w:w="960" w:type="dxa"/>
            <w:tcBorders>
              <w:top w:val="nil"/>
              <w:left w:val="nil"/>
              <w:bottom w:val="single" w:sz="4" w:space="0" w:color="auto"/>
              <w:right w:val="single" w:sz="4" w:space="0" w:color="auto"/>
            </w:tcBorders>
            <w:noWrap/>
            <w:vAlign w:val="bottom"/>
            <w:hideMark/>
          </w:tcPr>
          <w:p w14:paraId="4A790AA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1608</w:t>
            </w:r>
          </w:p>
        </w:tc>
        <w:tc>
          <w:tcPr>
            <w:tcW w:w="960" w:type="dxa"/>
            <w:tcBorders>
              <w:top w:val="nil"/>
              <w:left w:val="nil"/>
              <w:bottom w:val="single" w:sz="4" w:space="0" w:color="auto"/>
              <w:right w:val="single" w:sz="4" w:space="0" w:color="auto"/>
            </w:tcBorders>
            <w:noWrap/>
            <w:vAlign w:val="bottom"/>
            <w:hideMark/>
          </w:tcPr>
          <w:p w14:paraId="209AC11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1946</w:t>
            </w:r>
          </w:p>
        </w:tc>
        <w:tc>
          <w:tcPr>
            <w:tcW w:w="960" w:type="dxa"/>
            <w:tcBorders>
              <w:top w:val="nil"/>
              <w:left w:val="nil"/>
              <w:bottom w:val="single" w:sz="4" w:space="0" w:color="auto"/>
              <w:right w:val="single" w:sz="4" w:space="0" w:color="auto"/>
            </w:tcBorders>
            <w:noWrap/>
            <w:vAlign w:val="bottom"/>
            <w:hideMark/>
          </w:tcPr>
          <w:p w14:paraId="6BEDBAE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2308</w:t>
            </w:r>
          </w:p>
        </w:tc>
        <w:tc>
          <w:tcPr>
            <w:tcW w:w="960" w:type="dxa"/>
            <w:tcBorders>
              <w:top w:val="nil"/>
              <w:left w:val="nil"/>
              <w:bottom w:val="single" w:sz="4" w:space="0" w:color="auto"/>
              <w:right w:val="single" w:sz="4" w:space="0" w:color="auto"/>
            </w:tcBorders>
            <w:noWrap/>
            <w:vAlign w:val="bottom"/>
            <w:hideMark/>
          </w:tcPr>
          <w:p w14:paraId="1A2861A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2736</w:t>
            </w:r>
          </w:p>
        </w:tc>
      </w:tr>
      <w:tr w:rsidR="00E327DB" w:rsidRPr="008A00D2" w14:paraId="2D8F8849"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48D9A1F1"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Cashflow Statement:</w:t>
            </w:r>
          </w:p>
        </w:tc>
        <w:tc>
          <w:tcPr>
            <w:tcW w:w="960" w:type="dxa"/>
            <w:tcBorders>
              <w:top w:val="nil"/>
              <w:left w:val="nil"/>
              <w:bottom w:val="single" w:sz="4" w:space="0" w:color="auto"/>
              <w:right w:val="single" w:sz="4" w:space="0" w:color="auto"/>
            </w:tcBorders>
            <w:noWrap/>
            <w:vAlign w:val="bottom"/>
            <w:hideMark/>
          </w:tcPr>
          <w:p w14:paraId="60267A3C"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3F2C27E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1C0406DD"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6188115E"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3C0F2F1F"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r>
      <w:tr w:rsidR="00E327DB" w:rsidRPr="008A00D2" w14:paraId="400C4139"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766C320E"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Operating Cash Flow ($m)</w:t>
            </w:r>
          </w:p>
        </w:tc>
        <w:tc>
          <w:tcPr>
            <w:tcW w:w="960" w:type="dxa"/>
            <w:tcBorders>
              <w:top w:val="nil"/>
              <w:left w:val="nil"/>
              <w:bottom w:val="single" w:sz="4" w:space="0" w:color="auto"/>
              <w:right w:val="single" w:sz="4" w:space="0" w:color="auto"/>
            </w:tcBorders>
            <w:noWrap/>
            <w:vAlign w:val="bottom"/>
            <w:hideMark/>
          </w:tcPr>
          <w:p w14:paraId="2FC9459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636</w:t>
            </w:r>
          </w:p>
        </w:tc>
        <w:tc>
          <w:tcPr>
            <w:tcW w:w="960" w:type="dxa"/>
            <w:tcBorders>
              <w:top w:val="nil"/>
              <w:left w:val="nil"/>
              <w:bottom w:val="single" w:sz="4" w:space="0" w:color="auto"/>
              <w:right w:val="single" w:sz="4" w:space="0" w:color="auto"/>
            </w:tcBorders>
            <w:noWrap/>
            <w:vAlign w:val="bottom"/>
            <w:hideMark/>
          </w:tcPr>
          <w:p w14:paraId="57805BB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646</w:t>
            </w:r>
          </w:p>
        </w:tc>
        <w:tc>
          <w:tcPr>
            <w:tcW w:w="960" w:type="dxa"/>
            <w:tcBorders>
              <w:top w:val="nil"/>
              <w:left w:val="nil"/>
              <w:bottom w:val="single" w:sz="4" w:space="0" w:color="auto"/>
              <w:right w:val="single" w:sz="4" w:space="0" w:color="auto"/>
            </w:tcBorders>
            <w:noWrap/>
            <w:vAlign w:val="bottom"/>
            <w:hideMark/>
          </w:tcPr>
          <w:p w14:paraId="724A965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893</w:t>
            </w:r>
          </w:p>
        </w:tc>
        <w:tc>
          <w:tcPr>
            <w:tcW w:w="960" w:type="dxa"/>
            <w:tcBorders>
              <w:top w:val="nil"/>
              <w:left w:val="nil"/>
              <w:bottom w:val="single" w:sz="4" w:space="0" w:color="auto"/>
              <w:right w:val="single" w:sz="4" w:space="0" w:color="auto"/>
            </w:tcBorders>
            <w:noWrap/>
            <w:vAlign w:val="bottom"/>
            <w:hideMark/>
          </w:tcPr>
          <w:p w14:paraId="3275E61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724</w:t>
            </w:r>
          </w:p>
        </w:tc>
        <w:tc>
          <w:tcPr>
            <w:tcW w:w="960" w:type="dxa"/>
            <w:tcBorders>
              <w:top w:val="nil"/>
              <w:left w:val="nil"/>
              <w:bottom w:val="single" w:sz="4" w:space="0" w:color="auto"/>
              <w:right w:val="single" w:sz="4" w:space="0" w:color="auto"/>
            </w:tcBorders>
            <w:noWrap/>
            <w:vAlign w:val="bottom"/>
            <w:hideMark/>
          </w:tcPr>
          <w:p w14:paraId="7009B90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898</w:t>
            </w:r>
          </w:p>
        </w:tc>
      </w:tr>
      <w:tr w:rsidR="00E327DB" w:rsidRPr="008A00D2" w14:paraId="4F9A18D0"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312EEEF7"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Free Cash Flow ($m)</w:t>
            </w:r>
          </w:p>
        </w:tc>
        <w:tc>
          <w:tcPr>
            <w:tcW w:w="960" w:type="dxa"/>
            <w:tcBorders>
              <w:top w:val="nil"/>
              <w:left w:val="nil"/>
              <w:bottom w:val="single" w:sz="4" w:space="0" w:color="auto"/>
              <w:right w:val="single" w:sz="4" w:space="0" w:color="auto"/>
            </w:tcBorders>
            <w:noWrap/>
            <w:vAlign w:val="bottom"/>
            <w:hideMark/>
          </w:tcPr>
          <w:p w14:paraId="7092499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565</w:t>
            </w:r>
          </w:p>
        </w:tc>
        <w:tc>
          <w:tcPr>
            <w:tcW w:w="960" w:type="dxa"/>
            <w:tcBorders>
              <w:top w:val="nil"/>
              <w:left w:val="nil"/>
              <w:bottom w:val="single" w:sz="4" w:space="0" w:color="auto"/>
              <w:right w:val="single" w:sz="4" w:space="0" w:color="auto"/>
            </w:tcBorders>
            <w:noWrap/>
            <w:vAlign w:val="bottom"/>
            <w:hideMark/>
          </w:tcPr>
          <w:p w14:paraId="371E8AE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568</w:t>
            </w:r>
          </w:p>
        </w:tc>
        <w:tc>
          <w:tcPr>
            <w:tcW w:w="960" w:type="dxa"/>
            <w:tcBorders>
              <w:top w:val="nil"/>
              <w:left w:val="nil"/>
              <w:bottom w:val="single" w:sz="4" w:space="0" w:color="auto"/>
              <w:right w:val="single" w:sz="4" w:space="0" w:color="auto"/>
            </w:tcBorders>
            <w:noWrap/>
            <w:vAlign w:val="bottom"/>
            <w:hideMark/>
          </w:tcPr>
          <w:p w14:paraId="29C3F12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819</w:t>
            </w:r>
          </w:p>
        </w:tc>
        <w:tc>
          <w:tcPr>
            <w:tcW w:w="960" w:type="dxa"/>
            <w:tcBorders>
              <w:top w:val="nil"/>
              <w:left w:val="nil"/>
              <w:bottom w:val="single" w:sz="4" w:space="0" w:color="auto"/>
              <w:right w:val="single" w:sz="4" w:space="0" w:color="auto"/>
            </w:tcBorders>
            <w:noWrap/>
            <w:vAlign w:val="bottom"/>
            <w:hideMark/>
          </w:tcPr>
          <w:p w14:paraId="5D06225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655</w:t>
            </w:r>
          </w:p>
        </w:tc>
        <w:tc>
          <w:tcPr>
            <w:tcW w:w="960" w:type="dxa"/>
            <w:tcBorders>
              <w:top w:val="nil"/>
              <w:left w:val="nil"/>
              <w:bottom w:val="single" w:sz="4" w:space="0" w:color="auto"/>
              <w:right w:val="single" w:sz="4" w:space="0" w:color="auto"/>
            </w:tcBorders>
            <w:noWrap/>
            <w:vAlign w:val="bottom"/>
            <w:hideMark/>
          </w:tcPr>
          <w:p w14:paraId="4F60CCB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821</w:t>
            </w:r>
          </w:p>
        </w:tc>
      </w:tr>
      <w:tr w:rsidR="00E327DB" w:rsidRPr="008A00D2" w14:paraId="2DE2C671"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65B6D454"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Investment measures:</w:t>
            </w:r>
          </w:p>
        </w:tc>
        <w:tc>
          <w:tcPr>
            <w:tcW w:w="960" w:type="dxa"/>
            <w:tcBorders>
              <w:top w:val="nil"/>
              <w:left w:val="nil"/>
              <w:bottom w:val="single" w:sz="4" w:space="0" w:color="auto"/>
              <w:right w:val="single" w:sz="4" w:space="0" w:color="auto"/>
            </w:tcBorders>
            <w:noWrap/>
            <w:vAlign w:val="bottom"/>
            <w:hideMark/>
          </w:tcPr>
          <w:p w14:paraId="31FC828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3F27E04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77D444A8"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255ACFB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c>
          <w:tcPr>
            <w:tcW w:w="960" w:type="dxa"/>
            <w:tcBorders>
              <w:top w:val="nil"/>
              <w:left w:val="nil"/>
              <w:bottom w:val="single" w:sz="4" w:space="0" w:color="auto"/>
              <w:right w:val="single" w:sz="4" w:space="0" w:color="auto"/>
            </w:tcBorders>
            <w:noWrap/>
            <w:vAlign w:val="bottom"/>
            <w:hideMark/>
          </w:tcPr>
          <w:p w14:paraId="27DEEACF"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 </w:t>
            </w:r>
          </w:p>
        </w:tc>
      </w:tr>
      <w:tr w:rsidR="00E327DB" w:rsidRPr="008A00D2" w14:paraId="36839C43"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6FE39C36"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Share price ($)</w:t>
            </w:r>
          </w:p>
        </w:tc>
        <w:tc>
          <w:tcPr>
            <w:tcW w:w="960" w:type="dxa"/>
            <w:tcBorders>
              <w:top w:val="nil"/>
              <w:left w:val="nil"/>
              <w:bottom w:val="single" w:sz="4" w:space="0" w:color="auto"/>
              <w:right w:val="single" w:sz="4" w:space="0" w:color="auto"/>
            </w:tcBorders>
            <w:noWrap/>
            <w:vAlign w:val="bottom"/>
            <w:hideMark/>
          </w:tcPr>
          <w:p w14:paraId="09ECC88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64.22</w:t>
            </w:r>
          </w:p>
        </w:tc>
        <w:tc>
          <w:tcPr>
            <w:tcW w:w="960" w:type="dxa"/>
            <w:tcBorders>
              <w:top w:val="nil"/>
              <w:left w:val="nil"/>
              <w:bottom w:val="single" w:sz="4" w:space="0" w:color="auto"/>
              <w:right w:val="single" w:sz="4" w:space="0" w:color="auto"/>
            </w:tcBorders>
            <w:noWrap/>
            <w:vAlign w:val="bottom"/>
            <w:hideMark/>
          </w:tcPr>
          <w:p w14:paraId="5BD638F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57.25</w:t>
            </w:r>
          </w:p>
        </w:tc>
        <w:tc>
          <w:tcPr>
            <w:tcW w:w="960" w:type="dxa"/>
            <w:tcBorders>
              <w:top w:val="nil"/>
              <w:left w:val="nil"/>
              <w:bottom w:val="single" w:sz="4" w:space="0" w:color="auto"/>
              <w:right w:val="single" w:sz="4" w:space="0" w:color="auto"/>
            </w:tcBorders>
            <w:noWrap/>
            <w:vAlign w:val="bottom"/>
            <w:hideMark/>
          </w:tcPr>
          <w:p w14:paraId="4454259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89.3</w:t>
            </w:r>
          </w:p>
        </w:tc>
        <w:tc>
          <w:tcPr>
            <w:tcW w:w="960" w:type="dxa"/>
            <w:tcBorders>
              <w:top w:val="nil"/>
              <w:left w:val="nil"/>
              <w:bottom w:val="single" w:sz="4" w:space="0" w:color="auto"/>
              <w:right w:val="single" w:sz="4" w:space="0" w:color="auto"/>
            </w:tcBorders>
            <w:noWrap/>
            <w:vAlign w:val="bottom"/>
            <w:hideMark/>
          </w:tcPr>
          <w:p w14:paraId="6B33AF4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115.12</w:t>
            </w:r>
          </w:p>
        </w:tc>
        <w:tc>
          <w:tcPr>
            <w:tcW w:w="960" w:type="dxa"/>
            <w:tcBorders>
              <w:top w:val="nil"/>
              <w:left w:val="nil"/>
              <w:bottom w:val="single" w:sz="4" w:space="0" w:color="auto"/>
              <w:right w:val="single" w:sz="4" w:space="0" w:color="auto"/>
            </w:tcBorders>
            <w:noWrap/>
            <w:vAlign w:val="bottom"/>
            <w:hideMark/>
          </w:tcPr>
          <w:p w14:paraId="38D74BC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121.45</w:t>
            </w:r>
          </w:p>
        </w:tc>
      </w:tr>
      <w:tr w:rsidR="00E327DB" w:rsidRPr="008A00D2" w14:paraId="679EA2EE" w14:textId="77777777" w:rsidTr="00317C3C">
        <w:trPr>
          <w:trHeight w:val="288"/>
          <w:jc w:val="center"/>
        </w:trPr>
        <w:tc>
          <w:tcPr>
            <w:tcW w:w="2500" w:type="dxa"/>
            <w:tcBorders>
              <w:top w:val="nil"/>
              <w:left w:val="single" w:sz="4" w:space="0" w:color="auto"/>
              <w:bottom w:val="single" w:sz="4" w:space="0" w:color="auto"/>
              <w:right w:val="single" w:sz="4" w:space="0" w:color="auto"/>
            </w:tcBorders>
            <w:noWrap/>
            <w:vAlign w:val="bottom"/>
            <w:hideMark/>
          </w:tcPr>
          <w:p w14:paraId="720E974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Earnings per share (EPS) ($)</w:t>
            </w:r>
          </w:p>
        </w:tc>
        <w:tc>
          <w:tcPr>
            <w:tcW w:w="960" w:type="dxa"/>
            <w:tcBorders>
              <w:top w:val="nil"/>
              <w:left w:val="nil"/>
              <w:bottom w:val="single" w:sz="4" w:space="0" w:color="auto"/>
              <w:right w:val="single" w:sz="4" w:space="0" w:color="auto"/>
            </w:tcBorders>
            <w:noWrap/>
            <w:vAlign w:val="bottom"/>
            <w:hideMark/>
          </w:tcPr>
          <w:p w14:paraId="34CF1A1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1.47</w:t>
            </w:r>
          </w:p>
        </w:tc>
        <w:tc>
          <w:tcPr>
            <w:tcW w:w="960" w:type="dxa"/>
            <w:tcBorders>
              <w:top w:val="nil"/>
              <w:left w:val="nil"/>
              <w:bottom w:val="single" w:sz="4" w:space="0" w:color="auto"/>
              <w:right w:val="single" w:sz="4" w:space="0" w:color="auto"/>
            </w:tcBorders>
            <w:noWrap/>
            <w:vAlign w:val="bottom"/>
            <w:hideMark/>
          </w:tcPr>
          <w:p w14:paraId="082902A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2.06</w:t>
            </w:r>
          </w:p>
        </w:tc>
        <w:tc>
          <w:tcPr>
            <w:tcW w:w="960" w:type="dxa"/>
            <w:tcBorders>
              <w:top w:val="nil"/>
              <w:left w:val="nil"/>
              <w:bottom w:val="single" w:sz="4" w:space="0" w:color="auto"/>
              <w:right w:val="single" w:sz="4" w:space="0" w:color="auto"/>
            </w:tcBorders>
            <w:noWrap/>
            <w:vAlign w:val="bottom"/>
            <w:hideMark/>
          </w:tcPr>
          <w:p w14:paraId="28589FA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4.41</w:t>
            </w:r>
          </w:p>
        </w:tc>
        <w:tc>
          <w:tcPr>
            <w:tcW w:w="960" w:type="dxa"/>
            <w:tcBorders>
              <w:top w:val="nil"/>
              <w:left w:val="nil"/>
              <w:bottom w:val="single" w:sz="4" w:space="0" w:color="auto"/>
              <w:right w:val="single" w:sz="4" w:space="0" w:color="auto"/>
            </w:tcBorders>
            <w:noWrap/>
            <w:vAlign w:val="bottom"/>
            <w:hideMark/>
          </w:tcPr>
          <w:p w14:paraId="6AF0DC3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3.85</w:t>
            </w:r>
          </w:p>
        </w:tc>
        <w:tc>
          <w:tcPr>
            <w:tcW w:w="960" w:type="dxa"/>
            <w:tcBorders>
              <w:top w:val="nil"/>
              <w:left w:val="nil"/>
              <w:bottom w:val="single" w:sz="4" w:space="0" w:color="auto"/>
              <w:right w:val="single" w:sz="4" w:space="0" w:color="auto"/>
            </w:tcBorders>
            <w:noWrap/>
            <w:vAlign w:val="bottom"/>
            <w:hideMark/>
          </w:tcPr>
          <w:p w14:paraId="353C5BE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4.87</w:t>
            </w:r>
          </w:p>
        </w:tc>
      </w:tr>
    </w:tbl>
    <w:p w14:paraId="39587FF0" w14:textId="77777777" w:rsidR="00E327DB" w:rsidRPr="008A00D2" w:rsidRDefault="00E327DB">
      <w:pPr>
        <w:rPr>
          <w:lang w:val="en-GB"/>
        </w:rPr>
      </w:pPr>
    </w:p>
    <w:tbl>
      <w:tblPr>
        <w:tblW w:w="0" w:type="auto"/>
        <w:jc w:val="center"/>
        <w:tblLook w:val="04A0" w:firstRow="1" w:lastRow="0" w:firstColumn="1" w:lastColumn="0" w:noHBand="0" w:noVBand="1"/>
      </w:tblPr>
      <w:tblGrid>
        <w:gridCol w:w="1345"/>
        <w:gridCol w:w="1316"/>
        <w:gridCol w:w="1802"/>
        <w:gridCol w:w="976"/>
        <w:gridCol w:w="935"/>
        <w:gridCol w:w="911"/>
        <w:gridCol w:w="991"/>
        <w:gridCol w:w="1074"/>
      </w:tblGrid>
      <w:tr w:rsidR="00E327DB" w:rsidRPr="008A00D2" w14:paraId="7689B93B" w14:textId="77777777" w:rsidTr="00317C3C">
        <w:trPr>
          <w:trHeight w:val="288"/>
          <w:tblHeader/>
          <w:jc w:val="center"/>
        </w:trPr>
        <w:tc>
          <w:tcPr>
            <w:tcW w:w="1345" w:type="dxa"/>
            <w:tcBorders>
              <w:top w:val="single" w:sz="4" w:space="0" w:color="auto"/>
              <w:left w:val="single" w:sz="4" w:space="0" w:color="auto"/>
              <w:bottom w:val="single" w:sz="4" w:space="0" w:color="auto"/>
              <w:right w:val="single" w:sz="4" w:space="0" w:color="auto"/>
            </w:tcBorders>
            <w:noWrap/>
            <w:vAlign w:val="bottom"/>
            <w:hideMark/>
          </w:tcPr>
          <w:p w14:paraId="0FBA99EA"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Category</w:t>
            </w:r>
          </w:p>
        </w:tc>
        <w:tc>
          <w:tcPr>
            <w:tcW w:w="1309" w:type="dxa"/>
            <w:tcBorders>
              <w:top w:val="single" w:sz="4" w:space="0" w:color="auto"/>
              <w:left w:val="nil"/>
              <w:bottom w:val="single" w:sz="4" w:space="0" w:color="auto"/>
              <w:right w:val="single" w:sz="4" w:space="0" w:color="auto"/>
            </w:tcBorders>
            <w:noWrap/>
            <w:vAlign w:val="bottom"/>
            <w:hideMark/>
          </w:tcPr>
          <w:p w14:paraId="04AF719E"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Ratio</w:t>
            </w:r>
          </w:p>
        </w:tc>
        <w:tc>
          <w:tcPr>
            <w:tcW w:w="1804" w:type="dxa"/>
            <w:tcBorders>
              <w:top w:val="single" w:sz="4" w:space="0" w:color="auto"/>
              <w:left w:val="nil"/>
              <w:bottom w:val="single" w:sz="4" w:space="0" w:color="auto"/>
              <w:right w:val="single" w:sz="4" w:space="0" w:color="auto"/>
            </w:tcBorders>
            <w:noWrap/>
            <w:vAlign w:val="bottom"/>
            <w:hideMark/>
          </w:tcPr>
          <w:p w14:paraId="59A66914"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Formula</w:t>
            </w:r>
          </w:p>
        </w:tc>
        <w:tc>
          <w:tcPr>
            <w:tcW w:w="977" w:type="dxa"/>
            <w:tcBorders>
              <w:top w:val="single" w:sz="4" w:space="0" w:color="auto"/>
              <w:left w:val="nil"/>
              <w:bottom w:val="single" w:sz="4" w:space="0" w:color="auto"/>
              <w:right w:val="single" w:sz="4" w:space="0" w:color="auto"/>
            </w:tcBorders>
            <w:noWrap/>
            <w:vAlign w:val="bottom"/>
            <w:hideMark/>
          </w:tcPr>
          <w:p w14:paraId="601A0452"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2021</w:t>
            </w:r>
          </w:p>
        </w:tc>
        <w:tc>
          <w:tcPr>
            <w:tcW w:w="936" w:type="dxa"/>
            <w:tcBorders>
              <w:top w:val="single" w:sz="4" w:space="0" w:color="auto"/>
              <w:left w:val="nil"/>
              <w:bottom w:val="single" w:sz="4" w:space="0" w:color="auto"/>
              <w:right w:val="single" w:sz="4" w:space="0" w:color="auto"/>
            </w:tcBorders>
            <w:noWrap/>
            <w:vAlign w:val="bottom"/>
            <w:hideMark/>
          </w:tcPr>
          <w:p w14:paraId="6124B8BF"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2022</w:t>
            </w:r>
          </w:p>
        </w:tc>
        <w:tc>
          <w:tcPr>
            <w:tcW w:w="912" w:type="dxa"/>
            <w:tcBorders>
              <w:top w:val="single" w:sz="4" w:space="0" w:color="auto"/>
              <w:left w:val="nil"/>
              <w:bottom w:val="single" w:sz="4" w:space="0" w:color="auto"/>
              <w:right w:val="single" w:sz="4" w:space="0" w:color="auto"/>
            </w:tcBorders>
            <w:noWrap/>
            <w:vAlign w:val="bottom"/>
            <w:hideMark/>
          </w:tcPr>
          <w:p w14:paraId="58D053FF"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2023</w:t>
            </w:r>
          </w:p>
        </w:tc>
        <w:tc>
          <w:tcPr>
            <w:tcW w:w="992" w:type="dxa"/>
            <w:tcBorders>
              <w:top w:val="single" w:sz="4" w:space="0" w:color="auto"/>
              <w:left w:val="nil"/>
              <w:bottom w:val="single" w:sz="4" w:space="0" w:color="auto"/>
              <w:right w:val="single" w:sz="4" w:space="0" w:color="auto"/>
            </w:tcBorders>
            <w:noWrap/>
            <w:vAlign w:val="bottom"/>
            <w:hideMark/>
          </w:tcPr>
          <w:p w14:paraId="4B334AF5"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2024</w:t>
            </w:r>
          </w:p>
        </w:tc>
        <w:tc>
          <w:tcPr>
            <w:tcW w:w="1075" w:type="dxa"/>
            <w:tcBorders>
              <w:top w:val="single" w:sz="4" w:space="0" w:color="auto"/>
              <w:left w:val="nil"/>
              <w:bottom w:val="single" w:sz="4" w:space="0" w:color="auto"/>
              <w:right w:val="single" w:sz="4" w:space="0" w:color="auto"/>
            </w:tcBorders>
            <w:noWrap/>
            <w:vAlign w:val="bottom"/>
            <w:hideMark/>
          </w:tcPr>
          <w:p w14:paraId="09CF735F" w14:textId="77777777" w:rsidR="00E327DB" w:rsidRPr="008A00D2" w:rsidRDefault="00E327DB" w:rsidP="00317C3C">
            <w:pPr>
              <w:spacing w:before="0" w:after="0" w:line="240" w:lineRule="auto"/>
              <w:jc w:val="righ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2025</w:t>
            </w:r>
          </w:p>
        </w:tc>
      </w:tr>
      <w:tr w:rsidR="00E327DB" w:rsidRPr="008A00D2" w14:paraId="0830624A" w14:textId="77777777" w:rsidTr="00317C3C">
        <w:trPr>
          <w:trHeight w:val="288"/>
          <w:jc w:val="center"/>
        </w:trPr>
        <w:tc>
          <w:tcPr>
            <w:tcW w:w="1345" w:type="dxa"/>
            <w:vMerge w:val="restart"/>
            <w:tcBorders>
              <w:top w:val="nil"/>
              <w:left w:val="single" w:sz="4" w:space="0" w:color="auto"/>
              <w:bottom w:val="single" w:sz="4" w:space="0" w:color="auto"/>
              <w:right w:val="single" w:sz="4" w:space="0" w:color="auto"/>
            </w:tcBorders>
            <w:noWrap/>
            <w:hideMark/>
          </w:tcPr>
          <w:p w14:paraId="1C9415B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Profitability</w:t>
            </w:r>
          </w:p>
        </w:tc>
        <w:tc>
          <w:tcPr>
            <w:tcW w:w="1309" w:type="dxa"/>
            <w:tcBorders>
              <w:top w:val="nil"/>
              <w:left w:val="nil"/>
              <w:bottom w:val="single" w:sz="4" w:space="0" w:color="auto"/>
              <w:right w:val="single" w:sz="4" w:space="0" w:color="auto"/>
            </w:tcBorders>
            <w:noWrap/>
            <w:vAlign w:val="bottom"/>
            <w:hideMark/>
          </w:tcPr>
          <w:p w14:paraId="78116B3C"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Operating Profit Margin (OPM)</w:t>
            </w:r>
          </w:p>
        </w:tc>
        <w:tc>
          <w:tcPr>
            <w:tcW w:w="1804" w:type="dxa"/>
            <w:tcBorders>
              <w:top w:val="nil"/>
              <w:left w:val="nil"/>
              <w:bottom w:val="single" w:sz="4" w:space="0" w:color="auto"/>
              <w:right w:val="single" w:sz="4" w:space="0" w:color="auto"/>
            </w:tcBorders>
            <w:noWrap/>
            <w:vAlign w:val="bottom"/>
            <w:hideMark/>
          </w:tcPr>
          <w:p w14:paraId="4F4BDCA0"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(Operating Profit ÷ Revenue) × 100</w:t>
            </w:r>
          </w:p>
        </w:tc>
        <w:tc>
          <w:tcPr>
            <w:tcW w:w="977" w:type="dxa"/>
            <w:tcBorders>
              <w:top w:val="nil"/>
              <w:left w:val="nil"/>
              <w:bottom w:val="single" w:sz="4" w:space="0" w:color="auto"/>
              <w:right w:val="single" w:sz="4" w:space="0" w:color="auto"/>
            </w:tcBorders>
            <w:noWrap/>
            <w:vAlign w:val="bottom"/>
            <w:hideMark/>
          </w:tcPr>
          <w:p w14:paraId="2C5BBB7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9.52%</w:t>
            </w:r>
          </w:p>
        </w:tc>
        <w:tc>
          <w:tcPr>
            <w:tcW w:w="936" w:type="dxa"/>
            <w:tcBorders>
              <w:top w:val="nil"/>
              <w:left w:val="nil"/>
              <w:bottom w:val="single" w:sz="4" w:space="0" w:color="auto"/>
              <w:right w:val="single" w:sz="4" w:space="0" w:color="auto"/>
            </w:tcBorders>
            <w:noWrap/>
            <w:vAlign w:val="bottom"/>
            <w:hideMark/>
          </w:tcPr>
          <w:p w14:paraId="5633C02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12.76%</w:t>
            </w:r>
          </w:p>
        </w:tc>
        <w:tc>
          <w:tcPr>
            <w:tcW w:w="912" w:type="dxa"/>
            <w:tcBorders>
              <w:top w:val="nil"/>
              <w:left w:val="nil"/>
              <w:bottom w:val="single" w:sz="4" w:space="0" w:color="auto"/>
              <w:right w:val="single" w:sz="4" w:space="0" w:color="auto"/>
            </w:tcBorders>
            <w:noWrap/>
            <w:vAlign w:val="bottom"/>
            <w:hideMark/>
          </w:tcPr>
          <w:p w14:paraId="1A5FCF5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23.05%</w:t>
            </w:r>
          </w:p>
        </w:tc>
        <w:tc>
          <w:tcPr>
            <w:tcW w:w="992" w:type="dxa"/>
            <w:tcBorders>
              <w:top w:val="nil"/>
              <w:left w:val="nil"/>
              <w:bottom w:val="single" w:sz="4" w:space="0" w:color="auto"/>
              <w:right w:val="single" w:sz="4" w:space="0" w:color="auto"/>
            </w:tcBorders>
            <w:noWrap/>
            <w:vAlign w:val="bottom"/>
            <w:hideMark/>
          </w:tcPr>
          <w:p w14:paraId="68A3274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26.76%</w:t>
            </w:r>
          </w:p>
        </w:tc>
        <w:tc>
          <w:tcPr>
            <w:tcW w:w="1075" w:type="dxa"/>
            <w:tcBorders>
              <w:top w:val="nil"/>
              <w:left w:val="nil"/>
              <w:bottom w:val="single" w:sz="4" w:space="0" w:color="auto"/>
              <w:right w:val="single" w:sz="4" w:space="0" w:color="auto"/>
            </w:tcBorders>
            <w:noWrap/>
            <w:vAlign w:val="bottom"/>
            <w:hideMark/>
          </w:tcPr>
          <w:p w14:paraId="5625EE3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41.17%</w:t>
            </w:r>
          </w:p>
        </w:tc>
      </w:tr>
      <w:tr w:rsidR="00E327DB" w:rsidRPr="008A00D2" w14:paraId="59707026" w14:textId="77777777" w:rsidTr="00317C3C">
        <w:trPr>
          <w:trHeight w:val="288"/>
          <w:jc w:val="center"/>
        </w:trPr>
        <w:tc>
          <w:tcPr>
            <w:tcW w:w="1345" w:type="dxa"/>
            <w:vMerge/>
            <w:tcBorders>
              <w:top w:val="nil"/>
              <w:left w:val="single" w:sz="4" w:space="0" w:color="auto"/>
              <w:bottom w:val="single" w:sz="4" w:space="0" w:color="auto"/>
              <w:right w:val="single" w:sz="4" w:space="0" w:color="auto"/>
            </w:tcBorders>
            <w:vAlign w:val="center"/>
            <w:hideMark/>
          </w:tcPr>
          <w:p w14:paraId="43376E1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p>
        </w:tc>
        <w:tc>
          <w:tcPr>
            <w:tcW w:w="1309" w:type="dxa"/>
            <w:tcBorders>
              <w:top w:val="nil"/>
              <w:left w:val="nil"/>
              <w:bottom w:val="single" w:sz="4" w:space="0" w:color="auto"/>
              <w:right w:val="single" w:sz="4" w:space="0" w:color="auto"/>
            </w:tcBorders>
            <w:noWrap/>
            <w:vAlign w:val="bottom"/>
            <w:hideMark/>
          </w:tcPr>
          <w:p w14:paraId="40879E48"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Net Profit Margin (NPM)</w:t>
            </w:r>
          </w:p>
        </w:tc>
        <w:tc>
          <w:tcPr>
            <w:tcW w:w="1804" w:type="dxa"/>
            <w:tcBorders>
              <w:top w:val="nil"/>
              <w:left w:val="nil"/>
              <w:bottom w:val="single" w:sz="4" w:space="0" w:color="auto"/>
              <w:right w:val="single" w:sz="4" w:space="0" w:color="auto"/>
            </w:tcBorders>
            <w:noWrap/>
            <w:vAlign w:val="bottom"/>
            <w:hideMark/>
          </w:tcPr>
          <w:p w14:paraId="2DD00AE5"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(Net Profit ÷ Revenue) × 100</w:t>
            </w:r>
          </w:p>
        </w:tc>
        <w:tc>
          <w:tcPr>
            <w:tcW w:w="977" w:type="dxa"/>
            <w:tcBorders>
              <w:top w:val="nil"/>
              <w:left w:val="nil"/>
              <w:bottom w:val="single" w:sz="4" w:space="0" w:color="auto"/>
              <w:right w:val="single" w:sz="4" w:space="0" w:color="auto"/>
            </w:tcBorders>
            <w:noWrap/>
            <w:vAlign w:val="bottom"/>
            <w:hideMark/>
          </w:tcPr>
          <w:p w14:paraId="213ECBC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5.13%</w:t>
            </w:r>
          </w:p>
        </w:tc>
        <w:tc>
          <w:tcPr>
            <w:tcW w:w="936" w:type="dxa"/>
            <w:tcBorders>
              <w:top w:val="nil"/>
              <w:left w:val="nil"/>
              <w:bottom w:val="single" w:sz="4" w:space="0" w:color="auto"/>
              <w:right w:val="single" w:sz="4" w:space="0" w:color="auto"/>
            </w:tcBorders>
            <w:noWrap/>
            <w:vAlign w:val="bottom"/>
            <w:hideMark/>
          </w:tcPr>
          <w:p w14:paraId="011B9FC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7.62%</w:t>
            </w:r>
          </w:p>
        </w:tc>
        <w:tc>
          <w:tcPr>
            <w:tcW w:w="912" w:type="dxa"/>
            <w:tcBorders>
              <w:top w:val="nil"/>
              <w:left w:val="nil"/>
              <w:bottom w:val="single" w:sz="4" w:space="0" w:color="auto"/>
              <w:right w:val="single" w:sz="4" w:space="0" w:color="auto"/>
            </w:tcBorders>
            <w:noWrap/>
            <w:vAlign w:val="bottom"/>
            <w:hideMark/>
          </w:tcPr>
          <w:p w14:paraId="1BCD680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16.22%</w:t>
            </w:r>
          </w:p>
        </w:tc>
        <w:tc>
          <w:tcPr>
            <w:tcW w:w="992" w:type="dxa"/>
            <w:tcBorders>
              <w:top w:val="nil"/>
              <w:left w:val="nil"/>
              <w:bottom w:val="single" w:sz="4" w:space="0" w:color="auto"/>
              <w:right w:val="single" w:sz="4" w:space="0" w:color="auto"/>
            </w:tcBorders>
            <w:noWrap/>
            <w:vAlign w:val="bottom"/>
            <w:hideMark/>
          </w:tcPr>
          <w:p w14:paraId="321C295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16.14%</w:t>
            </w:r>
          </w:p>
        </w:tc>
        <w:tc>
          <w:tcPr>
            <w:tcW w:w="1075" w:type="dxa"/>
            <w:tcBorders>
              <w:top w:val="nil"/>
              <w:left w:val="nil"/>
              <w:bottom w:val="single" w:sz="4" w:space="0" w:color="auto"/>
              <w:right w:val="single" w:sz="4" w:space="0" w:color="auto"/>
            </w:tcBorders>
            <w:noWrap/>
            <w:vAlign w:val="bottom"/>
            <w:hideMark/>
          </w:tcPr>
          <w:p w14:paraId="7D69A87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26.05%</w:t>
            </w:r>
          </w:p>
        </w:tc>
      </w:tr>
      <w:tr w:rsidR="00E327DB" w:rsidRPr="008A00D2" w14:paraId="0CEA8418" w14:textId="77777777" w:rsidTr="00317C3C">
        <w:trPr>
          <w:trHeight w:val="288"/>
          <w:jc w:val="center"/>
        </w:trPr>
        <w:tc>
          <w:tcPr>
            <w:tcW w:w="1345" w:type="dxa"/>
            <w:vMerge/>
            <w:tcBorders>
              <w:top w:val="nil"/>
              <w:left w:val="single" w:sz="4" w:space="0" w:color="auto"/>
              <w:bottom w:val="single" w:sz="4" w:space="0" w:color="auto"/>
              <w:right w:val="single" w:sz="4" w:space="0" w:color="auto"/>
            </w:tcBorders>
            <w:vAlign w:val="center"/>
            <w:hideMark/>
          </w:tcPr>
          <w:p w14:paraId="498B49B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p>
        </w:tc>
        <w:tc>
          <w:tcPr>
            <w:tcW w:w="1309" w:type="dxa"/>
            <w:tcBorders>
              <w:top w:val="nil"/>
              <w:left w:val="nil"/>
              <w:bottom w:val="single" w:sz="4" w:space="0" w:color="auto"/>
              <w:right w:val="single" w:sz="4" w:space="0" w:color="auto"/>
            </w:tcBorders>
            <w:noWrap/>
            <w:vAlign w:val="bottom"/>
            <w:hideMark/>
          </w:tcPr>
          <w:p w14:paraId="7F98624C"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Return on Assets (ROA)</w:t>
            </w:r>
          </w:p>
        </w:tc>
        <w:tc>
          <w:tcPr>
            <w:tcW w:w="1804" w:type="dxa"/>
            <w:tcBorders>
              <w:top w:val="nil"/>
              <w:left w:val="nil"/>
              <w:bottom w:val="single" w:sz="4" w:space="0" w:color="auto"/>
              <w:right w:val="single" w:sz="4" w:space="0" w:color="auto"/>
            </w:tcBorders>
            <w:noWrap/>
            <w:vAlign w:val="bottom"/>
            <w:hideMark/>
          </w:tcPr>
          <w:p w14:paraId="13FFF5DF"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(Net Profit ÷ Total Assets) × 100</w:t>
            </w:r>
          </w:p>
        </w:tc>
        <w:tc>
          <w:tcPr>
            <w:tcW w:w="977" w:type="dxa"/>
            <w:tcBorders>
              <w:top w:val="nil"/>
              <w:left w:val="nil"/>
              <w:bottom w:val="single" w:sz="4" w:space="0" w:color="auto"/>
              <w:right w:val="single" w:sz="4" w:space="0" w:color="auto"/>
            </w:tcBorders>
            <w:noWrap/>
            <w:vAlign w:val="bottom"/>
            <w:hideMark/>
          </w:tcPr>
          <w:p w14:paraId="5D88340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5.64%</w:t>
            </w:r>
          </w:p>
        </w:tc>
        <w:tc>
          <w:tcPr>
            <w:tcW w:w="936" w:type="dxa"/>
            <w:tcBorders>
              <w:top w:val="nil"/>
              <w:left w:val="nil"/>
              <w:bottom w:val="single" w:sz="4" w:space="0" w:color="auto"/>
              <w:right w:val="single" w:sz="4" w:space="0" w:color="auto"/>
            </w:tcBorders>
            <w:noWrap/>
            <w:vAlign w:val="bottom"/>
            <w:hideMark/>
          </w:tcPr>
          <w:p w14:paraId="4D406CA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8.89%</w:t>
            </w:r>
          </w:p>
        </w:tc>
        <w:tc>
          <w:tcPr>
            <w:tcW w:w="912" w:type="dxa"/>
            <w:tcBorders>
              <w:top w:val="nil"/>
              <w:left w:val="nil"/>
              <w:bottom w:val="single" w:sz="4" w:space="0" w:color="auto"/>
              <w:right w:val="single" w:sz="4" w:space="0" w:color="auto"/>
            </w:tcBorders>
            <w:noWrap/>
            <w:vAlign w:val="bottom"/>
            <w:hideMark/>
          </w:tcPr>
          <w:p w14:paraId="3B94E51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15.58%</w:t>
            </w:r>
          </w:p>
        </w:tc>
        <w:tc>
          <w:tcPr>
            <w:tcW w:w="992" w:type="dxa"/>
            <w:tcBorders>
              <w:top w:val="nil"/>
              <w:left w:val="nil"/>
              <w:bottom w:val="single" w:sz="4" w:space="0" w:color="auto"/>
              <w:right w:val="single" w:sz="4" w:space="0" w:color="auto"/>
            </w:tcBorders>
            <w:noWrap/>
            <w:vAlign w:val="bottom"/>
            <w:hideMark/>
          </w:tcPr>
          <w:p w14:paraId="5A24589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13.23%</w:t>
            </w:r>
          </w:p>
        </w:tc>
        <w:tc>
          <w:tcPr>
            <w:tcW w:w="1075" w:type="dxa"/>
            <w:tcBorders>
              <w:top w:val="nil"/>
              <w:left w:val="nil"/>
              <w:bottom w:val="single" w:sz="4" w:space="0" w:color="auto"/>
              <w:right w:val="single" w:sz="4" w:space="0" w:color="auto"/>
            </w:tcBorders>
            <w:noWrap/>
            <w:vAlign w:val="bottom"/>
            <w:hideMark/>
          </w:tcPr>
          <w:p w14:paraId="3F67D1D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14.18%</w:t>
            </w:r>
          </w:p>
        </w:tc>
      </w:tr>
      <w:tr w:rsidR="00E327DB" w:rsidRPr="008A00D2" w14:paraId="3CE8AD6D" w14:textId="77777777" w:rsidTr="00317C3C">
        <w:trPr>
          <w:trHeight w:val="288"/>
          <w:jc w:val="center"/>
        </w:trPr>
        <w:tc>
          <w:tcPr>
            <w:tcW w:w="1345" w:type="dxa"/>
            <w:vMerge/>
            <w:tcBorders>
              <w:top w:val="nil"/>
              <w:left w:val="single" w:sz="4" w:space="0" w:color="auto"/>
              <w:bottom w:val="single" w:sz="4" w:space="0" w:color="auto"/>
              <w:right w:val="single" w:sz="4" w:space="0" w:color="auto"/>
            </w:tcBorders>
            <w:vAlign w:val="center"/>
            <w:hideMark/>
          </w:tcPr>
          <w:p w14:paraId="1BDA55C7"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p>
        </w:tc>
        <w:tc>
          <w:tcPr>
            <w:tcW w:w="1309" w:type="dxa"/>
            <w:tcBorders>
              <w:top w:val="nil"/>
              <w:left w:val="nil"/>
              <w:bottom w:val="single" w:sz="4" w:space="0" w:color="auto"/>
              <w:right w:val="single" w:sz="4" w:space="0" w:color="auto"/>
            </w:tcBorders>
            <w:noWrap/>
            <w:vAlign w:val="bottom"/>
            <w:hideMark/>
          </w:tcPr>
          <w:p w14:paraId="22196A98"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Return on Equity (ROE)</w:t>
            </w:r>
          </w:p>
        </w:tc>
        <w:tc>
          <w:tcPr>
            <w:tcW w:w="1804" w:type="dxa"/>
            <w:tcBorders>
              <w:top w:val="nil"/>
              <w:left w:val="nil"/>
              <w:bottom w:val="single" w:sz="4" w:space="0" w:color="auto"/>
              <w:right w:val="single" w:sz="4" w:space="0" w:color="auto"/>
            </w:tcBorders>
            <w:noWrap/>
            <w:vAlign w:val="bottom"/>
            <w:hideMark/>
          </w:tcPr>
          <w:p w14:paraId="441AFEA5"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(Net Profit ÷ Total Equity) × 100</w:t>
            </w:r>
          </w:p>
        </w:tc>
        <w:tc>
          <w:tcPr>
            <w:tcW w:w="977" w:type="dxa"/>
            <w:tcBorders>
              <w:top w:val="nil"/>
              <w:left w:val="nil"/>
              <w:bottom w:val="single" w:sz="4" w:space="0" w:color="auto"/>
              <w:right w:val="single" w:sz="4" w:space="0" w:color="auto"/>
            </w:tcBorders>
            <w:noWrap/>
            <w:vAlign w:val="bottom"/>
            <w:hideMark/>
          </w:tcPr>
          <w:p w14:paraId="5AA7C6F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8.00%</w:t>
            </w:r>
          </w:p>
        </w:tc>
        <w:tc>
          <w:tcPr>
            <w:tcW w:w="936" w:type="dxa"/>
            <w:tcBorders>
              <w:top w:val="nil"/>
              <w:left w:val="nil"/>
              <w:bottom w:val="single" w:sz="4" w:space="0" w:color="auto"/>
              <w:right w:val="single" w:sz="4" w:space="0" w:color="auto"/>
            </w:tcBorders>
            <w:noWrap/>
            <w:vAlign w:val="bottom"/>
            <w:hideMark/>
          </w:tcPr>
          <w:p w14:paraId="71891FC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13.23%</w:t>
            </w:r>
          </w:p>
        </w:tc>
        <w:tc>
          <w:tcPr>
            <w:tcW w:w="912" w:type="dxa"/>
            <w:tcBorders>
              <w:top w:val="nil"/>
              <w:left w:val="nil"/>
              <w:bottom w:val="single" w:sz="4" w:space="0" w:color="auto"/>
              <w:right w:val="single" w:sz="4" w:space="0" w:color="auto"/>
            </w:tcBorders>
            <w:noWrap/>
            <w:vAlign w:val="bottom"/>
            <w:hideMark/>
          </w:tcPr>
          <w:p w14:paraId="3495605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20.88%</w:t>
            </w:r>
          </w:p>
        </w:tc>
        <w:tc>
          <w:tcPr>
            <w:tcW w:w="992" w:type="dxa"/>
            <w:tcBorders>
              <w:top w:val="nil"/>
              <w:left w:val="nil"/>
              <w:bottom w:val="single" w:sz="4" w:space="0" w:color="auto"/>
              <w:right w:val="single" w:sz="4" w:space="0" w:color="auto"/>
            </w:tcBorders>
            <w:noWrap/>
            <w:vAlign w:val="bottom"/>
            <w:hideMark/>
          </w:tcPr>
          <w:p w14:paraId="619E19C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17.03%</w:t>
            </w:r>
          </w:p>
        </w:tc>
        <w:tc>
          <w:tcPr>
            <w:tcW w:w="1075" w:type="dxa"/>
            <w:tcBorders>
              <w:top w:val="nil"/>
              <w:left w:val="nil"/>
              <w:bottom w:val="single" w:sz="4" w:space="0" w:color="auto"/>
              <w:right w:val="single" w:sz="4" w:space="0" w:color="auto"/>
            </w:tcBorders>
            <w:noWrap/>
            <w:vAlign w:val="bottom"/>
            <w:hideMark/>
          </w:tcPr>
          <w:p w14:paraId="094F291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16.45%</w:t>
            </w:r>
          </w:p>
        </w:tc>
      </w:tr>
      <w:tr w:rsidR="00E327DB" w:rsidRPr="008A00D2" w14:paraId="3BB0DC22" w14:textId="77777777" w:rsidTr="00317C3C">
        <w:trPr>
          <w:trHeight w:val="288"/>
          <w:jc w:val="center"/>
        </w:trPr>
        <w:tc>
          <w:tcPr>
            <w:tcW w:w="1345" w:type="dxa"/>
            <w:vMerge w:val="restart"/>
            <w:tcBorders>
              <w:top w:val="nil"/>
              <w:left w:val="single" w:sz="4" w:space="0" w:color="auto"/>
              <w:bottom w:val="single" w:sz="4" w:space="0" w:color="auto"/>
              <w:right w:val="single" w:sz="4" w:space="0" w:color="auto"/>
            </w:tcBorders>
            <w:noWrap/>
            <w:hideMark/>
          </w:tcPr>
          <w:p w14:paraId="4552066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lastRenderedPageBreak/>
              <w:t>Liquidity</w:t>
            </w:r>
          </w:p>
        </w:tc>
        <w:tc>
          <w:tcPr>
            <w:tcW w:w="1309" w:type="dxa"/>
            <w:tcBorders>
              <w:top w:val="nil"/>
              <w:left w:val="nil"/>
              <w:bottom w:val="single" w:sz="4" w:space="0" w:color="auto"/>
              <w:right w:val="single" w:sz="4" w:space="0" w:color="auto"/>
            </w:tcBorders>
            <w:noWrap/>
            <w:vAlign w:val="bottom"/>
            <w:hideMark/>
          </w:tcPr>
          <w:p w14:paraId="76CCE5D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Current Ratio (CR)</w:t>
            </w:r>
          </w:p>
        </w:tc>
        <w:tc>
          <w:tcPr>
            <w:tcW w:w="1804" w:type="dxa"/>
            <w:tcBorders>
              <w:top w:val="nil"/>
              <w:left w:val="nil"/>
              <w:bottom w:val="single" w:sz="4" w:space="0" w:color="auto"/>
              <w:right w:val="single" w:sz="4" w:space="0" w:color="auto"/>
            </w:tcBorders>
            <w:noWrap/>
            <w:vAlign w:val="bottom"/>
            <w:hideMark/>
          </w:tcPr>
          <w:p w14:paraId="2D9AB1C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Current Assets ÷ Current Liabilities</w:t>
            </w:r>
          </w:p>
        </w:tc>
        <w:tc>
          <w:tcPr>
            <w:tcW w:w="977" w:type="dxa"/>
            <w:tcBorders>
              <w:top w:val="nil"/>
              <w:left w:val="nil"/>
              <w:bottom w:val="single" w:sz="4" w:space="0" w:color="auto"/>
              <w:right w:val="single" w:sz="4" w:space="0" w:color="auto"/>
            </w:tcBorders>
            <w:noWrap/>
            <w:vAlign w:val="bottom"/>
            <w:hideMark/>
          </w:tcPr>
          <w:p w14:paraId="22A2707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1.27</w:t>
            </w:r>
          </w:p>
        </w:tc>
        <w:tc>
          <w:tcPr>
            <w:tcW w:w="936" w:type="dxa"/>
            <w:tcBorders>
              <w:top w:val="nil"/>
              <w:left w:val="nil"/>
              <w:bottom w:val="single" w:sz="4" w:space="0" w:color="auto"/>
              <w:right w:val="single" w:sz="4" w:space="0" w:color="auto"/>
            </w:tcBorders>
            <w:noWrap/>
            <w:vAlign w:val="bottom"/>
            <w:hideMark/>
          </w:tcPr>
          <w:p w14:paraId="4CC14AE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1.09</w:t>
            </w:r>
          </w:p>
        </w:tc>
        <w:tc>
          <w:tcPr>
            <w:tcW w:w="912" w:type="dxa"/>
            <w:tcBorders>
              <w:top w:val="nil"/>
              <w:left w:val="nil"/>
              <w:bottom w:val="single" w:sz="4" w:space="0" w:color="auto"/>
              <w:right w:val="single" w:sz="4" w:space="0" w:color="auto"/>
            </w:tcBorders>
            <w:noWrap/>
            <w:vAlign w:val="bottom"/>
            <w:hideMark/>
          </w:tcPr>
          <w:p w14:paraId="2E63CA0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0.97</w:t>
            </w:r>
          </w:p>
        </w:tc>
        <w:tc>
          <w:tcPr>
            <w:tcW w:w="992" w:type="dxa"/>
            <w:tcBorders>
              <w:top w:val="nil"/>
              <w:left w:val="nil"/>
              <w:bottom w:val="single" w:sz="4" w:space="0" w:color="auto"/>
              <w:right w:val="single" w:sz="4" w:space="0" w:color="auto"/>
            </w:tcBorders>
            <w:noWrap/>
            <w:vAlign w:val="bottom"/>
            <w:hideMark/>
          </w:tcPr>
          <w:p w14:paraId="4549376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0.97</w:t>
            </w:r>
          </w:p>
        </w:tc>
        <w:tc>
          <w:tcPr>
            <w:tcW w:w="1075" w:type="dxa"/>
            <w:tcBorders>
              <w:top w:val="nil"/>
              <w:left w:val="nil"/>
              <w:bottom w:val="single" w:sz="4" w:space="0" w:color="auto"/>
              <w:right w:val="single" w:sz="4" w:space="0" w:color="auto"/>
            </w:tcBorders>
            <w:noWrap/>
            <w:vAlign w:val="bottom"/>
            <w:hideMark/>
          </w:tcPr>
          <w:p w14:paraId="24DFE06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0.98</w:t>
            </w:r>
          </w:p>
        </w:tc>
      </w:tr>
      <w:tr w:rsidR="00E327DB" w:rsidRPr="008A00D2" w14:paraId="407DD0E9" w14:textId="77777777" w:rsidTr="00317C3C">
        <w:trPr>
          <w:trHeight w:val="288"/>
          <w:jc w:val="center"/>
        </w:trPr>
        <w:tc>
          <w:tcPr>
            <w:tcW w:w="1345" w:type="dxa"/>
            <w:vMerge/>
            <w:tcBorders>
              <w:top w:val="nil"/>
              <w:left w:val="single" w:sz="4" w:space="0" w:color="auto"/>
              <w:bottom w:val="single" w:sz="4" w:space="0" w:color="auto"/>
              <w:right w:val="single" w:sz="4" w:space="0" w:color="auto"/>
            </w:tcBorders>
            <w:vAlign w:val="center"/>
            <w:hideMark/>
          </w:tcPr>
          <w:p w14:paraId="0AF9E2D7"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p>
        </w:tc>
        <w:tc>
          <w:tcPr>
            <w:tcW w:w="1309" w:type="dxa"/>
            <w:tcBorders>
              <w:top w:val="nil"/>
              <w:left w:val="nil"/>
              <w:bottom w:val="single" w:sz="4" w:space="0" w:color="auto"/>
              <w:right w:val="single" w:sz="4" w:space="0" w:color="auto"/>
            </w:tcBorders>
            <w:noWrap/>
            <w:vAlign w:val="bottom"/>
            <w:hideMark/>
          </w:tcPr>
          <w:p w14:paraId="2F800775"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Quick Ratio (QR)</w:t>
            </w:r>
          </w:p>
        </w:tc>
        <w:tc>
          <w:tcPr>
            <w:tcW w:w="1804" w:type="dxa"/>
            <w:tcBorders>
              <w:top w:val="nil"/>
              <w:left w:val="nil"/>
              <w:bottom w:val="single" w:sz="4" w:space="0" w:color="auto"/>
              <w:right w:val="single" w:sz="4" w:space="0" w:color="auto"/>
            </w:tcBorders>
            <w:noWrap/>
            <w:vAlign w:val="bottom"/>
            <w:hideMark/>
          </w:tcPr>
          <w:p w14:paraId="5DAAD391"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(Current Assets − Inventories) ÷ Current Liabilities</w:t>
            </w:r>
          </w:p>
        </w:tc>
        <w:tc>
          <w:tcPr>
            <w:tcW w:w="977" w:type="dxa"/>
            <w:tcBorders>
              <w:top w:val="nil"/>
              <w:left w:val="nil"/>
              <w:bottom w:val="single" w:sz="4" w:space="0" w:color="auto"/>
              <w:right w:val="single" w:sz="4" w:space="0" w:color="auto"/>
            </w:tcBorders>
            <w:noWrap/>
            <w:vAlign w:val="bottom"/>
            <w:hideMark/>
          </w:tcPr>
          <w:p w14:paraId="7D83472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1.27</w:t>
            </w:r>
          </w:p>
        </w:tc>
        <w:tc>
          <w:tcPr>
            <w:tcW w:w="936" w:type="dxa"/>
            <w:tcBorders>
              <w:top w:val="nil"/>
              <w:left w:val="nil"/>
              <w:bottom w:val="single" w:sz="4" w:space="0" w:color="auto"/>
              <w:right w:val="single" w:sz="4" w:space="0" w:color="auto"/>
            </w:tcBorders>
            <w:noWrap/>
            <w:vAlign w:val="bottom"/>
            <w:hideMark/>
          </w:tcPr>
          <w:p w14:paraId="304C949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1.08</w:t>
            </w:r>
          </w:p>
        </w:tc>
        <w:tc>
          <w:tcPr>
            <w:tcW w:w="912" w:type="dxa"/>
            <w:tcBorders>
              <w:top w:val="nil"/>
              <w:left w:val="nil"/>
              <w:bottom w:val="single" w:sz="4" w:space="0" w:color="auto"/>
              <w:right w:val="single" w:sz="4" w:space="0" w:color="auto"/>
            </w:tcBorders>
            <w:noWrap/>
            <w:vAlign w:val="bottom"/>
            <w:hideMark/>
          </w:tcPr>
          <w:p w14:paraId="04ECD8A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0.97</w:t>
            </w:r>
          </w:p>
        </w:tc>
        <w:tc>
          <w:tcPr>
            <w:tcW w:w="992" w:type="dxa"/>
            <w:tcBorders>
              <w:top w:val="nil"/>
              <w:left w:val="nil"/>
              <w:bottom w:val="single" w:sz="4" w:space="0" w:color="auto"/>
              <w:right w:val="single" w:sz="4" w:space="0" w:color="auto"/>
            </w:tcBorders>
            <w:noWrap/>
            <w:vAlign w:val="bottom"/>
            <w:hideMark/>
          </w:tcPr>
          <w:p w14:paraId="0D3FF47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0.97</w:t>
            </w:r>
          </w:p>
        </w:tc>
        <w:tc>
          <w:tcPr>
            <w:tcW w:w="1075" w:type="dxa"/>
            <w:tcBorders>
              <w:top w:val="nil"/>
              <w:left w:val="nil"/>
              <w:bottom w:val="single" w:sz="4" w:space="0" w:color="auto"/>
              <w:right w:val="single" w:sz="4" w:space="0" w:color="auto"/>
            </w:tcBorders>
            <w:noWrap/>
            <w:vAlign w:val="bottom"/>
            <w:hideMark/>
          </w:tcPr>
          <w:p w14:paraId="6992D18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0.97</w:t>
            </w:r>
          </w:p>
        </w:tc>
      </w:tr>
      <w:tr w:rsidR="00E327DB" w:rsidRPr="008A00D2" w14:paraId="0A30B4FE" w14:textId="77777777" w:rsidTr="00317C3C">
        <w:trPr>
          <w:trHeight w:val="288"/>
          <w:jc w:val="center"/>
        </w:trPr>
        <w:tc>
          <w:tcPr>
            <w:tcW w:w="1345" w:type="dxa"/>
            <w:vMerge w:val="restart"/>
            <w:tcBorders>
              <w:top w:val="nil"/>
              <w:left w:val="single" w:sz="4" w:space="0" w:color="auto"/>
              <w:bottom w:val="single" w:sz="4" w:space="0" w:color="auto"/>
              <w:right w:val="single" w:sz="4" w:space="0" w:color="auto"/>
            </w:tcBorders>
            <w:noWrap/>
            <w:hideMark/>
          </w:tcPr>
          <w:p w14:paraId="35C44772"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Efficiency</w:t>
            </w:r>
          </w:p>
        </w:tc>
        <w:tc>
          <w:tcPr>
            <w:tcW w:w="1309" w:type="dxa"/>
            <w:tcBorders>
              <w:top w:val="nil"/>
              <w:left w:val="nil"/>
              <w:bottom w:val="single" w:sz="4" w:space="0" w:color="auto"/>
              <w:right w:val="single" w:sz="4" w:space="0" w:color="auto"/>
            </w:tcBorders>
            <w:noWrap/>
            <w:vAlign w:val="bottom"/>
            <w:hideMark/>
          </w:tcPr>
          <w:p w14:paraId="45F5C13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Days Inventory Outstanding (DIO)</w:t>
            </w:r>
          </w:p>
        </w:tc>
        <w:tc>
          <w:tcPr>
            <w:tcW w:w="1804" w:type="dxa"/>
            <w:tcBorders>
              <w:top w:val="nil"/>
              <w:left w:val="nil"/>
              <w:bottom w:val="single" w:sz="4" w:space="0" w:color="auto"/>
              <w:right w:val="single" w:sz="4" w:space="0" w:color="auto"/>
            </w:tcBorders>
            <w:noWrap/>
            <w:vAlign w:val="bottom"/>
            <w:hideMark/>
          </w:tcPr>
          <w:p w14:paraId="00027543"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(Inventories ÷ Cost of Sales) × 365</w:t>
            </w:r>
          </w:p>
        </w:tc>
        <w:tc>
          <w:tcPr>
            <w:tcW w:w="977" w:type="dxa"/>
            <w:tcBorders>
              <w:top w:val="nil"/>
              <w:left w:val="nil"/>
              <w:bottom w:val="single" w:sz="4" w:space="0" w:color="auto"/>
              <w:right w:val="single" w:sz="4" w:space="0" w:color="auto"/>
            </w:tcBorders>
            <w:noWrap/>
            <w:vAlign w:val="bottom"/>
            <w:hideMark/>
          </w:tcPr>
          <w:p w14:paraId="79593EB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3.00</w:t>
            </w:r>
          </w:p>
        </w:tc>
        <w:tc>
          <w:tcPr>
            <w:tcW w:w="936" w:type="dxa"/>
            <w:tcBorders>
              <w:top w:val="nil"/>
              <w:left w:val="nil"/>
              <w:bottom w:val="single" w:sz="4" w:space="0" w:color="auto"/>
              <w:right w:val="single" w:sz="4" w:space="0" w:color="auto"/>
            </w:tcBorders>
            <w:noWrap/>
            <w:vAlign w:val="bottom"/>
            <w:hideMark/>
          </w:tcPr>
          <w:p w14:paraId="6FC8C9B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2.57</w:t>
            </w:r>
          </w:p>
        </w:tc>
        <w:tc>
          <w:tcPr>
            <w:tcW w:w="912" w:type="dxa"/>
            <w:tcBorders>
              <w:top w:val="nil"/>
              <w:left w:val="nil"/>
              <w:bottom w:val="single" w:sz="4" w:space="0" w:color="auto"/>
              <w:right w:val="single" w:sz="4" w:space="0" w:color="auto"/>
            </w:tcBorders>
            <w:noWrap/>
            <w:vAlign w:val="bottom"/>
            <w:hideMark/>
          </w:tcPr>
          <w:p w14:paraId="04EFCFF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1.97</w:t>
            </w:r>
          </w:p>
        </w:tc>
        <w:tc>
          <w:tcPr>
            <w:tcW w:w="992" w:type="dxa"/>
            <w:tcBorders>
              <w:top w:val="nil"/>
              <w:left w:val="nil"/>
              <w:bottom w:val="single" w:sz="4" w:space="0" w:color="auto"/>
              <w:right w:val="single" w:sz="4" w:space="0" w:color="auto"/>
            </w:tcBorders>
            <w:noWrap/>
            <w:vAlign w:val="bottom"/>
            <w:hideMark/>
          </w:tcPr>
          <w:p w14:paraId="7F0935A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2.45</w:t>
            </w:r>
          </w:p>
        </w:tc>
        <w:tc>
          <w:tcPr>
            <w:tcW w:w="1075" w:type="dxa"/>
            <w:tcBorders>
              <w:top w:val="nil"/>
              <w:left w:val="nil"/>
              <w:bottom w:val="single" w:sz="4" w:space="0" w:color="auto"/>
              <w:right w:val="single" w:sz="4" w:space="0" w:color="auto"/>
            </w:tcBorders>
            <w:noWrap/>
            <w:vAlign w:val="bottom"/>
            <w:hideMark/>
          </w:tcPr>
          <w:p w14:paraId="1F5B3C9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2.39</w:t>
            </w:r>
          </w:p>
        </w:tc>
      </w:tr>
      <w:tr w:rsidR="00E327DB" w:rsidRPr="008A00D2" w14:paraId="32A84565" w14:textId="77777777" w:rsidTr="00317C3C">
        <w:trPr>
          <w:trHeight w:val="288"/>
          <w:jc w:val="center"/>
        </w:trPr>
        <w:tc>
          <w:tcPr>
            <w:tcW w:w="1345" w:type="dxa"/>
            <w:vMerge/>
            <w:tcBorders>
              <w:top w:val="nil"/>
              <w:left w:val="single" w:sz="4" w:space="0" w:color="auto"/>
              <w:bottom w:val="single" w:sz="4" w:space="0" w:color="auto"/>
              <w:right w:val="single" w:sz="4" w:space="0" w:color="auto"/>
            </w:tcBorders>
            <w:vAlign w:val="center"/>
            <w:hideMark/>
          </w:tcPr>
          <w:p w14:paraId="099C2DF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p>
        </w:tc>
        <w:tc>
          <w:tcPr>
            <w:tcW w:w="1309" w:type="dxa"/>
            <w:tcBorders>
              <w:top w:val="nil"/>
              <w:left w:val="nil"/>
              <w:bottom w:val="single" w:sz="4" w:space="0" w:color="auto"/>
              <w:right w:val="single" w:sz="4" w:space="0" w:color="auto"/>
            </w:tcBorders>
            <w:noWrap/>
            <w:vAlign w:val="bottom"/>
            <w:hideMark/>
          </w:tcPr>
          <w:p w14:paraId="479C57B0"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Days Sales Outstanding (DSO)</w:t>
            </w:r>
          </w:p>
        </w:tc>
        <w:tc>
          <w:tcPr>
            <w:tcW w:w="1804" w:type="dxa"/>
            <w:tcBorders>
              <w:top w:val="nil"/>
              <w:left w:val="nil"/>
              <w:bottom w:val="single" w:sz="4" w:space="0" w:color="auto"/>
              <w:right w:val="single" w:sz="4" w:space="0" w:color="auto"/>
            </w:tcBorders>
            <w:noWrap/>
            <w:vAlign w:val="bottom"/>
            <w:hideMark/>
          </w:tcPr>
          <w:p w14:paraId="53DCD78C"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(Trade Receivables ÷ Revenue) × 365</w:t>
            </w:r>
          </w:p>
        </w:tc>
        <w:tc>
          <w:tcPr>
            <w:tcW w:w="977" w:type="dxa"/>
            <w:tcBorders>
              <w:top w:val="nil"/>
              <w:left w:val="nil"/>
              <w:bottom w:val="single" w:sz="4" w:space="0" w:color="auto"/>
              <w:right w:val="single" w:sz="4" w:space="0" w:color="auto"/>
            </w:tcBorders>
            <w:noWrap/>
            <w:vAlign w:val="bottom"/>
            <w:hideMark/>
          </w:tcPr>
          <w:p w14:paraId="5A46032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38.34</w:t>
            </w:r>
          </w:p>
        </w:tc>
        <w:tc>
          <w:tcPr>
            <w:tcW w:w="936" w:type="dxa"/>
            <w:tcBorders>
              <w:top w:val="nil"/>
              <w:left w:val="nil"/>
              <w:bottom w:val="single" w:sz="4" w:space="0" w:color="auto"/>
              <w:right w:val="single" w:sz="4" w:space="0" w:color="auto"/>
            </w:tcBorders>
            <w:noWrap/>
            <w:vAlign w:val="bottom"/>
            <w:hideMark/>
          </w:tcPr>
          <w:p w14:paraId="4AF4D61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40.85</w:t>
            </w:r>
          </w:p>
        </w:tc>
        <w:tc>
          <w:tcPr>
            <w:tcW w:w="912" w:type="dxa"/>
            <w:tcBorders>
              <w:top w:val="nil"/>
              <w:left w:val="nil"/>
              <w:bottom w:val="single" w:sz="4" w:space="0" w:color="auto"/>
              <w:right w:val="single" w:sz="4" w:space="0" w:color="auto"/>
            </w:tcBorders>
            <w:noWrap/>
            <w:vAlign w:val="bottom"/>
            <w:hideMark/>
          </w:tcPr>
          <w:p w14:paraId="2DC572F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61.96</w:t>
            </w:r>
          </w:p>
        </w:tc>
        <w:tc>
          <w:tcPr>
            <w:tcW w:w="992" w:type="dxa"/>
            <w:tcBorders>
              <w:top w:val="nil"/>
              <w:left w:val="nil"/>
              <w:bottom w:val="single" w:sz="4" w:space="0" w:color="auto"/>
              <w:right w:val="single" w:sz="4" w:space="0" w:color="auto"/>
            </w:tcBorders>
            <w:noWrap/>
            <w:vAlign w:val="bottom"/>
            <w:hideMark/>
          </w:tcPr>
          <w:p w14:paraId="0AD936D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78.16</w:t>
            </w:r>
          </w:p>
        </w:tc>
        <w:tc>
          <w:tcPr>
            <w:tcW w:w="1075" w:type="dxa"/>
            <w:tcBorders>
              <w:top w:val="nil"/>
              <w:left w:val="nil"/>
              <w:bottom w:val="single" w:sz="4" w:space="0" w:color="auto"/>
              <w:right w:val="single" w:sz="4" w:space="0" w:color="auto"/>
            </w:tcBorders>
            <w:noWrap/>
            <w:vAlign w:val="bottom"/>
            <w:hideMark/>
          </w:tcPr>
          <w:p w14:paraId="4A18C0C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108.12</w:t>
            </w:r>
          </w:p>
        </w:tc>
      </w:tr>
      <w:tr w:rsidR="00E327DB" w:rsidRPr="008A00D2" w14:paraId="5DE30E3A" w14:textId="77777777" w:rsidTr="00317C3C">
        <w:trPr>
          <w:trHeight w:val="288"/>
          <w:jc w:val="center"/>
        </w:trPr>
        <w:tc>
          <w:tcPr>
            <w:tcW w:w="1345" w:type="dxa"/>
            <w:vMerge/>
            <w:tcBorders>
              <w:top w:val="nil"/>
              <w:left w:val="single" w:sz="4" w:space="0" w:color="auto"/>
              <w:bottom w:val="single" w:sz="4" w:space="0" w:color="auto"/>
              <w:right w:val="single" w:sz="4" w:space="0" w:color="auto"/>
            </w:tcBorders>
            <w:vAlign w:val="center"/>
            <w:hideMark/>
          </w:tcPr>
          <w:p w14:paraId="7C7B08E2"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p>
        </w:tc>
        <w:tc>
          <w:tcPr>
            <w:tcW w:w="1309" w:type="dxa"/>
            <w:tcBorders>
              <w:top w:val="nil"/>
              <w:left w:val="nil"/>
              <w:bottom w:val="single" w:sz="4" w:space="0" w:color="auto"/>
              <w:right w:val="single" w:sz="4" w:space="0" w:color="auto"/>
            </w:tcBorders>
            <w:noWrap/>
            <w:vAlign w:val="bottom"/>
            <w:hideMark/>
          </w:tcPr>
          <w:p w14:paraId="1710B41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Days Payable Outstanding (DPO)</w:t>
            </w:r>
          </w:p>
        </w:tc>
        <w:tc>
          <w:tcPr>
            <w:tcW w:w="1804" w:type="dxa"/>
            <w:tcBorders>
              <w:top w:val="nil"/>
              <w:left w:val="nil"/>
              <w:bottom w:val="single" w:sz="4" w:space="0" w:color="auto"/>
              <w:right w:val="single" w:sz="4" w:space="0" w:color="auto"/>
            </w:tcBorders>
            <w:noWrap/>
            <w:vAlign w:val="bottom"/>
            <w:hideMark/>
          </w:tcPr>
          <w:p w14:paraId="76D9EF6E"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(Trade Payables ÷ Cost of Sales) × 365</w:t>
            </w:r>
          </w:p>
        </w:tc>
        <w:tc>
          <w:tcPr>
            <w:tcW w:w="977" w:type="dxa"/>
            <w:tcBorders>
              <w:top w:val="nil"/>
              <w:left w:val="nil"/>
              <w:bottom w:val="single" w:sz="4" w:space="0" w:color="auto"/>
              <w:right w:val="single" w:sz="4" w:space="0" w:color="auto"/>
            </w:tcBorders>
            <w:noWrap/>
            <w:vAlign w:val="bottom"/>
            <w:hideMark/>
          </w:tcPr>
          <w:p w14:paraId="21C352B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434.85</w:t>
            </w:r>
          </w:p>
        </w:tc>
        <w:tc>
          <w:tcPr>
            <w:tcW w:w="936" w:type="dxa"/>
            <w:tcBorders>
              <w:top w:val="nil"/>
              <w:left w:val="nil"/>
              <w:bottom w:val="single" w:sz="4" w:space="0" w:color="auto"/>
              <w:right w:val="single" w:sz="4" w:space="0" w:color="auto"/>
            </w:tcBorders>
            <w:noWrap/>
            <w:vAlign w:val="bottom"/>
            <w:hideMark/>
          </w:tcPr>
          <w:p w14:paraId="5D47EA0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447.90</w:t>
            </w:r>
          </w:p>
        </w:tc>
        <w:tc>
          <w:tcPr>
            <w:tcW w:w="912" w:type="dxa"/>
            <w:tcBorders>
              <w:top w:val="nil"/>
              <w:left w:val="nil"/>
              <w:bottom w:val="single" w:sz="4" w:space="0" w:color="auto"/>
              <w:right w:val="single" w:sz="4" w:space="0" w:color="auto"/>
            </w:tcBorders>
            <w:noWrap/>
            <w:vAlign w:val="bottom"/>
            <w:hideMark/>
          </w:tcPr>
          <w:p w14:paraId="2AE8E77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349.75</w:t>
            </w:r>
          </w:p>
        </w:tc>
        <w:tc>
          <w:tcPr>
            <w:tcW w:w="992" w:type="dxa"/>
            <w:tcBorders>
              <w:top w:val="nil"/>
              <w:left w:val="nil"/>
              <w:bottom w:val="single" w:sz="4" w:space="0" w:color="auto"/>
              <w:right w:val="single" w:sz="4" w:space="0" w:color="auto"/>
            </w:tcBorders>
            <w:noWrap/>
            <w:vAlign w:val="bottom"/>
            <w:hideMark/>
          </w:tcPr>
          <w:p w14:paraId="440424B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318.46</w:t>
            </w:r>
          </w:p>
        </w:tc>
        <w:tc>
          <w:tcPr>
            <w:tcW w:w="1075" w:type="dxa"/>
            <w:tcBorders>
              <w:top w:val="nil"/>
              <w:left w:val="nil"/>
              <w:bottom w:val="single" w:sz="4" w:space="0" w:color="auto"/>
              <w:right w:val="single" w:sz="4" w:space="0" w:color="auto"/>
            </w:tcBorders>
            <w:noWrap/>
            <w:vAlign w:val="bottom"/>
            <w:hideMark/>
          </w:tcPr>
          <w:p w14:paraId="6E0200B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354.97</w:t>
            </w:r>
          </w:p>
        </w:tc>
      </w:tr>
      <w:tr w:rsidR="00E327DB" w:rsidRPr="008A00D2" w14:paraId="7BDB87E3" w14:textId="77777777" w:rsidTr="00317C3C">
        <w:trPr>
          <w:trHeight w:val="288"/>
          <w:jc w:val="center"/>
        </w:trPr>
        <w:tc>
          <w:tcPr>
            <w:tcW w:w="1345" w:type="dxa"/>
            <w:vMerge w:val="restart"/>
            <w:tcBorders>
              <w:top w:val="nil"/>
              <w:left w:val="single" w:sz="4" w:space="0" w:color="auto"/>
              <w:bottom w:val="single" w:sz="4" w:space="0" w:color="auto"/>
              <w:right w:val="single" w:sz="4" w:space="0" w:color="auto"/>
            </w:tcBorders>
            <w:noWrap/>
            <w:hideMark/>
          </w:tcPr>
          <w:p w14:paraId="6AA5B07E"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Gearing</w:t>
            </w:r>
          </w:p>
        </w:tc>
        <w:tc>
          <w:tcPr>
            <w:tcW w:w="1309" w:type="dxa"/>
            <w:tcBorders>
              <w:top w:val="nil"/>
              <w:left w:val="nil"/>
              <w:bottom w:val="single" w:sz="4" w:space="0" w:color="auto"/>
              <w:right w:val="single" w:sz="4" w:space="0" w:color="auto"/>
            </w:tcBorders>
            <w:noWrap/>
            <w:vAlign w:val="bottom"/>
            <w:hideMark/>
          </w:tcPr>
          <w:p w14:paraId="7170C16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Debt-to-Equity (DTE) Ratio</w:t>
            </w:r>
          </w:p>
        </w:tc>
        <w:tc>
          <w:tcPr>
            <w:tcW w:w="1804" w:type="dxa"/>
            <w:tcBorders>
              <w:top w:val="nil"/>
              <w:left w:val="nil"/>
              <w:bottom w:val="single" w:sz="4" w:space="0" w:color="auto"/>
              <w:right w:val="single" w:sz="4" w:space="0" w:color="auto"/>
            </w:tcBorders>
            <w:noWrap/>
            <w:vAlign w:val="bottom"/>
            <w:hideMark/>
          </w:tcPr>
          <w:p w14:paraId="0DB8F21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Total Debt ÷ Total Equity</w:t>
            </w:r>
          </w:p>
        </w:tc>
        <w:tc>
          <w:tcPr>
            <w:tcW w:w="977" w:type="dxa"/>
            <w:tcBorders>
              <w:top w:val="nil"/>
              <w:left w:val="nil"/>
              <w:bottom w:val="single" w:sz="4" w:space="0" w:color="auto"/>
              <w:right w:val="single" w:sz="4" w:space="0" w:color="auto"/>
            </w:tcBorders>
            <w:noWrap/>
            <w:vAlign w:val="bottom"/>
            <w:hideMark/>
          </w:tcPr>
          <w:p w14:paraId="0B2B926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2.26</w:t>
            </w:r>
          </w:p>
        </w:tc>
        <w:tc>
          <w:tcPr>
            <w:tcW w:w="936" w:type="dxa"/>
            <w:tcBorders>
              <w:top w:val="nil"/>
              <w:left w:val="nil"/>
              <w:bottom w:val="single" w:sz="4" w:space="0" w:color="auto"/>
              <w:right w:val="single" w:sz="4" w:space="0" w:color="auto"/>
            </w:tcBorders>
            <w:noWrap/>
            <w:vAlign w:val="bottom"/>
            <w:hideMark/>
          </w:tcPr>
          <w:p w14:paraId="219C488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1.76</w:t>
            </w:r>
          </w:p>
        </w:tc>
        <w:tc>
          <w:tcPr>
            <w:tcW w:w="912" w:type="dxa"/>
            <w:tcBorders>
              <w:top w:val="nil"/>
              <w:left w:val="nil"/>
              <w:bottom w:val="single" w:sz="4" w:space="0" w:color="auto"/>
              <w:right w:val="single" w:sz="4" w:space="0" w:color="auto"/>
            </w:tcBorders>
            <w:noWrap/>
            <w:vAlign w:val="bottom"/>
            <w:hideMark/>
          </w:tcPr>
          <w:p w14:paraId="0397CF2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1.85</w:t>
            </w:r>
          </w:p>
        </w:tc>
        <w:tc>
          <w:tcPr>
            <w:tcW w:w="992" w:type="dxa"/>
            <w:tcBorders>
              <w:top w:val="nil"/>
              <w:left w:val="nil"/>
              <w:bottom w:val="single" w:sz="4" w:space="0" w:color="auto"/>
              <w:right w:val="single" w:sz="4" w:space="0" w:color="auto"/>
            </w:tcBorders>
            <w:noWrap/>
            <w:vAlign w:val="bottom"/>
            <w:hideMark/>
          </w:tcPr>
          <w:p w14:paraId="71F27F5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1.60</w:t>
            </w:r>
          </w:p>
        </w:tc>
        <w:tc>
          <w:tcPr>
            <w:tcW w:w="1075" w:type="dxa"/>
            <w:tcBorders>
              <w:top w:val="nil"/>
              <w:left w:val="nil"/>
              <w:bottom w:val="single" w:sz="4" w:space="0" w:color="auto"/>
              <w:right w:val="single" w:sz="4" w:space="0" w:color="auto"/>
            </w:tcBorders>
            <w:noWrap/>
            <w:vAlign w:val="bottom"/>
            <w:hideMark/>
          </w:tcPr>
          <w:p w14:paraId="7F0B9EE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1.68</w:t>
            </w:r>
          </w:p>
        </w:tc>
      </w:tr>
      <w:tr w:rsidR="00E327DB" w:rsidRPr="008A00D2" w14:paraId="0ABC7032" w14:textId="77777777" w:rsidTr="00317C3C">
        <w:trPr>
          <w:trHeight w:val="288"/>
          <w:jc w:val="center"/>
        </w:trPr>
        <w:tc>
          <w:tcPr>
            <w:tcW w:w="1345" w:type="dxa"/>
            <w:vMerge/>
            <w:tcBorders>
              <w:top w:val="nil"/>
              <w:left w:val="single" w:sz="4" w:space="0" w:color="auto"/>
              <w:bottom w:val="single" w:sz="4" w:space="0" w:color="auto"/>
              <w:right w:val="single" w:sz="4" w:space="0" w:color="auto"/>
            </w:tcBorders>
            <w:vAlign w:val="center"/>
            <w:hideMark/>
          </w:tcPr>
          <w:p w14:paraId="2FF9016F"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p>
        </w:tc>
        <w:tc>
          <w:tcPr>
            <w:tcW w:w="1309" w:type="dxa"/>
            <w:tcBorders>
              <w:top w:val="nil"/>
              <w:left w:val="nil"/>
              <w:bottom w:val="single" w:sz="4" w:space="0" w:color="auto"/>
              <w:right w:val="single" w:sz="4" w:space="0" w:color="auto"/>
            </w:tcBorders>
            <w:noWrap/>
            <w:vAlign w:val="bottom"/>
            <w:hideMark/>
          </w:tcPr>
          <w:p w14:paraId="7EB8BD70"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Debt-to-Assets (DTA) Ratio</w:t>
            </w:r>
          </w:p>
        </w:tc>
        <w:tc>
          <w:tcPr>
            <w:tcW w:w="1804" w:type="dxa"/>
            <w:tcBorders>
              <w:top w:val="nil"/>
              <w:left w:val="nil"/>
              <w:bottom w:val="single" w:sz="4" w:space="0" w:color="auto"/>
              <w:right w:val="single" w:sz="4" w:space="0" w:color="auto"/>
            </w:tcBorders>
            <w:noWrap/>
            <w:vAlign w:val="bottom"/>
            <w:hideMark/>
          </w:tcPr>
          <w:p w14:paraId="104861C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Total Debt ÷ Total Assets</w:t>
            </w:r>
          </w:p>
        </w:tc>
        <w:tc>
          <w:tcPr>
            <w:tcW w:w="977" w:type="dxa"/>
            <w:tcBorders>
              <w:top w:val="nil"/>
              <w:left w:val="nil"/>
              <w:bottom w:val="single" w:sz="4" w:space="0" w:color="auto"/>
              <w:right w:val="single" w:sz="4" w:space="0" w:color="auto"/>
            </w:tcBorders>
            <w:noWrap/>
            <w:vAlign w:val="bottom"/>
            <w:hideMark/>
          </w:tcPr>
          <w:p w14:paraId="43DC054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0.71</w:t>
            </w:r>
          </w:p>
        </w:tc>
        <w:tc>
          <w:tcPr>
            <w:tcW w:w="936" w:type="dxa"/>
            <w:tcBorders>
              <w:top w:val="nil"/>
              <w:left w:val="nil"/>
              <w:bottom w:val="single" w:sz="4" w:space="0" w:color="auto"/>
              <w:right w:val="single" w:sz="4" w:space="0" w:color="auto"/>
            </w:tcBorders>
            <w:noWrap/>
            <w:vAlign w:val="bottom"/>
            <w:hideMark/>
          </w:tcPr>
          <w:p w14:paraId="6AC45E6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0.67</w:t>
            </w:r>
          </w:p>
        </w:tc>
        <w:tc>
          <w:tcPr>
            <w:tcW w:w="912" w:type="dxa"/>
            <w:tcBorders>
              <w:top w:val="nil"/>
              <w:left w:val="nil"/>
              <w:bottom w:val="single" w:sz="4" w:space="0" w:color="auto"/>
              <w:right w:val="single" w:sz="4" w:space="0" w:color="auto"/>
            </w:tcBorders>
            <w:noWrap/>
            <w:vAlign w:val="bottom"/>
            <w:hideMark/>
          </w:tcPr>
          <w:p w14:paraId="0A66397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0.75</w:t>
            </w:r>
          </w:p>
        </w:tc>
        <w:tc>
          <w:tcPr>
            <w:tcW w:w="992" w:type="dxa"/>
            <w:tcBorders>
              <w:top w:val="nil"/>
              <w:left w:val="nil"/>
              <w:bottom w:val="single" w:sz="4" w:space="0" w:color="auto"/>
              <w:right w:val="single" w:sz="4" w:space="0" w:color="auto"/>
            </w:tcBorders>
            <w:noWrap/>
            <w:vAlign w:val="bottom"/>
            <w:hideMark/>
          </w:tcPr>
          <w:p w14:paraId="0EB7259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0.78</w:t>
            </w:r>
          </w:p>
        </w:tc>
        <w:tc>
          <w:tcPr>
            <w:tcW w:w="1075" w:type="dxa"/>
            <w:tcBorders>
              <w:top w:val="nil"/>
              <w:left w:val="nil"/>
              <w:bottom w:val="single" w:sz="4" w:space="0" w:color="auto"/>
              <w:right w:val="single" w:sz="4" w:space="0" w:color="auto"/>
            </w:tcBorders>
            <w:noWrap/>
            <w:vAlign w:val="bottom"/>
            <w:hideMark/>
          </w:tcPr>
          <w:p w14:paraId="2329841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0.86</w:t>
            </w:r>
          </w:p>
        </w:tc>
      </w:tr>
      <w:tr w:rsidR="00E327DB" w:rsidRPr="008A00D2" w14:paraId="69808F99" w14:textId="77777777" w:rsidTr="00317C3C">
        <w:trPr>
          <w:trHeight w:val="288"/>
          <w:jc w:val="center"/>
        </w:trPr>
        <w:tc>
          <w:tcPr>
            <w:tcW w:w="1345" w:type="dxa"/>
            <w:tcBorders>
              <w:top w:val="nil"/>
              <w:left w:val="single" w:sz="4" w:space="0" w:color="auto"/>
              <w:bottom w:val="single" w:sz="4" w:space="0" w:color="auto"/>
              <w:right w:val="single" w:sz="4" w:space="0" w:color="auto"/>
            </w:tcBorders>
            <w:noWrap/>
            <w:vAlign w:val="bottom"/>
            <w:hideMark/>
          </w:tcPr>
          <w:p w14:paraId="7A28F6D7"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Investment</w:t>
            </w:r>
          </w:p>
        </w:tc>
        <w:tc>
          <w:tcPr>
            <w:tcW w:w="1309" w:type="dxa"/>
            <w:tcBorders>
              <w:top w:val="nil"/>
              <w:left w:val="nil"/>
              <w:bottom w:val="single" w:sz="4" w:space="0" w:color="auto"/>
              <w:right w:val="single" w:sz="4" w:space="0" w:color="auto"/>
            </w:tcBorders>
            <w:noWrap/>
            <w:vAlign w:val="bottom"/>
            <w:hideMark/>
          </w:tcPr>
          <w:p w14:paraId="10929DA7"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Price-to-Earnings (P/E) Ratio</w:t>
            </w:r>
          </w:p>
        </w:tc>
        <w:tc>
          <w:tcPr>
            <w:tcW w:w="1804" w:type="dxa"/>
            <w:tcBorders>
              <w:top w:val="nil"/>
              <w:left w:val="nil"/>
              <w:bottom w:val="single" w:sz="4" w:space="0" w:color="auto"/>
              <w:right w:val="single" w:sz="4" w:space="0" w:color="auto"/>
            </w:tcBorders>
            <w:noWrap/>
            <w:vAlign w:val="bottom"/>
            <w:hideMark/>
          </w:tcPr>
          <w:p w14:paraId="63B6D9C5"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Share Price ÷ Earnings per Share</w:t>
            </w:r>
          </w:p>
        </w:tc>
        <w:tc>
          <w:tcPr>
            <w:tcW w:w="977" w:type="dxa"/>
            <w:tcBorders>
              <w:top w:val="nil"/>
              <w:left w:val="nil"/>
              <w:bottom w:val="single" w:sz="4" w:space="0" w:color="auto"/>
              <w:right w:val="single" w:sz="4" w:space="0" w:color="auto"/>
            </w:tcBorders>
            <w:noWrap/>
            <w:vAlign w:val="bottom"/>
            <w:hideMark/>
          </w:tcPr>
          <w:p w14:paraId="78CD4D0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43.69</w:t>
            </w:r>
          </w:p>
        </w:tc>
        <w:tc>
          <w:tcPr>
            <w:tcW w:w="936" w:type="dxa"/>
            <w:tcBorders>
              <w:top w:val="nil"/>
              <w:left w:val="nil"/>
              <w:bottom w:val="single" w:sz="4" w:space="0" w:color="auto"/>
              <w:right w:val="single" w:sz="4" w:space="0" w:color="auto"/>
            </w:tcBorders>
            <w:noWrap/>
            <w:vAlign w:val="bottom"/>
            <w:hideMark/>
          </w:tcPr>
          <w:p w14:paraId="771200E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27.79</w:t>
            </w:r>
          </w:p>
        </w:tc>
        <w:tc>
          <w:tcPr>
            <w:tcW w:w="912" w:type="dxa"/>
            <w:tcBorders>
              <w:top w:val="nil"/>
              <w:left w:val="nil"/>
              <w:bottom w:val="single" w:sz="4" w:space="0" w:color="auto"/>
              <w:right w:val="single" w:sz="4" w:space="0" w:color="auto"/>
            </w:tcBorders>
            <w:noWrap/>
            <w:vAlign w:val="bottom"/>
            <w:hideMark/>
          </w:tcPr>
          <w:p w14:paraId="08B990A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20.25</w:t>
            </w:r>
          </w:p>
        </w:tc>
        <w:tc>
          <w:tcPr>
            <w:tcW w:w="992" w:type="dxa"/>
            <w:tcBorders>
              <w:top w:val="nil"/>
              <w:left w:val="nil"/>
              <w:bottom w:val="single" w:sz="4" w:space="0" w:color="auto"/>
              <w:right w:val="single" w:sz="4" w:space="0" w:color="auto"/>
            </w:tcBorders>
            <w:noWrap/>
            <w:vAlign w:val="bottom"/>
            <w:hideMark/>
          </w:tcPr>
          <w:p w14:paraId="51EE744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29.90</w:t>
            </w:r>
          </w:p>
        </w:tc>
        <w:tc>
          <w:tcPr>
            <w:tcW w:w="1075" w:type="dxa"/>
            <w:tcBorders>
              <w:top w:val="nil"/>
              <w:left w:val="nil"/>
              <w:bottom w:val="single" w:sz="4" w:space="0" w:color="auto"/>
              <w:right w:val="single" w:sz="4" w:space="0" w:color="auto"/>
            </w:tcBorders>
            <w:noWrap/>
            <w:vAlign w:val="bottom"/>
            <w:hideMark/>
          </w:tcPr>
          <w:p w14:paraId="43F001C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24.94</w:t>
            </w:r>
          </w:p>
        </w:tc>
      </w:tr>
      <w:tr w:rsidR="00E327DB" w:rsidRPr="008A00D2" w14:paraId="73814687" w14:textId="77777777" w:rsidTr="00317C3C">
        <w:trPr>
          <w:trHeight w:val="288"/>
          <w:jc w:val="center"/>
        </w:trPr>
        <w:tc>
          <w:tcPr>
            <w:tcW w:w="1345" w:type="dxa"/>
            <w:vMerge w:val="restart"/>
            <w:tcBorders>
              <w:top w:val="nil"/>
              <w:left w:val="single" w:sz="4" w:space="0" w:color="auto"/>
              <w:bottom w:val="single" w:sz="4" w:space="0" w:color="auto"/>
              <w:right w:val="single" w:sz="4" w:space="0" w:color="auto"/>
            </w:tcBorders>
            <w:noWrap/>
            <w:hideMark/>
          </w:tcPr>
          <w:p w14:paraId="0411C0C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Cash Flow</w:t>
            </w:r>
          </w:p>
        </w:tc>
        <w:tc>
          <w:tcPr>
            <w:tcW w:w="1309" w:type="dxa"/>
            <w:tcBorders>
              <w:top w:val="nil"/>
              <w:left w:val="nil"/>
              <w:bottom w:val="single" w:sz="4" w:space="0" w:color="auto"/>
              <w:right w:val="single" w:sz="4" w:space="0" w:color="auto"/>
            </w:tcBorders>
            <w:noWrap/>
            <w:vAlign w:val="bottom"/>
            <w:hideMark/>
          </w:tcPr>
          <w:p w14:paraId="381DE7E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Operating Cash Flow Margin (OCFM)</w:t>
            </w:r>
          </w:p>
        </w:tc>
        <w:tc>
          <w:tcPr>
            <w:tcW w:w="1804" w:type="dxa"/>
            <w:tcBorders>
              <w:top w:val="nil"/>
              <w:left w:val="nil"/>
              <w:bottom w:val="single" w:sz="4" w:space="0" w:color="auto"/>
              <w:right w:val="single" w:sz="4" w:space="0" w:color="auto"/>
            </w:tcBorders>
            <w:noWrap/>
            <w:vAlign w:val="bottom"/>
            <w:hideMark/>
          </w:tcPr>
          <w:p w14:paraId="6E56D060"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(Operating Cash Flow ÷ Revenue) × 100</w:t>
            </w:r>
          </w:p>
        </w:tc>
        <w:tc>
          <w:tcPr>
            <w:tcW w:w="977" w:type="dxa"/>
            <w:tcBorders>
              <w:top w:val="nil"/>
              <w:left w:val="nil"/>
              <w:bottom w:val="single" w:sz="4" w:space="0" w:color="auto"/>
              <w:right w:val="single" w:sz="4" w:space="0" w:color="auto"/>
            </w:tcBorders>
            <w:noWrap/>
            <w:vAlign w:val="bottom"/>
            <w:hideMark/>
          </w:tcPr>
          <w:p w14:paraId="1384E0F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12.26%</w:t>
            </w:r>
          </w:p>
        </w:tc>
        <w:tc>
          <w:tcPr>
            <w:tcW w:w="936" w:type="dxa"/>
            <w:tcBorders>
              <w:top w:val="nil"/>
              <w:left w:val="nil"/>
              <w:bottom w:val="single" w:sz="4" w:space="0" w:color="auto"/>
              <w:right w:val="single" w:sz="4" w:space="0" w:color="auto"/>
            </w:tcBorders>
            <w:noWrap/>
            <w:vAlign w:val="bottom"/>
            <w:hideMark/>
          </w:tcPr>
          <w:p w14:paraId="6BB6774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13.12%</w:t>
            </w:r>
          </w:p>
        </w:tc>
        <w:tc>
          <w:tcPr>
            <w:tcW w:w="912" w:type="dxa"/>
            <w:tcBorders>
              <w:top w:val="nil"/>
              <w:left w:val="nil"/>
              <w:bottom w:val="single" w:sz="4" w:space="0" w:color="auto"/>
              <w:right w:val="single" w:sz="4" w:space="0" w:color="auto"/>
            </w:tcBorders>
            <w:noWrap/>
            <w:vAlign w:val="bottom"/>
            <w:hideMark/>
          </w:tcPr>
          <w:p w14:paraId="520BF1E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19.31%</w:t>
            </w:r>
          </w:p>
        </w:tc>
        <w:tc>
          <w:tcPr>
            <w:tcW w:w="992" w:type="dxa"/>
            <w:tcBorders>
              <w:top w:val="nil"/>
              <w:left w:val="nil"/>
              <w:bottom w:val="single" w:sz="4" w:space="0" w:color="auto"/>
              <w:right w:val="single" w:sz="4" w:space="0" w:color="auto"/>
            </w:tcBorders>
            <w:noWrap/>
            <w:vAlign w:val="bottom"/>
            <w:hideMark/>
          </w:tcPr>
          <w:p w14:paraId="2F4C33D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18.61%</w:t>
            </w:r>
          </w:p>
        </w:tc>
        <w:tc>
          <w:tcPr>
            <w:tcW w:w="1075" w:type="dxa"/>
            <w:tcBorders>
              <w:top w:val="nil"/>
              <w:left w:val="nil"/>
              <w:bottom w:val="single" w:sz="4" w:space="0" w:color="auto"/>
              <w:right w:val="single" w:sz="4" w:space="0" w:color="auto"/>
            </w:tcBorders>
            <w:noWrap/>
            <w:vAlign w:val="bottom"/>
            <w:hideMark/>
          </w:tcPr>
          <w:p w14:paraId="196C86E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30.86%</w:t>
            </w:r>
          </w:p>
        </w:tc>
      </w:tr>
      <w:tr w:rsidR="00E327DB" w:rsidRPr="008A00D2" w14:paraId="23F244A3" w14:textId="77777777" w:rsidTr="00317C3C">
        <w:trPr>
          <w:trHeight w:val="288"/>
          <w:jc w:val="center"/>
        </w:trPr>
        <w:tc>
          <w:tcPr>
            <w:tcW w:w="1345" w:type="dxa"/>
            <w:vMerge/>
            <w:tcBorders>
              <w:top w:val="nil"/>
              <w:left w:val="single" w:sz="4" w:space="0" w:color="auto"/>
              <w:bottom w:val="single" w:sz="4" w:space="0" w:color="auto"/>
              <w:right w:val="single" w:sz="4" w:space="0" w:color="auto"/>
            </w:tcBorders>
            <w:vAlign w:val="center"/>
            <w:hideMark/>
          </w:tcPr>
          <w:p w14:paraId="417BA2B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p>
        </w:tc>
        <w:tc>
          <w:tcPr>
            <w:tcW w:w="1309" w:type="dxa"/>
            <w:tcBorders>
              <w:top w:val="nil"/>
              <w:left w:val="nil"/>
              <w:bottom w:val="single" w:sz="4" w:space="0" w:color="auto"/>
              <w:right w:val="single" w:sz="4" w:space="0" w:color="auto"/>
            </w:tcBorders>
            <w:noWrap/>
            <w:vAlign w:val="bottom"/>
            <w:hideMark/>
          </w:tcPr>
          <w:p w14:paraId="3F1E92CF"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Free Cash Flow Margin (FCFM)</w:t>
            </w:r>
          </w:p>
        </w:tc>
        <w:tc>
          <w:tcPr>
            <w:tcW w:w="1804" w:type="dxa"/>
            <w:tcBorders>
              <w:top w:val="nil"/>
              <w:left w:val="nil"/>
              <w:bottom w:val="single" w:sz="4" w:space="0" w:color="auto"/>
              <w:right w:val="single" w:sz="4" w:space="0" w:color="auto"/>
            </w:tcBorders>
            <w:noWrap/>
            <w:vAlign w:val="bottom"/>
            <w:hideMark/>
          </w:tcPr>
          <w:p w14:paraId="12F2F5D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(Free Cash Flow ÷ Revenue) × 100</w:t>
            </w:r>
          </w:p>
        </w:tc>
        <w:tc>
          <w:tcPr>
            <w:tcW w:w="977" w:type="dxa"/>
            <w:tcBorders>
              <w:top w:val="nil"/>
              <w:left w:val="nil"/>
              <w:bottom w:val="single" w:sz="4" w:space="0" w:color="auto"/>
              <w:right w:val="single" w:sz="4" w:space="0" w:color="auto"/>
            </w:tcBorders>
            <w:noWrap/>
            <w:vAlign w:val="bottom"/>
            <w:hideMark/>
          </w:tcPr>
          <w:p w14:paraId="0DCE803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10.89%</w:t>
            </w:r>
          </w:p>
        </w:tc>
        <w:tc>
          <w:tcPr>
            <w:tcW w:w="936" w:type="dxa"/>
            <w:tcBorders>
              <w:top w:val="nil"/>
              <w:left w:val="nil"/>
              <w:bottom w:val="single" w:sz="4" w:space="0" w:color="auto"/>
              <w:right w:val="single" w:sz="4" w:space="0" w:color="auto"/>
            </w:tcBorders>
            <w:noWrap/>
            <w:vAlign w:val="bottom"/>
            <w:hideMark/>
          </w:tcPr>
          <w:p w14:paraId="4618A30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11.54%</w:t>
            </w:r>
          </w:p>
        </w:tc>
        <w:tc>
          <w:tcPr>
            <w:tcW w:w="912" w:type="dxa"/>
            <w:tcBorders>
              <w:top w:val="nil"/>
              <w:left w:val="nil"/>
              <w:bottom w:val="single" w:sz="4" w:space="0" w:color="auto"/>
              <w:right w:val="single" w:sz="4" w:space="0" w:color="auto"/>
            </w:tcBorders>
            <w:noWrap/>
            <w:vAlign w:val="bottom"/>
            <w:hideMark/>
          </w:tcPr>
          <w:p w14:paraId="3A332B7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17.71%</w:t>
            </w:r>
          </w:p>
        </w:tc>
        <w:tc>
          <w:tcPr>
            <w:tcW w:w="992" w:type="dxa"/>
            <w:tcBorders>
              <w:top w:val="nil"/>
              <w:left w:val="nil"/>
              <w:bottom w:val="single" w:sz="4" w:space="0" w:color="auto"/>
              <w:right w:val="single" w:sz="4" w:space="0" w:color="auto"/>
            </w:tcBorders>
            <w:noWrap/>
            <w:vAlign w:val="bottom"/>
            <w:hideMark/>
          </w:tcPr>
          <w:p w14:paraId="581771F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16.84%</w:t>
            </w:r>
          </w:p>
        </w:tc>
        <w:tc>
          <w:tcPr>
            <w:tcW w:w="1075" w:type="dxa"/>
            <w:tcBorders>
              <w:top w:val="nil"/>
              <w:left w:val="nil"/>
              <w:bottom w:val="single" w:sz="4" w:space="0" w:color="auto"/>
              <w:right w:val="single" w:sz="4" w:space="0" w:color="auto"/>
            </w:tcBorders>
            <w:noWrap/>
            <w:vAlign w:val="bottom"/>
            <w:hideMark/>
          </w:tcPr>
          <w:p w14:paraId="167BBC4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28.21%</w:t>
            </w:r>
          </w:p>
        </w:tc>
      </w:tr>
    </w:tbl>
    <w:p w14:paraId="7A54B86A" w14:textId="77777777" w:rsidR="00E327DB" w:rsidRPr="008A00D2" w:rsidRDefault="00E327DB">
      <w:pPr>
        <w:rPr>
          <w:lang w:val="en-GB"/>
        </w:rPr>
      </w:pPr>
    </w:p>
    <w:p w14:paraId="564E1663" w14:textId="73F5B03C" w:rsidR="00E327DB" w:rsidRPr="008A00D2" w:rsidRDefault="00E327DB" w:rsidP="00317C3C">
      <w:pPr>
        <w:jc w:val="center"/>
        <w:rPr>
          <w:lang w:val="en-GB"/>
        </w:rPr>
      </w:pPr>
      <w:r w:rsidRPr="008A00D2">
        <w:rPr>
          <w:noProof/>
          <w:lang w:val="en-GB"/>
        </w:rPr>
        <w:lastRenderedPageBreak/>
        <w:drawing>
          <wp:inline distT="0" distB="0" distL="0" distR="0" wp14:anchorId="3376D43A" wp14:editId="264ADB03">
            <wp:extent cx="4715123" cy="2782957"/>
            <wp:effectExtent l="0" t="0" r="9525" b="17780"/>
            <wp:docPr id="482318339" name="Chart 1">
              <a:extLst xmlns:a="http://schemas.openxmlformats.org/drawingml/2006/main">
                <a:ext uri="{FF2B5EF4-FFF2-40B4-BE49-F238E27FC236}">
                  <a16:creationId xmlns:a16="http://schemas.microsoft.com/office/drawing/2014/main" id="{E45E8EA9-2A51-9D20-2F08-BD4702116A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5E826C66" w14:textId="51E5FAA5" w:rsidR="00E327DB" w:rsidRPr="008A00D2" w:rsidRDefault="00E327DB" w:rsidP="00317C3C">
      <w:pPr>
        <w:jc w:val="center"/>
        <w:rPr>
          <w:lang w:val="en-GB"/>
        </w:rPr>
      </w:pPr>
      <w:r w:rsidRPr="008A00D2">
        <w:rPr>
          <w:noProof/>
          <w:lang w:val="en-GB"/>
        </w:rPr>
        <w:drawing>
          <wp:inline distT="0" distB="0" distL="0" distR="0" wp14:anchorId="7ECD79DC" wp14:editId="0B023CD9">
            <wp:extent cx="4635610" cy="2743200"/>
            <wp:effectExtent l="0" t="0" r="12700" b="0"/>
            <wp:docPr id="141695349" name="Chart 1">
              <a:extLst xmlns:a="http://schemas.openxmlformats.org/drawingml/2006/main">
                <a:ext uri="{FF2B5EF4-FFF2-40B4-BE49-F238E27FC236}">
                  <a16:creationId xmlns:a16="http://schemas.microsoft.com/office/drawing/2014/main" id="{57B6B4FF-73CC-43A0-B421-D7AD5D9F19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73985E1C" w14:textId="3D035F8A" w:rsidR="00E327DB" w:rsidRPr="008A00D2" w:rsidRDefault="00E327DB" w:rsidP="00317C3C">
      <w:pPr>
        <w:jc w:val="center"/>
        <w:rPr>
          <w:lang w:val="en-GB"/>
        </w:rPr>
      </w:pPr>
      <w:r w:rsidRPr="008A00D2">
        <w:rPr>
          <w:noProof/>
          <w:lang w:val="en-GB"/>
        </w:rPr>
        <w:lastRenderedPageBreak/>
        <w:drawing>
          <wp:inline distT="0" distB="0" distL="0" distR="0" wp14:anchorId="457502F4" wp14:editId="4C02756C">
            <wp:extent cx="4890052" cy="2830664"/>
            <wp:effectExtent l="0" t="0" r="6350" b="8255"/>
            <wp:docPr id="1632517311" name="Chart 1">
              <a:extLst xmlns:a="http://schemas.openxmlformats.org/drawingml/2006/main">
                <a:ext uri="{FF2B5EF4-FFF2-40B4-BE49-F238E27FC236}">
                  <a16:creationId xmlns:a16="http://schemas.microsoft.com/office/drawing/2014/main" id="{6C26F88B-99EB-45A4-887F-D7A6049DBE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F0C9764" w14:textId="46662E17" w:rsidR="00E327DB" w:rsidRPr="008A00D2" w:rsidRDefault="00E327DB" w:rsidP="00317C3C">
      <w:pPr>
        <w:jc w:val="center"/>
        <w:rPr>
          <w:lang w:val="en-GB"/>
        </w:rPr>
      </w:pPr>
      <w:r w:rsidRPr="008A00D2">
        <w:rPr>
          <w:noProof/>
          <w:lang w:val="en-GB"/>
        </w:rPr>
        <w:drawing>
          <wp:inline distT="0" distB="0" distL="0" distR="0" wp14:anchorId="5903112E" wp14:editId="0C4014F5">
            <wp:extent cx="4707172" cy="2775005"/>
            <wp:effectExtent l="0" t="0" r="17780" b="6350"/>
            <wp:docPr id="415538310" name="Chart 1">
              <a:extLst xmlns:a="http://schemas.openxmlformats.org/drawingml/2006/main">
                <a:ext uri="{FF2B5EF4-FFF2-40B4-BE49-F238E27FC236}">
                  <a16:creationId xmlns:a16="http://schemas.microsoft.com/office/drawing/2014/main" id="{F049594D-3F44-4BF3-87AE-A078E3204B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65CE4207" w14:textId="775DEE58" w:rsidR="00E327DB" w:rsidRPr="008A00D2" w:rsidRDefault="00E327DB" w:rsidP="00317C3C">
      <w:pPr>
        <w:jc w:val="center"/>
        <w:rPr>
          <w:lang w:val="en-GB"/>
        </w:rPr>
      </w:pPr>
      <w:r w:rsidRPr="008A00D2">
        <w:rPr>
          <w:noProof/>
          <w:lang w:val="en-GB"/>
        </w:rPr>
        <w:lastRenderedPageBreak/>
        <w:drawing>
          <wp:inline distT="0" distB="0" distL="0" distR="0" wp14:anchorId="698DA32C" wp14:editId="66E75B2F">
            <wp:extent cx="4786685" cy="2798859"/>
            <wp:effectExtent l="0" t="0" r="13970" b="1905"/>
            <wp:docPr id="299403438" name="Chart 1">
              <a:extLst xmlns:a="http://schemas.openxmlformats.org/drawingml/2006/main">
                <a:ext uri="{FF2B5EF4-FFF2-40B4-BE49-F238E27FC236}">
                  <a16:creationId xmlns:a16="http://schemas.microsoft.com/office/drawing/2014/main" id="{B2192B26-1F2D-47CA-9822-B9563B965C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E7EF9A9" w14:textId="44E2DE52" w:rsidR="00E327DB" w:rsidRPr="008A00D2" w:rsidRDefault="00E327DB" w:rsidP="00317C3C">
      <w:pPr>
        <w:jc w:val="center"/>
        <w:rPr>
          <w:lang w:val="en-GB"/>
        </w:rPr>
      </w:pPr>
      <w:r w:rsidRPr="008A00D2">
        <w:rPr>
          <w:noProof/>
          <w:lang w:val="en-GB"/>
        </w:rPr>
        <w:drawing>
          <wp:inline distT="0" distB="0" distL="0" distR="0" wp14:anchorId="4E77D923" wp14:editId="4582125A">
            <wp:extent cx="4850296" cy="2862470"/>
            <wp:effectExtent l="0" t="0" r="7620" b="14605"/>
            <wp:docPr id="136832500" name="Chart 1">
              <a:extLst xmlns:a="http://schemas.openxmlformats.org/drawingml/2006/main">
                <a:ext uri="{FF2B5EF4-FFF2-40B4-BE49-F238E27FC236}">
                  <a16:creationId xmlns:a16="http://schemas.microsoft.com/office/drawing/2014/main" id="{F290E855-3DA4-497B-811A-E2807F9C25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tbl>
      <w:tblPr>
        <w:tblW w:w="0" w:type="auto"/>
        <w:jc w:val="center"/>
        <w:tblLook w:val="04A0" w:firstRow="1" w:lastRow="0" w:firstColumn="1" w:lastColumn="0" w:noHBand="0" w:noVBand="1"/>
      </w:tblPr>
      <w:tblGrid>
        <w:gridCol w:w="663"/>
        <w:gridCol w:w="1189"/>
        <w:gridCol w:w="1234"/>
        <w:gridCol w:w="1247"/>
        <w:gridCol w:w="2767"/>
      </w:tblGrid>
      <w:tr w:rsidR="00E327DB" w:rsidRPr="008A00D2" w14:paraId="2B631FFF" w14:textId="77777777" w:rsidTr="00317C3C">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76397943" w14:textId="77777777" w:rsidR="00E327DB" w:rsidRPr="008A00D2" w:rsidRDefault="00E327DB" w:rsidP="00E327DB">
            <w:pPr>
              <w:spacing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Year</w:t>
            </w:r>
          </w:p>
        </w:tc>
        <w:tc>
          <w:tcPr>
            <w:tcW w:w="0" w:type="auto"/>
            <w:tcBorders>
              <w:top w:val="single" w:sz="4" w:space="0" w:color="auto"/>
              <w:left w:val="nil"/>
              <w:bottom w:val="single" w:sz="4" w:space="0" w:color="auto"/>
              <w:right w:val="single" w:sz="4" w:space="0" w:color="auto"/>
            </w:tcBorders>
            <w:noWrap/>
            <w:vAlign w:val="bottom"/>
            <w:hideMark/>
          </w:tcPr>
          <w:p w14:paraId="15EDE758" w14:textId="77777777" w:rsidR="00E327DB" w:rsidRPr="008A00D2" w:rsidRDefault="00E327DB" w:rsidP="00E327DB">
            <w:pPr>
              <w:spacing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DIO (Days)</w:t>
            </w:r>
          </w:p>
        </w:tc>
        <w:tc>
          <w:tcPr>
            <w:tcW w:w="0" w:type="auto"/>
            <w:tcBorders>
              <w:top w:val="single" w:sz="4" w:space="0" w:color="auto"/>
              <w:left w:val="nil"/>
              <w:bottom w:val="single" w:sz="4" w:space="0" w:color="auto"/>
              <w:right w:val="single" w:sz="4" w:space="0" w:color="auto"/>
            </w:tcBorders>
            <w:noWrap/>
            <w:vAlign w:val="bottom"/>
            <w:hideMark/>
          </w:tcPr>
          <w:p w14:paraId="62D0D2F0" w14:textId="77777777" w:rsidR="00E327DB" w:rsidRPr="008A00D2" w:rsidRDefault="00E327DB" w:rsidP="00E327DB">
            <w:pPr>
              <w:spacing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DSO (Days)</w:t>
            </w:r>
          </w:p>
        </w:tc>
        <w:tc>
          <w:tcPr>
            <w:tcW w:w="0" w:type="auto"/>
            <w:tcBorders>
              <w:top w:val="single" w:sz="4" w:space="0" w:color="auto"/>
              <w:left w:val="nil"/>
              <w:bottom w:val="single" w:sz="4" w:space="0" w:color="auto"/>
              <w:right w:val="single" w:sz="4" w:space="0" w:color="auto"/>
            </w:tcBorders>
            <w:noWrap/>
            <w:vAlign w:val="bottom"/>
            <w:hideMark/>
          </w:tcPr>
          <w:p w14:paraId="00393555" w14:textId="77777777" w:rsidR="00E327DB" w:rsidRPr="008A00D2" w:rsidRDefault="00E327DB" w:rsidP="00E327DB">
            <w:pPr>
              <w:spacing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DPO (Days)</w:t>
            </w:r>
          </w:p>
        </w:tc>
        <w:tc>
          <w:tcPr>
            <w:tcW w:w="0" w:type="auto"/>
            <w:tcBorders>
              <w:top w:val="single" w:sz="4" w:space="0" w:color="auto"/>
              <w:left w:val="nil"/>
              <w:bottom w:val="single" w:sz="4" w:space="0" w:color="auto"/>
              <w:right w:val="single" w:sz="4" w:space="0" w:color="auto"/>
            </w:tcBorders>
            <w:noWrap/>
            <w:vAlign w:val="bottom"/>
            <w:hideMark/>
          </w:tcPr>
          <w:p w14:paraId="2DBF9FD3" w14:textId="77777777" w:rsidR="00E327DB" w:rsidRPr="008A00D2" w:rsidRDefault="00E327DB" w:rsidP="00E327DB">
            <w:pPr>
              <w:spacing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Cash Operating Cycle (Days)</w:t>
            </w:r>
          </w:p>
        </w:tc>
      </w:tr>
      <w:tr w:rsidR="00E327DB" w:rsidRPr="008A00D2" w14:paraId="218956CB"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14CF404C"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2021</w:t>
            </w:r>
          </w:p>
        </w:tc>
        <w:tc>
          <w:tcPr>
            <w:tcW w:w="0" w:type="auto"/>
            <w:tcBorders>
              <w:top w:val="nil"/>
              <w:left w:val="nil"/>
              <w:bottom w:val="single" w:sz="4" w:space="0" w:color="auto"/>
              <w:right w:val="single" w:sz="4" w:space="0" w:color="auto"/>
            </w:tcBorders>
            <w:noWrap/>
            <w:vAlign w:val="bottom"/>
            <w:hideMark/>
          </w:tcPr>
          <w:p w14:paraId="6DE26219"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3.00</w:t>
            </w:r>
          </w:p>
        </w:tc>
        <w:tc>
          <w:tcPr>
            <w:tcW w:w="0" w:type="auto"/>
            <w:tcBorders>
              <w:top w:val="nil"/>
              <w:left w:val="nil"/>
              <w:bottom w:val="single" w:sz="4" w:space="0" w:color="auto"/>
              <w:right w:val="single" w:sz="4" w:space="0" w:color="auto"/>
            </w:tcBorders>
            <w:noWrap/>
            <w:vAlign w:val="bottom"/>
            <w:hideMark/>
          </w:tcPr>
          <w:p w14:paraId="20DA45A8"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38.34</w:t>
            </w:r>
          </w:p>
        </w:tc>
        <w:tc>
          <w:tcPr>
            <w:tcW w:w="0" w:type="auto"/>
            <w:tcBorders>
              <w:top w:val="nil"/>
              <w:left w:val="nil"/>
              <w:bottom w:val="single" w:sz="4" w:space="0" w:color="auto"/>
              <w:right w:val="single" w:sz="4" w:space="0" w:color="auto"/>
            </w:tcBorders>
            <w:noWrap/>
            <w:vAlign w:val="bottom"/>
            <w:hideMark/>
          </w:tcPr>
          <w:p w14:paraId="70AEF926"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434.85</w:t>
            </w:r>
          </w:p>
        </w:tc>
        <w:tc>
          <w:tcPr>
            <w:tcW w:w="0" w:type="auto"/>
            <w:tcBorders>
              <w:top w:val="nil"/>
              <w:left w:val="nil"/>
              <w:bottom w:val="single" w:sz="4" w:space="0" w:color="auto"/>
              <w:right w:val="single" w:sz="4" w:space="0" w:color="auto"/>
            </w:tcBorders>
            <w:noWrap/>
            <w:vAlign w:val="bottom"/>
            <w:hideMark/>
          </w:tcPr>
          <w:p w14:paraId="03990CB6"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-393.51</w:t>
            </w:r>
          </w:p>
        </w:tc>
      </w:tr>
      <w:tr w:rsidR="00E327DB" w:rsidRPr="008A00D2" w14:paraId="510BE6B6"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2CD377D3"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2022</w:t>
            </w:r>
          </w:p>
        </w:tc>
        <w:tc>
          <w:tcPr>
            <w:tcW w:w="0" w:type="auto"/>
            <w:tcBorders>
              <w:top w:val="nil"/>
              <w:left w:val="nil"/>
              <w:bottom w:val="single" w:sz="4" w:space="0" w:color="auto"/>
              <w:right w:val="single" w:sz="4" w:space="0" w:color="auto"/>
            </w:tcBorders>
            <w:noWrap/>
            <w:vAlign w:val="bottom"/>
            <w:hideMark/>
          </w:tcPr>
          <w:p w14:paraId="47A89778"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2.57</w:t>
            </w:r>
          </w:p>
        </w:tc>
        <w:tc>
          <w:tcPr>
            <w:tcW w:w="0" w:type="auto"/>
            <w:tcBorders>
              <w:top w:val="nil"/>
              <w:left w:val="nil"/>
              <w:bottom w:val="single" w:sz="4" w:space="0" w:color="auto"/>
              <w:right w:val="single" w:sz="4" w:space="0" w:color="auto"/>
            </w:tcBorders>
            <w:noWrap/>
            <w:vAlign w:val="bottom"/>
            <w:hideMark/>
          </w:tcPr>
          <w:p w14:paraId="29C7AAD1"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40.85</w:t>
            </w:r>
          </w:p>
        </w:tc>
        <w:tc>
          <w:tcPr>
            <w:tcW w:w="0" w:type="auto"/>
            <w:tcBorders>
              <w:top w:val="nil"/>
              <w:left w:val="nil"/>
              <w:bottom w:val="single" w:sz="4" w:space="0" w:color="auto"/>
              <w:right w:val="single" w:sz="4" w:space="0" w:color="auto"/>
            </w:tcBorders>
            <w:noWrap/>
            <w:vAlign w:val="bottom"/>
            <w:hideMark/>
          </w:tcPr>
          <w:p w14:paraId="6BF0CDB1"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447.9</w:t>
            </w:r>
          </w:p>
        </w:tc>
        <w:tc>
          <w:tcPr>
            <w:tcW w:w="0" w:type="auto"/>
            <w:tcBorders>
              <w:top w:val="nil"/>
              <w:left w:val="nil"/>
              <w:bottom w:val="single" w:sz="4" w:space="0" w:color="auto"/>
              <w:right w:val="single" w:sz="4" w:space="0" w:color="auto"/>
            </w:tcBorders>
            <w:noWrap/>
            <w:vAlign w:val="bottom"/>
            <w:hideMark/>
          </w:tcPr>
          <w:p w14:paraId="1010013B"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-404.48</w:t>
            </w:r>
          </w:p>
        </w:tc>
      </w:tr>
      <w:tr w:rsidR="00E327DB" w:rsidRPr="008A00D2" w14:paraId="392AFBAE"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509EA963"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2023</w:t>
            </w:r>
          </w:p>
        </w:tc>
        <w:tc>
          <w:tcPr>
            <w:tcW w:w="0" w:type="auto"/>
            <w:tcBorders>
              <w:top w:val="nil"/>
              <w:left w:val="nil"/>
              <w:bottom w:val="single" w:sz="4" w:space="0" w:color="auto"/>
              <w:right w:val="single" w:sz="4" w:space="0" w:color="auto"/>
            </w:tcBorders>
            <w:noWrap/>
            <w:vAlign w:val="bottom"/>
            <w:hideMark/>
          </w:tcPr>
          <w:p w14:paraId="71D50990"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1.97</w:t>
            </w:r>
          </w:p>
        </w:tc>
        <w:tc>
          <w:tcPr>
            <w:tcW w:w="0" w:type="auto"/>
            <w:tcBorders>
              <w:top w:val="nil"/>
              <w:left w:val="nil"/>
              <w:bottom w:val="single" w:sz="4" w:space="0" w:color="auto"/>
              <w:right w:val="single" w:sz="4" w:space="0" w:color="auto"/>
            </w:tcBorders>
            <w:noWrap/>
            <w:vAlign w:val="bottom"/>
            <w:hideMark/>
          </w:tcPr>
          <w:p w14:paraId="14DCC7E9"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61.96</w:t>
            </w:r>
          </w:p>
        </w:tc>
        <w:tc>
          <w:tcPr>
            <w:tcW w:w="0" w:type="auto"/>
            <w:tcBorders>
              <w:top w:val="nil"/>
              <w:left w:val="nil"/>
              <w:bottom w:val="single" w:sz="4" w:space="0" w:color="auto"/>
              <w:right w:val="single" w:sz="4" w:space="0" w:color="auto"/>
            </w:tcBorders>
            <w:noWrap/>
            <w:vAlign w:val="bottom"/>
            <w:hideMark/>
          </w:tcPr>
          <w:p w14:paraId="74EDED03"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349.75</w:t>
            </w:r>
          </w:p>
        </w:tc>
        <w:tc>
          <w:tcPr>
            <w:tcW w:w="0" w:type="auto"/>
            <w:tcBorders>
              <w:top w:val="nil"/>
              <w:left w:val="nil"/>
              <w:bottom w:val="single" w:sz="4" w:space="0" w:color="auto"/>
              <w:right w:val="single" w:sz="4" w:space="0" w:color="auto"/>
            </w:tcBorders>
            <w:noWrap/>
            <w:vAlign w:val="bottom"/>
            <w:hideMark/>
          </w:tcPr>
          <w:p w14:paraId="66AA9535"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-285.82</w:t>
            </w:r>
          </w:p>
        </w:tc>
      </w:tr>
      <w:tr w:rsidR="00E327DB" w:rsidRPr="008A00D2" w14:paraId="6A2BB6B7"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41060B7E"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2024</w:t>
            </w:r>
          </w:p>
        </w:tc>
        <w:tc>
          <w:tcPr>
            <w:tcW w:w="0" w:type="auto"/>
            <w:tcBorders>
              <w:top w:val="nil"/>
              <w:left w:val="nil"/>
              <w:bottom w:val="single" w:sz="4" w:space="0" w:color="auto"/>
              <w:right w:val="single" w:sz="4" w:space="0" w:color="auto"/>
            </w:tcBorders>
            <w:noWrap/>
            <w:vAlign w:val="bottom"/>
            <w:hideMark/>
          </w:tcPr>
          <w:p w14:paraId="1FF3ACFA"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2.45</w:t>
            </w:r>
          </w:p>
        </w:tc>
        <w:tc>
          <w:tcPr>
            <w:tcW w:w="0" w:type="auto"/>
            <w:tcBorders>
              <w:top w:val="nil"/>
              <w:left w:val="nil"/>
              <w:bottom w:val="single" w:sz="4" w:space="0" w:color="auto"/>
              <w:right w:val="single" w:sz="4" w:space="0" w:color="auto"/>
            </w:tcBorders>
            <w:noWrap/>
            <w:vAlign w:val="bottom"/>
            <w:hideMark/>
          </w:tcPr>
          <w:p w14:paraId="623FC23E"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78.16</w:t>
            </w:r>
          </w:p>
        </w:tc>
        <w:tc>
          <w:tcPr>
            <w:tcW w:w="0" w:type="auto"/>
            <w:tcBorders>
              <w:top w:val="nil"/>
              <w:left w:val="nil"/>
              <w:bottom w:val="single" w:sz="4" w:space="0" w:color="auto"/>
              <w:right w:val="single" w:sz="4" w:space="0" w:color="auto"/>
            </w:tcBorders>
            <w:noWrap/>
            <w:vAlign w:val="bottom"/>
            <w:hideMark/>
          </w:tcPr>
          <w:p w14:paraId="430BB30B"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318.46</w:t>
            </w:r>
          </w:p>
        </w:tc>
        <w:tc>
          <w:tcPr>
            <w:tcW w:w="0" w:type="auto"/>
            <w:tcBorders>
              <w:top w:val="nil"/>
              <w:left w:val="nil"/>
              <w:bottom w:val="single" w:sz="4" w:space="0" w:color="auto"/>
              <w:right w:val="single" w:sz="4" w:space="0" w:color="auto"/>
            </w:tcBorders>
            <w:noWrap/>
            <w:vAlign w:val="bottom"/>
            <w:hideMark/>
          </w:tcPr>
          <w:p w14:paraId="32E083C4"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-237.85</w:t>
            </w:r>
          </w:p>
        </w:tc>
      </w:tr>
      <w:tr w:rsidR="00E327DB" w:rsidRPr="008A00D2" w14:paraId="7B74951C"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2A0D7362"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2025</w:t>
            </w:r>
          </w:p>
        </w:tc>
        <w:tc>
          <w:tcPr>
            <w:tcW w:w="0" w:type="auto"/>
            <w:tcBorders>
              <w:top w:val="nil"/>
              <w:left w:val="nil"/>
              <w:bottom w:val="single" w:sz="4" w:space="0" w:color="auto"/>
              <w:right w:val="single" w:sz="4" w:space="0" w:color="auto"/>
            </w:tcBorders>
            <w:noWrap/>
            <w:vAlign w:val="bottom"/>
            <w:hideMark/>
          </w:tcPr>
          <w:p w14:paraId="61103577"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2.39</w:t>
            </w:r>
          </w:p>
        </w:tc>
        <w:tc>
          <w:tcPr>
            <w:tcW w:w="0" w:type="auto"/>
            <w:tcBorders>
              <w:top w:val="nil"/>
              <w:left w:val="nil"/>
              <w:bottom w:val="single" w:sz="4" w:space="0" w:color="auto"/>
              <w:right w:val="single" w:sz="4" w:space="0" w:color="auto"/>
            </w:tcBorders>
            <w:noWrap/>
            <w:vAlign w:val="bottom"/>
            <w:hideMark/>
          </w:tcPr>
          <w:p w14:paraId="45DFFF48"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108.12</w:t>
            </w:r>
          </w:p>
        </w:tc>
        <w:tc>
          <w:tcPr>
            <w:tcW w:w="0" w:type="auto"/>
            <w:tcBorders>
              <w:top w:val="nil"/>
              <w:left w:val="nil"/>
              <w:bottom w:val="single" w:sz="4" w:space="0" w:color="auto"/>
              <w:right w:val="single" w:sz="4" w:space="0" w:color="auto"/>
            </w:tcBorders>
            <w:noWrap/>
            <w:vAlign w:val="bottom"/>
            <w:hideMark/>
          </w:tcPr>
          <w:p w14:paraId="3D5139F5"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354.97</w:t>
            </w:r>
          </w:p>
        </w:tc>
        <w:tc>
          <w:tcPr>
            <w:tcW w:w="0" w:type="auto"/>
            <w:tcBorders>
              <w:top w:val="nil"/>
              <w:left w:val="nil"/>
              <w:bottom w:val="single" w:sz="4" w:space="0" w:color="auto"/>
              <w:right w:val="single" w:sz="4" w:space="0" w:color="auto"/>
            </w:tcBorders>
            <w:noWrap/>
            <w:vAlign w:val="bottom"/>
            <w:hideMark/>
          </w:tcPr>
          <w:p w14:paraId="70294CCF" w14:textId="77777777" w:rsidR="00E327DB" w:rsidRPr="008A00D2" w:rsidRDefault="00E327DB" w:rsidP="00E327DB">
            <w:pPr>
              <w:spacing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-244.46</w:t>
            </w:r>
          </w:p>
        </w:tc>
      </w:tr>
    </w:tbl>
    <w:p w14:paraId="41062C08" w14:textId="77777777" w:rsidR="00E327DB" w:rsidRPr="008A00D2" w:rsidRDefault="00E327DB">
      <w:pPr>
        <w:rPr>
          <w:lang w:val="en-GB"/>
        </w:rPr>
      </w:pPr>
    </w:p>
    <w:p w14:paraId="680B981A" w14:textId="202D4BB3" w:rsidR="00E327DB" w:rsidRPr="008A00D2" w:rsidRDefault="00E327DB" w:rsidP="00317C3C">
      <w:pPr>
        <w:jc w:val="center"/>
        <w:rPr>
          <w:lang w:val="en-GB"/>
        </w:rPr>
      </w:pPr>
      <w:r w:rsidRPr="008A00D2">
        <w:rPr>
          <w:noProof/>
          <w:lang w:val="en-GB"/>
        </w:rPr>
        <w:drawing>
          <wp:inline distT="0" distB="0" distL="0" distR="0" wp14:anchorId="3373EA0D" wp14:editId="387FFECD">
            <wp:extent cx="5072932" cy="3188473"/>
            <wp:effectExtent l="0" t="0" r="13970" b="12065"/>
            <wp:docPr id="489990480" name="Chart 1">
              <a:extLst xmlns:a="http://schemas.openxmlformats.org/drawingml/2006/main">
                <a:ext uri="{FF2B5EF4-FFF2-40B4-BE49-F238E27FC236}">
                  <a16:creationId xmlns:a16="http://schemas.microsoft.com/office/drawing/2014/main" id="{75D6BBD0-0125-043E-4283-3884D5E26B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39898DD" w14:textId="77777777" w:rsidR="00317C3C" w:rsidRPr="008A00D2" w:rsidRDefault="00317C3C">
      <w:pPr>
        <w:spacing w:before="0" w:after="160" w:line="278" w:lineRule="auto"/>
        <w:jc w:val="left"/>
        <w:rPr>
          <w:rFonts w:eastAsiaTheme="majorEastAsia" w:cstheme="majorBidi"/>
          <w:b/>
          <w:sz w:val="26"/>
          <w:szCs w:val="32"/>
          <w:lang w:val="en-GB"/>
        </w:rPr>
      </w:pPr>
      <w:r w:rsidRPr="008A00D2">
        <w:rPr>
          <w:lang w:val="en-GB"/>
        </w:rPr>
        <w:br w:type="page"/>
      </w:r>
    </w:p>
    <w:p w14:paraId="1A543E15" w14:textId="79E7FB17" w:rsidR="00E327DB" w:rsidRPr="008A00D2" w:rsidRDefault="00E327DB" w:rsidP="00E327DB">
      <w:pPr>
        <w:pStyle w:val="Heading2"/>
        <w:rPr>
          <w:lang w:val="en-GB"/>
        </w:rPr>
      </w:pPr>
      <w:bookmarkStart w:id="29" w:name="_Toc235095560"/>
      <w:r w:rsidRPr="008A00D2">
        <w:rPr>
          <w:lang w:val="en-GB"/>
        </w:rPr>
        <w:lastRenderedPageBreak/>
        <w:t xml:space="preserve">Appendix 2: Investment </w:t>
      </w:r>
      <w:r w:rsidR="00317C3C" w:rsidRPr="008A00D2">
        <w:rPr>
          <w:lang w:val="en-GB"/>
        </w:rPr>
        <w:t>Appraisal Calculations</w:t>
      </w:r>
      <w:bookmarkEnd w:id="29"/>
    </w:p>
    <w:tbl>
      <w:tblPr>
        <w:tblW w:w="9625" w:type="dxa"/>
        <w:tblLook w:val="04A0" w:firstRow="1" w:lastRow="0" w:firstColumn="1" w:lastColumn="0" w:noHBand="0" w:noVBand="1"/>
      </w:tblPr>
      <w:tblGrid>
        <w:gridCol w:w="1615"/>
        <w:gridCol w:w="1869"/>
        <w:gridCol w:w="1101"/>
        <w:gridCol w:w="946"/>
        <w:gridCol w:w="1034"/>
        <w:gridCol w:w="1013"/>
        <w:gridCol w:w="1329"/>
        <w:gridCol w:w="718"/>
      </w:tblGrid>
      <w:tr w:rsidR="00E327DB" w:rsidRPr="008A00D2" w14:paraId="71925FF1" w14:textId="77777777" w:rsidTr="00317C3C">
        <w:trPr>
          <w:trHeight w:val="281"/>
        </w:trPr>
        <w:tc>
          <w:tcPr>
            <w:tcW w:w="1615" w:type="dxa"/>
            <w:vMerge w:val="restart"/>
            <w:tcBorders>
              <w:top w:val="single" w:sz="4" w:space="0" w:color="auto"/>
              <w:left w:val="single" w:sz="4" w:space="0" w:color="auto"/>
              <w:bottom w:val="single" w:sz="4" w:space="0" w:color="auto"/>
              <w:right w:val="single" w:sz="4" w:space="0" w:color="auto"/>
            </w:tcBorders>
            <w:noWrap/>
            <w:vAlign w:val="center"/>
            <w:hideMark/>
          </w:tcPr>
          <w:p w14:paraId="259D695C"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Year</w:t>
            </w:r>
          </w:p>
        </w:tc>
        <w:tc>
          <w:tcPr>
            <w:tcW w:w="1869" w:type="dxa"/>
            <w:vMerge w:val="restart"/>
            <w:tcBorders>
              <w:top w:val="single" w:sz="4" w:space="0" w:color="auto"/>
              <w:left w:val="single" w:sz="4" w:space="0" w:color="auto"/>
              <w:bottom w:val="single" w:sz="4" w:space="0" w:color="auto"/>
              <w:right w:val="single" w:sz="4" w:space="0" w:color="auto"/>
            </w:tcBorders>
            <w:noWrap/>
            <w:hideMark/>
          </w:tcPr>
          <w:p w14:paraId="22DFB681" w14:textId="77777777" w:rsidR="00E327DB" w:rsidRPr="008A00D2" w:rsidRDefault="00E327DB" w:rsidP="00317C3C">
            <w:pPr>
              <w:spacing w:before="0" w:after="0" w:line="240" w:lineRule="auto"/>
              <w:jc w:val="center"/>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Discount Factor at 8%</w:t>
            </w:r>
          </w:p>
        </w:tc>
        <w:tc>
          <w:tcPr>
            <w:tcW w:w="2047" w:type="dxa"/>
            <w:gridSpan w:val="2"/>
            <w:tcBorders>
              <w:top w:val="single" w:sz="4" w:space="0" w:color="auto"/>
              <w:left w:val="nil"/>
              <w:bottom w:val="single" w:sz="4" w:space="0" w:color="auto"/>
              <w:right w:val="single" w:sz="4" w:space="0" w:color="auto"/>
            </w:tcBorders>
            <w:noWrap/>
            <w:vAlign w:val="bottom"/>
            <w:hideMark/>
          </w:tcPr>
          <w:p w14:paraId="7B6942A9" w14:textId="77777777" w:rsidR="00E327DB" w:rsidRPr="008A00D2" w:rsidRDefault="00E327DB" w:rsidP="00317C3C">
            <w:pPr>
              <w:spacing w:before="0" w:after="0" w:line="240" w:lineRule="auto"/>
              <w:jc w:val="center"/>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Project A</w:t>
            </w:r>
          </w:p>
        </w:tc>
        <w:tc>
          <w:tcPr>
            <w:tcW w:w="2047" w:type="dxa"/>
            <w:gridSpan w:val="2"/>
            <w:tcBorders>
              <w:top w:val="single" w:sz="4" w:space="0" w:color="auto"/>
              <w:left w:val="nil"/>
              <w:bottom w:val="single" w:sz="4" w:space="0" w:color="auto"/>
              <w:right w:val="single" w:sz="4" w:space="0" w:color="auto"/>
            </w:tcBorders>
            <w:noWrap/>
            <w:vAlign w:val="bottom"/>
            <w:hideMark/>
          </w:tcPr>
          <w:p w14:paraId="102F3865" w14:textId="77777777" w:rsidR="00E327DB" w:rsidRPr="008A00D2" w:rsidRDefault="00E327DB" w:rsidP="00317C3C">
            <w:pPr>
              <w:spacing w:before="0" w:after="0" w:line="240" w:lineRule="auto"/>
              <w:jc w:val="center"/>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Project B</w:t>
            </w:r>
          </w:p>
        </w:tc>
        <w:tc>
          <w:tcPr>
            <w:tcW w:w="2047" w:type="dxa"/>
            <w:gridSpan w:val="2"/>
            <w:tcBorders>
              <w:top w:val="single" w:sz="4" w:space="0" w:color="auto"/>
              <w:left w:val="nil"/>
              <w:bottom w:val="single" w:sz="4" w:space="0" w:color="auto"/>
              <w:right w:val="single" w:sz="4" w:space="0" w:color="auto"/>
            </w:tcBorders>
            <w:noWrap/>
            <w:vAlign w:val="bottom"/>
            <w:hideMark/>
          </w:tcPr>
          <w:p w14:paraId="7E933CD9" w14:textId="77777777" w:rsidR="00E327DB" w:rsidRPr="008A00D2" w:rsidRDefault="00E327DB" w:rsidP="00317C3C">
            <w:pPr>
              <w:spacing w:before="0" w:after="0" w:line="240" w:lineRule="auto"/>
              <w:jc w:val="center"/>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Project C</w:t>
            </w:r>
          </w:p>
        </w:tc>
      </w:tr>
      <w:tr w:rsidR="00E327DB" w:rsidRPr="008A00D2" w14:paraId="1A119839" w14:textId="77777777" w:rsidTr="00317C3C">
        <w:trPr>
          <w:trHeight w:val="281"/>
        </w:trPr>
        <w:tc>
          <w:tcPr>
            <w:tcW w:w="1615" w:type="dxa"/>
            <w:vMerge/>
            <w:tcBorders>
              <w:top w:val="single" w:sz="4" w:space="0" w:color="auto"/>
              <w:left w:val="single" w:sz="4" w:space="0" w:color="auto"/>
              <w:bottom w:val="single" w:sz="4" w:space="0" w:color="auto"/>
              <w:right w:val="single" w:sz="4" w:space="0" w:color="auto"/>
            </w:tcBorders>
            <w:vAlign w:val="center"/>
            <w:hideMark/>
          </w:tcPr>
          <w:p w14:paraId="17779E5C"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p>
        </w:tc>
        <w:tc>
          <w:tcPr>
            <w:tcW w:w="1869" w:type="dxa"/>
            <w:vMerge/>
            <w:tcBorders>
              <w:top w:val="single" w:sz="4" w:space="0" w:color="auto"/>
              <w:left w:val="single" w:sz="4" w:space="0" w:color="auto"/>
              <w:bottom w:val="single" w:sz="4" w:space="0" w:color="auto"/>
              <w:right w:val="single" w:sz="4" w:space="0" w:color="auto"/>
            </w:tcBorders>
            <w:vAlign w:val="center"/>
            <w:hideMark/>
          </w:tcPr>
          <w:p w14:paraId="6302E1FF"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p>
        </w:tc>
        <w:tc>
          <w:tcPr>
            <w:tcW w:w="1101" w:type="dxa"/>
            <w:tcBorders>
              <w:top w:val="nil"/>
              <w:left w:val="nil"/>
              <w:bottom w:val="single" w:sz="4" w:space="0" w:color="auto"/>
              <w:right w:val="single" w:sz="4" w:space="0" w:color="auto"/>
            </w:tcBorders>
            <w:noWrap/>
            <w:vAlign w:val="bottom"/>
            <w:hideMark/>
          </w:tcPr>
          <w:p w14:paraId="00A4E4C8"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Cash Flow (£m)</w:t>
            </w:r>
          </w:p>
        </w:tc>
        <w:tc>
          <w:tcPr>
            <w:tcW w:w="946" w:type="dxa"/>
            <w:tcBorders>
              <w:top w:val="nil"/>
              <w:left w:val="nil"/>
              <w:bottom w:val="single" w:sz="4" w:space="0" w:color="auto"/>
              <w:right w:val="single" w:sz="4" w:space="0" w:color="auto"/>
            </w:tcBorders>
            <w:noWrap/>
            <w:vAlign w:val="bottom"/>
            <w:hideMark/>
          </w:tcPr>
          <w:p w14:paraId="50E98AC5"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PV (£m)</w:t>
            </w:r>
          </w:p>
        </w:tc>
        <w:tc>
          <w:tcPr>
            <w:tcW w:w="1034" w:type="dxa"/>
            <w:tcBorders>
              <w:top w:val="nil"/>
              <w:left w:val="nil"/>
              <w:bottom w:val="single" w:sz="4" w:space="0" w:color="auto"/>
              <w:right w:val="single" w:sz="4" w:space="0" w:color="auto"/>
            </w:tcBorders>
            <w:noWrap/>
            <w:vAlign w:val="bottom"/>
            <w:hideMark/>
          </w:tcPr>
          <w:p w14:paraId="2A7D97A9"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Cash Flow (£m)</w:t>
            </w:r>
          </w:p>
        </w:tc>
        <w:tc>
          <w:tcPr>
            <w:tcW w:w="1013" w:type="dxa"/>
            <w:tcBorders>
              <w:top w:val="nil"/>
              <w:left w:val="nil"/>
              <w:bottom w:val="single" w:sz="4" w:space="0" w:color="auto"/>
              <w:right w:val="single" w:sz="4" w:space="0" w:color="auto"/>
            </w:tcBorders>
            <w:noWrap/>
            <w:vAlign w:val="bottom"/>
            <w:hideMark/>
          </w:tcPr>
          <w:p w14:paraId="2F300982"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PV (£m)</w:t>
            </w:r>
          </w:p>
        </w:tc>
        <w:tc>
          <w:tcPr>
            <w:tcW w:w="1329" w:type="dxa"/>
            <w:tcBorders>
              <w:top w:val="nil"/>
              <w:left w:val="nil"/>
              <w:bottom w:val="single" w:sz="4" w:space="0" w:color="auto"/>
              <w:right w:val="single" w:sz="4" w:space="0" w:color="auto"/>
            </w:tcBorders>
            <w:noWrap/>
            <w:vAlign w:val="bottom"/>
            <w:hideMark/>
          </w:tcPr>
          <w:p w14:paraId="60E99545"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Cash Flow (£m)</w:t>
            </w:r>
          </w:p>
        </w:tc>
        <w:tc>
          <w:tcPr>
            <w:tcW w:w="718" w:type="dxa"/>
            <w:tcBorders>
              <w:top w:val="nil"/>
              <w:left w:val="nil"/>
              <w:bottom w:val="single" w:sz="4" w:space="0" w:color="auto"/>
              <w:right w:val="single" w:sz="4" w:space="0" w:color="auto"/>
            </w:tcBorders>
            <w:noWrap/>
            <w:vAlign w:val="bottom"/>
            <w:hideMark/>
          </w:tcPr>
          <w:p w14:paraId="7C10581F"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PV (£m)</w:t>
            </w:r>
          </w:p>
        </w:tc>
      </w:tr>
      <w:tr w:rsidR="00E327DB" w:rsidRPr="008A00D2" w14:paraId="257E241D"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30097908"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w:t>
            </w:r>
          </w:p>
        </w:tc>
        <w:tc>
          <w:tcPr>
            <w:tcW w:w="1869" w:type="dxa"/>
            <w:tcBorders>
              <w:top w:val="nil"/>
              <w:left w:val="nil"/>
              <w:bottom w:val="single" w:sz="4" w:space="0" w:color="auto"/>
              <w:right w:val="single" w:sz="4" w:space="0" w:color="auto"/>
            </w:tcBorders>
            <w:noWrap/>
            <w:vAlign w:val="bottom"/>
            <w:hideMark/>
          </w:tcPr>
          <w:p w14:paraId="7674F5D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1.0000</w:t>
            </w:r>
          </w:p>
        </w:tc>
        <w:tc>
          <w:tcPr>
            <w:tcW w:w="1101" w:type="dxa"/>
            <w:tcBorders>
              <w:top w:val="nil"/>
              <w:left w:val="nil"/>
              <w:bottom w:val="single" w:sz="4" w:space="0" w:color="auto"/>
              <w:right w:val="single" w:sz="4" w:space="0" w:color="auto"/>
            </w:tcBorders>
            <w:noWrap/>
            <w:vAlign w:val="bottom"/>
            <w:hideMark/>
          </w:tcPr>
          <w:p w14:paraId="0007C2A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c>
          <w:tcPr>
            <w:tcW w:w="946" w:type="dxa"/>
            <w:tcBorders>
              <w:top w:val="nil"/>
              <w:left w:val="nil"/>
              <w:bottom w:val="single" w:sz="4" w:space="0" w:color="auto"/>
              <w:right w:val="single" w:sz="4" w:space="0" w:color="auto"/>
            </w:tcBorders>
            <w:noWrap/>
            <w:vAlign w:val="bottom"/>
            <w:hideMark/>
          </w:tcPr>
          <w:p w14:paraId="44C22A4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c>
          <w:tcPr>
            <w:tcW w:w="1034" w:type="dxa"/>
            <w:tcBorders>
              <w:top w:val="nil"/>
              <w:left w:val="nil"/>
              <w:bottom w:val="single" w:sz="4" w:space="0" w:color="auto"/>
              <w:right w:val="single" w:sz="4" w:space="0" w:color="auto"/>
            </w:tcBorders>
            <w:noWrap/>
            <w:vAlign w:val="bottom"/>
            <w:hideMark/>
          </w:tcPr>
          <w:p w14:paraId="67DD8BF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c>
          <w:tcPr>
            <w:tcW w:w="1013" w:type="dxa"/>
            <w:tcBorders>
              <w:top w:val="nil"/>
              <w:left w:val="nil"/>
              <w:bottom w:val="single" w:sz="4" w:space="0" w:color="auto"/>
              <w:right w:val="single" w:sz="4" w:space="0" w:color="auto"/>
            </w:tcBorders>
            <w:noWrap/>
            <w:vAlign w:val="bottom"/>
            <w:hideMark/>
          </w:tcPr>
          <w:p w14:paraId="394F487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c>
          <w:tcPr>
            <w:tcW w:w="1329" w:type="dxa"/>
            <w:tcBorders>
              <w:top w:val="nil"/>
              <w:left w:val="nil"/>
              <w:bottom w:val="single" w:sz="4" w:space="0" w:color="auto"/>
              <w:right w:val="single" w:sz="4" w:space="0" w:color="auto"/>
            </w:tcBorders>
            <w:noWrap/>
            <w:vAlign w:val="bottom"/>
            <w:hideMark/>
          </w:tcPr>
          <w:p w14:paraId="319CC15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c>
          <w:tcPr>
            <w:tcW w:w="718" w:type="dxa"/>
            <w:tcBorders>
              <w:top w:val="nil"/>
              <w:left w:val="nil"/>
              <w:bottom w:val="single" w:sz="4" w:space="0" w:color="auto"/>
              <w:right w:val="single" w:sz="4" w:space="0" w:color="auto"/>
            </w:tcBorders>
            <w:noWrap/>
            <w:vAlign w:val="bottom"/>
            <w:hideMark/>
          </w:tcPr>
          <w:p w14:paraId="65B32AC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r>
      <w:tr w:rsidR="00E327DB" w:rsidRPr="008A00D2" w14:paraId="019DA65D"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733C2900"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w:t>
            </w:r>
          </w:p>
        </w:tc>
        <w:tc>
          <w:tcPr>
            <w:tcW w:w="1869" w:type="dxa"/>
            <w:tcBorders>
              <w:top w:val="nil"/>
              <w:left w:val="nil"/>
              <w:bottom w:val="single" w:sz="4" w:space="0" w:color="auto"/>
              <w:right w:val="single" w:sz="4" w:space="0" w:color="auto"/>
            </w:tcBorders>
            <w:noWrap/>
            <w:vAlign w:val="bottom"/>
            <w:hideMark/>
          </w:tcPr>
          <w:p w14:paraId="65FDD53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0.9259</w:t>
            </w:r>
          </w:p>
        </w:tc>
        <w:tc>
          <w:tcPr>
            <w:tcW w:w="1101" w:type="dxa"/>
            <w:tcBorders>
              <w:top w:val="nil"/>
              <w:left w:val="nil"/>
              <w:bottom w:val="single" w:sz="4" w:space="0" w:color="auto"/>
              <w:right w:val="single" w:sz="4" w:space="0" w:color="auto"/>
            </w:tcBorders>
            <w:noWrap/>
            <w:vAlign w:val="bottom"/>
            <w:hideMark/>
          </w:tcPr>
          <w:p w14:paraId="55EA894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w:t>
            </w:r>
          </w:p>
        </w:tc>
        <w:tc>
          <w:tcPr>
            <w:tcW w:w="946" w:type="dxa"/>
            <w:tcBorders>
              <w:top w:val="nil"/>
              <w:left w:val="nil"/>
              <w:bottom w:val="single" w:sz="4" w:space="0" w:color="auto"/>
              <w:right w:val="single" w:sz="4" w:space="0" w:color="auto"/>
            </w:tcBorders>
            <w:noWrap/>
            <w:vAlign w:val="bottom"/>
            <w:hideMark/>
          </w:tcPr>
          <w:p w14:paraId="21A08BB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9.26</w:t>
            </w:r>
          </w:p>
        </w:tc>
        <w:tc>
          <w:tcPr>
            <w:tcW w:w="1034" w:type="dxa"/>
            <w:tcBorders>
              <w:top w:val="nil"/>
              <w:left w:val="nil"/>
              <w:bottom w:val="single" w:sz="4" w:space="0" w:color="auto"/>
              <w:right w:val="single" w:sz="4" w:space="0" w:color="auto"/>
            </w:tcBorders>
            <w:noWrap/>
            <w:vAlign w:val="bottom"/>
            <w:hideMark/>
          </w:tcPr>
          <w:p w14:paraId="271D6E3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w:t>
            </w:r>
          </w:p>
        </w:tc>
        <w:tc>
          <w:tcPr>
            <w:tcW w:w="1013" w:type="dxa"/>
            <w:tcBorders>
              <w:top w:val="nil"/>
              <w:left w:val="nil"/>
              <w:bottom w:val="single" w:sz="4" w:space="0" w:color="auto"/>
              <w:right w:val="single" w:sz="4" w:space="0" w:color="auto"/>
            </w:tcBorders>
            <w:noWrap/>
            <w:vAlign w:val="bottom"/>
            <w:hideMark/>
          </w:tcPr>
          <w:p w14:paraId="2F19C8F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10.19</w:t>
            </w:r>
          </w:p>
        </w:tc>
        <w:tc>
          <w:tcPr>
            <w:tcW w:w="1329" w:type="dxa"/>
            <w:tcBorders>
              <w:top w:val="nil"/>
              <w:left w:val="nil"/>
              <w:bottom w:val="single" w:sz="4" w:space="0" w:color="auto"/>
              <w:right w:val="single" w:sz="4" w:space="0" w:color="auto"/>
            </w:tcBorders>
            <w:noWrap/>
            <w:vAlign w:val="bottom"/>
            <w:hideMark/>
          </w:tcPr>
          <w:p w14:paraId="0B3F59D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w:t>
            </w:r>
          </w:p>
        </w:tc>
        <w:tc>
          <w:tcPr>
            <w:tcW w:w="718" w:type="dxa"/>
            <w:tcBorders>
              <w:top w:val="nil"/>
              <w:left w:val="nil"/>
              <w:bottom w:val="single" w:sz="4" w:space="0" w:color="auto"/>
              <w:right w:val="single" w:sz="4" w:space="0" w:color="auto"/>
            </w:tcBorders>
            <w:noWrap/>
            <w:vAlign w:val="bottom"/>
            <w:hideMark/>
          </w:tcPr>
          <w:p w14:paraId="18654F3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4.63</w:t>
            </w:r>
          </w:p>
        </w:tc>
      </w:tr>
      <w:tr w:rsidR="00E327DB" w:rsidRPr="008A00D2" w14:paraId="15954035"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1803F10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w:t>
            </w:r>
          </w:p>
        </w:tc>
        <w:tc>
          <w:tcPr>
            <w:tcW w:w="1869" w:type="dxa"/>
            <w:tcBorders>
              <w:top w:val="nil"/>
              <w:left w:val="nil"/>
              <w:bottom w:val="single" w:sz="4" w:space="0" w:color="auto"/>
              <w:right w:val="single" w:sz="4" w:space="0" w:color="auto"/>
            </w:tcBorders>
            <w:noWrap/>
            <w:vAlign w:val="bottom"/>
            <w:hideMark/>
          </w:tcPr>
          <w:p w14:paraId="6A42C96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0.8573</w:t>
            </w:r>
          </w:p>
        </w:tc>
        <w:tc>
          <w:tcPr>
            <w:tcW w:w="1101" w:type="dxa"/>
            <w:tcBorders>
              <w:top w:val="nil"/>
              <w:left w:val="nil"/>
              <w:bottom w:val="single" w:sz="4" w:space="0" w:color="auto"/>
              <w:right w:val="single" w:sz="4" w:space="0" w:color="auto"/>
            </w:tcBorders>
            <w:noWrap/>
            <w:vAlign w:val="bottom"/>
            <w:hideMark/>
          </w:tcPr>
          <w:p w14:paraId="1F353F5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12</w:t>
            </w:r>
          </w:p>
        </w:tc>
        <w:tc>
          <w:tcPr>
            <w:tcW w:w="946" w:type="dxa"/>
            <w:tcBorders>
              <w:top w:val="nil"/>
              <w:left w:val="nil"/>
              <w:bottom w:val="single" w:sz="4" w:space="0" w:color="auto"/>
              <w:right w:val="single" w:sz="4" w:space="0" w:color="auto"/>
            </w:tcBorders>
            <w:noWrap/>
            <w:vAlign w:val="bottom"/>
            <w:hideMark/>
          </w:tcPr>
          <w:p w14:paraId="58CA956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10.29</w:t>
            </w:r>
          </w:p>
        </w:tc>
        <w:tc>
          <w:tcPr>
            <w:tcW w:w="1034" w:type="dxa"/>
            <w:tcBorders>
              <w:top w:val="nil"/>
              <w:left w:val="nil"/>
              <w:bottom w:val="single" w:sz="4" w:space="0" w:color="auto"/>
              <w:right w:val="single" w:sz="4" w:space="0" w:color="auto"/>
            </w:tcBorders>
            <w:noWrap/>
            <w:vAlign w:val="bottom"/>
            <w:hideMark/>
          </w:tcPr>
          <w:p w14:paraId="6ED2C39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w:t>
            </w:r>
          </w:p>
        </w:tc>
        <w:tc>
          <w:tcPr>
            <w:tcW w:w="1013" w:type="dxa"/>
            <w:tcBorders>
              <w:top w:val="nil"/>
              <w:left w:val="nil"/>
              <w:bottom w:val="single" w:sz="4" w:space="0" w:color="auto"/>
              <w:right w:val="single" w:sz="4" w:space="0" w:color="auto"/>
            </w:tcBorders>
            <w:noWrap/>
            <w:vAlign w:val="bottom"/>
            <w:hideMark/>
          </w:tcPr>
          <w:p w14:paraId="26A59D7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9.43</w:t>
            </w:r>
          </w:p>
        </w:tc>
        <w:tc>
          <w:tcPr>
            <w:tcW w:w="1329" w:type="dxa"/>
            <w:tcBorders>
              <w:top w:val="nil"/>
              <w:left w:val="nil"/>
              <w:bottom w:val="single" w:sz="4" w:space="0" w:color="auto"/>
              <w:right w:val="single" w:sz="4" w:space="0" w:color="auto"/>
            </w:tcBorders>
            <w:noWrap/>
            <w:vAlign w:val="bottom"/>
            <w:hideMark/>
          </w:tcPr>
          <w:p w14:paraId="3A97C28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w:t>
            </w:r>
          </w:p>
        </w:tc>
        <w:tc>
          <w:tcPr>
            <w:tcW w:w="718" w:type="dxa"/>
            <w:tcBorders>
              <w:top w:val="nil"/>
              <w:left w:val="nil"/>
              <w:bottom w:val="single" w:sz="4" w:space="0" w:color="auto"/>
              <w:right w:val="single" w:sz="4" w:space="0" w:color="auto"/>
            </w:tcBorders>
            <w:noWrap/>
            <w:vAlign w:val="bottom"/>
            <w:hideMark/>
          </w:tcPr>
          <w:p w14:paraId="6B0E105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8.57</w:t>
            </w:r>
          </w:p>
        </w:tc>
      </w:tr>
      <w:tr w:rsidR="00E327DB" w:rsidRPr="008A00D2" w14:paraId="30741264"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19CCF511"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w:t>
            </w:r>
          </w:p>
        </w:tc>
        <w:tc>
          <w:tcPr>
            <w:tcW w:w="1869" w:type="dxa"/>
            <w:tcBorders>
              <w:top w:val="nil"/>
              <w:left w:val="nil"/>
              <w:bottom w:val="single" w:sz="4" w:space="0" w:color="auto"/>
              <w:right w:val="single" w:sz="4" w:space="0" w:color="auto"/>
            </w:tcBorders>
            <w:noWrap/>
            <w:vAlign w:val="bottom"/>
            <w:hideMark/>
          </w:tcPr>
          <w:p w14:paraId="66E24F6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0.7938</w:t>
            </w:r>
          </w:p>
        </w:tc>
        <w:tc>
          <w:tcPr>
            <w:tcW w:w="1101" w:type="dxa"/>
            <w:tcBorders>
              <w:top w:val="nil"/>
              <w:left w:val="nil"/>
              <w:bottom w:val="single" w:sz="4" w:space="0" w:color="auto"/>
              <w:right w:val="single" w:sz="4" w:space="0" w:color="auto"/>
            </w:tcBorders>
            <w:noWrap/>
            <w:vAlign w:val="bottom"/>
            <w:hideMark/>
          </w:tcPr>
          <w:p w14:paraId="130D5ED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14</w:t>
            </w:r>
          </w:p>
        </w:tc>
        <w:tc>
          <w:tcPr>
            <w:tcW w:w="946" w:type="dxa"/>
            <w:tcBorders>
              <w:top w:val="nil"/>
              <w:left w:val="nil"/>
              <w:bottom w:val="single" w:sz="4" w:space="0" w:color="auto"/>
              <w:right w:val="single" w:sz="4" w:space="0" w:color="auto"/>
            </w:tcBorders>
            <w:noWrap/>
            <w:vAlign w:val="bottom"/>
            <w:hideMark/>
          </w:tcPr>
          <w:p w14:paraId="02FD177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11.11</w:t>
            </w:r>
          </w:p>
        </w:tc>
        <w:tc>
          <w:tcPr>
            <w:tcW w:w="1034" w:type="dxa"/>
            <w:tcBorders>
              <w:top w:val="nil"/>
              <w:left w:val="nil"/>
              <w:bottom w:val="single" w:sz="4" w:space="0" w:color="auto"/>
              <w:right w:val="single" w:sz="4" w:space="0" w:color="auto"/>
            </w:tcBorders>
            <w:noWrap/>
            <w:vAlign w:val="bottom"/>
            <w:hideMark/>
          </w:tcPr>
          <w:p w14:paraId="4279AEC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w:t>
            </w:r>
          </w:p>
        </w:tc>
        <w:tc>
          <w:tcPr>
            <w:tcW w:w="1013" w:type="dxa"/>
            <w:tcBorders>
              <w:top w:val="nil"/>
              <w:left w:val="nil"/>
              <w:bottom w:val="single" w:sz="4" w:space="0" w:color="auto"/>
              <w:right w:val="single" w:sz="4" w:space="0" w:color="auto"/>
            </w:tcBorders>
            <w:noWrap/>
            <w:vAlign w:val="bottom"/>
            <w:hideMark/>
          </w:tcPr>
          <w:p w14:paraId="513403B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8.73</w:t>
            </w:r>
          </w:p>
        </w:tc>
        <w:tc>
          <w:tcPr>
            <w:tcW w:w="1329" w:type="dxa"/>
            <w:tcBorders>
              <w:top w:val="nil"/>
              <w:left w:val="nil"/>
              <w:bottom w:val="single" w:sz="4" w:space="0" w:color="auto"/>
              <w:right w:val="single" w:sz="4" w:space="0" w:color="auto"/>
            </w:tcBorders>
            <w:noWrap/>
            <w:vAlign w:val="bottom"/>
            <w:hideMark/>
          </w:tcPr>
          <w:p w14:paraId="5380072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w:t>
            </w:r>
          </w:p>
        </w:tc>
        <w:tc>
          <w:tcPr>
            <w:tcW w:w="718" w:type="dxa"/>
            <w:tcBorders>
              <w:top w:val="nil"/>
              <w:left w:val="nil"/>
              <w:bottom w:val="single" w:sz="4" w:space="0" w:color="auto"/>
              <w:right w:val="single" w:sz="4" w:space="0" w:color="auto"/>
            </w:tcBorders>
            <w:noWrap/>
            <w:vAlign w:val="bottom"/>
            <w:hideMark/>
          </w:tcPr>
          <w:p w14:paraId="71A05F4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15.88</w:t>
            </w:r>
          </w:p>
        </w:tc>
      </w:tr>
      <w:tr w:rsidR="00E327DB" w:rsidRPr="008A00D2" w14:paraId="723EA0E8"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6FF259DF"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w:t>
            </w:r>
          </w:p>
        </w:tc>
        <w:tc>
          <w:tcPr>
            <w:tcW w:w="1869" w:type="dxa"/>
            <w:tcBorders>
              <w:top w:val="nil"/>
              <w:left w:val="nil"/>
              <w:bottom w:val="single" w:sz="4" w:space="0" w:color="auto"/>
              <w:right w:val="single" w:sz="4" w:space="0" w:color="auto"/>
            </w:tcBorders>
            <w:noWrap/>
            <w:vAlign w:val="bottom"/>
            <w:hideMark/>
          </w:tcPr>
          <w:p w14:paraId="3F6EAE2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0.7350</w:t>
            </w:r>
          </w:p>
        </w:tc>
        <w:tc>
          <w:tcPr>
            <w:tcW w:w="1101" w:type="dxa"/>
            <w:tcBorders>
              <w:top w:val="nil"/>
              <w:left w:val="nil"/>
              <w:bottom w:val="single" w:sz="4" w:space="0" w:color="auto"/>
              <w:right w:val="single" w:sz="4" w:space="0" w:color="auto"/>
            </w:tcBorders>
            <w:noWrap/>
            <w:vAlign w:val="bottom"/>
            <w:hideMark/>
          </w:tcPr>
          <w:p w14:paraId="141C0EF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w:t>
            </w:r>
          </w:p>
        </w:tc>
        <w:tc>
          <w:tcPr>
            <w:tcW w:w="946" w:type="dxa"/>
            <w:tcBorders>
              <w:top w:val="nil"/>
              <w:left w:val="nil"/>
              <w:bottom w:val="single" w:sz="4" w:space="0" w:color="auto"/>
              <w:right w:val="single" w:sz="4" w:space="0" w:color="auto"/>
            </w:tcBorders>
            <w:noWrap/>
            <w:vAlign w:val="bottom"/>
            <w:hideMark/>
          </w:tcPr>
          <w:p w14:paraId="1377232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7.35</w:t>
            </w:r>
          </w:p>
        </w:tc>
        <w:tc>
          <w:tcPr>
            <w:tcW w:w="1034" w:type="dxa"/>
            <w:tcBorders>
              <w:top w:val="nil"/>
              <w:left w:val="nil"/>
              <w:bottom w:val="single" w:sz="4" w:space="0" w:color="auto"/>
              <w:right w:val="single" w:sz="4" w:space="0" w:color="auto"/>
            </w:tcBorders>
            <w:noWrap/>
            <w:vAlign w:val="bottom"/>
            <w:hideMark/>
          </w:tcPr>
          <w:p w14:paraId="5C8C479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w:t>
            </w:r>
          </w:p>
        </w:tc>
        <w:tc>
          <w:tcPr>
            <w:tcW w:w="1013" w:type="dxa"/>
            <w:tcBorders>
              <w:top w:val="nil"/>
              <w:left w:val="nil"/>
              <w:bottom w:val="single" w:sz="4" w:space="0" w:color="auto"/>
              <w:right w:val="single" w:sz="4" w:space="0" w:color="auto"/>
            </w:tcBorders>
            <w:noWrap/>
            <w:vAlign w:val="bottom"/>
            <w:hideMark/>
          </w:tcPr>
          <w:p w14:paraId="0CA33D1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8.09</w:t>
            </w:r>
          </w:p>
        </w:tc>
        <w:tc>
          <w:tcPr>
            <w:tcW w:w="1329" w:type="dxa"/>
            <w:tcBorders>
              <w:top w:val="nil"/>
              <w:left w:val="nil"/>
              <w:bottom w:val="single" w:sz="4" w:space="0" w:color="auto"/>
              <w:right w:val="single" w:sz="4" w:space="0" w:color="auto"/>
            </w:tcBorders>
            <w:noWrap/>
            <w:vAlign w:val="bottom"/>
            <w:hideMark/>
          </w:tcPr>
          <w:p w14:paraId="6D6AFE3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25</w:t>
            </w:r>
          </w:p>
        </w:tc>
        <w:tc>
          <w:tcPr>
            <w:tcW w:w="718" w:type="dxa"/>
            <w:tcBorders>
              <w:top w:val="nil"/>
              <w:left w:val="nil"/>
              <w:bottom w:val="single" w:sz="4" w:space="0" w:color="auto"/>
              <w:right w:val="single" w:sz="4" w:space="0" w:color="auto"/>
            </w:tcBorders>
            <w:noWrap/>
            <w:vAlign w:val="bottom"/>
            <w:hideMark/>
          </w:tcPr>
          <w:p w14:paraId="3CA71E3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18.38</w:t>
            </w:r>
          </w:p>
        </w:tc>
      </w:tr>
      <w:tr w:rsidR="00E327DB" w:rsidRPr="008A00D2" w14:paraId="4A93E08D"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67AFD353"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w:t>
            </w:r>
          </w:p>
        </w:tc>
        <w:tc>
          <w:tcPr>
            <w:tcW w:w="1869" w:type="dxa"/>
            <w:tcBorders>
              <w:top w:val="nil"/>
              <w:left w:val="nil"/>
              <w:bottom w:val="single" w:sz="4" w:space="0" w:color="auto"/>
              <w:right w:val="single" w:sz="4" w:space="0" w:color="auto"/>
            </w:tcBorders>
            <w:noWrap/>
            <w:vAlign w:val="bottom"/>
            <w:hideMark/>
          </w:tcPr>
          <w:p w14:paraId="5F4AF87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0.6806</w:t>
            </w:r>
          </w:p>
        </w:tc>
        <w:tc>
          <w:tcPr>
            <w:tcW w:w="1101" w:type="dxa"/>
            <w:tcBorders>
              <w:top w:val="nil"/>
              <w:left w:val="nil"/>
              <w:bottom w:val="single" w:sz="4" w:space="0" w:color="auto"/>
              <w:right w:val="single" w:sz="4" w:space="0" w:color="auto"/>
            </w:tcBorders>
            <w:noWrap/>
            <w:vAlign w:val="bottom"/>
            <w:hideMark/>
          </w:tcPr>
          <w:p w14:paraId="5A2B850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w:t>
            </w:r>
          </w:p>
        </w:tc>
        <w:tc>
          <w:tcPr>
            <w:tcW w:w="946" w:type="dxa"/>
            <w:tcBorders>
              <w:top w:val="nil"/>
              <w:left w:val="nil"/>
              <w:bottom w:val="single" w:sz="4" w:space="0" w:color="auto"/>
              <w:right w:val="single" w:sz="4" w:space="0" w:color="auto"/>
            </w:tcBorders>
            <w:noWrap/>
            <w:vAlign w:val="bottom"/>
            <w:hideMark/>
          </w:tcPr>
          <w:p w14:paraId="529AA75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5.44</w:t>
            </w:r>
          </w:p>
        </w:tc>
        <w:tc>
          <w:tcPr>
            <w:tcW w:w="1034" w:type="dxa"/>
            <w:tcBorders>
              <w:top w:val="nil"/>
              <w:left w:val="nil"/>
              <w:bottom w:val="single" w:sz="4" w:space="0" w:color="auto"/>
              <w:right w:val="single" w:sz="4" w:space="0" w:color="auto"/>
            </w:tcBorders>
            <w:noWrap/>
            <w:vAlign w:val="bottom"/>
            <w:hideMark/>
          </w:tcPr>
          <w:p w14:paraId="1213B4D7"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w:t>
            </w:r>
          </w:p>
        </w:tc>
        <w:tc>
          <w:tcPr>
            <w:tcW w:w="1013" w:type="dxa"/>
            <w:tcBorders>
              <w:top w:val="nil"/>
              <w:left w:val="nil"/>
              <w:bottom w:val="single" w:sz="4" w:space="0" w:color="auto"/>
              <w:right w:val="single" w:sz="4" w:space="0" w:color="auto"/>
            </w:tcBorders>
            <w:noWrap/>
            <w:vAlign w:val="bottom"/>
            <w:hideMark/>
          </w:tcPr>
          <w:p w14:paraId="190D60F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7.49</w:t>
            </w:r>
          </w:p>
        </w:tc>
        <w:tc>
          <w:tcPr>
            <w:tcW w:w="1329" w:type="dxa"/>
            <w:tcBorders>
              <w:top w:val="nil"/>
              <w:left w:val="nil"/>
              <w:bottom w:val="single" w:sz="4" w:space="0" w:color="auto"/>
              <w:right w:val="single" w:sz="4" w:space="0" w:color="auto"/>
            </w:tcBorders>
            <w:noWrap/>
            <w:vAlign w:val="bottom"/>
            <w:hideMark/>
          </w:tcPr>
          <w:p w14:paraId="314DBAC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w:t>
            </w:r>
          </w:p>
        </w:tc>
        <w:tc>
          <w:tcPr>
            <w:tcW w:w="718" w:type="dxa"/>
            <w:tcBorders>
              <w:top w:val="nil"/>
              <w:left w:val="nil"/>
              <w:bottom w:val="single" w:sz="4" w:space="0" w:color="auto"/>
              <w:right w:val="single" w:sz="4" w:space="0" w:color="auto"/>
            </w:tcBorders>
            <w:noWrap/>
            <w:vAlign w:val="bottom"/>
            <w:hideMark/>
          </w:tcPr>
          <w:p w14:paraId="0E04008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3.4</w:t>
            </w:r>
          </w:p>
        </w:tc>
      </w:tr>
      <w:tr w:rsidR="00E327DB" w:rsidRPr="008A00D2" w14:paraId="186DEEB7"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261A67F4"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Total PV of inflows</w:t>
            </w:r>
          </w:p>
        </w:tc>
        <w:tc>
          <w:tcPr>
            <w:tcW w:w="1869" w:type="dxa"/>
            <w:tcBorders>
              <w:top w:val="nil"/>
              <w:left w:val="nil"/>
              <w:bottom w:val="single" w:sz="4" w:space="0" w:color="auto"/>
              <w:right w:val="single" w:sz="4" w:space="0" w:color="auto"/>
            </w:tcBorders>
            <w:noWrap/>
            <w:vAlign w:val="bottom"/>
            <w:hideMark/>
          </w:tcPr>
          <w:p w14:paraId="5E12B03D"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c>
          <w:tcPr>
            <w:tcW w:w="1101" w:type="dxa"/>
            <w:tcBorders>
              <w:top w:val="nil"/>
              <w:left w:val="nil"/>
              <w:bottom w:val="single" w:sz="4" w:space="0" w:color="auto"/>
              <w:right w:val="single" w:sz="4" w:space="0" w:color="auto"/>
            </w:tcBorders>
            <w:noWrap/>
            <w:vAlign w:val="bottom"/>
            <w:hideMark/>
          </w:tcPr>
          <w:p w14:paraId="0E0001A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54</w:t>
            </w:r>
          </w:p>
        </w:tc>
        <w:tc>
          <w:tcPr>
            <w:tcW w:w="946" w:type="dxa"/>
            <w:tcBorders>
              <w:top w:val="nil"/>
              <w:left w:val="nil"/>
              <w:bottom w:val="single" w:sz="4" w:space="0" w:color="auto"/>
              <w:right w:val="single" w:sz="4" w:space="0" w:color="auto"/>
            </w:tcBorders>
            <w:noWrap/>
            <w:vAlign w:val="bottom"/>
            <w:hideMark/>
          </w:tcPr>
          <w:p w14:paraId="314B65C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43.45</w:t>
            </w:r>
          </w:p>
        </w:tc>
        <w:tc>
          <w:tcPr>
            <w:tcW w:w="1034" w:type="dxa"/>
            <w:tcBorders>
              <w:top w:val="nil"/>
              <w:left w:val="nil"/>
              <w:bottom w:val="single" w:sz="4" w:space="0" w:color="auto"/>
              <w:right w:val="single" w:sz="4" w:space="0" w:color="auto"/>
            </w:tcBorders>
            <w:noWrap/>
            <w:vAlign w:val="bottom"/>
            <w:hideMark/>
          </w:tcPr>
          <w:p w14:paraId="348CCA3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55</w:t>
            </w:r>
          </w:p>
        </w:tc>
        <w:tc>
          <w:tcPr>
            <w:tcW w:w="1013" w:type="dxa"/>
            <w:tcBorders>
              <w:top w:val="nil"/>
              <w:left w:val="nil"/>
              <w:bottom w:val="single" w:sz="4" w:space="0" w:color="auto"/>
              <w:right w:val="single" w:sz="4" w:space="0" w:color="auto"/>
            </w:tcBorders>
            <w:noWrap/>
            <w:vAlign w:val="bottom"/>
            <w:hideMark/>
          </w:tcPr>
          <w:p w14:paraId="1836F6B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43.93</w:t>
            </w:r>
          </w:p>
        </w:tc>
        <w:tc>
          <w:tcPr>
            <w:tcW w:w="1329" w:type="dxa"/>
            <w:tcBorders>
              <w:top w:val="nil"/>
              <w:left w:val="nil"/>
              <w:bottom w:val="single" w:sz="4" w:space="0" w:color="auto"/>
              <w:right w:val="single" w:sz="4" w:space="0" w:color="auto"/>
            </w:tcBorders>
            <w:noWrap/>
            <w:vAlign w:val="bottom"/>
            <w:hideMark/>
          </w:tcPr>
          <w:p w14:paraId="0FA4076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65</w:t>
            </w:r>
          </w:p>
        </w:tc>
        <w:tc>
          <w:tcPr>
            <w:tcW w:w="718" w:type="dxa"/>
            <w:tcBorders>
              <w:top w:val="nil"/>
              <w:left w:val="nil"/>
              <w:bottom w:val="single" w:sz="4" w:space="0" w:color="auto"/>
              <w:right w:val="single" w:sz="4" w:space="0" w:color="auto"/>
            </w:tcBorders>
            <w:noWrap/>
            <w:vAlign w:val="bottom"/>
            <w:hideMark/>
          </w:tcPr>
          <w:p w14:paraId="22BBC47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50.86</w:t>
            </w:r>
          </w:p>
        </w:tc>
      </w:tr>
      <w:tr w:rsidR="00E327DB" w:rsidRPr="008A00D2" w14:paraId="30DB970A"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4C6BAD42"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NPV</w:t>
            </w:r>
          </w:p>
        </w:tc>
        <w:tc>
          <w:tcPr>
            <w:tcW w:w="1869" w:type="dxa"/>
            <w:tcBorders>
              <w:top w:val="nil"/>
              <w:left w:val="nil"/>
              <w:bottom w:val="single" w:sz="4" w:space="0" w:color="auto"/>
              <w:right w:val="single" w:sz="4" w:space="0" w:color="auto"/>
            </w:tcBorders>
            <w:noWrap/>
            <w:vAlign w:val="bottom"/>
            <w:hideMark/>
          </w:tcPr>
          <w:p w14:paraId="59E2A174"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c>
          <w:tcPr>
            <w:tcW w:w="1101" w:type="dxa"/>
            <w:tcBorders>
              <w:top w:val="nil"/>
              <w:left w:val="nil"/>
              <w:bottom w:val="single" w:sz="4" w:space="0" w:color="auto"/>
              <w:right w:val="single" w:sz="4" w:space="0" w:color="auto"/>
            </w:tcBorders>
            <w:noWrap/>
            <w:vAlign w:val="bottom"/>
            <w:hideMark/>
          </w:tcPr>
          <w:p w14:paraId="6658CF3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c>
          <w:tcPr>
            <w:tcW w:w="946" w:type="dxa"/>
            <w:tcBorders>
              <w:top w:val="nil"/>
              <w:left w:val="nil"/>
              <w:bottom w:val="single" w:sz="4" w:space="0" w:color="auto"/>
              <w:right w:val="single" w:sz="4" w:space="0" w:color="auto"/>
            </w:tcBorders>
            <w:noWrap/>
            <w:vAlign w:val="bottom"/>
            <w:hideMark/>
          </w:tcPr>
          <w:p w14:paraId="7813007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-6.55</w:t>
            </w:r>
          </w:p>
        </w:tc>
        <w:tc>
          <w:tcPr>
            <w:tcW w:w="1034" w:type="dxa"/>
            <w:tcBorders>
              <w:top w:val="nil"/>
              <w:left w:val="nil"/>
              <w:bottom w:val="single" w:sz="4" w:space="0" w:color="auto"/>
              <w:right w:val="single" w:sz="4" w:space="0" w:color="auto"/>
            </w:tcBorders>
            <w:noWrap/>
            <w:vAlign w:val="bottom"/>
            <w:hideMark/>
          </w:tcPr>
          <w:p w14:paraId="0C04F27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c>
          <w:tcPr>
            <w:tcW w:w="1013" w:type="dxa"/>
            <w:tcBorders>
              <w:top w:val="nil"/>
              <w:left w:val="nil"/>
              <w:bottom w:val="single" w:sz="4" w:space="0" w:color="auto"/>
              <w:right w:val="single" w:sz="4" w:space="0" w:color="auto"/>
            </w:tcBorders>
            <w:noWrap/>
            <w:vAlign w:val="bottom"/>
            <w:hideMark/>
          </w:tcPr>
          <w:p w14:paraId="34D6FCE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-6.07</w:t>
            </w:r>
          </w:p>
        </w:tc>
        <w:tc>
          <w:tcPr>
            <w:tcW w:w="1329" w:type="dxa"/>
            <w:tcBorders>
              <w:top w:val="nil"/>
              <w:left w:val="nil"/>
              <w:bottom w:val="single" w:sz="4" w:space="0" w:color="auto"/>
              <w:right w:val="single" w:sz="4" w:space="0" w:color="auto"/>
            </w:tcBorders>
            <w:noWrap/>
            <w:vAlign w:val="bottom"/>
            <w:hideMark/>
          </w:tcPr>
          <w:p w14:paraId="36AFECF3"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c>
          <w:tcPr>
            <w:tcW w:w="718" w:type="dxa"/>
            <w:tcBorders>
              <w:top w:val="nil"/>
              <w:left w:val="nil"/>
              <w:bottom w:val="single" w:sz="4" w:space="0" w:color="auto"/>
              <w:right w:val="single" w:sz="4" w:space="0" w:color="auto"/>
            </w:tcBorders>
            <w:noWrap/>
            <w:vAlign w:val="bottom"/>
            <w:hideMark/>
          </w:tcPr>
          <w:p w14:paraId="1621FC5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0.86</w:t>
            </w:r>
          </w:p>
        </w:tc>
      </w:tr>
      <w:tr w:rsidR="00E327DB" w:rsidRPr="008A00D2" w14:paraId="15E59DE2" w14:textId="77777777" w:rsidTr="00317C3C">
        <w:trPr>
          <w:trHeight w:val="281"/>
        </w:trPr>
        <w:tc>
          <w:tcPr>
            <w:tcW w:w="1615" w:type="dxa"/>
            <w:tcBorders>
              <w:top w:val="nil"/>
              <w:left w:val="single" w:sz="4" w:space="0" w:color="auto"/>
              <w:bottom w:val="single" w:sz="4" w:space="0" w:color="auto"/>
              <w:right w:val="single" w:sz="4" w:space="0" w:color="auto"/>
            </w:tcBorders>
            <w:noWrap/>
            <w:vAlign w:val="bottom"/>
            <w:hideMark/>
          </w:tcPr>
          <w:p w14:paraId="733E1BE4"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Accounting profit</w:t>
            </w:r>
          </w:p>
        </w:tc>
        <w:tc>
          <w:tcPr>
            <w:tcW w:w="1869" w:type="dxa"/>
            <w:tcBorders>
              <w:top w:val="nil"/>
              <w:left w:val="nil"/>
              <w:bottom w:val="single" w:sz="4" w:space="0" w:color="auto"/>
              <w:right w:val="single" w:sz="4" w:space="0" w:color="auto"/>
            </w:tcBorders>
            <w:noWrap/>
            <w:vAlign w:val="bottom"/>
            <w:hideMark/>
          </w:tcPr>
          <w:p w14:paraId="30C1020D"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c>
          <w:tcPr>
            <w:tcW w:w="1101" w:type="dxa"/>
            <w:tcBorders>
              <w:top w:val="nil"/>
              <w:left w:val="nil"/>
              <w:bottom w:val="single" w:sz="4" w:space="0" w:color="auto"/>
              <w:right w:val="single" w:sz="4" w:space="0" w:color="auto"/>
            </w:tcBorders>
            <w:noWrap/>
            <w:vAlign w:val="bottom"/>
            <w:hideMark/>
          </w:tcPr>
          <w:p w14:paraId="777868E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w:t>
            </w:r>
          </w:p>
        </w:tc>
        <w:tc>
          <w:tcPr>
            <w:tcW w:w="946" w:type="dxa"/>
            <w:tcBorders>
              <w:top w:val="nil"/>
              <w:left w:val="nil"/>
              <w:bottom w:val="single" w:sz="4" w:space="0" w:color="auto"/>
              <w:right w:val="single" w:sz="4" w:space="0" w:color="auto"/>
            </w:tcBorders>
            <w:noWrap/>
            <w:vAlign w:val="bottom"/>
            <w:hideMark/>
          </w:tcPr>
          <w:p w14:paraId="615CC732"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c>
          <w:tcPr>
            <w:tcW w:w="1034" w:type="dxa"/>
            <w:tcBorders>
              <w:top w:val="nil"/>
              <w:left w:val="nil"/>
              <w:bottom w:val="single" w:sz="4" w:space="0" w:color="auto"/>
              <w:right w:val="single" w:sz="4" w:space="0" w:color="auto"/>
            </w:tcBorders>
            <w:noWrap/>
            <w:vAlign w:val="bottom"/>
            <w:hideMark/>
          </w:tcPr>
          <w:p w14:paraId="3F52B76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w:t>
            </w:r>
          </w:p>
        </w:tc>
        <w:tc>
          <w:tcPr>
            <w:tcW w:w="1013" w:type="dxa"/>
            <w:tcBorders>
              <w:top w:val="nil"/>
              <w:left w:val="nil"/>
              <w:bottom w:val="single" w:sz="4" w:space="0" w:color="auto"/>
              <w:right w:val="single" w:sz="4" w:space="0" w:color="auto"/>
            </w:tcBorders>
            <w:noWrap/>
            <w:vAlign w:val="bottom"/>
            <w:hideMark/>
          </w:tcPr>
          <w:p w14:paraId="63520BD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c>
          <w:tcPr>
            <w:tcW w:w="1329" w:type="dxa"/>
            <w:tcBorders>
              <w:top w:val="nil"/>
              <w:left w:val="nil"/>
              <w:bottom w:val="single" w:sz="4" w:space="0" w:color="auto"/>
              <w:right w:val="single" w:sz="4" w:space="0" w:color="auto"/>
            </w:tcBorders>
            <w:noWrap/>
            <w:vAlign w:val="bottom"/>
            <w:hideMark/>
          </w:tcPr>
          <w:p w14:paraId="5D9DC7E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15</w:t>
            </w:r>
          </w:p>
        </w:tc>
        <w:tc>
          <w:tcPr>
            <w:tcW w:w="718" w:type="dxa"/>
            <w:tcBorders>
              <w:top w:val="nil"/>
              <w:left w:val="nil"/>
              <w:bottom w:val="single" w:sz="4" w:space="0" w:color="auto"/>
              <w:right w:val="single" w:sz="4" w:space="0" w:color="auto"/>
            </w:tcBorders>
            <w:noWrap/>
            <w:vAlign w:val="bottom"/>
            <w:hideMark/>
          </w:tcPr>
          <w:p w14:paraId="090B69C7"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w:t>
            </w:r>
          </w:p>
        </w:tc>
      </w:tr>
    </w:tbl>
    <w:p w14:paraId="5915E5B9" w14:textId="77777777" w:rsidR="00E327DB" w:rsidRPr="008A00D2" w:rsidRDefault="00E327DB" w:rsidP="00E327DB">
      <w:pPr>
        <w:rPr>
          <w:lang w:val="en-GB"/>
        </w:rPr>
      </w:pPr>
    </w:p>
    <w:tbl>
      <w:tblPr>
        <w:tblW w:w="0" w:type="auto"/>
        <w:jc w:val="center"/>
        <w:tblLook w:val="04A0" w:firstRow="1" w:lastRow="0" w:firstColumn="1" w:lastColumn="0" w:noHBand="0" w:noVBand="1"/>
      </w:tblPr>
      <w:tblGrid>
        <w:gridCol w:w="3657"/>
        <w:gridCol w:w="1048"/>
        <w:gridCol w:w="1038"/>
        <w:gridCol w:w="1032"/>
      </w:tblGrid>
      <w:tr w:rsidR="00E327DB" w:rsidRPr="008A00D2" w14:paraId="3E267AB1" w14:textId="77777777" w:rsidTr="00317C3C">
        <w:trPr>
          <w:trHeight w:val="288"/>
          <w:jc w:val="center"/>
        </w:trPr>
        <w:tc>
          <w:tcPr>
            <w:tcW w:w="0" w:type="auto"/>
            <w:tcBorders>
              <w:top w:val="single" w:sz="4" w:space="0" w:color="auto"/>
              <w:left w:val="single" w:sz="4" w:space="0" w:color="auto"/>
              <w:bottom w:val="single" w:sz="4" w:space="0" w:color="auto"/>
              <w:right w:val="single" w:sz="4" w:space="0" w:color="auto"/>
            </w:tcBorders>
            <w:noWrap/>
            <w:vAlign w:val="bottom"/>
            <w:hideMark/>
          </w:tcPr>
          <w:p w14:paraId="1E7E4D0D"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Investment appraisal measure</w:t>
            </w:r>
          </w:p>
        </w:tc>
        <w:tc>
          <w:tcPr>
            <w:tcW w:w="0" w:type="auto"/>
            <w:tcBorders>
              <w:top w:val="single" w:sz="4" w:space="0" w:color="auto"/>
              <w:left w:val="nil"/>
              <w:bottom w:val="single" w:sz="4" w:space="0" w:color="auto"/>
              <w:right w:val="single" w:sz="4" w:space="0" w:color="auto"/>
            </w:tcBorders>
            <w:noWrap/>
            <w:vAlign w:val="bottom"/>
            <w:hideMark/>
          </w:tcPr>
          <w:p w14:paraId="6E5EA364"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Project A</w:t>
            </w:r>
          </w:p>
        </w:tc>
        <w:tc>
          <w:tcPr>
            <w:tcW w:w="0" w:type="auto"/>
            <w:tcBorders>
              <w:top w:val="single" w:sz="4" w:space="0" w:color="auto"/>
              <w:left w:val="nil"/>
              <w:bottom w:val="single" w:sz="4" w:space="0" w:color="auto"/>
              <w:right w:val="single" w:sz="4" w:space="0" w:color="auto"/>
            </w:tcBorders>
            <w:noWrap/>
            <w:vAlign w:val="bottom"/>
            <w:hideMark/>
          </w:tcPr>
          <w:p w14:paraId="3FAF31F5"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Project B</w:t>
            </w:r>
          </w:p>
        </w:tc>
        <w:tc>
          <w:tcPr>
            <w:tcW w:w="0" w:type="auto"/>
            <w:tcBorders>
              <w:top w:val="single" w:sz="4" w:space="0" w:color="auto"/>
              <w:left w:val="nil"/>
              <w:bottom w:val="single" w:sz="4" w:space="0" w:color="auto"/>
              <w:right w:val="single" w:sz="4" w:space="0" w:color="auto"/>
            </w:tcBorders>
            <w:noWrap/>
            <w:vAlign w:val="bottom"/>
            <w:hideMark/>
          </w:tcPr>
          <w:p w14:paraId="3F1C5CF2"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Project C</w:t>
            </w:r>
          </w:p>
        </w:tc>
      </w:tr>
      <w:tr w:rsidR="00E327DB" w:rsidRPr="008A00D2" w14:paraId="7E16B07B"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653DBCC7"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Initial investment (£m)</w:t>
            </w:r>
          </w:p>
        </w:tc>
        <w:tc>
          <w:tcPr>
            <w:tcW w:w="0" w:type="auto"/>
            <w:tcBorders>
              <w:top w:val="nil"/>
              <w:left w:val="nil"/>
              <w:bottom w:val="single" w:sz="4" w:space="0" w:color="auto"/>
              <w:right w:val="single" w:sz="4" w:space="0" w:color="auto"/>
            </w:tcBorders>
            <w:noWrap/>
            <w:vAlign w:val="bottom"/>
            <w:hideMark/>
          </w:tcPr>
          <w:p w14:paraId="0C800E64"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c>
          <w:tcPr>
            <w:tcW w:w="0" w:type="auto"/>
            <w:tcBorders>
              <w:top w:val="nil"/>
              <w:left w:val="nil"/>
              <w:bottom w:val="single" w:sz="4" w:space="0" w:color="auto"/>
              <w:right w:val="single" w:sz="4" w:space="0" w:color="auto"/>
            </w:tcBorders>
            <w:noWrap/>
            <w:vAlign w:val="bottom"/>
            <w:hideMark/>
          </w:tcPr>
          <w:p w14:paraId="27B4BB9E"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c>
          <w:tcPr>
            <w:tcW w:w="0" w:type="auto"/>
            <w:tcBorders>
              <w:top w:val="nil"/>
              <w:left w:val="nil"/>
              <w:bottom w:val="single" w:sz="4" w:space="0" w:color="auto"/>
              <w:right w:val="single" w:sz="4" w:space="0" w:color="auto"/>
            </w:tcBorders>
            <w:noWrap/>
            <w:vAlign w:val="bottom"/>
            <w:hideMark/>
          </w:tcPr>
          <w:p w14:paraId="5B8E531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50</w:t>
            </w:r>
          </w:p>
        </w:tc>
      </w:tr>
      <w:tr w:rsidR="00E327DB" w:rsidRPr="008A00D2" w14:paraId="697B1BC3"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477D6D0C"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Total cash inflows (£m)</w:t>
            </w:r>
          </w:p>
        </w:tc>
        <w:tc>
          <w:tcPr>
            <w:tcW w:w="0" w:type="auto"/>
            <w:tcBorders>
              <w:top w:val="nil"/>
              <w:left w:val="nil"/>
              <w:bottom w:val="single" w:sz="4" w:space="0" w:color="auto"/>
              <w:right w:val="single" w:sz="4" w:space="0" w:color="auto"/>
            </w:tcBorders>
            <w:noWrap/>
            <w:vAlign w:val="bottom"/>
            <w:hideMark/>
          </w:tcPr>
          <w:p w14:paraId="31CD43B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54</w:t>
            </w:r>
          </w:p>
        </w:tc>
        <w:tc>
          <w:tcPr>
            <w:tcW w:w="0" w:type="auto"/>
            <w:tcBorders>
              <w:top w:val="nil"/>
              <w:left w:val="nil"/>
              <w:bottom w:val="single" w:sz="4" w:space="0" w:color="auto"/>
              <w:right w:val="single" w:sz="4" w:space="0" w:color="auto"/>
            </w:tcBorders>
            <w:noWrap/>
            <w:vAlign w:val="bottom"/>
            <w:hideMark/>
          </w:tcPr>
          <w:p w14:paraId="2AAAD17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55</w:t>
            </w:r>
          </w:p>
        </w:tc>
        <w:tc>
          <w:tcPr>
            <w:tcW w:w="0" w:type="auto"/>
            <w:tcBorders>
              <w:top w:val="nil"/>
              <w:left w:val="nil"/>
              <w:bottom w:val="single" w:sz="4" w:space="0" w:color="auto"/>
              <w:right w:val="single" w:sz="4" w:space="0" w:color="auto"/>
            </w:tcBorders>
            <w:noWrap/>
            <w:vAlign w:val="bottom"/>
            <w:hideMark/>
          </w:tcPr>
          <w:p w14:paraId="7631A45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65</w:t>
            </w:r>
          </w:p>
        </w:tc>
      </w:tr>
      <w:tr w:rsidR="00E327DB" w:rsidRPr="008A00D2" w14:paraId="48F3675E"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32E4E67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Annual depreciation (£m)</w:t>
            </w:r>
          </w:p>
        </w:tc>
        <w:tc>
          <w:tcPr>
            <w:tcW w:w="0" w:type="auto"/>
            <w:tcBorders>
              <w:top w:val="nil"/>
              <w:left w:val="nil"/>
              <w:bottom w:val="single" w:sz="4" w:space="0" w:color="auto"/>
              <w:right w:val="single" w:sz="4" w:space="0" w:color="auto"/>
            </w:tcBorders>
            <w:noWrap/>
            <w:vAlign w:val="bottom"/>
            <w:hideMark/>
          </w:tcPr>
          <w:p w14:paraId="126A999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w:t>
            </w:r>
          </w:p>
        </w:tc>
        <w:tc>
          <w:tcPr>
            <w:tcW w:w="0" w:type="auto"/>
            <w:tcBorders>
              <w:top w:val="nil"/>
              <w:left w:val="nil"/>
              <w:bottom w:val="single" w:sz="4" w:space="0" w:color="auto"/>
              <w:right w:val="single" w:sz="4" w:space="0" w:color="auto"/>
            </w:tcBorders>
            <w:noWrap/>
            <w:vAlign w:val="bottom"/>
            <w:hideMark/>
          </w:tcPr>
          <w:p w14:paraId="1E93AD7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w:t>
            </w:r>
          </w:p>
        </w:tc>
        <w:tc>
          <w:tcPr>
            <w:tcW w:w="0" w:type="auto"/>
            <w:tcBorders>
              <w:top w:val="nil"/>
              <w:left w:val="nil"/>
              <w:bottom w:val="single" w:sz="4" w:space="0" w:color="auto"/>
              <w:right w:val="single" w:sz="4" w:space="0" w:color="auto"/>
            </w:tcBorders>
            <w:noWrap/>
            <w:vAlign w:val="bottom"/>
            <w:hideMark/>
          </w:tcPr>
          <w:p w14:paraId="2273A0F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w:t>
            </w:r>
          </w:p>
        </w:tc>
      </w:tr>
      <w:tr w:rsidR="00E327DB" w:rsidRPr="008A00D2" w14:paraId="17CCF511"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3CD1651A"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Average annual cash inflow (£m)</w:t>
            </w:r>
          </w:p>
        </w:tc>
        <w:tc>
          <w:tcPr>
            <w:tcW w:w="0" w:type="auto"/>
            <w:tcBorders>
              <w:top w:val="nil"/>
              <w:left w:val="nil"/>
              <w:bottom w:val="single" w:sz="4" w:space="0" w:color="auto"/>
              <w:right w:val="single" w:sz="4" w:space="0" w:color="auto"/>
            </w:tcBorders>
            <w:noWrap/>
            <w:vAlign w:val="bottom"/>
            <w:hideMark/>
          </w:tcPr>
          <w:p w14:paraId="48207C1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10.8</w:t>
            </w:r>
          </w:p>
        </w:tc>
        <w:tc>
          <w:tcPr>
            <w:tcW w:w="0" w:type="auto"/>
            <w:tcBorders>
              <w:top w:val="nil"/>
              <w:left w:val="nil"/>
              <w:bottom w:val="single" w:sz="4" w:space="0" w:color="auto"/>
              <w:right w:val="single" w:sz="4" w:space="0" w:color="auto"/>
            </w:tcBorders>
            <w:noWrap/>
            <w:vAlign w:val="bottom"/>
            <w:hideMark/>
          </w:tcPr>
          <w:p w14:paraId="21469DC3"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11</w:t>
            </w:r>
          </w:p>
        </w:tc>
        <w:tc>
          <w:tcPr>
            <w:tcW w:w="0" w:type="auto"/>
            <w:tcBorders>
              <w:top w:val="nil"/>
              <w:left w:val="nil"/>
              <w:bottom w:val="single" w:sz="4" w:space="0" w:color="auto"/>
              <w:right w:val="single" w:sz="4" w:space="0" w:color="auto"/>
            </w:tcBorders>
            <w:noWrap/>
            <w:vAlign w:val="bottom"/>
            <w:hideMark/>
          </w:tcPr>
          <w:p w14:paraId="2D1EF5E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13</w:t>
            </w:r>
          </w:p>
        </w:tc>
      </w:tr>
      <w:tr w:rsidR="00E327DB" w:rsidRPr="008A00D2" w14:paraId="12E8AE44"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2CE2459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Average annual accounting profit (£m)</w:t>
            </w:r>
          </w:p>
        </w:tc>
        <w:tc>
          <w:tcPr>
            <w:tcW w:w="0" w:type="auto"/>
            <w:tcBorders>
              <w:top w:val="nil"/>
              <w:left w:val="nil"/>
              <w:bottom w:val="single" w:sz="4" w:space="0" w:color="auto"/>
              <w:right w:val="single" w:sz="4" w:space="0" w:color="auto"/>
            </w:tcBorders>
            <w:noWrap/>
            <w:vAlign w:val="bottom"/>
            <w:hideMark/>
          </w:tcPr>
          <w:p w14:paraId="7F94CFC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0.8</w:t>
            </w:r>
          </w:p>
        </w:tc>
        <w:tc>
          <w:tcPr>
            <w:tcW w:w="0" w:type="auto"/>
            <w:tcBorders>
              <w:top w:val="nil"/>
              <w:left w:val="nil"/>
              <w:bottom w:val="single" w:sz="4" w:space="0" w:color="auto"/>
              <w:right w:val="single" w:sz="4" w:space="0" w:color="auto"/>
            </w:tcBorders>
            <w:noWrap/>
            <w:vAlign w:val="bottom"/>
            <w:hideMark/>
          </w:tcPr>
          <w:p w14:paraId="0AF4E7C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w:t>
            </w:r>
          </w:p>
        </w:tc>
        <w:tc>
          <w:tcPr>
            <w:tcW w:w="0" w:type="auto"/>
            <w:tcBorders>
              <w:top w:val="nil"/>
              <w:left w:val="nil"/>
              <w:bottom w:val="single" w:sz="4" w:space="0" w:color="auto"/>
              <w:right w:val="single" w:sz="4" w:space="0" w:color="auto"/>
            </w:tcBorders>
            <w:noWrap/>
            <w:vAlign w:val="bottom"/>
            <w:hideMark/>
          </w:tcPr>
          <w:p w14:paraId="706CA45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w:t>
            </w:r>
          </w:p>
        </w:tc>
      </w:tr>
      <w:tr w:rsidR="00E327DB" w:rsidRPr="008A00D2" w14:paraId="2969347D"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03721D7B"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Payback Period (PBP), years</w:t>
            </w:r>
          </w:p>
        </w:tc>
        <w:tc>
          <w:tcPr>
            <w:tcW w:w="0" w:type="auto"/>
            <w:tcBorders>
              <w:top w:val="nil"/>
              <w:left w:val="nil"/>
              <w:bottom w:val="single" w:sz="4" w:space="0" w:color="auto"/>
              <w:right w:val="single" w:sz="4" w:space="0" w:color="auto"/>
            </w:tcBorders>
            <w:noWrap/>
            <w:vAlign w:val="bottom"/>
            <w:hideMark/>
          </w:tcPr>
          <w:p w14:paraId="4BE1A2B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4.50</w:t>
            </w:r>
          </w:p>
        </w:tc>
        <w:tc>
          <w:tcPr>
            <w:tcW w:w="0" w:type="auto"/>
            <w:tcBorders>
              <w:top w:val="nil"/>
              <w:left w:val="nil"/>
              <w:bottom w:val="single" w:sz="4" w:space="0" w:color="auto"/>
              <w:right w:val="single" w:sz="4" w:space="0" w:color="auto"/>
            </w:tcBorders>
            <w:noWrap/>
            <w:vAlign w:val="bottom"/>
            <w:hideMark/>
          </w:tcPr>
          <w:p w14:paraId="2A2B442F"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4.55</w:t>
            </w:r>
          </w:p>
        </w:tc>
        <w:tc>
          <w:tcPr>
            <w:tcW w:w="0" w:type="auto"/>
            <w:tcBorders>
              <w:top w:val="nil"/>
              <w:left w:val="nil"/>
              <w:bottom w:val="single" w:sz="4" w:space="0" w:color="auto"/>
              <w:right w:val="single" w:sz="4" w:space="0" w:color="auto"/>
            </w:tcBorders>
            <w:noWrap/>
            <w:vAlign w:val="bottom"/>
            <w:hideMark/>
          </w:tcPr>
          <w:p w14:paraId="58E3776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3.60</w:t>
            </w:r>
          </w:p>
        </w:tc>
      </w:tr>
      <w:tr w:rsidR="00E327DB" w:rsidRPr="008A00D2" w14:paraId="46A1920E"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440F797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ARR on initial investment</w:t>
            </w:r>
          </w:p>
        </w:tc>
        <w:tc>
          <w:tcPr>
            <w:tcW w:w="0" w:type="auto"/>
            <w:tcBorders>
              <w:top w:val="nil"/>
              <w:left w:val="nil"/>
              <w:bottom w:val="single" w:sz="4" w:space="0" w:color="auto"/>
              <w:right w:val="single" w:sz="4" w:space="0" w:color="auto"/>
            </w:tcBorders>
            <w:noWrap/>
            <w:vAlign w:val="bottom"/>
            <w:hideMark/>
          </w:tcPr>
          <w:p w14:paraId="20B3FD8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1.60%</w:t>
            </w:r>
          </w:p>
        </w:tc>
        <w:tc>
          <w:tcPr>
            <w:tcW w:w="0" w:type="auto"/>
            <w:tcBorders>
              <w:top w:val="nil"/>
              <w:left w:val="nil"/>
              <w:bottom w:val="single" w:sz="4" w:space="0" w:color="auto"/>
              <w:right w:val="single" w:sz="4" w:space="0" w:color="auto"/>
            </w:tcBorders>
            <w:noWrap/>
            <w:vAlign w:val="bottom"/>
            <w:hideMark/>
          </w:tcPr>
          <w:p w14:paraId="34123DC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2.00%</w:t>
            </w:r>
          </w:p>
        </w:tc>
        <w:tc>
          <w:tcPr>
            <w:tcW w:w="0" w:type="auto"/>
            <w:tcBorders>
              <w:top w:val="nil"/>
              <w:left w:val="nil"/>
              <w:bottom w:val="single" w:sz="4" w:space="0" w:color="auto"/>
              <w:right w:val="single" w:sz="4" w:space="0" w:color="auto"/>
            </w:tcBorders>
            <w:noWrap/>
            <w:vAlign w:val="bottom"/>
            <w:hideMark/>
          </w:tcPr>
          <w:p w14:paraId="3AD98A76"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6.00%</w:t>
            </w:r>
          </w:p>
        </w:tc>
      </w:tr>
      <w:tr w:rsidR="00E327DB" w:rsidRPr="008A00D2" w14:paraId="6AFDEE80"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3F6CFDF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NPV at 8% (£m)</w:t>
            </w:r>
          </w:p>
        </w:tc>
        <w:tc>
          <w:tcPr>
            <w:tcW w:w="0" w:type="auto"/>
            <w:tcBorders>
              <w:top w:val="nil"/>
              <w:left w:val="nil"/>
              <w:bottom w:val="single" w:sz="4" w:space="0" w:color="auto"/>
              <w:right w:val="single" w:sz="4" w:space="0" w:color="auto"/>
            </w:tcBorders>
            <w:noWrap/>
            <w:vAlign w:val="bottom"/>
            <w:hideMark/>
          </w:tcPr>
          <w:p w14:paraId="53581FF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-6.55</w:t>
            </w:r>
          </w:p>
        </w:tc>
        <w:tc>
          <w:tcPr>
            <w:tcW w:w="0" w:type="auto"/>
            <w:tcBorders>
              <w:top w:val="nil"/>
              <w:left w:val="nil"/>
              <w:bottom w:val="single" w:sz="4" w:space="0" w:color="auto"/>
              <w:right w:val="single" w:sz="4" w:space="0" w:color="auto"/>
            </w:tcBorders>
            <w:noWrap/>
            <w:vAlign w:val="bottom"/>
            <w:hideMark/>
          </w:tcPr>
          <w:p w14:paraId="76CEE66C"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-6.07</w:t>
            </w:r>
          </w:p>
        </w:tc>
        <w:tc>
          <w:tcPr>
            <w:tcW w:w="0" w:type="auto"/>
            <w:tcBorders>
              <w:top w:val="nil"/>
              <w:left w:val="nil"/>
              <w:bottom w:val="single" w:sz="4" w:space="0" w:color="auto"/>
              <w:right w:val="single" w:sz="4" w:space="0" w:color="auto"/>
            </w:tcBorders>
            <w:noWrap/>
            <w:vAlign w:val="bottom"/>
            <w:hideMark/>
          </w:tcPr>
          <w:p w14:paraId="7A6AB71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0.86</w:t>
            </w:r>
          </w:p>
        </w:tc>
      </w:tr>
      <w:tr w:rsidR="00E327DB" w:rsidRPr="008A00D2" w14:paraId="42306870"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2AB390EC"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Profitability Index (PI)</w:t>
            </w:r>
          </w:p>
        </w:tc>
        <w:tc>
          <w:tcPr>
            <w:tcW w:w="0" w:type="auto"/>
            <w:tcBorders>
              <w:top w:val="nil"/>
              <w:left w:val="nil"/>
              <w:bottom w:val="single" w:sz="4" w:space="0" w:color="auto"/>
              <w:right w:val="single" w:sz="4" w:space="0" w:color="auto"/>
            </w:tcBorders>
            <w:noWrap/>
            <w:vAlign w:val="bottom"/>
            <w:hideMark/>
          </w:tcPr>
          <w:p w14:paraId="45CB814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0.869</w:t>
            </w:r>
          </w:p>
        </w:tc>
        <w:tc>
          <w:tcPr>
            <w:tcW w:w="0" w:type="auto"/>
            <w:tcBorders>
              <w:top w:val="nil"/>
              <w:left w:val="nil"/>
              <w:bottom w:val="single" w:sz="4" w:space="0" w:color="auto"/>
              <w:right w:val="single" w:sz="4" w:space="0" w:color="auto"/>
            </w:tcBorders>
            <w:noWrap/>
            <w:vAlign w:val="bottom"/>
            <w:hideMark/>
          </w:tcPr>
          <w:p w14:paraId="2B2B6EF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0.879</w:t>
            </w:r>
          </w:p>
        </w:tc>
        <w:tc>
          <w:tcPr>
            <w:tcW w:w="0" w:type="auto"/>
            <w:tcBorders>
              <w:top w:val="nil"/>
              <w:left w:val="nil"/>
              <w:bottom w:val="single" w:sz="4" w:space="0" w:color="auto"/>
              <w:right w:val="single" w:sz="4" w:space="0" w:color="auto"/>
            </w:tcBorders>
            <w:noWrap/>
            <w:vAlign w:val="bottom"/>
            <w:hideMark/>
          </w:tcPr>
          <w:p w14:paraId="3C4BC77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1.017</w:t>
            </w:r>
          </w:p>
        </w:tc>
      </w:tr>
      <w:tr w:rsidR="00E327DB" w:rsidRPr="008A00D2" w14:paraId="7E0EA8DA" w14:textId="77777777" w:rsidTr="00317C3C">
        <w:trPr>
          <w:trHeight w:val="288"/>
          <w:jc w:val="center"/>
        </w:trPr>
        <w:tc>
          <w:tcPr>
            <w:tcW w:w="0" w:type="auto"/>
            <w:tcBorders>
              <w:top w:val="nil"/>
              <w:left w:val="single" w:sz="4" w:space="0" w:color="auto"/>
              <w:bottom w:val="single" w:sz="4" w:space="0" w:color="auto"/>
              <w:right w:val="single" w:sz="4" w:space="0" w:color="auto"/>
            </w:tcBorders>
            <w:noWrap/>
            <w:vAlign w:val="bottom"/>
            <w:hideMark/>
          </w:tcPr>
          <w:p w14:paraId="562377B6"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IRR</w:t>
            </w:r>
          </w:p>
        </w:tc>
        <w:tc>
          <w:tcPr>
            <w:tcW w:w="0" w:type="auto"/>
            <w:tcBorders>
              <w:top w:val="nil"/>
              <w:left w:val="nil"/>
              <w:bottom w:val="single" w:sz="4" w:space="0" w:color="auto"/>
              <w:right w:val="single" w:sz="4" w:space="0" w:color="auto"/>
            </w:tcBorders>
            <w:noWrap/>
            <w:vAlign w:val="bottom"/>
            <w:hideMark/>
          </w:tcPr>
          <w:p w14:paraId="29B477F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2.72%</w:t>
            </w:r>
          </w:p>
        </w:tc>
        <w:tc>
          <w:tcPr>
            <w:tcW w:w="0" w:type="auto"/>
            <w:tcBorders>
              <w:top w:val="nil"/>
              <w:left w:val="nil"/>
              <w:bottom w:val="single" w:sz="4" w:space="0" w:color="auto"/>
              <w:right w:val="single" w:sz="4" w:space="0" w:color="auto"/>
            </w:tcBorders>
            <w:noWrap/>
            <w:vAlign w:val="bottom"/>
            <w:hideMark/>
          </w:tcPr>
          <w:p w14:paraId="0B6AA8A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3.26%</w:t>
            </w:r>
          </w:p>
        </w:tc>
        <w:tc>
          <w:tcPr>
            <w:tcW w:w="0" w:type="auto"/>
            <w:tcBorders>
              <w:top w:val="nil"/>
              <w:left w:val="nil"/>
              <w:bottom w:val="single" w:sz="4" w:space="0" w:color="auto"/>
              <w:right w:val="single" w:sz="4" w:space="0" w:color="auto"/>
            </w:tcBorders>
            <w:noWrap/>
            <w:vAlign w:val="bottom"/>
            <w:hideMark/>
          </w:tcPr>
          <w:p w14:paraId="15D3EBED"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8.59%</w:t>
            </w:r>
          </w:p>
        </w:tc>
      </w:tr>
    </w:tbl>
    <w:p w14:paraId="18B197AF" w14:textId="77777777" w:rsidR="00E327DB" w:rsidRPr="008A00D2" w:rsidRDefault="00E327DB">
      <w:pPr>
        <w:rPr>
          <w:lang w:val="en-GB"/>
        </w:rPr>
      </w:pPr>
    </w:p>
    <w:tbl>
      <w:tblPr>
        <w:tblW w:w="7440" w:type="dxa"/>
        <w:jc w:val="center"/>
        <w:tblLook w:val="04A0" w:firstRow="1" w:lastRow="0" w:firstColumn="1" w:lastColumn="0" w:noHBand="0" w:noVBand="1"/>
      </w:tblPr>
      <w:tblGrid>
        <w:gridCol w:w="1980"/>
        <w:gridCol w:w="2140"/>
        <w:gridCol w:w="2000"/>
        <w:gridCol w:w="1320"/>
      </w:tblGrid>
      <w:tr w:rsidR="00E327DB" w:rsidRPr="008A00D2" w14:paraId="52D5959D" w14:textId="77777777" w:rsidTr="00317C3C">
        <w:trPr>
          <w:trHeight w:val="288"/>
          <w:jc w:val="center"/>
        </w:trPr>
        <w:tc>
          <w:tcPr>
            <w:tcW w:w="1980" w:type="dxa"/>
            <w:tcBorders>
              <w:top w:val="single" w:sz="4" w:space="0" w:color="auto"/>
              <w:left w:val="single" w:sz="4" w:space="0" w:color="auto"/>
              <w:bottom w:val="single" w:sz="4" w:space="0" w:color="auto"/>
              <w:right w:val="single" w:sz="4" w:space="0" w:color="auto"/>
            </w:tcBorders>
            <w:noWrap/>
            <w:vAlign w:val="bottom"/>
            <w:hideMark/>
          </w:tcPr>
          <w:p w14:paraId="362780CE"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Project combination</w:t>
            </w:r>
          </w:p>
        </w:tc>
        <w:tc>
          <w:tcPr>
            <w:tcW w:w="2140" w:type="dxa"/>
            <w:tcBorders>
              <w:top w:val="single" w:sz="4" w:space="0" w:color="auto"/>
              <w:left w:val="nil"/>
              <w:bottom w:val="single" w:sz="4" w:space="0" w:color="auto"/>
              <w:right w:val="single" w:sz="4" w:space="0" w:color="auto"/>
            </w:tcBorders>
            <w:noWrap/>
            <w:vAlign w:val="bottom"/>
            <w:hideMark/>
          </w:tcPr>
          <w:p w14:paraId="24852964"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Total investment (£m)</w:t>
            </w:r>
          </w:p>
        </w:tc>
        <w:tc>
          <w:tcPr>
            <w:tcW w:w="2000" w:type="dxa"/>
            <w:tcBorders>
              <w:top w:val="single" w:sz="4" w:space="0" w:color="auto"/>
              <w:left w:val="nil"/>
              <w:bottom w:val="single" w:sz="4" w:space="0" w:color="auto"/>
              <w:right w:val="single" w:sz="4" w:space="0" w:color="auto"/>
            </w:tcBorders>
            <w:noWrap/>
            <w:vAlign w:val="bottom"/>
            <w:hideMark/>
          </w:tcPr>
          <w:p w14:paraId="2391B0E7"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Combined NPV (£m)</w:t>
            </w:r>
          </w:p>
        </w:tc>
        <w:tc>
          <w:tcPr>
            <w:tcW w:w="1320" w:type="dxa"/>
            <w:tcBorders>
              <w:top w:val="single" w:sz="4" w:space="0" w:color="auto"/>
              <w:left w:val="nil"/>
              <w:bottom w:val="single" w:sz="4" w:space="0" w:color="auto"/>
              <w:right w:val="single" w:sz="4" w:space="0" w:color="auto"/>
            </w:tcBorders>
            <w:noWrap/>
            <w:vAlign w:val="bottom"/>
            <w:hideMark/>
          </w:tcPr>
          <w:p w14:paraId="273C6403" w14:textId="77777777" w:rsidR="00E327DB" w:rsidRPr="008A00D2" w:rsidRDefault="00E327DB" w:rsidP="00317C3C">
            <w:pPr>
              <w:spacing w:before="0" w:after="0" w:line="240" w:lineRule="auto"/>
              <w:jc w:val="left"/>
              <w:rPr>
                <w:rFonts w:ascii="Calibri" w:eastAsia="Times New Roman" w:hAnsi="Calibri" w:cs="Calibri"/>
                <w:b/>
                <w:bCs/>
                <w:color w:val="000000"/>
                <w:kern w:val="0"/>
                <w:sz w:val="22"/>
                <w:szCs w:val="22"/>
                <w:lang w:val="en-GB"/>
                <w14:ligatures w14:val="none"/>
              </w:rPr>
            </w:pPr>
            <w:r w:rsidRPr="008A00D2">
              <w:rPr>
                <w:rFonts w:ascii="Calibri" w:eastAsia="Times New Roman" w:hAnsi="Calibri" w:cs="Calibri"/>
                <w:b/>
                <w:bCs/>
                <w:color w:val="000000"/>
                <w:kern w:val="0"/>
                <w:sz w:val="22"/>
                <w:szCs w:val="22"/>
                <w:lang w:val="en-GB"/>
                <w14:ligatures w14:val="none"/>
              </w:rPr>
              <w:t>Combined PI</w:t>
            </w:r>
          </w:p>
        </w:tc>
      </w:tr>
      <w:tr w:rsidR="00E327DB" w:rsidRPr="008A00D2" w14:paraId="0AC34279" w14:textId="77777777" w:rsidTr="00317C3C">
        <w:trPr>
          <w:trHeight w:val="288"/>
          <w:jc w:val="center"/>
        </w:trPr>
        <w:tc>
          <w:tcPr>
            <w:tcW w:w="1980" w:type="dxa"/>
            <w:tcBorders>
              <w:top w:val="nil"/>
              <w:left w:val="single" w:sz="4" w:space="0" w:color="auto"/>
              <w:bottom w:val="single" w:sz="4" w:space="0" w:color="auto"/>
              <w:right w:val="single" w:sz="4" w:space="0" w:color="auto"/>
            </w:tcBorders>
            <w:noWrap/>
            <w:vAlign w:val="bottom"/>
            <w:hideMark/>
          </w:tcPr>
          <w:p w14:paraId="66D98FA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A + B</w:t>
            </w:r>
          </w:p>
        </w:tc>
        <w:tc>
          <w:tcPr>
            <w:tcW w:w="2140" w:type="dxa"/>
            <w:tcBorders>
              <w:top w:val="nil"/>
              <w:left w:val="nil"/>
              <w:bottom w:val="single" w:sz="4" w:space="0" w:color="auto"/>
              <w:right w:val="single" w:sz="4" w:space="0" w:color="auto"/>
            </w:tcBorders>
            <w:noWrap/>
            <w:vAlign w:val="bottom"/>
            <w:hideMark/>
          </w:tcPr>
          <w:p w14:paraId="43692840"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100</w:t>
            </w:r>
          </w:p>
        </w:tc>
        <w:tc>
          <w:tcPr>
            <w:tcW w:w="2000" w:type="dxa"/>
            <w:tcBorders>
              <w:top w:val="nil"/>
              <w:left w:val="nil"/>
              <w:bottom w:val="single" w:sz="4" w:space="0" w:color="auto"/>
              <w:right w:val="single" w:sz="4" w:space="0" w:color="auto"/>
            </w:tcBorders>
            <w:noWrap/>
            <w:vAlign w:val="bottom"/>
            <w:hideMark/>
          </w:tcPr>
          <w:p w14:paraId="343A01A2"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-12.62</w:t>
            </w:r>
          </w:p>
        </w:tc>
        <w:tc>
          <w:tcPr>
            <w:tcW w:w="1320" w:type="dxa"/>
            <w:tcBorders>
              <w:top w:val="nil"/>
              <w:left w:val="nil"/>
              <w:bottom w:val="single" w:sz="4" w:space="0" w:color="auto"/>
              <w:right w:val="single" w:sz="4" w:space="0" w:color="auto"/>
            </w:tcBorders>
            <w:noWrap/>
            <w:vAlign w:val="bottom"/>
            <w:hideMark/>
          </w:tcPr>
          <w:p w14:paraId="305D6A49"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0.874</w:t>
            </w:r>
          </w:p>
        </w:tc>
      </w:tr>
      <w:tr w:rsidR="00E327DB" w:rsidRPr="008A00D2" w14:paraId="1C51206B" w14:textId="77777777" w:rsidTr="00317C3C">
        <w:trPr>
          <w:trHeight w:val="288"/>
          <w:jc w:val="center"/>
        </w:trPr>
        <w:tc>
          <w:tcPr>
            <w:tcW w:w="1980" w:type="dxa"/>
            <w:tcBorders>
              <w:top w:val="nil"/>
              <w:left w:val="single" w:sz="4" w:space="0" w:color="auto"/>
              <w:bottom w:val="single" w:sz="4" w:space="0" w:color="auto"/>
              <w:right w:val="single" w:sz="4" w:space="0" w:color="auto"/>
            </w:tcBorders>
            <w:noWrap/>
            <w:vAlign w:val="bottom"/>
            <w:hideMark/>
          </w:tcPr>
          <w:p w14:paraId="7FD9C829"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A + C</w:t>
            </w:r>
          </w:p>
        </w:tc>
        <w:tc>
          <w:tcPr>
            <w:tcW w:w="2140" w:type="dxa"/>
            <w:tcBorders>
              <w:top w:val="nil"/>
              <w:left w:val="nil"/>
              <w:bottom w:val="single" w:sz="4" w:space="0" w:color="auto"/>
              <w:right w:val="single" w:sz="4" w:space="0" w:color="auto"/>
            </w:tcBorders>
            <w:noWrap/>
            <w:vAlign w:val="bottom"/>
            <w:hideMark/>
          </w:tcPr>
          <w:p w14:paraId="60E0D38A"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100</w:t>
            </w:r>
          </w:p>
        </w:tc>
        <w:tc>
          <w:tcPr>
            <w:tcW w:w="2000" w:type="dxa"/>
            <w:tcBorders>
              <w:top w:val="nil"/>
              <w:left w:val="nil"/>
              <w:bottom w:val="single" w:sz="4" w:space="0" w:color="auto"/>
              <w:right w:val="single" w:sz="4" w:space="0" w:color="auto"/>
            </w:tcBorders>
            <w:noWrap/>
            <w:vAlign w:val="bottom"/>
            <w:hideMark/>
          </w:tcPr>
          <w:p w14:paraId="2C203EB5"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-5.69</w:t>
            </w:r>
          </w:p>
        </w:tc>
        <w:tc>
          <w:tcPr>
            <w:tcW w:w="1320" w:type="dxa"/>
            <w:tcBorders>
              <w:top w:val="nil"/>
              <w:left w:val="nil"/>
              <w:bottom w:val="single" w:sz="4" w:space="0" w:color="auto"/>
              <w:right w:val="single" w:sz="4" w:space="0" w:color="auto"/>
            </w:tcBorders>
            <w:noWrap/>
            <w:vAlign w:val="bottom"/>
            <w:hideMark/>
          </w:tcPr>
          <w:p w14:paraId="6C127CF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0.943</w:t>
            </w:r>
          </w:p>
        </w:tc>
      </w:tr>
      <w:tr w:rsidR="00E327DB" w:rsidRPr="008A00D2" w14:paraId="3A9C63D6" w14:textId="77777777" w:rsidTr="00317C3C">
        <w:trPr>
          <w:trHeight w:val="288"/>
          <w:jc w:val="center"/>
        </w:trPr>
        <w:tc>
          <w:tcPr>
            <w:tcW w:w="1980" w:type="dxa"/>
            <w:tcBorders>
              <w:top w:val="nil"/>
              <w:left w:val="single" w:sz="4" w:space="0" w:color="auto"/>
              <w:bottom w:val="single" w:sz="4" w:space="0" w:color="auto"/>
              <w:right w:val="single" w:sz="4" w:space="0" w:color="auto"/>
            </w:tcBorders>
            <w:noWrap/>
            <w:vAlign w:val="bottom"/>
            <w:hideMark/>
          </w:tcPr>
          <w:p w14:paraId="6F55791E" w14:textId="77777777" w:rsidR="00E327DB" w:rsidRPr="008A00D2" w:rsidRDefault="00E327DB" w:rsidP="00317C3C">
            <w:pPr>
              <w:spacing w:before="0" w:after="0" w:line="240" w:lineRule="auto"/>
              <w:jc w:val="lef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B + C</w:t>
            </w:r>
          </w:p>
        </w:tc>
        <w:tc>
          <w:tcPr>
            <w:tcW w:w="2140" w:type="dxa"/>
            <w:tcBorders>
              <w:top w:val="nil"/>
              <w:left w:val="nil"/>
              <w:bottom w:val="single" w:sz="4" w:space="0" w:color="auto"/>
              <w:right w:val="single" w:sz="4" w:space="0" w:color="auto"/>
            </w:tcBorders>
            <w:noWrap/>
            <w:vAlign w:val="bottom"/>
            <w:hideMark/>
          </w:tcPr>
          <w:p w14:paraId="3D146258"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100</w:t>
            </w:r>
          </w:p>
        </w:tc>
        <w:tc>
          <w:tcPr>
            <w:tcW w:w="2000" w:type="dxa"/>
            <w:tcBorders>
              <w:top w:val="nil"/>
              <w:left w:val="nil"/>
              <w:bottom w:val="single" w:sz="4" w:space="0" w:color="auto"/>
              <w:right w:val="single" w:sz="4" w:space="0" w:color="auto"/>
            </w:tcBorders>
            <w:noWrap/>
            <w:vAlign w:val="bottom"/>
            <w:hideMark/>
          </w:tcPr>
          <w:p w14:paraId="520D99EB"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-5.21</w:t>
            </w:r>
          </w:p>
        </w:tc>
        <w:tc>
          <w:tcPr>
            <w:tcW w:w="1320" w:type="dxa"/>
            <w:tcBorders>
              <w:top w:val="nil"/>
              <w:left w:val="nil"/>
              <w:bottom w:val="single" w:sz="4" w:space="0" w:color="auto"/>
              <w:right w:val="single" w:sz="4" w:space="0" w:color="auto"/>
            </w:tcBorders>
            <w:noWrap/>
            <w:vAlign w:val="bottom"/>
            <w:hideMark/>
          </w:tcPr>
          <w:p w14:paraId="6ED69EF1" w14:textId="77777777" w:rsidR="00E327DB" w:rsidRPr="008A00D2" w:rsidRDefault="00E327DB" w:rsidP="00317C3C">
            <w:pPr>
              <w:spacing w:before="0" w:after="0" w:line="240" w:lineRule="auto"/>
              <w:jc w:val="right"/>
              <w:rPr>
                <w:rFonts w:ascii="Calibri" w:eastAsia="Times New Roman" w:hAnsi="Calibri" w:cs="Calibri"/>
                <w:color w:val="000000"/>
                <w:kern w:val="0"/>
                <w:sz w:val="22"/>
                <w:szCs w:val="22"/>
                <w:lang w:val="en-GB"/>
                <w14:ligatures w14:val="none"/>
              </w:rPr>
            </w:pPr>
            <w:r w:rsidRPr="008A00D2">
              <w:rPr>
                <w:rFonts w:ascii="Calibri" w:eastAsia="Times New Roman" w:hAnsi="Calibri" w:cs="Calibri"/>
                <w:color w:val="000000"/>
                <w:kern w:val="0"/>
                <w:sz w:val="22"/>
                <w:szCs w:val="22"/>
                <w:lang w:val="en-GB"/>
                <w14:ligatures w14:val="none"/>
              </w:rPr>
              <w:t>0.948</w:t>
            </w:r>
          </w:p>
        </w:tc>
      </w:tr>
    </w:tbl>
    <w:p w14:paraId="56D9C2F3" w14:textId="77777777" w:rsidR="00087DC7" w:rsidRPr="008A00D2" w:rsidRDefault="00087DC7">
      <w:pPr>
        <w:rPr>
          <w:lang w:val="en-GB"/>
        </w:rPr>
      </w:pPr>
    </w:p>
    <w:sectPr w:rsidR="00087DC7" w:rsidRPr="008A00D2" w:rsidSect="00E327DB">
      <w:footerReference w:type="default" r:id="rId5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6F1CB2" w14:textId="77777777" w:rsidR="008130F9" w:rsidRDefault="008130F9" w:rsidP="00E327DB">
      <w:pPr>
        <w:spacing w:after="0" w:line="240" w:lineRule="auto"/>
      </w:pPr>
      <w:r>
        <w:separator/>
      </w:r>
    </w:p>
  </w:endnote>
  <w:endnote w:type="continuationSeparator" w:id="0">
    <w:p w14:paraId="0F9F63AE" w14:textId="77777777" w:rsidR="008130F9" w:rsidRDefault="008130F9" w:rsidP="00E32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11575584"/>
      <w:docPartObj>
        <w:docPartGallery w:val="Page Numbers (Bottom of Page)"/>
        <w:docPartUnique/>
      </w:docPartObj>
    </w:sdtPr>
    <w:sdtEndPr>
      <w:rPr>
        <w:b/>
        <w:bCs/>
        <w:noProof/>
      </w:rPr>
    </w:sdtEndPr>
    <w:sdtContent>
      <w:p w14:paraId="1761A94F" w14:textId="2F2635F0" w:rsidR="00E327DB" w:rsidRPr="004916D7" w:rsidRDefault="00E327DB" w:rsidP="004916D7">
        <w:pPr>
          <w:pStyle w:val="Footer"/>
          <w:jc w:val="right"/>
          <w:rPr>
            <w:b/>
            <w:bCs/>
          </w:rPr>
        </w:pPr>
        <w:r w:rsidRPr="00E327DB">
          <w:rPr>
            <w:b/>
            <w:bCs/>
          </w:rPr>
          <w:fldChar w:fldCharType="begin"/>
        </w:r>
        <w:r w:rsidRPr="00E327DB">
          <w:rPr>
            <w:b/>
            <w:bCs/>
          </w:rPr>
          <w:instrText xml:space="preserve"> PAGE   \* MERGEFORMAT </w:instrText>
        </w:r>
        <w:r w:rsidRPr="00E327DB">
          <w:rPr>
            <w:b/>
            <w:bCs/>
          </w:rPr>
          <w:fldChar w:fldCharType="separate"/>
        </w:r>
        <w:r w:rsidRPr="00E327DB">
          <w:rPr>
            <w:b/>
            <w:bCs/>
            <w:noProof/>
          </w:rPr>
          <w:t>2</w:t>
        </w:r>
        <w:r w:rsidRPr="00E327DB">
          <w:rPr>
            <w:b/>
            <w:bCs/>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515BC7" w14:textId="77777777" w:rsidR="008130F9" w:rsidRDefault="008130F9" w:rsidP="00E327DB">
      <w:pPr>
        <w:spacing w:after="0" w:line="240" w:lineRule="auto"/>
      </w:pPr>
      <w:r>
        <w:separator/>
      </w:r>
    </w:p>
  </w:footnote>
  <w:footnote w:type="continuationSeparator" w:id="0">
    <w:p w14:paraId="1BB0707E" w14:textId="77777777" w:rsidR="008130F9" w:rsidRDefault="008130F9" w:rsidP="00E32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4B4C0C"/>
    <w:multiLevelType w:val="hybridMultilevel"/>
    <w:tmpl w:val="541AD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205698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9C5"/>
    <w:rsid w:val="00087DC7"/>
    <w:rsid w:val="00103EFD"/>
    <w:rsid w:val="00154A90"/>
    <w:rsid w:val="001A21AA"/>
    <w:rsid w:val="001E2F2B"/>
    <w:rsid w:val="002244EB"/>
    <w:rsid w:val="00282B4C"/>
    <w:rsid w:val="002B3A8D"/>
    <w:rsid w:val="002E7559"/>
    <w:rsid w:val="00317C3C"/>
    <w:rsid w:val="00363BAE"/>
    <w:rsid w:val="003B1993"/>
    <w:rsid w:val="00420556"/>
    <w:rsid w:val="00420799"/>
    <w:rsid w:val="00456D75"/>
    <w:rsid w:val="004916D7"/>
    <w:rsid w:val="005129C5"/>
    <w:rsid w:val="00531EBE"/>
    <w:rsid w:val="005E758C"/>
    <w:rsid w:val="006C6B35"/>
    <w:rsid w:val="00755D7F"/>
    <w:rsid w:val="007C3A75"/>
    <w:rsid w:val="008123DF"/>
    <w:rsid w:val="008130F9"/>
    <w:rsid w:val="00852100"/>
    <w:rsid w:val="008A00D2"/>
    <w:rsid w:val="008F7BD6"/>
    <w:rsid w:val="00936967"/>
    <w:rsid w:val="00961F87"/>
    <w:rsid w:val="009647EE"/>
    <w:rsid w:val="009725AC"/>
    <w:rsid w:val="00992A5F"/>
    <w:rsid w:val="00A0108F"/>
    <w:rsid w:val="00A05019"/>
    <w:rsid w:val="00A22232"/>
    <w:rsid w:val="00AC4379"/>
    <w:rsid w:val="00AE26A9"/>
    <w:rsid w:val="00B40344"/>
    <w:rsid w:val="00B63E6D"/>
    <w:rsid w:val="00BC37EC"/>
    <w:rsid w:val="00C36EF2"/>
    <w:rsid w:val="00C61FF9"/>
    <w:rsid w:val="00C631E0"/>
    <w:rsid w:val="00CA5D80"/>
    <w:rsid w:val="00D23F49"/>
    <w:rsid w:val="00D424EC"/>
    <w:rsid w:val="00D469F2"/>
    <w:rsid w:val="00D907DF"/>
    <w:rsid w:val="00DD4592"/>
    <w:rsid w:val="00E327DB"/>
    <w:rsid w:val="00E33A95"/>
    <w:rsid w:val="00E53CCC"/>
    <w:rsid w:val="00E66D71"/>
    <w:rsid w:val="00F13124"/>
    <w:rsid w:val="00F418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44496"/>
  <w15:chartTrackingRefBased/>
  <w15:docId w15:val="{966ED68E-AD02-424F-9287-2F8BC4297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C3C"/>
    <w:pPr>
      <w:spacing w:before="240" w:after="240" w:line="360" w:lineRule="auto"/>
      <w:jc w:val="both"/>
    </w:pPr>
    <w:rPr>
      <w:rFonts w:ascii="Arial" w:hAnsi="Arial"/>
    </w:rPr>
  </w:style>
  <w:style w:type="paragraph" w:styleId="Heading1">
    <w:name w:val="heading 1"/>
    <w:basedOn w:val="Normal"/>
    <w:next w:val="Normal"/>
    <w:link w:val="Heading1Char"/>
    <w:uiPriority w:val="9"/>
    <w:qFormat/>
    <w:rsid w:val="00317C3C"/>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17C3C"/>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317C3C"/>
    <w:pPr>
      <w:keepNext/>
      <w:keepLines/>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5129C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129C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129C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129C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129C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129C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C3C"/>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317C3C"/>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317C3C"/>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5129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9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9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9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9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9C5"/>
    <w:rPr>
      <w:rFonts w:eastAsiaTheme="majorEastAsia" w:cstheme="majorBidi"/>
      <w:color w:val="272727" w:themeColor="text1" w:themeTint="D8"/>
    </w:rPr>
  </w:style>
  <w:style w:type="paragraph" w:styleId="Title">
    <w:name w:val="Title"/>
    <w:basedOn w:val="Normal"/>
    <w:next w:val="Normal"/>
    <w:link w:val="TitleChar"/>
    <w:uiPriority w:val="10"/>
    <w:rsid w:val="005129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9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9C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9C5"/>
    <w:pPr>
      <w:spacing w:before="160"/>
      <w:jc w:val="center"/>
    </w:pPr>
    <w:rPr>
      <w:i/>
      <w:iCs/>
      <w:color w:val="404040" w:themeColor="text1" w:themeTint="BF"/>
    </w:rPr>
  </w:style>
  <w:style w:type="character" w:customStyle="1" w:styleId="QuoteChar">
    <w:name w:val="Quote Char"/>
    <w:basedOn w:val="DefaultParagraphFont"/>
    <w:link w:val="Quote"/>
    <w:uiPriority w:val="29"/>
    <w:rsid w:val="005129C5"/>
    <w:rPr>
      <w:rFonts w:ascii="Times New Roman" w:hAnsi="Times New Roman"/>
      <w:i/>
      <w:iCs/>
      <w:color w:val="404040" w:themeColor="text1" w:themeTint="BF"/>
    </w:rPr>
  </w:style>
  <w:style w:type="paragraph" w:styleId="ListParagraph">
    <w:name w:val="List Paragraph"/>
    <w:basedOn w:val="Normal"/>
    <w:uiPriority w:val="34"/>
    <w:rsid w:val="005129C5"/>
    <w:pPr>
      <w:ind w:left="720"/>
      <w:contextualSpacing/>
    </w:pPr>
  </w:style>
  <w:style w:type="character" w:styleId="IntenseEmphasis">
    <w:name w:val="Intense Emphasis"/>
    <w:basedOn w:val="DefaultParagraphFont"/>
    <w:uiPriority w:val="21"/>
    <w:qFormat/>
    <w:rsid w:val="005129C5"/>
    <w:rPr>
      <w:i/>
      <w:iCs/>
      <w:color w:val="0F4761" w:themeColor="accent1" w:themeShade="BF"/>
    </w:rPr>
  </w:style>
  <w:style w:type="paragraph" w:styleId="IntenseQuote">
    <w:name w:val="Intense Quote"/>
    <w:basedOn w:val="Normal"/>
    <w:next w:val="Normal"/>
    <w:link w:val="IntenseQuoteChar"/>
    <w:uiPriority w:val="30"/>
    <w:qFormat/>
    <w:rsid w:val="005129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9C5"/>
    <w:rPr>
      <w:rFonts w:ascii="Times New Roman" w:hAnsi="Times New Roman"/>
      <w:i/>
      <w:iCs/>
      <w:color w:val="0F4761" w:themeColor="accent1" w:themeShade="BF"/>
    </w:rPr>
  </w:style>
  <w:style w:type="character" w:styleId="IntenseReference">
    <w:name w:val="Intense Reference"/>
    <w:basedOn w:val="DefaultParagraphFont"/>
    <w:uiPriority w:val="32"/>
    <w:qFormat/>
    <w:rsid w:val="005129C5"/>
    <w:rPr>
      <w:b/>
      <w:bCs/>
      <w:smallCaps/>
      <w:color w:val="0F4761" w:themeColor="accent1" w:themeShade="BF"/>
      <w:spacing w:val="5"/>
    </w:rPr>
  </w:style>
  <w:style w:type="character" w:styleId="Hyperlink">
    <w:name w:val="Hyperlink"/>
    <w:basedOn w:val="DefaultParagraphFont"/>
    <w:uiPriority w:val="99"/>
    <w:unhideWhenUsed/>
    <w:rsid w:val="00087DC7"/>
    <w:rPr>
      <w:color w:val="467886" w:themeColor="hyperlink"/>
      <w:u w:val="single"/>
    </w:rPr>
  </w:style>
  <w:style w:type="paragraph" w:styleId="Header">
    <w:name w:val="header"/>
    <w:basedOn w:val="Normal"/>
    <w:link w:val="HeaderChar"/>
    <w:uiPriority w:val="99"/>
    <w:unhideWhenUsed/>
    <w:rsid w:val="00282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2B4C"/>
    <w:rPr>
      <w:rFonts w:ascii="Arial" w:hAnsi="Arial"/>
    </w:rPr>
  </w:style>
  <w:style w:type="paragraph" w:styleId="Footer">
    <w:name w:val="footer"/>
    <w:basedOn w:val="Normal"/>
    <w:link w:val="FooterChar"/>
    <w:uiPriority w:val="99"/>
    <w:unhideWhenUsed/>
    <w:rsid w:val="00282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2B4C"/>
    <w:rPr>
      <w:rFonts w:ascii="Arial" w:hAnsi="Arial"/>
    </w:rPr>
  </w:style>
  <w:style w:type="paragraph" w:styleId="TOCHeading">
    <w:name w:val="TOC Heading"/>
    <w:basedOn w:val="Heading1"/>
    <w:next w:val="Normal"/>
    <w:uiPriority w:val="39"/>
    <w:unhideWhenUsed/>
    <w:rsid w:val="00E327DB"/>
    <w:pPr>
      <w:spacing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317C3C"/>
    <w:pPr>
      <w:tabs>
        <w:tab w:val="right" w:leader="dot" w:pos="9350"/>
      </w:tabs>
      <w:spacing w:after="100"/>
    </w:pPr>
    <w:rPr>
      <w:b/>
      <w:bCs/>
      <w:noProof/>
    </w:rPr>
  </w:style>
  <w:style w:type="paragraph" w:styleId="TOC2">
    <w:name w:val="toc 2"/>
    <w:basedOn w:val="Normal"/>
    <w:next w:val="Normal"/>
    <w:autoRedefine/>
    <w:uiPriority w:val="39"/>
    <w:unhideWhenUsed/>
    <w:rsid w:val="00E327DB"/>
    <w:pPr>
      <w:spacing w:after="100"/>
      <w:ind w:left="240"/>
    </w:pPr>
  </w:style>
  <w:style w:type="paragraph" w:styleId="NoSpacing">
    <w:name w:val="No Spacing"/>
    <w:uiPriority w:val="1"/>
    <w:qFormat/>
    <w:rsid w:val="00317C3C"/>
    <w:pPr>
      <w:spacing w:before="240" w:after="240" w:line="360" w:lineRule="auto"/>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hyperlink" Target="https://www.researchgate.net/profile/Jalal-Al-Kayid-2/publication/373433145_The_Role_of_Digital_Transformation_in_Juvenile_Trial/links/6737b4cfa78ba469f062b8b1/The-Role-of-Digital-Transformation-in-Juvenile-Trial.pdf" TargetMode="External"/><Relationship Id="rId39" Type="http://schemas.openxmlformats.org/officeDocument/2006/relationships/hyperlink" Target="https://proceeding.umsu.ac.id/index.php/Miceb/article/download/282/303" TargetMode="External"/><Relationship Id="rId21" Type="http://schemas.openxmlformats.org/officeDocument/2006/relationships/image" Target="media/image7.emf"/><Relationship Id="rId34" Type="http://schemas.openxmlformats.org/officeDocument/2006/relationships/hyperlink" Target="https://papers.ssrn.com/sol3/Delivery.cfm?abstractid=4549624" TargetMode="External"/><Relationship Id="rId42" Type="http://schemas.openxmlformats.org/officeDocument/2006/relationships/hyperlink" Target="https://journal.unesa.ac.id/index.php/aj/article/download/26632/10442" TargetMode="External"/><Relationship Id="rId47" Type="http://schemas.openxmlformats.org/officeDocument/2006/relationships/hyperlink" Target="https://pdfs.semanticscholar.org/35f5/923a958b071288b38d4e960e8268477ec19a.pdf" TargetMode="External"/><Relationship Id="rId50" Type="http://schemas.openxmlformats.org/officeDocument/2006/relationships/chart" Target="charts/chart8.xml"/><Relationship Id="rId55" Type="http://schemas.openxmlformats.org/officeDocument/2006/relationships/chart" Target="charts/chart1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hyperlink" Target="http://journals.iarn.or.id/index.php/ARJ/article/download/208/141" TargetMode="External"/><Relationship Id="rId11" Type="http://schemas.openxmlformats.org/officeDocument/2006/relationships/chart" Target="charts/chart1.xml"/><Relationship Id="rId24" Type="http://schemas.openxmlformats.org/officeDocument/2006/relationships/hyperlink" Target="https://www.legal.isha.or.id/index.php/legal/article/download/622/483" TargetMode="External"/><Relationship Id="rId32" Type="http://schemas.openxmlformats.org/officeDocument/2006/relationships/hyperlink" Target="https://www.econstor.eu/bitstream/10419/317552/1/1807522911.pdf" TargetMode="External"/><Relationship Id="rId37" Type="http://schemas.openxmlformats.org/officeDocument/2006/relationships/hyperlink" Target="https://www.emerald.com/jaar/article-pdf/26/6/205/9873185/jaar-12-2022-0325.pdf" TargetMode="External"/><Relationship Id="rId40" Type="http://schemas.openxmlformats.org/officeDocument/2006/relationships/hyperlink" Target="https://www.shs-conferences.org/articles/shsconf/pdf/2024/01/shsconf_icdeba2023_02019.pdf" TargetMode="External"/><Relationship Id="rId45" Type="http://schemas.openxmlformats.org/officeDocument/2006/relationships/hyperlink" Target="https://www.researchgate.net/profile/Puma-Swarupa/publication/384379000_The_efficiency_of_leverage_liquidity_and_profitability_on_the_corporate_performance_of_selected_manufacturing_companies/links/66f829bbb753fa724d4f04a8/The-efficiency-of-leverage-liquidity-and-profitability-on-the-corporate-performance-of-selected-manufacturing-companies.pdf" TargetMode="External"/><Relationship Id="rId53" Type="http://schemas.openxmlformats.org/officeDocument/2006/relationships/chart" Target="charts/chart11.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4.xml"/><Relationship Id="rId22" Type="http://schemas.openxmlformats.org/officeDocument/2006/relationships/hyperlink" Target="https://pdfs.semanticscholar.org/35a5/bb49f24316b91aca42cd512ab042a58b81c7.pdf" TargetMode="External"/><Relationship Id="rId27" Type="http://schemas.openxmlformats.org/officeDocument/2006/relationships/hyperlink" Target="https://www.journalkeberlanjutan.com/index.php/JoGTA/article/download/1734/1468" TargetMode="External"/><Relationship Id="rId30" Type="http://schemas.openxmlformats.org/officeDocument/2006/relationships/hyperlink" Target="https://copify.ir/wp-content/uploads/2018/01/2018-4.pdf" TargetMode="External"/><Relationship Id="rId35" Type="http://schemas.openxmlformats.org/officeDocument/2006/relationships/hyperlink" Target="https://www.mdpi.com/2227-9091/10/3/63" TargetMode="External"/><Relationship Id="rId43" Type="http://schemas.openxmlformats.org/officeDocument/2006/relationships/hyperlink" Target="https://www.researchgate.net/profile/Bolaji-Adekunle/publication/392502592_Building_a_Working_Capital_Optimization_Model_for_Vendor_and_Distributor_Relationship_Management/links/68454ff7c33afe388acaddae/Building-a-Working-Capital-Optimization-Model-for-Vendor-and-Distributor-Relationship-Management.pdf" TargetMode="External"/><Relationship Id="rId48" Type="http://schemas.openxmlformats.org/officeDocument/2006/relationships/hyperlink" Target="https://papers.ssrn.com/sol3/Delivery.cfm?abstractid=4044719" TargetMode="External"/><Relationship Id="rId56" Type="http://schemas.openxmlformats.org/officeDocument/2006/relationships/chart" Target="charts/chart14.xml"/><Relationship Id="rId8" Type="http://schemas.openxmlformats.org/officeDocument/2006/relationships/image" Target="media/image1.png"/><Relationship Id="rId51" Type="http://schemas.openxmlformats.org/officeDocument/2006/relationships/chart" Target="charts/chart9.xm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4.emf"/><Relationship Id="rId25" Type="http://schemas.openxmlformats.org/officeDocument/2006/relationships/hyperlink" Target="https://www.emerald.com/jmb/article-pdf/2/1/70/1618176/jmb-08-2021-0032.pdf" TargetMode="External"/><Relationship Id="rId33" Type="http://schemas.openxmlformats.org/officeDocument/2006/relationships/hyperlink" Target="https://www.emerald.com/ajeb/article-pdf/8/1/67/9525823/ajeb-03-2022-0033.pdf" TargetMode="External"/><Relationship Id="rId38" Type="http://schemas.openxmlformats.org/officeDocument/2006/relationships/hyperlink" Target="https://www.researchgate.net/profile/Kelvin-Adim-Mordi/publication/394032413_Financial_Flexibility_in_RD_Investment_A_Study_of_Operating_Cash_Flow_Earnings_before_Interest_and_Tax_and_Gearing_Ratio/links/68854a77253dcb78df887e25/Financial-Flexibility-in-R-D-Investment-A-Study-of-Operating-Cash-Flow-Earnings-before-Interest-and-Tax-and-Gearing-Ratio.pdf" TargetMode="External"/><Relationship Id="rId46" Type="http://schemas.openxmlformats.org/officeDocument/2006/relationships/hyperlink" Target="https://ejournal.seaninstitute.or.id/index.php/JMS/article/download/7114/5403" TargetMode="External"/><Relationship Id="rId59" Type="http://schemas.openxmlformats.org/officeDocument/2006/relationships/theme" Target="theme/theme1.xml"/><Relationship Id="rId20" Type="http://schemas.openxmlformats.org/officeDocument/2006/relationships/image" Target="media/image6.emf"/><Relationship Id="rId41" Type="http://schemas.openxmlformats.org/officeDocument/2006/relationships/hyperlink" Target="https://www.researchgate.net/profile/Orjinta-Ifeoma/publication/398512322_Gearing_Ratios_and_Performance_Evidence_from_Consumer_Goods_Firms_in_Nigeria/links/6938da9c7e61d05b530d1f75/Gearing-Ratios-and-Performance-Evidence-from-Consumer-Goods-Firms-in-Nigeria.pdf" TargetMode="External"/><Relationship Id="rId54"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hyperlink" Target="https://ejournal.warmadewa.ac.id/index.php/wmbj/article/view/14517/7274" TargetMode="External"/><Relationship Id="rId28" Type="http://schemas.openxmlformats.org/officeDocument/2006/relationships/hyperlink" Target="https://pdfs.semanticscholar.org/b297/a823988fa5f3b58516df9f08c16c2c20d0e5.pdf" TargetMode="External"/><Relationship Id="rId36" Type="http://schemas.openxmlformats.org/officeDocument/2006/relationships/hyperlink" Target="https://www.mdpi.com/2227-7390/10/6/951" TargetMode="External"/><Relationship Id="rId49" Type="http://schemas.openxmlformats.org/officeDocument/2006/relationships/hyperlink" Target="http://ojs.feb.uajm.ac.id/index.php/simak/article/download/658/342" TargetMode="External"/><Relationship Id="rId57" Type="http://schemas.openxmlformats.org/officeDocument/2006/relationships/footer" Target="footer1.xml"/><Relationship Id="rId10" Type="http://schemas.openxmlformats.org/officeDocument/2006/relationships/image" Target="media/image3.emf"/><Relationship Id="rId31" Type="http://schemas.openxmlformats.org/officeDocument/2006/relationships/hyperlink" Target="https://jurnal.ibik.ac.id/index.php/jimkes/article/download/2742/1966" TargetMode="External"/><Relationship Id="rId44" Type="http://schemas.openxmlformats.org/officeDocument/2006/relationships/hyperlink" Target="https://icanig.org/documents/23_CASH_FLOW_LIQUIDITY_AND_CAPITAL_STRUCTURE.pdf" TargetMode="External"/><Relationship Id="rId52"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Syn\Work\2026\July%20'26\15.07.2026\TS_55280\TS_55280%20%5bcalculations%5d.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Profitability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Sheet1!$I$2</c:f>
              <c:strCache>
                <c:ptCount val="1"/>
                <c:pt idx="0">
                  <c:v>Operating Profit Margin (OPM)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Sheet1!$K$2:$O$2</c:f>
              <c:numCache>
                <c:formatCode>0.00%</c:formatCode>
                <c:ptCount val="5"/>
                <c:pt idx="0">
                  <c:v>9.5201387550587782E-2</c:v>
                </c:pt>
                <c:pt idx="1">
                  <c:v>0.12756449319520619</c:v>
                </c:pt>
                <c:pt idx="2">
                  <c:v>0.2305363321799308</c:v>
                </c:pt>
                <c:pt idx="3">
                  <c:v>0.26760925449871464</c:v>
                </c:pt>
                <c:pt idx="4">
                  <c:v>0.41168384879725084</c:v>
                </c:pt>
              </c:numCache>
            </c:numRef>
          </c:val>
          <c:extLst>
            <c:ext xmlns:c16="http://schemas.microsoft.com/office/drawing/2014/chart" uri="{C3380CC4-5D6E-409C-BE32-E72D297353CC}">
              <c16:uniqueId val="{00000000-0774-456F-919F-84162463D165}"/>
            </c:ext>
          </c:extLst>
        </c:ser>
        <c:ser>
          <c:idx val="1"/>
          <c:order val="1"/>
          <c:tx>
            <c:strRef>
              <c:f>Sheet1!$I$3</c:f>
              <c:strCache>
                <c:ptCount val="1"/>
                <c:pt idx="0">
                  <c:v>Net Profit Margin (NPM)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Sheet1!$K$3:$O$3</c:f>
              <c:numCache>
                <c:formatCode>0.00%</c:formatCode>
                <c:ptCount val="5"/>
                <c:pt idx="0">
                  <c:v>5.1262285604162655E-2</c:v>
                </c:pt>
                <c:pt idx="1">
                  <c:v>7.6173065204143811E-2</c:v>
                </c:pt>
                <c:pt idx="2">
                  <c:v>0.16219723183391002</c:v>
                </c:pt>
                <c:pt idx="3">
                  <c:v>0.16143958868894601</c:v>
                </c:pt>
                <c:pt idx="4">
                  <c:v>0.26048109965635741</c:v>
                </c:pt>
              </c:numCache>
            </c:numRef>
          </c:val>
          <c:extLst>
            <c:ext xmlns:c16="http://schemas.microsoft.com/office/drawing/2014/chart" uri="{C3380CC4-5D6E-409C-BE32-E72D297353CC}">
              <c16:uniqueId val="{00000001-0774-456F-919F-84162463D165}"/>
            </c:ext>
          </c:extLst>
        </c:ser>
        <c:ser>
          <c:idx val="2"/>
          <c:order val="2"/>
          <c:tx>
            <c:strRef>
              <c:f>Sheet1!$I$4</c:f>
              <c:strCache>
                <c:ptCount val="1"/>
                <c:pt idx="0">
                  <c:v>Return on Assets (ROA)</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2.5462668816039986E-17"/>
                  <c:y val="8.796296296296296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774-456F-919F-84162463D165}"/>
                </c:ext>
              </c:extLst>
            </c:dLbl>
            <c:dLbl>
              <c:idx val="1"/>
              <c:layout>
                <c:manualLayout>
                  <c:x val="0"/>
                  <c:y val="0.1296296296296296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774-456F-919F-84162463D165}"/>
                </c:ext>
              </c:extLst>
            </c:dLbl>
            <c:dLbl>
              <c:idx val="2"/>
              <c:layout>
                <c:manualLayout>
                  <c:x val="2.7777777777777779E-3"/>
                  <c:y val="0.1898148148148147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774-456F-919F-84162463D165}"/>
                </c:ext>
              </c:extLst>
            </c:dLbl>
            <c:dLbl>
              <c:idx val="3"/>
              <c:layout>
                <c:manualLayout>
                  <c:x val="0"/>
                  <c:y val="0.1805555555555555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774-456F-919F-84162463D165}"/>
                </c:ext>
              </c:extLst>
            </c:dLbl>
            <c:dLbl>
              <c:idx val="4"/>
              <c:layout>
                <c:manualLayout>
                  <c:x val="2.7777777777777779E-3"/>
                  <c:y val="0.1666666666666668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774-456F-919F-84162463D165}"/>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Sheet1!$K$4:$O$4</c:f>
              <c:numCache>
                <c:formatCode>0.00%</c:formatCode>
                <c:ptCount val="5"/>
                <c:pt idx="0">
                  <c:v>5.6403731976251058E-2</c:v>
                </c:pt>
                <c:pt idx="1">
                  <c:v>8.8946869070208726E-2</c:v>
                </c:pt>
                <c:pt idx="2">
                  <c:v>0.15582796592561812</c:v>
                </c:pt>
                <c:pt idx="3">
                  <c:v>0.13226621735467564</c:v>
                </c:pt>
                <c:pt idx="4">
                  <c:v>0.14181478016838167</c:v>
                </c:pt>
              </c:numCache>
            </c:numRef>
          </c:val>
          <c:extLst>
            <c:ext xmlns:c16="http://schemas.microsoft.com/office/drawing/2014/chart" uri="{C3380CC4-5D6E-409C-BE32-E72D297353CC}">
              <c16:uniqueId val="{00000007-0774-456F-919F-84162463D165}"/>
            </c:ext>
          </c:extLst>
        </c:ser>
        <c:ser>
          <c:idx val="3"/>
          <c:order val="3"/>
          <c:tx>
            <c:strRef>
              <c:f>Sheet1!$I$5</c:f>
              <c:strCache>
                <c:ptCount val="1"/>
                <c:pt idx="0">
                  <c:v>Return on Equity (ROE)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Sheet1!$K$5:$O$5</c:f>
              <c:numCache>
                <c:formatCode>0.00%</c:formatCode>
                <c:ptCount val="5"/>
                <c:pt idx="0">
                  <c:v>7.9975947083583881E-2</c:v>
                </c:pt>
                <c:pt idx="1">
                  <c:v>0.13232180663373325</c:v>
                </c:pt>
                <c:pt idx="2">
                  <c:v>0.20879732739420936</c:v>
                </c:pt>
                <c:pt idx="3">
                  <c:v>0.17028199566160521</c:v>
                </c:pt>
                <c:pt idx="4">
                  <c:v>0.16453223355762969</c:v>
                </c:pt>
              </c:numCache>
            </c:numRef>
          </c:val>
          <c:extLst>
            <c:ext xmlns:c16="http://schemas.microsoft.com/office/drawing/2014/chart" uri="{C3380CC4-5D6E-409C-BE32-E72D297353CC}">
              <c16:uniqueId val="{00000008-0774-456F-919F-84162463D165}"/>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accent1"/>
      </a:solidFill>
      <a:round/>
    </a:ln>
    <a:effectLst/>
  </c:spPr>
  <c:txPr>
    <a:bodyPr/>
    <a:lstStyle/>
    <a:p>
      <a:pPr>
        <a:defRPr b="1"/>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Liquidity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Sheet1!$I$6</c:f>
              <c:strCache>
                <c:ptCount val="1"/>
                <c:pt idx="0">
                  <c:v>Current Ratio (CR)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Sheet1!$K$6:$O$6</c:f>
              <c:numCache>
                <c:formatCode>0.00</c:formatCode>
                <c:ptCount val="5"/>
                <c:pt idx="0">
                  <c:v>1.2721674876847291</c:v>
                </c:pt>
                <c:pt idx="1">
                  <c:v>1.0867875647668395</c:v>
                </c:pt>
                <c:pt idx="2">
                  <c:v>0.97214611872146117</c:v>
                </c:pt>
                <c:pt idx="3">
                  <c:v>0.96939834024896265</c:v>
                </c:pt>
                <c:pt idx="4">
                  <c:v>0.97571428571428576</c:v>
                </c:pt>
              </c:numCache>
            </c:numRef>
          </c:val>
          <c:extLst>
            <c:ext xmlns:c16="http://schemas.microsoft.com/office/drawing/2014/chart" uri="{C3380CC4-5D6E-409C-BE32-E72D297353CC}">
              <c16:uniqueId val="{00000000-FAFB-44E0-98CF-E8058B7B5348}"/>
            </c:ext>
          </c:extLst>
        </c:ser>
        <c:ser>
          <c:idx val="1"/>
          <c:order val="1"/>
          <c:tx>
            <c:strRef>
              <c:f>Sheet1!$I$7</c:f>
              <c:strCache>
                <c:ptCount val="1"/>
                <c:pt idx="0">
                  <c:v>Quick Ratio (QR)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Sheet1!$K$7:$O$7</c:f>
              <c:numCache>
                <c:formatCode>0.00</c:formatCode>
                <c:ptCount val="5"/>
                <c:pt idx="0">
                  <c:v>1.2697044334975369</c:v>
                </c:pt>
                <c:pt idx="1">
                  <c:v>1.0841968911917099</c:v>
                </c:pt>
                <c:pt idx="2">
                  <c:v>0.97031963470319638</c:v>
                </c:pt>
                <c:pt idx="3">
                  <c:v>0.96680497925311204</c:v>
                </c:pt>
                <c:pt idx="4">
                  <c:v>0.97333333333333338</c:v>
                </c:pt>
              </c:numCache>
            </c:numRef>
          </c:val>
          <c:extLst>
            <c:ext xmlns:c16="http://schemas.microsoft.com/office/drawing/2014/chart" uri="{C3380CC4-5D6E-409C-BE32-E72D297353CC}">
              <c16:uniqueId val="{00000001-FAFB-44E0-98CF-E8058B7B5348}"/>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Efficiency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Sheet1!$I$8</c:f>
              <c:strCache>
                <c:ptCount val="1"/>
                <c:pt idx="0">
                  <c:v>Days Inventory Outstanding (DIO)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Sheet1!$K$8:$O$8</c:f>
              <c:numCache>
                <c:formatCode>0.00</c:formatCode>
                <c:ptCount val="5"/>
                <c:pt idx="0">
                  <c:v>3.0041152263374489</c:v>
                </c:pt>
                <c:pt idx="1">
                  <c:v>2.5704225352112675</c:v>
                </c:pt>
                <c:pt idx="2">
                  <c:v>1.9676549865229112</c:v>
                </c:pt>
                <c:pt idx="3">
                  <c:v>2.4496644295302015</c:v>
                </c:pt>
                <c:pt idx="4">
                  <c:v>2.3887434554973823</c:v>
                </c:pt>
              </c:numCache>
            </c:numRef>
          </c:val>
          <c:extLst>
            <c:ext xmlns:c16="http://schemas.microsoft.com/office/drawing/2014/chart" uri="{C3380CC4-5D6E-409C-BE32-E72D297353CC}">
              <c16:uniqueId val="{00000000-180F-4A78-A86D-3B0723216888}"/>
            </c:ext>
          </c:extLst>
        </c:ser>
        <c:ser>
          <c:idx val="1"/>
          <c:order val="1"/>
          <c:tx>
            <c:strRef>
              <c:f>Sheet1!$I$9</c:f>
              <c:strCache>
                <c:ptCount val="1"/>
                <c:pt idx="0">
                  <c:v>Days Sales Outstanding (DSO)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Sheet1!$K$9:$O$9</c:f>
              <c:numCache>
                <c:formatCode>0.00</c:formatCode>
                <c:ptCount val="5"/>
                <c:pt idx="0">
                  <c:v>38.335902871458856</c:v>
                </c:pt>
                <c:pt idx="1">
                  <c:v>40.852122689417023</c:v>
                </c:pt>
                <c:pt idx="2">
                  <c:v>61.9647491349481</c:v>
                </c:pt>
                <c:pt idx="3">
                  <c:v>78.160668380462724</c:v>
                </c:pt>
                <c:pt idx="4">
                  <c:v>108.12027491408935</c:v>
                </c:pt>
              </c:numCache>
            </c:numRef>
          </c:val>
          <c:extLst>
            <c:ext xmlns:c16="http://schemas.microsoft.com/office/drawing/2014/chart" uri="{C3380CC4-5D6E-409C-BE32-E72D297353CC}">
              <c16:uniqueId val="{00000001-180F-4A78-A86D-3B0723216888}"/>
            </c:ext>
          </c:extLst>
        </c:ser>
        <c:ser>
          <c:idx val="2"/>
          <c:order val="2"/>
          <c:tx>
            <c:strRef>
              <c:f>Sheet1!$I$10</c:f>
              <c:strCache>
                <c:ptCount val="1"/>
                <c:pt idx="0">
                  <c:v>Days Payable Outstanding (DPO)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Sheet1!$K$10:$O$10</c:f>
              <c:numCache>
                <c:formatCode>0.00</c:formatCode>
                <c:ptCount val="5"/>
                <c:pt idx="0">
                  <c:v>434.84567901234567</c:v>
                </c:pt>
                <c:pt idx="1">
                  <c:v>447.89612676056339</c:v>
                </c:pt>
                <c:pt idx="2">
                  <c:v>349.75067385444743</c:v>
                </c:pt>
                <c:pt idx="3">
                  <c:v>318.45637583892614</c:v>
                </c:pt>
                <c:pt idx="4">
                  <c:v>354.96727748691097</c:v>
                </c:pt>
              </c:numCache>
            </c:numRef>
          </c:val>
          <c:extLst>
            <c:ext xmlns:c16="http://schemas.microsoft.com/office/drawing/2014/chart" uri="{C3380CC4-5D6E-409C-BE32-E72D297353CC}">
              <c16:uniqueId val="{00000002-180F-4A78-A86D-3B0723216888}"/>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accent1"/>
      </a:solidFill>
      <a:round/>
    </a:ln>
    <a:effectLst/>
  </c:spPr>
  <c:txPr>
    <a:bodyPr/>
    <a:lstStyle/>
    <a:p>
      <a:pPr>
        <a:defRPr b="1"/>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Gearing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Sheet1!$I$11</c:f>
              <c:strCache>
                <c:ptCount val="1"/>
                <c:pt idx="0">
                  <c:v>Debt-to-Equity (DTE)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Sheet1!$K$11:$O$11</c:f>
              <c:numCache>
                <c:formatCode>0.00</c:formatCode>
                <c:ptCount val="5"/>
                <c:pt idx="0">
                  <c:v>2.2564450474898234</c:v>
                </c:pt>
                <c:pt idx="1">
                  <c:v>1.7624378109452736</c:v>
                </c:pt>
                <c:pt idx="2">
                  <c:v>1.8458376156217884</c:v>
                </c:pt>
                <c:pt idx="3">
                  <c:v>1.5979202772963605</c:v>
                </c:pt>
                <c:pt idx="4">
                  <c:v>1.683845029239766</c:v>
                </c:pt>
              </c:numCache>
            </c:numRef>
          </c:val>
          <c:extLst>
            <c:ext xmlns:c16="http://schemas.microsoft.com/office/drawing/2014/chart" uri="{C3380CC4-5D6E-409C-BE32-E72D297353CC}">
              <c16:uniqueId val="{00000000-2F66-44DD-8A16-6B305E8D8F7E}"/>
            </c:ext>
          </c:extLst>
        </c:ser>
        <c:ser>
          <c:idx val="1"/>
          <c:order val="1"/>
          <c:tx>
            <c:strRef>
              <c:f>Sheet1!$I$12</c:f>
              <c:strCache>
                <c:ptCount val="1"/>
                <c:pt idx="0">
                  <c:v>Debt-to-Assets (DTA)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Sheet1!$K$12:$O$12</c:f>
              <c:numCache>
                <c:formatCode>0.00</c:formatCode>
                <c:ptCount val="5"/>
                <c:pt idx="0">
                  <c:v>0.70525869380831208</c:v>
                </c:pt>
                <c:pt idx="1">
                  <c:v>0.67220113851992414</c:v>
                </c:pt>
                <c:pt idx="2">
                  <c:v>0.74631207147309375</c:v>
                </c:pt>
                <c:pt idx="3">
                  <c:v>0.77674810446503795</c:v>
                </c:pt>
                <c:pt idx="4">
                  <c:v>0.86192703461178677</c:v>
                </c:pt>
              </c:numCache>
            </c:numRef>
          </c:val>
          <c:extLst>
            <c:ext xmlns:c16="http://schemas.microsoft.com/office/drawing/2014/chart" uri="{C3380CC4-5D6E-409C-BE32-E72D297353CC}">
              <c16:uniqueId val="{00000001-2F66-44DD-8A16-6B305E8D8F7E}"/>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accent1"/>
      </a:solidFill>
      <a:round/>
    </a:ln>
    <a:effectLst/>
  </c:spPr>
  <c:txPr>
    <a:bodyPr/>
    <a:lstStyle/>
    <a:p>
      <a:pPr>
        <a:defRPr b="1"/>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Investment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Sheet1!$I$13</c:f>
              <c:strCache>
                <c:ptCount val="1"/>
                <c:pt idx="0">
                  <c:v>Price-to-Earnings (P/E)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Sheet1!$K$13:$O$13</c:f>
              <c:numCache>
                <c:formatCode>0.00</c:formatCode>
                <c:ptCount val="5"/>
                <c:pt idx="0">
                  <c:v>43.687074829931973</c:v>
                </c:pt>
                <c:pt idx="1">
                  <c:v>27.791262135922331</c:v>
                </c:pt>
                <c:pt idx="2">
                  <c:v>20.249433106575964</c:v>
                </c:pt>
                <c:pt idx="3">
                  <c:v>29.901298701298703</c:v>
                </c:pt>
                <c:pt idx="4">
                  <c:v>24.938398357289529</c:v>
                </c:pt>
              </c:numCache>
            </c:numRef>
          </c:val>
          <c:extLst>
            <c:ext xmlns:c16="http://schemas.microsoft.com/office/drawing/2014/chart" uri="{C3380CC4-5D6E-409C-BE32-E72D297353CC}">
              <c16:uniqueId val="{00000000-B685-485D-A41A-FA49575ADD1B}"/>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accent1"/>
      </a:solidFill>
      <a:round/>
    </a:ln>
    <a:effectLst/>
  </c:spPr>
  <c:txPr>
    <a:bodyPr/>
    <a:lstStyle/>
    <a:p>
      <a:pPr>
        <a:defRPr b="1"/>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Cash</a:t>
            </a:r>
            <a:r>
              <a:rPr lang="en-US" baseline="0"/>
              <a:t> Flow</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Sheet1!$I$14</c:f>
              <c:strCache>
                <c:ptCount val="1"/>
                <c:pt idx="0">
                  <c:v>Operating Cash Flow Margin (OCFM)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Sheet1!$K$14:$O$14</c:f>
              <c:numCache>
                <c:formatCode>0.00%</c:formatCode>
                <c:ptCount val="5"/>
                <c:pt idx="0">
                  <c:v>0.12256696858739642</c:v>
                </c:pt>
                <c:pt idx="1">
                  <c:v>0.13122080032500508</c:v>
                </c:pt>
                <c:pt idx="2">
                  <c:v>0.19312283737024222</c:v>
                </c:pt>
                <c:pt idx="3">
                  <c:v>0.18611825192802056</c:v>
                </c:pt>
                <c:pt idx="4">
                  <c:v>0.30859106529209623</c:v>
                </c:pt>
              </c:numCache>
            </c:numRef>
          </c:val>
          <c:extLst>
            <c:ext xmlns:c16="http://schemas.microsoft.com/office/drawing/2014/chart" uri="{C3380CC4-5D6E-409C-BE32-E72D297353CC}">
              <c16:uniqueId val="{00000000-BB12-45B4-AD70-8FB172D1CAC2}"/>
            </c:ext>
          </c:extLst>
        </c:ser>
        <c:ser>
          <c:idx val="1"/>
          <c:order val="1"/>
          <c:tx>
            <c:strRef>
              <c:f>Sheet1!$I$15</c:f>
              <c:strCache>
                <c:ptCount val="1"/>
                <c:pt idx="0">
                  <c:v>Free Cash Flow Margin (FCFM)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Sheet1!$K$15:$O$15</c:f>
              <c:numCache>
                <c:formatCode>0.00%</c:formatCode>
                <c:ptCount val="5"/>
                <c:pt idx="0">
                  <c:v>0.1088841780689921</c:v>
                </c:pt>
                <c:pt idx="1">
                  <c:v>0.11537680276254317</c:v>
                </c:pt>
                <c:pt idx="2">
                  <c:v>0.17711937716262977</c:v>
                </c:pt>
                <c:pt idx="3">
                  <c:v>0.16838046272493573</c:v>
                </c:pt>
                <c:pt idx="4">
                  <c:v>0.28213058419243986</c:v>
                </c:pt>
              </c:numCache>
            </c:numRef>
          </c:val>
          <c:extLst>
            <c:ext xmlns:c16="http://schemas.microsoft.com/office/drawing/2014/chart" uri="{C3380CC4-5D6E-409C-BE32-E72D297353CC}">
              <c16:uniqueId val="{00000001-BB12-45B4-AD70-8FB172D1CAC2}"/>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accent1"/>
      </a:solidFill>
      <a:round/>
    </a:ln>
    <a:effectLst/>
  </c:spPr>
  <c:txPr>
    <a:bodyPr/>
    <a:lstStyle/>
    <a:p>
      <a:pPr>
        <a:defRPr b="1"/>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Sheet2!$F$2</c:f>
              <c:strCache>
                <c:ptCount val="1"/>
                <c:pt idx="0">
                  <c:v>Cash Operating Cycle (Days)</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f>Sheet2!$B$3:$B$7</c:f>
              <c:numCache>
                <c:formatCode>0</c:formatCode>
                <c:ptCount val="5"/>
                <c:pt idx="0">
                  <c:v>2021</c:v>
                </c:pt>
                <c:pt idx="1">
                  <c:v>2022</c:v>
                </c:pt>
                <c:pt idx="2">
                  <c:v>2023</c:v>
                </c:pt>
                <c:pt idx="3">
                  <c:v>2024</c:v>
                </c:pt>
                <c:pt idx="4">
                  <c:v>2025</c:v>
                </c:pt>
              </c:numCache>
            </c:numRef>
          </c:cat>
          <c:val>
            <c:numRef>
              <c:f>Sheet2!$F$3:$F$7</c:f>
              <c:numCache>
                <c:formatCode>General</c:formatCode>
                <c:ptCount val="5"/>
                <c:pt idx="0">
                  <c:v>-393.51</c:v>
                </c:pt>
                <c:pt idx="1">
                  <c:v>-404.47999999999996</c:v>
                </c:pt>
                <c:pt idx="2">
                  <c:v>-285.82</c:v>
                </c:pt>
                <c:pt idx="3">
                  <c:v>-237.84999999999997</c:v>
                </c:pt>
                <c:pt idx="4">
                  <c:v>-244.46000000000004</c:v>
                </c:pt>
              </c:numCache>
            </c:numRef>
          </c:val>
          <c:smooth val="0"/>
          <c:extLst>
            <c:ext xmlns:c16="http://schemas.microsoft.com/office/drawing/2014/chart" uri="{C3380CC4-5D6E-409C-BE32-E72D297353CC}">
              <c16:uniqueId val="{00000000-2FC2-4047-B0C2-7AEC6E60D6C3}"/>
            </c:ext>
          </c:extLst>
        </c:ser>
        <c:dLbls>
          <c:showLegendKey val="0"/>
          <c:showVal val="0"/>
          <c:showCatName val="0"/>
          <c:showSerName val="0"/>
          <c:showPercent val="0"/>
          <c:showBubbleSize val="0"/>
        </c:dLbls>
        <c:marker val="1"/>
        <c:smooth val="0"/>
        <c:axId val="1459292816"/>
        <c:axId val="1517185488"/>
      </c:lineChart>
      <c:catAx>
        <c:axId val="1459292816"/>
        <c:scaling>
          <c:orientation val="minMax"/>
        </c:scaling>
        <c:delete val="0"/>
        <c:axPos val="b"/>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crossAx val="1517185488"/>
        <c:crosses val="autoZero"/>
        <c:auto val="1"/>
        <c:lblAlgn val="ctr"/>
        <c:lblOffset val="100"/>
        <c:noMultiLvlLbl val="0"/>
      </c:catAx>
      <c:valAx>
        <c:axId val="1517185488"/>
        <c:scaling>
          <c:orientation val="minMax"/>
        </c:scaling>
        <c:delete val="0"/>
        <c:axPos val="l"/>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592928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a:solidFill>
        <a:schemeClr val="accent1"/>
      </a:solidFill>
      <a:round/>
    </a:ln>
    <a:effectLst/>
  </c:spPr>
  <c:txPr>
    <a:bodyPr/>
    <a:lstStyle/>
    <a:p>
      <a:pPr>
        <a:defRPr b="1"/>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Profitability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Sheet1!$I$2</c:f>
              <c:strCache>
                <c:ptCount val="1"/>
                <c:pt idx="0">
                  <c:v>Operating Profit Margin (OPM)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Sheet1!$K$2:$O$2</c:f>
              <c:numCache>
                <c:formatCode>0.00%</c:formatCode>
                <c:ptCount val="5"/>
                <c:pt idx="0">
                  <c:v>9.5201387550587782E-2</c:v>
                </c:pt>
                <c:pt idx="1">
                  <c:v>0.12756449319520619</c:v>
                </c:pt>
                <c:pt idx="2">
                  <c:v>0.2305363321799308</c:v>
                </c:pt>
                <c:pt idx="3">
                  <c:v>0.26760925449871464</c:v>
                </c:pt>
                <c:pt idx="4">
                  <c:v>0.41168384879725084</c:v>
                </c:pt>
              </c:numCache>
            </c:numRef>
          </c:val>
          <c:extLst>
            <c:ext xmlns:c16="http://schemas.microsoft.com/office/drawing/2014/chart" uri="{C3380CC4-5D6E-409C-BE32-E72D297353CC}">
              <c16:uniqueId val="{00000000-AB42-4FD1-90BC-92FB1F385944}"/>
            </c:ext>
          </c:extLst>
        </c:ser>
        <c:ser>
          <c:idx val="1"/>
          <c:order val="1"/>
          <c:tx>
            <c:strRef>
              <c:f>Sheet1!$I$3</c:f>
              <c:strCache>
                <c:ptCount val="1"/>
                <c:pt idx="0">
                  <c:v>Net Profit Margin (NPM)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Sheet1!$K$3:$O$3</c:f>
              <c:numCache>
                <c:formatCode>0.00%</c:formatCode>
                <c:ptCount val="5"/>
                <c:pt idx="0">
                  <c:v>5.1262285604162655E-2</c:v>
                </c:pt>
                <c:pt idx="1">
                  <c:v>7.6173065204143811E-2</c:v>
                </c:pt>
                <c:pt idx="2">
                  <c:v>0.16219723183391002</c:v>
                </c:pt>
                <c:pt idx="3">
                  <c:v>0.16143958868894601</c:v>
                </c:pt>
                <c:pt idx="4">
                  <c:v>0.26048109965635741</c:v>
                </c:pt>
              </c:numCache>
            </c:numRef>
          </c:val>
          <c:extLst>
            <c:ext xmlns:c16="http://schemas.microsoft.com/office/drawing/2014/chart" uri="{C3380CC4-5D6E-409C-BE32-E72D297353CC}">
              <c16:uniqueId val="{00000001-AB42-4FD1-90BC-92FB1F385944}"/>
            </c:ext>
          </c:extLst>
        </c:ser>
        <c:ser>
          <c:idx val="2"/>
          <c:order val="2"/>
          <c:tx>
            <c:strRef>
              <c:f>Sheet1!$I$4</c:f>
              <c:strCache>
                <c:ptCount val="1"/>
                <c:pt idx="0">
                  <c:v>Return on Assets (ROA)</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layout>
                <c:manualLayout>
                  <c:x val="2.5462668816039986E-17"/>
                  <c:y val="8.796296296296296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B42-4FD1-90BC-92FB1F385944}"/>
                </c:ext>
              </c:extLst>
            </c:dLbl>
            <c:dLbl>
              <c:idx val="1"/>
              <c:layout>
                <c:manualLayout>
                  <c:x val="0"/>
                  <c:y val="0.1296296296296296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B42-4FD1-90BC-92FB1F385944}"/>
                </c:ext>
              </c:extLst>
            </c:dLbl>
            <c:dLbl>
              <c:idx val="2"/>
              <c:layout>
                <c:manualLayout>
                  <c:x val="2.7777777777777779E-3"/>
                  <c:y val="0.1898148148148147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B42-4FD1-90BC-92FB1F385944}"/>
                </c:ext>
              </c:extLst>
            </c:dLbl>
            <c:dLbl>
              <c:idx val="3"/>
              <c:layout>
                <c:manualLayout>
                  <c:x val="0"/>
                  <c:y val="0.1805555555555555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B42-4FD1-90BC-92FB1F385944}"/>
                </c:ext>
              </c:extLst>
            </c:dLbl>
            <c:dLbl>
              <c:idx val="4"/>
              <c:layout>
                <c:manualLayout>
                  <c:x val="2.7777777777777779E-3"/>
                  <c:y val="0.1666666666666668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B42-4FD1-90BC-92FB1F385944}"/>
                </c:ext>
              </c:extLst>
            </c:dLbl>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Sheet1!$K$4:$O$4</c:f>
              <c:numCache>
                <c:formatCode>0.00%</c:formatCode>
                <c:ptCount val="5"/>
                <c:pt idx="0">
                  <c:v>5.6403731976251058E-2</c:v>
                </c:pt>
                <c:pt idx="1">
                  <c:v>8.8946869070208726E-2</c:v>
                </c:pt>
                <c:pt idx="2">
                  <c:v>0.15582796592561812</c:v>
                </c:pt>
                <c:pt idx="3">
                  <c:v>0.13226621735467564</c:v>
                </c:pt>
                <c:pt idx="4">
                  <c:v>0.14181478016838167</c:v>
                </c:pt>
              </c:numCache>
            </c:numRef>
          </c:val>
          <c:extLst>
            <c:ext xmlns:c16="http://schemas.microsoft.com/office/drawing/2014/chart" uri="{C3380CC4-5D6E-409C-BE32-E72D297353CC}">
              <c16:uniqueId val="{00000007-AB42-4FD1-90BC-92FB1F385944}"/>
            </c:ext>
          </c:extLst>
        </c:ser>
        <c:ser>
          <c:idx val="3"/>
          <c:order val="3"/>
          <c:tx>
            <c:strRef>
              <c:f>Sheet1!$I$5</c:f>
              <c:strCache>
                <c:ptCount val="1"/>
                <c:pt idx="0">
                  <c:v>Return on Equity (ROE)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Sheet1!$K$5:$O$5</c:f>
              <c:numCache>
                <c:formatCode>0.00%</c:formatCode>
                <c:ptCount val="5"/>
                <c:pt idx="0">
                  <c:v>7.9975947083583881E-2</c:v>
                </c:pt>
                <c:pt idx="1">
                  <c:v>0.13232180663373325</c:v>
                </c:pt>
                <c:pt idx="2">
                  <c:v>0.20879732739420936</c:v>
                </c:pt>
                <c:pt idx="3">
                  <c:v>0.17028199566160521</c:v>
                </c:pt>
                <c:pt idx="4">
                  <c:v>0.16453223355762969</c:v>
                </c:pt>
              </c:numCache>
            </c:numRef>
          </c:val>
          <c:extLst>
            <c:ext xmlns:c16="http://schemas.microsoft.com/office/drawing/2014/chart" uri="{C3380CC4-5D6E-409C-BE32-E72D297353CC}">
              <c16:uniqueId val="{00000008-AB42-4FD1-90BC-92FB1F385944}"/>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b="1"/>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Liquidity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Sheet1!$I$6</c:f>
              <c:strCache>
                <c:ptCount val="1"/>
                <c:pt idx="0">
                  <c:v>Current Ratio (CR)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Sheet1!$K$6:$O$6</c:f>
              <c:numCache>
                <c:formatCode>0.00</c:formatCode>
                <c:ptCount val="5"/>
                <c:pt idx="0">
                  <c:v>1.2721674876847291</c:v>
                </c:pt>
                <c:pt idx="1">
                  <c:v>1.0867875647668395</c:v>
                </c:pt>
                <c:pt idx="2">
                  <c:v>0.97214611872146117</c:v>
                </c:pt>
                <c:pt idx="3">
                  <c:v>0.96939834024896265</c:v>
                </c:pt>
                <c:pt idx="4">
                  <c:v>0.97571428571428576</c:v>
                </c:pt>
              </c:numCache>
            </c:numRef>
          </c:val>
          <c:extLst>
            <c:ext xmlns:c16="http://schemas.microsoft.com/office/drawing/2014/chart" uri="{C3380CC4-5D6E-409C-BE32-E72D297353CC}">
              <c16:uniqueId val="{00000000-2418-4041-9F38-3EC597A27CF3}"/>
            </c:ext>
          </c:extLst>
        </c:ser>
        <c:ser>
          <c:idx val="1"/>
          <c:order val="1"/>
          <c:tx>
            <c:strRef>
              <c:f>Sheet1!$I$7</c:f>
              <c:strCache>
                <c:ptCount val="1"/>
                <c:pt idx="0">
                  <c:v>Quick Ratio (QR)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Sheet1!$K$7:$O$7</c:f>
              <c:numCache>
                <c:formatCode>0.00</c:formatCode>
                <c:ptCount val="5"/>
                <c:pt idx="0">
                  <c:v>1.2697044334975369</c:v>
                </c:pt>
                <c:pt idx="1">
                  <c:v>1.0841968911917099</c:v>
                </c:pt>
                <c:pt idx="2">
                  <c:v>0.97031963470319638</c:v>
                </c:pt>
                <c:pt idx="3">
                  <c:v>0.96680497925311204</c:v>
                </c:pt>
                <c:pt idx="4">
                  <c:v>0.97333333333333338</c:v>
                </c:pt>
              </c:numCache>
            </c:numRef>
          </c:val>
          <c:extLst>
            <c:ext xmlns:c16="http://schemas.microsoft.com/office/drawing/2014/chart" uri="{C3380CC4-5D6E-409C-BE32-E72D297353CC}">
              <c16:uniqueId val="{00000001-2418-4041-9F38-3EC597A27CF3}"/>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b="1"/>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Efficiency</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Sheet1!$I$8</c:f>
              <c:strCache>
                <c:ptCount val="1"/>
                <c:pt idx="0">
                  <c:v>Days Inventory Outstanding (DIO)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Sheet1!$K$8:$O$8</c:f>
              <c:numCache>
                <c:formatCode>0.00</c:formatCode>
                <c:ptCount val="5"/>
                <c:pt idx="0">
                  <c:v>3.0041152263374489</c:v>
                </c:pt>
                <c:pt idx="1">
                  <c:v>2.5704225352112675</c:v>
                </c:pt>
                <c:pt idx="2">
                  <c:v>1.9676549865229112</c:v>
                </c:pt>
                <c:pt idx="3">
                  <c:v>2.4496644295302015</c:v>
                </c:pt>
                <c:pt idx="4">
                  <c:v>2.3887434554973823</c:v>
                </c:pt>
              </c:numCache>
            </c:numRef>
          </c:val>
          <c:extLst>
            <c:ext xmlns:c16="http://schemas.microsoft.com/office/drawing/2014/chart" uri="{C3380CC4-5D6E-409C-BE32-E72D297353CC}">
              <c16:uniqueId val="{00000000-A1EA-4A61-9440-E1E775125432}"/>
            </c:ext>
          </c:extLst>
        </c:ser>
        <c:ser>
          <c:idx val="1"/>
          <c:order val="1"/>
          <c:tx>
            <c:strRef>
              <c:f>Sheet1!$I$9</c:f>
              <c:strCache>
                <c:ptCount val="1"/>
                <c:pt idx="0">
                  <c:v>Days Sales Outstanding (DSO)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Sheet1!$K$9:$O$9</c:f>
              <c:numCache>
                <c:formatCode>0.00</c:formatCode>
                <c:ptCount val="5"/>
                <c:pt idx="0">
                  <c:v>38.335902871458856</c:v>
                </c:pt>
                <c:pt idx="1">
                  <c:v>40.852122689417023</c:v>
                </c:pt>
                <c:pt idx="2">
                  <c:v>61.9647491349481</c:v>
                </c:pt>
                <c:pt idx="3">
                  <c:v>78.160668380462724</c:v>
                </c:pt>
                <c:pt idx="4">
                  <c:v>108.12027491408935</c:v>
                </c:pt>
              </c:numCache>
            </c:numRef>
          </c:val>
          <c:extLst>
            <c:ext xmlns:c16="http://schemas.microsoft.com/office/drawing/2014/chart" uri="{C3380CC4-5D6E-409C-BE32-E72D297353CC}">
              <c16:uniqueId val="{00000001-A1EA-4A61-9440-E1E775125432}"/>
            </c:ext>
          </c:extLst>
        </c:ser>
        <c:ser>
          <c:idx val="2"/>
          <c:order val="2"/>
          <c:tx>
            <c:strRef>
              <c:f>Sheet1!$I$10</c:f>
              <c:strCache>
                <c:ptCount val="1"/>
                <c:pt idx="0">
                  <c:v>Days Payable Outstanding (DPO)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Sheet1!$K$10:$O$10</c:f>
              <c:numCache>
                <c:formatCode>0.00</c:formatCode>
                <c:ptCount val="5"/>
                <c:pt idx="0">
                  <c:v>434.84567901234567</c:v>
                </c:pt>
                <c:pt idx="1">
                  <c:v>447.89612676056339</c:v>
                </c:pt>
                <c:pt idx="2">
                  <c:v>349.75067385444743</c:v>
                </c:pt>
                <c:pt idx="3">
                  <c:v>318.45637583892614</c:v>
                </c:pt>
                <c:pt idx="4">
                  <c:v>354.96727748691097</c:v>
                </c:pt>
              </c:numCache>
            </c:numRef>
          </c:val>
          <c:extLst>
            <c:ext xmlns:c16="http://schemas.microsoft.com/office/drawing/2014/chart" uri="{C3380CC4-5D6E-409C-BE32-E72D297353CC}">
              <c16:uniqueId val="{00000002-A1EA-4A61-9440-E1E775125432}"/>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b="1"/>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Gearing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Sheet1!$I$11</c:f>
              <c:strCache>
                <c:ptCount val="1"/>
                <c:pt idx="0">
                  <c:v>Debt-to-Equity (DTE)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Sheet1!$K$11:$O$11</c:f>
              <c:numCache>
                <c:formatCode>0.00</c:formatCode>
                <c:ptCount val="5"/>
                <c:pt idx="0">
                  <c:v>2.2564450474898234</c:v>
                </c:pt>
                <c:pt idx="1">
                  <c:v>1.7624378109452736</c:v>
                </c:pt>
                <c:pt idx="2">
                  <c:v>1.8458376156217884</c:v>
                </c:pt>
                <c:pt idx="3">
                  <c:v>1.5979202772963605</c:v>
                </c:pt>
                <c:pt idx="4">
                  <c:v>1.683845029239766</c:v>
                </c:pt>
              </c:numCache>
            </c:numRef>
          </c:val>
          <c:extLst>
            <c:ext xmlns:c16="http://schemas.microsoft.com/office/drawing/2014/chart" uri="{C3380CC4-5D6E-409C-BE32-E72D297353CC}">
              <c16:uniqueId val="{00000000-56BA-44AF-85F9-BF50F2793926}"/>
            </c:ext>
          </c:extLst>
        </c:ser>
        <c:ser>
          <c:idx val="1"/>
          <c:order val="1"/>
          <c:tx>
            <c:strRef>
              <c:f>Sheet1!$I$12</c:f>
              <c:strCache>
                <c:ptCount val="1"/>
                <c:pt idx="0">
                  <c:v>Debt-to-Assets (DTA)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Sheet1!$K$12:$O$12</c:f>
              <c:numCache>
                <c:formatCode>0.00</c:formatCode>
                <c:ptCount val="5"/>
                <c:pt idx="0">
                  <c:v>0.70525869380831208</c:v>
                </c:pt>
                <c:pt idx="1">
                  <c:v>0.67220113851992414</c:v>
                </c:pt>
                <c:pt idx="2">
                  <c:v>0.74631207147309375</c:v>
                </c:pt>
                <c:pt idx="3">
                  <c:v>0.77674810446503795</c:v>
                </c:pt>
                <c:pt idx="4">
                  <c:v>0.86192703461178677</c:v>
                </c:pt>
              </c:numCache>
            </c:numRef>
          </c:val>
          <c:extLst>
            <c:ext xmlns:c16="http://schemas.microsoft.com/office/drawing/2014/chart" uri="{C3380CC4-5D6E-409C-BE32-E72D297353CC}">
              <c16:uniqueId val="{00000001-56BA-44AF-85F9-BF50F2793926}"/>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b="1"/>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Investment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Sheet1!$I$13</c:f>
              <c:strCache>
                <c:ptCount val="1"/>
                <c:pt idx="0">
                  <c:v>Price-to-Earnings (P/E)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Sheet1!$K$13:$O$13</c:f>
              <c:numCache>
                <c:formatCode>0.00</c:formatCode>
                <c:ptCount val="5"/>
                <c:pt idx="0">
                  <c:v>43.687074829931973</c:v>
                </c:pt>
                <c:pt idx="1">
                  <c:v>27.791262135922331</c:v>
                </c:pt>
                <c:pt idx="2">
                  <c:v>20.249433106575964</c:v>
                </c:pt>
                <c:pt idx="3">
                  <c:v>29.901298701298703</c:v>
                </c:pt>
                <c:pt idx="4">
                  <c:v>24.938398357289529</c:v>
                </c:pt>
              </c:numCache>
            </c:numRef>
          </c:val>
          <c:extLst>
            <c:ext xmlns:c16="http://schemas.microsoft.com/office/drawing/2014/chart" uri="{C3380CC4-5D6E-409C-BE32-E72D297353CC}">
              <c16:uniqueId val="{00000000-8792-4039-BA33-2FC7C1F6CED0}"/>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b="1"/>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Cash</a:t>
            </a:r>
            <a:r>
              <a:rPr lang="en-US" baseline="0"/>
              <a:t> Flow</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Sheet1!$I$14</c:f>
              <c:strCache>
                <c:ptCount val="1"/>
                <c:pt idx="0">
                  <c:v>Operating Cash Flow Margin (OCFM)</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Sheet1!$K$14:$O$14</c:f>
              <c:numCache>
                <c:formatCode>0.00%</c:formatCode>
                <c:ptCount val="5"/>
                <c:pt idx="0">
                  <c:v>0.12256696858739642</c:v>
                </c:pt>
                <c:pt idx="1">
                  <c:v>0.13122080032500508</c:v>
                </c:pt>
                <c:pt idx="2">
                  <c:v>0.19312283737024222</c:v>
                </c:pt>
                <c:pt idx="3">
                  <c:v>0.18611825192802056</c:v>
                </c:pt>
                <c:pt idx="4">
                  <c:v>0.30859106529209623</c:v>
                </c:pt>
              </c:numCache>
            </c:numRef>
          </c:val>
          <c:extLst>
            <c:ext xmlns:c16="http://schemas.microsoft.com/office/drawing/2014/chart" uri="{C3380CC4-5D6E-409C-BE32-E72D297353CC}">
              <c16:uniqueId val="{00000000-7A69-417A-A504-6390732D0F82}"/>
            </c:ext>
          </c:extLst>
        </c:ser>
        <c:ser>
          <c:idx val="1"/>
          <c:order val="1"/>
          <c:tx>
            <c:strRef>
              <c:f>Sheet1!$I$15</c:f>
              <c:strCache>
                <c:ptCount val="1"/>
                <c:pt idx="0">
                  <c:v>Free Cash Flow Margin (FCFM)</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Sheet1!$K$1:$O$1</c:f>
              <c:numCache>
                <c:formatCode>General</c:formatCode>
                <c:ptCount val="5"/>
                <c:pt idx="0">
                  <c:v>2021</c:v>
                </c:pt>
                <c:pt idx="1">
                  <c:v>2022</c:v>
                </c:pt>
                <c:pt idx="2">
                  <c:v>2023</c:v>
                </c:pt>
                <c:pt idx="3">
                  <c:v>2024</c:v>
                </c:pt>
                <c:pt idx="4">
                  <c:v>2025</c:v>
                </c:pt>
              </c:numCache>
            </c:numRef>
          </c:cat>
          <c:val>
            <c:numRef>
              <c:f>Sheet1!$K$15:$O$15</c:f>
              <c:numCache>
                <c:formatCode>0.00%</c:formatCode>
                <c:ptCount val="5"/>
                <c:pt idx="0">
                  <c:v>0.1088841780689921</c:v>
                </c:pt>
                <c:pt idx="1">
                  <c:v>0.11537680276254317</c:v>
                </c:pt>
                <c:pt idx="2">
                  <c:v>0.17711937716262977</c:v>
                </c:pt>
                <c:pt idx="3">
                  <c:v>0.16838046272493573</c:v>
                </c:pt>
                <c:pt idx="4">
                  <c:v>0.28213058419243986</c:v>
                </c:pt>
              </c:numCache>
            </c:numRef>
          </c:val>
          <c:extLst>
            <c:ext xmlns:c16="http://schemas.microsoft.com/office/drawing/2014/chart" uri="{C3380CC4-5D6E-409C-BE32-E72D297353CC}">
              <c16:uniqueId val="{00000001-7A69-417A-A504-6390732D0F82}"/>
            </c:ext>
          </c:extLst>
        </c:ser>
        <c:dLbls>
          <c:dLblPos val="outEnd"/>
          <c:showLegendKey val="0"/>
          <c:showVal val="1"/>
          <c:showCatName val="0"/>
          <c:showSerName val="0"/>
          <c:showPercent val="0"/>
          <c:showBubbleSize val="0"/>
        </c:dLbls>
        <c:gapWidth val="100"/>
        <c:overlap val="-24"/>
        <c:axId val="1463246720"/>
        <c:axId val="1254361872"/>
      </c:barChart>
      <c:catAx>
        <c:axId val="14632467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254361872"/>
        <c:crosses val="autoZero"/>
        <c:auto val="1"/>
        <c:lblAlgn val="ctr"/>
        <c:lblOffset val="100"/>
        <c:noMultiLvlLbl val="0"/>
      </c:catAx>
      <c:valAx>
        <c:axId val="1254361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63246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accent1"/>
      </a:solidFill>
      <a:round/>
    </a:ln>
    <a:effectLst/>
  </c:spPr>
  <c:txPr>
    <a:bodyPr/>
    <a:lstStyle/>
    <a:p>
      <a:pPr>
        <a:defRPr b="1"/>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sz="1400"/>
              <a:t>Cash Operating Cycle (Days)</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Sheet2!$F$2</c:f>
              <c:strCache>
                <c:ptCount val="1"/>
                <c:pt idx="0">
                  <c:v>Cash Operating Cycle (Days)</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f>Sheet2!$B$3:$B$7</c:f>
              <c:numCache>
                <c:formatCode>0</c:formatCode>
                <c:ptCount val="5"/>
                <c:pt idx="0">
                  <c:v>2021</c:v>
                </c:pt>
                <c:pt idx="1">
                  <c:v>2022</c:v>
                </c:pt>
                <c:pt idx="2">
                  <c:v>2023</c:v>
                </c:pt>
                <c:pt idx="3">
                  <c:v>2024</c:v>
                </c:pt>
                <c:pt idx="4">
                  <c:v>2025</c:v>
                </c:pt>
              </c:numCache>
            </c:numRef>
          </c:cat>
          <c:val>
            <c:numRef>
              <c:f>Sheet2!$F$3:$F$7</c:f>
              <c:numCache>
                <c:formatCode>General</c:formatCode>
                <c:ptCount val="5"/>
                <c:pt idx="0">
                  <c:v>-393.51</c:v>
                </c:pt>
                <c:pt idx="1">
                  <c:v>-404.47999999999996</c:v>
                </c:pt>
                <c:pt idx="2">
                  <c:v>-285.82</c:v>
                </c:pt>
                <c:pt idx="3">
                  <c:v>-237.84999999999997</c:v>
                </c:pt>
                <c:pt idx="4">
                  <c:v>-244.46000000000004</c:v>
                </c:pt>
              </c:numCache>
            </c:numRef>
          </c:val>
          <c:smooth val="0"/>
          <c:extLst>
            <c:ext xmlns:c16="http://schemas.microsoft.com/office/drawing/2014/chart" uri="{C3380CC4-5D6E-409C-BE32-E72D297353CC}">
              <c16:uniqueId val="{00000000-5945-4EC4-83C2-2479118052F5}"/>
            </c:ext>
          </c:extLst>
        </c:ser>
        <c:dLbls>
          <c:showLegendKey val="0"/>
          <c:showVal val="0"/>
          <c:showCatName val="0"/>
          <c:showSerName val="0"/>
          <c:showPercent val="0"/>
          <c:showBubbleSize val="0"/>
        </c:dLbls>
        <c:marker val="1"/>
        <c:smooth val="0"/>
        <c:axId val="1459292816"/>
        <c:axId val="1517185488"/>
      </c:lineChart>
      <c:catAx>
        <c:axId val="145929281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mn-lt"/>
                <a:ea typeface="+mn-ea"/>
                <a:cs typeface="+mn-cs"/>
              </a:defRPr>
            </a:pPr>
            <a:endParaRPr lang="en-US"/>
          </a:p>
        </c:txPr>
        <c:crossAx val="1517185488"/>
        <c:crosses val="autoZero"/>
        <c:auto val="1"/>
        <c:lblAlgn val="ctr"/>
        <c:lblOffset val="100"/>
        <c:noMultiLvlLbl val="0"/>
      </c:catAx>
      <c:valAx>
        <c:axId val="1517185488"/>
        <c:scaling>
          <c:orientation val="minMax"/>
        </c:scaling>
        <c:delete val="0"/>
        <c:axPos val="l"/>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4592928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accent1"/>
      </a:solidFill>
      <a:round/>
    </a:ln>
    <a:effectLst/>
  </c:spPr>
  <c:txPr>
    <a:bodyPr/>
    <a:lstStyle/>
    <a:p>
      <a:pPr>
        <a:defRPr b="1"/>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4.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1ADED-A1E8-4E6A-86B6-2D69FD99A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37</Pages>
  <Words>7616</Words>
  <Characters>44330</Characters>
  <Application>Microsoft Office Word</Application>
  <DocSecurity>0</DocSecurity>
  <Lines>1266</Lines>
  <Paragraphs>721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cp:lastModifiedBy>
  <cp:revision>42</cp:revision>
  <dcterms:created xsi:type="dcterms:W3CDTF">2026-07-15T09:50:00Z</dcterms:created>
  <dcterms:modified xsi:type="dcterms:W3CDTF">2026-07-17T19:01:00Z</dcterms:modified>
</cp:coreProperties>
</file>