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13FDA" w14:textId="5388766E" w:rsidR="00FE423C" w:rsidRPr="001F5FB7" w:rsidRDefault="001F5FB7" w:rsidP="00644722">
      <w:pPr>
        <w:rPr>
          <w:b/>
          <w:bCs/>
        </w:rPr>
      </w:pPr>
      <w:bookmarkStart w:id="0" w:name="_Toc213869323"/>
      <w:r>
        <w:rPr>
          <w:b/>
          <w:bCs/>
          <w:noProof/>
        </w:rPr>
        <w:drawing>
          <wp:anchor distT="0" distB="0" distL="114300" distR="114300" simplePos="0" relativeHeight="251658240" behindDoc="1" locked="0" layoutInCell="1" allowOverlap="1" wp14:anchorId="0C754C86" wp14:editId="7550529D">
            <wp:simplePos x="0" y="0"/>
            <wp:positionH relativeFrom="column">
              <wp:posOffset>4136390</wp:posOffset>
            </wp:positionH>
            <wp:positionV relativeFrom="paragraph">
              <wp:posOffset>0</wp:posOffset>
            </wp:positionV>
            <wp:extent cx="2231390" cy="780415"/>
            <wp:effectExtent l="0" t="0" r="0" b="635"/>
            <wp:wrapTopAndBottom/>
            <wp:docPr id="226250010"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50010" name="Picture 1"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1390" cy="780415"/>
                    </a:xfrm>
                    <a:prstGeom prst="rect">
                      <a:avLst/>
                    </a:prstGeom>
                    <a:noFill/>
                  </pic:spPr>
                </pic:pic>
              </a:graphicData>
            </a:graphic>
          </wp:anchor>
        </w:drawing>
      </w:r>
      <w:r w:rsidR="00FE423C" w:rsidRPr="00E042AB">
        <w:t>Student Name: Nusrat Bi</w:t>
      </w:r>
      <w:bookmarkEnd w:id="0"/>
    </w:p>
    <w:p w14:paraId="5A2B98A9" w14:textId="77777777" w:rsidR="00FE423C" w:rsidRPr="00E042AB" w:rsidRDefault="00FE423C" w:rsidP="00644722">
      <w:pPr>
        <w:rPr>
          <w:b/>
          <w:bCs/>
        </w:rPr>
      </w:pPr>
      <w:bookmarkStart w:id="1" w:name="_Toc213869324"/>
      <w:bookmarkStart w:id="2" w:name="_Toc213869482"/>
      <w:r w:rsidRPr="00E042AB">
        <w:t>Student ID: 2433266</w:t>
      </w:r>
      <w:bookmarkEnd w:id="1"/>
      <w:bookmarkEnd w:id="2"/>
    </w:p>
    <w:p w14:paraId="558C7F02" w14:textId="77777777" w:rsidR="00FE423C" w:rsidRPr="00E042AB" w:rsidRDefault="00FE423C" w:rsidP="00644722">
      <w:pPr>
        <w:rPr>
          <w:b/>
          <w:bCs/>
        </w:rPr>
      </w:pPr>
      <w:bookmarkStart w:id="3" w:name="_Toc213869325"/>
      <w:bookmarkStart w:id="4" w:name="_Toc213869483"/>
      <w:r w:rsidRPr="00E042AB">
        <w:t>Module Code: LCHS4008</w:t>
      </w:r>
      <w:bookmarkEnd w:id="3"/>
      <w:bookmarkEnd w:id="4"/>
    </w:p>
    <w:p w14:paraId="09F153FC" w14:textId="77777777" w:rsidR="00FE423C" w:rsidRPr="00E042AB" w:rsidRDefault="00FE423C" w:rsidP="00644722">
      <w:pPr>
        <w:rPr>
          <w:b/>
          <w:bCs/>
        </w:rPr>
      </w:pPr>
      <w:bookmarkStart w:id="5" w:name="_Toc213869326"/>
      <w:bookmarkStart w:id="6" w:name="_Toc213869484"/>
      <w:r w:rsidRPr="00E042AB">
        <w:t>Assignment Title: Public Health</w:t>
      </w:r>
      <w:bookmarkEnd w:id="5"/>
      <w:bookmarkEnd w:id="6"/>
    </w:p>
    <w:p w14:paraId="0A2F9F60" w14:textId="550277CF" w:rsidR="00FE423C" w:rsidRPr="00E042AB" w:rsidRDefault="00C657A0" w:rsidP="00644722">
      <w:pPr>
        <w:rPr>
          <w:b/>
          <w:bCs/>
        </w:rPr>
      </w:pPr>
      <w:bookmarkStart w:id="7" w:name="_Toc213869327"/>
      <w:bookmarkStart w:id="8" w:name="_Toc213869485"/>
      <w:r w:rsidRPr="00A4397B">
        <w:t>Lecturer’s</w:t>
      </w:r>
      <w:r w:rsidR="00FE423C" w:rsidRPr="00E042AB">
        <w:t xml:space="preserve"> Name: Mumtaz Goolam</w:t>
      </w:r>
      <w:bookmarkEnd w:id="7"/>
      <w:bookmarkEnd w:id="8"/>
    </w:p>
    <w:p w14:paraId="6001DB86" w14:textId="77777777" w:rsidR="00FE423C" w:rsidRDefault="00FE423C" w:rsidP="005047FE">
      <w:pPr>
        <w:pStyle w:val="Heading1"/>
        <w:jc w:val="center"/>
        <w:rPr>
          <w:rFonts w:cstheme="majorHAnsi"/>
          <w:b w:val="0"/>
          <w:bCs w:val="0"/>
          <w:color w:val="auto"/>
          <w:sz w:val="36"/>
          <w:szCs w:val="36"/>
        </w:rPr>
      </w:pPr>
    </w:p>
    <w:p w14:paraId="0AB5511C" w14:textId="77777777" w:rsidR="00B7607F" w:rsidRPr="00B7607F" w:rsidRDefault="00B7607F" w:rsidP="00B7607F"/>
    <w:p w14:paraId="2C17B1F3" w14:textId="77777777" w:rsidR="001F5FB7" w:rsidRDefault="001F5FB7" w:rsidP="00DA69F8">
      <w:pPr>
        <w:pStyle w:val="Heading1"/>
        <w:rPr>
          <w:color w:val="auto"/>
        </w:rPr>
      </w:pPr>
    </w:p>
    <w:p w14:paraId="04276CF0" w14:textId="77777777" w:rsidR="001F5FB7" w:rsidRDefault="001F5FB7" w:rsidP="00644722"/>
    <w:p w14:paraId="2F3B2B11" w14:textId="77777777" w:rsidR="001F5FB7" w:rsidRDefault="001F5FB7" w:rsidP="00DA69F8">
      <w:pPr>
        <w:pStyle w:val="Heading1"/>
        <w:rPr>
          <w:color w:val="auto"/>
        </w:rPr>
      </w:pPr>
    </w:p>
    <w:p w14:paraId="11A42023" w14:textId="77777777" w:rsidR="001F5FB7" w:rsidRDefault="001F5FB7" w:rsidP="00DA69F8">
      <w:pPr>
        <w:pStyle w:val="Heading1"/>
        <w:rPr>
          <w:color w:val="auto"/>
        </w:rPr>
      </w:pPr>
    </w:p>
    <w:p w14:paraId="01D6BE66" w14:textId="77777777" w:rsidR="001F5FB7" w:rsidRDefault="001F5FB7" w:rsidP="00DA69F8">
      <w:pPr>
        <w:pStyle w:val="Heading1"/>
        <w:rPr>
          <w:color w:val="auto"/>
        </w:rPr>
      </w:pPr>
    </w:p>
    <w:p w14:paraId="1F65E451" w14:textId="77777777" w:rsidR="001F5FB7" w:rsidRDefault="001F5FB7" w:rsidP="001F5FB7"/>
    <w:p w14:paraId="1FCBABE7" w14:textId="77777777" w:rsidR="001F5FB7" w:rsidRDefault="001F5FB7" w:rsidP="001F5FB7"/>
    <w:p w14:paraId="6BFBD308" w14:textId="77777777" w:rsidR="001F5FB7" w:rsidRDefault="001F5FB7" w:rsidP="001F5FB7"/>
    <w:p w14:paraId="7C8C7ABE" w14:textId="77777777" w:rsidR="00644722" w:rsidRDefault="00644722" w:rsidP="001F5FB7">
      <w:pPr>
        <w:rPr>
          <w:rFonts w:ascii="Arial" w:hAnsi="Arial" w:cs="Arial"/>
          <w:b/>
          <w:bCs/>
        </w:rPr>
      </w:pPr>
    </w:p>
    <w:p w14:paraId="26608E7E" w14:textId="77777777" w:rsidR="00644722" w:rsidRDefault="00644722" w:rsidP="001F5FB7">
      <w:pPr>
        <w:rPr>
          <w:rFonts w:ascii="Arial" w:hAnsi="Arial" w:cs="Arial"/>
          <w:b/>
          <w:bCs/>
        </w:rPr>
      </w:pPr>
    </w:p>
    <w:p w14:paraId="065539C2" w14:textId="77777777" w:rsidR="00644722" w:rsidRDefault="00644722" w:rsidP="001F5FB7">
      <w:pPr>
        <w:rPr>
          <w:rFonts w:ascii="Arial" w:hAnsi="Arial" w:cs="Arial"/>
          <w:b/>
          <w:bCs/>
        </w:rPr>
      </w:pPr>
    </w:p>
    <w:p w14:paraId="1586EC3E" w14:textId="77777777" w:rsidR="00644722" w:rsidRDefault="00644722" w:rsidP="001F5FB7">
      <w:pPr>
        <w:rPr>
          <w:rFonts w:ascii="Arial" w:hAnsi="Arial" w:cs="Arial"/>
          <w:b/>
          <w:bCs/>
        </w:rPr>
      </w:pPr>
    </w:p>
    <w:p w14:paraId="4C1D4CDB" w14:textId="77777777" w:rsidR="00644722" w:rsidRDefault="00644722" w:rsidP="001F5FB7">
      <w:pPr>
        <w:rPr>
          <w:rFonts w:ascii="Arial" w:hAnsi="Arial" w:cs="Arial"/>
          <w:b/>
          <w:bCs/>
        </w:rPr>
      </w:pPr>
    </w:p>
    <w:p w14:paraId="57FE7F13" w14:textId="77777777" w:rsidR="00644722" w:rsidRDefault="00644722" w:rsidP="001F5FB7">
      <w:pPr>
        <w:rPr>
          <w:rFonts w:ascii="Arial" w:hAnsi="Arial" w:cs="Arial"/>
          <w:b/>
          <w:bCs/>
        </w:rPr>
      </w:pPr>
    </w:p>
    <w:p w14:paraId="001CE8DB" w14:textId="77777777" w:rsidR="00644722" w:rsidRDefault="00644722" w:rsidP="001F5FB7">
      <w:pPr>
        <w:rPr>
          <w:rFonts w:ascii="Arial" w:hAnsi="Arial" w:cs="Arial"/>
          <w:b/>
          <w:bCs/>
        </w:rPr>
      </w:pPr>
    </w:p>
    <w:sdt>
      <w:sdtPr>
        <w:rPr>
          <w:rFonts w:asciiTheme="minorHAnsi" w:eastAsiaTheme="minorEastAsia" w:hAnsiTheme="minorHAnsi" w:cstheme="minorBidi"/>
          <w:b w:val="0"/>
          <w:bCs w:val="0"/>
          <w:color w:val="auto"/>
          <w:sz w:val="22"/>
          <w:szCs w:val="22"/>
        </w:rPr>
        <w:id w:val="-795206526"/>
        <w:docPartObj>
          <w:docPartGallery w:val="Table of Contents"/>
          <w:docPartUnique/>
        </w:docPartObj>
      </w:sdtPr>
      <w:sdtEndPr>
        <w:rPr>
          <w:noProof/>
        </w:rPr>
      </w:sdtEndPr>
      <w:sdtContent>
        <w:p w14:paraId="33F434D3" w14:textId="706EDE2A" w:rsidR="00644722" w:rsidRDefault="00644722">
          <w:pPr>
            <w:pStyle w:val="TOCHeading"/>
          </w:pPr>
          <w:r>
            <w:t>Table of Contents</w:t>
          </w:r>
        </w:p>
        <w:p w14:paraId="62FD30CF" w14:textId="32D3B9C4" w:rsidR="00644722" w:rsidRDefault="00644722">
          <w:pPr>
            <w:pStyle w:val="TOC1"/>
            <w:tabs>
              <w:tab w:val="right" w:leader="dot" w:pos="863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213869618" w:history="1">
            <w:r w:rsidRPr="00991477">
              <w:rPr>
                <w:rStyle w:val="Hyperlink"/>
                <w:noProof/>
              </w:rPr>
              <w:t>Introduction</w:t>
            </w:r>
            <w:r>
              <w:rPr>
                <w:noProof/>
                <w:webHidden/>
              </w:rPr>
              <w:tab/>
            </w:r>
            <w:r>
              <w:rPr>
                <w:noProof/>
                <w:webHidden/>
              </w:rPr>
              <w:fldChar w:fldCharType="begin"/>
            </w:r>
            <w:r>
              <w:rPr>
                <w:noProof/>
                <w:webHidden/>
              </w:rPr>
              <w:instrText xml:space="preserve"> PAGEREF _Toc213869618 \h </w:instrText>
            </w:r>
            <w:r>
              <w:rPr>
                <w:noProof/>
                <w:webHidden/>
              </w:rPr>
            </w:r>
            <w:r>
              <w:rPr>
                <w:noProof/>
                <w:webHidden/>
              </w:rPr>
              <w:fldChar w:fldCharType="separate"/>
            </w:r>
            <w:r>
              <w:rPr>
                <w:noProof/>
                <w:webHidden/>
              </w:rPr>
              <w:t>3</w:t>
            </w:r>
            <w:r>
              <w:rPr>
                <w:noProof/>
                <w:webHidden/>
              </w:rPr>
              <w:fldChar w:fldCharType="end"/>
            </w:r>
          </w:hyperlink>
        </w:p>
        <w:p w14:paraId="264670E8" w14:textId="78D559E5" w:rsidR="00644722" w:rsidRDefault="00644722">
          <w:pPr>
            <w:pStyle w:val="TOC2"/>
            <w:tabs>
              <w:tab w:val="right" w:leader="dot" w:pos="8630"/>
            </w:tabs>
            <w:rPr>
              <w:noProof/>
              <w:kern w:val="2"/>
              <w:sz w:val="24"/>
              <w:szCs w:val="24"/>
              <w:lang w:val="en-GB" w:eastAsia="en-GB"/>
              <w14:ligatures w14:val="standardContextual"/>
            </w:rPr>
          </w:pPr>
          <w:hyperlink w:anchor="_Toc213869619" w:history="1">
            <w:r w:rsidRPr="00991477">
              <w:rPr>
                <w:rStyle w:val="Hyperlink"/>
                <w:noProof/>
              </w:rPr>
              <w:t>Impacts of Type 2 Diabetes</w:t>
            </w:r>
            <w:r>
              <w:rPr>
                <w:noProof/>
                <w:webHidden/>
              </w:rPr>
              <w:tab/>
            </w:r>
            <w:r>
              <w:rPr>
                <w:noProof/>
                <w:webHidden/>
              </w:rPr>
              <w:fldChar w:fldCharType="begin"/>
            </w:r>
            <w:r>
              <w:rPr>
                <w:noProof/>
                <w:webHidden/>
              </w:rPr>
              <w:instrText xml:space="preserve"> PAGEREF _Toc213869619 \h </w:instrText>
            </w:r>
            <w:r>
              <w:rPr>
                <w:noProof/>
                <w:webHidden/>
              </w:rPr>
            </w:r>
            <w:r>
              <w:rPr>
                <w:noProof/>
                <w:webHidden/>
              </w:rPr>
              <w:fldChar w:fldCharType="separate"/>
            </w:r>
            <w:r>
              <w:rPr>
                <w:noProof/>
                <w:webHidden/>
              </w:rPr>
              <w:t>3</w:t>
            </w:r>
            <w:r>
              <w:rPr>
                <w:noProof/>
                <w:webHidden/>
              </w:rPr>
              <w:fldChar w:fldCharType="end"/>
            </w:r>
          </w:hyperlink>
        </w:p>
        <w:p w14:paraId="776649D9" w14:textId="48F7D48B" w:rsidR="00644722" w:rsidRDefault="00644722">
          <w:pPr>
            <w:pStyle w:val="TOC3"/>
            <w:tabs>
              <w:tab w:val="right" w:leader="dot" w:pos="8630"/>
            </w:tabs>
            <w:rPr>
              <w:noProof/>
              <w:kern w:val="2"/>
              <w:sz w:val="24"/>
              <w:szCs w:val="24"/>
              <w:lang w:val="en-GB" w:eastAsia="en-GB"/>
              <w14:ligatures w14:val="standardContextual"/>
            </w:rPr>
          </w:pPr>
          <w:hyperlink w:anchor="_Toc213869620" w:history="1">
            <w:r w:rsidRPr="00991477">
              <w:rPr>
                <w:rStyle w:val="Hyperlink"/>
                <w:noProof/>
              </w:rPr>
              <w:t>Control and Management of Type 2 Diabetes</w:t>
            </w:r>
            <w:r>
              <w:rPr>
                <w:noProof/>
                <w:webHidden/>
              </w:rPr>
              <w:tab/>
            </w:r>
            <w:r>
              <w:rPr>
                <w:noProof/>
                <w:webHidden/>
              </w:rPr>
              <w:fldChar w:fldCharType="begin"/>
            </w:r>
            <w:r>
              <w:rPr>
                <w:noProof/>
                <w:webHidden/>
              </w:rPr>
              <w:instrText xml:space="preserve"> PAGEREF _Toc213869620 \h </w:instrText>
            </w:r>
            <w:r>
              <w:rPr>
                <w:noProof/>
                <w:webHidden/>
              </w:rPr>
            </w:r>
            <w:r>
              <w:rPr>
                <w:noProof/>
                <w:webHidden/>
              </w:rPr>
              <w:fldChar w:fldCharType="separate"/>
            </w:r>
            <w:r>
              <w:rPr>
                <w:noProof/>
                <w:webHidden/>
              </w:rPr>
              <w:t>4</w:t>
            </w:r>
            <w:r>
              <w:rPr>
                <w:noProof/>
                <w:webHidden/>
              </w:rPr>
              <w:fldChar w:fldCharType="end"/>
            </w:r>
          </w:hyperlink>
        </w:p>
        <w:p w14:paraId="73785F0B" w14:textId="77777777" w:rsidR="00A4397B" w:rsidRDefault="00644722">
          <w:pPr>
            <w:rPr>
              <w:noProof/>
            </w:rPr>
          </w:pPr>
          <w:r>
            <w:rPr>
              <w:b/>
              <w:bCs/>
              <w:noProof/>
            </w:rPr>
            <w:fldChar w:fldCharType="end"/>
          </w:r>
          <w:r>
            <w:rPr>
              <w:b/>
              <w:bCs/>
              <w:noProof/>
            </w:rPr>
            <w:t xml:space="preserve">             </w:t>
          </w:r>
          <w:r w:rsidRPr="00644722">
            <w:rPr>
              <w:noProof/>
            </w:rPr>
            <w:t>Factors Influencing Health and Well-Being</w:t>
          </w:r>
          <w:r>
            <w:rPr>
              <w:noProof/>
            </w:rPr>
            <w:t>……………………………………………………………</w:t>
          </w:r>
          <w:r w:rsidR="00A064AD">
            <w:rPr>
              <w:noProof/>
            </w:rPr>
            <w:t xml:space="preserve">  </w:t>
          </w:r>
          <w:r>
            <w:rPr>
              <w:noProof/>
            </w:rPr>
            <w:t xml:space="preserve">5 </w:t>
          </w:r>
        </w:p>
        <w:p w14:paraId="4DB58C8A" w14:textId="77777777" w:rsidR="00A4397B" w:rsidRDefault="00A4397B">
          <w:pPr>
            <w:rPr>
              <w:noProof/>
            </w:rPr>
          </w:pPr>
          <w:r>
            <w:rPr>
              <w:noProof/>
            </w:rPr>
            <w:t xml:space="preserve">                Conclusion………………………………………………………………………………………………………… 6</w:t>
          </w:r>
          <w:r w:rsidR="00644722">
            <w:rPr>
              <w:noProof/>
            </w:rPr>
            <w:t xml:space="preserve">      </w:t>
          </w:r>
        </w:p>
        <w:p w14:paraId="5F2D4733" w14:textId="086FC4CE" w:rsidR="00644722" w:rsidRDefault="00A4397B">
          <w:pPr>
            <w:rPr>
              <w:noProof/>
            </w:rPr>
          </w:pPr>
          <w:r>
            <w:rPr>
              <w:noProof/>
            </w:rPr>
            <w:t xml:space="preserve">                     References…………………………………………………………………………………………………… 7</w:t>
          </w:r>
          <w:r w:rsidR="00644722">
            <w:rPr>
              <w:noProof/>
            </w:rPr>
            <w:t xml:space="preserve"> </w:t>
          </w:r>
        </w:p>
        <w:p w14:paraId="3A9B500E" w14:textId="7A52D58F" w:rsidR="00644722" w:rsidRPr="00644722" w:rsidRDefault="00000000">
          <w:pPr>
            <w:rPr>
              <w:noProof/>
            </w:rPr>
          </w:pPr>
        </w:p>
      </w:sdtContent>
    </w:sdt>
    <w:p w14:paraId="4027BCC6" w14:textId="77777777" w:rsidR="00644722" w:rsidRDefault="00644722" w:rsidP="001F5FB7">
      <w:pPr>
        <w:rPr>
          <w:rFonts w:ascii="Arial" w:hAnsi="Arial" w:cs="Arial"/>
          <w:b/>
          <w:bCs/>
        </w:rPr>
      </w:pPr>
    </w:p>
    <w:p w14:paraId="42480504" w14:textId="77777777" w:rsidR="00644722" w:rsidRDefault="00644722" w:rsidP="001F5FB7">
      <w:pPr>
        <w:rPr>
          <w:rFonts w:ascii="Arial" w:hAnsi="Arial" w:cs="Arial"/>
          <w:b/>
          <w:bCs/>
        </w:rPr>
      </w:pPr>
    </w:p>
    <w:p w14:paraId="5D2D5B3B" w14:textId="77777777" w:rsidR="00644722" w:rsidRDefault="00644722" w:rsidP="001F5FB7">
      <w:pPr>
        <w:rPr>
          <w:rFonts w:ascii="Arial" w:hAnsi="Arial" w:cs="Arial"/>
          <w:b/>
          <w:bCs/>
        </w:rPr>
      </w:pPr>
    </w:p>
    <w:p w14:paraId="351842F2" w14:textId="77777777" w:rsidR="00644722" w:rsidRDefault="00644722" w:rsidP="001F5FB7">
      <w:pPr>
        <w:rPr>
          <w:rFonts w:ascii="Arial" w:hAnsi="Arial" w:cs="Arial"/>
          <w:b/>
          <w:bCs/>
        </w:rPr>
      </w:pPr>
    </w:p>
    <w:p w14:paraId="1C742008" w14:textId="77777777" w:rsidR="00644722" w:rsidRDefault="00644722" w:rsidP="001F5FB7">
      <w:pPr>
        <w:rPr>
          <w:rFonts w:ascii="Arial" w:hAnsi="Arial" w:cs="Arial"/>
          <w:b/>
          <w:bCs/>
        </w:rPr>
      </w:pPr>
    </w:p>
    <w:p w14:paraId="7224AEC1" w14:textId="77777777" w:rsidR="00644722" w:rsidRDefault="00644722" w:rsidP="001F5FB7">
      <w:pPr>
        <w:rPr>
          <w:rFonts w:ascii="Arial" w:hAnsi="Arial" w:cs="Arial"/>
          <w:b/>
          <w:bCs/>
        </w:rPr>
      </w:pPr>
    </w:p>
    <w:p w14:paraId="3514AC67" w14:textId="77777777" w:rsidR="00644722" w:rsidRDefault="00644722" w:rsidP="001F5FB7">
      <w:pPr>
        <w:rPr>
          <w:rFonts w:ascii="Arial" w:hAnsi="Arial" w:cs="Arial"/>
          <w:b/>
          <w:bCs/>
        </w:rPr>
      </w:pPr>
    </w:p>
    <w:p w14:paraId="683CCB3F" w14:textId="77777777" w:rsidR="00644722" w:rsidRDefault="00644722" w:rsidP="001F5FB7">
      <w:pPr>
        <w:rPr>
          <w:rFonts w:ascii="Arial" w:hAnsi="Arial" w:cs="Arial"/>
          <w:b/>
          <w:bCs/>
        </w:rPr>
      </w:pPr>
    </w:p>
    <w:p w14:paraId="7216DC60" w14:textId="77777777" w:rsidR="00644722" w:rsidRDefault="00644722" w:rsidP="001F5FB7">
      <w:pPr>
        <w:rPr>
          <w:rFonts w:ascii="Arial" w:hAnsi="Arial" w:cs="Arial"/>
          <w:b/>
          <w:bCs/>
        </w:rPr>
      </w:pPr>
    </w:p>
    <w:p w14:paraId="1A3F249B" w14:textId="77777777" w:rsidR="00644722" w:rsidRDefault="00644722" w:rsidP="001F5FB7">
      <w:pPr>
        <w:rPr>
          <w:rFonts w:ascii="Arial" w:hAnsi="Arial" w:cs="Arial"/>
          <w:b/>
          <w:bCs/>
        </w:rPr>
      </w:pPr>
    </w:p>
    <w:p w14:paraId="62F1BDA7" w14:textId="77777777" w:rsidR="00644722" w:rsidRDefault="00644722" w:rsidP="001F5FB7">
      <w:pPr>
        <w:rPr>
          <w:rFonts w:ascii="Arial" w:hAnsi="Arial" w:cs="Arial"/>
          <w:b/>
          <w:bCs/>
        </w:rPr>
      </w:pPr>
    </w:p>
    <w:p w14:paraId="465025AB" w14:textId="77777777" w:rsidR="00644722" w:rsidRDefault="00644722" w:rsidP="001F5FB7">
      <w:pPr>
        <w:rPr>
          <w:rFonts w:ascii="Arial" w:hAnsi="Arial" w:cs="Arial"/>
          <w:b/>
          <w:bCs/>
        </w:rPr>
      </w:pPr>
    </w:p>
    <w:p w14:paraId="2ACFA07D" w14:textId="77777777" w:rsidR="00644722" w:rsidRDefault="00644722" w:rsidP="001F5FB7">
      <w:pPr>
        <w:rPr>
          <w:rFonts w:ascii="Arial" w:hAnsi="Arial" w:cs="Arial"/>
          <w:b/>
          <w:bCs/>
        </w:rPr>
      </w:pPr>
    </w:p>
    <w:p w14:paraId="67711C5B" w14:textId="77777777" w:rsidR="00644722" w:rsidRDefault="00644722" w:rsidP="001F5FB7">
      <w:pPr>
        <w:rPr>
          <w:rFonts w:ascii="Arial" w:hAnsi="Arial" w:cs="Arial"/>
          <w:b/>
          <w:bCs/>
        </w:rPr>
      </w:pPr>
    </w:p>
    <w:p w14:paraId="04C496C6" w14:textId="77777777" w:rsidR="00644722" w:rsidRDefault="00644722" w:rsidP="001F5FB7">
      <w:pPr>
        <w:rPr>
          <w:rFonts w:ascii="Arial" w:hAnsi="Arial" w:cs="Arial"/>
          <w:b/>
          <w:bCs/>
        </w:rPr>
      </w:pPr>
    </w:p>
    <w:p w14:paraId="1136937D" w14:textId="77777777" w:rsidR="00644722" w:rsidRDefault="00644722" w:rsidP="001F5FB7">
      <w:pPr>
        <w:rPr>
          <w:rFonts w:ascii="Arial" w:hAnsi="Arial" w:cs="Arial"/>
          <w:b/>
          <w:bCs/>
        </w:rPr>
      </w:pPr>
    </w:p>
    <w:p w14:paraId="1AE0FC0E" w14:textId="77777777" w:rsidR="00644722" w:rsidRDefault="00644722" w:rsidP="001F5FB7">
      <w:pPr>
        <w:rPr>
          <w:rFonts w:ascii="Arial" w:hAnsi="Arial" w:cs="Arial"/>
          <w:b/>
          <w:bCs/>
        </w:rPr>
      </w:pPr>
    </w:p>
    <w:p w14:paraId="5AE3D954" w14:textId="77777777" w:rsidR="00644722" w:rsidRDefault="00644722" w:rsidP="001F5FB7">
      <w:pPr>
        <w:rPr>
          <w:rFonts w:ascii="Arial" w:hAnsi="Arial" w:cs="Arial"/>
          <w:b/>
          <w:bCs/>
        </w:rPr>
      </w:pPr>
    </w:p>
    <w:p w14:paraId="114104F7" w14:textId="4E9FA810" w:rsidR="00DA69F8" w:rsidRPr="00644722" w:rsidRDefault="00EA6120" w:rsidP="00644722">
      <w:pPr>
        <w:rPr>
          <w:sz w:val="28"/>
          <w:szCs w:val="28"/>
        </w:rPr>
      </w:pPr>
      <w:r w:rsidRPr="00644722">
        <w:rPr>
          <w:sz w:val="28"/>
          <w:szCs w:val="28"/>
        </w:rPr>
        <w:lastRenderedPageBreak/>
        <w:t xml:space="preserve">Type 2 Diabetes </w:t>
      </w:r>
    </w:p>
    <w:p w14:paraId="43BCD485" w14:textId="77777777" w:rsidR="006C017B" w:rsidRPr="00644722" w:rsidRDefault="00EA6120" w:rsidP="00644722">
      <w:pPr>
        <w:pStyle w:val="Heading1"/>
      </w:pPr>
      <w:bookmarkStart w:id="9" w:name="_Toc213869328"/>
      <w:bookmarkStart w:id="10" w:name="_Toc213869618"/>
      <w:r w:rsidRPr="00644722">
        <w:t>Introduction</w:t>
      </w:r>
      <w:bookmarkEnd w:id="9"/>
      <w:bookmarkEnd w:id="10"/>
    </w:p>
    <w:p w14:paraId="3E31D8E5" w14:textId="77777777" w:rsidR="006C017B" w:rsidRPr="001F5FB7" w:rsidRDefault="14613EB8" w:rsidP="14613EB8">
      <w:pPr>
        <w:rPr>
          <w:rFonts w:ascii="Arial" w:hAnsi="Arial" w:cs="Arial"/>
        </w:rPr>
      </w:pPr>
      <w:r w:rsidRPr="001F5FB7">
        <w:rPr>
          <w:rFonts w:ascii="Arial" w:hAnsi="Arial" w:cs="Arial"/>
        </w:rPr>
        <w:t>Type 2 diabetes mellitus (T2DM) is a long-term metabolic condition triggered by the lack of insulin or insulin resistance in the body produced by the pancreas (NICE, 2023). This leads to high levels of blood glucose which, if mismanaged, may cause serious complications. Type 2 diabetes is typically progressive and closely associated with lifestyle, diet, and genetics, unlike Type 1 diabetes which is generally diagnosed at a younger age (WHO, 2023). The main symptoms include increased thirst, frequent urination, fatigue, and sluggish wound healing (NHS, 2024).</w:t>
      </w:r>
      <w:r w:rsidR="00EA6120" w:rsidRPr="001F5FB7">
        <w:rPr>
          <w:rFonts w:ascii="Arial" w:hAnsi="Arial" w:cs="Arial"/>
        </w:rPr>
        <w:br/>
      </w:r>
      <w:r w:rsidR="00EA6120" w:rsidRPr="001F5FB7">
        <w:rPr>
          <w:rFonts w:ascii="Arial" w:hAnsi="Arial" w:cs="Arial"/>
        </w:rPr>
        <w:br/>
      </w:r>
      <w:r w:rsidRPr="001F5FB7">
        <w:rPr>
          <w:rFonts w:ascii="Arial" w:hAnsi="Arial" w:cs="Arial"/>
        </w:rPr>
        <w:t>The incidence and outcome of the condition are carefully monitored by national public health surveillance initiatives, including the National Diabetes Audit, which collects data to enhance the quality of care across the NHS and guide policy (HQUIP, 2023). Globally, around 537 million people are already affected by diabetes, and the number is expected to reach 643 million by 2030 (WHO, 2023). Type 2 diabetes represents approximately 90 percent of the 4.3 million diabetics in the UK (Diabetes UK, 2024). These figures highlight the scale of the problem both globally and nationally, posing a significant threat to population well-being, families, communities, and the sustainability of health services. Treatment, management, and complications contribute to around 10 percent of annual NHS spending, making it one of the fastest-growing health conditions in the UK (NHS England, 2024).</w:t>
      </w:r>
    </w:p>
    <w:p w14:paraId="5ED9BFAD" w14:textId="3202F246" w:rsidR="006C017B" w:rsidRPr="00644722" w:rsidRDefault="14613EB8" w:rsidP="00644722">
      <w:pPr>
        <w:pStyle w:val="Heading2"/>
      </w:pPr>
      <w:bookmarkStart w:id="11" w:name="_Toc213869329"/>
      <w:bookmarkStart w:id="12" w:name="_Toc213869619"/>
      <w:r w:rsidRPr="00644722">
        <w:t>Impacts of Type 2 Diabetes</w:t>
      </w:r>
      <w:bookmarkEnd w:id="11"/>
      <w:bookmarkEnd w:id="12"/>
    </w:p>
    <w:p w14:paraId="6A0D3321" w14:textId="0B51D939" w:rsidR="006C017B" w:rsidRPr="001F5FB7" w:rsidRDefault="14613EB8" w:rsidP="14613EB8">
      <w:pPr>
        <w:rPr>
          <w:rFonts w:ascii="Arial" w:eastAsia="Cambria" w:hAnsi="Arial" w:cs="Arial"/>
        </w:rPr>
      </w:pPr>
      <w:r w:rsidRPr="001F5FB7">
        <w:rPr>
          <w:rFonts w:ascii="Arial" w:eastAsia="system-ui" w:hAnsi="Arial" w:cs="Arial"/>
        </w:rPr>
        <w:t xml:space="preserve">Type 2 diabetes may have a profound impact on the individuals, families and the entire healthcare system. The uncontrolled blood glucose level may lead to complications in the short-term and over the long-term. Physiologically, patients may have kidney disease (nephropathy), nerve damage (neuropathy), and eye-related problems (one of the most common causes of blindness in the working age population) such as diabetic retinopathy (NICE, 2023). </w:t>
      </w:r>
    </w:p>
    <w:p w14:paraId="61FDB32E" w14:textId="332EE377" w:rsidR="006C017B" w:rsidRPr="001F5FB7" w:rsidRDefault="14613EB8" w:rsidP="14613EB8">
      <w:pPr>
        <w:rPr>
          <w:rFonts w:ascii="Arial" w:eastAsia="Cambria" w:hAnsi="Arial" w:cs="Arial"/>
        </w:rPr>
      </w:pPr>
      <w:r w:rsidRPr="001F5FB7">
        <w:rPr>
          <w:rFonts w:ascii="Arial" w:eastAsia="system-ui" w:hAnsi="Arial" w:cs="Arial"/>
        </w:rPr>
        <w:t>Heart attacks, strokes, and circulation issues are also cardiovascular risks that are predisposed by diabetes (HQUIP, 2023). These complications usually limit movements and even autonomy resulting in poor quality of life and sadness. Diabetes patients also tend to develop anxiety and depression because of the daily stress of living with it and the risk of complications (Diabetes UK, 2024).</w:t>
      </w:r>
    </w:p>
    <w:p w14:paraId="10AAC1FA" w14:textId="1C501D1C" w:rsidR="006C017B" w:rsidRPr="001F5FB7" w:rsidRDefault="14613EB8" w:rsidP="14613EB8">
      <w:pPr>
        <w:rPr>
          <w:rFonts w:ascii="Arial" w:eastAsia="Cambria" w:hAnsi="Arial" w:cs="Arial"/>
        </w:rPr>
      </w:pPr>
      <w:r w:rsidRPr="001F5FB7">
        <w:rPr>
          <w:rFonts w:ascii="Arial" w:eastAsia="system-ui" w:hAnsi="Arial" w:cs="Arial"/>
        </w:rPr>
        <w:t xml:space="preserve">On the social level, one can have diet restrictions, loneliness, or stigmatization related to being overweight or having a lifestyle-related disease. Financial problems can also be encountered by the family members because of higher food expenses or absence of work to offer care (Public Health England, 2022). The </w:t>
      </w:r>
      <w:r w:rsidR="0050402E" w:rsidRPr="001F5FB7">
        <w:rPr>
          <w:rFonts w:ascii="Arial" w:eastAsia="system-ui" w:hAnsi="Arial" w:cs="Arial"/>
        </w:rPr>
        <w:t>working</w:t>
      </w:r>
      <w:r w:rsidRPr="001F5FB7">
        <w:rPr>
          <w:rFonts w:ascii="Arial" w:eastAsia="system-ui" w:hAnsi="Arial" w:cs="Arial"/>
        </w:rPr>
        <w:t xml:space="preserve"> adults with diabetes </w:t>
      </w:r>
      <w:r w:rsidR="00E12331" w:rsidRPr="001F5FB7">
        <w:rPr>
          <w:rFonts w:ascii="Arial" w:eastAsia="system-ui" w:hAnsi="Arial" w:cs="Arial"/>
        </w:rPr>
        <w:t>tend to</w:t>
      </w:r>
      <w:r w:rsidRPr="001F5FB7">
        <w:rPr>
          <w:rFonts w:ascii="Arial" w:eastAsia="system-ui" w:hAnsi="Arial" w:cs="Arial"/>
        </w:rPr>
        <w:t xml:space="preserve"> be absentee and less productive and this affects the larger community.</w:t>
      </w:r>
    </w:p>
    <w:p w14:paraId="17E2305B" w14:textId="31CBC825" w:rsidR="006C017B" w:rsidRPr="001F5FB7" w:rsidRDefault="14613EB8" w:rsidP="14613EB8">
      <w:pPr>
        <w:rPr>
          <w:rFonts w:ascii="Arial" w:eastAsia="Cambria" w:hAnsi="Arial" w:cs="Arial"/>
        </w:rPr>
      </w:pPr>
      <w:r w:rsidRPr="001F5FB7">
        <w:rPr>
          <w:rFonts w:ascii="Arial" w:eastAsia="system-ui" w:hAnsi="Arial" w:cs="Arial"/>
        </w:rPr>
        <w:lastRenderedPageBreak/>
        <w:t xml:space="preserve">The extent and consequences of these impacts are regularly monitored using national surveillance </w:t>
      </w:r>
      <w:r w:rsidR="004B1529" w:rsidRPr="001F5FB7">
        <w:rPr>
          <w:rFonts w:ascii="Arial" w:eastAsia="system-ui" w:hAnsi="Arial" w:cs="Arial"/>
        </w:rPr>
        <w:t>programs</w:t>
      </w:r>
      <w:r w:rsidRPr="001F5FB7">
        <w:rPr>
          <w:rFonts w:ascii="Arial" w:eastAsia="system-ui" w:hAnsi="Arial" w:cs="Arial"/>
        </w:rPr>
        <w:t xml:space="preserve"> including the National Diabetes Audit and the Quality and Outcomes Framework (QOF), which measure the standard and care and indicate disparities between regions (HQUIP, 2023). Socioeconomic inequality is strongly associated with poor outcomes, and the </w:t>
      </w:r>
      <w:r w:rsidR="00C23B6D" w:rsidRPr="001F5FB7">
        <w:rPr>
          <w:rFonts w:ascii="Arial" w:eastAsia="system-ui" w:hAnsi="Arial" w:cs="Arial"/>
        </w:rPr>
        <w:t>hospitalization</w:t>
      </w:r>
      <w:r w:rsidRPr="001F5FB7">
        <w:rPr>
          <w:rFonts w:ascii="Arial" w:eastAsia="system-ui" w:hAnsi="Arial" w:cs="Arial"/>
        </w:rPr>
        <w:t xml:space="preserve"> rate related to diabetes is higher in the deprived regions (HQUIP, 2023).</w:t>
      </w:r>
    </w:p>
    <w:p w14:paraId="540EE383" w14:textId="71A774CE" w:rsidR="006C017B" w:rsidRPr="001F5FB7" w:rsidRDefault="14613EB8" w:rsidP="14613EB8">
      <w:pPr>
        <w:rPr>
          <w:rFonts w:ascii="Arial" w:eastAsia="Cambria" w:hAnsi="Arial" w:cs="Arial"/>
        </w:rPr>
      </w:pPr>
      <w:r w:rsidRPr="001F5FB7">
        <w:rPr>
          <w:rFonts w:ascii="Arial" w:eastAsia="system-ui" w:hAnsi="Arial" w:cs="Arial"/>
        </w:rPr>
        <w:t xml:space="preserve">Subsequently, the NHS is under enormous pressure. The data indicates that diabetes causes over 185,000 admissions annually, with its secondary outcomes like heart failure and amputation putting additional burdens on the resources (NHS England, 2024). An average of 10 billion is expended yearly on treatment and one out of every six hospital beds </w:t>
      </w:r>
      <w:r w:rsidR="004B1529" w:rsidRPr="001F5FB7">
        <w:rPr>
          <w:rFonts w:ascii="Arial" w:eastAsia="system-ui" w:hAnsi="Arial" w:cs="Arial"/>
        </w:rPr>
        <w:t>house</w:t>
      </w:r>
      <w:r w:rsidRPr="001F5FB7">
        <w:rPr>
          <w:rFonts w:ascii="Arial" w:eastAsia="system-ui" w:hAnsi="Arial" w:cs="Arial"/>
        </w:rPr>
        <w:t xml:space="preserve"> a diabetic patient (NICE, 2023). </w:t>
      </w:r>
    </w:p>
    <w:p w14:paraId="5B1761E7" w14:textId="6533B404" w:rsidR="006C017B" w:rsidRPr="001F5FB7" w:rsidRDefault="14613EB8" w:rsidP="14613EB8">
      <w:pPr>
        <w:rPr>
          <w:rFonts w:ascii="Arial" w:eastAsia="Cambria" w:hAnsi="Arial" w:cs="Arial"/>
        </w:rPr>
      </w:pPr>
      <w:r w:rsidRPr="001F5FB7">
        <w:rPr>
          <w:rFonts w:ascii="Arial" w:eastAsia="system-ui" w:hAnsi="Arial" w:cs="Arial"/>
        </w:rPr>
        <w:t xml:space="preserve">Type 2 diabetes has been named by the NHS Long Term Plan (2019) as one of the main areas where prevention and early intervention should occur, and community services and lifestyle </w:t>
      </w:r>
      <w:r w:rsidR="004B1529" w:rsidRPr="001F5FB7">
        <w:rPr>
          <w:rFonts w:ascii="Arial" w:eastAsia="system-ui" w:hAnsi="Arial" w:cs="Arial"/>
        </w:rPr>
        <w:t>programs</w:t>
      </w:r>
      <w:r w:rsidRPr="001F5FB7">
        <w:rPr>
          <w:rFonts w:ascii="Arial" w:eastAsia="system-ui" w:hAnsi="Arial" w:cs="Arial"/>
        </w:rPr>
        <w:t xml:space="preserve"> are the two means of aiding in getting a reduced number of complications. Nevertheless, the fact that there is still an increasing number of people in the hospital indicates that they are not combating socioeconomic and behavioral risks among risk populations completely (Public Health England, 2022). More powerful prevention and earlier intervention approaches are necessary to alleviate pressure on NHS and enhance long-term outcomes.</w:t>
      </w:r>
    </w:p>
    <w:p w14:paraId="795B28FE" w14:textId="5A503B27" w:rsidR="00E30F07" w:rsidRPr="00644722" w:rsidRDefault="14613EB8" w:rsidP="00644722">
      <w:pPr>
        <w:pStyle w:val="Heading3"/>
      </w:pPr>
      <w:bookmarkStart w:id="13" w:name="_Toc213869330"/>
      <w:bookmarkStart w:id="14" w:name="_Toc213869620"/>
      <w:r w:rsidRPr="00644722">
        <w:t>Control and Management of Type 2 Diabetes</w:t>
      </w:r>
      <w:bookmarkEnd w:id="13"/>
      <w:bookmarkEnd w:id="14"/>
    </w:p>
    <w:p w14:paraId="11F8E8AF" w14:textId="69595E1A" w:rsidR="14613EB8" w:rsidRPr="001F5FB7" w:rsidRDefault="14613EB8" w:rsidP="14613EB8">
      <w:pPr>
        <w:rPr>
          <w:rFonts w:ascii="Arial" w:eastAsia="system-ui" w:hAnsi="Arial" w:cs="Arial"/>
        </w:rPr>
      </w:pPr>
      <w:r w:rsidRPr="001F5FB7">
        <w:rPr>
          <w:rFonts w:ascii="Arial" w:eastAsia="system-ui" w:hAnsi="Arial" w:cs="Arial"/>
        </w:rPr>
        <w:t xml:space="preserve">The treatment of Type 2 diabetes is through medical, lifestyle and community health </w:t>
      </w:r>
      <w:r w:rsidR="00181C6E" w:rsidRPr="001F5FB7">
        <w:rPr>
          <w:rFonts w:ascii="Arial" w:eastAsia="system-ui" w:hAnsi="Arial" w:cs="Arial"/>
        </w:rPr>
        <w:t>programs</w:t>
      </w:r>
      <w:r w:rsidRPr="001F5FB7">
        <w:rPr>
          <w:rFonts w:ascii="Arial" w:eastAsia="system-ui" w:hAnsi="Arial" w:cs="Arial"/>
        </w:rPr>
        <w:t>. The main intention is the need to keep the blood sugar levels healthy to prevent complications.</w:t>
      </w:r>
    </w:p>
    <w:p w14:paraId="0705D926" w14:textId="04D5867C" w:rsidR="14613EB8" w:rsidRPr="001F5FB7" w:rsidRDefault="14613EB8" w:rsidP="14613EB8">
      <w:pPr>
        <w:rPr>
          <w:rFonts w:ascii="Arial" w:eastAsia="system-ui" w:hAnsi="Arial" w:cs="Arial"/>
        </w:rPr>
      </w:pPr>
      <w:r w:rsidRPr="001F5FB7">
        <w:rPr>
          <w:rFonts w:ascii="Arial" w:eastAsia="system-ui" w:hAnsi="Arial" w:cs="Arial"/>
        </w:rPr>
        <w:t>The initial one is lifestyle modification. Patients are advised to eat a well-balanced diet that is high in fruits, vegetables, whole grains, and low-fat proteins and reduce highly processed food (WHO, 2023). Frequent physical activity that includes walking, swimming, cycling, etc. will increase insulin sensitivity and weight management.</w:t>
      </w:r>
    </w:p>
    <w:p w14:paraId="17C7F9CB" w14:textId="40EC5EFF" w:rsidR="14613EB8" w:rsidRPr="001F5FB7" w:rsidRDefault="14613EB8" w:rsidP="14613EB8">
      <w:pPr>
        <w:rPr>
          <w:rFonts w:ascii="Arial" w:eastAsia="system-ui" w:hAnsi="Arial" w:cs="Arial"/>
        </w:rPr>
      </w:pPr>
      <w:r w:rsidRPr="001F5FB7">
        <w:rPr>
          <w:rFonts w:ascii="Arial" w:eastAsia="system-ui" w:hAnsi="Arial" w:cs="Arial"/>
        </w:rPr>
        <w:t xml:space="preserve">The NHS Diabetes Prevention </w:t>
      </w:r>
      <w:r w:rsidR="00181C6E" w:rsidRPr="001F5FB7">
        <w:rPr>
          <w:rFonts w:ascii="Arial" w:eastAsia="system-ui" w:hAnsi="Arial" w:cs="Arial"/>
        </w:rPr>
        <w:t>Program</w:t>
      </w:r>
      <w:r w:rsidRPr="001F5FB7">
        <w:rPr>
          <w:rFonts w:ascii="Arial" w:eastAsia="system-ui" w:hAnsi="Arial" w:cs="Arial"/>
        </w:rPr>
        <w:t xml:space="preserve"> (NDPP) offers nutritional and physical exercise education to individuals who are at risk of getting Type 2 diabetes. The </w:t>
      </w:r>
      <w:r w:rsidR="00181C6E" w:rsidRPr="001F5FB7">
        <w:rPr>
          <w:rFonts w:ascii="Arial" w:eastAsia="system-ui" w:hAnsi="Arial" w:cs="Arial"/>
        </w:rPr>
        <w:t>program</w:t>
      </w:r>
      <w:r w:rsidRPr="001F5FB7">
        <w:rPr>
          <w:rFonts w:ascii="Arial" w:eastAsia="system-ui" w:hAnsi="Arial" w:cs="Arial"/>
        </w:rPr>
        <w:t xml:space="preserve"> has been identified to reduce the risk of developing the disease by 37 percent among the participants (NHS England, 2024). Medication is added when lifestyle measures do not give the desired results. The first-line drug is metformin and has been used to decrease liver rates of glucose production and increase the sensitivity of insulin (NICE, 2023). Other drugs are GLP-1 receptor agonists, which are used to control weight and appetite, and SGLT2 inhibitors, which are used to excrete unnecessary glucose in the urine. In other instances, oral therapy might </w:t>
      </w:r>
      <w:r w:rsidR="0013633E" w:rsidRPr="001F5FB7">
        <w:rPr>
          <w:rFonts w:ascii="Arial" w:eastAsia="system-ui" w:hAnsi="Arial" w:cs="Arial"/>
        </w:rPr>
        <w:t>fail,</w:t>
      </w:r>
      <w:r w:rsidRPr="001F5FB7">
        <w:rPr>
          <w:rFonts w:ascii="Arial" w:eastAsia="system-ui" w:hAnsi="Arial" w:cs="Arial"/>
        </w:rPr>
        <w:t xml:space="preserve"> hence the need to administer insulin therapy. Regular glucose monitoring is a supportive intervention that helps patients remain in control of the condition (Diabetes UK, 2024). </w:t>
      </w:r>
    </w:p>
    <w:p w14:paraId="00F569AE" w14:textId="6AA54303" w:rsidR="14613EB8" w:rsidRPr="001F5FB7" w:rsidRDefault="14613EB8" w:rsidP="14613EB8">
      <w:pPr>
        <w:rPr>
          <w:rFonts w:ascii="Arial" w:eastAsia="system-ui" w:hAnsi="Arial" w:cs="Arial"/>
        </w:rPr>
      </w:pPr>
      <w:r w:rsidRPr="001F5FB7">
        <w:rPr>
          <w:rFonts w:ascii="Arial" w:eastAsia="system-ui" w:hAnsi="Arial" w:cs="Arial"/>
        </w:rPr>
        <w:t xml:space="preserve">Training and development </w:t>
      </w:r>
      <w:r w:rsidR="0013633E" w:rsidRPr="001F5FB7">
        <w:rPr>
          <w:rFonts w:ascii="Arial" w:eastAsia="system-ui" w:hAnsi="Arial" w:cs="Arial"/>
        </w:rPr>
        <w:t>are</w:t>
      </w:r>
      <w:r w:rsidRPr="001F5FB7">
        <w:rPr>
          <w:rFonts w:ascii="Arial" w:eastAsia="system-ui" w:hAnsi="Arial" w:cs="Arial"/>
        </w:rPr>
        <w:t xml:space="preserve"> a significant part of management in the long run. DESMOND (Diabetes Education and Self-management of Ongoing and Newly </w:t>
      </w:r>
      <w:r w:rsidRPr="001F5FB7">
        <w:rPr>
          <w:rFonts w:ascii="Arial" w:eastAsia="system-ui" w:hAnsi="Arial" w:cs="Arial"/>
        </w:rPr>
        <w:lastRenderedPageBreak/>
        <w:t xml:space="preserve">Diagnosed) program empowers patients with knowledge and skills to cope with their condition using group sessions and peer support (HQUIP, 2023). Medical practitioners such as nurses, dietitians, podiatrists, and pharmacists collaborate </w:t>
      </w:r>
      <w:r w:rsidR="0013633E" w:rsidRPr="001F5FB7">
        <w:rPr>
          <w:rFonts w:ascii="Arial" w:eastAsia="system-ui" w:hAnsi="Arial" w:cs="Arial"/>
        </w:rPr>
        <w:t>to</w:t>
      </w:r>
      <w:r w:rsidRPr="001F5FB7">
        <w:rPr>
          <w:rFonts w:ascii="Arial" w:eastAsia="system-ui" w:hAnsi="Arial" w:cs="Arial"/>
        </w:rPr>
        <w:t xml:space="preserve"> offer comprehensive care. </w:t>
      </w:r>
    </w:p>
    <w:p w14:paraId="72A65727" w14:textId="22A6CEAB" w:rsidR="14613EB8" w:rsidRPr="001F5FB7" w:rsidRDefault="14613EB8" w:rsidP="14613EB8">
      <w:pPr>
        <w:rPr>
          <w:rFonts w:ascii="Arial" w:eastAsia="system-ui" w:hAnsi="Arial" w:cs="Arial"/>
        </w:rPr>
      </w:pPr>
      <w:r w:rsidRPr="001F5FB7">
        <w:rPr>
          <w:rFonts w:ascii="Arial" w:eastAsia="system-ui" w:hAnsi="Arial" w:cs="Arial"/>
        </w:rPr>
        <w:t>Multidisciplinary and integrated care and patient empowerment to achieve sustained diabetes control are highlighted by the NHS Long Term Plan (2019) and the NICE guidelines (NG28). The prevention campaigns, including Know Your Risk (Diabetes UK, 2024), and policies, including Soft Drinks Industry Levy and in-restaurant calorie labeling, are designed to encourage a healthier lifestyle (Public Health England, 2022).</w:t>
      </w:r>
    </w:p>
    <w:p w14:paraId="6E095E9E" w14:textId="21012549" w:rsidR="14613EB8" w:rsidRPr="001F5FB7" w:rsidRDefault="14613EB8" w:rsidP="14613EB8">
      <w:pPr>
        <w:rPr>
          <w:rFonts w:ascii="Arial" w:hAnsi="Arial" w:cs="Arial"/>
        </w:rPr>
      </w:pPr>
      <w:r w:rsidRPr="001F5FB7">
        <w:rPr>
          <w:rFonts w:ascii="Arial" w:eastAsia="system-ui" w:hAnsi="Arial" w:cs="Arial"/>
        </w:rPr>
        <w:t>Nonetheless, cultural eating patterns, poverty, and unavailability of healthy food are some of the obstacles to the involvement in such programs. Although these national strategies have partially been effective, their effect is not even because of their socioeconomic disparity that permeates (Public Health England, 2022). Prevention and support programs should be provided in a manner that is inclusive and culturally sensitive to reach all the population groups and bring equity.</w:t>
      </w:r>
    </w:p>
    <w:p w14:paraId="027BC423" w14:textId="77777777" w:rsidR="006C017B" w:rsidRPr="00644722" w:rsidRDefault="00EA6120" w:rsidP="00644722">
      <w:pPr>
        <w:pStyle w:val="Heading4"/>
      </w:pPr>
      <w:bookmarkStart w:id="15" w:name="_Hlk213869674"/>
      <w:r w:rsidRPr="00644722">
        <w:t>Factors Influencing Health and Well-Being</w:t>
      </w:r>
    </w:p>
    <w:bookmarkEnd w:id="15"/>
    <w:p w14:paraId="7D8A721B" w14:textId="7CAEA1B0" w:rsidR="00BF74F4" w:rsidRPr="001F5FB7" w:rsidRDefault="00BF74F4">
      <w:pPr>
        <w:rPr>
          <w:rFonts w:ascii="Arial" w:hAnsi="Arial" w:cs="Arial"/>
        </w:rPr>
      </w:pPr>
      <w:r w:rsidRPr="001F5FB7">
        <w:rPr>
          <w:rFonts w:ascii="Arial" w:hAnsi="Arial" w:cs="Arial"/>
        </w:rPr>
        <w:t xml:space="preserve">Type 2 diabetes is affected by various biological, social and environmental factors. </w:t>
      </w:r>
      <w:r w:rsidR="00D5069B" w:rsidRPr="001F5FB7">
        <w:rPr>
          <w:rFonts w:ascii="Arial" w:hAnsi="Arial" w:cs="Arial"/>
        </w:rPr>
        <w:t>This</w:t>
      </w:r>
      <w:r w:rsidRPr="001F5FB7">
        <w:rPr>
          <w:rFonts w:ascii="Arial" w:hAnsi="Arial" w:cs="Arial"/>
        </w:rPr>
        <w:t xml:space="preserve"> occurs more frequently in older adults, especially those who are above 45 years, but due to the increasing rates of obesity, younger individuals are increasingly being diagnosed with the condition (WHO, 2023). The role of genetics is also significant one - the presence of a parent or a sibling with diabetes predisposes to the disease, and men are slightly more vulnerable to it than women (NICE, 2023).</w:t>
      </w:r>
    </w:p>
    <w:p w14:paraId="61201268" w14:textId="4FEA6B36" w:rsidR="006C017B" w:rsidRPr="001F5FB7" w:rsidRDefault="00087532">
      <w:pPr>
        <w:rPr>
          <w:rFonts w:ascii="Arial" w:hAnsi="Arial" w:cs="Arial"/>
        </w:rPr>
      </w:pPr>
      <w:r w:rsidRPr="001F5FB7">
        <w:rPr>
          <w:rFonts w:ascii="Arial" w:hAnsi="Arial" w:cs="Arial"/>
        </w:rPr>
        <w:t xml:space="preserve">Another important determinant is ethnicity. Individuals of the South Asian, African, and Caribbean ancestry are approximately thrice as likely to contract Type 2 </w:t>
      </w:r>
      <w:r w:rsidR="00501D4A" w:rsidRPr="001F5FB7">
        <w:rPr>
          <w:rFonts w:ascii="Arial" w:hAnsi="Arial" w:cs="Arial"/>
        </w:rPr>
        <w:t>diabetes,</w:t>
      </w:r>
      <w:r w:rsidRPr="001F5FB7">
        <w:rPr>
          <w:rFonts w:ascii="Arial" w:hAnsi="Arial" w:cs="Arial"/>
        </w:rPr>
        <w:t xml:space="preserve"> and this is frequently at lower body weights and younger ages (Public Health England, 2022). Such determinants are interrelated, and the Interactional Model of Health provided by Dahlgren and Whitehead (1991) illustrates the process by which individual behavior is influenced by the larger social, economic and environmental circumstances.</w:t>
      </w:r>
      <w:r w:rsidR="00EA6120" w:rsidRPr="001F5FB7">
        <w:rPr>
          <w:rFonts w:ascii="Arial" w:hAnsi="Arial" w:cs="Arial"/>
        </w:rPr>
        <w:br/>
      </w:r>
      <w:r w:rsidR="00EA6120" w:rsidRPr="001F5FB7">
        <w:rPr>
          <w:rFonts w:ascii="Arial" w:hAnsi="Arial" w:cs="Arial"/>
        </w:rPr>
        <w:br/>
      </w:r>
      <w:r w:rsidR="00CD0FDC" w:rsidRPr="001F5FB7">
        <w:rPr>
          <w:rFonts w:ascii="Arial" w:hAnsi="Arial" w:cs="Arial"/>
        </w:rPr>
        <w:t xml:space="preserve">Poor diet, smoking, alcohol use and lack of exercise are lifestyle </w:t>
      </w:r>
      <w:r w:rsidR="00501D4A" w:rsidRPr="001F5FB7">
        <w:rPr>
          <w:rFonts w:ascii="Arial" w:hAnsi="Arial" w:cs="Arial"/>
        </w:rPr>
        <w:t>behaviors</w:t>
      </w:r>
      <w:r w:rsidR="00CD0FDC" w:rsidRPr="001F5FB7">
        <w:rPr>
          <w:rFonts w:ascii="Arial" w:hAnsi="Arial" w:cs="Arial"/>
        </w:rPr>
        <w:t xml:space="preserve"> that pose a risk. Physical exercise may assist them in coping with their condition better by increasing confidence, decreasing stress, and enhancing health.</w:t>
      </w:r>
      <w:r w:rsidR="00EA6120" w:rsidRPr="001F5FB7">
        <w:rPr>
          <w:rFonts w:ascii="Arial" w:hAnsi="Arial" w:cs="Arial"/>
        </w:rPr>
        <w:br/>
      </w:r>
      <w:r w:rsidR="00EA6120" w:rsidRPr="001F5FB7">
        <w:rPr>
          <w:rFonts w:ascii="Arial" w:hAnsi="Arial" w:cs="Arial"/>
        </w:rPr>
        <w:br/>
      </w:r>
      <w:r w:rsidR="002D23F4" w:rsidRPr="001F5FB7">
        <w:rPr>
          <w:rFonts w:ascii="Arial" w:hAnsi="Arial" w:cs="Arial"/>
        </w:rPr>
        <w:t xml:space="preserve">The economic and social background also has a significant impact on health outcomes. Individuals in </w:t>
      </w:r>
      <w:r w:rsidR="00740301" w:rsidRPr="001F5FB7">
        <w:rPr>
          <w:rFonts w:ascii="Arial" w:hAnsi="Arial" w:cs="Arial"/>
        </w:rPr>
        <w:t>poor</w:t>
      </w:r>
      <w:r w:rsidR="002D23F4" w:rsidRPr="001F5FB7">
        <w:rPr>
          <w:rFonts w:ascii="Arial" w:hAnsi="Arial" w:cs="Arial"/>
        </w:rPr>
        <w:t xml:space="preserve"> neighborhoods are prone to food poverty, lack of health care accessibility, and lack of exercise opportunities. Mental health is also low income, which makes it less likely to continue lifestyle changes (NHS England, 2024). The health Inequalities Improvement </w:t>
      </w:r>
      <w:r w:rsidR="0012217C" w:rsidRPr="001F5FB7">
        <w:rPr>
          <w:rFonts w:ascii="Arial" w:hAnsi="Arial" w:cs="Arial"/>
        </w:rPr>
        <w:t>Program</w:t>
      </w:r>
      <w:r w:rsidR="002D23F4" w:rsidRPr="001F5FB7">
        <w:rPr>
          <w:rFonts w:ascii="Arial" w:hAnsi="Arial" w:cs="Arial"/>
        </w:rPr>
        <w:t xml:space="preserve"> and the NHS Core20PLUS5 plan focus on minimizing such differences by focusing on the deprived groups and enhancing access to prevention and management services (NHS England, 2024).</w:t>
      </w:r>
      <w:r w:rsidR="00EA6120" w:rsidRPr="001F5FB7">
        <w:rPr>
          <w:rFonts w:ascii="Arial" w:hAnsi="Arial" w:cs="Arial"/>
        </w:rPr>
        <w:br/>
      </w:r>
      <w:r w:rsidR="00EA6120" w:rsidRPr="001F5FB7">
        <w:rPr>
          <w:rFonts w:ascii="Arial" w:hAnsi="Arial" w:cs="Arial"/>
        </w:rPr>
        <w:br/>
      </w:r>
      <w:r w:rsidR="00A052CD" w:rsidRPr="001F5FB7">
        <w:rPr>
          <w:rFonts w:ascii="Arial" w:hAnsi="Arial" w:cs="Arial"/>
        </w:rPr>
        <w:lastRenderedPageBreak/>
        <w:t xml:space="preserve">There is also poor health due to environmental factors like pollution, shortage of green spaces as well as poor housing. The poor self-management and non-adherence to medications can be caused by psychological stress, hopelessness, and the lack of social support (Diabetes UK, 2024). It has been demonstrated that the absence of long-term, community-based, and culturally sensitive interventions could hardly lead to any </w:t>
      </w:r>
      <w:r w:rsidR="00501D4A" w:rsidRPr="001F5FB7">
        <w:rPr>
          <w:rFonts w:ascii="Arial" w:hAnsi="Arial" w:cs="Arial"/>
        </w:rPr>
        <w:t>behavioral</w:t>
      </w:r>
      <w:r w:rsidR="00A052CD" w:rsidRPr="001F5FB7">
        <w:rPr>
          <w:rFonts w:ascii="Arial" w:hAnsi="Arial" w:cs="Arial"/>
        </w:rPr>
        <w:t xml:space="preserve"> change (Public Health England, 2022). Healthcare teams need therefore to be holistic to the patient as they need to address both the physical and psychosocial requirements of the patient to bring about sustainability in well-being.</w:t>
      </w:r>
    </w:p>
    <w:p w14:paraId="266F199E" w14:textId="77777777" w:rsidR="006C017B" w:rsidRPr="00644722" w:rsidRDefault="00EA6120" w:rsidP="00644722">
      <w:pPr>
        <w:pStyle w:val="Heading5"/>
      </w:pPr>
      <w:r w:rsidRPr="00644722">
        <w:t>Conclusion</w:t>
      </w:r>
    </w:p>
    <w:p w14:paraId="0F369A38" w14:textId="1C402877" w:rsidR="006C017B" w:rsidRPr="001F5FB7" w:rsidRDefault="007F026E">
      <w:pPr>
        <w:rPr>
          <w:rFonts w:ascii="Arial" w:hAnsi="Arial" w:cs="Arial"/>
        </w:rPr>
      </w:pPr>
      <w:r w:rsidRPr="001F5FB7">
        <w:rPr>
          <w:rFonts w:ascii="Arial" w:hAnsi="Arial" w:cs="Arial"/>
        </w:rPr>
        <w:t>In conclusion, Type 2 diabetes has emerged as one of the biggest and the rapidly expanding health issues in the UK. As much as it has a significant influence on individuals, families and the NHS, it can be mostly prevented by early intervention and healthy lifestyle choices. The management would require a combination of medical treatment and personal dedication facilitated by learning and general awareness.</w:t>
      </w:r>
      <w:r w:rsidR="00EA6120" w:rsidRPr="001F5FB7">
        <w:rPr>
          <w:rFonts w:ascii="Arial" w:hAnsi="Arial" w:cs="Arial"/>
        </w:rPr>
        <w:br/>
      </w:r>
      <w:r w:rsidR="00EA6120" w:rsidRPr="001F5FB7">
        <w:rPr>
          <w:rFonts w:ascii="Arial" w:hAnsi="Arial" w:cs="Arial"/>
        </w:rPr>
        <w:br/>
      </w:r>
      <w:r w:rsidR="006B20B5" w:rsidRPr="001F5FB7">
        <w:rPr>
          <w:rFonts w:ascii="Arial" w:hAnsi="Arial" w:cs="Arial"/>
        </w:rPr>
        <w:t xml:space="preserve">Constant surveillance </w:t>
      </w:r>
      <w:r w:rsidR="00501D4A" w:rsidRPr="001F5FB7">
        <w:rPr>
          <w:rFonts w:ascii="Arial" w:hAnsi="Arial" w:cs="Arial"/>
        </w:rPr>
        <w:t>using</w:t>
      </w:r>
      <w:r w:rsidR="006B20B5" w:rsidRPr="001F5FB7">
        <w:rPr>
          <w:rFonts w:ascii="Arial" w:hAnsi="Arial" w:cs="Arial"/>
        </w:rPr>
        <w:t xml:space="preserve"> National Diabetes Audit and local health surveillance helps the policymakers and practitioners to understand the trends and apply specific measures (HQUIP, 2023). Although national programs like the NDPP have achieved some achievements, social disparities </w:t>
      </w:r>
      <w:r w:rsidR="00501D4A" w:rsidRPr="001F5FB7">
        <w:rPr>
          <w:rFonts w:ascii="Arial" w:hAnsi="Arial" w:cs="Arial"/>
        </w:rPr>
        <w:t>are</w:t>
      </w:r>
      <w:r w:rsidR="006B20B5" w:rsidRPr="001F5FB7">
        <w:rPr>
          <w:rFonts w:ascii="Arial" w:hAnsi="Arial" w:cs="Arial"/>
        </w:rPr>
        <w:t xml:space="preserve"> still affecting the outcomes of health and </w:t>
      </w:r>
      <w:r w:rsidR="00677D30" w:rsidRPr="001F5FB7">
        <w:rPr>
          <w:rFonts w:ascii="Arial" w:hAnsi="Arial" w:cs="Arial"/>
        </w:rPr>
        <w:t>must</w:t>
      </w:r>
      <w:r w:rsidR="006B20B5" w:rsidRPr="001F5FB7">
        <w:rPr>
          <w:rFonts w:ascii="Arial" w:hAnsi="Arial" w:cs="Arial"/>
        </w:rPr>
        <w:t xml:space="preserve"> be addressed. </w:t>
      </w:r>
      <w:r w:rsidR="00677D30" w:rsidRPr="001F5FB7">
        <w:rPr>
          <w:rFonts w:ascii="Arial" w:hAnsi="Arial" w:cs="Arial"/>
        </w:rPr>
        <w:t>Society</w:t>
      </w:r>
      <w:r w:rsidR="006B20B5" w:rsidRPr="001F5FB7">
        <w:rPr>
          <w:rFonts w:ascii="Arial" w:hAnsi="Arial" w:cs="Arial"/>
        </w:rPr>
        <w:t xml:space="preserve"> must still invest in prevention, education, and equal healthcare access to curtail the increasing cost of this disease. The UK can achieve this by making people and communities have a say in their health, thereby reducing the prevalence rate of Type 2 diabetes and creating a healthier future </w:t>
      </w:r>
      <w:r w:rsidR="00677D30" w:rsidRPr="001F5FB7">
        <w:rPr>
          <w:rFonts w:ascii="Arial" w:hAnsi="Arial" w:cs="Arial"/>
        </w:rPr>
        <w:t>for</w:t>
      </w:r>
      <w:r w:rsidR="006B20B5" w:rsidRPr="001F5FB7">
        <w:rPr>
          <w:rFonts w:ascii="Arial" w:hAnsi="Arial" w:cs="Arial"/>
        </w:rPr>
        <w:t xml:space="preserve"> all.</w:t>
      </w:r>
    </w:p>
    <w:p w14:paraId="0892C00B" w14:textId="77777777" w:rsidR="001F5FB7" w:rsidRDefault="001F5FB7" w:rsidP="001F5FB7">
      <w:pPr>
        <w:pStyle w:val="Heading2"/>
        <w:spacing w:line="240" w:lineRule="auto"/>
        <w:rPr>
          <w:rFonts w:ascii="Arial" w:hAnsi="Arial" w:cs="Arial"/>
          <w:color w:val="auto"/>
          <w:sz w:val="22"/>
          <w:szCs w:val="22"/>
        </w:rPr>
      </w:pPr>
    </w:p>
    <w:p w14:paraId="613C82E1" w14:textId="77777777" w:rsidR="001F5FB7" w:rsidRDefault="001F5FB7" w:rsidP="001F5FB7">
      <w:pPr>
        <w:pStyle w:val="Heading2"/>
        <w:spacing w:line="240" w:lineRule="auto"/>
        <w:rPr>
          <w:rFonts w:ascii="Arial" w:hAnsi="Arial" w:cs="Arial"/>
          <w:color w:val="auto"/>
          <w:sz w:val="22"/>
          <w:szCs w:val="22"/>
        </w:rPr>
      </w:pPr>
    </w:p>
    <w:p w14:paraId="6BA1B543" w14:textId="77777777" w:rsidR="001F5FB7" w:rsidRDefault="001F5FB7" w:rsidP="001F5FB7">
      <w:pPr>
        <w:pStyle w:val="Heading2"/>
        <w:spacing w:line="240" w:lineRule="auto"/>
        <w:rPr>
          <w:rFonts w:ascii="Arial" w:hAnsi="Arial" w:cs="Arial"/>
          <w:color w:val="auto"/>
          <w:sz w:val="22"/>
          <w:szCs w:val="22"/>
        </w:rPr>
      </w:pPr>
    </w:p>
    <w:p w14:paraId="4DEAA15D" w14:textId="77777777" w:rsidR="001F5FB7" w:rsidRDefault="001F5FB7" w:rsidP="001F5FB7">
      <w:pPr>
        <w:pStyle w:val="Heading2"/>
        <w:spacing w:line="240" w:lineRule="auto"/>
        <w:rPr>
          <w:rFonts w:ascii="Arial" w:hAnsi="Arial" w:cs="Arial"/>
          <w:color w:val="auto"/>
          <w:sz w:val="22"/>
          <w:szCs w:val="22"/>
        </w:rPr>
      </w:pPr>
    </w:p>
    <w:p w14:paraId="727D9D49" w14:textId="77777777" w:rsidR="001F5FB7" w:rsidRDefault="001F5FB7" w:rsidP="001F5FB7">
      <w:pPr>
        <w:pStyle w:val="Heading2"/>
        <w:spacing w:line="240" w:lineRule="auto"/>
        <w:rPr>
          <w:rFonts w:ascii="Arial" w:hAnsi="Arial" w:cs="Arial"/>
          <w:color w:val="auto"/>
          <w:sz w:val="22"/>
          <w:szCs w:val="22"/>
        </w:rPr>
      </w:pPr>
    </w:p>
    <w:p w14:paraId="44602766" w14:textId="77777777" w:rsidR="001F5FB7" w:rsidRDefault="001F5FB7" w:rsidP="001F5FB7">
      <w:pPr>
        <w:pStyle w:val="Heading2"/>
        <w:spacing w:line="240" w:lineRule="auto"/>
        <w:rPr>
          <w:rFonts w:ascii="Arial" w:hAnsi="Arial" w:cs="Arial"/>
          <w:color w:val="auto"/>
          <w:sz w:val="22"/>
          <w:szCs w:val="22"/>
        </w:rPr>
      </w:pPr>
    </w:p>
    <w:p w14:paraId="69779C6F" w14:textId="77777777" w:rsidR="001F5FB7" w:rsidRDefault="001F5FB7" w:rsidP="001F5FB7">
      <w:pPr>
        <w:pStyle w:val="Heading2"/>
        <w:spacing w:line="240" w:lineRule="auto"/>
        <w:rPr>
          <w:rFonts w:ascii="Arial" w:hAnsi="Arial" w:cs="Arial"/>
          <w:color w:val="auto"/>
          <w:sz w:val="22"/>
          <w:szCs w:val="22"/>
        </w:rPr>
      </w:pPr>
    </w:p>
    <w:p w14:paraId="5B5CCA58" w14:textId="77777777" w:rsidR="001F5FB7" w:rsidRDefault="001F5FB7" w:rsidP="001F5FB7">
      <w:pPr>
        <w:pStyle w:val="Heading2"/>
        <w:spacing w:line="240" w:lineRule="auto"/>
        <w:rPr>
          <w:rFonts w:ascii="Arial" w:hAnsi="Arial" w:cs="Arial"/>
          <w:color w:val="auto"/>
          <w:sz w:val="22"/>
          <w:szCs w:val="22"/>
        </w:rPr>
      </w:pPr>
    </w:p>
    <w:p w14:paraId="45D3C046" w14:textId="77777777" w:rsidR="001F5FB7" w:rsidRDefault="001F5FB7" w:rsidP="001F5FB7">
      <w:pPr>
        <w:pStyle w:val="Heading2"/>
        <w:spacing w:line="240" w:lineRule="auto"/>
        <w:rPr>
          <w:rFonts w:ascii="Arial" w:hAnsi="Arial" w:cs="Arial"/>
          <w:color w:val="auto"/>
          <w:sz w:val="22"/>
          <w:szCs w:val="22"/>
        </w:rPr>
      </w:pPr>
    </w:p>
    <w:p w14:paraId="6F31C701" w14:textId="77777777" w:rsidR="00E567F9" w:rsidRDefault="00E567F9" w:rsidP="001F5FB7">
      <w:pPr>
        <w:rPr>
          <w:rFonts w:ascii="Arial" w:hAnsi="Arial" w:cs="Arial"/>
          <w:b/>
          <w:bCs/>
        </w:rPr>
      </w:pPr>
    </w:p>
    <w:p w14:paraId="6800EB44" w14:textId="77777777" w:rsidR="00E567F9" w:rsidRDefault="00E567F9" w:rsidP="001F5FB7">
      <w:pPr>
        <w:rPr>
          <w:rFonts w:ascii="Arial" w:hAnsi="Arial" w:cs="Arial"/>
          <w:b/>
          <w:bCs/>
        </w:rPr>
      </w:pPr>
    </w:p>
    <w:p w14:paraId="0EEAE958" w14:textId="77777777" w:rsidR="00E567F9" w:rsidRDefault="00E567F9" w:rsidP="001F5FB7">
      <w:pPr>
        <w:rPr>
          <w:rFonts w:ascii="Arial" w:hAnsi="Arial" w:cs="Arial"/>
          <w:b/>
          <w:bCs/>
        </w:rPr>
      </w:pPr>
    </w:p>
    <w:p w14:paraId="48765A86" w14:textId="77777777" w:rsidR="00E567F9" w:rsidRDefault="00E567F9" w:rsidP="001F5FB7">
      <w:pPr>
        <w:rPr>
          <w:rFonts w:ascii="Arial" w:hAnsi="Arial" w:cs="Arial"/>
          <w:b/>
          <w:bCs/>
        </w:rPr>
      </w:pPr>
    </w:p>
    <w:p w14:paraId="3CC70553" w14:textId="6506945B" w:rsidR="006C017B" w:rsidRPr="001F5FB7" w:rsidRDefault="00EA6120" w:rsidP="001F5FB7">
      <w:pPr>
        <w:rPr>
          <w:rFonts w:ascii="Arial" w:hAnsi="Arial" w:cs="Arial"/>
          <w:b/>
          <w:bCs/>
        </w:rPr>
      </w:pPr>
      <w:r w:rsidRPr="001F5FB7">
        <w:rPr>
          <w:rFonts w:ascii="Arial" w:hAnsi="Arial" w:cs="Arial"/>
          <w:b/>
          <w:bCs/>
        </w:rPr>
        <w:lastRenderedPageBreak/>
        <w:t>References</w:t>
      </w:r>
    </w:p>
    <w:p w14:paraId="3A2416B9" w14:textId="77777777" w:rsidR="006C017B" w:rsidRPr="001F5FB7" w:rsidRDefault="00EA6120">
      <w:pPr>
        <w:rPr>
          <w:rFonts w:ascii="Arial" w:hAnsi="Arial" w:cs="Arial"/>
        </w:rPr>
      </w:pPr>
      <w:r w:rsidRPr="001F5FB7">
        <w:rPr>
          <w:rFonts w:ascii="Arial" w:hAnsi="Arial" w:cs="Arial"/>
        </w:rPr>
        <w:t>Care Quality Commission (CQC) (2023) State of Care Report 2023. London: CQC.</w:t>
      </w:r>
    </w:p>
    <w:p w14:paraId="15887B52" w14:textId="77777777" w:rsidR="006C017B" w:rsidRPr="001F5FB7" w:rsidRDefault="00EA6120">
      <w:pPr>
        <w:rPr>
          <w:rFonts w:ascii="Arial" w:hAnsi="Arial" w:cs="Arial"/>
        </w:rPr>
      </w:pPr>
      <w:r w:rsidRPr="001F5FB7">
        <w:rPr>
          <w:rFonts w:ascii="Arial" w:hAnsi="Arial" w:cs="Arial"/>
        </w:rPr>
        <w:t>Diabetes UK (2024) Facts and Statistics 2024. London: Diabetes UK.</w:t>
      </w:r>
    </w:p>
    <w:p w14:paraId="2FEFB089" w14:textId="77777777" w:rsidR="006C017B" w:rsidRPr="001F5FB7" w:rsidRDefault="00EA6120">
      <w:pPr>
        <w:rPr>
          <w:rFonts w:ascii="Arial" w:hAnsi="Arial" w:cs="Arial"/>
        </w:rPr>
      </w:pPr>
      <w:r w:rsidRPr="001F5FB7">
        <w:rPr>
          <w:rFonts w:ascii="Arial" w:hAnsi="Arial" w:cs="Arial"/>
        </w:rPr>
        <w:t>Health Quality Improvement Partnership (HQUIP) (2023) National Diabetes Audit Report 2023. London: HQUIP.</w:t>
      </w:r>
    </w:p>
    <w:p w14:paraId="19545702" w14:textId="77777777" w:rsidR="006C017B" w:rsidRPr="001F5FB7" w:rsidRDefault="00EA6120">
      <w:pPr>
        <w:rPr>
          <w:rFonts w:ascii="Arial" w:hAnsi="Arial" w:cs="Arial"/>
        </w:rPr>
      </w:pPr>
      <w:r w:rsidRPr="001F5FB7">
        <w:rPr>
          <w:rFonts w:ascii="Arial" w:hAnsi="Arial" w:cs="Arial"/>
        </w:rPr>
        <w:t>National Institute for Health and Care Excellence (NICE) (2023) Type 2 Diabetes in Adults: Management (NG28). London: NICE.</w:t>
      </w:r>
    </w:p>
    <w:p w14:paraId="539A9608" w14:textId="77777777" w:rsidR="006C017B" w:rsidRPr="001F5FB7" w:rsidRDefault="00EA6120">
      <w:pPr>
        <w:rPr>
          <w:rFonts w:ascii="Arial" w:hAnsi="Arial" w:cs="Arial"/>
        </w:rPr>
      </w:pPr>
      <w:r w:rsidRPr="001F5FB7">
        <w:rPr>
          <w:rFonts w:ascii="Arial" w:hAnsi="Arial" w:cs="Arial"/>
        </w:rPr>
        <w:t xml:space="preserve">NHS England (2024) Diabetes Prevention </w:t>
      </w:r>
      <w:proofErr w:type="spellStart"/>
      <w:r w:rsidRPr="001F5FB7">
        <w:rPr>
          <w:rFonts w:ascii="Arial" w:hAnsi="Arial" w:cs="Arial"/>
        </w:rPr>
        <w:t>Programme</w:t>
      </w:r>
      <w:proofErr w:type="spellEnd"/>
      <w:r w:rsidRPr="001F5FB7">
        <w:rPr>
          <w:rFonts w:ascii="Arial" w:hAnsi="Arial" w:cs="Arial"/>
        </w:rPr>
        <w:t xml:space="preserve"> and Outcomes Report 2024. London: NHS England.</w:t>
      </w:r>
    </w:p>
    <w:p w14:paraId="6C7A947C" w14:textId="77777777" w:rsidR="006C017B" w:rsidRPr="001F5FB7" w:rsidRDefault="00EA6120">
      <w:pPr>
        <w:rPr>
          <w:rFonts w:ascii="Arial" w:hAnsi="Arial" w:cs="Arial"/>
        </w:rPr>
      </w:pPr>
      <w:r w:rsidRPr="001F5FB7">
        <w:rPr>
          <w:rFonts w:ascii="Arial" w:hAnsi="Arial" w:cs="Arial"/>
        </w:rPr>
        <w:t>Public Health England (2022) Health Inequalities and Type 2 Diabetes Report. London: PHE.</w:t>
      </w:r>
    </w:p>
    <w:p w14:paraId="359F423F" w14:textId="77777777" w:rsidR="006C017B" w:rsidRPr="001F5FB7" w:rsidRDefault="00EA6120">
      <w:pPr>
        <w:rPr>
          <w:rFonts w:ascii="Arial" w:hAnsi="Arial" w:cs="Arial"/>
        </w:rPr>
      </w:pPr>
      <w:r w:rsidRPr="001F5FB7">
        <w:rPr>
          <w:rFonts w:ascii="Arial" w:hAnsi="Arial" w:cs="Arial"/>
        </w:rPr>
        <w:t>World Health Organization (WHO) (2023) Global Report on Diabetes 2023. Geneva: World Health Organization.</w:t>
      </w:r>
    </w:p>
    <w:p w14:paraId="39BD45A0" w14:textId="77777777" w:rsidR="006C017B" w:rsidRPr="001F5FB7" w:rsidRDefault="00EA6120">
      <w:pPr>
        <w:rPr>
          <w:rFonts w:ascii="Arial" w:hAnsi="Arial" w:cs="Arial"/>
        </w:rPr>
      </w:pPr>
      <w:r w:rsidRPr="001F5FB7">
        <w:rPr>
          <w:rFonts w:ascii="Arial" w:hAnsi="Arial" w:cs="Arial"/>
        </w:rPr>
        <w:t>International Diabetes Federation (IDF) (2023) IDF Diabetes Atlas, 10th Edition. Brussels: IDF.</w:t>
      </w:r>
    </w:p>
    <w:sectPr w:rsidR="006C017B" w:rsidRPr="001F5FB7"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3FC2B" w14:textId="77777777" w:rsidR="000969A7" w:rsidRDefault="000969A7" w:rsidP="00026FB6">
      <w:pPr>
        <w:spacing w:after="0" w:line="240" w:lineRule="auto"/>
      </w:pPr>
      <w:r>
        <w:separator/>
      </w:r>
    </w:p>
  </w:endnote>
  <w:endnote w:type="continuationSeparator" w:id="0">
    <w:p w14:paraId="44DE9E88" w14:textId="77777777" w:rsidR="000969A7" w:rsidRDefault="000969A7" w:rsidP="00026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20202" w14:textId="77777777" w:rsidR="000969A7" w:rsidRDefault="000969A7" w:rsidP="00026FB6">
      <w:pPr>
        <w:spacing w:after="0" w:line="240" w:lineRule="auto"/>
      </w:pPr>
      <w:r>
        <w:separator/>
      </w:r>
    </w:p>
  </w:footnote>
  <w:footnote w:type="continuationSeparator" w:id="0">
    <w:p w14:paraId="28559A55" w14:textId="77777777" w:rsidR="000969A7" w:rsidRDefault="000969A7" w:rsidP="00026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49C48C0"/>
    <w:multiLevelType w:val="hybridMultilevel"/>
    <w:tmpl w:val="51EA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869299">
    <w:abstractNumId w:val="1"/>
  </w:num>
  <w:num w:numId="2" w16cid:durableId="1152135738">
    <w:abstractNumId w:val="7"/>
  </w:num>
  <w:num w:numId="3" w16cid:durableId="1237981369">
    <w:abstractNumId w:val="4"/>
  </w:num>
  <w:num w:numId="4" w16cid:durableId="154685182">
    <w:abstractNumId w:val="5"/>
  </w:num>
  <w:num w:numId="5" w16cid:durableId="1579947836">
    <w:abstractNumId w:val="3"/>
  </w:num>
  <w:num w:numId="6" w16cid:durableId="2008510989">
    <w:abstractNumId w:val="8"/>
  </w:num>
  <w:num w:numId="7" w16cid:durableId="27803340">
    <w:abstractNumId w:val="6"/>
  </w:num>
  <w:num w:numId="8" w16cid:durableId="55933019">
    <w:abstractNumId w:val="2"/>
  </w:num>
  <w:num w:numId="9" w16cid:durableId="843595261">
    <w:abstractNumId w:val="0"/>
  </w:num>
  <w:num w:numId="10" w16cid:durableId="17526578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6FB6"/>
    <w:rsid w:val="0003292D"/>
    <w:rsid w:val="00034616"/>
    <w:rsid w:val="0006063C"/>
    <w:rsid w:val="00063741"/>
    <w:rsid w:val="00087532"/>
    <w:rsid w:val="000969A7"/>
    <w:rsid w:val="000C47D8"/>
    <w:rsid w:val="0012217C"/>
    <w:rsid w:val="00125868"/>
    <w:rsid w:val="0013633E"/>
    <w:rsid w:val="0015074B"/>
    <w:rsid w:val="0017629C"/>
    <w:rsid w:val="00181C6E"/>
    <w:rsid w:val="001908E4"/>
    <w:rsid w:val="001A30BA"/>
    <w:rsid w:val="001F5FB7"/>
    <w:rsid w:val="0022363E"/>
    <w:rsid w:val="00247B3E"/>
    <w:rsid w:val="0029639D"/>
    <w:rsid w:val="002D23F4"/>
    <w:rsid w:val="00304ED7"/>
    <w:rsid w:val="00326F90"/>
    <w:rsid w:val="00377FBE"/>
    <w:rsid w:val="00490B22"/>
    <w:rsid w:val="004B1529"/>
    <w:rsid w:val="004C0BEB"/>
    <w:rsid w:val="004F7057"/>
    <w:rsid w:val="00501D4A"/>
    <w:rsid w:val="0050402E"/>
    <w:rsid w:val="005047FE"/>
    <w:rsid w:val="00582D16"/>
    <w:rsid w:val="005A4940"/>
    <w:rsid w:val="005C2117"/>
    <w:rsid w:val="00644722"/>
    <w:rsid w:val="00677D30"/>
    <w:rsid w:val="006B20B5"/>
    <w:rsid w:val="006C017B"/>
    <w:rsid w:val="006D4501"/>
    <w:rsid w:val="00740301"/>
    <w:rsid w:val="007A054B"/>
    <w:rsid w:val="007B5846"/>
    <w:rsid w:val="007D3EB0"/>
    <w:rsid w:val="007E04ED"/>
    <w:rsid w:val="007F026E"/>
    <w:rsid w:val="00805AA7"/>
    <w:rsid w:val="00886193"/>
    <w:rsid w:val="008965DC"/>
    <w:rsid w:val="008F4336"/>
    <w:rsid w:val="00914E2E"/>
    <w:rsid w:val="00995DEB"/>
    <w:rsid w:val="009E6E8D"/>
    <w:rsid w:val="00A052CD"/>
    <w:rsid w:val="00A064AD"/>
    <w:rsid w:val="00A4397B"/>
    <w:rsid w:val="00A60194"/>
    <w:rsid w:val="00AA1D8D"/>
    <w:rsid w:val="00AD1073"/>
    <w:rsid w:val="00AE6C4E"/>
    <w:rsid w:val="00B47730"/>
    <w:rsid w:val="00B532A3"/>
    <w:rsid w:val="00B7607F"/>
    <w:rsid w:val="00B85E9A"/>
    <w:rsid w:val="00B93F02"/>
    <w:rsid w:val="00BF74F4"/>
    <w:rsid w:val="00C1740A"/>
    <w:rsid w:val="00C23B6D"/>
    <w:rsid w:val="00C458CB"/>
    <w:rsid w:val="00C63792"/>
    <w:rsid w:val="00C657A0"/>
    <w:rsid w:val="00CA20F1"/>
    <w:rsid w:val="00CB0664"/>
    <w:rsid w:val="00CC13A6"/>
    <w:rsid w:val="00CD0FDC"/>
    <w:rsid w:val="00D45D49"/>
    <w:rsid w:val="00D5069B"/>
    <w:rsid w:val="00D5277A"/>
    <w:rsid w:val="00DA69F8"/>
    <w:rsid w:val="00DA7B74"/>
    <w:rsid w:val="00DF6BCC"/>
    <w:rsid w:val="00E042AB"/>
    <w:rsid w:val="00E12331"/>
    <w:rsid w:val="00E30F07"/>
    <w:rsid w:val="00E567F9"/>
    <w:rsid w:val="00EA6120"/>
    <w:rsid w:val="00F86CF7"/>
    <w:rsid w:val="00F95D93"/>
    <w:rsid w:val="00FC693F"/>
    <w:rsid w:val="00FE423C"/>
    <w:rsid w:val="14613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8C4FC35C-C3C8-4078-B38F-024618E0E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6"/>
      </w:numPr>
      <w:contextualSpacing/>
    </w:pPr>
  </w:style>
  <w:style w:type="paragraph" w:styleId="ListBullet2">
    <w:name w:val="List Bullet 2"/>
    <w:basedOn w:val="Normal"/>
    <w:uiPriority w:val="99"/>
    <w:unhideWhenUsed/>
    <w:rsid w:val="00326F90"/>
    <w:pPr>
      <w:numPr>
        <w:numId w:val="7"/>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2"/>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644722"/>
    <w:pPr>
      <w:spacing w:after="100"/>
    </w:pPr>
  </w:style>
  <w:style w:type="paragraph" w:styleId="TOC2">
    <w:name w:val="toc 2"/>
    <w:basedOn w:val="Normal"/>
    <w:next w:val="Normal"/>
    <w:autoRedefine/>
    <w:uiPriority w:val="39"/>
    <w:unhideWhenUsed/>
    <w:rsid w:val="00644722"/>
    <w:pPr>
      <w:spacing w:after="100"/>
      <w:ind w:left="220"/>
    </w:pPr>
  </w:style>
  <w:style w:type="paragraph" w:styleId="TOC3">
    <w:name w:val="toc 3"/>
    <w:basedOn w:val="Normal"/>
    <w:next w:val="Normal"/>
    <w:autoRedefine/>
    <w:uiPriority w:val="39"/>
    <w:unhideWhenUsed/>
    <w:rsid w:val="00644722"/>
    <w:pPr>
      <w:spacing w:after="100"/>
      <w:ind w:left="440"/>
    </w:pPr>
  </w:style>
  <w:style w:type="character" w:styleId="Hyperlink">
    <w:name w:val="Hyperlink"/>
    <w:basedOn w:val="DefaultParagraphFont"/>
    <w:uiPriority w:val="99"/>
    <w:unhideWhenUsed/>
    <w:rsid w:val="006447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B98C1-A7BC-4BB0-8EE9-5702CB1FD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10583</TotalTime>
  <Pages>7</Pages>
  <Words>1735</Words>
  <Characters>10056</Characters>
  <Application>Microsoft Office Word</Application>
  <DocSecurity>0</DocSecurity>
  <Lines>218</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Nusrat Bi</cp:lastModifiedBy>
  <cp:revision>14</cp:revision>
  <dcterms:created xsi:type="dcterms:W3CDTF">2025-11-03T20:16:00Z</dcterms:created>
  <dcterms:modified xsi:type="dcterms:W3CDTF">2025-11-16T19:05:00Z</dcterms:modified>
  <cp:category/>
</cp:coreProperties>
</file>