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351B484" w14:textId="353904D7" w:rsidR="00276ED0" w:rsidRDefault="00C70005" w:rsidP="00C70005">
      <w:pPr>
        <w:spacing w:before="100" w:beforeAutospacing="1" w:after="100" w:afterAutospacing="1" w:line="360" w:lineRule="auto"/>
        <w:outlineLvl w:val="2"/>
        <w:rPr>
          <w:rFonts w:ascii="Arial" w:eastAsia="Times New Roman" w:hAnsi="Arial" w:cs="Arial"/>
          <w:kern w:val="0"/>
          <w:sz w:val="22"/>
          <w:szCs w:val="22"/>
          <w14:ligatures w14:val="none"/>
        </w:rPr>
      </w:pPr>
      <w:r>
        <w:rPr>
          <w:rFonts w:ascii="Arial" w:eastAsia="Times New Roman" w:hAnsi="Arial" w:cs="Arial"/>
          <w:kern w:val="0"/>
          <w:sz w:val="22"/>
          <w:szCs w:val="22"/>
          <w14:ligatures w14:val="none"/>
        </w:rPr>
        <w:t>St</w:t>
      </w:r>
      <w:r w:rsidR="00307222">
        <w:rPr>
          <w:rFonts w:ascii="Arial" w:eastAsia="Times New Roman" w:hAnsi="Arial" w:cs="Arial"/>
          <w:kern w:val="0"/>
          <w:sz w:val="22"/>
          <w:szCs w:val="22"/>
          <w14:ligatures w14:val="none"/>
        </w:rPr>
        <w:t>udent Name: Liya Malik 2415853</w:t>
      </w:r>
    </w:p>
    <w:p w14:paraId="08F0E50A" w14:textId="26904841" w:rsidR="00307222" w:rsidRDefault="00307222" w:rsidP="00C70005">
      <w:pPr>
        <w:spacing w:before="100" w:beforeAutospacing="1" w:after="100" w:afterAutospacing="1" w:line="360" w:lineRule="auto"/>
        <w:outlineLvl w:val="2"/>
        <w:rPr>
          <w:rFonts w:ascii="Arial" w:eastAsia="Times New Roman" w:hAnsi="Arial" w:cs="Arial"/>
          <w:kern w:val="0"/>
          <w:sz w:val="22"/>
          <w:szCs w:val="22"/>
          <w14:ligatures w14:val="none"/>
        </w:rPr>
      </w:pPr>
      <w:r>
        <w:rPr>
          <w:rFonts w:ascii="Arial" w:eastAsia="Times New Roman" w:hAnsi="Arial" w:cs="Arial"/>
          <w:kern w:val="0"/>
          <w:sz w:val="22"/>
          <w:szCs w:val="22"/>
          <w14:ligatures w14:val="none"/>
        </w:rPr>
        <w:t xml:space="preserve">Module Code and Title: </w:t>
      </w:r>
      <w:r w:rsidR="00345FC2">
        <w:rPr>
          <w:rFonts w:ascii="Arial" w:eastAsia="Times New Roman" w:hAnsi="Arial" w:cs="Arial"/>
          <w:kern w:val="0"/>
          <w:sz w:val="22"/>
          <w:szCs w:val="22"/>
          <w14:ligatures w14:val="none"/>
        </w:rPr>
        <w:t>Psychological Perspectives Across the Lifespan</w:t>
      </w:r>
    </w:p>
    <w:p w14:paraId="50F9D924" w14:textId="7F4F067F" w:rsidR="00345FC2" w:rsidRDefault="00345FC2" w:rsidP="00C70005">
      <w:pPr>
        <w:spacing w:before="100" w:beforeAutospacing="1" w:after="100" w:afterAutospacing="1" w:line="360" w:lineRule="auto"/>
        <w:outlineLvl w:val="2"/>
        <w:rPr>
          <w:rFonts w:ascii="Arial" w:eastAsia="Times New Roman" w:hAnsi="Arial" w:cs="Arial"/>
          <w:kern w:val="0"/>
          <w:sz w:val="22"/>
          <w:szCs w:val="22"/>
          <w14:ligatures w14:val="none"/>
        </w:rPr>
      </w:pPr>
      <w:r>
        <w:rPr>
          <w:rFonts w:ascii="Arial" w:eastAsia="Times New Roman" w:hAnsi="Arial" w:cs="Arial"/>
          <w:kern w:val="0"/>
          <w:sz w:val="22"/>
          <w:szCs w:val="22"/>
          <w14:ligatures w14:val="none"/>
        </w:rPr>
        <w:t>Lecturer</w:t>
      </w:r>
      <w:r w:rsidR="00BE71F0">
        <w:rPr>
          <w:rFonts w:ascii="Arial" w:eastAsia="Times New Roman" w:hAnsi="Arial" w:cs="Arial"/>
          <w:kern w:val="0"/>
          <w:sz w:val="22"/>
          <w:szCs w:val="22"/>
          <w14:ligatures w14:val="none"/>
        </w:rPr>
        <w:t xml:space="preserve">’s Name: Kal Alnababath </w:t>
      </w:r>
    </w:p>
    <w:p w14:paraId="7FA83F47" w14:textId="40F9C310" w:rsidR="00BE71F0" w:rsidRPr="00C70005" w:rsidRDefault="00BE71F0" w:rsidP="00C70005">
      <w:pPr>
        <w:spacing w:before="100" w:beforeAutospacing="1" w:after="100" w:afterAutospacing="1" w:line="360" w:lineRule="auto"/>
        <w:outlineLvl w:val="2"/>
        <w:rPr>
          <w:rFonts w:ascii="Arial" w:eastAsia="Times New Roman" w:hAnsi="Arial" w:cs="Arial"/>
          <w:kern w:val="0"/>
          <w:sz w:val="22"/>
          <w:szCs w:val="22"/>
          <w14:ligatures w14:val="none"/>
        </w:rPr>
      </w:pPr>
      <w:r>
        <w:rPr>
          <w:rFonts w:ascii="Arial" w:eastAsia="Times New Roman" w:hAnsi="Arial" w:cs="Arial"/>
          <w:kern w:val="0"/>
          <w:sz w:val="22"/>
          <w:szCs w:val="22"/>
          <w14:ligatures w14:val="none"/>
        </w:rPr>
        <w:t>Assignment T</w:t>
      </w:r>
      <w:r w:rsidR="00001A7E">
        <w:rPr>
          <w:rFonts w:ascii="Arial" w:eastAsia="Times New Roman" w:hAnsi="Arial" w:cs="Arial"/>
          <w:kern w:val="0"/>
          <w:sz w:val="22"/>
          <w:szCs w:val="22"/>
          <w14:ligatures w14:val="none"/>
        </w:rPr>
        <w:t>itle: Using Psychological Theories to Support Adults Aged 65</w:t>
      </w:r>
      <w:r w:rsidR="008A24A1">
        <w:rPr>
          <w:rFonts w:ascii="Arial" w:eastAsia="Times New Roman" w:hAnsi="Arial" w:cs="Arial"/>
          <w:kern w:val="0"/>
          <w:sz w:val="22"/>
          <w:szCs w:val="22"/>
          <w14:ligatures w14:val="none"/>
        </w:rPr>
        <w:t>+ Living with Dementia in a Care Home Setting</w:t>
      </w:r>
    </w:p>
    <w:p w14:paraId="37F31A0B" w14:textId="77777777" w:rsidR="00276ED0" w:rsidRDefault="00276ED0" w:rsidP="00195B2C">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p>
    <w:p w14:paraId="60547ED7" w14:textId="77777777" w:rsidR="00276ED0" w:rsidRDefault="00276ED0" w:rsidP="00195B2C">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p>
    <w:p w14:paraId="33A0ABFD" w14:textId="77777777" w:rsidR="00276ED0" w:rsidRDefault="00276ED0" w:rsidP="00195B2C">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p>
    <w:p w14:paraId="3F932CB6" w14:textId="77777777" w:rsidR="00276ED0" w:rsidRDefault="00276ED0" w:rsidP="00195B2C">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p>
    <w:p w14:paraId="516B8E91" w14:textId="77777777" w:rsidR="00276ED0" w:rsidRDefault="00276ED0" w:rsidP="00195B2C">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p>
    <w:p w14:paraId="5FF3BB7E" w14:textId="77777777" w:rsidR="00276ED0" w:rsidRDefault="00276ED0" w:rsidP="00195B2C">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p>
    <w:p w14:paraId="7CEA8061" w14:textId="77777777" w:rsidR="00276ED0" w:rsidRDefault="00276ED0" w:rsidP="00195B2C">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p>
    <w:p w14:paraId="3C6F841D" w14:textId="77777777" w:rsidR="00276ED0" w:rsidRDefault="00276ED0" w:rsidP="00195B2C">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p>
    <w:p w14:paraId="431F1328" w14:textId="77777777" w:rsidR="00276ED0" w:rsidRDefault="00276ED0" w:rsidP="00195B2C">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p>
    <w:p w14:paraId="0F9E439C" w14:textId="77777777" w:rsidR="00276ED0" w:rsidRDefault="00276ED0" w:rsidP="00195B2C">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p>
    <w:p w14:paraId="683315BE" w14:textId="77777777" w:rsidR="00276ED0" w:rsidRDefault="00276ED0" w:rsidP="00195B2C">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p>
    <w:p w14:paraId="52B05521" w14:textId="77777777" w:rsidR="00276ED0" w:rsidRDefault="00276ED0" w:rsidP="00195B2C">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p>
    <w:p w14:paraId="1CC21E21" w14:textId="77777777" w:rsidR="00276ED0" w:rsidRDefault="00276ED0" w:rsidP="00195B2C">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p>
    <w:p w14:paraId="550E0BFB" w14:textId="77777777" w:rsidR="00276ED0" w:rsidRDefault="00276ED0" w:rsidP="00195B2C">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p>
    <w:p w14:paraId="55693365" w14:textId="77777777" w:rsidR="00276ED0" w:rsidRDefault="00276ED0" w:rsidP="00195B2C">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p>
    <w:p w14:paraId="62A62D91" w14:textId="77777777" w:rsidR="00276ED0" w:rsidRDefault="00276ED0" w:rsidP="00195B2C">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p>
    <w:p w14:paraId="547697C8" w14:textId="77777777" w:rsidR="00276ED0" w:rsidRDefault="00276ED0" w:rsidP="00195B2C">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p>
    <w:p w14:paraId="5D158B6F" w14:textId="77777777" w:rsidR="00276ED0" w:rsidRDefault="00276ED0" w:rsidP="00195B2C">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p>
    <w:p w14:paraId="0CB3B2A4" w14:textId="77777777" w:rsidR="00276ED0" w:rsidRDefault="00276ED0" w:rsidP="00195B2C">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p>
    <w:p w14:paraId="73F1BD3E" w14:textId="77777777" w:rsidR="00276ED0" w:rsidRDefault="00276ED0" w:rsidP="00195B2C">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p>
    <w:p w14:paraId="45631A71" w14:textId="77777777" w:rsidR="00276ED0" w:rsidRDefault="00276ED0" w:rsidP="00195B2C">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p>
    <w:p w14:paraId="6AA0FAC9" w14:textId="77777777" w:rsidR="00276ED0" w:rsidRDefault="00276ED0" w:rsidP="00195B2C">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p>
    <w:p w14:paraId="53C07981" w14:textId="05FA33C7" w:rsidR="00195B2C" w:rsidRPr="00195B2C" w:rsidRDefault="00195B2C" w:rsidP="00C70005">
      <w:pPr>
        <w:spacing w:before="100" w:beforeAutospacing="1" w:after="100" w:afterAutospacing="1" w:line="360" w:lineRule="auto"/>
        <w:outlineLvl w:val="2"/>
        <w:rPr>
          <w:rFonts w:ascii="Arial" w:eastAsia="Times New Roman" w:hAnsi="Arial" w:cs="Arial"/>
          <w:b/>
          <w:bCs/>
          <w:kern w:val="0"/>
          <w:sz w:val="22"/>
          <w:szCs w:val="22"/>
          <w14:ligatures w14:val="none"/>
        </w:rPr>
      </w:pPr>
      <w:r w:rsidRPr="00195B2C">
        <w:rPr>
          <w:rFonts w:ascii="Arial" w:eastAsia="Times New Roman" w:hAnsi="Arial" w:cs="Arial"/>
          <w:b/>
          <w:bCs/>
          <w:kern w:val="0"/>
          <w:sz w:val="22"/>
          <w:szCs w:val="22"/>
          <w14:ligatures w14:val="none"/>
        </w:rPr>
        <w:t>Applying Psychological Theories to Support Older Adults with Dementia in Care Settings</w:t>
      </w:r>
    </w:p>
    <w:p w14:paraId="1A023982" w14:textId="77777777" w:rsidR="00195B2C" w:rsidRPr="00195B2C" w:rsidRDefault="00195B2C" w:rsidP="00C70005">
      <w:pPr>
        <w:spacing w:before="100" w:beforeAutospacing="1" w:after="100" w:afterAutospacing="1" w:line="360" w:lineRule="auto"/>
        <w:rPr>
          <w:rFonts w:ascii="Arial" w:hAnsi="Arial" w:cs="Arial"/>
          <w:kern w:val="0"/>
          <w:sz w:val="22"/>
          <w:szCs w:val="22"/>
          <w14:ligatures w14:val="none"/>
        </w:rPr>
      </w:pPr>
    </w:p>
    <w:p w14:paraId="6264FC6D" w14:textId="77777777" w:rsidR="00195B2C" w:rsidRPr="00195B2C" w:rsidRDefault="00195B2C" w:rsidP="00C70005">
      <w:pPr>
        <w:spacing w:before="100" w:beforeAutospacing="1" w:after="100" w:afterAutospacing="1" w:line="360" w:lineRule="auto"/>
        <w:outlineLvl w:val="3"/>
        <w:rPr>
          <w:rFonts w:ascii="Arial" w:eastAsia="Times New Roman" w:hAnsi="Arial" w:cs="Arial"/>
          <w:b/>
          <w:bCs/>
          <w:kern w:val="0"/>
          <w:sz w:val="22"/>
          <w:szCs w:val="22"/>
          <w14:ligatures w14:val="none"/>
        </w:rPr>
      </w:pPr>
      <w:r w:rsidRPr="00195B2C">
        <w:rPr>
          <w:rFonts w:ascii="Arial" w:eastAsia="Times New Roman" w:hAnsi="Arial" w:cs="Arial"/>
          <w:b/>
          <w:bCs/>
          <w:kern w:val="0"/>
          <w:sz w:val="22"/>
          <w:szCs w:val="22"/>
          <w14:ligatures w14:val="none"/>
        </w:rPr>
        <w:t>Introduction</w:t>
      </w:r>
    </w:p>
    <w:p w14:paraId="5734D762" w14:textId="77777777" w:rsidR="00195B2C" w:rsidRPr="00195B2C" w:rsidRDefault="00195B2C" w:rsidP="00C70005">
      <w:pPr>
        <w:spacing w:before="100" w:beforeAutospacing="1" w:after="100" w:afterAutospacing="1" w:line="360" w:lineRule="auto"/>
        <w:rPr>
          <w:rFonts w:ascii="Arial" w:hAnsi="Arial" w:cs="Arial"/>
          <w:kern w:val="0"/>
          <w:sz w:val="22"/>
          <w:szCs w:val="22"/>
          <w14:ligatures w14:val="none"/>
        </w:rPr>
      </w:pPr>
    </w:p>
    <w:p w14:paraId="2137B91F" w14:textId="0078C19D" w:rsidR="00195B2C" w:rsidRPr="00195B2C" w:rsidRDefault="00195B2C" w:rsidP="00C70005">
      <w:pPr>
        <w:spacing w:before="100" w:beforeAutospacing="1" w:after="100" w:afterAutospacing="1" w:line="360" w:lineRule="auto"/>
        <w:rPr>
          <w:rFonts w:ascii="Arial" w:hAnsi="Arial" w:cs="Arial"/>
          <w:kern w:val="0"/>
          <w:sz w:val="22"/>
          <w:szCs w:val="22"/>
          <w14:ligatures w14:val="none"/>
        </w:rPr>
      </w:pPr>
      <w:r w:rsidRPr="00195B2C">
        <w:rPr>
          <w:rFonts w:ascii="Arial" w:hAnsi="Arial" w:cs="Arial"/>
          <w:kern w:val="0"/>
          <w:sz w:val="22"/>
          <w:szCs w:val="22"/>
          <w14:ligatures w14:val="none"/>
        </w:rPr>
        <w:t>Understanding psychological theories is essential in health and social care because they explain how people think, feel, and behave at different stages of life. In dementia care, this knowledge allows practitioners to design support that respects the emotional, social, and cognitive needs of older adults. Dementia is not only a biological condition that affects memory and reasoning but also a psychological experience that influences self-esteem, motivation, and social connection. This report examines how two psychological theories</w:t>
      </w:r>
      <w:r w:rsidR="00A01D8C" w:rsidRPr="00C70005">
        <w:rPr>
          <w:rFonts w:ascii="Arial" w:hAnsi="Arial" w:cs="Arial"/>
          <w:kern w:val="0"/>
          <w:sz w:val="22"/>
          <w:szCs w:val="22"/>
          <w14:ligatures w14:val="none"/>
        </w:rPr>
        <w:t>:</w:t>
      </w:r>
      <w:r w:rsidRPr="00195B2C">
        <w:rPr>
          <w:rFonts w:ascii="Arial" w:hAnsi="Arial" w:cs="Arial"/>
          <w:kern w:val="0"/>
          <w:sz w:val="22"/>
          <w:szCs w:val="22"/>
          <w14:ligatures w14:val="none"/>
        </w:rPr>
        <w:t>Maslow’s Hierarchy of Needs and Bandura’s Social Learning Theory</w:t>
      </w:r>
      <w:r w:rsidR="00A01D8C" w:rsidRPr="00C70005">
        <w:rPr>
          <w:rFonts w:ascii="Arial" w:hAnsi="Arial" w:cs="Arial"/>
          <w:kern w:val="0"/>
          <w:sz w:val="22"/>
          <w:szCs w:val="22"/>
          <w14:ligatures w14:val="none"/>
        </w:rPr>
        <w:t xml:space="preserve"> </w:t>
      </w:r>
      <w:r w:rsidRPr="00195B2C">
        <w:rPr>
          <w:rFonts w:ascii="Arial" w:hAnsi="Arial" w:cs="Arial"/>
          <w:kern w:val="0"/>
          <w:sz w:val="22"/>
          <w:szCs w:val="22"/>
          <w14:ligatures w14:val="none"/>
        </w:rPr>
        <w:t>can be applied to support adults aged 65 and over who live with dementia in residential care settings. It discusses how each theory informs good practice, provides examples of application, and explores the challenges professionals may face.</w:t>
      </w:r>
    </w:p>
    <w:p w14:paraId="71C5B107" w14:textId="7DF08D72" w:rsidR="00195B2C" w:rsidRPr="00195B2C" w:rsidRDefault="00195B2C" w:rsidP="00C70005">
      <w:pPr>
        <w:spacing w:after="0" w:line="360" w:lineRule="auto"/>
        <w:rPr>
          <w:rFonts w:ascii="Arial" w:eastAsia="Times New Roman" w:hAnsi="Arial" w:cs="Arial"/>
          <w:kern w:val="0"/>
          <w:sz w:val="22"/>
          <w:szCs w:val="22"/>
          <w14:ligatures w14:val="none"/>
        </w:rPr>
      </w:pPr>
    </w:p>
    <w:p w14:paraId="4825406B" w14:textId="77777777" w:rsidR="00195B2C" w:rsidRPr="00195B2C" w:rsidRDefault="00195B2C" w:rsidP="00C70005">
      <w:pPr>
        <w:spacing w:before="100" w:beforeAutospacing="1" w:after="100" w:afterAutospacing="1" w:line="360" w:lineRule="auto"/>
        <w:outlineLvl w:val="3"/>
        <w:rPr>
          <w:rFonts w:ascii="Arial" w:hAnsi="Arial" w:cs="Arial"/>
          <w:b/>
          <w:bCs/>
          <w:kern w:val="0"/>
          <w:sz w:val="22"/>
          <w:szCs w:val="22"/>
          <w14:ligatures w14:val="none"/>
        </w:rPr>
      </w:pPr>
      <w:r w:rsidRPr="00195B2C">
        <w:rPr>
          <w:rFonts w:ascii="Arial" w:eastAsia="Times New Roman" w:hAnsi="Arial" w:cs="Arial"/>
          <w:b/>
          <w:bCs/>
          <w:kern w:val="0"/>
          <w:sz w:val="22"/>
          <w:szCs w:val="22"/>
          <w14:ligatures w14:val="none"/>
        </w:rPr>
        <w:t>Maslow’s Hierarchy of Needs</w:t>
      </w:r>
    </w:p>
    <w:p w14:paraId="582531D8" w14:textId="77777777" w:rsidR="00195B2C" w:rsidRPr="00195B2C" w:rsidRDefault="00195B2C" w:rsidP="00C70005">
      <w:pPr>
        <w:spacing w:before="100" w:beforeAutospacing="1" w:after="100" w:afterAutospacing="1" w:line="360" w:lineRule="auto"/>
        <w:rPr>
          <w:rFonts w:ascii="Arial" w:hAnsi="Arial" w:cs="Arial"/>
          <w:kern w:val="0"/>
          <w:sz w:val="22"/>
          <w:szCs w:val="22"/>
          <w14:ligatures w14:val="none"/>
        </w:rPr>
      </w:pPr>
    </w:p>
    <w:p w14:paraId="25F617AB" w14:textId="77777777" w:rsidR="00195B2C" w:rsidRPr="00195B2C" w:rsidRDefault="00195B2C" w:rsidP="00C70005">
      <w:pPr>
        <w:spacing w:before="100" w:beforeAutospacing="1" w:after="100" w:afterAutospacing="1" w:line="360" w:lineRule="auto"/>
        <w:rPr>
          <w:rFonts w:ascii="Arial" w:hAnsi="Arial" w:cs="Arial"/>
          <w:kern w:val="0"/>
          <w:sz w:val="22"/>
          <w:szCs w:val="22"/>
          <w14:ligatures w14:val="none"/>
        </w:rPr>
      </w:pPr>
      <w:r w:rsidRPr="00195B2C">
        <w:rPr>
          <w:rFonts w:ascii="Arial" w:hAnsi="Arial" w:cs="Arial"/>
          <w:kern w:val="0"/>
          <w:sz w:val="22"/>
          <w:szCs w:val="22"/>
          <w14:ligatures w14:val="none"/>
        </w:rPr>
        <w:t>Abraham Maslow’s theory (1943, 1987) proposes that human motivation follows a hierarchy of needs, beginning with physiological requirements such as food, warmth, and rest, and progressing through safety, love and belonging, esteem, and finally self-actualisation. According to Maslow, individuals must have their lower-level needs met before they can focus on higher-level psychological or self-fulfilment needs. Although originally developed to explain general human motivation, this theory is highly relevant to older adults because ageing and illness can disrupt the ability to meet these needs independently (McLeod, 2023).</w:t>
      </w:r>
    </w:p>
    <w:p w14:paraId="6CF6B9AF" w14:textId="77777777" w:rsidR="00195B2C" w:rsidRPr="00195B2C" w:rsidRDefault="00195B2C" w:rsidP="00C70005">
      <w:pPr>
        <w:spacing w:before="100" w:beforeAutospacing="1" w:after="100" w:afterAutospacing="1" w:line="360" w:lineRule="auto"/>
        <w:rPr>
          <w:rFonts w:ascii="Arial" w:hAnsi="Arial" w:cs="Arial"/>
          <w:kern w:val="0"/>
          <w:sz w:val="22"/>
          <w:szCs w:val="22"/>
          <w14:ligatures w14:val="none"/>
        </w:rPr>
      </w:pPr>
    </w:p>
    <w:p w14:paraId="503E621D" w14:textId="77777777" w:rsidR="00195B2C" w:rsidRPr="00195B2C" w:rsidRDefault="00195B2C" w:rsidP="00C70005">
      <w:pPr>
        <w:spacing w:before="100" w:beforeAutospacing="1" w:after="100" w:afterAutospacing="1" w:line="360" w:lineRule="auto"/>
        <w:rPr>
          <w:rFonts w:ascii="Arial" w:hAnsi="Arial" w:cs="Arial"/>
          <w:kern w:val="0"/>
          <w:sz w:val="22"/>
          <w:szCs w:val="22"/>
          <w14:ligatures w14:val="none"/>
        </w:rPr>
      </w:pPr>
      <w:r w:rsidRPr="00195B2C">
        <w:rPr>
          <w:rFonts w:ascii="Arial" w:hAnsi="Arial" w:cs="Arial"/>
          <w:kern w:val="0"/>
          <w:sz w:val="22"/>
          <w:szCs w:val="22"/>
          <w14:ligatures w14:val="none"/>
        </w:rPr>
        <w:t>For older adults with dementia, physiological and safety needs often require significant professional support. Memory loss and confusion may cause individuals to forget to eat, misplace items, or wander into unsafe environments. Care staff therefore play a vital role in ensuring consistent routines, nutritious meals, and secure surroundings. Once these foundational needs are met, attention can shift toward belonging, esteem, and personal growth. For example, structured group activities such as reminiscence therapy, singing, or gardening can promote social connection and a sense of belonging (Kitwood, 1997; Phinney et al., 2020). These activities also help maintain self-esteem by valuing residents’ past experiences and identities.</w:t>
      </w:r>
    </w:p>
    <w:p w14:paraId="0446CFD3" w14:textId="77777777" w:rsidR="00195B2C" w:rsidRPr="00195B2C" w:rsidRDefault="00195B2C" w:rsidP="00C70005">
      <w:pPr>
        <w:spacing w:before="100" w:beforeAutospacing="1" w:after="100" w:afterAutospacing="1" w:line="360" w:lineRule="auto"/>
        <w:rPr>
          <w:rFonts w:ascii="Arial" w:hAnsi="Arial" w:cs="Arial"/>
          <w:kern w:val="0"/>
          <w:sz w:val="22"/>
          <w:szCs w:val="22"/>
          <w14:ligatures w14:val="none"/>
        </w:rPr>
      </w:pPr>
    </w:p>
    <w:p w14:paraId="2B9F8A99" w14:textId="39F2315D" w:rsidR="00195B2C" w:rsidRPr="00195B2C" w:rsidRDefault="00195B2C" w:rsidP="00C70005">
      <w:pPr>
        <w:spacing w:before="100" w:beforeAutospacing="1" w:after="100" w:afterAutospacing="1" w:line="360" w:lineRule="auto"/>
        <w:rPr>
          <w:rFonts w:ascii="Arial" w:hAnsi="Arial" w:cs="Arial"/>
          <w:kern w:val="0"/>
          <w:sz w:val="22"/>
          <w:szCs w:val="22"/>
          <w14:ligatures w14:val="none"/>
        </w:rPr>
      </w:pPr>
      <w:r w:rsidRPr="00195B2C">
        <w:rPr>
          <w:rFonts w:ascii="Arial" w:hAnsi="Arial" w:cs="Arial"/>
          <w:kern w:val="0"/>
          <w:sz w:val="22"/>
          <w:szCs w:val="22"/>
          <w14:ligatures w14:val="none"/>
        </w:rPr>
        <w:t>Maslow’s theory also highlights the importance of dignity and self-worth in later life. Even when cognitive abilities decline, older adults still seek recognition and respect. Simple practices</w:t>
      </w:r>
      <w:r w:rsidR="00A01D8C" w:rsidRPr="00C70005">
        <w:rPr>
          <w:rFonts w:ascii="Arial" w:hAnsi="Arial" w:cs="Arial"/>
          <w:kern w:val="0"/>
          <w:sz w:val="22"/>
          <w:szCs w:val="22"/>
          <w14:ligatures w14:val="none"/>
        </w:rPr>
        <w:t xml:space="preserve"> </w:t>
      </w:r>
      <w:r w:rsidRPr="00195B2C">
        <w:rPr>
          <w:rFonts w:ascii="Arial" w:hAnsi="Arial" w:cs="Arial"/>
          <w:kern w:val="0"/>
          <w:sz w:val="22"/>
          <w:szCs w:val="22"/>
          <w14:ligatures w14:val="none"/>
        </w:rPr>
        <w:t>using preferred names, encouraging choice in clothing or meals, or involving residents in small decisions</w:t>
      </w:r>
      <w:r w:rsidR="00A01D8C" w:rsidRPr="00C70005">
        <w:rPr>
          <w:rFonts w:ascii="Arial" w:hAnsi="Arial" w:cs="Arial"/>
          <w:kern w:val="0"/>
          <w:sz w:val="22"/>
          <w:szCs w:val="22"/>
          <w14:ligatures w14:val="none"/>
        </w:rPr>
        <w:t xml:space="preserve"> </w:t>
      </w:r>
      <w:r w:rsidRPr="00195B2C">
        <w:rPr>
          <w:rFonts w:ascii="Arial" w:hAnsi="Arial" w:cs="Arial"/>
          <w:kern w:val="0"/>
          <w:sz w:val="22"/>
          <w:szCs w:val="22"/>
          <w14:ligatures w14:val="none"/>
        </w:rPr>
        <w:t>support esteem and autonomy (Brooker &amp; Latham, 2022). Self-actualisation may seem difficult to achieve in advanced dementia, but professionals can still promote personal fulfilment through creative expression, faith, or meaningful relationships. Therefore, Maslow’s framework reminds practitioners that psychological and emotional needs remain important throughout the dementia journey.</w:t>
      </w:r>
    </w:p>
    <w:p w14:paraId="2294EB39" w14:textId="0168FD73" w:rsidR="00195B2C" w:rsidRPr="00195B2C" w:rsidRDefault="00195B2C" w:rsidP="00C70005">
      <w:pPr>
        <w:spacing w:after="0" w:line="360" w:lineRule="auto"/>
        <w:rPr>
          <w:rFonts w:ascii="Arial" w:eastAsia="Times New Roman" w:hAnsi="Arial" w:cs="Arial"/>
          <w:kern w:val="0"/>
          <w:sz w:val="22"/>
          <w:szCs w:val="22"/>
          <w14:ligatures w14:val="none"/>
        </w:rPr>
      </w:pPr>
    </w:p>
    <w:p w14:paraId="4610A2CD" w14:textId="77777777" w:rsidR="00195B2C" w:rsidRPr="00195B2C" w:rsidRDefault="00195B2C" w:rsidP="00C70005">
      <w:pPr>
        <w:spacing w:before="100" w:beforeAutospacing="1" w:after="100" w:afterAutospacing="1" w:line="360" w:lineRule="auto"/>
        <w:outlineLvl w:val="3"/>
        <w:rPr>
          <w:rFonts w:ascii="Arial" w:hAnsi="Arial" w:cs="Arial"/>
          <w:b/>
          <w:bCs/>
          <w:kern w:val="0"/>
          <w:sz w:val="22"/>
          <w:szCs w:val="22"/>
          <w14:ligatures w14:val="none"/>
        </w:rPr>
      </w:pPr>
      <w:r w:rsidRPr="00195B2C">
        <w:rPr>
          <w:rFonts w:ascii="Arial" w:eastAsia="Times New Roman" w:hAnsi="Arial" w:cs="Arial"/>
          <w:b/>
          <w:bCs/>
          <w:kern w:val="0"/>
          <w:sz w:val="22"/>
          <w:szCs w:val="22"/>
          <w14:ligatures w14:val="none"/>
        </w:rPr>
        <w:t>Bandura’s Social Learning Theory</w:t>
      </w:r>
    </w:p>
    <w:p w14:paraId="07427C0D" w14:textId="77777777" w:rsidR="00195B2C" w:rsidRPr="00195B2C" w:rsidRDefault="00195B2C" w:rsidP="00C70005">
      <w:pPr>
        <w:spacing w:before="100" w:beforeAutospacing="1" w:after="100" w:afterAutospacing="1" w:line="360" w:lineRule="auto"/>
        <w:rPr>
          <w:rFonts w:ascii="Arial" w:hAnsi="Arial" w:cs="Arial"/>
          <w:kern w:val="0"/>
          <w:sz w:val="22"/>
          <w:szCs w:val="22"/>
          <w14:ligatures w14:val="none"/>
        </w:rPr>
      </w:pPr>
    </w:p>
    <w:p w14:paraId="1C9DAF94" w14:textId="48987A7B" w:rsidR="00195B2C" w:rsidRPr="00195B2C" w:rsidRDefault="00195B2C" w:rsidP="00C70005">
      <w:pPr>
        <w:spacing w:before="100" w:beforeAutospacing="1" w:after="100" w:afterAutospacing="1" w:line="360" w:lineRule="auto"/>
        <w:rPr>
          <w:rFonts w:ascii="Arial" w:hAnsi="Arial" w:cs="Arial"/>
          <w:kern w:val="0"/>
          <w:sz w:val="22"/>
          <w:szCs w:val="22"/>
          <w14:ligatures w14:val="none"/>
        </w:rPr>
      </w:pPr>
      <w:r w:rsidRPr="00195B2C">
        <w:rPr>
          <w:rFonts w:ascii="Arial" w:hAnsi="Arial" w:cs="Arial"/>
          <w:kern w:val="0"/>
          <w:sz w:val="22"/>
          <w:szCs w:val="22"/>
          <w14:ligatures w14:val="none"/>
        </w:rPr>
        <w:t>Albert Bandura’s Social Learning Theory (1977, 1986) emphasises that people learn by observing and imitating others, as well as through direct experience. Learning is not purely behavioural but also cognitive; individuals notice how others act, evaluate the consequences, and adjust their own behaviour accordingly. Bandura also introduced the idea of self-efficacy—the belief in one’s ability to manage or influence events</w:t>
      </w:r>
      <w:r w:rsidR="00A01D8C" w:rsidRPr="00C70005">
        <w:rPr>
          <w:rFonts w:ascii="Arial" w:hAnsi="Arial" w:cs="Arial"/>
          <w:kern w:val="0"/>
          <w:sz w:val="22"/>
          <w:szCs w:val="22"/>
          <w14:ligatures w14:val="none"/>
        </w:rPr>
        <w:t xml:space="preserve"> </w:t>
      </w:r>
      <w:r w:rsidRPr="00195B2C">
        <w:rPr>
          <w:rFonts w:ascii="Arial" w:hAnsi="Arial" w:cs="Arial"/>
          <w:kern w:val="0"/>
          <w:sz w:val="22"/>
          <w:szCs w:val="22"/>
          <w14:ligatures w14:val="none"/>
        </w:rPr>
        <w:t>which affects motivation and persistence (Bandura, 1997).</w:t>
      </w:r>
    </w:p>
    <w:p w14:paraId="686584B9" w14:textId="77777777" w:rsidR="00195B2C" w:rsidRPr="00195B2C" w:rsidRDefault="00195B2C" w:rsidP="00C70005">
      <w:pPr>
        <w:spacing w:before="100" w:beforeAutospacing="1" w:after="100" w:afterAutospacing="1" w:line="360" w:lineRule="auto"/>
        <w:rPr>
          <w:rFonts w:ascii="Arial" w:hAnsi="Arial" w:cs="Arial"/>
          <w:kern w:val="0"/>
          <w:sz w:val="22"/>
          <w:szCs w:val="22"/>
          <w14:ligatures w14:val="none"/>
        </w:rPr>
      </w:pPr>
    </w:p>
    <w:p w14:paraId="19A1A3BF" w14:textId="77777777" w:rsidR="00195B2C" w:rsidRPr="00195B2C" w:rsidRDefault="00195B2C" w:rsidP="00C70005">
      <w:pPr>
        <w:spacing w:before="100" w:beforeAutospacing="1" w:after="100" w:afterAutospacing="1" w:line="360" w:lineRule="auto"/>
        <w:rPr>
          <w:rFonts w:ascii="Arial" w:hAnsi="Arial" w:cs="Arial"/>
          <w:kern w:val="0"/>
          <w:sz w:val="22"/>
          <w:szCs w:val="22"/>
          <w14:ligatures w14:val="none"/>
        </w:rPr>
      </w:pPr>
      <w:r w:rsidRPr="00195B2C">
        <w:rPr>
          <w:rFonts w:ascii="Arial" w:hAnsi="Arial" w:cs="Arial"/>
          <w:kern w:val="0"/>
          <w:sz w:val="22"/>
          <w:szCs w:val="22"/>
          <w14:ligatures w14:val="none"/>
        </w:rPr>
        <w:lastRenderedPageBreak/>
        <w:t>In dementia care, this theory is useful for understanding how older adults respond to their environment and to the behaviour of those around them. Although dementia reduces memory and reasoning skills, people with the condition still learn and adapt through observation, repetition, and emotional cues. Care staff therefore act as role models whose actions strongly influence residents’ behaviour. For instance, if staff approach residents calmly and with empathy, this behaviour is often mirrored, leading to a more relaxed atmosphere in the care home (Zeilig et al., 2019). Conversely, rushed or frustrated interactions may heighten anxiety or agitation among residents.</w:t>
      </w:r>
    </w:p>
    <w:p w14:paraId="6913977F" w14:textId="77777777" w:rsidR="00195B2C" w:rsidRPr="00195B2C" w:rsidRDefault="00195B2C" w:rsidP="00C70005">
      <w:pPr>
        <w:spacing w:before="100" w:beforeAutospacing="1" w:after="100" w:afterAutospacing="1" w:line="360" w:lineRule="auto"/>
        <w:rPr>
          <w:rFonts w:ascii="Arial" w:hAnsi="Arial" w:cs="Arial"/>
          <w:kern w:val="0"/>
          <w:sz w:val="22"/>
          <w:szCs w:val="22"/>
          <w14:ligatures w14:val="none"/>
        </w:rPr>
      </w:pPr>
    </w:p>
    <w:p w14:paraId="2FA7DD6C" w14:textId="77777777" w:rsidR="00195B2C" w:rsidRPr="00195B2C" w:rsidRDefault="00195B2C" w:rsidP="00C70005">
      <w:pPr>
        <w:spacing w:before="100" w:beforeAutospacing="1" w:after="100" w:afterAutospacing="1" w:line="360" w:lineRule="auto"/>
        <w:rPr>
          <w:rFonts w:ascii="Arial" w:hAnsi="Arial" w:cs="Arial"/>
          <w:kern w:val="0"/>
          <w:sz w:val="22"/>
          <w:szCs w:val="22"/>
          <w14:ligatures w14:val="none"/>
        </w:rPr>
      </w:pPr>
      <w:r w:rsidRPr="00195B2C">
        <w:rPr>
          <w:rFonts w:ascii="Arial" w:hAnsi="Arial" w:cs="Arial"/>
          <w:kern w:val="0"/>
          <w:sz w:val="22"/>
          <w:szCs w:val="22"/>
          <w14:ligatures w14:val="none"/>
        </w:rPr>
        <w:t>Social learning also occurs between residents themselves. Group settings enable peer influence, where individuals copy social and physical activities of others, such as participating in exercise or music sessions. Professionals can use this principle deliberately by pairing less engaged residents with peers who show enthusiasm or confidence, thereby encouraging participation through modelling. This approach supports inclusion, reduces loneliness, and promotes self-efficacy as residents experience small successes.</w:t>
      </w:r>
    </w:p>
    <w:p w14:paraId="55E63C7E" w14:textId="77777777" w:rsidR="00195B2C" w:rsidRPr="00195B2C" w:rsidRDefault="00195B2C" w:rsidP="00C70005">
      <w:pPr>
        <w:spacing w:before="100" w:beforeAutospacing="1" w:after="100" w:afterAutospacing="1" w:line="360" w:lineRule="auto"/>
        <w:rPr>
          <w:rFonts w:ascii="Arial" w:hAnsi="Arial" w:cs="Arial"/>
          <w:kern w:val="0"/>
          <w:sz w:val="22"/>
          <w:szCs w:val="22"/>
          <w14:ligatures w14:val="none"/>
        </w:rPr>
      </w:pPr>
    </w:p>
    <w:p w14:paraId="7CAB99D1" w14:textId="77777777" w:rsidR="00195B2C" w:rsidRPr="00195B2C" w:rsidRDefault="00195B2C" w:rsidP="00C70005">
      <w:pPr>
        <w:spacing w:before="100" w:beforeAutospacing="1" w:after="100" w:afterAutospacing="1" w:line="360" w:lineRule="auto"/>
        <w:rPr>
          <w:rFonts w:ascii="Arial" w:hAnsi="Arial" w:cs="Arial"/>
          <w:kern w:val="0"/>
          <w:sz w:val="22"/>
          <w:szCs w:val="22"/>
          <w14:ligatures w14:val="none"/>
        </w:rPr>
      </w:pPr>
      <w:r w:rsidRPr="00195B2C">
        <w:rPr>
          <w:rFonts w:ascii="Arial" w:hAnsi="Arial" w:cs="Arial"/>
          <w:kern w:val="0"/>
          <w:sz w:val="22"/>
          <w:szCs w:val="22"/>
          <w14:ligatures w14:val="none"/>
        </w:rPr>
        <w:t>Bandura’s concept of reinforcement is also relevant. Positive feedback, praise, and encouragement strengthen desirable behaviours such as cooperation during personal care or engagement in therapy sessions. Over time, these experiences build confidence and create a supportive environment that encourages continued participation (Hayes et al., 2021). Thus, Social Learning Theory offers a practical explanation for why consistent, respectful communication and positive reinforcement are essential in dementia care.</w:t>
      </w:r>
    </w:p>
    <w:p w14:paraId="5E38E448" w14:textId="72C26568" w:rsidR="00195B2C" w:rsidRPr="00195B2C" w:rsidRDefault="00195B2C" w:rsidP="00C70005">
      <w:pPr>
        <w:spacing w:after="0" w:line="360" w:lineRule="auto"/>
        <w:rPr>
          <w:rFonts w:ascii="Arial" w:eastAsia="Times New Roman" w:hAnsi="Arial" w:cs="Arial"/>
          <w:kern w:val="0"/>
          <w:sz w:val="22"/>
          <w:szCs w:val="22"/>
          <w14:ligatures w14:val="none"/>
        </w:rPr>
      </w:pPr>
    </w:p>
    <w:p w14:paraId="479A73A6" w14:textId="77777777" w:rsidR="00195B2C" w:rsidRPr="00195B2C" w:rsidRDefault="00195B2C" w:rsidP="00C70005">
      <w:pPr>
        <w:spacing w:before="100" w:beforeAutospacing="1" w:after="100" w:afterAutospacing="1" w:line="360" w:lineRule="auto"/>
        <w:outlineLvl w:val="3"/>
        <w:rPr>
          <w:rFonts w:ascii="Arial" w:hAnsi="Arial" w:cs="Arial"/>
          <w:b/>
          <w:bCs/>
          <w:kern w:val="0"/>
          <w:sz w:val="22"/>
          <w:szCs w:val="22"/>
          <w14:ligatures w14:val="none"/>
        </w:rPr>
      </w:pPr>
      <w:r w:rsidRPr="00195B2C">
        <w:rPr>
          <w:rFonts w:ascii="Arial" w:eastAsia="Times New Roman" w:hAnsi="Arial" w:cs="Arial"/>
          <w:b/>
          <w:bCs/>
          <w:kern w:val="0"/>
          <w:sz w:val="22"/>
          <w:szCs w:val="22"/>
          <w14:ligatures w14:val="none"/>
        </w:rPr>
        <w:t>Application of Theories in a Dementia Care Home</w:t>
      </w:r>
    </w:p>
    <w:p w14:paraId="0B538AD0" w14:textId="77777777" w:rsidR="00195B2C" w:rsidRPr="00195B2C" w:rsidRDefault="00195B2C" w:rsidP="00C70005">
      <w:pPr>
        <w:spacing w:before="100" w:beforeAutospacing="1" w:after="100" w:afterAutospacing="1" w:line="360" w:lineRule="auto"/>
        <w:rPr>
          <w:rFonts w:ascii="Arial" w:hAnsi="Arial" w:cs="Arial"/>
          <w:kern w:val="0"/>
          <w:sz w:val="22"/>
          <w:szCs w:val="22"/>
          <w14:ligatures w14:val="none"/>
        </w:rPr>
      </w:pPr>
    </w:p>
    <w:p w14:paraId="1F01096F" w14:textId="393A3E8D" w:rsidR="00195B2C" w:rsidRPr="00195B2C" w:rsidRDefault="00195B2C" w:rsidP="00C70005">
      <w:pPr>
        <w:spacing w:before="100" w:beforeAutospacing="1" w:after="100" w:afterAutospacing="1" w:line="360" w:lineRule="auto"/>
        <w:rPr>
          <w:rFonts w:ascii="Arial" w:hAnsi="Arial" w:cs="Arial"/>
          <w:kern w:val="0"/>
          <w:sz w:val="22"/>
          <w:szCs w:val="22"/>
          <w14:ligatures w14:val="none"/>
        </w:rPr>
      </w:pPr>
      <w:r w:rsidRPr="00195B2C">
        <w:rPr>
          <w:rFonts w:ascii="Arial" w:hAnsi="Arial" w:cs="Arial"/>
          <w:kern w:val="0"/>
          <w:sz w:val="22"/>
          <w:szCs w:val="22"/>
          <w14:ligatures w14:val="none"/>
        </w:rPr>
        <w:t>Both Maslow’s and Bandura’s theories complement each other when applied in care practice. Maslow’s model ensures that staff prioritise holistic wellbeing</w:t>
      </w:r>
      <w:r w:rsidR="00EA481D" w:rsidRPr="00C70005">
        <w:rPr>
          <w:rFonts w:ascii="Arial" w:hAnsi="Arial" w:cs="Arial"/>
          <w:kern w:val="0"/>
          <w:sz w:val="22"/>
          <w:szCs w:val="22"/>
          <w14:ligatures w14:val="none"/>
        </w:rPr>
        <w:t xml:space="preserve"> </w:t>
      </w:r>
      <w:r w:rsidRPr="00195B2C">
        <w:rPr>
          <w:rFonts w:ascii="Arial" w:hAnsi="Arial" w:cs="Arial"/>
          <w:kern w:val="0"/>
          <w:sz w:val="22"/>
          <w:szCs w:val="22"/>
          <w14:ligatures w14:val="none"/>
        </w:rPr>
        <w:t>from basic physical safety to emotional fulfilment</w:t>
      </w:r>
      <w:r w:rsidR="00EA481D" w:rsidRPr="00C70005">
        <w:rPr>
          <w:rFonts w:ascii="Arial" w:hAnsi="Arial" w:cs="Arial"/>
          <w:kern w:val="0"/>
          <w:sz w:val="22"/>
          <w:szCs w:val="22"/>
          <w14:ligatures w14:val="none"/>
        </w:rPr>
        <w:t xml:space="preserve"> </w:t>
      </w:r>
      <w:r w:rsidRPr="00195B2C">
        <w:rPr>
          <w:rFonts w:ascii="Arial" w:hAnsi="Arial" w:cs="Arial"/>
          <w:kern w:val="0"/>
          <w:sz w:val="22"/>
          <w:szCs w:val="22"/>
          <w14:ligatures w14:val="none"/>
        </w:rPr>
        <w:t>while Bandura’s theory provides guidance on how to shape the environment to encourage positive behaviour and learning.</w:t>
      </w:r>
    </w:p>
    <w:p w14:paraId="05D39FD3" w14:textId="77777777" w:rsidR="00195B2C" w:rsidRPr="00195B2C" w:rsidRDefault="00195B2C" w:rsidP="00C70005">
      <w:pPr>
        <w:spacing w:before="100" w:beforeAutospacing="1" w:after="100" w:afterAutospacing="1" w:line="360" w:lineRule="auto"/>
        <w:rPr>
          <w:rFonts w:ascii="Arial" w:hAnsi="Arial" w:cs="Arial"/>
          <w:kern w:val="0"/>
          <w:sz w:val="22"/>
          <w:szCs w:val="22"/>
          <w14:ligatures w14:val="none"/>
        </w:rPr>
      </w:pPr>
    </w:p>
    <w:p w14:paraId="22A7137B" w14:textId="77777777" w:rsidR="00195B2C" w:rsidRPr="00195B2C" w:rsidRDefault="00195B2C" w:rsidP="00C70005">
      <w:pPr>
        <w:spacing w:before="100" w:beforeAutospacing="1" w:after="100" w:afterAutospacing="1" w:line="360" w:lineRule="auto"/>
        <w:rPr>
          <w:rFonts w:ascii="Arial" w:hAnsi="Arial" w:cs="Arial"/>
          <w:kern w:val="0"/>
          <w:sz w:val="22"/>
          <w:szCs w:val="22"/>
          <w14:ligatures w14:val="none"/>
        </w:rPr>
      </w:pPr>
      <w:r w:rsidRPr="00195B2C">
        <w:rPr>
          <w:rFonts w:ascii="Arial" w:hAnsi="Arial" w:cs="Arial"/>
          <w:kern w:val="0"/>
          <w:sz w:val="22"/>
          <w:szCs w:val="22"/>
          <w14:ligatures w14:val="none"/>
        </w:rPr>
        <w:lastRenderedPageBreak/>
        <w:t>In daily practice, care staff can use Maslow’s framework to design individual care plans that recognise the full range of human needs. For example, ensuring regular meal times, maintaining comfortable room temperatures, and offering opportunities for rest meet physiological requirements. Safety is maintained through clear signage, secure outdoor spaces, and staff supervision. Social and esteem needs can be addressed by supporting relationships with family members, celebrating birthdays, or displaying personal photographs in rooms to reinforce identity.</w:t>
      </w:r>
    </w:p>
    <w:p w14:paraId="7EA32780" w14:textId="77777777" w:rsidR="00195B2C" w:rsidRPr="00195B2C" w:rsidRDefault="00195B2C" w:rsidP="00C70005">
      <w:pPr>
        <w:spacing w:before="100" w:beforeAutospacing="1" w:after="100" w:afterAutospacing="1" w:line="360" w:lineRule="auto"/>
        <w:rPr>
          <w:rFonts w:ascii="Arial" w:hAnsi="Arial" w:cs="Arial"/>
          <w:kern w:val="0"/>
          <w:sz w:val="22"/>
          <w:szCs w:val="22"/>
          <w14:ligatures w14:val="none"/>
        </w:rPr>
      </w:pPr>
    </w:p>
    <w:p w14:paraId="542F6730" w14:textId="60FEA50A" w:rsidR="00195B2C" w:rsidRPr="00195B2C" w:rsidRDefault="00195B2C" w:rsidP="00C70005">
      <w:pPr>
        <w:spacing w:before="100" w:beforeAutospacing="1" w:after="100" w:afterAutospacing="1" w:line="360" w:lineRule="auto"/>
        <w:rPr>
          <w:rFonts w:ascii="Arial" w:hAnsi="Arial" w:cs="Arial"/>
          <w:kern w:val="0"/>
          <w:sz w:val="22"/>
          <w:szCs w:val="22"/>
          <w14:ligatures w14:val="none"/>
        </w:rPr>
      </w:pPr>
      <w:r w:rsidRPr="00195B2C">
        <w:rPr>
          <w:rFonts w:ascii="Arial" w:hAnsi="Arial" w:cs="Arial"/>
          <w:kern w:val="0"/>
          <w:sz w:val="22"/>
          <w:szCs w:val="22"/>
          <w14:ligatures w14:val="none"/>
        </w:rPr>
        <w:t>Bandura’s ideas guide how care workers interact with residents. Staff training can emphasise modelling calm, patient, and respectful communication styles. Demonstrating tasks step-by-step</w:t>
      </w:r>
      <w:r w:rsidR="00EA481D" w:rsidRPr="00C70005">
        <w:rPr>
          <w:rFonts w:ascii="Arial" w:hAnsi="Arial" w:cs="Arial"/>
          <w:kern w:val="0"/>
          <w:sz w:val="22"/>
          <w:szCs w:val="22"/>
          <w14:ligatures w14:val="none"/>
        </w:rPr>
        <w:t xml:space="preserve"> </w:t>
      </w:r>
      <w:r w:rsidRPr="00195B2C">
        <w:rPr>
          <w:rFonts w:ascii="Arial" w:hAnsi="Arial" w:cs="Arial"/>
          <w:kern w:val="0"/>
          <w:sz w:val="22"/>
          <w:szCs w:val="22"/>
          <w14:ligatures w14:val="none"/>
        </w:rPr>
        <w:t>such as how to use utensils or follow a routine</w:t>
      </w:r>
      <w:r w:rsidR="00EA481D" w:rsidRPr="00C70005">
        <w:rPr>
          <w:rFonts w:ascii="Arial" w:hAnsi="Arial" w:cs="Arial"/>
          <w:kern w:val="0"/>
          <w:sz w:val="22"/>
          <w:szCs w:val="22"/>
          <w14:ligatures w14:val="none"/>
        </w:rPr>
        <w:t xml:space="preserve"> </w:t>
      </w:r>
      <w:r w:rsidRPr="00195B2C">
        <w:rPr>
          <w:rFonts w:ascii="Arial" w:hAnsi="Arial" w:cs="Arial"/>
          <w:kern w:val="0"/>
          <w:sz w:val="22"/>
          <w:szCs w:val="22"/>
          <w14:ligatures w14:val="none"/>
        </w:rPr>
        <w:t>enables residents to learn through observation. Group activities led by enthusiastic staff can inspire imitation and participation from others. Visual and verbal cues also support learning; for example, using gestures alongside speech helps residents associate actions with meanings.</w:t>
      </w:r>
    </w:p>
    <w:p w14:paraId="399688DC" w14:textId="77777777" w:rsidR="00195B2C" w:rsidRPr="00195B2C" w:rsidRDefault="00195B2C" w:rsidP="00C70005">
      <w:pPr>
        <w:spacing w:before="100" w:beforeAutospacing="1" w:after="100" w:afterAutospacing="1" w:line="360" w:lineRule="auto"/>
        <w:rPr>
          <w:rFonts w:ascii="Arial" w:hAnsi="Arial" w:cs="Arial"/>
          <w:kern w:val="0"/>
          <w:sz w:val="22"/>
          <w:szCs w:val="22"/>
          <w14:ligatures w14:val="none"/>
        </w:rPr>
      </w:pPr>
    </w:p>
    <w:p w14:paraId="5F0D3364" w14:textId="77777777" w:rsidR="00195B2C" w:rsidRPr="00195B2C" w:rsidRDefault="00195B2C" w:rsidP="00C70005">
      <w:pPr>
        <w:spacing w:before="100" w:beforeAutospacing="1" w:after="100" w:afterAutospacing="1" w:line="360" w:lineRule="auto"/>
        <w:rPr>
          <w:rFonts w:ascii="Arial" w:hAnsi="Arial" w:cs="Arial"/>
          <w:kern w:val="0"/>
          <w:sz w:val="22"/>
          <w:szCs w:val="22"/>
          <w14:ligatures w14:val="none"/>
        </w:rPr>
      </w:pPr>
      <w:r w:rsidRPr="00195B2C">
        <w:rPr>
          <w:rFonts w:ascii="Arial" w:hAnsi="Arial" w:cs="Arial"/>
          <w:kern w:val="0"/>
          <w:sz w:val="22"/>
          <w:szCs w:val="22"/>
          <w14:ligatures w14:val="none"/>
        </w:rPr>
        <w:t>Combining both theories encourages person-centred and psychologically informed care. Meeting Maslow’s lower-level needs creates the stability necessary for learning and engagement described by Bandura. At the same time, positive social learning experiences can help fulfil higher-level needs such as belonging and esteem. For instance, when residents successfully join in group singing after watching others, they experience social connection and pride, which correspond to Maslow’s upper levels of the hierarchy.</w:t>
      </w:r>
    </w:p>
    <w:p w14:paraId="18796A82" w14:textId="053F7C9B" w:rsidR="00195B2C" w:rsidRPr="00195B2C" w:rsidRDefault="00195B2C" w:rsidP="00C70005">
      <w:pPr>
        <w:spacing w:after="0" w:line="360" w:lineRule="auto"/>
        <w:rPr>
          <w:rFonts w:ascii="Arial" w:eastAsia="Times New Roman" w:hAnsi="Arial" w:cs="Arial"/>
          <w:kern w:val="0"/>
          <w:sz w:val="22"/>
          <w:szCs w:val="22"/>
          <w14:ligatures w14:val="none"/>
        </w:rPr>
      </w:pPr>
    </w:p>
    <w:p w14:paraId="04F7B547" w14:textId="77777777" w:rsidR="00195B2C" w:rsidRPr="00195B2C" w:rsidRDefault="00195B2C" w:rsidP="00C70005">
      <w:pPr>
        <w:spacing w:before="100" w:beforeAutospacing="1" w:after="100" w:afterAutospacing="1" w:line="360" w:lineRule="auto"/>
        <w:outlineLvl w:val="3"/>
        <w:rPr>
          <w:rFonts w:ascii="Arial" w:hAnsi="Arial" w:cs="Arial"/>
          <w:b/>
          <w:bCs/>
          <w:kern w:val="0"/>
          <w:sz w:val="22"/>
          <w:szCs w:val="22"/>
          <w14:ligatures w14:val="none"/>
        </w:rPr>
      </w:pPr>
      <w:r w:rsidRPr="00195B2C">
        <w:rPr>
          <w:rFonts w:ascii="Arial" w:eastAsia="Times New Roman" w:hAnsi="Arial" w:cs="Arial"/>
          <w:b/>
          <w:bCs/>
          <w:kern w:val="0"/>
          <w:sz w:val="22"/>
          <w:szCs w:val="22"/>
          <w14:ligatures w14:val="none"/>
        </w:rPr>
        <w:t>Challenges and Strategies for Professionals</w:t>
      </w:r>
    </w:p>
    <w:p w14:paraId="2DF2132D" w14:textId="77777777" w:rsidR="00195B2C" w:rsidRPr="00195B2C" w:rsidRDefault="00195B2C" w:rsidP="00C70005">
      <w:pPr>
        <w:spacing w:before="100" w:beforeAutospacing="1" w:after="100" w:afterAutospacing="1" w:line="360" w:lineRule="auto"/>
        <w:rPr>
          <w:rFonts w:ascii="Arial" w:hAnsi="Arial" w:cs="Arial"/>
          <w:kern w:val="0"/>
          <w:sz w:val="22"/>
          <w:szCs w:val="22"/>
          <w14:ligatures w14:val="none"/>
        </w:rPr>
      </w:pPr>
    </w:p>
    <w:p w14:paraId="3AD66988" w14:textId="77777777" w:rsidR="00195B2C" w:rsidRPr="00195B2C" w:rsidRDefault="00195B2C" w:rsidP="00C70005">
      <w:pPr>
        <w:spacing w:before="100" w:beforeAutospacing="1" w:after="100" w:afterAutospacing="1" w:line="360" w:lineRule="auto"/>
        <w:rPr>
          <w:rFonts w:ascii="Arial" w:hAnsi="Arial" w:cs="Arial"/>
          <w:kern w:val="0"/>
          <w:sz w:val="22"/>
          <w:szCs w:val="22"/>
          <w14:ligatures w14:val="none"/>
        </w:rPr>
      </w:pPr>
      <w:r w:rsidRPr="00195B2C">
        <w:rPr>
          <w:rFonts w:ascii="Arial" w:hAnsi="Arial" w:cs="Arial"/>
          <w:kern w:val="0"/>
          <w:sz w:val="22"/>
          <w:szCs w:val="22"/>
          <w14:ligatures w14:val="none"/>
        </w:rPr>
        <w:t>Despite the usefulness of these theories, applying them in real settings presents challenges. One major difficulty is time pressure. Care staff often manage heavy workloads, which can make it hard to provide the emotional attention required to meet higher-level needs. To address this, managers can allocate key workers to specific residents, ensuring continuity of care and stronger relationships that foster trust and belonging (NICE, 2018).</w:t>
      </w:r>
    </w:p>
    <w:p w14:paraId="4E9B6B7C" w14:textId="77777777" w:rsidR="00195B2C" w:rsidRPr="00195B2C" w:rsidRDefault="00195B2C" w:rsidP="00C70005">
      <w:pPr>
        <w:spacing w:before="100" w:beforeAutospacing="1" w:after="100" w:afterAutospacing="1" w:line="360" w:lineRule="auto"/>
        <w:rPr>
          <w:rFonts w:ascii="Arial" w:hAnsi="Arial" w:cs="Arial"/>
          <w:kern w:val="0"/>
          <w:sz w:val="22"/>
          <w:szCs w:val="22"/>
          <w14:ligatures w14:val="none"/>
        </w:rPr>
      </w:pPr>
    </w:p>
    <w:p w14:paraId="3B774F29" w14:textId="77777777" w:rsidR="00195B2C" w:rsidRPr="00195B2C" w:rsidRDefault="00195B2C" w:rsidP="00C70005">
      <w:pPr>
        <w:spacing w:before="100" w:beforeAutospacing="1" w:after="100" w:afterAutospacing="1" w:line="360" w:lineRule="auto"/>
        <w:rPr>
          <w:rFonts w:ascii="Arial" w:hAnsi="Arial" w:cs="Arial"/>
          <w:kern w:val="0"/>
          <w:sz w:val="22"/>
          <w:szCs w:val="22"/>
          <w14:ligatures w14:val="none"/>
        </w:rPr>
      </w:pPr>
      <w:r w:rsidRPr="00195B2C">
        <w:rPr>
          <w:rFonts w:ascii="Arial" w:hAnsi="Arial" w:cs="Arial"/>
          <w:kern w:val="0"/>
          <w:sz w:val="22"/>
          <w:szCs w:val="22"/>
          <w14:ligatures w14:val="none"/>
        </w:rPr>
        <w:lastRenderedPageBreak/>
        <w:t>Another challenge is variation in residents’ cognitive ability. Some individuals may be unable to follow observational learning or express preferences. Staff can adapt by simplifying tasks, using visual prompts, and focusing on non-verbal communication such as facial expressions and tone of voice. Regular staff training helps maintain these skills and ensures a consistent approach across the team (Brooker &amp; Latham, 2022).</w:t>
      </w:r>
    </w:p>
    <w:p w14:paraId="6B24ACF0" w14:textId="77777777" w:rsidR="00195B2C" w:rsidRPr="00195B2C" w:rsidRDefault="00195B2C" w:rsidP="00C70005">
      <w:pPr>
        <w:spacing w:before="100" w:beforeAutospacing="1" w:after="100" w:afterAutospacing="1" w:line="360" w:lineRule="auto"/>
        <w:rPr>
          <w:rFonts w:ascii="Arial" w:hAnsi="Arial" w:cs="Arial"/>
          <w:kern w:val="0"/>
          <w:sz w:val="22"/>
          <w:szCs w:val="22"/>
          <w14:ligatures w14:val="none"/>
        </w:rPr>
      </w:pPr>
    </w:p>
    <w:p w14:paraId="790B533E" w14:textId="77777777" w:rsidR="00195B2C" w:rsidRPr="00195B2C" w:rsidRDefault="00195B2C" w:rsidP="00C70005">
      <w:pPr>
        <w:spacing w:before="100" w:beforeAutospacing="1" w:after="100" w:afterAutospacing="1" w:line="360" w:lineRule="auto"/>
        <w:rPr>
          <w:rFonts w:ascii="Arial" w:hAnsi="Arial" w:cs="Arial"/>
          <w:kern w:val="0"/>
          <w:sz w:val="22"/>
          <w:szCs w:val="22"/>
          <w14:ligatures w14:val="none"/>
        </w:rPr>
      </w:pPr>
      <w:r w:rsidRPr="00195B2C">
        <w:rPr>
          <w:rFonts w:ascii="Arial" w:hAnsi="Arial" w:cs="Arial"/>
          <w:kern w:val="0"/>
          <w:sz w:val="22"/>
          <w:szCs w:val="22"/>
          <w14:ligatures w14:val="none"/>
        </w:rPr>
        <w:t>Maintaining self-esteem can also be difficult when residents experience frustration or confusion. Professionals should avoid infantilising language and instead promote autonomy by offering choices and recognising achievements, however small. Positive reinforcement, as described by Bandura, supports motivation and emotional stability. For example, praising a resident for attempting to dress independently reinforces confidence even if they need assistance to finish.</w:t>
      </w:r>
    </w:p>
    <w:p w14:paraId="42856C7B" w14:textId="77777777" w:rsidR="00195B2C" w:rsidRPr="00195B2C" w:rsidRDefault="00195B2C" w:rsidP="00C70005">
      <w:pPr>
        <w:spacing w:before="100" w:beforeAutospacing="1" w:after="100" w:afterAutospacing="1" w:line="360" w:lineRule="auto"/>
        <w:rPr>
          <w:rFonts w:ascii="Arial" w:hAnsi="Arial" w:cs="Arial"/>
          <w:kern w:val="0"/>
          <w:sz w:val="22"/>
          <w:szCs w:val="22"/>
          <w14:ligatures w14:val="none"/>
        </w:rPr>
      </w:pPr>
    </w:p>
    <w:p w14:paraId="139F875F" w14:textId="549F065E" w:rsidR="00195B2C" w:rsidRPr="00195B2C" w:rsidRDefault="00195B2C" w:rsidP="00C70005">
      <w:pPr>
        <w:spacing w:before="100" w:beforeAutospacing="1" w:after="100" w:afterAutospacing="1" w:line="360" w:lineRule="auto"/>
        <w:rPr>
          <w:rFonts w:ascii="Arial" w:hAnsi="Arial" w:cs="Arial"/>
          <w:kern w:val="0"/>
          <w:sz w:val="22"/>
          <w:szCs w:val="22"/>
          <w14:ligatures w14:val="none"/>
        </w:rPr>
      </w:pPr>
      <w:r w:rsidRPr="00195B2C">
        <w:rPr>
          <w:rFonts w:ascii="Arial" w:hAnsi="Arial" w:cs="Arial"/>
          <w:kern w:val="0"/>
          <w:sz w:val="22"/>
          <w:szCs w:val="22"/>
          <w14:ligatures w14:val="none"/>
        </w:rPr>
        <w:t>A further challenge is balancing safety with independence. Maslow’s hierarchy suggests that safety is fundamental, but excessive restrictions may reduce esteem and belonging. To manage this, care homes can implement risk-enablement strategies</w:t>
      </w:r>
      <w:r w:rsidR="00EA481D" w:rsidRPr="00C70005">
        <w:rPr>
          <w:rFonts w:ascii="Arial" w:hAnsi="Arial" w:cs="Arial"/>
          <w:kern w:val="0"/>
          <w:sz w:val="22"/>
          <w:szCs w:val="22"/>
          <w14:ligatures w14:val="none"/>
        </w:rPr>
        <w:t xml:space="preserve"> </w:t>
      </w:r>
      <w:r w:rsidRPr="00195B2C">
        <w:rPr>
          <w:rFonts w:ascii="Arial" w:hAnsi="Arial" w:cs="Arial"/>
          <w:kern w:val="0"/>
          <w:sz w:val="22"/>
          <w:szCs w:val="22"/>
          <w14:ligatures w14:val="none"/>
        </w:rPr>
        <w:t>allowing residents to take manageable risks, such as walking in a secure garden with supervision. This approach respects dignity while maintaining security (SCIE, 2022).</w:t>
      </w:r>
    </w:p>
    <w:p w14:paraId="6A19156F" w14:textId="77777777" w:rsidR="00195B2C" w:rsidRPr="00195B2C" w:rsidRDefault="00195B2C" w:rsidP="00C70005">
      <w:pPr>
        <w:spacing w:before="100" w:beforeAutospacing="1" w:after="100" w:afterAutospacing="1" w:line="360" w:lineRule="auto"/>
        <w:rPr>
          <w:rFonts w:ascii="Arial" w:hAnsi="Arial" w:cs="Arial"/>
          <w:kern w:val="0"/>
          <w:sz w:val="22"/>
          <w:szCs w:val="22"/>
          <w14:ligatures w14:val="none"/>
        </w:rPr>
      </w:pPr>
    </w:p>
    <w:p w14:paraId="5F583FEE" w14:textId="77777777" w:rsidR="00195B2C" w:rsidRPr="00195B2C" w:rsidRDefault="00195B2C" w:rsidP="00C70005">
      <w:pPr>
        <w:spacing w:before="100" w:beforeAutospacing="1" w:after="100" w:afterAutospacing="1" w:line="360" w:lineRule="auto"/>
        <w:rPr>
          <w:rFonts w:ascii="Arial" w:hAnsi="Arial" w:cs="Arial"/>
          <w:kern w:val="0"/>
          <w:sz w:val="22"/>
          <w:szCs w:val="22"/>
          <w14:ligatures w14:val="none"/>
        </w:rPr>
      </w:pPr>
      <w:r w:rsidRPr="00195B2C">
        <w:rPr>
          <w:rFonts w:ascii="Arial" w:hAnsi="Arial" w:cs="Arial"/>
          <w:kern w:val="0"/>
          <w:sz w:val="22"/>
          <w:szCs w:val="22"/>
          <w14:ligatures w14:val="none"/>
        </w:rPr>
        <w:t>Cultural and individual differences also influence how needs are prioritised. Professionals must be sensitive to each resident’s values, religion, and life history. What brings one person a sense of belonging or self-worth may not have the same effect on another. Regular reviews of care plans, involving residents and families, help ensure that support remains meaningful and personalised.</w:t>
      </w:r>
    </w:p>
    <w:p w14:paraId="579969EC" w14:textId="5383E044" w:rsidR="00195B2C" w:rsidRPr="00195B2C" w:rsidRDefault="00195B2C" w:rsidP="00C70005">
      <w:pPr>
        <w:spacing w:after="0" w:line="360" w:lineRule="auto"/>
        <w:rPr>
          <w:rFonts w:ascii="Arial" w:eastAsia="Times New Roman" w:hAnsi="Arial" w:cs="Arial"/>
          <w:kern w:val="0"/>
          <w:sz w:val="22"/>
          <w:szCs w:val="22"/>
          <w14:ligatures w14:val="none"/>
        </w:rPr>
      </w:pPr>
    </w:p>
    <w:p w14:paraId="3381621F" w14:textId="77777777" w:rsidR="00195B2C" w:rsidRPr="00195B2C" w:rsidRDefault="00195B2C" w:rsidP="00C70005">
      <w:pPr>
        <w:spacing w:before="100" w:beforeAutospacing="1" w:after="100" w:afterAutospacing="1" w:line="360" w:lineRule="auto"/>
        <w:outlineLvl w:val="3"/>
        <w:rPr>
          <w:rFonts w:ascii="Arial" w:hAnsi="Arial" w:cs="Arial"/>
          <w:b/>
          <w:bCs/>
          <w:kern w:val="0"/>
          <w:sz w:val="22"/>
          <w:szCs w:val="22"/>
          <w14:ligatures w14:val="none"/>
        </w:rPr>
      </w:pPr>
      <w:r w:rsidRPr="00195B2C">
        <w:rPr>
          <w:rFonts w:ascii="Arial" w:eastAsia="Times New Roman" w:hAnsi="Arial" w:cs="Arial"/>
          <w:b/>
          <w:bCs/>
          <w:kern w:val="0"/>
          <w:sz w:val="22"/>
          <w:szCs w:val="22"/>
          <w14:ligatures w14:val="none"/>
        </w:rPr>
        <w:t>Conclusion</w:t>
      </w:r>
    </w:p>
    <w:p w14:paraId="059DFB82" w14:textId="77777777" w:rsidR="00195B2C" w:rsidRPr="00195B2C" w:rsidRDefault="00195B2C" w:rsidP="00C70005">
      <w:pPr>
        <w:spacing w:before="100" w:beforeAutospacing="1" w:after="100" w:afterAutospacing="1" w:line="360" w:lineRule="auto"/>
        <w:rPr>
          <w:rFonts w:ascii="Arial" w:hAnsi="Arial" w:cs="Arial"/>
          <w:kern w:val="0"/>
          <w:sz w:val="22"/>
          <w:szCs w:val="22"/>
          <w14:ligatures w14:val="none"/>
        </w:rPr>
      </w:pPr>
    </w:p>
    <w:p w14:paraId="18C65F34" w14:textId="77777777" w:rsidR="00195B2C" w:rsidRPr="00195B2C" w:rsidRDefault="00195B2C" w:rsidP="00C70005">
      <w:pPr>
        <w:spacing w:before="100" w:beforeAutospacing="1" w:after="100" w:afterAutospacing="1" w:line="360" w:lineRule="auto"/>
        <w:rPr>
          <w:rFonts w:ascii="Arial" w:hAnsi="Arial" w:cs="Arial"/>
          <w:kern w:val="0"/>
          <w:sz w:val="22"/>
          <w:szCs w:val="22"/>
          <w14:ligatures w14:val="none"/>
        </w:rPr>
      </w:pPr>
      <w:r w:rsidRPr="00195B2C">
        <w:rPr>
          <w:rFonts w:ascii="Arial" w:hAnsi="Arial" w:cs="Arial"/>
          <w:kern w:val="0"/>
          <w:sz w:val="22"/>
          <w:szCs w:val="22"/>
          <w14:ligatures w14:val="none"/>
        </w:rPr>
        <w:t xml:space="preserve">Maslow’s Hierarchy of Needs and Bandura’s Social Learning Theory provide valuable frameworks for understanding and supporting older adults with dementia in care homes. </w:t>
      </w:r>
      <w:r w:rsidRPr="00195B2C">
        <w:rPr>
          <w:rFonts w:ascii="Arial" w:hAnsi="Arial" w:cs="Arial"/>
          <w:kern w:val="0"/>
          <w:sz w:val="22"/>
          <w:szCs w:val="22"/>
          <w14:ligatures w14:val="none"/>
        </w:rPr>
        <w:lastRenderedPageBreak/>
        <w:t>Maslow’s model emphasises the importance of meeting both physical and psychological needs, while Bandura’s theory explains how behaviour and emotion are influenced by observation and interaction. When combined, these theories encourage a holistic, person-centred approach that values dignity, autonomy, and emotional wellbeing alongside physical care. Although challenges such as limited time, varying cognitive ability, and balancing safety with independence exist, thoughtful application of these theories can improve quality of life for residents and guide professionals toward compassionate, evidence-based practice.</w:t>
      </w:r>
    </w:p>
    <w:p w14:paraId="0D3F117B" w14:textId="5A99A60B" w:rsidR="00195B2C" w:rsidRPr="00195B2C" w:rsidRDefault="00195B2C" w:rsidP="00C70005">
      <w:pPr>
        <w:spacing w:after="0" w:line="360" w:lineRule="auto"/>
        <w:rPr>
          <w:rFonts w:ascii="Arial" w:eastAsia="Times New Roman" w:hAnsi="Arial" w:cs="Arial"/>
          <w:kern w:val="0"/>
          <w:sz w:val="22"/>
          <w:szCs w:val="22"/>
          <w14:ligatures w14:val="none"/>
        </w:rPr>
      </w:pPr>
    </w:p>
    <w:p w14:paraId="478E4904" w14:textId="77777777" w:rsidR="00195B2C" w:rsidRPr="00195B2C" w:rsidRDefault="00195B2C" w:rsidP="00C70005">
      <w:pPr>
        <w:spacing w:before="100" w:beforeAutospacing="1" w:after="100" w:afterAutospacing="1" w:line="360" w:lineRule="auto"/>
        <w:outlineLvl w:val="2"/>
        <w:rPr>
          <w:rFonts w:ascii="Arial" w:hAnsi="Arial" w:cs="Arial"/>
          <w:b/>
          <w:bCs/>
          <w:kern w:val="0"/>
          <w:sz w:val="22"/>
          <w:szCs w:val="22"/>
          <w14:ligatures w14:val="none"/>
        </w:rPr>
      </w:pPr>
      <w:r w:rsidRPr="00195B2C">
        <w:rPr>
          <w:rFonts w:ascii="Arial" w:eastAsia="Times New Roman" w:hAnsi="Arial" w:cs="Arial"/>
          <w:b/>
          <w:bCs/>
          <w:kern w:val="0"/>
          <w:sz w:val="22"/>
          <w:szCs w:val="22"/>
          <w14:ligatures w14:val="none"/>
        </w:rPr>
        <w:t>References (UWTSD Harvard Style)</w:t>
      </w:r>
    </w:p>
    <w:p w14:paraId="3893F42C" w14:textId="77777777" w:rsidR="00195B2C" w:rsidRPr="00195B2C" w:rsidRDefault="00195B2C" w:rsidP="00C70005">
      <w:pPr>
        <w:spacing w:before="100" w:beforeAutospacing="1" w:after="100" w:afterAutospacing="1" w:line="360" w:lineRule="auto"/>
        <w:rPr>
          <w:rFonts w:ascii="Arial" w:hAnsi="Arial" w:cs="Arial"/>
          <w:kern w:val="0"/>
          <w:sz w:val="22"/>
          <w:szCs w:val="22"/>
          <w14:ligatures w14:val="none"/>
        </w:rPr>
      </w:pPr>
    </w:p>
    <w:p w14:paraId="1F0B0E08" w14:textId="77777777" w:rsidR="00195B2C" w:rsidRPr="00195B2C" w:rsidRDefault="00195B2C" w:rsidP="00C70005">
      <w:pPr>
        <w:spacing w:before="100" w:beforeAutospacing="1" w:after="100" w:afterAutospacing="1" w:line="360" w:lineRule="auto"/>
        <w:rPr>
          <w:rFonts w:ascii="Arial" w:hAnsi="Arial" w:cs="Arial"/>
          <w:kern w:val="0"/>
          <w:sz w:val="22"/>
          <w:szCs w:val="22"/>
          <w14:ligatures w14:val="none"/>
        </w:rPr>
      </w:pPr>
      <w:r w:rsidRPr="00195B2C">
        <w:rPr>
          <w:rFonts w:ascii="Arial" w:hAnsi="Arial" w:cs="Arial"/>
          <w:kern w:val="0"/>
          <w:sz w:val="22"/>
          <w:szCs w:val="22"/>
          <w14:ligatures w14:val="none"/>
        </w:rPr>
        <w:t>Bandura, A. (1977) Social Learning Theory. Englewood Cliffs, NJ: Prentice Hall.</w:t>
      </w:r>
    </w:p>
    <w:p w14:paraId="06261EC7" w14:textId="77777777" w:rsidR="00195B2C" w:rsidRPr="00195B2C" w:rsidRDefault="00195B2C" w:rsidP="00C70005">
      <w:pPr>
        <w:spacing w:before="100" w:beforeAutospacing="1" w:after="100" w:afterAutospacing="1" w:line="360" w:lineRule="auto"/>
        <w:rPr>
          <w:rFonts w:ascii="Arial" w:hAnsi="Arial" w:cs="Arial"/>
          <w:kern w:val="0"/>
          <w:sz w:val="22"/>
          <w:szCs w:val="22"/>
          <w14:ligatures w14:val="none"/>
        </w:rPr>
      </w:pPr>
      <w:r w:rsidRPr="00195B2C">
        <w:rPr>
          <w:rFonts w:ascii="Arial" w:hAnsi="Arial" w:cs="Arial"/>
          <w:kern w:val="0"/>
          <w:sz w:val="22"/>
          <w:szCs w:val="22"/>
          <w14:ligatures w14:val="none"/>
        </w:rPr>
        <w:t>Bandura, A. (1997) Self-Efficacy: The Exercise of Control. New York: W.H. Freeman.</w:t>
      </w:r>
    </w:p>
    <w:p w14:paraId="7F7771E9" w14:textId="77777777" w:rsidR="00195B2C" w:rsidRPr="00195B2C" w:rsidRDefault="00195B2C" w:rsidP="00C70005">
      <w:pPr>
        <w:spacing w:before="100" w:beforeAutospacing="1" w:after="100" w:afterAutospacing="1" w:line="360" w:lineRule="auto"/>
        <w:rPr>
          <w:rFonts w:ascii="Arial" w:hAnsi="Arial" w:cs="Arial"/>
          <w:kern w:val="0"/>
          <w:sz w:val="22"/>
          <w:szCs w:val="22"/>
          <w14:ligatures w14:val="none"/>
        </w:rPr>
      </w:pPr>
      <w:r w:rsidRPr="00195B2C">
        <w:rPr>
          <w:rFonts w:ascii="Arial" w:hAnsi="Arial" w:cs="Arial"/>
          <w:kern w:val="0"/>
          <w:sz w:val="22"/>
          <w:szCs w:val="22"/>
          <w14:ligatures w14:val="none"/>
        </w:rPr>
        <w:t>Brooker, D. and Latham, I. (2022) Person-Centred Dementia Care: Making Services Better with the VIPS Framework. 2nd edn. London: Jessica Kingsley.</w:t>
      </w:r>
    </w:p>
    <w:p w14:paraId="2459EBA3" w14:textId="77777777" w:rsidR="00195B2C" w:rsidRPr="00195B2C" w:rsidRDefault="00195B2C" w:rsidP="00C70005">
      <w:pPr>
        <w:spacing w:before="100" w:beforeAutospacing="1" w:after="100" w:afterAutospacing="1" w:line="360" w:lineRule="auto"/>
        <w:rPr>
          <w:rFonts w:ascii="Arial" w:hAnsi="Arial" w:cs="Arial"/>
          <w:kern w:val="0"/>
          <w:sz w:val="22"/>
          <w:szCs w:val="22"/>
          <w14:ligatures w14:val="none"/>
        </w:rPr>
      </w:pPr>
      <w:r w:rsidRPr="00195B2C">
        <w:rPr>
          <w:rFonts w:ascii="Arial" w:hAnsi="Arial" w:cs="Arial"/>
          <w:kern w:val="0"/>
          <w:sz w:val="22"/>
          <w:szCs w:val="22"/>
          <w14:ligatures w14:val="none"/>
        </w:rPr>
        <w:t>Hayes, N., Orrell, M., and Robertson, S. (2021) ‘Promoting engagement in dementia care through positive reinforcement and social learning,’ Journal of Mental Health Nursing, 30(4), pp. 812–820.</w:t>
      </w:r>
    </w:p>
    <w:p w14:paraId="28B18696" w14:textId="77777777" w:rsidR="00195B2C" w:rsidRPr="00195B2C" w:rsidRDefault="00195B2C" w:rsidP="00C70005">
      <w:pPr>
        <w:spacing w:before="100" w:beforeAutospacing="1" w:after="100" w:afterAutospacing="1" w:line="360" w:lineRule="auto"/>
        <w:rPr>
          <w:rFonts w:ascii="Arial" w:hAnsi="Arial" w:cs="Arial"/>
          <w:kern w:val="0"/>
          <w:sz w:val="22"/>
          <w:szCs w:val="22"/>
          <w14:ligatures w14:val="none"/>
        </w:rPr>
      </w:pPr>
      <w:r w:rsidRPr="00195B2C">
        <w:rPr>
          <w:rFonts w:ascii="Arial" w:hAnsi="Arial" w:cs="Arial"/>
          <w:kern w:val="0"/>
          <w:sz w:val="22"/>
          <w:szCs w:val="22"/>
          <w14:ligatures w14:val="none"/>
        </w:rPr>
        <w:t>Kitwood, T. (1997) Dementia Reconsidered: The Person Comes First. Buckingham: Open University Press.</w:t>
      </w:r>
    </w:p>
    <w:p w14:paraId="3D84EF13" w14:textId="77777777" w:rsidR="00195B2C" w:rsidRPr="00195B2C" w:rsidRDefault="00195B2C" w:rsidP="00C70005">
      <w:pPr>
        <w:spacing w:before="100" w:beforeAutospacing="1" w:after="100" w:afterAutospacing="1" w:line="360" w:lineRule="auto"/>
        <w:rPr>
          <w:rFonts w:ascii="Arial" w:hAnsi="Arial" w:cs="Arial"/>
          <w:kern w:val="0"/>
          <w:sz w:val="22"/>
          <w:szCs w:val="22"/>
          <w14:ligatures w14:val="none"/>
        </w:rPr>
      </w:pPr>
      <w:r w:rsidRPr="00195B2C">
        <w:rPr>
          <w:rFonts w:ascii="Arial" w:hAnsi="Arial" w:cs="Arial"/>
          <w:kern w:val="0"/>
          <w:sz w:val="22"/>
          <w:szCs w:val="22"/>
          <w14:ligatures w14:val="none"/>
        </w:rPr>
        <w:t xml:space="preserve">McLeod, S. (2023) ‘Maslow’s Hierarchy of Needs,’ Simply Psychology. Available at: </w:t>
      </w:r>
      <w:hyperlink r:id="rId4" w:history="1">
        <w:r w:rsidRPr="00195B2C">
          <w:rPr>
            <w:rFonts w:ascii="Arial" w:hAnsi="Arial" w:cs="Arial"/>
            <w:color w:val="0000FF"/>
            <w:kern w:val="0"/>
            <w:sz w:val="22"/>
            <w:szCs w:val="22"/>
            <w:u w:val="single"/>
            <w14:ligatures w14:val="none"/>
          </w:rPr>
          <w:t>https://www.simplypsychology.org/maslow.html</w:t>
        </w:r>
      </w:hyperlink>
      <w:r w:rsidRPr="00195B2C">
        <w:rPr>
          <w:rFonts w:ascii="Arial" w:hAnsi="Arial" w:cs="Arial"/>
          <w:kern w:val="0"/>
          <w:sz w:val="22"/>
          <w:szCs w:val="22"/>
          <w14:ligatures w14:val="none"/>
        </w:rPr>
        <w:t xml:space="preserve"> (Accessed 6 November 2025).</w:t>
      </w:r>
    </w:p>
    <w:p w14:paraId="2FD489CA" w14:textId="77777777" w:rsidR="00195B2C" w:rsidRPr="00195B2C" w:rsidRDefault="00195B2C" w:rsidP="00C70005">
      <w:pPr>
        <w:spacing w:before="100" w:beforeAutospacing="1" w:after="100" w:afterAutospacing="1" w:line="360" w:lineRule="auto"/>
        <w:rPr>
          <w:rFonts w:ascii="Arial" w:hAnsi="Arial" w:cs="Arial"/>
          <w:kern w:val="0"/>
          <w:sz w:val="22"/>
          <w:szCs w:val="22"/>
          <w14:ligatures w14:val="none"/>
        </w:rPr>
      </w:pPr>
      <w:r w:rsidRPr="00195B2C">
        <w:rPr>
          <w:rFonts w:ascii="Arial" w:hAnsi="Arial" w:cs="Arial"/>
          <w:kern w:val="0"/>
          <w:sz w:val="22"/>
          <w:szCs w:val="22"/>
          <w14:ligatures w14:val="none"/>
        </w:rPr>
        <w:t>National Institute for Health and Care Excellence (NICE) (2018) Dementia: Assessment, Management and Support for People Living with Dementia and Their Carers (NG97). London: NICE.</w:t>
      </w:r>
    </w:p>
    <w:p w14:paraId="07B6D4B7" w14:textId="77777777" w:rsidR="00195B2C" w:rsidRPr="00195B2C" w:rsidRDefault="00195B2C" w:rsidP="00C70005">
      <w:pPr>
        <w:spacing w:before="100" w:beforeAutospacing="1" w:after="100" w:afterAutospacing="1" w:line="360" w:lineRule="auto"/>
        <w:rPr>
          <w:rFonts w:ascii="Arial" w:hAnsi="Arial" w:cs="Arial"/>
          <w:kern w:val="0"/>
          <w:sz w:val="22"/>
          <w:szCs w:val="22"/>
          <w14:ligatures w14:val="none"/>
        </w:rPr>
      </w:pPr>
      <w:r w:rsidRPr="00195B2C">
        <w:rPr>
          <w:rFonts w:ascii="Arial" w:hAnsi="Arial" w:cs="Arial"/>
          <w:kern w:val="0"/>
          <w:sz w:val="22"/>
          <w:szCs w:val="22"/>
          <w14:ligatures w14:val="none"/>
        </w:rPr>
        <w:t>Phinney, A., Chaudhury, H., and O’Connor, D. (2020) ‘Doing as much as I can do: The meaning of activity for people with dementia,’ Ageing &amp; Society, 40(8), pp. 1661–1679.</w:t>
      </w:r>
    </w:p>
    <w:p w14:paraId="0C0B2B27" w14:textId="77777777" w:rsidR="00195B2C" w:rsidRPr="00195B2C" w:rsidRDefault="00195B2C" w:rsidP="00C70005">
      <w:pPr>
        <w:spacing w:before="100" w:beforeAutospacing="1" w:after="100" w:afterAutospacing="1" w:line="360" w:lineRule="auto"/>
        <w:rPr>
          <w:rFonts w:ascii="Arial" w:hAnsi="Arial" w:cs="Arial"/>
          <w:kern w:val="0"/>
          <w:sz w:val="22"/>
          <w:szCs w:val="22"/>
          <w14:ligatures w14:val="none"/>
        </w:rPr>
      </w:pPr>
      <w:r w:rsidRPr="00195B2C">
        <w:rPr>
          <w:rFonts w:ascii="Arial" w:hAnsi="Arial" w:cs="Arial"/>
          <w:kern w:val="0"/>
          <w:sz w:val="22"/>
          <w:szCs w:val="22"/>
          <w14:ligatures w14:val="none"/>
        </w:rPr>
        <w:t>Social Care Institute for Excellence (SCIE) (2022) Promoting Independence and Wellbeing in Dementia Care. London: SCIE.</w:t>
      </w:r>
    </w:p>
    <w:p w14:paraId="23833343" w14:textId="77777777" w:rsidR="00195B2C" w:rsidRPr="00195B2C" w:rsidRDefault="00195B2C" w:rsidP="00C70005">
      <w:pPr>
        <w:spacing w:before="100" w:beforeAutospacing="1" w:after="100" w:afterAutospacing="1" w:line="360" w:lineRule="auto"/>
        <w:rPr>
          <w:rFonts w:ascii="Arial" w:hAnsi="Arial" w:cs="Arial"/>
          <w:kern w:val="0"/>
          <w:sz w:val="22"/>
          <w:szCs w:val="22"/>
          <w14:ligatures w14:val="none"/>
        </w:rPr>
      </w:pPr>
      <w:r w:rsidRPr="00195B2C">
        <w:rPr>
          <w:rFonts w:ascii="Arial" w:hAnsi="Arial" w:cs="Arial"/>
          <w:kern w:val="0"/>
          <w:sz w:val="22"/>
          <w:szCs w:val="22"/>
          <w14:ligatures w14:val="none"/>
        </w:rPr>
        <w:lastRenderedPageBreak/>
        <w:t>Zeilig, H., Killick, J., and Fox, C. (2019) ‘The participatory arts for people living with a dementia: A critical review,’ International Journal of Ageing and Later Life, 14(2), pp. 91–116.</w:t>
      </w:r>
    </w:p>
    <w:p w14:paraId="7123CAA8" w14:textId="76E56D29" w:rsidR="00195B2C" w:rsidRPr="00C70005" w:rsidRDefault="00195B2C" w:rsidP="00C70005">
      <w:pPr>
        <w:spacing w:after="0" w:line="360" w:lineRule="auto"/>
        <w:rPr>
          <w:rFonts w:ascii="Arial" w:eastAsia="Times New Roman" w:hAnsi="Arial" w:cs="Arial"/>
          <w:kern w:val="0"/>
          <w:sz w:val="22"/>
          <w:szCs w:val="22"/>
          <w14:ligatures w14:val="none"/>
        </w:rPr>
      </w:pPr>
    </w:p>
    <w:sectPr w:rsidR="00195B2C" w:rsidRPr="00C7000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98"/>
  <w:revisionView w:formatting="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5B2C"/>
    <w:rsid w:val="00001A7E"/>
    <w:rsid w:val="00195B2C"/>
    <w:rsid w:val="00276ED0"/>
    <w:rsid w:val="002935EE"/>
    <w:rsid w:val="00307222"/>
    <w:rsid w:val="00345FC2"/>
    <w:rsid w:val="008A24A1"/>
    <w:rsid w:val="00986038"/>
    <w:rsid w:val="009A27E5"/>
    <w:rsid w:val="009A2A8A"/>
    <w:rsid w:val="00A01D8C"/>
    <w:rsid w:val="00BE71F0"/>
    <w:rsid w:val="00C70005"/>
    <w:rsid w:val="00D15CE4"/>
    <w:rsid w:val="00EA48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33698F7"/>
  <w15:chartTrackingRefBased/>
  <w15:docId w15:val="{5F7F4C27-7F42-1E44-A006-7C3B431650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95B2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95B2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95B2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195B2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95B2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95B2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95B2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95B2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95B2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95B2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95B2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95B2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95B2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95B2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95B2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95B2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95B2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95B2C"/>
    <w:rPr>
      <w:rFonts w:eastAsiaTheme="majorEastAsia" w:cstheme="majorBidi"/>
      <w:color w:val="272727" w:themeColor="text1" w:themeTint="D8"/>
    </w:rPr>
  </w:style>
  <w:style w:type="paragraph" w:styleId="Title">
    <w:name w:val="Title"/>
    <w:basedOn w:val="Normal"/>
    <w:next w:val="Normal"/>
    <w:link w:val="TitleChar"/>
    <w:uiPriority w:val="10"/>
    <w:qFormat/>
    <w:rsid w:val="00195B2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95B2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95B2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95B2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95B2C"/>
    <w:pPr>
      <w:spacing w:before="160"/>
      <w:jc w:val="center"/>
    </w:pPr>
    <w:rPr>
      <w:i/>
      <w:iCs/>
      <w:color w:val="404040" w:themeColor="text1" w:themeTint="BF"/>
    </w:rPr>
  </w:style>
  <w:style w:type="character" w:customStyle="1" w:styleId="QuoteChar">
    <w:name w:val="Quote Char"/>
    <w:basedOn w:val="DefaultParagraphFont"/>
    <w:link w:val="Quote"/>
    <w:uiPriority w:val="29"/>
    <w:rsid w:val="00195B2C"/>
    <w:rPr>
      <w:i/>
      <w:iCs/>
      <w:color w:val="404040" w:themeColor="text1" w:themeTint="BF"/>
    </w:rPr>
  </w:style>
  <w:style w:type="paragraph" w:styleId="ListParagraph">
    <w:name w:val="List Paragraph"/>
    <w:basedOn w:val="Normal"/>
    <w:uiPriority w:val="34"/>
    <w:qFormat/>
    <w:rsid w:val="00195B2C"/>
    <w:pPr>
      <w:ind w:left="720"/>
      <w:contextualSpacing/>
    </w:pPr>
  </w:style>
  <w:style w:type="character" w:styleId="IntenseEmphasis">
    <w:name w:val="Intense Emphasis"/>
    <w:basedOn w:val="DefaultParagraphFont"/>
    <w:uiPriority w:val="21"/>
    <w:qFormat/>
    <w:rsid w:val="00195B2C"/>
    <w:rPr>
      <w:i/>
      <w:iCs/>
      <w:color w:val="0F4761" w:themeColor="accent1" w:themeShade="BF"/>
    </w:rPr>
  </w:style>
  <w:style w:type="paragraph" w:styleId="IntenseQuote">
    <w:name w:val="Intense Quote"/>
    <w:basedOn w:val="Normal"/>
    <w:next w:val="Normal"/>
    <w:link w:val="IntenseQuoteChar"/>
    <w:uiPriority w:val="30"/>
    <w:qFormat/>
    <w:rsid w:val="00195B2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95B2C"/>
    <w:rPr>
      <w:i/>
      <w:iCs/>
      <w:color w:val="0F4761" w:themeColor="accent1" w:themeShade="BF"/>
    </w:rPr>
  </w:style>
  <w:style w:type="character" w:styleId="IntenseReference">
    <w:name w:val="Intense Reference"/>
    <w:basedOn w:val="DefaultParagraphFont"/>
    <w:uiPriority w:val="32"/>
    <w:qFormat/>
    <w:rsid w:val="00195B2C"/>
    <w:rPr>
      <w:b/>
      <w:bCs/>
      <w:smallCaps/>
      <w:color w:val="0F4761" w:themeColor="accent1" w:themeShade="BF"/>
      <w:spacing w:val="5"/>
    </w:rPr>
  </w:style>
  <w:style w:type="character" w:customStyle="1" w:styleId="s1">
    <w:name w:val="s1"/>
    <w:basedOn w:val="DefaultParagraphFont"/>
    <w:rsid w:val="00195B2C"/>
  </w:style>
  <w:style w:type="paragraph" w:customStyle="1" w:styleId="p2">
    <w:name w:val="p2"/>
    <w:basedOn w:val="Normal"/>
    <w:rsid w:val="00195B2C"/>
    <w:pPr>
      <w:spacing w:before="100" w:beforeAutospacing="1" w:after="100" w:afterAutospacing="1" w:line="240" w:lineRule="auto"/>
    </w:pPr>
    <w:rPr>
      <w:rFonts w:ascii="Times New Roman" w:hAnsi="Times New Roman" w:cs="Times New Roman"/>
      <w:kern w:val="0"/>
      <w14:ligatures w14:val="none"/>
    </w:rPr>
  </w:style>
  <w:style w:type="character" w:customStyle="1" w:styleId="s2">
    <w:name w:val="s2"/>
    <w:basedOn w:val="DefaultParagraphFont"/>
    <w:rsid w:val="00195B2C"/>
  </w:style>
  <w:style w:type="paragraph" w:customStyle="1" w:styleId="p3">
    <w:name w:val="p3"/>
    <w:basedOn w:val="Normal"/>
    <w:rsid w:val="00195B2C"/>
    <w:pPr>
      <w:spacing w:before="100" w:beforeAutospacing="1" w:after="100" w:afterAutospacing="1" w:line="240" w:lineRule="auto"/>
    </w:pPr>
    <w:rPr>
      <w:rFonts w:ascii="Times New Roman" w:hAnsi="Times New Roman" w:cs="Times New Roman"/>
      <w:kern w:val="0"/>
      <w14:ligatures w14:val="none"/>
    </w:rPr>
  </w:style>
  <w:style w:type="character" w:customStyle="1" w:styleId="s3">
    <w:name w:val="s3"/>
    <w:basedOn w:val="DefaultParagraphFont"/>
    <w:rsid w:val="00195B2C"/>
  </w:style>
  <w:style w:type="character" w:customStyle="1" w:styleId="s4">
    <w:name w:val="s4"/>
    <w:basedOn w:val="DefaultParagraphFont"/>
    <w:rsid w:val="00195B2C"/>
  </w:style>
  <w:style w:type="character" w:styleId="Hyperlink">
    <w:name w:val="Hyperlink"/>
    <w:basedOn w:val="DefaultParagraphFont"/>
    <w:uiPriority w:val="99"/>
    <w:semiHidden/>
    <w:unhideWhenUsed/>
    <w:rsid w:val="00195B2C"/>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www.simplypsychology.org/maslow.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1793</Words>
  <Characters>10222</Characters>
  <Application>Microsoft Office Word</Application>
  <DocSecurity>0</DocSecurity>
  <Lines>85</Lines>
  <Paragraphs>23</Paragraphs>
  <ScaleCrop>false</ScaleCrop>
  <Company/>
  <LinksUpToDate>false</LinksUpToDate>
  <CharactersWithSpaces>11992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Liya Malik (2415853)</dc:creator>
  <cp:keywords/>
  <dc:description/>
  <cp:lastModifiedBy>Liya Malik (2415853)</cp:lastModifiedBy>
  <cp:revision>2</cp:revision>
  <dcterms:created xsi:type="dcterms:W3CDTF">2025-11-07T11:13:00Z</dcterms:created>
  <dcterms:modified xsi:type="dcterms:W3CDTF">2025-11-07T11:13:00Z</dcterms:modified>
</cp:coreProperties>
</file>