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D4428E" w14:textId="77777777" w:rsidR="00635E2B" w:rsidRPr="008179FB" w:rsidRDefault="00635E2B" w:rsidP="00C05C93">
      <w:pPr>
        <w:spacing w:line="360" w:lineRule="auto"/>
        <w:jc w:val="center"/>
        <w:rPr>
          <w:b/>
          <w:bCs/>
          <w:sz w:val="32"/>
          <w:szCs w:val="32"/>
        </w:rPr>
      </w:pPr>
    </w:p>
    <w:p w14:paraId="0C5049EF" w14:textId="08D16E1D" w:rsidR="00635E2B" w:rsidRPr="008179FB" w:rsidRDefault="00635E2B" w:rsidP="00C05C93">
      <w:pPr>
        <w:spacing w:line="360" w:lineRule="auto"/>
        <w:jc w:val="center"/>
        <w:rPr>
          <w:b/>
          <w:bCs/>
          <w:sz w:val="32"/>
          <w:szCs w:val="32"/>
        </w:rPr>
      </w:pPr>
      <w:r w:rsidRPr="008179FB">
        <w:rPr>
          <w:b/>
          <w:bCs/>
          <w:sz w:val="32"/>
          <w:szCs w:val="32"/>
        </w:rPr>
        <w:t>Component 2</w:t>
      </w:r>
    </w:p>
    <w:p w14:paraId="7F31088C" w14:textId="77777777" w:rsidR="00635E2B" w:rsidRPr="008179FB" w:rsidRDefault="00635E2B" w:rsidP="00C05C93">
      <w:pPr>
        <w:spacing w:line="360" w:lineRule="auto"/>
        <w:jc w:val="center"/>
        <w:rPr>
          <w:b/>
          <w:bCs/>
          <w:sz w:val="32"/>
          <w:szCs w:val="32"/>
        </w:rPr>
      </w:pPr>
    </w:p>
    <w:p w14:paraId="09E5906E" w14:textId="4B0CFAFC" w:rsidR="00635E2B" w:rsidRPr="008179FB" w:rsidRDefault="008179FB" w:rsidP="008179FB">
      <w:pPr>
        <w:spacing w:line="360" w:lineRule="auto"/>
        <w:jc w:val="center"/>
        <w:rPr>
          <w:b/>
          <w:bCs/>
          <w:sz w:val="32"/>
          <w:szCs w:val="32"/>
        </w:rPr>
      </w:pPr>
      <w:r w:rsidRPr="008179FB">
        <w:rPr>
          <w:b/>
          <w:bCs/>
          <w:sz w:val="32"/>
          <w:szCs w:val="32"/>
        </w:rPr>
        <w:t>A Critical Analysis of SDG 3: Good Health and Wellbeing and SDG 10: Reduced Inequalities in Improving Health and Wellbeing</w:t>
      </w:r>
    </w:p>
    <w:p w14:paraId="46E27014" w14:textId="77777777" w:rsidR="00635E2B" w:rsidRPr="008179FB" w:rsidRDefault="00635E2B" w:rsidP="00C05C93">
      <w:pPr>
        <w:spacing w:line="360" w:lineRule="auto"/>
        <w:jc w:val="center"/>
        <w:rPr>
          <w:b/>
          <w:bCs/>
          <w:sz w:val="32"/>
          <w:szCs w:val="32"/>
        </w:rPr>
      </w:pPr>
    </w:p>
    <w:p w14:paraId="77F277DE" w14:textId="1DA77B98" w:rsidR="00635E2B" w:rsidRPr="008179FB" w:rsidRDefault="00635E2B" w:rsidP="00C05C93">
      <w:pPr>
        <w:spacing w:line="360" w:lineRule="auto"/>
        <w:jc w:val="center"/>
        <w:rPr>
          <w:b/>
          <w:bCs/>
          <w:sz w:val="32"/>
          <w:szCs w:val="32"/>
          <w:lang w:val="nl-NL"/>
        </w:rPr>
      </w:pPr>
      <w:r w:rsidRPr="008179FB">
        <w:rPr>
          <w:b/>
          <w:bCs/>
          <w:sz w:val="32"/>
          <w:szCs w:val="32"/>
          <w:lang w:val="nl-NL"/>
        </w:rPr>
        <w:t>Student Name: Razia Khan</w:t>
      </w:r>
    </w:p>
    <w:p w14:paraId="2BED803A" w14:textId="57C553D3" w:rsidR="00635E2B" w:rsidRPr="008179FB" w:rsidRDefault="00635E2B" w:rsidP="00C05C93">
      <w:pPr>
        <w:spacing w:line="360" w:lineRule="auto"/>
        <w:jc w:val="center"/>
        <w:rPr>
          <w:b/>
          <w:bCs/>
          <w:sz w:val="32"/>
          <w:szCs w:val="32"/>
          <w:lang w:val="nl-NL"/>
        </w:rPr>
      </w:pPr>
      <w:r w:rsidRPr="008179FB">
        <w:rPr>
          <w:b/>
          <w:bCs/>
          <w:sz w:val="32"/>
          <w:szCs w:val="32"/>
          <w:lang w:val="nl-NL"/>
        </w:rPr>
        <w:t>Student ID: 2313058</w:t>
      </w:r>
    </w:p>
    <w:p w14:paraId="515CFF38" w14:textId="77777777" w:rsidR="00635E2B" w:rsidRPr="008179FB" w:rsidRDefault="00635E2B" w:rsidP="00C05C93">
      <w:pPr>
        <w:spacing w:line="360" w:lineRule="auto"/>
        <w:jc w:val="center"/>
        <w:rPr>
          <w:b/>
          <w:bCs/>
          <w:sz w:val="32"/>
          <w:szCs w:val="32"/>
        </w:rPr>
      </w:pPr>
      <w:r w:rsidRPr="008179FB">
        <w:rPr>
          <w:b/>
          <w:bCs/>
          <w:sz w:val="32"/>
          <w:szCs w:val="32"/>
        </w:rPr>
        <w:t>BMHP6030 - Health, Wellbeing and Sustainable Development</w:t>
      </w:r>
    </w:p>
    <w:p w14:paraId="26986D76" w14:textId="77777777" w:rsidR="00B01D41" w:rsidRPr="00BE237E" w:rsidRDefault="00B01D41" w:rsidP="000C33B7">
      <w:pPr>
        <w:spacing w:line="360" w:lineRule="auto"/>
        <w:rPr>
          <w:sz w:val="22"/>
          <w:szCs w:val="22"/>
        </w:rPr>
      </w:pPr>
    </w:p>
    <w:p w14:paraId="273F0E9E" w14:textId="77777777" w:rsidR="00B01D41" w:rsidRPr="00BE237E" w:rsidRDefault="00B01D41" w:rsidP="000C33B7">
      <w:pPr>
        <w:spacing w:line="360" w:lineRule="auto"/>
        <w:rPr>
          <w:sz w:val="22"/>
          <w:szCs w:val="22"/>
        </w:rPr>
      </w:pPr>
    </w:p>
    <w:p w14:paraId="71A9B671" w14:textId="77777777" w:rsidR="00F4379F" w:rsidRPr="00BE237E" w:rsidRDefault="00F4379F" w:rsidP="000C33B7">
      <w:pPr>
        <w:spacing w:line="360" w:lineRule="auto"/>
        <w:rPr>
          <w:sz w:val="22"/>
          <w:szCs w:val="22"/>
        </w:rPr>
      </w:pPr>
    </w:p>
    <w:p w14:paraId="3A02C8E1" w14:textId="77777777" w:rsidR="00F4379F" w:rsidRPr="00BE237E" w:rsidRDefault="00F4379F" w:rsidP="000C33B7">
      <w:pPr>
        <w:spacing w:line="360" w:lineRule="auto"/>
        <w:rPr>
          <w:sz w:val="22"/>
          <w:szCs w:val="22"/>
        </w:rPr>
      </w:pPr>
    </w:p>
    <w:p w14:paraId="341D6EF3" w14:textId="77777777" w:rsidR="00F4379F" w:rsidRPr="00BE237E" w:rsidRDefault="00F4379F" w:rsidP="000C33B7">
      <w:pPr>
        <w:spacing w:line="360" w:lineRule="auto"/>
        <w:rPr>
          <w:sz w:val="22"/>
          <w:szCs w:val="22"/>
        </w:rPr>
      </w:pPr>
    </w:p>
    <w:p w14:paraId="036EC1ED" w14:textId="77777777" w:rsidR="00F4379F" w:rsidRPr="00BE237E" w:rsidRDefault="00F4379F" w:rsidP="000C33B7">
      <w:pPr>
        <w:spacing w:line="360" w:lineRule="auto"/>
        <w:rPr>
          <w:sz w:val="22"/>
          <w:szCs w:val="22"/>
        </w:rPr>
      </w:pPr>
    </w:p>
    <w:p w14:paraId="1BDB5F34" w14:textId="77777777" w:rsidR="00F4379F" w:rsidRPr="00BE237E" w:rsidRDefault="00F4379F" w:rsidP="000C33B7">
      <w:pPr>
        <w:spacing w:line="360" w:lineRule="auto"/>
        <w:rPr>
          <w:sz w:val="22"/>
          <w:szCs w:val="22"/>
        </w:rPr>
      </w:pPr>
    </w:p>
    <w:p w14:paraId="32A11950" w14:textId="77777777" w:rsidR="00F4379F" w:rsidRPr="00BE237E" w:rsidRDefault="00F4379F" w:rsidP="000C33B7">
      <w:pPr>
        <w:spacing w:line="360" w:lineRule="auto"/>
        <w:rPr>
          <w:sz w:val="22"/>
          <w:szCs w:val="22"/>
        </w:rPr>
      </w:pPr>
    </w:p>
    <w:p w14:paraId="76A0947B" w14:textId="77777777" w:rsidR="00F4379F" w:rsidRPr="00BE237E" w:rsidRDefault="00F4379F" w:rsidP="000C33B7">
      <w:pPr>
        <w:spacing w:line="360" w:lineRule="auto"/>
        <w:rPr>
          <w:sz w:val="22"/>
          <w:szCs w:val="22"/>
        </w:rPr>
      </w:pPr>
    </w:p>
    <w:p w14:paraId="3A2F83B4" w14:textId="77777777" w:rsidR="00F4379F" w:rsidRPr="00BE237E" w:rsidRDefault="00F4379F" w:rsidP="000C33B7">
      <w:pPr>
        <w:spacing w:line="360" w:lineRule="auto"/>
        <w:rPr>
          <w:sz w:val="22"/>
          <w:szCs w:val="22"/>
        </w:rPr>
      </w:pPr>
    </w:p>
    <w:p w14:paraId="2FA8DB8A" w14:textId="77777777" w:rsidR="00F4379F" w:rsidRPr="00BE237E" w:rsidRDefault="00F4379F" w:rsidP="000C33B7">
      <w:pPr>
        <w:spacing w:line="360" w:lineRule="auto"/>
        <w:rPr>
          <w:sz w:val="22"/>
          <w:szCs w:val="22"/>
        </w:rPr>
      </w:pPr>
    </w:p>
    <w:sdt>
      <w:sdtPr>
        <w:rPr>
          <w:rFonts w:asciiTheme="minorBidi" w:eastAsiaTheme="minorHAnsi" w:hAnsiTheme="minorBidi" w:cstheme="minorBidi"/>
          <w:color w:val="auto"/>
          <w:sz w:val="22"/>
          <w:szCs w:val="22"/>
          <w:lang w:val="en-GB"/>
          <w14:ligatures w14:val="standardContextual"/>
        </w:rPr>
        <w:id w:val="1141389264"/>
        <w:docPartObj>
          <w:docPartGallery w:val="Table of Contents"/>
          <w:docPartUnique/>
        </w:docPartObj>
      </w:sdtPr>
      <w:sdtEndPr>
        <w:rPr>
          <w:b/>
          <w:bCs/>
          <w:noProof/>
        </w:rPr>
      </w:sdtEndPr>
      <w:sdtContent>
        <w:p w14:paraId="45D1EDD0" w14:textId="3F0E489C" w:rsidR="00F4379F" w:rsidRPr="00BE237E" w:rsidRDefault="00F4379F" w:rsidP="00EB6555">
          <w:pPr>
            <w:pStyle w:val="TOCHeading"/>
            <w:spacing w:line="360" w:lineRule="auto"/>
            <w:jc w:val="center"/>
            <w:rPr>
              <w:rFonts w:asciiTheme="minorBidi" w:hAnsiTheme="minorBidi" w:cstheme="minorBidi"/>
              <w:b/>
              <w:bCs/>
              <w:color w:val="auto"/>
              <w:sz w:val="22"/>
              <w:szCs w:val="22"/>
              <w:lang w:val="en-GB"/>
            </w:rPr>
          </w:pPr>
          <w:r w:rsidRPr="00BE237E">
            <w:rPr>
              <w:rFonts w:asciiTheme="minorBidi" w:hAnsiTheme="minorBidi" w:cstheme="minorBidi"/>
              <w:b/>
              <w:bCs/>
              <w:color w:val="auto"/>
              <w:sz w:val="22"/>
              <w:szCs w:val="22"/>
              <w:lang w:val="en-GB"/>
            </w:rPr>
            <w:t>Contents</w:t>
          </w:r>
        </w:p>
        <w:p w14:paraId="1A6B2962" w14:textId="5EA384B4" w:rsidR="00F4379F" w:rsidRPr="00BE237E" w:rsidRDefault="00F4379F" w:rsidP="000C33B7">
          <w:pPr>
            <w:pStyle w:val="TOC1"/>
            <w:tabs>
              <w:tab w:val="left" w:pos="480"/>
              <w:tab w:val="right" w:leader="dot" w:pos="9350"/>
            </w:tabs>
            <w:spacing w:line="360" w:lineRule="auto"/>
            <w:rPr>
              <w:noProof/>
              <w:sz w:val="22"/>
              <w:szCs w:val="22"/>
            </w:rPr>
          </w:pPr>
          <w:r w:rsidRPr="00BE237E">
            <w:rPr>
              <w:sz w:val="22"/>
              <w:szCs w:val="22"/>
            </w:rPr>
            <w:fldChar w:fldCharType="begin"/>
          </w:r>
          <w:r w:rsidRPr="00BE237E">
            <w:rPr>
              <w:sz w:val="22"/>
              <w:szCs w:val="22"/>
            </w:rPr>
            <w:instrText xml:space="preserve"> TOC \o "1-3" \h \z \u </w:instrText>
          </w:r>
          <w:r w:rsidRPr="00BE237E">
            <w:rPr>
              <w:sz w:val="22"/>
              <w:szCs w:val="22"/>
            </w:rPr>
            <w:fldChar w:fldCharType="separate"/>
          </w:r>
          <w:hyperlink w:anchor="_Toc234365129" w:history="1">
            <w:r w:rsidRPr="00BE237E">
              <w:rPr>
                <w:rStyle w:val="Hyperlink"/>
                <w:noProof/>
                <w:sz w:val="22"/>
                <w:szCs w:val="22"/>
              </w:rPr>
              <w:t>1.</w:t>
            </w:r>
            <w:r w:rsidRPr="00BE237E">
              <w:rPr>
                <w:noProof/>
                <w:sz w:val="22"/>
                <w:szCs w:val="22"/>
              </w:rPr>
              <w:tab/>
            </w:r>
            <w:r w:rsidRPr="00BE237E">
              <w:rPr>
                <w:rStyle w:val="Hyperlink"/>
                <w:noProof/>
                <w:sz w:val="22"/>
                <w:szCs w:val="22"/>
              </w:rPr>
              <w:t>Introduction</w:t>
            </w:r>
            <w:r w:rsidRPr="00BE237E">
              <w:rPr>
                <w:noProof/>
                <w:webHidden/>
                <w:sz w:val="22"/>
                <w:szCs w:val="22"/>
              </w:rPr>
              <w:tab/>
            </w:r>
            <w:r w:rsidRPr="00BE237E">
              <w:rPr>
                <w:noProof/>
                <w:webHidden/>
                <w:sz w:val="22"/>
                <w:szCs w:val="22"/>
              </w:rPr>
              <w:fldChar w:fldCharType="begin"/>
            </w:r>
            <w:r w:rsidRPr="00BE237E">
              <w:rPr>
                <w:noProof/>
                <w:webHidden/>
                <w:sz w:val="22"/>
                <w:szCs w:val="22"/>
              </w:rPr>
              <w:instrText xml:space="preserve"> PAGEREF _Toc234365129 \h </w:instrText>
            </w:r>
            <w:r w:rsidRPr="00BE237E">
              <w:rPr>
                <w:noProof/>
                <w:webHidden/>
                <w:sz w:val="22"/>
                <w:szCs w:val="22"/>
              </w:rPr>
            </w:r>
            <w:r w:rsidRPr="00BE237E">
              <w:rPr>
                <w:noProof/>
                <w:webHidden/>
                <w:sz w:val="22"/>
                <w:szCs w:val="22"/>
              </w:rPr>
              <w:fldChar w:fldCharType="separate"/>
            </w:r>
            <w:r w:rsidRPr="00BE237E">
              <w:rPr>
                <w:noProof/>
                <w:webHidden/>
                <w:sz w:val="22"/>
                <w:szCs w:val="22"/>
              </w:rPr>
              <w:t>2</w:t>
            </w:r>
            <w:r w:rsidRPr="00BE237E">
              <w:rPr>
                <w:noProof/>
                <w:webHidden/>
                <w:sz w:val="22"/>
                <w:szCs w:val="22"/>
              </w:rPr>
              <w:fldChar w:fldCharType="end"/>
            </w:r>
          </w:hyperlink>
        </w:p>
        <w:p w14:paraId="1C1F66A7" w14:textId="64A1D502" w:rsidR="00F4379F" w:rsidRPr="00BE237E" w:rsidRDefault="00F4379F" w:rsidP="000C33B7">
          <w:pPr>
            <w:pStyle w:val="TOC1"/>
            <w:tabs>
              <w:tab w:val="left" w:pos="480"/>
              <w:tab w:val="right" w:leader="dot" w:pos="9350"/>
            </w:tabs>
            <w:spacing w:line="360" w:lineRule="auto"/>
            <w:rPr>
              <w:noProof/>
              <w:sz w:val="22"/>
              <w:szCs w:val="22"/>
            </w:rPr>
          </w:pPr>
          <w:hyperlink w:anchor="_Toc234365130" w:history="1">
            <w:r w:rsidRPr="00BE237E">
              <w:rPr>
                <w:rStyle w:val="Hyperlink"/>
                <w:noProof/>
                <w:sz w:val="22"/>
                <w:szCs w:val="22"/>
              </w:rPr>
              <w:t>2.</w:t>
            </w:r>
            <w:r w:rsidRPr="00BE237E">
              <w:rPr>
                <w:noProof/>
                <w:sz w:val="22"/>
                <w:szCs w:val="22"/>
              </w:rPr>
              <w:tab/>
            </w:r>
            <w:r w:rsidRPr="00BE237E">
              <w:rPr>
                <w:rStyle w:val="Hyperlink"/>
                <w:noProof/>
                <w:sz w:val="22"/>
                <w:szCs w:val="22"/>
              </w:rPr>
              <w:t>Section 1 – SDG 3: Good Health and Wellbeing</w:t>
            </w:r>
            <w:r w:rsidRPr="00BE237E">
              <w:rPr>
                <w:noProof/>
                <w:webHidden/>
                <w:sz w:val="22"/>
                <w:szCs w:val="22"/>
              </w:rPr>
              <w:tab/>
            </w:r>
            <w:r w:rsidRPr="00BE237E">
              <w:rPr>
                <w:noProof/>
                <w:webHidden/>
                <w:sz w:val="22"/>
                <w:szCs w:val="22"/>
              </w:rPr>
              <w:fldChar w:fldCharType="begin"/>
            </w:r>
            <w:r w:rsidRPr="00BE237E">
              <w:rPr>
                <w:noProof/>
                <w:webHidden/>
                <w:sz w:val="22"/>
                <w:szCs w:val="22"/>
              </w:rPr>
              <w:instrText xml:space="preserve"> PAGEREF _Toc234365130 \h </w:instrText>
            </w:r>
            <w:r w:rsidRPr="00BE237E">
              <w:rPr>
                <w:noProof/>
                <w:webHidden/>
                <w:sz w:val="22"/>
                <w:szCs w:val="22"/>
              </w:rPr>
            </w:r>
            <w:r w:rsidRPr="00BE237E">
              <w:rPr>
                <w:noProof/>
                <w:webHidden/>
                <w:sz w:val="22"/>
                <w:szCs w:val="22"/>
              </w:rPr>
              <w:fldChar w:fldCharType="separate"/>
            </w:r>
            <w:r w:rsidRPr="00BE237E">
              <w:rPr>
                <w:noProof/>
                <w:webHidden/>
                <w:sz w:val="22"/>
                <w:szCs w:val="22"/>
              </w:rPr>
              <w:t>4</w:t>
            </w:r>
            <w:r w:rsidRPr="00BE237E">
              <w:rPr>
                <w:noProof/>
                <w:webHidden/>
                <w:sz w:val="22"/>
                <w:szCs w:val="22"/>
              </w:rPr>
              <w:fldChar w:fldCharType="end"/>
            </w:r>
          </w:hyperlink>
        </w:p>
        <w:p w14:paraId="7BB1C42B" w14:textId="4F200655" w:rsidR="00F4379F" w:rsidRPr="00BE237E" w:rsidRDefault="00F4379F" w:rsidP="000C33B7">
          <w:pPr>
            <w:pStyle w:val="TOC2"/>
            <w:tabs>
              <w:tab w:val="left" w:pos="960"/>
              <w:tab w:val="right" w:leader="dot" w:pos="9350"/>
            </w:tabs>
            <w:spacing w:line="360" w:lineRule="auto"/>
            <w:rPr>
              <w:noProof/>
              <w:sz w:val="22"/>
              <w:szCs w:val="22"/>
            </w:rPr>
          </w:pPr>
          <w:hyperlink w:anchor="_Toc234365131" w:history="1">
            <w:r w:rsidRPr="00BE237E">
              <w:rPr>
                <w:rStyle w:val="Hyperlink"/>
                <w:noProof/>
                <w:sz w:val="22"/>
                <w:szCs w:val="22"/>
              </w:rPr>
              <w:t>2.1.</w:t>
            </w:r>
            <w:r w:rsidRPr="00BE237E">
              <w:rPr>
                <w:noProof/>
                <w:sz w:val="22"/>
                <w:szCs w:val="22"/>
              </w:rPr>
              <w:tab/>
            </w:r>
            <w:r w:rsidRPr="00BE237E">
              <w:rPr>
                <w:rStyle w:val="Hyperlink"/>
                <w:noProof/>
                <w:sz w:val="22"/>
                <w:szCs w:val="22"/>
              </w:rPr>
              <w:t>Overview of SDG 3</w:t>
            </w:r>
            <w:r w:rsidRPr="00BE237E">
              <w:rPr>
                <w:noProof/>
                <w:webHidden/>
                <w:sz w:val="22"/>
                <w:szCs w:val="22"/>
              </w:rPr>
              <w:tab/>
            </w:r>
            <w:r w:rsidRPr="00BE237E">
              <w:rPr>
                <w:noProof/>
                <w:webHidden/>
                <w:sz w:val="22"/>
                <w:szCs w:val="22"/>
              </w:rPr>
              <w:fldChar w:fldCharType="begin"/>
            </w:r>
            <w:r w:rsidRPr="00BE237E">
              <w:rPr>
                <w:noProof/>
                <w:webHidden/>
                <w:sz w:val="22"/>
                <w:szCs w:val="22"/>
              </w:rPr>
              <w:instrText xml:space="preserve"> PAGEREF _Toc234365131 \h </w:instrText>
            </w:r>
            <w:r w:rsidRPr="00BE237E">
              <w:rPr>
                <w:noProof/>
                <w:webHidden/>
                <w:sz w:val="22"/>
                <w:szCs w:val="22"/>
              </w:rPr>
            </w:r>
            <w:r w:rsidRPr="00BE237E">
              <w:rPr>
                <w:noProof/>
                <w:webHidden/>
                <w:sz w:val="22"/>
                <w:szCs w:val="22"/>
              </w:rPr>
              <w:fldChar w:fldCharType="separate"/>
            </w:r>
            <w:r w:rsidRPr="00BE237E">
              <w:rPr>
                <w:noProof/>
                <w:webHidden/>
                <w:sz w:val="22"/>
                <w:szCs w:val="22"/>
              </w:rPr>
              <w:t>4</w:t>
            </w:r>
            <w:r w:rsidRPr="00BE237E">
              <w:rPr>
                <w:noProof/>
                <w:webHidden/>
                <w:sz w:val="22"/>
                <w:szCs w:val="22"/>
              </w:rPr>
              <w:fldChar w:fldCharType="end"/>
            </w:r>
          </w:hyperlink>
        </w:p>
        <w:p w14:paraId="6DBFABF7" w14:textId="7FDFE647" w:rsidR="00F4379F" w:rsidRPr="00BE237E" w:rsidRDefault="00F4379F" w:rsidP="000C33B7">
          <w:pPr>
            <w:pStyle w:val="TOC2"/>
            <w:tabs>
              <w:tab w:val="left" w:pos="960"/>
              <w:tab w:val="right" w:leader="dot" w:pos="9350"/>
            </w:tabs>
            <w:spacing w:line="360" w:lineRule="auto"/>
            <w:rPr>
              <w:noProof/>
              <w:sz w:val="22"/>
              <w:szCs w:val="22"/>
            </w:rPr>
          </w:pPr>
          <w:hyperlink w:anchor="_Toc234365132" w:history="1">
            <w:r w:rsidRPr="00BE237E">
              <w:rPr>
                <w:rStyle w:val="Hyperlink"/>
                <w:noProof/>
                <w:sz w:val="22"/>
                <w:szCs w:val="22"/>
              </w:rPr>
              <w:t>2.2.</w:t>
            </w:r>
            <w:r w:rsidRPr="00BE237E">
              <w:rPr>
                <w:noProof/>
                <w:sz w:val="22"/>
                <w:szCs w:val="22"/>
              </w:rPr>
              <w:tab/>
            </w:r>
            <w:r w:rsidRPr="00BE237E">
              <w:rPr>
                <w:rStyle w:val="Hyperlink"/>
                <w:noProof/>
                <w:sz w:val="22"/>
                <w:szCs w:val="22"/>
              </w:rPr>
              <w:t>Global Policies</w:t>
            </w:r>
            <w:r w:rsidRPr="00BE237E">
              <w:rPr>
                <w:noProof/>
                <w:webHidden/>
                <w:sz w:val="22"/>
                <w:szCs w:val="22"/>
              </w:rPr>
              <w:tab/>
            </w:r>
            <w:r w:rsidRPr="00BE237E">
              <w:rPr>
                <w:noProof/>
                <w:webHidden/>
                <w:sz w:val="22"/>
                <w:szCs w:val="22"/>
              </w:rPr>
              <w:fldChar w:fldCharType="begin"/>
            </w:r>
            <w:r w:rsidRPr="00BE237E">
              <w:rPr>
                <w:noProof/>
                <w:webHidden/>
                <w:sz w:val="22"/>
                <w:szCs w:val="22"/>
              </w:rPr>
              <w:instrText xml:space="preserve"> PAGEREF _Toc234365132 \h </w:instrText>
            </w:r>
            <w:r w:rsidRPr="00BE237E">
              <w:rPr>
                <w:noProof/>
                <w:webHidden/>
                <w:sz w:val="22"/>
                <w:szCs w:val="22"/>
              </w:rPr>
            </w:r>
            <w:r w:rsidRPr="00BE237E">
              <w:rPr>
                <w:noProof/>
                <w:webHidden/>
                <w:sz w:val="22"/>
                <w:szCs w:val="22"/>
              </w:rPr>
              <w:fldChar w:fldCharType="separate"/>
            </w:r>
            <w:r w:rsidRPr="00BE237E">
              <w:rPr>
                <w:noProof/>
                <w:webHidden/>
                <w:sz w:val="22"/>
                <w:szCs w:val="22"/>
              </w:rPr>
              <w:t>4</w:t>
            </w:r>
            <w:r w:rsidRPr="00BE237E">
              <w:rPr>
                <w:noProof/>
                <w:webHidden/>
                <w:sz w:val="22"/>
                <w:szCs w:val="22"/>
              </w:rPr>
              <w:fldChar w:fldCharType="end"/>
            </w:r>
          </w:hyperlink>
        </w:p>
        <w:p w14:paraId="6D3516CB" w14:textId="41ABFFEF" w:rsidR="00F4379F" w:rsidRPr="00BE237E" w:rsidRDefault="00F4379F" w:rsidP="000C33B7">
          <w:pPr>
            <w:pStyle w:val="TOC2"/>
            <w:tabs>
              <w:tab w:val="left" w:pos="960"/>
              <w:tab w:val="right" w:leader="dot" w:pos="9350"/>
            </w:tabs>
            <w:spacing w:line="360" w:lineRule="auto"/>
            <w:rPr>
              <w:noProof/>
              <w:sz w:val="22"/>
              <w:szCs w:val="22"/>
            </w:rPr>
          </w:pPr>
          <w:hyperlink w:anchor="_Toc234365133" w:history="1">
            <w:r w:rsidRPr="00BE237E">
              <w:rPr>
                <w:rStyle w:val="Hyperlink"/>
                <w:noProof/>
                <w:sz w:val="22"/>
                <w:szCs w:val="22"/>
              </w:rPr>
              <w:t>2.3.</w:t>
            </w:r>
            <w:r w:rsidRPr="00BE237E">
              <w:rPr>
                <w:noProof/>
                <w:sz w:val="22"/>
                <w:szCs w:val="22"/>
              </w:rPr>
              <w:tab/>
            </w:r>
            <w:r w:rsidRPr="00BE237E">
              <w:rPr>
                <w:rStyle w:val="Hyperlink"/>
                <w:noProof/>
                <w:sz w:val="22"/>
                <w:szCs w:val="22"/>
              </w:rPr>
              <w:t>UK National Policies</w:t>
            </w:r>
            <w:r w:rsidRPr="00BE237E">
              <w:rPr>
                <w:noProof/>
                <w:webHidden/>
                <w:sz w:val="22"/>
                <w:szCs w:val="22"/>
              </w:rPr>
              <w:tab/>
            </w:r>
            <w:r w:rsidRPr="00BE237E">
              <w:rPr>
                <w:noProof/>
                <w:webHidden/>
                <w:sz w:val="22"/>
                <w:szCs w:val="22"/>
              </w:rPr>
              <w:fldChar w:fldCharType="begin"/>
            </w:r>
            <w:r w:rsidRPr="00BE237E">
              <w:rPr>
                <w:noProof/>
                <w:webHidden/>
                <w:sz w:val="22"/>
                <w:szCs w:val="22"/>
              </w:rPr>
              <w:instrText xml:space="preserve"> PAGEREF _Toc234365133 \h </w:instrText>
            </w:r>
            <w:r w:rsidRPr="00BE237E">
              <w:rPr>
                <w:noProof/>
                <w:webHidden/>
                <w:sz w:val="22"/>
                <w:szCs w:val="22"/>
              </w:rPr>
            </w:r>
            <w:r w:rsidRPr="00BE237E">
              <w:rPr>
                <w:noProof/>
                <w:webHidden/>
                <w:sz w:val="22"/>
                <w:szCs w:val="22"/>
              </w:rPr>
              <w:fldChar w:fldCharType="separate"/>
            </w:r>
            <w:r w:rsidRPr="00BE237E">
              <w:rPr>
                <w:noProof/>
                <w:webHidden/>
                <w:sz w:val="22"/>
                <w:szCs w:val="22"/>
              </w:rPr>
              <w:t>5</w:t>
            </w:r>
            <w:r w:rsidRPr="00BE237E">
              <w:rPr>
                <w:noProof/>
                <w:webHidden/>
                <w:sz w:val="22"/>
                <w:szCs w:val="22"/>
              </w:rPr>
              <w:fldChar w:fldCharType="end"/>
            </w:r>
          </w:hyperlink>
        </w:p>
        <w:p w14:paraId="28B85186" w14:textId="01ABE0F1" w:rsidR="00F4379F" w:rsidRPr="00BE237E" w:rsidRDefault="00F4379F" w:rsidP="000C33B7">
          <w:pPr>
            <w:pStyle w:val="TOC2"/>
            <w:tabs>
              <w:tab w:val="left" w:pos="960"/>
              <w:tab w:val="right" w:leader="dot" w:pos="9350"/>
            </w:tabs>
            <w:spacing w:line="360" w:lineRule="auto"/>
            <w:rPr>
              <w:noProof/>
              <w:sz w:val="22"/>
              <w:szCs w:val="22"/>
            </w:rPr>
          </w:pPr>
          <w:hyperlink w:anchor="_Toc234365134" w:history="1">
            <w:r w:rsidRPr="00BE237E">
              <w:rPr>
                <w:rStyle w:val="Hyperlink"/>
                <w:noProof/>
                <w:sz w:val="22"/>
                <w:szCs w:val="22"/>
              </w:rPr>
              <w:t>2.4.</w:t>
            </w:r>
            <w:r w:rsidRPr="00BE237E">
              <w:rPr>
                <w:noProof/>
                <w:sz w:val="22"/>
                <w:szCs w:val="22"/>
              </w:rPr>
              <w:tab/>
            </w:r>
            <w:r w:rsidRPr="00BE237E">
              <w:rPr>
                <w:rStyle w:val="Hyperlink"/>
                <w:noProof/>
                <w:sz w:val="22"/>
                <w:szCs w:val="22"/>
              </w:rPr>
              <w:t>Local Policy</w:t>
            </w:r>
            <w:r w:rsidRPr="00BE237E">
              <w:rPr>
                <w:noProof/>
                <w:webHidden/>
                <w:sz w:val="22"/>
                <w:szCs w:val="22"/>
              </w:rPr>
              <w:tab/>
            </w:r>
            <w:r w:rsidRPr="00BE237E">
              <w:rPr>
                <w:noProof/>
                <w:webHidden/>
                <w:sz w:val="22"/>
                <w:szCs w:val="22"/>
              </w:rPr>
              <w:fldChar w:fldCharType="begin"/>
            </w:r>
            <w:r w:rsidRPr="00BE237E">
              <w:rPr>
                <w:noProof/>
                <w:webHidden/>
                <w:sz w:val="22"/>
                <w:szCs w:val="22"/>
              </w:rPr>
              <w:instrText xml:space="preserve"> PAGEREF _Toc234365134 \h </w:instrText>
            </w:r>
            <w:r w:rsidRPr="00BE237E">
              <w:rPr>
                <w:noProof/>
                <w:webHidden/>
                <w:sz w:val="22"/>
                <w:szCs w:val="22"/>
              </w:rPr>
            </w:r>
            <w:r w:rsidRPr="00BE237E">
              <w:rPr>
                <w:noProof/>
                <w:webHidden/>
                <w:sz w:val="22"/>
                <w:szCs w:val="22"/>
              </w:rPr>
              <w:fldChar w:fldCharType="separate"/>
            </w:r>
            <w:r w:rsidRPr="00BE237E">
              <w:rPr>
                <w:noProof/>
                <w:webHidden/>
                <w:sz w:val="22"/>
                <w:szCs w:val="22"/>
              </w:rPr>
              <w:t>7</w:t>
            </w:r>
            <w:r w:rsidRPr="00BE237E">
              <w:rPr>
                <w:noProof/>
                <w:webHidden/>
                <w:sz w:val="22"/>
                <w:szCs w:val="22"/>
              </w:rPr>
              <w:fldChar w:fldCharType="end"/>
            </w:r>
          </w:hyperlink>
        </w:p>
        <w:p w14:paraId="421C4B2F" w14:textId="0FA6E545" w:rsidR="00F4379F" w:rsidRPr="00BE237E" w:rsidRDefault="00F4379F" w:rsidP="000C33B7">
          <w:pPr>
            <w:pStyle w:val="TOC2"/>
            <w:tabs>
              <w:tab w:val="left" w:pos="960"/>
              <w:tab w:val="right" w:leader="dot" w:pos="9350"/>
            </w:tabs>
            <w:spacing w:line="360" w:lineRule="auto"/>
            <w:rPr>
              <w:noProof/>
              <w:sz w:val="22"/>
              <w:szCs w:val="22"/>
            </w:rPr>
          </w:pPr>
          <w:hyperlink w:anchor="_Toc234365135" w:history="1">
            <w:r w:rsidRPr="00BE237E">
              <w:rPr>
                <w:rStyle w:val="Hyperlink"/>
                <w:noProof/>
                <w:sz w:val="22"/>
                <w:szCs w:val="22"/>
              </w:rPr>
              <w:t>2.5.</w:t>
            </w:r>
            <w:r w:rsidRPr="00BE237E">
              <w:rPr>
                <w:noProof/>
                <w:sz w:val="22"/>
                <w:szCs w:val="22"/>
              </w:rPr>
              <w:tab/>
            </w:r>
            <w:r w:rsidRPr="00BE237E">
              <w:rPr>
                <w:rStyle w:val="Hyperlink"/>
                <w:noProof/>
                <w:sz w:val="22"/>
                <w:szCs w:val="22"/>
              </w:rPr>
              <w:t>Critical Evaluation</w:t>
            </w:r>
            <w:r w:rsidRPr="00BE237E">
              <w:rPr>
                <w:noProof/>
                <w:webHidden/>
                <w:sz w:val="22"/>
                <w:szCs w:val="22"/>
              </w:rPr>
              <w:tab/>
            </w:r>
            <w:r w:rsidRPr="00BE237E">
              <w:rPr>
                <w:noProof/>
                <w:webHidden/>
                <w:sz w:val="22"/>
                <w:szCs w:val="22"/>
              </w:rPr>
              <w:fldChar w:fldCharType="begin"/>
            </w:r>
            <w:r w:rsidRPr="00BE237E">
              <w:rPr>
                <w:noProof/>
                <w:webHidden/>
                <w:sz w:val="22"/>
                <w:szCs w:val="22"/>
              </w:rPr>
              <w:instrText xml:space="preserve"> PAGEREF _Toc234365135 \h </w:instrText>
            </w:r>
            <w:r w:rsidRPr="00BE237E">
              <w:rPr>
                <w:noProof/>
                <w:webHidden/>
                <w:sz w:val="22"/>
                <w:szCs w:val="22"/>
              </w:rPr>
            </w:r>
            <w:r w:rsidRPr="00BE237E">
              <w:rPr>
                <w:noProof/>
                <w:webHidden/>
                <w:sz w:val="22"/>
                <w:szCs w:val="22"/>
              </w:rPr>
              <w:fldChar w:fldCharType="separate"/>
            </w:r>
            <w:r w:rsidRPr="00BE237E">
              <w:rPr>
                <w:noProof/>
                <w:webHidden/>
                <w:sz w:val="22"/>
                <w:szCs w:val="22"/>
              </w:rPr>
              <w:t>8</w:t>
            </w:r>
            <w:r w:rsidRPr="00BE237E">
              <w:rPr>
                <w:noProof/>
                <w:webHidden/>
                <w:sz w:val="22"/>
                <w:szCs w:val="22"/>
              </w:rPr>
              <w:fldChar w:fldCharType="end"/>
            </w:r>
          </w:hyperlink>
        </w:p>
        <w:p w14:paraId="527D2B2E" w14:textId="3DCE8A5D" w:rsidR="00F4379F" w:rsidRPr="00BE237E" w:rsidRDefault="00F4379F" w:rsidP="000C33B7">
          <w:pPr>
            <w:pStyle w:val="TOC2"/>
            <w:tabs>
              <w:tab w:val="left" w:pos="960"/>
              <w:tab w:val="right" w:leader="dot" w:pos="9350"/>
            </w:tabs>
            <w:spacing w:line="360" w:lineRule="auto"/>
            <w:rPr>
              <w:noProof/>
              <w:sz w:val="22"/>
              <w:szCs w:val="22"/>
            </w:rPr>
          </w:pPr>
          <w:hyperlink w:anchor="_Toc234365136" w:history="1">
            <w:r w:rsidRPr="00BE237E">
              <w:rPr>
                <w:rStyle w:val="Hyperlink"/>
                <w:noProof/>
                <w:sz w:val="22"/>
                <w:szCs w:val="22"/>
              </w:rPr>
              <w:t>2.6.</w:t>
            </w:r>
            <w:r w:rsidRPr="00BE237E">
              <w:rPr>
                <w:noProof/>
                <w:sz w:val="22"/>
                <w:szCs w:val="22"/>
              </w:rPr>
              <w:tab/>
            </w:r>
            <w:r w:rsidRPr="00BE237E">
              <w:rPr>
                <w:rStyle w:val="Hyperlink"/>
                <w:noProof/>
                <w:sz w:val="22"/>
                <w:szCs w:val="22"/>
              </w:rPr>
              <w:t>Recommendations</w:t>
            </w:r>
            <w:r w:rsidRPr="00BE237E">
              <w:rPr>
                <w:noProof/>
                <w:webHidden/>
                <w:sz w:val="22"/>
                <w:szCs w:val="22"/>
              </w:rPr>
              <w:tab/>
            </w:r>
            <w:r w:rsidRPr="00BE237E">
              <w:rPr>
                <w:noProof/>
                <w:webHidden/>
                <w:sz w:val="22"/>
                <w:szCs w:val="22"/>
              </w:rPr>
              <w:fldChar w:fldCharType="begin"/>
            </w:r>
            <w:r w:rsidRPr="00BE237E">
              <w:rPr>
                <w:noProof/>
                <w:webHidden/>
                <w:sz w:val="22"/>
                <w:szCs w:val="22"/>
              </w:rPr>
              <w:instrText xml:space="preserve"> PAGEREF _Toc234365136 \h </w:instrText>
            </w:r>
            <w:r w:rsidRPr="00BE237E">
              <w:rPr>
                <w:noProof/>
                <w:webHidden/>
                <w:sz w:val="22"/>
                <w:szCs w:val="22"/>
              </w:rPr>
            </w:r>
            <w:r w:rsidRPr="00BE237E">
              <w:rPr>
                <w:noProof/>
                <w:webHidden/>
                <w:sz w:val="22"/>
                <w:szCs w:val="22"/>
              </w:rPr>
              <w:fldChar w:fldCharType="separate"/>
            </w:r>
            <w:r w:rsidRPr="00BE237E">
              <w:rPr>
                <w:noProof/>
                <w:webHidden/>
                <w:sz w:val="22"/>
                <w:szCs w:val="22"/>
              </w:rPr>
              <w:t>8</w:t>
            </w:r>
            <w:r w:rsidRPr="00BE237E">
              <w:rPr>
                <w:noProof/>
                <w:webHidden/>
                <w:sz w:val="22"/>
                <w:szCs w:val="22"/>
              </w:rPr>
              <w:fldChar w:fldCharType="end"/>
            </w:r>
          </w:hyperlink>
        </w:p>
        <w:p w14:paraId="26EE6D23" w14:textId="637DB06E" w:rsidR="00F4379F" w:rsidRPr="00BE237E" w:rsidRDefault="00F4379F" w:rsidP="000C33B7">
          <w:pPr>
            <w:pStyle w:val="TOC1"/>
            <w:tabs>
              <w:tab w:val="left" w:pos="480"/>
              <w:tab w:val="right" w:leader="dot" w:pos="9350"/>
            </w:tabs>
            <w:spacing w:line="360" w:lineRule="auto"/>
            <w:rPr>
              <w:noProof/>
              <w:sz w:val="22"/>
              <w:szCs w:val="22"/>
            </w:rPr>
          </w:pPr>
          <w:hyperlink w:anchor="_Toc234365137" w:history="1">
            <w:r w:rsidRPr="00BE237E">
              <w:rPr>
                <w:rStyle w:val="Hyperlink"/>
                <w:noProof/>
                <w:sz w:val="22"/>
                <w:szCs w:val="22"/>
              </w:rPr>
              <w:t>3.</w:t>
            </w:r>
            <w:r w:rsidRPr="00BE237E">
              <w:rPr>
                <w:noProof/>
                <w:sz w:val="22"/>
                <w:szCs w:val="22"/>
              </w:rPr>
              <w:tab/>
            </w:r>
            <w:r w:rsidRPr="00BE237E">
              <w:rPr>
                <w:rStyle w:val="Hyperlink"/>
                <w:noProof/>
                <w:sz w:val="22"/>
                <w:szCs w:val="22"/>
              </w:rPr>
              <w:t>Section 2: SDG 10: Reduced Inequalities</w:t>
            </w:r>
            <w:r w:rsidRPr="00BE237E">
              <w:rPr>
                <w:noProof/>
                <w:webHidden/>
                <w:sz w:val="22"/>
                <w:szCs w:val="22"/>
              </w:rPr>
              <w:tab/>
            </w:r>
            <w:r w:rsidRPr="00BE237E">
              <w:rPr>
                <w:noProof/>
                <w:webHidden/>
                <w:sz w:val="22"/>
                <w:szCs w:val="22"/>
              </w:rPr>
              <w:fldChar w:fldCharType="begin"/>
            </w:r>
            <w:r w:rsidRPr="00BE237E">
              <w:rPr>
                <w:noProof/>
                <w:webHidden/>
                <w:sz w:val="22"/>
                <w:szCs w:val="22"/>
              </w:rPr>
              <w:instrText xml:space="preserve"> PAGEREF _Toc234365137 \h </w:instrText>
            </w:r>
            <w:r w:rsidRPr="00BE237E">
              <w:rPr>
                <w:noProof/>
                <w:webHidden/>
                <w:sz w:val="22"/>
                <w:szCs w:val="22"/>
              </w:rPr>
            </w:r>
            <w:r w:rsidRPr="00BE237E">
              <w:rPr>
                <w:noProof/>
                <w:webHidden/>
                <w:sz w:val="22"/>
                <w:szCs w:val="22"/>
              </w:rPr>
              <w:fldChar w:fldCharType="separate"/>
            </w:r>
            <w:r w:rsidRPr="00BE237E">
              <w:rPr>
                <w:noProof/>
                <w:webHidden/>
                <w:sz w:val="22"/>
                <w:szCs w:val="22"/>
              </w:rPr>
              <w:t>9</w:t>
            </w:r>
            <w:r w:rsidRPr="00BE237E">
              <w:rPr>
                <w:noProof/>
                <w:webHidden/>
                <w:sz w:val="22"/>
                <w:szCs w:val="22"/>
              </w:rPr>
              <w:fldChar w:fldCharType="end"/>
            </w:r>
          </w:hyperlink>
        </w:p>
        <w:p w14:paraId="23DDA0FF" w14:textId="097DAAB9" w:rsidR="00F4379F" w:rsidRPr="00BE237E" w:rsidRDefault="00F4379F" w:rsidP="000C33B7">
          <w:pPr>
            <w:pStyle w:val="TOC2"/>
            <w:tabs>
              <w:tab w:val="left" w:pos="960"/>
              <w:tab w:val="right" w:leader="dot" w:pos="9350"/>
            </w:tabs>
            <w:spacing w:line="360" w:lineRule="auto"/>
            <w:rPr>
              <w:noProof/>
              <w:sz w:val="22"/>
              <w:szCs w:val="22"/>
            </w:rPr>
          </w:pPr>
          <w:hyperlink w:anchor="_Toc234365138" w:history="1">
            <w:r w:rsidRPr="00BE237E">
              <w:rPr>
                <w:rStyle w:val="Hyperlink"/>
                <w:noProof/>
                <w:sz w:val="22"/>
                <w:szCs w:val="22"/>
              </w:rPr>
              <w:t>3.1.</w:t>
            </w:r>
            <w:r w:rsidRPr="00BE237E">
              <w:rPr>
                <w:noProof/>
                <w:sz w:val="22"/>
                <w:szCs w:val="22"/>
              </w:rPr>
              <w:tab/>
            </w:r>
            <w:r w:rsidRPr="00BE237E">
              <w:rPr>
                <w:rStyle w:val="Hyperlink"/>
                <w:noProof/>
                <w:sz w:val="22"/>
                <w:szCs w:val="22"/>
              </w:rPr>
              <w:t>Overview of SDG 10</w:t>
            </w:r>
            <w:r w:rsidRPr="00BE237E">
              <w:rPr>
                <w:noProof/>
                <w:webHidden/>
                <w:sz w:val="22"/>
                <w:szCs w:val="22"/>
              </w:rPr>
              <w:tab/>
            </w:r>
            <w:r w:rsidRPr="00BE237E">
              <w:rPr>
                <w:noProof/>
                <w:webHidden/>
                <w:sz w:val="22"/>
                <w:szCs w:val="22"/>
              </w:rPr>
              <w:fldChar w:fldCharType="begin"/>
            </w:r>
            <w:r w:rsidRPr="00BE237E">
              <w:rPr>
                <w:noProof/>
                <w:webHidden/>
                <w:sz w:val="22"/>
                <w:szCs w:val="22"/>
              </w:rPr>
              <w:instrText xml:space="preserve"> PAGEREF _Toc234365138 \h </w:instrText>
            </w:r>
            <w:r w:rsidRPr="00BE237E">
              <w:rPr>
                <w:noProof/>
                <w:webHidden/>
                <w:sz w:val="22"/>
                <w:szCs w:val="22"/>
              </w:rPr>
            </w:r>
            <w:r w:rsidRPr="00BE237E">
              <w:rPr>
                <w:noProof/>
                <w:webHidden/>
                <w:sz w:val="22"/>
                <w:szCs w:val="22"/>
              </w:rPr>
              <w:fldChar w:fldCharType="separate"/>
            </w:r>
            <w:r w:rsidRPr="00BE237E">
              <w:rPr>
                <w:noProof/>
                <w:webHidden/>
                <w:sz w:val="22"/>
                <w:szCs w:val="22"/>
              </w:rPr>
              <w:t>9</w:t>
            </w:r>
            <w:r w:rsidRPr="00BE237E">
              <w:rPr>
                <w:noProof/>
                <w:webHidden/>
                <w:sz w:val="22"/>
                <w:szCs w:val="22"/>
              </w:rPr>
              <w:fldChar w:fldCharType="end"/>
            </w:r>
          </w:hyperlink>
        </w:p>
        <w:p w14:paraId="087622D8" w14:textId="0B078A5C" w:rsidR="00F4379F" w:rsidRPr="00BE237E" w:rsidRDefault="00F4379F" w:rsidP="000C33B7">
          <w:pPr>
            <w:pStyle w:val="TOC2"/>
            <w:tabs>
              <w:tab w:val="left" w:pos="960"/>
              <w:tab w:val="right" w:leader="dot" w:pos="9350"/>
            </w:tabs>
            <w:spacing w:line="360" w:lineRule="auto"/>
            <w:rPr>
              <w:noProof/>
              <w:sz w:val="22"/>
              <w:szCs w:val="22"/>
            </w:rPr>
          </w:pPr>
          <w:hyperlink w:anchor="_Toc234365139" w:history="1">
            <w:r w:rsidRPr="00BE237E">
              <w:rPr>
                <w:rStyle w:val="Hyperlink"/>
                <w:noProof/>
                <w:sz w:val="22"/>
                <w:szCs w:val="22"/>
              </w:rPr>
              <w:t>3.2.</w:t>
            </w:r>
            <w:r w:rsidRPr="00BE237E">
              <w:rPr>
                <w:noProof/>
                <w:sz w:val="22"/>
                <w:szCs w:val="22"/>
              </w:rPr>
              <w:tab/>
            </w:r>
            <w:r w:rsidRPr="00BE237E">
              <w:rPr>
                <w:rStyle w:val="Hyperlink"/>
                <w:noProof/>
                <w:sz w:val="22"/>
                <w:szCs w:val="22"/>
              </w:rPr>
              <w:t>Global Policies</w:t>
            </w:r>
            <w:r w:rsidRPr="00BE237E">
              <w:rPr>
                <w:noProof/>
                <w:webHidden/>
                <w:sz w:val="22"/>
                <w:szCs w:val="22"/>
              </w:rPr>
              <w:tab/>
            </w:r>
            <w:r w:rsidRPr="00BE237E">
              <w:rPr>
                <w:noProof/>
                <w:webHidden/>
                <w:sz w:val="22"/>
                <w:szCs w:val="22"/>
              </w:rPr>
              <w:fldChar w:fldCharType="begin"/>
            </w:r>
            <w:r w:rsidRPr="00BE237E">
              <w:rPr>
                <w:noProof/>
                <w:webHidden/>
                <w:sz w:val="22"/>
                <w:szCs w:val="22"/>
              </w:rPr>
              <w:instrText xml:space="preserve"> PAGEREF _Toc234365139 \h </w:instrText>
            </w:r>
            <w:r w:rsidRPr="00BE237E">
              <w:rPr>
                <w:noProof/>
                <w:webHidden/>
                <w:sz w:val="22"/>
                <w:szCs w:val="22"/>
              </w:rPr>
            </w:r>
            <w:r w:rsidRPr="00BE237E">
              <w:rPr>
                <w:noProof/>
                <w:webHidden/>
                <w:sz w:val="22"/>
                <w:szCs w:val="22"/>
              </w:rPr>
              <w:fldChar w:fldCharType="separate"/>
            </w:r>
            <w:r w:rsidRPr="00BE237E">
              <w:rPr>
                <w:noProof/>
                <w:webHidden/>
                <w:sz w:val="22"/>
                <w:szCs w:val="22"/>
              </w:rPr>
              <w:t>10</w:t>
            </w:r>
            <w:r w:rsidRPr="00BE237E">
              <w:rPr>
                <w:noProof/>
                <w:webHidden/>
                <w:sz w:val="22"/>
                <w:szCs w:val="22"/>
              </w:rPr>
              <w:fldChar w:fldCharType="end"/>
            </w:r>
          </w:hyperlink>
        </w:p>
        <w:p w14:paraId="37236188" w14:textId="11DE50E9" w:rsidR="00F4379F" w:rsidRPr="00BE237E" w:rsidRDefault="00F4379F" w:rsidP="000C33B7">
          <w:pPr>
            <w:pStyle w:val="TOC2"/>
            <w:tabs>
              <w:tab w:val="left" w:pos="960"/>
              <w:tab w:val="right" w:leader="dot" w:pos="9350"/>
            </w:tabs>
            <w:spacing w:line="360" w:lineRule="auto"/>
            <w:rPr>
              <w:noProof/>
              <w:sz w:val="22"/>
              <w:szCs w:val="22"/>
            </w:rPr>
          </w:pPr>
          <w:hyperlink w:anchor="_Toc234365140" w:history="1">
            <w:r w:rsidRPr="00BE237E">
              <w:rPr>
                <w:rStyle w:val="Hyperlink"/>
                <w:noProof/>
                <w:sz w:val="22"/>
                <w:szCs w:val="22"/>
              </w:rPr>
              <w:t>3.3.</w:t>
            </w:r>
            <w:r w:rsidRPr="00BE237E">
              <w:rPr>
                <w:noProof/>
                <w:sz w:val="22"/>
                <w:szCs w:val="22"/>
              </w:rPr>
              <w:tab/>
            </w:r>
            <w:r w:rsidRPr="00BE237E">
              <w:rPr>
                <w:rStyle w:val="Hyperlink"/>
                <w:noProof/>
                <w:sz w:val="22"/>
                <w:szCs w:val="22"/>
              </w:rPr>
              <w:t>UK National Policies</w:t>
            </w:r>
            <w:r w:rsidRPr="00BE237E">
              <w:rPr>
                <w:noProof/>
                <w:webHidden/>
                <w:sz w:val="22"/>
                <w:szCs w:val="22"/>
              </w:rPr>
              <w:tab/>
            </w:r>
            <w:r w:rsidRPr="00BE237E">
              <w:rPr>
                <w:noProof/>
                <w:webHidden/>
                <w:sz w:val="22"/>
                <w:szCs w:val="22"/>
              </w:rPr>
              <w:fldChar w:fldCharType="begin"/>
            </w:r>
            <w:r w:rsidRPr="00BE237E">
              <w:rPr>
                <w:noProof/>
                <w:webHidden/>
                <w:sz w:val="22"/>
                <w:szCs w:val="22"/>
              </w:rPr>
              <w:instrText xml:space="preserve"> PAGEREF _Toc234365140 \h </w:instrText>
            </w:r>
            <w:r w:rsidRPr="00BE237E">
              <w:rPr>
                <w:noProof/>
                <w:webHidden/>
                <w:sz w:val="22"/>
                <w:szCs w:val="22"/>
              </w:rPr>
            </w:r>
            <w:r w:rsidRPr="00BE237E">
              <w:rPr>
                <w:noProof/>
                <w:webHidden/>
                <w:sz w:val="22"/>
                <w:szCs w:val="22"/>
              </w:rPr>
              <w:fldChar w:fldCharType="separate"/>
            </w:r>
            <w:r w:rsidRPr="00BE237E">
              <w:rPr>
                <w:noProof/>
                <w:webHidden/>
                <w:sz w:val="22"/>
                <w:szCs w:val="22"/>
              </w:rPr>
              <w:t>11</w:t>
            </w:r>
            <w:r w:rsidRPr="00BE237E">
              <w:rPr>
                <w:noProof/>
                <w:webHidden/>
                <w:sz w:val="22"/>
                <w:szCs w:val="22"/>
              </w:rPr>
              <w:fldChar w:fldCharType="end"/>
            </w:r>
          </w:hyperlink>
        </w:p>
        <w:p w14:paraId="6361668F" w14:textId="67A4F374" w:rsidR="00F4379F" w:rsidRPr="00BE237E" w:rsidRDefault="00F4379F" w:rsidP="000C33B7">
          <w:pPr>
            <w:pStyle w:val="TOC2"/>
            <w:tabs>
              <w:tab w:val="left" w:pos="960"/>
              <w:tab w:val="right" w:leader="dot" w:pos="9350"/>
            </w:tabs>
            <w:spacing w:line="360" w:lineRule="auto"/>
            <w:rPr>
              <w:noProof/>
              <w:sz w:val="22"/>
              <w:szCs w:val="22"/>
            </w:rPr>
          </w:pPr>
          <w:hyperlink w:anchor="_Toc234365141" w:history="1">
            <w:r w:rsidRPr="00BE237E">
              <w:rPr>
                <w:rStyle w:val="Hyperlink"/>
                <w:noProof/>
                <w:sz w:val="22"/>
                <w:szCs w:val="22"/>
              </w:rPr>
              <w:t>3.4.</w:t>
            </w:r>
            <w:r w:rsidRPr="00BE237E">
              <w:rPr>
                <w:noProof/>
                <w:sz w:val="22"/>
                <w:szCs w:val="22"/>
              </w:rPr>
              <w:tab/>
            </w:r>
            <w:r w:rsidRPr="00BE237E">
              <w:rPr>
                <w:rStyle w:val="Hyperlink"/>
                <w:noProof/>
                <w:sz w:val="22"/>
                <w:szCs w:val="22"/>
              </w:rPr>
              <w:t>Local Policies</w:t>
            </w:r>
            <w:r w:rsidRPr="00BE237E">
              <w:rPr>
                <w:noProof/>
                <w:webHidden/>
                <w:sz w:val="22"/>
                <w:szCs w:val="22"/>
              </w:rPr>
              <w:tab/>
            </w:r>
            <w:r w:rsidRPr="00BE237E">
              <w:rPr>
                <w:noProof/>
                <w:webHidden/>
                <w:sz w:val="22"/>
                <w:szCs w:val="22"/>
              </w:rPr>
              <w:fldChar w:fldCharType="begin"/>
            </w:r>
            <w:r w:rsidRPr="00BE237E">
              <w:rPr>
                <w:noProof/>
                <w:webHidden/>
                <w:sz w:val="22"/>
                <w:szCs w:val="22"/>
              </w:rPr>
              <w:instrText xml:space="preserve"> PAGEREF _Toc234365141 \h </w:instrText>
            </w:r>
            <w:r w:rsidRPr="00BE237E">
              <w:rPr>
                <w:noProof/>
                <w:webHidden/>
                <w:sz w:val="22"/>
                <w:szCs w:val="22"/>
              </w:rPr>
            </w:r>
            <w:r w:rsidRPr="00BE237E">
              <w:rPr>
                <w:noProof/>
                <w:webHidden/>
                <w:sz w:val="22"/>
                <w:szCs w:val="22"/>
              </w:rPr>
              <w:fldChar w:fldCharType="separate"/>
            </w:r>
            <w:r w:rsidRPr="00BE237E">
              <w:rPr>
                <w:noProof/>
                <w:webHidden/>
                <w:sz w:val="22"/>
                <w:szCs w:val="22"/>
              </w:rPr>
              <w:t>11</w:t>
            </w:r>
            <w:r w:rsidRPr="00BE237E">
              <w:rPr>
                <w:noProof/>
                <w:webHidden/>
                <w:sz w:val="22"/>
                <w:szCs w:val="22"/>
              </w:rPr>
              <w:fldChar w:fldCharType="end"/>
            </w:r>
          </w:hyperlink>
        </w:p>
        <w:p w14:paraId="2AA87915" w14:textId="6B999226" w:rsidR="00F4379F" w:rsidRPr="00BE237E" w:rsidRDefault="00F4379F" w:rsidP="000C33B7">
          <w:pPr>
            <w:pStyle w:val="TOC2"/>
            <w:tabs>
              <w:tab w:val="left" w:pos="960"/>
              <w:tab w:val="right" w:leader="dot" w:pos="9350"/>
            </w:tabs>
            <w:spacing w:line="360" w:lineRule="auto"/>
            <w:rPr>
              <w:noProof/>
              <w:sz w:val="22"/>
              <w:szCs w:val="22"/>
            </w:rPr>
          </w:pPr>
          <w:hyperlink w:anchor="_Toc234365142" w:history="1">
            <w:r w:rsidRPr="00BE237E">
              <w:rPr>
                <w:rStyle w:val="Hyperlink"/>
                <w:noProof/>
                <w:sz w:val="22"/>
                <w:szCs w:val="22"/>
              </w:rPr>
              <w:t>3.5.</w:t>
            </w:r>
            <w:r w:rsidRPr="00BE237E">
              <w:rPr>
                <w:noProof/>
                <w:sz w:val="22"/>
                <w:szCs w:val="22"/>
              </w:rPr>
              <w:tab/>
            </w:r>
            <w:r w:rsidRPr="00BE237E">
              <w:rPr>
                <w:rStyle w:val="Hyperlink"/>
                <w:noProof/>
                <w:sz w:val="22"/>
                <w:szCs w:val="22"/>
              </w:rPr>
              <w:t>Critical Evaluation</w:t>
            </w:r>
            <w:r w:rsidRPr="00BE237E">
              <w:rPr>
                <w:noProof/>
                <w:webHidden/>
                <w:sz w:val="22"/>
                <w:szCs w:val="22"/>
              </w:rPr>
              <w:tab/>
            </w:r>
            <w:r w:rsidRPr="00BE237E">
              <w:rPr>
                <w:noProof/>
                <w:webHidden/>
                <w:sz w:val="22"/>
                <w:szCs w:val="22"/>
              </w:rPr>
              <w:fldChar w:fldCharType="begin"/>
            </w:r>
            <w:r w:rsidRPr="00BE237E">
              <w:rPr>
                <w:noProof/>
                <w:webHidden/>
                <w:sz w:val="22"/>
                <w:szCs w:val="22"/>
              </w:rPr>
              <w:instrText xml:space="preserve"> PAGEREF _Toc234365142 \h </w:instrText>
            </w:r>
            <w:r w:rsidRPr="00BE237E">
              <w:rPr>
                <w:noProof/>
                <w:webHidden/>
                <w:sz w:val="22"/>
                <w:szCs w:val="22"/>
              </w:rPr>
            </w:r>
            <w:r w:rsidRPr="00BE237E">
              <w:rPr>
                <w:noProof/>
                <w:webHidden/>
                <w:sz w:val="22"/>
                <w:szCs w:val="22"/>
              </w:rPr>
              <w:fldChar w:fldCharType="separate"/>
            </w:r>
            <w:r w:rsidRPr="00BE237E">
              <w:rPr>
                <w:noProof/>
                <w:webHidden/>
                <w:sz w:val="22"/>
                <w:szCs w:val="22"/>
              </w:rPr>
              <w:t>12</w:t>
            </w:r>
            <w:r w:rsidRPr="00BE237E">
              <w:rPr>
                <w:noProof/>
                <w:webHidden/>
                <w:sz w:val="22"/>
                <w:szCs w:val="22"/>
              </w:rPr>
              <w:fldChar w:fldCharType="end"/>
            </w:r>
          </w:hyperlink>
        </w:p>
        <w:p w14:paraId="1C39DB25" w14:textId="7F096845" w:rsidR="00F4379F" w:rsidRPr="00BE237E" w:rsidRDefault="00F4379F" w:rsidP="000C33B7">
          <w:pPr>
            <w:pStyle w:val="TOC2"/>
            <w:tabs>
              <w:tab w:val="left" w:pos="960"/>
              <w:tab w:val="right" w:leader="dot" w:pos="9350"/>
            </w:tabs>
            <w:spacing w:line="360" w:lineRule="auto"/>
            <w:rPr>
              <w:noProof/>
              <w:sz w:val="22"/>
              <w:szCs w:val="22"/>
            </w:rPr>
          </w:pPr>
          <w:hyperlink w:anchor="_Toc234365143" w:history="1">
            <w:r w:rsidRPr="00BE237E">
              <w:rPr>
                <w:rStyle w:val="Hyperlink"/>
                <w:noProof/>
                <w:sz w:val="22"/>
                <w:szCs w:val="22"/>
              </w:rPr>
              <w:t>3.6.</w:t>
            </w:r>
            <w:r w:rsidRPr="00BE237E">
              <w:rPr>
                <w:noProof/>
                <w:sz w:val="22"/>
                <w:szCs w:val="22"/>
              </w:rPr>
              <w:tab/>
            </w:r>
            <w:r w:rsidRPr="00BE237E">
              <w:rPr>
                <w:rStyle w:val="Hyperlink"/>
                <w:noProof/>
                <w:sz w:val="22"/>
                <w:szCs w:val="22"/>
              </w:rPr>
              <w:t>Recommendations</w:t>
            </w:r>
            <w:r w:rsidRPr="00BE237E">
              <w:rPr>
                <w:noProof/>
                <w:webHidden/>
                <w:sz w:val="22"/>
                <w:szCs w:val="22"/>
              </w:rPr>
              <w:tab/>
            </w:r>
            <w:r w:rsidRPr="00BE237E">
              <w:rPr>
                <w:noProof/>
                <w:webHidden/>
                <w:sz w:val="22"/>
                <w:szCs w:val="22"/>
              </w:rPr>
              <w:fldChar w:fldCharType="begin"/>
            </w:r>
            <w:r w:rsidRPr="00BE237E">
              <w:rPr>
                <w:noProof/>
                <w:webHidden/>
                <w:sz w:val="22"/>
                <w:szCs w:val="22"/>
              </w:rPr>
              <w:instrText xml:space="preserve"> PAGEREF _Toc234365143 \h </w:instrText>
            </w:r>
            <w:r w:rsidRPr="00BE237E">
              <w:rPr>
                <w:noProof/>
                <w:webHidden/>
                <w:sz w:val="22"/>
                <w:szCs w:val="22"/>
              </w:rPr>
            </w:r>
            <w:r w:rsidRPr="00BE237E">
              <w:rPr>
                <w:noProof/>
                <w:webHidden/>
                <w:sz w:val="22"/>
                <w:szCs w:val="22"/>
              </w:rPr>
              <w:fldChar w:fldCharType="separate"/>
            </w:r>
            <w:r w:rsidRPr="00BE237E">
              <w:rPr>
                <w:noProof/>
                <w:webHidden/>
                <w:sz w:val="22"/>
                <w:szCs w:val="22"/>
              </w:rPr>
              <w:t>12</w:t>
            </w:r>
            <w:r w:rsidRPr="00BE237E">
              <w:rPr>
                <w:noProof/>
                <w:webHidden/>
                <w:sz w:val="22"/>
                <w:szCs w:val="22"/>
              </w:rPr>
              <w:fldChar w:fldCharType="end"/>
            </w:r>
          </w:hyperlink>
        </w:p>
        <w:p w14:paraId="7298DCFA" w14:textId="3086F8BF" w:rsidR="00F4379F" w:rsidRPr="00BE237E" w:rsidRDefault="00F4379F" w:rsidP="000C33B7">
          <w:pPr>
            <w:pStyle w:val="TOC1"/>
            <w:tabs>
              <w:tab w:val="left" w:pos="480"/>
              <w:tab w:val="right" w:leader="dot" w:pos="9350"/>
            </w:tabs>
            <w:spacing w:line="360" w:lineRule="auto"/>
            <w:rPr>
              <w:noProof/>
              <w:sz w:val="22"/>
              <w:szCs w:val="22"/>
            </w:rPr>
          </w:pPr>
          <w:hyperlink w:anchor="_Toc234365144" w:history="1">
            <w:r w:rsidRPr="00BE237E">
              <w:rPr>
                <w:rStyle w:val="Hyperlink"/>
                <w:noProof/>
                <w:sz w:val="22"/>
                <w:szCs w:val="22"/>
              </w:rPr>
              <w:t>4.</w:t>
            </w:r>
            <w:r w:rsidRPr="00BE237E">
              <w:rPr>
                <w:noProof/>
                <w:sz w:val="22"/>
                <w:szCs w:val="22"/>
              </w:rPr>
              <w:tab/>
            </w:r>
            <w:r w:rsidRPr="00BE237E">
              <w:rPr>
                <w:rStyle w:val="Hyperlink"/>
                <w:noProof/>
                <w:sz w:val="22"/>
                <w:szCs w:val="22"/>
              </w:rPr>
              <w:t>Conclusion</w:t>
            </w:r>
            <w:r w:rsidRPr="00BE237E">
              <w:rPr>
                <w:noProof/>
                <w:webHidden/>
                <w:sz w:val="22"/>
                <w:szCs w:val="22"/>
              </w:rPr>
              <w:tab/>
            </w:r>
            <w:r w:rsidRPr="00BE237E">
              <w:rPr>
                <w:noProof/>
                <w:webHidden/>
                <w:sz w:val="22"/>
                <w:szCs w:val="22"/>
              </w:rPr>
              <w:fldChar w:fldCharType="begin"/>
            </w:r>
            <w:r w:rsidRPr="00BE237E">
              <w:rPr>
                <w:noProof/>
                <w:webHidden/>
                <w:sz w:val="22"/>
                <w:szCs w:val="22"/>
              </w:rPr>
              <w:instrText xml:space="preserve"> PAGEREF _Toc234365144 \h </w:instrText>
            </w:r>
            <w:r w:rsidRPr="00BE237E">
              <w:rPr>
                <w:noProof/>
                <w:webHidden/>
                <w:sz w:val="22"/>
                <w:szCs w:val="22"/>
              </w:rPr>
            </w:r>
            <w:r w:rsidRPr="00BE237E">
              <w:rPr>
                <w:noProof/>
                <w:webHidden/>
                <w:sz w:val="22"/>
                <w:szCs w:val="22"/>
              </w:rPr>
              <w:fldChar w:fldCharType="separate"/>
            </w:r>
            <w:r w:rsidRPr="00BE237E">
              <w:rPr>
                <w:noProof/>
                <w:webHidden/>
                <w:sz w:val="22"/>
                <w:szCs w:val="22"/>
              </w:rPr>
              <w:t>13</w:t>
            </w:r>
            <w:r w:rsidRPr="00BE237E">
              <w:rPr>
                <w:noProof/>
                <w:webHidden/>
                <w:sz w:val="22"/>
                <w:szCs w:val="22"/>
              </w:rPr>
              <w:fldChar w:fldCharType="end"/>
            </w:r>
          </w:hyperlink>
        </w:p>
        <w:p w14:paraId="6D62480C" w14:textId="67ABD58F" w:rsidR="00F4379F" w:rsidRPr="00BE237E" w:rsidRDefault="00F4379F" w:rsidP="000C33B7">
          <w:pPr>
            <w:pStyle w:val="TOC1"/>
            <w:tabs>
              <w:tab w:val="right" w:leader="dot" w:pos="9350"/>
            </w:tabs>
            <w:spacing w:line="360" w:lineRule="auto"/>
            <w:rPr>
              <w:noProof/>
              <w:sz w:val="22"/>
              <w:szCs w:val="22"/>
            </w:rPr>
          </w:pPr>
          <w:hyperlink w:anchor="_Toc234365145" w:history="1">
            <w:r w:rsidRPr="00BE237E">
              <w:rPr>
                <w:rStyle w:val="Hyperlink"/>
                <w:noProof/>
                <w:sz w:val="22"/>
                <w:szCs w:val="22"/>
              </w:rPr>
              <w:t>References</w:t>
            </w:r>
            <w:r w:rsidRPr="00BE237E">
              <w:rPr>
                <w:noProof/>
                <w:webHidden/>
                <w:sz w:val="22"/>
                <w:szCs w:val="22"/>
              </w:rPr>
              <w:tab/>
            </w:r>
            <w:r w:rsidRPr="00BE237E">
              <w:rPr>
                <w:noProof/>
                <w:webHidden/>
                <w:sz w:val="22"/>
                <w:szCs w:val="22"/>
              </w:rPr>
              <w:fldChar w:fldCharType="begin"/>
            </w:r>
            <w:r w:rsidRPr="00BE237E">
              <w:rPr>
                <w:noProof/>
                <w:webHidden/>
                <w:sz w:val="22"/>
                <w:szCs w:val="22"/>
              </w:rPr>
              <w:instrText xml:space="preserve"> PAGEREF _Toc234365145 \h </w:instrText>
            </w:r>
            <w:r w:rsidRPr="00BE237E">
              <w:rPr>
                <w:noProof/>
                <w:webHidden/>
                <w:sz w:val="22"/>
                <w:szCs w:val="22"/>
              </w:rPr>
            </w:r>
            <w:r w:rsidRPr="00BE237E">
              <w:rPr>
                <w:noProof/>
                <w:webHidden/>
                <w:sz w:val="22"/>
                <w:szCs w:val="22"/>
              </w:rPr>
              <w:fldChar w:fldCharType="separate"/>
            </w:r>
            <w:r w:rsidRPr="00BE237E">
              <w:rPr>
                <w:noProof/>
                <w:webHidden/>
                <w:sz w:val="22"/>
                <w:szCs w:val="22"/>
              </w:rPr>
              <w:t>14</w:t>
            </w:r>
            <w:r w:rsidRPr="00BE237E">
              <w:rPr>
                <w:noProof/>
                <w:webHidden/>
                <w:sz w:val="22"/>
                <w:szCs w:val="22"/>
              </w:rPr>
              <w:fldChar w:fldCharType="end"/>
            </w:r>
          </w:hyperlink>
        </w:p>
        <w:p w14:paraId="219D1CE8" w14:textId="462CC855" w:rsidR="00F4379F" w:rsidRPr="00BE237E" w:rsidRDefault="00F4379F" w:rsidP="000C33B7">
          <w:pPr>
            <w:spacing w:line="360" w:lineRule="auto"/>
            <w:rPr>
              <w:sz w:val="22"/>
              <w:szCs w:val="22"/>
            </w:rPr>
          </w:pPr>
          <w:r w:rsidRPr="00BE237E">
            <w:rPr>
              <w:b/>
              <w:bCs/>
              <w:noProof/>
              <w:sz w:val="22"/>
              <w:szCs w:val="22"/>
            </w:rPr>
            <w:fldChar w:fldCharType="end"/>
          </w:r>
        </w:p>
      </w:sdtContent>
    </w:sdt>
    <w:p w14:paraId="64C6E0B3" w14:textId="77777777" w:rsidR="00F61D75" w:rsidRDefault="00F61D75" w:rsidP="000C33B7">
      <w:pPr>
        <w:spacing w:line="360" w:lineRule="auto"/>
        <w:rPr>
          <w:sz w:val="22"/>
          <w:szCs w:val="22"/>
        </w:rPr>
      </w:pPr>
    </w:p>
    <w:p w14:paraId="41E9E944" w14:textId="77777777" w:rsidR="00773B08" w:rsidRDefault="00773B08" w:rsidP="000C33B7">
      <w:pPr>
        <w:spacing w:line="360" w:lineRule="auto"/>
        <w:rPr>
          <w:sz w:val="22"/>
          <w:szCs w:val="22"/>
        </w:rPr>
      </w:pPr>
    </w:p>
    <w:p w14:paraId="255048B0" w14:textId="77777777" w:rsidR="00773B08" w:rsidRDefault="00773B08" w:rsidP="000C33B7">
      <w:pPr>
        <w:spacing w:line="360" w:lineRule="auto"/>
        <w:rPr>
          <w:sz w:val="22"/>
          <w:szCs w:val="22"/>
        </w:rPr>
      </w:pPr>
    </w:p>
    <w:p w14:paraId="740B8CE2" w14:textId="77777777" w:rsidR="00773B08" w:rsidRDefault="00773B08" w:rsidP="000C33B7">
      <w:pPr>
        <w:spacing w:line="360" w:lineRule="auto"/>
        <w:rPr>
          <w:sz w:val="22"/>
          <w:szCs w:val="22"/>
        </w:rPr>
      </w:pPr>
    </w:p>
    <w:p w14:paraId="5BEB3554" w14:textId="77777777" w:rsidR="00773B08" w:rsidRPr="00BE237E" w:rsidRDefault="00773B08" w:rsidP="000C33B7">
      <w:pPr>
        <w:spacing w:line="360" w:lineRule="auto"/>
        <w:rPr>
          <w:sz w:val="22"/>
          <w:szCs w:val="22"/>
        </w:rPr>
      </w:pPr>
    </w:p>
    <w:p w14:paraId="620470AE" w14:textId="736D8F9F" w:rsidR="00B01D41" w:rsidRPr="00BE237E" w:rsidRDefault="00C04EAA" w:rsidP="000C33B7">
      <w:pPr>
        <w:pStyle w:val="Heading1"/>
        <w:numPr>
          <w:ilvl w:val="0"/>
          <w:numId w:val="1"/>
        </w:numPr>
        <w:spacing w:line="360" w:lineRule="auto"/>
        <w:rPr>
          <w:rFonts w:cstheme="minorBidi"/>
          <w:sz w:val="22"/>
          <w:szCs w:val="22"/>
        </w:rPr>
      </w:pPr>
      <w:bookmarkStart w:id="0" w:name="_Toc234365129"/>
      <w:r w:rsidRPr="00BE237E">
        <w:rPr>
          <w:rFonts w:cstheme="minorBidi"/>
          <w:sz w:val="22"/>
          <w:szCs w:val="22"/>
        </w:rPr>
        <w:lastRenderedPageBreak/>
        <w:t>Introduction</w:t>
      </w:r>
      <w:bookmarkEnd w:id="0"/>
    </w:p>
    <w:p w14:paraId="11420BC7" w14:textId="1BBB1A53" w:rsidR="00B01D41" w:rsidRPr="00BE237E" w:rsidRDefault="00D03808" w:rsidP="000C33B7">
      <w:pPr>
        <w:spacing w:line="360" w:lineRule="auto"/>
        <w:rPr>
          <w:sz w:val="22"/>
          <w:szCs w:val="22"/>
        </w:rPr>
      </w:pPr>
      <w:r w:rsidRPr="00BE237E">
        <w:rPr>
          <w:sz w:val="22"/>
          <w:szCs w:val="22"/>
        </w:rPr>
        <w:t xml:space="preserve">In 2015, the United Nations adopted the 17 Sustainable Development Goals (SDGs) which provided a global plan for sustainable development and inequality reduction by 2030 (United Nations, 2015). The SDGs recognise that health outcomes are shaped by interconnected social, economic and environmental factors rather than healthcare alone. Although there has been progress on SDG implementation worldwide, recent crises such as the Covid-19 pandemic, economic instability, and geopolitical conflicts stalled it, and only 17% of SDG targets are on track </w:t>
      </w:r>
      <w:r w:rsidR="00B01D41" w:rsidRPr="00BE237E">
        <w:rPr>
          <w:sz w:val="22"/>
          <w:szCs w:val="22"/>
        </w:rPr>
        <w:t>(United Nations, 2024).</w:t>
      </w:r>
    </w:p>
    <w:p w14:paraId="69115E4A" w14:textId="77777777" w:rsidR="00CD03D4" w:rsidRPr="00BE237E" w:rsidRDefault="005C0595" w:rsidP="000C33B7">
      <w:pPr>
        <w:keepNext/>
        <w:spacing w:line="360" w:lineRule="auto"/>
        <w:rPr>
          <w:sz w:val="22"/>
          <w:szCs w:val="22"/>
        </w:rPr>
      </w:pPr>
      <w:r w:rsidRPr="00BE237E">
        <w:rPr>
          <w:noProof/>
          <w:sz w:val="22"/>
          <w:szCs w:val="22"/>
        </w:rPr>
        <w:drawing>
          <wp:inline distT="0" distB="0" distL="0" distR="0" wp14:anchorId="3F58F39B" wp14:editId="1058359B">
            <wp:extent cx="5358809" cy="2634175"/>
            <wp:effectExtent l="0" t="0" r="0" b="0"/>
            <wp:docPr id="1449884142" name="Picture 1" descr="Sustainable Development Goals (SDGs): Ensuring that No One is Left Behind |  by B1G1 (Buy1GIVE1)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le Development Goals (SDGs): Ensuring that No One is Left Behind |  by B1G1 (Buy1GIVE1) | Mediu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62504" cy="2635991"/>
                    </a:xfrm>
                    <a:prstGeom prst="rect">
                      <a:avLst/>
                    </a:prstGeom>
                    <a:noFill/>
                    <a:ln>
                      <a:noFill/>
                    </a:ln>
                  </pic:spPr>
                </pic:pic>
              </a:graphicData>
            </a:graphic>
          </wp:inline>
        </w:drawing>
      </w:r>
    </w:p>
    <w:p w14:paraId="2A6C937D" w14:textId="164C5597" w:rsidR="00EC03F3" w:rsidRPr="00BA5625" w:rsidRDefault="00CD03D4" w:rsidP="00BA5625">
      <w:pPr>
        <w:pStyle w:val="Caption"/>
        <w:spacing w:line="360" w:lineRule="auto"/>
        <w:jc w:val="center"/>
        <w:rPr>
          <w:b/>
          <w:bCs/>
          <w:color w:val="auto"/>
          <w:sz w:val="22"/>
          <w:szCs w:val="22"/>
        </w:rPr>
      </w:pPr>
      <w:r w:rsidRPr="00BA5625">
        <w:rPr>
          <w:b/>
          <w:bCs/>
          <w:color w:val="auto"/>
          <w:sz w:val="22"/>
          <w:szCs w:val="22"/>
        </w:rPr>
        <w:t xml:space="preserve">Figure </w:t>
      </w:r>
      <w:r w:rsidRPr="00BA5625">
        <w:rPr>
          <w:b/>
          <w:bCs/>
          <w:color w:val="auto"/>
          <w:sz w:val="22"/>
          <w:szCs w:val="22"/>
        </w:rPr>
        <w:fldChar w:fldCharType="begin"/>
      </w:r>
      <w:r w:rsidRPr="00BA5625">
        <w:rPr>
          <w:b/>
          <w:bCs/>
          <w:color w:val="auto"/>
          <w:sz w:val="22"/>
          <w:szCs w:val="22"/>
        </w:rPr>
        <w:instrText xml:space="preserve"> SEQ Figure \* ARABIC </w:instrText>
      </w:r>
      <w:r w:rsidRPr="00BA5625">
        <w:rPr>
          <w:b/>
          <w:bCs/>
          <w:color w:val="auto"/>
          <w:sz w:val="22"/>
          <w:szCs w:val="22"/>
        </w:rPr>
        <w:fldChar w:fldCharType="separate"/>
      </w:r>
      <w:r w:rsidR="008F2E99" w:rsidRPr="00BA5625">
        <w:rPr>
          <w:b/>
          <w:bCs/>
          <w:noProof/>
          <w:color w:val="auto"/>
          <w:sz w:val="22"/>
          <w:szCs w:val="22"/>
        </w:rPr>
        <w:t>1</w:t>
      </w:r>
      <w:r w:rsidRPr="00BA5625">
        <w:rPr>
          <w:b/>
          <w:bCs/>
          <w:color w:val="auto"/>
          <w:sz w:val="22"/>
          <w:szCs w:val="22"/>
        </w:rPr>
        <w:fldChar w:fldCharType="end"/>
      </w:r>
      <w:r w:rsidRPr="00BA5625">
        <w:rPr>
          <w:b/>
          <w:bCs/>
          <w:color w:val="auto"/>
          <w:sz w:val="22"/>
          <w:szCs w:val="22"/>
        </w:rPr>
        <w:t xml:space="preserve"> United Nations 17 SDGs (United Nations, 2024)</w:t>
      </w:r>
    </w:p>
    <w:p w14:paraId="4C6B75B7" w14:textId="17731251" w:rsidR="00B01D41" w:rsidRPr="00BE237E" w:rsidRDefault="00942578" w:rsidP="000C33B7">
      <w:pPr>
        <w:spacing w:line="360" w:lineRule="auto"/>
        <w:rPr>
          <w:sz w:val="22"/>
          <w:szCs w:val="22"/>
        </w:rPr>
      </w:pPr>
      <w:r w:rsidRPr="00BE237E">
        <w:rPr>
          <w:sz w:val="22"/>
          <w:szCs w:val="22"/>
        </w:rPr>
        <w:t>This report discusses the SDG 3: Good Health and Wellbeing as well as SDG 10: Reduced Inequalities, focusing on how reducing inequalities is crucial to improving health results. While SDG 3 focuses on ensuring healthy lives and promoting wellbeing for all, SDG 10 aims to reduce social, economic and health inequalities within and among countries (United Nations, 2025). These goals are interrelated as inequities in health care, education, employment, housing and income are important drivers of health and life expectancy. The report reviews the implementation of activities and policies at global, national (UK) and local levels for achieving both objectives, examines key concepts and theories to assess policy effectiveness, and presents recommendations based on the evidence</w:t>
      </w:r>
      <w:r w:rsidR="00B01D41" w:rsidRPr="00BE237E">
        <w:rPr>
          <w:sz w:val="22"/>
          <w:szCs w:val="22"/>
        </w:rPr>
        <w:t>.</w:t>
      </w:r>
    </w:p>
    <w:p w14:paraId="10D9905B" w14:textId="4D6A8DD3" w:rsidR="00B01D41" w:rsidRPr="00BE237E" w:rsidRDefault="00AE6015" w:rsidP="000C33B7">
      <w:pPr>
        <w:pStyle w:val="Heading1"/>
        <w:numPr>
          <w:ilvl w:val="0"/>
          <w:numId w:val="1"/>
        </w:numPr>
        <w:spacing w:line="360" w:lineRule="auto"/>
        <w:rPr>
          <w:rFonts w:cstheme="minorBidi"/>
          <w:sz w:val="22"/>
          <w:szCs w:val="22"/>
        </w:rPr>
      </w:pPr>
      <w:bookmarkStart w:id="1" w:name="_Toc234365130"/>
      <w:r w:rsidRPr="00BE237E">
        <w:rPr>
          <w:rFonts w:cstheme="minorBidi"/>
          <w:sz w:val="22"/>
          <w:szCs w:val="22"/>
        </w:rPr>
        <w:lastRenderedPageBreak/>
        <w:t>Section 1 – SDG 3: Good Health and Wellbeing</w:t>
      </w:r>
      <w:bookmarkEnd w:id="1"/>
    </w:p>
    <w:p w14:paraId="03F6D213" w14:textId="3A5EC8B2" w:rsidR="00F377A7" w:rsidRPr="00BE237E" w:rsidRDefault="00F377A7" w:rsidP="000C33B7">
      <w:pPr>
        <w:pStyle w:val="Heading2"/>
        <w:numPr>
          <w:ilvl w:val="1"/>
          <w:numId w:val="1"/>
        </w:numPr>
        <w:spacing w:line="360" w:lineRule="auto"/>
        <w:rPr>
          <w:rFonts w:cstheme="minorBidi"/>
          <w:sz w:val="22"/>
          <w:szCs w:val="22"/>
        </w:rPr>
      </w:pPr>
      <w:bookmarkStart w:id="2" w:name="_Toc234365131"/>
      <w:r w:rsidRPr="00BE237E">
        <w:rPr>
          <w:rStyle w:val="Strong"/>
          <w:rFonts w:cstheme="minorBidi"/>
          <w:b/>
          <w:bCs w:val="0"/>
          <w:sz w:val="22"/>
          <w:szCs w:val="22"/>
        </w:rPr>
        <w:t>Overview of SDG 3</w:t>
      </w:r>
      <w:bookmarkEnd w:id="2"/>
    </w:p>
    <w:p w14:paraId="2EE5D914" w14:textId="585EC98F" w:rsidR="00F377A7" w:rsidRPr="00BE237E" w:rsidRDefault="006126AA" w:rsidP="000C33B7">
      <w:pPr>
        <w:spacing w:line="360" w:lineRule="auto"/>
        <w:rPr>
          <w:sz w:val="22"/>
          <w:szCs w:val="22"/>
        </w:rPr>
      </w:pPr>
      <w:r w:rsidRPr="00BE237E">
        <w:rPr>
          <w:sz w:val="22"/>
          <w:szCs w:val="22"/>
        </w:rPr>
        <w:t>SDG 3 aims to ensure healthy lives and promote wellbeing for people of all ages by reducing maternal and child mortality, ending epidemics of communicable diseases, lowering premature deaths from non-communicable diseases (NCDs), improving mental health and achieving Universal Health Coverage (UHC) (United Nations, 202</w:t>
      </w:r>
      <w:r w:rsidR="00C47F6D">
        <w:rPr>
          <w:sz w:val="22"/>
          <w:szCs w:val="22"/>
        </w:rPr>
        <w:t>2</w:t>
      </w:r>
      <w:r w:rsidRPr="00BE237E">
        <w:rPr>
          <w:sz w:val="22"/>
          <w:szCs w:val="22"/>
        </w:rPr>
        <w:t xml:space="preserve">). As more than 74% of all deaths are attributable to NCDs, prevention, early diagnosis and equitable access to health care is a major international priority </w:t>
      </w:r>
      <w:r w:rsidR="00F377A7" w:rsidRPr="00BE237E">
        <w:rPr>
          <w:sz w:val="22"/>
          <w:szCs w:val="22"/>
        </w:rPr>
        <w:t>(</w:t>
      </w:r>
      <w:r w:rsidR="00270D28" w:rsidRPr="00BE237E">
        <w:rPr>
          <w:sz w:val="22"/>
          <w:szCs w:val="22"/>
        </w:rPr>
        <w:t>WHO, 2025</w:t>
      </w:r>
      <w:r w:rsidR="008B711B">
        <w:rPr>
          <w:sz w:val="22"/>
          <w:szCs w:val="22"/>
        </w:rPr>
        <w:t>c</w:t>
      </w:r>
      <w:r w:rsidR="00F377A7" w:rsidRPr="00BE237E">
        <w:rPr>
          <w:sz w:val="22"/>
          <w:szCs w:val="22"/>
        </w:rPr>
        <w:t>).</w:t>
      </w:r>
    </w:p>
    <w:p w14:paraId="35CA5332" w14:textId="77777777" w:rsidR="00196EEF" w:rsidRPr="00BE237E" w:rsidRDefault="00196EEF" w:rsidP="00EB50D8">
      <w:pPr>
        <w:keepNext/>
        <w:spacing w:line="360" w:lineRule="auto"/>
        <w:jc w:val="center"/>
        <w:rPr>
          <w:sz w:val="22"/>
          <w:szCs w:val="22"/>
        </w:rPr>
      </w:pPr>
      <w:r w:rsidRPr="00BE237E">
        <w:rPr>
          <w:noProof/>
          <w:sz w:val="22"/>
          <w:szCs w:val="22"/>
        </w:rPr>
        <w:drawing>
          <wp:inline distT="0" distB="0" distL="0" distR="0" wp14:anchorId="212C44BD" wp14:editId="093DB6B4">
            <wp:extent cx="5060917" cy="2102476"/>
            <wp:effectExtent l="0" t="0" r="6985" b="0"/>
            <wp:docPr id="1048347047" name="Picture 2" descr="176 Sdg 3 Royalty-Free Images, Stock Photos &amp; Pictur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76 Sdg 3 Royalty-Free Images, Stock Photos &amp; Pictures | Shutterstock"/>
                    <pic:cNvPicPr>
                      <a:picLocks noChangeAspect="1" noChangeArrowheads="1"/>
                    </pic:cNvPicPr>
                  </pic:nvPicPr>
                  <pic:blipFill rotWithShape="1">
                    <a:blip r:embed="rId9">
                      <a:extLst>
                        <a:ext uri="{28A0092B-C50C-407E-A947-70E740481C1C}">
                          <a14:useLocalDpi xmlns:a14="http://schemas.microsoft.com/office/drawing/2010/main" val="0"/>
                        </a:ext>
                      </a:extLst>
                    </a:blip>
                    <a:srcRect b="9965"/>
                    <a:stretch>
                      <a:fillRect/>
                    </a:stretch>
                  </pic:blipFill>
                  <pic:spPr bwMode="auto">
                    <a:xfrm>
                      <a:off x="0" y="0"/>
                      <a:ext cx="5069344" cy="2105977"/>
                    </a:xfrm>
                    <a:prstGeom prst="rect">
                      <a:avLst/>
                    </a:prstGeom>
                    <a:noFill/>
                    <a:ln>
                      <a:noFill/>
                    </a:ln>
                    <a:extLst>
                      <a:ext uri="{53640926-AAD7-44D8-BBD7-CCE9431645EC}">
                        <a14:shadowObscured xmlns:a14="http://schemas.microsoft.com/office/drawing/2010/main"/>
                      </a:ext>
                    </a:extLst>
                  </pic:spPr>
                </pic:pic>
              </a:graphicData>
            </a:graphic>
          </wp:inline>
        </w:drawing>
      </w:r>
    </w:p>
    <w:p w14:paraId="7A27CFEA" w14:textId="13F2270F" w:rsidR="00D8364E" w:rsidRPr="00EB50D8" w:rsidRDefault="00196EEF" w:rsidP="00EB50D8">
      <w:pPr>
        <w:pStyle w:val="Caption"/>
        <w:spacing w:line="360" w:lineRule="auto"/>
        <w:jc w:val="center"/>
        <w:rPr>
          <w:b/>
          <w:bCs/>
          <w:sz w:val="22"/>
          <w:szCs w:val="22"/>
        </w:rPr>
      </w:pPr>
      <w:r w:rsidRPr="00EB50D8">
        <w:rPr>
          <w:b/>
          <w:bCs/>
          <w:sz w:val="22"/>
          <w:szCs w:val="22"/>
        </w:rPr>
        <w:t xml:space="preserve">Figure </w:t>
      </w:r>
      <w:r w:rsidRPr="00EB50D8">
        <w:rPr>
          <w:b/>
          <w:bCs/>
          <w:sz w:val="22"/>
          <w:szCs w:val="22"/>
        </w:rPr>
        <w:fldChar w:fldCharType="begin"/>
      </w:r>
      <w:r w:rsidRPr="00EB50D8">
        <w:rPr>
          <w:b/>
          <w:bCs/>
          <w:sz w:val="22"/>
          <w:szCs w:val="22"/>
        </w:rPr>
        <w:instrText xml:space="preserve"> SEQ Figure \* ARABIC </w:instrText>
      </w:r>
      <w:r w:rsidRPr="00EB50D8">
        <w:rPr>
          <w:b/>
          <w:bCs/>
          <w:sz w:val="22"/>
          <w:szCs w:val="22"/>
        </w:rPr>
        <w:fldChar w:fldCharType="separate"/>
      </w:r>
      <w:r w:rsidR="008F2E99" w:rsidRPr="00EB50D8">
        <w:rPr>
          <w:b/>
          <w:bCs/>
          <w:noProof/>
          <w:sz w:val="22"/>
          <w:szCs w:val="22"/>
        </w:rPr>
        <w:t>2</w:t>
      </w:r>
      <w:r w:rsidRPr="00EB50D8">
        <w:rPr>
          <w:b/>
          <w:bCs/>
          <w:sz w:val="22"/>
          <w:szCs w:val="22"/>
        </w:rPr>
        <w:fldChar w:fldCharType="end"/>
      </w:r>
      <w:r w:rsidRPr="00EB50D8">
        <w:rPr>
          <w:b/>
          <w:bCs/>
          <w:sz w:val="22"/>
          <w:szCs w:val="22"/>
        </w:rPr>
        <w:t xml:space="preserve"> SDG 3 (United Nations, 202</w:t>
      </w:r>
      <w:r w:rsidR="005906D9">
        <w:rPr>
          <w:b/>
          <w:bCs/>
          <w:sz w:val="22"/>
          <w:szCs w:val="22"/>
        </w:rPr>
        <w:t>2</w:t>
      </w:r>
      <w:r w:rsidRPr="00EB50D8">
        <w:rPr>
          <w:b/>
          <w:bCs/>
          <w:sz w:val="22"/>
          <w:szCs w:val="22"/>
        </w:rPr>
        <w:t>)</w:t>
      </w:r>
    </w:p>
    <w:p w14:paraId="42C59441" w14:textId="7C5C4D20" w:rsidR="00F377A7" w:rsidRPr="00BE237E" w:rsidRDefault="009A467F" w:rsidP="000C33B7">
      <w:pPr>
        <w:spacing w:line="360" w:lineRule="auto"/>
        <w:rPr>
          <w:sz w:val="22"/>
          <w:szCs w:val="22"/>
        </w:rPr>
      </w:pPr>
      <w:r w:rsidRPr="00BE237E">
        <w:rPr>
          <w:sz w:val="22"/>
          <w:szCs w:val="22"/>
        </w:rPr>
        <w:t xml:space="preserve">Dahlgren &amp; Whitehead model (2021) is an appropriate framework for understanding SDG 3 as it shows that health is shaped by multiple layers of determinants, including individual lifestyles, social networks, living and working conditions and wider socioeconomic, cultural and environmental factors. </w:t>
      </w:r>
    </w:p>
    <w:p w14:paraId="05C59386" w14:textId="5100474D" w:rsidR="00CA4AB0" w:rsidRPr="00BE237E" w:rsidRDefault="002E26F8" w:rsidP="000C33B7">
      <w:pPr>
        <w:pStyle w:val="Heading2"/>
        <w:numPr>
          <w:ilvl w:val="1"/>
          <w:numId w:val="1"/>
        </w:numPr>
        <w:spacing w:line="360" w:lineRule="auto"/>
        <w:rPr>
          <w:rFonts w:cstheme="minorBidi"/>
          <w:sz w:val="22"/>
          <w:szCs w:val="22"/>
        </w:rPr>
      </w:pPr>
      <w:bookmarkStart w:id="3" w:name="_Toc234365132"/>
      <w:r w:rsidRPr="00BE237E">
        <w:rPr>
          <w:rFonts w:cstheme="minorBidi"/>
          <w:sz w:val="22"/>
          <w:szCs w:val="22"/>
        </w:rPr>
        <w:t>Global Policies</w:t>
      </w:r>
      <w:bookmarkEnd w:id="3"/>
    </w:p>
    <w:p w14:paraId="2F93F93F" w14:textId="6E016281" w:rsidR="006633D5" w:rsidRPr="00BE237E" w:rsidRDefault="006633D5" w:rsidP="000C33B7">
      <w:pPr>
        <w:spacing w:line="360" w:lineRule="auto"/>
        <w:rPr>
          <w:sz w:val="22"/>
          <w:szCs w:val="22"/>
        </w:rPr>
      </w:pPr>
      <w:r w:rsidRPr="00BE237E">
        <w:rPr>
          <w:sz w:val="22"/>
          <w:szCs w:val="22"/>
        </w:rPr>
        <w:t>The World Health Organisation (WHO) provides global support for SDG 3 via Universal Health Coverage (UHC) and aims to provide access to quality health services without financial hardship (WHO, 2025a). Other examples include the Global Fund to Fight AIDS, Tuberculosis and Malaria, which prevented 70 million deaths since 2002, and the Global Vaccine Action Plan, which has saved 2.5 million lives every year through routine immunisation (UNICEF, 202</w:t>
      </w:r>
      <w:r w:rsidR="00370FD5">
        <w:rPr>
          <w:sz w:val="22"/>
          <w:szCs w:val="22"/>
        </w:rPr>
        <w:t>1</w:t>
      </w:r>
      <w:r w:rsidRPr="00BE237E">
        <w:rPr>
          <w:sz w:val="22"/>
          <w:szCs w:val="22"/>
        </w:rPr>
        <w:t>; Global Fund, 2024). WHO also leads international coordination of responses to health emergencies and enhances the governance of health globally with governments and NGOs.</w:t>
      </w:r>
    </w:p>
    <w:p w14:paraId="59E3A1A5" w14:textId="48CBF3FB" w:rsidR="002E26F8" w:rsidRPr="00BE237E" w:rsidRDefault="006633D5" w:rsidP="000C33B7">
      <w:pPr>
        <w:spacing w:line="360" w:lineRule="auto"/>
        <w:rPr>
          <w:sz w:val="22"/>
          <w:szCs w:val="22"/>
        </w:rPr>
      </w:pPr>
      <w:r w:rsidRPr="00BE237E">
        <w:rPr>
          <w:sz w:val="22"/>
          <w:szCs w:val="22"/>
        </w:rPr>
        <w:lastRenderedPageBreak/>
        <w:t xml:space="preserve">But significant inequities still exist. Around 4.6 billion people remain without access to needed health services; and low-income countries have disproportionately high rates of infectious diseases and maternal mortality (WHO, 2025b). Current global policies from the Dahlgren and Whitehead Model's perspective primarily reinforce the provision of healthcare while neglecting broader social factors such as poverty, education and housing, thereby </w:t>
      </w:r>
      <w:r w:rsidR="00E05C17" w:rsidRPr="00BE237E">
        <w:rPr>
          <w:sz w:val="22"/>
          <w:szCs w:val="22"/>
        </w:rPr>
        <w:t>worsening</w:t>
      </w:r>
      <w:r w:rsidRPr="00BE237E">
        <w:rPr>
          <w:sz w:val="22"/>
          <w:szCs w:val="22"/>
        </w:rPr>
        <w:t xml:space="preserve"> the limitations in achieving sustainable health improvements</w:t>
      </w:r>
      <w:r w:rsidR="002E26F8" w:rsidRPr="00BE237E">
        <w:rPr>
          <w:sz w:val="22"/>
          <w:szCs w:val="22"/>
        </w:rPr>
        <w:t>.</w:t>
      </w:r>
    </w:p>
    <w:p w14:paraId="4FD0A178" w14:textId="7DBD4F60" w:rsidR="000C1C49" w:rsidRPr="00BE237E" w:rsidRDefault="006C0A26" w:rsidP="000C33B7">
      <w:pPr>
        <w:pStyle w:val="Heading2"/>
        <w:numPr>
          <w:ilvl w:val="1"/>
          <w:numId w:val="1"/>
        </w:numPr>
        <w:spacing w:line="360" w:lineRule="auto"/>
        <w:rPr>
          <w:rFonts w:cstheme="minorBidi"/>
          <w:sz w:val="22"/>
          <w:szCs w:val="22"/>
        </w:rPr>
      </w:pPr>
      <w:bookmarkStart w:id="4" w:name="_Toc234365133"/>
      <w:r w:rsidRPr="00BE237E">
        <w:rPr>
          <w:rFonts w:cstheme="minorBidi"/>
          <w:sz w:val="22"/>
          <w:szCs w:val="22"/>
        </w:rPr>
        <w:t>UK National Policies</w:t>
      </w:r>
      <w:bookmarkEnd w:id="4"/>
    </w:p>
    <w:p w14:paraId="60B2D073" w14:textId="318ADEC8" w:rsidR="008E5620" w:rsidRPr="00BE237E" w:rsidRDefault="006A7C4F" w:rsidP="000C33B7">
      <w:pPr>
        <w:spacing w:line="360" w:lineRule="auto"/>
        <w:rPr>
          <w:sz w:val="22"/>
          <w:szCs w:val="22"/>
        </w:rPr>
      </w:pPr>
      <w:r w:rsidRPr="00BE237E">
        <w:rPr>
          <w:sz w:val="22"/>
          <w:szCs w:val="22"/>
        </w:rPr>
        <w:t xml:space="preserve">In the United Kingdom, SDG 3 is mostly realised via the National Health Service (NHS) and through several policies like NHS Long Term Plan, the Core20PLUS5 Programme and national prevention plans for smoking, obesity and mental health (NHS England, 2021). The focus of these initiatives is on early intervention, integrated care, health promotion and reduction of inequalities among the most deprived populations. Core20PLUS5 targets the poorest 20% of communities while addressing inequalities affecting ethnic minority groups and socially excluded populations </w:t>
      </w:r>
      <w:r w:rsidR="0006630D" w:rsidRPr="00BE237E">
        <w:rPr>
          <w:sz w:val="22"/>
          <w:szCs w:val="22"/>
        </w:rPr>
        <w:t>(</w:t>
      </w:r>
      <w:r w:rsidR="002E100F" w:rsidRPr="00BE237E">
        <w:rPr>
          <w:sz w:val="22"/>
          <w:szCs w:val="22"/>
        </w:rPr>
        <w:t>NHS England, 2021</w:t>
      </w:r>
      <w:r w:rsidR="0006630D" w:rsidRPr="00BE237E">
        <w:rPr>
          <w:sz w:val="22"/>
          <w:szCs w:val="22"/>
        </w:rPr>
        <w:t>)</w:t>
      </w:r>
      <w:r w:rsidR="008E5620" w:rsidRPr="00BE237E">
        <w:rPr>
          <w:sz w:val="22"/>
          <w:szCs w:val="22"/>
        </w:rPr>
        <w:t>.</w:t>
      </w:r>
    </w:p>
    <w:p w14:paraId="08D53112" w14:textId="77777777" w:rsidR="00912067" w:rsidRPr="00BE237E" w:rsidRDefault="004E6A34" w:rsidP="00E05C17">
      <w:pPr>
        <w:keepNext/>
        <w:spacing w:line="360" w:lineRule="auto"/>
        <w:jc w:val="center"/>
        <w:rPr>
          <w:sz w:val="22"/>
          <w:szCs w:val="22"/>
        </w:rPr>
      </w:pPr>
      <w:r w:rsidRPr="00BE237E">
        <w:rPr>
          <w:noProof/>
          <w:sz w:val="22"/>
          <w:szCs w:val="22"/>
        </w:rPr>
        <w:drawing>
          <wp:inline distT="0" distB="0" distL="0" distR="0" wp14:anchorId="54277B04" wp14:editId="1CE878C7">
            <wp:extent cx="4771655" cy="2684056"/>
            <wp:effectExtent l="0" t="0" r="0" b="2540"/>
            <wp:docPr id="1570644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64415" name="Picture 15706441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78775" cy="2688061"/>
                    </a:xfrm>
                    <a:prstGeom prst="rect">
                      <a:avLst/>
                    </a:prstGeom>
                  </pic:spPr>
                </pic:pic>
              </a:graphicData>
            </a:graphic>
          </wp:inline>
        </w:drawing>
      </w:r>
    </w:p>
    <w:p w14:paraId="3AB13266" w14:textId="6E1281D9" w:rsidR="002E100F" w:rsidRPr="00EB6555" w:rsidRDefault="00912067" w:rsidP="00E05C17">
      <w:pPr>
        <w:pStyle w:val="Caption"/>
        <w:spacing w:line="360" w:lineRule="auto"/>
        <w:jc w:val="center"/>
        <w:rPr>
          <w:b/>
          <w:bCs/>
          <w:sz w:val="22"/>
          <w:szCs w:val="22"/>
          <w:lang w:val="fr-FR"/>
        </w:rPr>
      </w:pPr>
      <w:r w:rsidRPr="00EB6555">
        <w:rPr>
          <w:b/>
          <w:bCs/>
          <w:sz w:val="22"/>
          <w:szCs w:val="22"/>
          <w:lang w:val="fr-FR"/>
        </w:rPr>
        <w:t xml:space="preserve">Figure </w:t>
      </w:r>
      <w:r w:rsidR="008F2E99" w:rsidRPr="005872B6">
        <w:rPr>
          <w:b/>
          <w:bCs/>
          <w:sz w:val="22"/>
          <w:szCs w:val="22"/>
        </w:rPr>
        <w:fldChar w:fldCharType="begin"/>
      </w:r>
      <w:r w:rsidR="008F2E99" w:rsidRPr="00EB6555">
        <w:rPr>
          <w:b/>
          <w:bCs/>
          <w:sz w:val="22"/>
          <w:szCs w:val="22"/>
          <w:lang w:val="fr-FR"/>
        </w:rPr>
        <w:instrText xml:space="preserve"> SEQ Figure \* ARABIC </w:instrText>
      </w:r>
      <w:r w:rsidR="008F2E99" w:rsidRPr="005872B6">
        <w:rPr>
          <w:b/>
          <w:bCs/>
          <w:sz w:val="22"/>
          <w:szCs w:val="22"/>
        </w:rPr>
        <w:fldChar w:fldCharType="separate"/>
      </w:r>
      <w:r w:rsidR="008F2E99" w:rsidRPr="00EB6555">
        <w:rPr>
          <w:b/>
          <w:bCs/>
          <w:noProof/>
          <w:sz w:val="22"/>
          <w:szCs w:val="22"/>
          <w:lang w:val="fr-FR"/>
        </w:rPr>
        <w:t>3</w:t>
      </w:r>
      <w:r w:rsidR="008F2E99" w:rsidRPr="005872B6">
        <w:rPr>
          <w:b/>
          <w:bCs/>
          <w:noProof/>
          <w:sz w:val="22"/>
          <w:szCs w:val="22"/>
        </w:rPr>
        <w:fldChar w:fldCharType="end"/>
      </w:r>
      <w:r w:rsidRPr="00EB6555">
        <w:rPr>
          <w:b/>
          <w:bCs/>
          <w:sz w:val="22"/>
          <w:szCs w:val="22"/>
          <w:lang w:val="fr-FR"/>
        </w:rPr>
        <w:t xml:space="preserve"> CORE20 PLUS</w:t>
      </w:r>
      <w:r w:rsidR="006A56C2" w:rsidRPr="00EB6555">
        <w:rPr>
          <w:b/>
          <w:bCs/>
          <w:sz w:val="22"/>
          <w:szCs w:val="22"/>
          <w:lang w:val="fr-FR"/>
        </w:rPr>
        <w:t xml:space="preserve"> (NHS England, 2021)</w:t>
      </w:r>
    </w:p>
    <w:p w14:paraId="1A3D600E" w14:textId="08692FD1" w:rsidR="006C0A26" w:rsidRPr="00BE237E" w:rsidRDefault="001D18DD" w:rsidP="000C33B7">
      <w:pPr>
        <w:spacing w:line="360" w:lineRule="auto"/>
        <w:rPr>
          <w:sz w:val="22"/>
          <w:szCs w:val="22"/>
        </w:rPr>
      </w:pPr>
      <w:r w:rsidRPr="00BE237E">
        <w:rPr>
          <w:sz w:val="22"/>
          <w:szCs w:val="22"/>
        </w:rPr>
        <w:t xml:space="preserve">Despite improvements in overall health outcomes, inequalities are significant. In England, life expectancy is 79 years for males and 83 years for females, but those in the most deprived areas are three times more likely to die before the age of 70 than those in the least deprived areas and develop major illnesses nearly 10 years earlier (ONS, 2025). Mental health waiting lists and increasing rates of obesity and type 2 diabetes further highlight persistent inequalities. </w:t>
      </w:r>
      <w:r w:rsidRPr="00BE237E">
        <w:rPr>
          <w:sz w:val="22"/>
          <w:szCs w:val="22"/>
        </w:rPr>
        <w:lastRenderedPageBreak/>
        <w:t>These disparities are connected to broader socioeconomic factors, which health services cannot address (Dahlgren and Whitehead, 2021)</w:t>
      </w:r>
      <w:r w:rsidR="008E5620" w:rsidRPr="00BE237E">
        <w:rPr>
          <w:sz w:val="22"/>
          <w:szCs w:val="22"/>
        </w:rPr>
        <w:t>.</w:t>
      </w:r>
    </w:p>
    <w:p w14:paraId="23290C2C" w14:textId="77777777" w:rsidR="003544D6" w:rsidRPr="00BE237E" w:rsidRDefault="003544D6" w:rsidP="006F76BA">
      <w:pPr>
        <w:keepNext/>
        <w:spacing w:line="360" w:lineRule="auto"/>
        <w:jc w:val="center"/>
        <w:rPr>
          <w:sz w:val="22"/>
          <w:szCs w:val="22"/>
        </w:rPr>
      </w:pPr>
      <w:r w:rsidRPr="00BE237E">
        <w:rPr>
          <w:noProof/>
          <w:sz w:val="22"/>
          <w:szCs w:val="22"/>
        </w:rPr>
        <w:drawing>
          <wp:inline distT="0" distB="0" distL="0" distR="0" wp14:anchorId="2DA39128" wp14:editId="7704885D">
            <wp:extent cx="3914156" cy="2692654"/>
            <wp:effectExtent l="0" t="0" r="0" b="0"/>
            <wp:docPr id="13731940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194072" name="Picture 1373194072"/>
                    <pic:cNvPicPr/>
                  </pic:nvPicPr>
                  <pic:blipFill>
                    <a:blip r:embed="rId11">
                      <a:extLst>
                        <a:ext uri="{28A0092B-C50C-407E-A947-70E740481C1C}">
                          <a14:useLocalDpi xmlns:a14="http://schemas.microsoft.com/office/drawing/2010/main" val="0"/>
                        </a:ext>
                      </a:extLst>
                    </a:blip>
                    <a:stretch>
                      <a:fillRect/>
                    </a:stretch>
                  </pic:blipFill>
                  <pic:spPr>
                    <a:xfrm>
                      <a:off x="0" y="0"/>
                      <a:ext cx="3922454" cy="2698362"/>
                    </a:xfrm>
                    <a:prstGeom prst="rect">
                      <a:avLst/>
                    </a:prstGeom>
                  </pic:spPr>
                </pic:pic>
              </a:graphicData>
            </a:graphic>
          </wp:inline>
        </w:drawing>
      </w:r>
    </w:p>
    <w:p w14:paraId="78C4B6BE" w14:textId="770FC1E0" w:rsidR="003544D6" w:rsidRPr="006F76BA" w:rsidRDefault="003544D6" w:rsidP="006F76BA">
      <w:pPr>
        <w:pStyle w:val="Caption"/>
        <w:spacing w:line="360" w:lineRule="auto"/>
        <w:jc w:val="center"/>
        <w:rPr>
          <w:b/>
          <w:bCs/>
          <w:color w:val="auto"/>
          <w:sz w:val="22"/>
          <w:szCs w:val="22"/>
        </w:rPr>
      </w:pPr>
      <w:r w:rsidRPr="006F76BA">
        <w:rPr>
          <w:b/>
          <w:bCs/>
          <w:color w:val="auto"/>
          <w:sz w:val="22"/>
          <w:szCs w:val="22"/>
        </w:rPr>
        <w:t xml:space="preserve">Figure </w:t>
      </w:r>
      <w:r w:rsidRPr="006F76BA">
        <w:rPr>
          <w:b/>
          <w:bCs/>
          <w:color w:val="auto"/>
          <w:sz w:val="22"/>
          <w:szCs w:val="22"/>
        </w:rPr>
        <w:fldChar w:fldCharType="begin"/>
      </w:r>
      <w:r w:rsidRPr="006F76BA">
        <w:rPr>
          <w:b/>
          <w:bCs/>
          <w:color w:val="auto"/>
          <w:sz w:val="22"/>
          <w:szCs w:val="22"/>
        </w:rPr>
        <w:instrText xml:space="preserve"> SEQ Figure \* ARABIC </w:instrText>
      </w:r>
      <w:r w:rsidRPr="006F76BA">
        <w:rPr>
          <w:b/>
          <w:bCs/>
          <w:color w:val="auto"/>
          <w:sz w:val="22"/>
          <w:szCs w:val="22"/>
        </w:rPr>
        <w:fldChar w:fldCharType="separate"/>
      </w:r>
      <w:r w:rsidR="008F2E99" w:rsidRPr="006F76BA">
        <w:rPr>
          <w:b/>
          <w:bCs/>
          <w:noProof/>
          <w:color w:val="auto"/>
          <w:sz w:val="22"/>
          <w:szCs w:val="22"/>
        </w:rPr>
        <w:t>4</w:t>
      </w:r>
      <w:r w:rsidRPr="006F76BA">
        <w:rPr>
          <w:b/>
          <w:bCs/>
          <w:color w:val="auto"/>
          <w:sz w:val="22"/>
          <w:szCs w:val="22"/>
        </w:rPr>
        <w:fldChar w:fldCharType="end"/>
      </w:r>
      <w:r w:rsidRPr="006F76BA">
        <w:rPr>
          <w:b/>
          <w:bCs/>
          <w:color w:val="auto"/>
          <w:sz w:val="22"/>
          <w:szCs w:val="22"/>
        </w:rPr>
        <w:t xml:space="preserve"> Life Expectancy UK (ONS, 2025)</w:t>
      </w:r>
    </w:p>
    <w:p w14:paraId="26A60C32" w14:textId="77777777" w:rsidR="002632B9" w:rsidRPr="00BE237E" w:rsidRDefault="002632B9" w:rsidP="000C33B7">
      <w:pPr>
        <w:spacing w:line="360" w:lineRule="auto"/>
        <w:rPr>
          <w:sz w:val="22"/>
          <w:szCs w:val="22"/>
        </w:rPr>
      </w:pPr>
    </w:p>
    <w:p w14:paraId="5E51BCBE" w14:textId="54B60D1C" w:rsidR="000A702B" w:rsidRPr="00BE237E" w:rsidRDefault="00451B05" w:rsidP="000C33B7">
      <w:pPr>
        <w:pStyle w:val="Heading2"/>
        <w:numPr>
          <w:ilvl w:val="1"/>
          <w:numId w:val="1"/>
        </w:numPr>
        <w:spacing w:line="360" w:lineRule="auto"/>
        <w:rPr>
          <w:rFonts w:cstheme="minorBidi"/>
          <w:sz w:val="22"/>
          <w:szCs w:val="22"/>
        </w:rPr>
      </w:pPr>
      <w:bookmarkStart w:id="5" w:name="_Toc234365134"/>
      <w:r w:rsidRPr="00BE237E">
        <w:rPr>
          <w:rFonts w:cstheme="minorBidi"/>
          <w:sz w:val="22"/>
          <w:szCs w:val="22"/>
        </w:rPr>
        <w:t>Local Policy</w:t>
      </w:r>
      <w:bookmarkEnd w:id="5"/>
    </w:p>
    <w:p w14:paraId="14F49CC0" w14:textId="70E21AD6" w:rsidR="00451B05" w:rsidRDefault="006060E5" w:rsidP="005F4590">
      <w:pPr>
        <w:spacing w:line="360" w:lineRule="auto"/>
        <w:rPr>
          <w:sz w:val="22"/>
          <w:szCs w:val="22"/>
        </w:rPr>
      </w:pPr>
      <w:r w:rsidRPr="00BE237E">
        <w:rPr>
          <w:sz w:val="22"/>
          <w:szCs w:val="22"/>
        </w:rPr>
        <w:t>The NHS Core20PLUS5 programme is implemented at the local level by the Greater Manchester Integrated Care System (GM ICS), who aim to tackle health inequalities by focusing on the health of the most deprived 20% of the population and vulnerable groups, such as ethnic minorities, people with learning disabilities and homeless people (NHS England, 202</w:t>
      </w:r>
      <w:r w:rsidR="00231489">
        <w:rPr>
          <w:sz w:val="22"/>
          <w:szCs w:val="22"/>
        </w:rPr>
        <w:t>1</w:t>
      </w:r>
      <w:r w:rsidRPr="00BE237E">
        <w:rPr>
          <w:sz w:val="22"/>
          <w:szCs w:val="22"/>
        </w:rPr>
        <w:t xml:space="preserve">). The programme focuses on five high priority clinical programmes, such as maternity, severe mental illness, chronic respiratory disease, early cancer detection and hypertension, and provides better access to preventive health and early intervention. Joint Strategic Needs Assessment (JSNA) is also used by local authorities for the purpose of identifying the health needs of the community and allocating resources (Thompson, 2023). Although these efforts have been made, there are still inequalities. Residents in deprived areas of Greater Manchester continue to experience higher rates of obesity, cardiovascular disease, diabetes and poor mental health than those in more affluent communities. </w:t>
      </w:r>
    </w:p>
    <w:p w14:paraId="46A2F18C" w14:textId="77777777" w:rsidR="005F4590" w:rsidRDefault="005F4590" w:rsidP="000C33B7">
      <w:pPr>
        <w:spacing w:line="360" w:lineRule="auto"/>
        <w:rPr>
          <w:sz w:val="22"/>
          <w:szCs w:val="22"/>
        </w:rPr>
      </w:pPr>
    </w:p>
    <w:p w14:paraId="6B0D7F13" w14:textId="77777777" w:rsidR="005F4590" w:rsidRPr="00BE237E" w:rsidRDefault="005F4590" w:rsidP="000C33B7">
      <w:pPr>
        <w:spacing w:line="360" w:lineRule="auto"/>
        <w:rPr>
          <w:sz w:val="22"/>
          <w:szCs w:val="22"/>
        </w:rPr>
      </w:pPr>
    </w:p>
    <w:p w14:paraId="133F07E4" w14:textId="22189AF6" w:rsidR="00451B05" w:rsidRPr="00BE237E" w:rsidRDefault="00451B05" w:rsidP="000C33B7">
      <w:pPr>
        <w:pStyle w:val="Heading2"/>
        <w:numPr>
          <w:ilvl w:val="1"/>
          <w:numId w:val="1"/>
        </w:numPr>
        <w:spacing w:line="360" w:lineRule="auto"/>
        <w:rPr>
          <w:rFonts w:cstheme="minorBidi"/>
          <w:sz w:val="22"/>
          <w:szCs w:val="22"/>
        </w:rPr>
      </w:pPr>
      <w:bookmarkStart w:id="6" w:name="_Toc234365135"/>
      <w:r w:rsidRPr="00BE237E">
        <w:rPr>
          <w:rFonts w:cstheme="minorBidi"/>
          <w:sz w:val="22"/>
          <w:szCs w:val="22"/>
        </w:rPr>
        <w:lastRenderedPageBreak/>
        <w:t>Critical Evaluation</w:t>
      </w:r>
      <w:bookmarkEnd w:id="6"/>
    </w:p>
    <w:p w14:paraId="7EF5C7A7" w14:textId="2BC431A6" w:rsidR="00C15517" w:rsidRPr="00BE237E" w:rsidRDefault="006178BD" w:rsidP="000C33B7">
      <w:pPr>
        <w:spacing w:line="360" w:lineRule="auto"/>
        <w:rPr>
          <w:sz w:val="22"/>
          <w:szCs w:val="22"/>
        </w:rPr>
      </w:pPr>
      <w:r w:rsidRPr="00BE237E">
        <w:rPr>
          <w:sz w:val="22"/>
          <w:szCs w:val="22"/>
        </w:rPr>
        <w:t>Increased access to health care, disease prevention, and life expectancy because of global, national and local efforts. Despite this, SDG 3 is not progressing evenly, as health policies focus on treatment, not on causal factors which drive poor health outcomes (Monaco, 202</w:t>
      </w:r>
      <w:r w:rsidR="00C47F6D">
        <w:rPr>
          <w:sz w:val="22"/>
          <w:szCs w:val="22"/>
        </w:rPr>
        <w:t>4</w:t>
      </w:r>
      <w:r w:rsidRPr="00BE237E">
        <w:rPr>
          <w:sz w:val="22"/>
          <w:szCs w:val="22"/>
        </w:rPr>
        <w:t>). Despite universal health coverage, there are persistent income, housing, educational, and employment disparities that continue to create disparities in health outcomes. During COVID-19, the poor health outcomes that vulnerable populations have faced during public health crises were highlighted. The Dahlgren and Whitehead Model is known in policy development but there is a strong emphasis on health services when it comes to implementation, not on the broader social determinants of health (Dahlgren &amp; Whitehead Model, 1991). Thus, while expanding access to health care services is important, SDG 3 requires that structural inequalities be reduced</w:t>
      </w:r>
      <w:r w:rsidR="00C15517" w:rsidRPr="00BE237E">
        <w:rPr>
          <w:sz w:val="22"/>
          <w:szCs w:val="22"/>
        </w:rPr>
        <w:t>.</w:t>
      </w:r>
    </w:p>
    <w:p w14:paraId="310696CD" w14:textId="305E8304" w:rsidR="00451B05" w:rsidRPr="00BE237E" w:rsidRDefault="00451B05" w:rsidP="000C33B7">
      <w:pPr>
        <w:pStyle w:val="Heading2"/>
        <w:numPr>
          <w:ilvl w:val="1"/>
          <w:numId w:val="1"/>
        </w:numPr>
        <w:spacing w:line="360" w:lineRule="auto"/>
        <w:rPr>
          <w:rFonts w:cstheme="minorBidi"/>
          <w:sz w:val="22"/>
          <w:szCs w:val="22"/>
        </w:rPr>
      </w:pPr>
      <w:bookmarkStart w:id="7" w:name="_Toc234365136"/>
      <w:r w:rsidRPr="00BE237E">
        <w:rPr>
          <w:rFonts w:cstheme="minorBidi"/>
          <w:sz w:val="22"/>
          <w:szCs w:val="22"/>
        </w:rPr>
        <w:t>Recommendations</w:t>
      </w:r>
      <w:bookmarkEnd w:id="7"/>
    </w:p>
    <w:p w14:paraId="393682A5" w14:textId="236C5F4B" w:rsidR="006F702A" w:rsidRPr="00BE237E" w:rsidRDefault="0062788F" w:rsidP="000C33B7">
      <w:pPr>
        <w:spacing w:line="360" w:lineRule="auto"/>
        <w:rPr>
          <w:sz w:val="22"/>
          <w:szCs w:val="22"/>
        </w:rPr>
      </w:pPr>
      <w:r w:rsidRPr="00BE237E">
        <w:rPr>
          <w:sz w:val="22"/>
          <w:szCs w:val="22"/>
        </w:rPr>
        <w:t>Investment in prevention and health equity, as well as healthcare delivery, is essential for achieving SDG 3. Governments need to make policies more robust on poverty, housing, education and employment to reduce the social determinants of ill health (Whitman et al., 2022). NHS should increase funding for mental health services and enhance early intervention for non-communicable diseases; and scale up the provision of preventive services under Core20PLUS5 Programme. Improve community health programmes, social prescribing and targeted interventions for deprived communities in the local context, by providing resources to locally based ICSs. The integration of health care, local government and voluntary agencies would enhance vulnerable groups' access (Hardin et al., 2020). In the global context, greater investments in UHC and support for LICs would result in lower inequality of health outcomes across the world and faster progress towards SDG 3</w:t>
      </w:r>
      <w:r w:rsidR="00217F4D" w:rsidRPr="00BE237E">
        <w:rPr>
          <w:sz w:val="22"/>
          <w:szCs w:val="22"/>
        </w:rPr>
        <w:t>.</w:t>
      </w:r>
    </w:p>
    <w:p w14:paraId="7C2CD736" w14:textId="4985EA99" w:rsidR="002A1FDE" w:rsidRPr="00BE237E" w:rsidRDefault="002A1FDE" w:rsidP="000C33B7">
      <w:pPr>
        <w:pStyle w:val="Heading1"/>
        <w:numPr>
          <w:ilvl w:val="0"/>
          <w:numId w:val="1"/>
        </w:numPr>
        <w:spacing w:line="360" w:lineRule="auto"/>
        <w:rPr>
          <w:rFonts w:cstheme="minorBidi"/>
          <w:sz w:val="22"/>
          <w:szCs w:val="22"/>
        </w:rPr>
      </w:pPr>
      <w:bookmarkStart w:id="8" w:name="_Toc234365137"/>
      <w:r w:rsidRPr="00BE237E">
        <w:rPr>
          <w:rFonts w:cstheme="minorBidi"/>
          <w:sz w:val="22"/>
          <w:szCs w:val="22"/>
        </w:rPr>
        <w:t>Section 2: SDG 10: Reduced Inequalities</w:t>
      </w:r>
      <w:bookmarkEnd w:id="8"/>
    </w:p>
    <w:p w14:paraId="23AFDA41" w14:textId="0E89874B" w:rsidR="00B147C8" w:rsidRPr="00BE237E" w:rsidRDefault="00B147C8" w:rsidP="000C33B7">
      <w:pPr>
        <w:pStyle w:val="Heading2"/>
        <w:numPr>
          <w:ilvl w:val="1"/>
          <w:numId w:val="1"/>
        </w:numPr>
        <w:spacing w:line="360" w:lineRule="auto"/>
        <w:rPr>
          <w:rFonts w:cstheme="minorBidi"/>
          <w:sz w:val="22"/>
          <w:szCs w:val="22"/>
        </w:rPr>
      </w:pPr>
      <w:bookmarkStart w:id="9" w:name="_Toc234365138"/>
      <w:r w:rsidRPr="00BE237E">
        <w:rPr>
          <w:rStyle w:val="Strong"/>
          <w:rFonts w:cstheme="minorBidi"/>
          <w:b/>
          <w:bCs w:val="0"/>
          <w:sz w:val="22"/>
          <w:szCs w:val="22"/>
        </w:rPr>
        <w:t>Overview of SDG 10</w:t>
      </w:r>
      <w:bookmarkEnd w:id="9"/>
    </w:p>
    <w:p w14:paraId="2C54BAFE" w14:textId="7E8D3698" w:rsidR="00B147C8" w:rsidRPr="00BE237E" w:rsidRDefault="005405C6" w:rsidP="000C33B7">
      <w:pPr>
        <w:spacing w:line="360" w:lineRule="auto"/>
        <w:rPr>
          <w:sz w:val="22"/>
          <w:szCs w:val="22"/>
        </w:rPr>
      </w:pPr>
      <w:r w:rsidRPr="00BE237E">
        <w:rPr>
          <w:sz w:val="22"/>
          <w:szCs w:val="22"/>
        </w:rPr>
        <w:t xml:space="preserve">SDG 10 targets to reduce inequality within and among countries by ensuring social, economic, and political inclusion and protection for all people, irrespective of their age, gender, disability, ethnicity, religion or economic status (United Nations, 2025). The aim of the goal is to tackle income disparity, equal opportunities, social protection, and access to healthcare, education and employment. The focus of SDG 10 is on inequality, but it is closely interconnected with SDG 3: Good Health and Wellbeing, as health inequalities are often a direct result of inequalities in access to health services, housing, education, work and the environment. Social harms, such as </w:t>
      </w:r>
      <w:r w:rsidRPr="00BE237E">
        <w:rPr>
          <w:sz w:val="22"/>
          <w:szCs w:val="22"/>
        </w:rPr>
        <w:lastRenderedPageBreak/>
        <w:t xml:space="preserve">poor mental health and a reduction in life expectancy result from poverty or social exclusion </w:t>
      </w:r>
      <w:r w:rsidR="00D03808" w:rsidRPr="00BE237E">
        <w:rPr>
          <w:sz w:val="22"/>
          <w:szCs w:val="22"/>
        </w:rPr>
        <w:t>(United Nations, 2025)</w:t>
      </w:r>
      <w:r w:rsidR="00B147C8" w:rsidRPr="00BE237E">
        <w:rPr>
          <w:sz w:val="22"/>
          <w:szCs w:val="22"/>
        </w:rPr>
        <w:t>.</w:t>
      </w:r>
    </w:p>
    <w:p w14:paraId="0E4AB680" w14:textId="77777777" w:rsidR="00000FB1" w:rsidRPr="00BE237E" w:rsidRDefault="00F673D9" w:rsidP="00BA1375">
      <w:pPr>
        <w:keepNext/>
        <w:spacing w:line="360" w:lineRule="auto"/>
        <w:jc w:val="center"/>
        <w:rPr>
          <w:sz w:val="22"/>
          <w:szCs w:val="22"/>
        </w:rPr>
      </w:pPr>
      <w:r w:rsidRPr="00BE237E">
        <w:rPr>
          <w:noProof/>
          <w:sz w:val="22"/>
          <w:szCs w:val="22"/>
        </w:rPr>
        <w:drawing>
          <wp:inline distT="0" distB="0" distL="0" distR="0" wp14:anchorId="31CCB57B" wp14:editId="01B657DF">
            <wp:extent cx="5167630" cy="3009014"/>
            <wp:effectExtent l="0" t="0" r="0" b="1270"/>
            <wp:docPr id="2110305713" name="Picture 4" descr="SUSTAINABLE DEVELOPMENT GOALS (SDGS) – SDG10 – ENGINEERS CONTRIBUTE TO  'REDUCE INEQUALITY WITHIN AND AMONG COUNTRIES' BY ENG. (DR.) SAJA A. A.  MAJEED – Saja A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STAINABLE DEVELOPMENT GOALS (SDGS) – SDG10 – ENGINEERS CONTRIBUTE TO  'REDUCE INEQUALITY WITHIN AND AMONG COUNTRIES' BY ENG. (DR.) SAJA A. A.  MAJEED – Saja AMA"/>
                    <pic:cNvPicPr>
                      <a:picLocks noChangeAspect="1" noChangeArrowheads="1"/>
                    </pic:cNvPicPr>
                  </pic:nvPicPr>
                  <pic:blipFill rotWithShape="1">
                    <a:blip r:embed="rId12">
                      <a:extLst>
                        <a:ext uri="{28A0092B-C50C-407E-A947-70E740481C1C}">
                          <a14:useLocalDpi xmlns:a14="http://schemas.microsoft.com/office/drawing/2010/main" val="0"/>
                        </a:ext>
                      </a:extLst>
                    </a:blip>
                    <a:srcRect b="14249"/>
                    <a:stretch>
                      <a:fillRect/>
                    </a:stretch>
                  </pic:blipFill>
                  <pic:spPr bwMode="auto">
                    <a:xfrm>
                      <a:off x="0" y="0"/>
                      <a:ext cx="5167630" cy="3009014"/>
                    </a:xfrm>
                    <a:prstGeom prst="rect">
                      <a:avLst/>
                    </a:prstGeom>
                    <a:noFill/>
                    <a:ln>
                      <a:noFill/>
                    </a:ln>
                    <a:extLst>
                      <a:ext uri="{53640926-AAD7-44D8-BBD7-CCE9431645EC}">
                        <a14:shadowObscured xmlns:a14="http://schemas.microsoft.com/office/drawing/2010/main"/>
                      </a:ext>
                    </a:extLst>
                  </pic:spPr>
                </pic:pic>
              </a:graphicData>
            </a:graphic>
          </wp:inline>
        </w:drawing>
      </w:r>
    </w:p>
    <w:p w14:paraId="414CE50D" w14:textId="0F6B0DE3" w:rsidR="005A576F" w:rsidRPr="00BA1375" w:rsidRDefault="00000FB1" w:rsidP="00BA1375">
      <w:pPr>
        <w:pStyle w:val="Caption"/>
        <w:spacing w:line="360" w:lineRule="auto"/>
        <w:jc w:val="center"/>
        <w:rPr>
          <w:b/>
          <w:bCs/>
          <w:sz w:val="22"/>
          <w:szCs w:val="22"/>
        </w:rPr>
      </w:pPr>
      <w:r w:rsidRPr="00BA1375">
        <w:rPr>
          <w:b/>
          <w:bCs/>
          <w:sz w:val="22"/>
          <w:szCs w:val="22"/>
        </w:rPr>
        <w:t xml:space="preserve">Figure </w:t>
      </w:r>
      <w:r w:rsidR="008F2E99" w:rsidRPr="00BA1375">
        <w:rPr>
          <w:b/>
          <w:bCs/>
          <w:sz w:val="22"/>
          <w:szCs w:val="22"/>
        </w:rPr>
        <w:fldChar w:fldCharType="begin"/>
      </w:r>
      <w:r w:rsidR="008F2E99" w:rsidRPr="00BA1375">
        <w:rPr>
          <w:b/>
          <w:bCs/>
          <w:sz w:val="22"/>
          <w:szCs w:val="22"/>
        </w:rPr>
        <w:instrText xml:space="preserve"> SEQ Figure \* ARABIC </w:instrText>
      </w:r>
      <w:r w:rsidR="008F2E99" w:rsidRPr="00BA1375">
        <w:rPr>
          <w:b/>
          <w:bCs/>
          <w:sz w:val="22"/>
          <w:szCs w:val="22"/>
        </w:rPr>
        <w:fldChar w:fldCharType="separate"/>
      </w:r>
      <w:r w:rsidR="008F2E99" w:rsidRPr="00BA1375">
        <w:rPr>
          <w:b/>
          <w:bCs/>
          <w:noProof/>
          <w:sz w:val="22"/>
          <w:szCs w:val="22"/>
        </w:rPr>
        <w:t>5</w:t>
      </w:r>
      <w:r w:rsidR="008F2E99" w:rsidRPr="00BA1375">
        <w:rPr>
          <w:b/>
          <w:bCs/>
          <w:noProof/>
          <w:sz w:val="22"/>
          <w:szCs w:val="22"/>
        </w:rPr>
        <w:fldChar w:fldCharType="end"/>
      </w:r>
      <w:r w:rsidRPr="00BA1375">
        <w:rPr>
          <w:b/>
          <w:bCs/>
          <w:sz w:val="22"/>
          <w:szCs w:val="22"/>
        </w:rPr>
        <w:t xml:space="preserve"> SDG 10 (</w:t>
      </w:r>
      <w:r w:rsidR="0085710A" w:rsidRPr="00BA1375">
        <w:rPr>
          <w:b/>
          <w:bCs/>
          <w:sz w:val="22"/>
          <w:szCs w:val="22"/>
        </w:rPr>
        <w:t>Aslam, 202</w:t>
      </w:r>
      <w:r w:rsidR="00C47F6D">
        <w:rPr>
          <w:b/>
          <w:bCs/>
          <w:sz w:val="22"/>
          <w:szCs w:val="22"/>
        </w:rPr>
        <w:t>5</w:t>
      </w:r>
      <w:r w:rsidRPr="00BA1375">
        <w:rPr>
          <w:b/>
          <w:bCs/>
          <w:sz w:val="22"/>
          <w:szCs w:val="22"/>
        </w:rPr>
        <w:t>)</w:t>
      </w:r>
    </w:p>
    <w:p w14:paraId="37D81430" w14:textId="0A1C371F" w:rsidR="00B147C8" w:rsidRPr="00BE237E" w:rsidRDefault="00A74554" w:rsidP="00542D82">
      <w:pPr>
        <w:spacing w:line="360" w:lineRule="auto"/>
        <w:rPr>
          <w:sz w:val="22"/>
          <w:szCs w:val="22"/>
        </w:rPr>
      </w:pPr>
      <w:r w:rsidRPr="00BE237E">
        <w:rPr>
          <w:sz w:val="22"/>
          <w:szCs w:val="22"/>
        </w:rPr>
        <w:t>Inequalities continue to be widespread globally. Today, the richest 10% of the world's population own more than three-quarters of global wealth, vulnerable populations see worse health outcomes, as is depicted in figure 6 (WIR, 202</w:t>
      </w:r>
      <w:r w:rsidR="0083661B">
        <w:rPr>
          <w:sz w:val="22"/>
          <w:szCs w:val="22"/>
        </w:rPr>
        <w:t>6</w:t>
      </w:r>
      <w:r w:rsidRPr="00BE237E">
        <w:rPr>
          <w:sz w:val="22"/>
          <w:szCs w:val="22"/>
        </w:rPr>
        <w:t xml:space="preserve">). Reducing inequalities is crucial to achieving SDG 3, as they are linked to lower participation in preventive health care and higher exposure to avoidable morbidity and mortality among groups. The Dahlgren and Whitehead Model, 1991 is appropriate for the understanding of this relationship. </w:t>
      </w:r>
    </w:p>
    <w:p w14:paraId="3E62B4FB" w14:textId="77777777" w:rsidR="008F2E99" w:rsidRPr="00BE237E" w:rsidRDefault="00C633BF" w:rsidP="00BA1375">
      <w:pPr>
        <w:keepNext/>
        <w:spacing w:line="360" w:lineRule="auto"/>
        <w:jc w:val="center"/>
        <w:rPr>
          <w:sz w:val="22"/>
          <w:szCs w:val="22"/>
        </w:rPr>
      </w:pPr>
      <w:r w:rsidRPr="00BE237E">
        <w:rPr>
          <w:noProof/>
          <w:sz w:val="22"/>
          <w:szCs w:val="22"/>
        </w:rPr>
        <w:lastRenderedPageBreak/>
        <w:drawing>
          <wp:inline distT="0" distB="0" distL="0" distR="0" wp14:anchorId="19FBD041" wp14:editId="291FEFA7">
            <wp:extent cx="4347620" cy="2597903"/>
            <wp:effectExtent l="0" t="0" r="0" b="0"/>
            <wp:docPr id="346278516" name="Picture 5" descr="Figure 1.3. Income and wealth shares are distributed very unequal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igure 1.3. Income and wealth shares are distributed very unequally"/>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0604" b="3003"/>
                    <a:stretch>
                      <a:fillRect/>
                    </a:stretch>
                  </pic:blipFill>
                  <pic:spPr bwMode="auto">
                    <a:xfrm>
                      <a:off x="0" y="0"/>
                      <a:ext cx="4351866" cy="2600440"/>
                    </a:xfrm>
                    <a:prstGeom prst="rect">
                      <a:avLst/>
                    </a:prstGeom>
                    <a:noFill/>
                    <a:ln>
                      <a:noFill/>
                    </a:ln>
                    <a:extLst>
                      <a:ext uri="{53640926-AAD7-44D8-BBD7-CCE9431645EC}">
                        <a14:shadowObscured xmlns:a14="http://schemas.microsoft.com/office/drawing/2010/main"/>
                      </a:ext>
                    </a:extLst>
                  </pic:spPr>
                </pic:pic>
              </a:graphicData>
            </a:graphic>
          </wp:inline>
        </w:drawing>
      </w:r>
    </w:p>
    <w:p w14:paraId="23EA824E" w14:textId="60C15A84" w:rsidR="00C633BF" w:rsidRPr="00BA1375" w:rsidRDefault="008F2E99" w:rsidP="00BA1375">
      <w:pPr>
        <w:pStyle w:val="Caption"/>
        <w:spacing w:line="360" w:lineRule="auto"/>
        <w:jc w:val="center"/>
        <w:rPr>
          <w:b/>
          <w:bCs/>
          <w:sz w:val="22"/>
          <w:szCs w:val="22"/>
        </w:rPr>
      </w:pPr>
      <w:r w:rsidRPr="00BA1375">
        <w:rPr>
          <w:b/>
          <w:bCs/>
          <w:sz w:val="22"/>
          <w:szCs w:val="22"/>
        </w:rPr>
        <w:t xml:space="preserve">Figure </w:t>
      </w:r>
      <w:r w:rsidRPr="00BA1375">
        <w:rPr>
          <w:b/>
          <w:bCs/>
          <w:sz w:val="22"/>
          <w:szCs w:val="22"/>
        </w:rPr>
        <w:fldChar w:fldCharType="begin"/>
      </w:r>
      <w:r w:rsidRPr="00BA1375">
        <w:rPr>
          <w:b/>
          <w:bCs/>
          <w:sz w:val="22"/>
          <w:szCs w:val="22"/>
        </w:rPr>
        <w:instrText xml:space="preserve"> SEQ Figure \* ARABIC </w:instrText>
      </w:r>
      <w:r w:rsidRPr="00BA1375">
        <w:rPr>
          <w:b/>
          <w:bCs/>
          <w:sz w:val="22"/>
          <w:szCs w:val="22"/>
        </w:rPr>
        <w:fldChar w:fldCharType="separate"/>
      </w:r>
      <w:r w:rsidRPr="00BA1375">
        <w:rPr>
          <w:b/>
          <w:bCs/>
          <w:noProof/>
          <w:sz w:val="22"/>
          <w:szCs w:val="22"/>
        </w:rPr>
        <w:t>6</w:t>
      </w:r>
      <w:r w:rsidRPr="00BA1375">
        <w:rPr>
          <w:b/>
          <w:bCs/>
          <w:noProof/>
          <w:sz w:val="22"/>
          <w:szCs w:val="22"/>
        </w:rPr>
        <w:fldChar w:fldCharType="end"/>
      </w:r>
      <w:r w:rsidRPr="00BA1375">
        <w:rPr>
          <w:b/>
          <w:bCs/>
          <w:sz w:val="22"/>
          <w:szCs w:val="22"/>
        </w:rPr>
        <w:t xml:space="preserve"> Income and Wealth share are distributed very unequally (WIR, 202</w:t>
      </w:r>
      <w:r w:rsidR="00963A0A">
        <w:rPr>
          <w:b/>
          <w:bCs/>
          <w:sz w:val="22"/>
          <w:szCs w:val="22"/>
        </w:rPr>
        <w:t>6</w:t>
      </w:r>
      <w:r w:rsidRPr="00BA1375">
        <w:rPr>
          <w:b/>
          <w:bCs/>
          <w:sz w:val="22"/>
          <w:szCs w:val="22"/>
        </w:rPr>
        <w:t>)</w:t>
      </w:r>
    </w:p>
    <w:p w14:paraId="778B3499" w14:textId="0B00E890" w:rsidR="00B147C8" w:rsidRPr="00BE237E" w:rsidRDefault="00B147C8" w:rsidP="000C33B7">
      <w:pPr>
        <w:pStyle w:val="Heading2"/>
        <w:numPr>
          <w:ilvl w:val="1"/>
          <w:numId w:val="1"/>
        </w:numPr>
        <w:spacing w:line="360" w:lineRule="auto"/>
        <w:rPr>
          <w:rFonts w:cstheme="minorBidi"/>
          <w:sz w:val="22"/>
          <w:szCs w:val="22"/>
        </w:rPr>
      </w:pPr>
      <w:bookmarkStart w:id="10" w:name="_Toc234365139"/>
      <w:r w:rsidRPr="00BE237E">
        <w:rPr>
          <w:rStyle w:val="Strong"/>
          <w:rFonts w:cstheme="minorBidi"/>
          <w:b/>
          <w:bCs w:val="0"/>
          <w:sz w:val="22"/>
          <w:szCs w:val="22"/>
        </w:rPr>
        <w:t>Global Policies</w:t>
      </w:r>
      <w:bookmarkEnd w:id="10"/>
    </w:p>
    <w:p w14:paraId="19321373" w14:textId="1AB61298" w:rsidR="00B147C8" w:rsidRPr="00BE237E" w:rsidRDefault="00A26CEC" w:rsidP="000C33B7">
      <w:pPr>
        <w:spacing w:line="360" w:lineRule="auto"/>
        <w:rPr>
          <w:sz w:val="22"/>
          <w:szCs w:val="22"/>
        </w:rPr>
      </w:pPr>
      <w:r w:rsidRPr="00BE237E">
        <w:rPr>
          <w:sz w:val="22"/>
          <w:szCs w:val="22"/>
        </w:rPr>
        <w:t>At the global level, SDG 10 is promoted through the 2030 Agenda for Sustainable Development, the World Bank's Social Protection and Jobs Programme, and the Commission on Social Determinants of Health by the World Health Organisation (</w:t>
      </w:r>
      <w:r w:rsidR="00520007" w:rsidRPr="00BE237E">
        <w:rPr>
          <w:sz w:val="22"/>
          <w:szCs w:val="22"/>
        </w:rPr>
        <w:t>World Health Organization</w:t>
      </w:r>
      <w:r w:rsidR="00520007">
        <w:rPr>
          <w:sz w:val="22"/>
          <w:szCs w:val="22"/>
        </w:rPr>
        <w:t xml:space="preserve">, </w:t>
      </w:r>
      <w:r w:rsidR="00520007" w:rsidRPr="00BE237E">
        <w:rPr>
          <w:sz w:val="22"/>
          <w:szCs w:val="22"/>
        </w:rPr>
        <w:t>2026</w:t>
      </w:r>
      <w:r w:rsidRPr="00BE237E">
        <w:rPr>
          <w:sz w:val="22"/>
          <w:szCs w:val="22"/>
        </w:rPr>
        <w:t>), among others, aiming to reduce poverty, to improve social protection, and to promote equitable access to health services. These efforts acknowledge that reducing inequality is a key determinant of health. Although progress has been made, inequalities are large. Approximately 4.1 billion people still lack access to social protection, exposing vulnerable populations to increased risks of poverty and ill health (ILO, 202</w:t>
      </w:r>
      <w:r w:rsidR="00EC2476">
        <w:rPr>
          <w:sz w:val="22"/>
          <w:szCs w:val="22"/>
        </w:rPr>
        <w:t>1</w:t>
      </w:r>
      <w:r w:rsidRPr="00BE237E">
        <w:rPr>
          <w:sz w:val="22"/>
          <w:szCs w:val="22"/>
        </w:rPr>
        <w:t xml:space="preserve">). In low-income countries, women had higher maternal death rates, more infectious diseases, and a lower life expectancy </w:t>
      </w:r>
      <w:r w:rsidR="00D92CEA" w:rsidRPr="00BE237E">
        <w:rPr>
          <w:sz w:val="22"/>
          <w:szCs w:val="22"/>
        </w:rPr>
        <w:t>since</w:t>
      </w:r>
      <w:r w:rsidRPr="00BE237E">
        <w:rPr>
          <w:sz w:val="22"/>
          <w:szCs w:val="22"/>
        </w:rPr>
        <w:t xml:space="preserve"> limited income affects their access to healthcare, nutritious food, sanitation and education (WHO, 2026). For poorer communities, their overcrowded homes, precarious jobs and lack of health services led to higher death rates during COVID-19. The Dahlgren and Whitehead Model </w:t>
      </w:r>
      <w:r w:rsidR="00D92CEA" w:rsidRPr="00BE237E">
        <w:rPr>
          <w:sz w:val="22"/>
          <w:szCs w:val="22"/>
        </w:rPr>
        <w:t>recognize</w:t>
      </w:r>
      <w:r w:rsidRPr="00BE237E">
        <w:rPr>
          <w:sz w:val="22"/>
          <w:szCs w:val="22"/>
        </w:rPr>
        <w:t xml:space="preserve"> the importance of broader social determinants and includes uneven implementation of these policies at the global level (Dahlgren &amp; Whitehead, 1991).  </w:t>
      </w:r>
    </w:p>
    <w:p w14:paraId="3120EDEF" w14:textId="2BB0D417" w:rsidR="00B147C8" w:rsidRPr="00BE237E" w:rsidRDefault="00B147C8" w:rsidP="000C33B7">
      <w:pPr>
        <w:pStyle w:val="Heading2"/>
        <w:numPr>
          <w:ilvl w:val="1"/>
          <w:numId w:val="1"/>
        </w:numPr>
        <w:spacing w:line="360" w:lineRule="auto"/>
        <w:rPr>
          <w:rFonts w:cstheme="minorBidi"/>
          <w:sz w:val="22"/>
          <w:szCs w:val="22"/>
        </w:rPr>
      </w:pPr>
      <w:bookmarkStart w:id="11" w:name="_Toc234365140"/>
      <w:r w:rsidRPr="00BE237E">
        <w:rPr>
          <w:rStyle w:val="Strong"/>
          <w:rFonts w:cstheme="minorBidi"/>
          <w:b/>
          <w:bCs w:val="0"/>
          <w:sz w:val="22"/>
          <w:szCs w:val="22"/>
        </w:rPr>
        <w:t>UK National Policies</w:t>
      </w:r>
      <w:bookmarkEnd w:id="11"/>
    </w:p>
    <w:p w14:paraId="2181395E" w14:textId="4512F8AE" w:rsidR="00B147C8" w:rsidRPr="00BE237E" w:rsidRDefault="00F55B55" w:rsidP="000C33B7">
      <w:pPr>
        <w:spacing w:line="360" w:lineRule="auto"/>
        <w:rPr>
          <w:sz w:val="22"/>
          <w:szCs w:val="22"/>
        </w:rPr>
      </w:pPr>
      <w:r w:rsidRPr="00BE237E">
        <w:rPr>
          <w:sz w:val="22"/>
          <w:szCs w:val="22"/>
        </w:rPr>
        <w:t xml:space="preserve">SDG 10 is supported in UK by policies such as the Equality Act 2010, Levelling Up Agenda, NHS Core20PLUS5 Programme, and social welfare policies that aim to address health and socioeconomic inequalities (HFMA, 2021). The policies aim to increase opportunities for disadvantaged populations and to lower the disparities in access to healthcare. But differences </w:t>
      </w:r>
      <w:r w:rsidRPr="00BE237E">
        <w:rPr>
          <w:sz w:val="22"/>
          <w:szCs w:val="22"/>
        </w:rPr>
        <w:lastRenderedPageBreak/>
        <w:t xml:space="preserve">between different groups are still significant. Healthy life expectancy is much lower for people in the most deprived areas of England compared to those in the least deprived areas (ONS, 2025). King's Fund (2024) show that deprivation is linked to increased obesity, cardiovascular disease, diabetes, and mental illness rates. There also remain disparities in access to health care and health status for ethnic minority groups and people with disabilities. The Dahlgren &amp; Whitehead (2021) model illustrates that national policies enhance access to health services but cannot comprehensively address other social determinants such as poverty and insecure jobs and housing inequalities. </w:t>
      </w:r>
    </w:p>
    <w:p w14:paraId="7582A19D" w14:textId="6591DCD7" w:rsidR="00B147C8" w:rsidRPr="00BE237E" w:rsidRDefault="00B147C8" w:rsidP="000C33B7">
      <w:pPr>
        <w:pStyle w:val="Heading2"/>
        <w:numPr>
          <w:ilvl w:val="1"/>
          <w:numId w:val="1"/>
        </w:numPr>
        <w:spacing w:line="360" w:lineRule="auto"/>
        <w:rPr>
          <w:rStyle w:val="Strong"/>
          <w:rFonts w:cstheme="minorBidi"/>
          <w:b/>
          <w:bCs w:val="0"/>
          <w:sz w:val="22"/>
          <w:szCs w:val="22"/>
        </w:rPr>
      </w:pPr>
      <w:bookmarkStart w:id="12" w:name="_Toc234365141"/>
      <w:r w:rsidRPr="00BE237E">
        <w:rPr>
          <w:rStyle w:val="Strong"/>
          <w:rFonts w:cstheme="minorBidi"/>
          <w:b/>
          <w:bCs w:val="0"/>
          <w:sz w:val="22"/>
          <w:szCs w:val="22"/>
        </w:rPr>
        <w:t>Local Policies</w:t>
      </w:r>
      <w:bookmarkEnd w:id="12"/>
    </w:p>
    <w:p w14:paraId="3FF8B108" w14:textId="46CE939D" w:rsidR="00BC2B05" w:rsidRPr="00BE237E" w:rsidRDefault="00BC2B05" w:rsidP="000C33B7">
      <w:pPr>
        <w:spacing w:line="360" w:lineRule="auto"/>
        <w:rPr>
          <w:sz w:val="22"/>
          <w:szCs w:val="22"/>
        </w:rPr>
      </w:pPr>
      <w:r w:rsidRPr="00BE237E">
        <w:rPr>
          <w:sz w:val="22"/>
          <w:szCs w:val="22"/>
        </w:rPr>
        <w:t>Locally, providers like Greater Manchester Integrated Care System deliver programmes to tackle inequities by engaging in targeted healthcare, employment support, housing, and community wellbeing interventions. The Making Manchester Fairer Strategy targets health inequalities by tackling those factors that affect health through poverty, employment, education, and housing (Manchester City Council, 2022). Community outreach programmes to provide access to NHS services for disadvantaged populations and food support schemes, mental health services, and employment programmes to begin to address wider determinants of health. JSNA is also used by local authorities to define vulnerable and target resources accordingly (TEES, 2024).</w:t>
      </w:r>
    </w:p>
    <w:p w14:paraId="248501D9" w14:textId="42AC4BBC" w:rsidR="00BC2B05" w:rsidRPr="00BE237E" w:rsidRDefault="00BC2B05" w:rsidP="000C33B7">
      <w:pPr>
        <w:spacing w:line="360" w:lineRule="auto"/>
        <w:rPr>
          <w:sz w:val="22"/>
          <w:szCs w:val="22"/>
        </w:rPr>
      </w:pPr>
      <w:r w:rsidRPr="00BE237E">
        <w:rPr>
          <w:sz w:val="22"/>
          <w:szCs w:val="22"/>
        </w:rPr>
        <w:t>However, there are still inequalities caused by financial restraints and continued socioeconomic deprivation. Using the Dahlgren and Whitehead Model, this means that local interventions can help increase the accessibility of health services and thus improve the population's health, but this will not be enough to bring about long-term health improvements because of the underlying, broader structural inequalities (Dahlgren &amp; Whitehead, 1991).</w:t>
      </w:r>
    </w:p>
    <w:p w14:paraId="42C10CB7" w14:textId="48D94757" w:rsidR="00B147C8" w:rsidRPr="00BE237E" w:rsidRDefault="00B147C8" w:rsidP="000C33B7">
      <w:pPr>
        <w:pStyle w:val="Heading2"/>
        <w:numPr>
          <w:ilvl w:val="1"/>
          <w:numId w:val="1"/>
        </w:numPr>
        <w:spacing w:line="360" w:lineRule="auto"/>
        <w:rPr>
          <w:rFonts w:cstheme="minorBidi"/>
          <w:sz w:val="22"/>
          <w:szCs w:val="22"/>
        </w:rPr>
      </w:pPr>
      <w:bookmarkStart w:id="13" w:name="_Toc234365142"/>
      <w:r w:rsidRPr="00BE237E">
        <w:rPr>
          <w:rStyle w:val="Strong"/>
          <w:rFonts w:cstheme="minorBidi"/>
          <w:b/>
          <w:bCs w:val="0"/>
          <w:sz w:val="22"/>
          <w:szCs w:val="22"/>
        </w:rPr>
        <w:t>Critical Evaluation</w:t>
      </w:r>
      <w:bookmarkEnd w:id="13"/>
    </w:p>
    <w:p w14:paraId="56FD106B" w14:textId="4E74A94E" w:rsidR="00B147C8" w:rsidRPr="00BE237E" w:rsidRDefault="00AE2910" w:rsidP="000C33B7">
      <w:pPr>
        <w:spacing w:line="360" w:lineRule="auto"/>
        <w:rPr>
          <w:sz w:val="22"/>
          <w:szCs w:val="22"/>
        </w:rPr>
      </w:pPr>
      <w:r w:rsidRPr="00BE237E">
        <w:rPr>
          <w:sz w:val="22"/>
          <w:szCs w:val="22"/>
        </w:rPr>
        <w:t>Global, national and local level works of SDG 10 increased social inclusion and access to health. But progress is uneven, with many policies focused on health services and not necessarily the broader social determinants of health that fuel disparities. Poverty, unemployment, housing conditions and discrimination still have a negative impact on physical and mental health, especially among disadvantaged groups (Mezzina et al., 202</w:t>
      </w:r>
      <w:r w:rsidR="00C47F6D">
        <w:rPr>
          <w:sz w:val="22"/>
          <w:szCs w:val="22"/>
        </w:rPr>
        <w:t>2</w:t>
      </w:r>
      <w:r w:rsidRPr="00BE237E">
        <w:rPr>
          <w:sz w:val="22"/>
          <w:szCs w:val="22"/>
        </w:rPr>
        <w:t xml:space="preserve">). The Dahlgren and Whitehead Model do not suggest that policies are sufficient to enhance healthcare provision, but that they must also focus on outer-layer determinants that impact on </w:t>
      </w:r>
      <w:r w:rsidRPr="00BE237E">
        <w:rPr>
          <w:sz w:val="22"/>
          <w:szCs w:val="22"/>
        </w:rPr>
        <w:lastRenderedPageBreak/>
        <w:t xml:space="preserve">health. Inequalities, therefore, further impede SDG 3 and contribute to causing avoidable morbidity, limited access to health services and growing life expectancy gaps </w:t>
      </w:r>
      <w:r w:rsidR="00A70BC7" w:rsidRPr="00BE237E">
        <w:rPr>
          <w:sz w:val="22"/>
          <w:szCs w:val="22"/>
        </w:rPr>
        <w:t>(</w:t>
      </w:r>
      <w:r w:rsidR="00690772" w:rsidRPr="00BE237E">
        <w:rPr>
          <w:sz w:val="22"/>
          <w:szCs w:val="22"/>
        </w:rPr>
        <w:t>Dyakova, 2017</w:t>
      </w:r>
      <w:r w:rsidR="00A70BC7" w:rsidRPr="00BE237E">
        <w:rPr>
          <w:sz w:val="22"/>
          <w:szCs w:val="22"/>
        </w:rPr>
        <w:t>)</w:t>
      </w:r>
      <w:r w:rsidR="00B147C8" w:rsidRPr="00BE237E">
        <w:rPr>
          <w:sz w:val="22"/>
          <w:szCs w:val="22"/>
        </w:rPr>
        <w:t>.</w:t>
      </w:r>
    </w:p>
    <w:p w14:paraId="456BAAFF" w14:textId="021DB628" w:rsidR="00B147C8" w:rsidRPr="00BE237E" w:rsidRDefault="00B147C8" w:rsidP="000C33B7">
      <w:pPr>
        <w:pStyle w:val="Heading2"/>
        <w:numPr>
          <w:ilvl w:val="1"/>
          <w:numId w:val="1"/>
        </w:numPr>
        <w:spacing w:line="360" w:lineRule="auto"/>
        <w:rPr>
          <w:rFonts w:cstheme="minorBidi"/>
          <w:sz w:val="22"/>
          <w:szCs w:val="22"/>
        </w:rPr>
      </w:pPr>
      <w:bookmarkStart w:id="14" w:name="_Toc234365143"/>
      <w:r w:rsidRPr="00BE237E">
        <w:rPr>
          <w:rStyle w:val="Strong"/>
          <w:rFonts w:cstheme="minorBidi"/>
          <w:b/>
          <w:bCs w:val="0"/>
          <w:sz w:val="22"/>
          <w:szCs w:val="22"/>
        </w:rPr>
        <w:t>Recommendations</w:t>
      </w:r>
      <w:bookmarkEnd w:id="14"/>
    </w:p>
    <w:p w14:paraId="633C1954" w14:textId="0B311153" w:rsidR="00B147C8" w:rsidRPr="00BE237E" w:rsidRDefault="00A37228" w:rsidP="000C33B7">
      <w:pPr>
        <w:spacing w:line="360" w:lineRule="auto"/>
        <w:rPr>
          <w:sz w:val="22"/>
          <w:szCs w:val="22"/>
        </w:rPr>
      </w:pPr>
      <w:r w:rsidRPr="00BE237E">
        <w:rPr>
          <w:sz w:val="22"/>
          <w:szCs w:val="22"/>
        </w:rPr>
        <w:t xml:space="preserve">There is a need for greater efforts to minimize the social determinants of health that impact health inequalities in SDG 10. There is a need for governments to invest more in affordable housing, education, employment and social protection in addition to health services (Gizaw et al., 2022). More resources should be allocated to the deprived communities via targeted prevention programmes and easily accessible primary healthcare. There is a need to increase support for vulnerable groups, locally, through partnership between healthcare providers, local authorities and community groups. Lastly, policies should be </w:t>
      </w:r>
      <w:r w:rsidR="00BA1375" w:rsidRPr="00BE237E">
        <w:rPr>
          <w:sz w:val="22"/>
          <w:szCs w:val="22"/>
        </w:rPr>
        <w:t>whole system</w:t>
      </w:r>
      <w:r w:rsidRPr="00BE237E">
        <w:rPr>
          <w:sz w:val="22"/>
          <w:szCs w:val="22"/>
        </w:rPr>
        <w:t xml:space="preserve"> based on the Dahlgren and Whitehead </w:t>
      </w:r>
      <w:r w:rsidR="00BA1375" w:rsidRPr="00BE237E">
        <w:rPr>
          <w:sz w:val="22"/>
          <w:szCs w:val="22"/>
        </w:rPr>
        <w:t>Model and</w:t>
      </w:r>
      <w:r w:rsidRPr="00BE237E">
        <w:rPr>
          <w:sz w:val="22"/>
          <w:szCs w:val="22"/>
        </w:rPr>
        <w:t xml:space="preserve"> should aim to decrease structural inequalities and create real sustainable change towards SDG 3 by improving social inclusion</w:t>
      </w:r>
      <w:r w:rsidR="00B147C8" w:rsidRPr="00BE237E">
        <w:rPr>
          <w:sz w:val="22"/>
          <w:szCs w:val="22"/>
        </w:rPr>
        <w:t>.</w:t>
      </w:r>
    </w:p>
    <w:p w14:paraId="13A4A0B5" w14:textId="6BF17310" w:rsidR="00B147C8" w:rsidRPr="00BE237E" w:rsidRDefault="00B147C8" w:rsidP="000C33B7">
      <w:pPr>
        <w:pStyle w:val="Heading1"/>
        <w:numPr>
          <w:ilvl w:val="0"/>
          <w:numId w:val="1"/>
        </w:numPr>
        <w:spacing w:line="360" w:lineRule="auto"/>
        <w:rPr>
          <w:rFonts w:cstheme="minorBidi"/>
          <w:sz w:val="22"/>
          <w:szCs w:val="22"/>
        </w:rPr>
      </w:pPr>
      <w:bookmarkStart w:id="15" w:name="_Toc234365144"/>
      <w:r w:rsidRPr="00BE237E">
        <w:rPr>
          <w:rStyle w:val="Strong"/>
          <w:rFonts w:cstheme="minorBidi"/>
          <w:b/>
          <w:bCs w:val="0"/>
          <w:sz w:val="22"/>
          <w:szCs w:val="22"/>
        </w:rPr>
        <w:t>Conclusion</w:t>
      </w:r>
      <w:bookmarkEnd w:id="15"/>
    </w:p>
    <w:p w14:paraId="0D51BC0A" w14:textId="55C62FED" w:rsidR="002A1FDE" w:rsidRPr="00BE237E" w:rsidRDefault="00A37228" w:rsidP="000C33B7">
      <w:pPr>
        <w:spacing w:line="360" w:lineRule="auto"/>
        <w:rPr>
          <w:sz w:val="22"/>
          <w:szCs w:val="22"/>
        </w:rPr>
      </w:pPr>
      <w:r w:rsidRPr="00BE237E">
        <w:rPr>
          <w:sz w:val="22"/>
          <w:szCs w:val="22"/>
        </w:rPr>
        <w:t>SDG 3 and SDG 10 are interlinked as the reduction of social and economic inequalities directly contributes to health outcomes. International, UK and local policies have improved access to health care and promoted inclusion, but inequalities in income, housing, education and employment harm health and wellbeing. Applying the Dahlgren and Whitehead Model demonstrates that addressing wider social determinants is essential for sustainable health improvement. Greater cross-sector collaboration, equitable resource allocation and targeted support for disadvantaged communities are necessary to reduce health inequalities and accelerate progress towards both SDG 3 and SDG 10 by 2030.</w:t>
      </w:r>
    </w:p>
    <w:p w14:paraId="3809DC6C" w14:textId="77777777" w:rsidR="00AE6015" w:rsidRPr="00BE237E" w:rsidRDefault="00AE6015" w:rsidP="000C33B7">
      <w:pPr>
        <w:spacing w:line="360" w:lineRule="auto"/>
        <w:rPr>
          <w:sz w:val="22"/>
          <w:szCs w:val="22"/>
        </w:rPr>
      </w:pPr>
    </w:p>
    <w:p w14:paraId="462EC006" w14:textId="77777777" w:rsidR="00F4379F" w:rsidRPr="00BE237E" w:rsidRDefault="00F4379F" w:rsidP="000C33B7">
      <w:pPr>
        <w:spacing w:line="360" w:lineRule="auto"/>
        <w:rPr>
          <w:sz w:val="22"/>
          <w:szCs w:val="22"/>
        </w:rPr>
      </w:pPr>
    </w:p>
    <w:p w14:paraId="56A82102" w14:textId="77777777" w:rsidR="00F4379F" w:rsidRPr="00BE237E" w:rsidRDefault="00F4379F" w:rsidP="000C33B7">
      <w:pPr>
        <w:spacing w:line="360" w:lineRule="auto"/>
        <w:rPr>
          <w:sz w:val="22"/>
          <w:szCs w:val="22"/>
        </w:rPr>
      </w:pPr>
    </w:p>
    <w:p w14:paraId="2B3A0B5E" w14:textId="77777777" w:rsidR="00F4379F" w:rsidRPr="00BE237E" w:rsidRDefault="00F4379F" w:rsidP="000C33B7">
      <w:pPr>
        <w:spacing w:line="360" w:lineRule="auto"/>
        <w:rPr>
          <w:sz w:val="22"/>
          <w:szCs w:val="22"/>
        </w:rPr>
      </w:pPr>
    </w:p>
    <w:p w14:paraId="7121C8DC" w14:textId="77777777" w:rsidR="00F4379F" w:rsidRPr="00BE237E" w:rsidRDefault="00F4379F" w:rsidP="000C33B7">
      <w:pPr>
        <w:spacing w:line="360" w:lineRule="auto"/>
        <w:rPr>
          <w:sz w:val="22"/>
          <w:szCs w:val="22"/>
        </w:rPr>
      </w:pPr>
    </w:p>
    <w:p w14:paraId="2E562737" w14:textId="77777777" w:rsidR="00805B3D" w:rsidRPr="00BE237E" w:rsidRDefault="00805B3D" w:rsidP="000C33B7">
      <w:pPr>
        <w:spacing w:line="360" w:lineRule="auto"/>
        <w:rPr>
          <w:sz w:val="22"/>
          <w:szCs w:val="22"/>
        </w:rPr>
      </w:pPr>
    </w:p>
    <w:p w14:paraId="2802CBB9" w14:textId="77777777" w:rsidR="00805B3D" w:rsidRPr="00BE237E" w:rsidRDefault="00805B3D" w:rsidP="000C33B7">
      <w:pPr>
        <w:spacing w:line="360" w:lineRule="auto"/>
        <w:rPr>
          <w:sz w:val="22"/>
          <w:szCs w:val="22"/>
        </w:rPr>
      </w:pPr>
    </w:p>
    <w:p w14:paraId="439FAEC0" w14:textId="77777777" w:rsidR="00F4379F" w:rsidRPr="00BE237E" w:rsidRDefault="00F4379F" w:rsidP="000C33B7">
      <w:pPr>
        <w:spacing w:line="360" w:lineRule="auto"/>
        <w:rPr>
          <w:sz w:val="22"/>
          <w:szCs w:val="22"/>
        </w:rPr>
      </w:pPr>
    </w:p>
    <w:p w14:paraId="6307B5B3" w14:textId="748A1CCB" w:rsidR="00F4379F" w:rsidRPr="00BE237E" w:rsidRDefault="00805B3D" w:rsidP="000C33B7">
      <w:pPr>
        <w:pStyle w:val="Heading1"/>
        <w:spacing w:line="360" w:lineRule="auto"/>
        <w:rPr>
          <w:rFonts w:cstheme="minorBidi"/>
          <w:sz w:val="22"/>
          <w:szCs w:val="22"/>
        </w:rPr>
      </w:pPr>
      <w:bookmarkStart w:id="16" w:name="_Toc234365145"/>
      <w:r w:rsidRPr="00BE237E">
        <w:rPr>
          <w:rFonts w:cstheme="minorBidi"/>
          <w:sz w:val="22"/>
          <w:szCs w:val="22"/>
        </w:rPr>
        <w:lastRenderedPageBreak/>
        <w:t>References</w:t>
      </w:r>
      <w:bookmarkEnd w:id="16"/>
    </w:p>
    <w:p w14:paraId="09B115E5" w14:textId="18966AE4" w:rsidR="00CB3A1E" w:rsidRPr="00BE237E" w:rsidRDefault="00CB3A1E" w:rsidP="008B72FA">
      <w:pPr>
        <w:pStyle w:val="NormalWeb"/>
        <w:spacing w:before="0" w:beforeAutospacing="0" w:after="240" w:afterAutospacing="0" w:line="360" w:lineRule="auto"/>
        <w:rPr>
          <w:rFonts w:asciiTheme="minorBidi" w:hAnsiTheme="minorBidi" w:cstheme="minorBidi"/>
          <w:sz w:val="22"/>
          <w:szCs w:val="22"/>
        </w:rPr>
      </w:pPr>
      <w:r w:rsidRPr="00BE237E">
        <w:rPr>
          <w:rFonts w:asciiTheme="minorBidi" w:hAnsiTheme="minorBidi" w:cstheme="minorBidi"/>
          <w:sz w:val="22"/>
          <w:szCs w:val="22"/>
        </w:rPr>
        <w:t xml:space="preserve">Aslam, S. (2025). </w:t>
      </w:r>
      <w:r w:rsidRPr="00BE237E">
        <w:rPr>
          <w:rFonts w:asciiTheme="minorBidi" w:hAnsiTheme="minorBidi" w:cstheme="minorBidi"/>
          <w:i/>
          <w:iCs/>
          <w:sz w:val="22"/>
          <w:szCs w:val="22"/>
        </w:rPr>
        <w:t>SUSTAINABLE DEVELOPMENT GOALS (SDGS) – SDG10 – ENGINEERS CONTRIBUTE TO ‘REDUCE INEQUALITY WITHIN AND AMONG COUNTRIES’ BY ENG. (DR.) SAJA A. A. MAJEED – Saja AMA</w:t>
      </w:r>
      <w:r w:rsidRPr="00BE237E">
        <w:rPr>
          <w:rFonts w:asciiTheme="minorBidi" w:hAnsiTheme="minorBidi" w:cstheme="minorBidi"/>
          <w:sz w:val="22"/>
          <w:szCs w:val="22"/>
        </w:rPr>
        <w:t xml:space="preserve">. [online] Available at: </w:t>
      </w:r>
      <w:hyperlink r:id="rId14" w:history="1">
        <w:r w:rsidRPr="00BE237E">
          <w:rPr>
            <w:rStyle w:val="Hyperlink"/>
            <w:rFonts w:asciiTheme="minorBidi" w:hAnsiTheme="minorBidi" w:cstheme="minorBidi"/>
            <w:sz w:val="22"/>
            <w:szCs w:val="22"/>
          </w:rPr>
          <w:t>http://aslamsaja.com/sustainable-development-goals-sdgs-sdg10-engineers-contribute-to-reduce-inequality-within-and-among-countries-by-eng-dr-saja-a-a-majeed/</w:t>
        </w:r>
      </w:hyperlink>
      <w:r w:rsidRPr="00BE237E">
        <w:rPr>
          <w:rFonts w:asciiTheme="minorBidi" w:hAnsiTheme="minorBidi" w:cstheme="minorBidi"/>
          <w:sz w:val="22"/>
          <w:szCs w:val="22"/>
        </w:rPr>
        <w:t xml:space="preserve">  [Accessed </w:t>
      </w:r>
      <w:r w:rsidR="00CB67A0">
        <w:rPr>
          <w:rFonts w:asciiTheme="minorBidi" w:hAnsiTheme="minorBidi" w:cstheme="minorBidi"/>
          <w:sz w:val="22"/>
          <w:szCs w:val="22"/>
        </w:rPr>
        <w:t>25</w:t>
      </w:r>
      <w:r w:rsidRPr="00BE237E">
        <w:rPr>
          <w:rFonts w:asciiTheme="minorBidi" w:hAnsiTheme="minorBidi" w:cstheme="minorBidi"/>
          <w:sz w:val="22"/>
          <w:szCs w:val="22"/>
        </w:rPr>
        <w:t xml:space="preserve"> Ju</w:t>
      </w:r>
      <w:r w:rsidR="00CB67A0">
        <w:rPr>
          <w:rFonts w:asciiTheme="minorBidi" w:hAnsiTheme="minorBidi" w:cstheme="minorBidi"/>
          <w:sz w:val="22"/>
          <w:szCs w:val="22"/>
        </w:rPr>
        <w:t>ne</w:t>
      </w:r>
      <w:r w:rsidRPr="00BE237E">
        <w:rPr>
          <w:rFonts w:asciiTheme="minorBidi" w:hAnsiTheme="minorBidi" w:cstheme="minorBidi"/>
          <w:sz w:val="22"/>
          <w:szCs w:val="22"/>
        </w:rPr>
        <w:t xml:space="preserve"> 2026].</w:t>
      </w:r>
    </w:p>
    <w:p w14:paraId="69A1A4D7" w14:textId="77777777" w:rsidR="00CB3A1E" w:rsidRPr="00BE237E" w:rsidRDefault="00CB3A1E" w:rsidP="008B72FA">
      <w:pPr>
        <w:spacing w:line="360" w:lineRule="auto"/>
        <w:rPr>
          <w:sz w:val="22"/>
          <w:szCs w:val="22"/>
        </w:rPr>
      </w:pPr>
      <w:r w:rsidRPr="00BE237E">
        <w:rPr>
          <w:sz w:val="22"/>
          <w:szCs w:val="22"/>
        </w:rPr>
        <w:t>Dahlgren, G., &amp; Whitehead, M. (1991). Policies and strategies to promote social equity in health. </w:t>
      </w:r>
      <w:r w:rsidRPr="00BE237E">
        <w:rPr>
          <w:i/>
          <w:iCs/>
          <w:sz w:val="22"/>
          <w:szCs w:val="22"/>
        </w:rPr>
        <w:t>Stockholm: Institute for future studies</w:t>
      </w:r>
      <w:r w:rsidRPr="00BE237E">
        <w:rPr>
          <w:sz w:val="22"/>
          <w:szCs w:val="22"/>
        </w:rPr>
        <w:t>, </w:t>
      </w:r>
      <w:r w:rsidRPr="00BE237E">
        <w:rPr>
          <w:i/>
          <w:iCs/>
          <w:sz w:val="22"/>
          <w:szCs w:val="22"/>
        </w:rPr>
        <w:t>27</w:t>
      </w:r>
      <w:r w:rsidRPr="00BE237E">
        <w:rPr>
          <w:sz w:val="22"/>
          <w:szCs w:val="22"/>
        </w:rPr>
        <w:t xml:space="preserve">(1), 4-41. </w:t>
      </w:r>
      <w:hyperlink r:id="rId15" w:history="1">
        <w:r w:rsidRPr="00BE237E">
          <w:rPr>
            <w:rStyle w:val="Hyperlink"/>
            <w:sz w:val="22"/>
            <w:szCs w:val="22"/>
          </w:rPr>
          <w:t>https://doi.org/10.3233/jad-180608</w:t>
        </w:r>
      </w:hyperlink>
      <w:r w:rsidRPr="00BE237E">
        <w:rPr>
          <w:sz w:val="22"/>
          <w:szCs w:val="22"/>
        </w:rPr>
        <w:t xml:space="preserve"> </w:t>
      </w:r>
    </w:p>
    <w:p w14:paraId="793DC436" w14:textId="77777777" w:rsidR="00CB3A1E" w:rsidRPr="00BE237E" w:rsidRDefault="00CB3A1E" w:rsidP="008B72FA">
      <w:pPr>
        <w:spacing w:line="360" w:lineRule="auto"/>
        <w:rPr>
          <w:sz w:val="22"/>
          <w:szCs w:val="22"/>
        </w:rPr>
      </w:pPr>
      <w:r w:rsidRPr="00BE237E">
        <w:rPr>
          <w:sz w:val="22"/>
          <w:szCs w:val="22"/>
        </w:rPr>
        <w:t>Dahlgren, G., &amp; Whitehead, M. (2021). The Dahlgren-Whitehead model of health determinants: 30 years on and still chasing rainbows. </w:t>
      </w:r>
      <w:r w:rsidRPr="00BE237E">
        <w:rPr>
          <w:i/>
          <w:iCs/>
          <w:sz w:val="22"/>
          <w:szCs w:val="22"/>
        </w:rPr>
        <w:t>Public health</w:t>
      </w:r>
      <w:r w:rsidRPr="00BE237E">
        <w:rPr>
          <w:sz w:val="22"/>
          <w:szCs w:val="22"/>
        </w:rPr>
        <w:t>, </w:t>
      </w:r>
      <w:r w:rsidRPr="00BE237E">
        <w:rPr>
          <w:i/>
          <w:iCs/>
          <w:sz w:val="22"/>
          <w:szCs w:val="22"/>
        </w:rPr>
        <w:t>199</w:t>
      </w:r>
      <w:r w:rsidRPr="00BE237E">
        <w:rPr>
          <w:sz w:val="22"/>
          <w:szCs w:val="22"/>
        </w:rPr>
        <w:t xml:space="preserve">, 20-24. </w:t>
      </w:r>
      <w:hyperlink r:id="rId16" w:history="1">
        <w:r w:rsidRPr="00BE237E">
          <w:rPr>
            <w:rStyle w:val="Hyperlink"/>
            <w:sz w:val="22"/>
            <w:szCs w:val="22"/>
          </w:rPr>
          <w:t>https://doi.org/10.1016/j.puhe.2021.08.009</w:t>
        </w:r>
      </w:hyperlink>
      <w:r w:rsidRPr="00BE237E">
        <w:rPr>
          <w:sz w:val="22"/>
          <w:szCs w:val="22"/>
        </w:rPr>
        <w:t xml:space="preserve"> </w:t>
      </w:r>
    </w:p>
    <w:p w14:paraId="519D5256" w14:textId="77777777" w:rsidR="00CB3A1E" w:rsidRPr="00BE237E" w:rsidRDefault="00CB3A1E" w:rsidP="008B72FA">
      <w:pPr>
        <w:spacing w:line="360" w:lineRule="auto"/>
        <w:rPr>
          <w:sz w:val="22"/>
          <w:szCs w:val="22"/>
        </w:rPr>
      </w:pPr>
      <w:r w:rsidRPr="00BE237E">
        <w:rPr>
          <w:sz w:val="22"/>
          <w:szCs w:val="22"/>
        </w:rPr>
        <w:t>Dyakova, M. (2017). Investment for health and well-being: a review of the social return on investment from public health policies to support implementing the Sustainable Development Goals by building on Health 2020.</w:t>
      </w:r>
    </w:p>
    <w:p w14:paraId="1B6C9DDD" w14:textId="77777777" w:rsidR="00CB3A1E" w:rsidRPr="00BE237E" w:rsidRDefault="00CB3A1E" w:rsidP="008B72FA">
      <w:pPr>
        <w:spacing w:line="360" w:lineRule="auto"/>
        <w:rPr>
          <w:sz w:val="22"/>
          <w:szCs w:val="22"/>
        </w:rPr>
      </w:pPr>
      <w:r w:rsidRPr="00BE237E">
        <w:rPr>
          <w:sz w:val="22"/>
          <w:szCs w:val="22"/>
        </w:rPr>
        <w:t>Gizaw, Z., Astale, T., &amp; Kassie, G. M. (2022). What improves access to primary healthcare services in rural communities? A systematic review. </w:t>
      </w:r>
      <w:r w:rsidRPr="00BE237E">
        <w:rPr>
          <w:i/>
          <w:iCs/>
          <w:sz w:val="22"/>
          <w:szCs w:val="22"/>
        </w:rPr>
        <w:t>BMC Primary Care</w:t>
      </w:r>
      <w:r w:rsidRPr="00BE237E">
        <w:rPr>
          <w:sz w:val="22"/>
          <w:szCs w:val="22"/>
        </w:rPr>
        <w:t>, </w:t>
      </w:r>
      <w:r w:rsidRPr="00BE237E">
        <w:rPr>
          <w:i/>
          <w:iCs/>
          <w:sz w:val="22"/>
          <w:szCs w:val="22"/>
        </w:rPr>
        <w:t>23</w:t>
      </w:r>
      <w:r w:rsidRPr="00BE237E">
        <w:rPr>
          <w:sz w:val="22"/>
          <w:szCs w:val="22"/>
        </w:rPr>
        <w:t xml:space="preserve">(1), 313. </w:t>
      </w:r>
      <w:hyperlink r:id="rId17" w:history="1">
        <w:r w:rsidRPr="00BE237E">
          <w:rPr>
            <w:rStyle w:val="Hyperlink"/>
            <w:sz w:val="22"/>
            <w:szCs w:val="22"/>
          </w:rPr>
          <w:t>https://doi.org/10.1186/s12875-022-01919-0</w:t>
        </w:r>
      </w:hyperlink>
      <w:r w:rsidRPr="00BE237E">
        <w:rPr>
          <w:sz w:val="22"/>
          <w:szCs w:val="22"/>
        </w:rPr>
        <w:t xml:space="preserve"> </w:t>
      </w:r>
    </w:p>
    <w:p w14:paraId="30F0DAFD" w14:textId="77777777" w:rsidR="00CB3A1E" w:rsidRPr="00BE237E" w:rsidRDefault="00CB3A1E" w:rsidP="008B72FA">
      <w:pPr>
        <w:spacing w:line="360" w:lineRule="auto"/>
        <w:rPr>
          <w:sz w:val="22"/>
          <w:szCs w:val="22"/>
        </w:rPr>
      </w:pPr>
      <w:r w:rsidRPr="00BE237E">
        <w:rPr>
          <w:sz w:val="22"/>
          <w:szCs w:val="22"/>
        </w:rPr>
        <w:t>Hardin, L., Trumbo, S., &amp; Wiest, D. (2020). Cross-sector collaboration for vulnerable populations reduces utilization and strengthens community partnerships. </w:t>
      </w:r>
      <w:r w:rsidRPr="00BE237E">
        <w:rPr>
          <w:i/>
          <w:iCs/>
          <w:sz w:val="22"/>
          <w:szCs w:val="22"/>
        </w:rPr>
        <w:t>Journal of Interprofessional Education &amp; Practice</w:t>
      </w:r>
      <w:r w:rsidRPr="00BE237E">
        <w:rPr>
          <w:sz w:val="22"/>
          <w:szCs w:val="22"/>
        </w:rPr>
        <w:t>, </w:t>
      </w:r>
      <w:r w:rsidRPr="00BE237E">
        <w:rPr>
          <w:i/>
          <w:iCs/>
          <w:sz w:val="22"/>
          <w:szCs w:val="22"/>
        </w:rPr>
        <w:t>18</w:t>
      </w:r>
      <w:r w:rsidRPr="00BE237E">
        <w:rPr>
          <w:sz w:val="22"/>
          <w:szCs w:val="22"/>
        </w:rPr>
        <w:t xml:space="preserve">, 100291. </w:t>
      </w:r>
      <w:hyperlink r:id="rId18" w:history="1">
        <w:r w:rsidRPr="00BE237E">
          <w:rPr>
            <w:rStyle w:val="Hyperlink"/>
            <w:sz w:val="22"/>
            <w:szCs w:val="22"/>
          </w:rPr>
          <w:t>https://doi.org/10.1016/j.xjep.2019.100291</w:t>
        </w:r>
      </w:hyperlink>
      <w:r w:rsidRPr="00BE237E">
        <w:rPr>
          <w:sz w:val="22"/>
          <w:szCs w:val="22"/>
        </w:rPr>
        <w:t xml:space="preserve"> </w:t>
      </w:r>
    </w:p>
    <w:p w14:paraId="230DDC20" w14:textId="112A4B3B" w:rsidR="00CB3A1E" w:rsidRPr="00BE237E" w:rsidRDefault="00CB3A1E" w:rsidP="008B72FA">
      <w:pPr>
        <w:pStyle w:val="NormalWeb"/>
        <w:spacing w:before="0" w:beforeAutospacing="0" w:after="240" w:afterAutospacing="0" w:line="360" w:lineRule="auto"/>
        <w:rPr>
          <w:rFonts w:asciiTheme="minorBidi" w:hAnsiTheme="minorBidi" w:cstheme="minorBidi"/>
          <w:sz w:val="22"/>
          <w:szCs w:val="22"/>
        </w:rPr>
      </w:pPr>
      <w:r w:rsidRPr="00BE237E">
        <w:rPr>
          <w:rFonts w:asciiTheme="minorBidi" w:hAnsiTheme="minorBidi" w:cstheme="minorBidi"/>
          <w:sz w:val="22"/>
          <w:szCs w:val="22"/>
        </w:rPr>
        <w:t xml:space="preserve">HFMA (2021). </w:t>
      </w:r>
      <w:r w:rsidRPr="00BE237E">
        <w:rPr>
          <w:rFonts w:asciiTheme="minorBidi" w:hAnsiTheme="minorBidi" w:cstheme="minorBidi"/>
          <w:i/>
          <w:iCs/>
          <w:sz w:val="22"/>
          <w:szCs w:val="22"/>
        </w:rPr>
        <w:t>Levelling up</w:t>
      </w:r>
      <w:r w:rsidRPr="00BE237E">
        <w:rPr>
          <w:rFonts w:asciiTheme="minorBidi" w:hAnsiTheme="minorBidi" w:cstheme="minorBidi"/>
          <w:sz w:val="22"/>
          <w:szCs w:val="22"/>
        </w:rPr>
        <w:t xml:space="preserve">. [online] HFMA. Available at: </w:t>
      </w:r>
      <w:hyperlink r:id="rId19" w:history="1">
        <w:r w:rsidRPr="00BE237E">
          <w:rPr>
            <w:rStyle w:val="Hyperlink"/>
            <w:rFonts w:asciiTheme="minorBidi" w:hAnsiTheme="minorBidi" w:cstheme="minorBidi"/>
            <w:sz w:val="22"/>
            <w:szCs w:val="22"/>
          </w:rPr>
          <w:t>https://www.hfma.org.uk/articles/levelling-0</w:t>
        </w:r>
      </w:hyperlink>
      <w:r w:rsidRPr="00BE237E">
        <w:rPr>
          <w:rFonts w:asciiTheme="minorBidi" w:hAnsiTheme="minorBidi" w:cstheme="minorBidi"/>
          <w:sz w:val="22"/>
          <w:szCs w:val="22"/>
        </w:rPr>
        <w:t xml:space="preserve">  [Accessed </w:t>
      </w:r>
      <w:r w:rsidR="00CB67A0">
        <w:rPr>
          <w:rFonts w:asciiTheme="minorBidi" w:hAnsiTheme="minorBidi" w:cstheme="minorBidi"/>
          <w:sz w:val="22"/>
          <w:szCs w:val="22"/>
        </w:rPr>
        <w:t>25</w:t>
      </w:r>
      <w:r w:rsidRPr="00BE237E">
        <w:rPr>
          <w:rFonts w:asciiTheme="minorBidi" w:hAnsiTheme="minorBidi" w:cstheme="minorBidi"/>
          <w:sz w:val="22"/>
          <w:szCs w:val="22"/>
        </w:rPr>
        <w:t xml:space="preserve"> Ju</w:t>
      </w:r>
      <w:r w:rsidR="00CB67A0">
        <w:rPr>
          <w:rFonts w:asciiTheme="minorBidi" w:hAnsiTheme="minorBidi" w:cstheme="minorBidi"/>
          <w:sz w:val="22"/>
          <w:szCs w:val="22"/>
        </w:rPr>
        <w:t>ne</w:t>
      </w:r>
      <w:r w:rsidRPr="00BE237E">
        <w:rPr>
          <w:rFonts w:asciiTheme="minorBidi" w:hAnsiTheme="minorBidi" w:cstheme="minorBidi"/>
          <w:sz w:val="22"/>
          <w:szCs w:val="22"/>
        </w:rPr>
        <w:t xml:space="preserve"> 2026].</w:t>
      </w:r>
    </w:p>
    <w:p w14:paraId="65C284A6" w14:textId="69A381E3" w:rsidR="00CB3A1E" w:rsidRPr="00BE237E" w:rsidRDefault="00CB3A1E" w:rsidP="008B72FA">
      <w:pPr>
        <w:pStyle w:val="NormalWeb"/>
        <w:spacing w:before="0" w:beforeAutospacing="0" w:after="240" w:afterAutospacing="0" w:line="360" w:lineRule="auto"/>
        <w:rPr>
          <w:rFonts w:asciiTheme="minorBidi" w:hAnsiTheme="minorBidi" w:cstheme="minorBidi"/>
          <w:sz w:val="22"/>
          <w:szCs w:val="22"/>
        </w:rPr>
      </w:pPr>
      <w:r w:rsidRPr="00BE237E">
        <w:rPr>
          <w:rFonts w:asciiTheme="minorBidi" w:hAnsiTheme="minorBidi" w:cstheme="minorBidi"/>
          <w:sz w:val="22"/>
          <w:szCs w:val="22"/>
        </w:rPr>
        <w:t xml:space="preserve">ILO (2021). </w:t>
      </w:r>
      <w:r w:rsidRPr="00BE237E">
        <w:rPr>
          <w:rFonts w:asciiTheme="minorBidi" w:hAnsiTheme="minorBidi" w:cstheme="minorBidi"/>
          <w:i/>
          <w:iCs/>
          <w:sz w:val="22"/>
          <w:szCs w:val="22"/>
        </w:rPr>
        <w:t>More than 4 billion people still lack any social protection, ILO report finds</w:t>
      </w:r>
      <w:r w:rsidRPr="00BE237E">
        <w:rPr>
          <w:rFonts w:asciiTheme="minorBidi" w:hAnsiTheme="minorBidi" w:cstheme="minorBidi"/>
          <w:sz w:val="22"/>
          <w:szCs w:val="22"/>
        </w:rPr>
        <w:t xml:space="preserve">. [online] International Labour Organization. Available at: </w:t>
      </w:r>
      <w:hyperlink r:id="rId20" w:history="1">
        <w:r w:rsidRPr="00BE237E">
          <w:rPr>
            <w:rStyle w:val="Hyperlink"/>
            <w:rFonts w:asciiTheme="minorBidi" w:hAnsiTheme="minorBidi" w:cstheme="minorBidi"/>
            <w:sz w:val="22"/>
            <w:szCs w:val="22"/>
          </w:rPr>
          <w:t>https://www.ilo.org/resource/news/more-4-billion-people-still-lack-any-social-protection-ilo-report-finds</w:t>
        </w:r>
      </w:hyperlink>
      <w:r w:rsidRPr="00BE237E">
        <w:rPr>
          <w:rFonts w:asciiTheme="minorBidi" w:hAnsiTheme="minorBidi" w:cstheme="minorBidi"/>
          <w:sz w:val="22"/>
          <w:szCs w:val="22"/>
        </w:rPr>
        <w:t xml:space="preserve">  [Accessed </w:t>
      </w:r>
      <w:r w:rsidR="00CB67A0">
        <w:rPr>
          <w:rFonts w:asciiTheme="minorBidi" w:hAnsiTheme="minorBidi" w:cstheme="minorBidi"/>
          <w:sz w:val="22"/>
          <w:szCs w:val="22"/>
        </w:rPr>
        <w:t>28</w:t>
      </w:r>
      <w:r w:rsidRPr="00BE237E">
        <w:rPr>
          <w:rFonts w:asciiTheme="minorBidi" w:hAnsiTheme="minorBidi" w:cstheme="minorBidi"/>
          <w:sz w:val="22"/>
          <w:szCs w:val="22"/>
        </w:rPr>
        <w:t xml:space="preserve"> Ju</w:t>
      </w:r>
      <w:r w:rsidR="00CB67A0">
        <w:rPr>
          <w:rFonts w:asciiTheme="minorBidi" w:hAnsiTheme="minorBidi" w:cstheme="minorBidi"/>
          <w:sz w:val="22"/>
          <w:szCs w:val="22"/>
        </w:rPr>
        <w:t>ne</w:t>
      </w:r>
      <w:r w:rsidRPr="00BE237E">
        <w:rPr>
          <w:rFonts w:asciiTheme="minorBidi" w:hAnsiTheme="minorBidi" w:cstheme="minorBidi"/>
          <w:sz w:val="22"/>
          <w:szCs w:val="22"/>
        </w:rPr>
        <w:t xml:space="preserve"> 2026].</w:t>
      </w:r>
    </w:p>
    <w:p w14:paraId="7267CA04" w14:textId="77777777" w:rsidR="00CB3A1E" w:rsidRPr="00BE237E" w:rsidRDefault="00CB3A1E" w:rsidP="008B72FA">
      <w:pPr>
        <w:pStyle w:val="NormalWeb"/>
        <w:spacing w:before="0" w:beforeAutospacing="0" w:after="240" w:afterAutospacing="0" w:line="360" w:lineRule="auto"/>
        <w:rPr>
          <w:rFonts w:asciiTheme="minorBidi" w:hAnsiTheme="minorBidi" w:cstheme="minorBidi"/>
          <w:sz w:val="22"/>
          <w:szCs w:val="22"/>
        </w:rPr>
      </w:pPr>
      <w:r w:rsidRPr="00BE237E">
        <w:rPr>
          <w:rFonts w:asciiTheme="minorBidi" w:hAnsiTheme="minorBidi" w:cstheme="minorBidi"/>
          <w:sz w:val="22"/>
          <w:szCs w:val="22"/>
        </w:rPr>
        <w:t xml:space="preserve">Manchester City Council (2022). </w:t>
      </w:r>
      <w:r w:rsidRPr="00BE237E">
        <w:rPr>
          <w:rFonts w:asciiTheme="minorBidi" w:hAnsiTheme="minorBidi" w:cstheme="minorBidi"/>
          <w:i/>
          <w:iCs/>
          <w:sz w:val="22"/>
          <w:szCs w:val="22"/>
        </w:rPr>
        <w:t>Making Manchester Fairer | Making Manchester Fairer | Manchester City Council</w:t>
      </w:r>
      <w:r w:rsidRPr="00BE237E">
        <w:rPr>
          <w:rFonts w:asciiTheme="minorBidi" w:hAnsiTheme="minorBidi" w:cstheme="minorBidi"/>
          <w:sz w:val="22"/>
          <w:szCs w:val="22"/>
        </w:rPr>
        <w:t xml:space="preserve">. [online] Manchester.gov.uk. Available at: </w:t>
      </w:r>
      <w:hyperlink r:id="rId21" w:history="1">
        <w:r w:rsidRPr="00BE237E">
          <w:rPr>
            <w:rStyle w:val="Hyperlink"/>
            <w:rFonts w:asciiTheme="minorBidi" w:hAnsiTheme="minorBidi" w:cstheme="minorBidi"/>
            <w:sz w:val="22"/>
            <w:szCs w:val="22"/>
          </w:rPr>
          <w:t>https://www.manchester.gov.uk/health-and-wellbeing/public-health/making-manchester-fairer</w:t>
        </w:r>
      </w:hyperlink>
      <w:r w:rsidRPr="00BE237E">
        <w:rPr>
          <w:rFonts w:asciiTheme="minorBidi" w:hAnsiTheme="minorBidi" w:cstheme="minorBidi"/>
          <w:sz w:val="22"/>
          <w:szCs w:val="22"/>
        </w:rPr>
        <w:t>. [Accessed 8 July 2026].</w:t>
      </w:r>
    </w:p>
    <w:p w14:paraId="12BDE302" w14:textId="77777777" w:rsidR="00CB3A1E" w:rsidRPr="00BE237E" w:rsidRDefault="00CB3A1E" w:rsidP="008B72FA">
      <w:pPr>
        <w:spacing w:line="360" w:lineRule="auto"/>
        <w:rPr>
          <w:sz w:val="22"/>
          <w:szCs w:val="22"/>
        </w:rPr>
      </w:pPr>
      <w:r w:rsidRPr="00EB6555">
        <w:rPr>
          <w:sz w:val="22"/>
          <w:szCs w:val="22"/>
          <w:lang w:val="en-US"/>
        </w:rPr>
        <w:lastRenderedPageBreak/>
        <w:t xml:space="preserve">Mezzina, R., Gopikumar, V., Jenkins, J., Saraceno, B., &amp; Sashidharan, S. P. (2022). </w:t>
      </w:r>
      <w:r w:rsidRPr="00BE237E">
        <w:rPr>
          <w:sz w:val="22"/>
          <w:szCs w:val="22"/>
        </w:rPr>
        <w:t>Social vulnerability and mental health inequalities in the “Syndemic”: Call for action. </w:t>
      </w:r>
      <w:r w:rsidRPr="00BE237E">
        <w:rPr>
          <w:i/>
          <w:iCs/>
          <w:sz w:val="22"/>
          <w:szCs w:val="22"/>
        </w:rPr>
        <w:t>Frontiers in psychiatry</w:t>
      </w:r>
      <w:r w:rsidRPr="00BE237E">
        <w:rPr>
          <w:sz w:val="22"/>
          <w:szCs w:val="22"/>
        </w:rPr>
        <w:t>, </w:t>
      </w:r>
      <w:r w:rsidRPr="00BE237E">
        <w:rPr>
          <w:i/>
          <w:iCs/>
          <w:sz w:val="22"/>
          <w:szCs w:val="22"/>
        </w:rPr>
        <w:t>13</w:t>
      </w:r>
      <w:r w:rsidRPr="00BE237E">
        <w:rPr>
          <w:sz w:val="22"/>
          <w:szCs w:val="22"/>
        </w:rPr>
        <w:t xml:space="preserve">, 894370. </w:t>
      </w:r>
      <w:hyperlink r:id="rId22" w:history="1">
        <w:r w:rsidRPr="00BE237E">
          <w:rPr>
            <w:rStyle w:val="Hyperlink"/>
            <w:sz w:val="22"/>
            <w:szCs w:val="22"/>
          </w:rPr>
          <w:t>https://doi.org/10.3389/fpsyt.2022.894370</w:t>
        </w:r>
      </w:hyperlink>
      <w:r w:rsidRPr="00BE237E">
        <w:rPr>
          <w:sz w:val="22"/>
          <w:szCs w:val="22"/>
        </w:rPr>
        <w:t xml:space="preserve"> </w:t>
      </w:r>
    </w:p>
    <w:p w14:paraId="19BA7867" w14:textId="77777777" w:rsidR="00CB3A1E" w:rsidRPr="00BE237E" w:rsidRDefault="00CB3A1E" w:rsidP="008B72FA">
      <w:pPr>
        <w:spacing w:line="360" w:lineRule="auto"/>
        <w:rPr>
          <w:sz w:val="22"/>
          <w:szCs w:val="22"/>
        </w:rPr>
      </w:pPr>
      <w:r w:rsidRPr="00BE237E">
        <w:rPr>
          <w:sz w:val="22"/>
          <w:szCs w:val="22"/>
        </w:rPr>
        <w:t>Monaco, S. (2024). SDG 3. Ensure healthy lives and promote well-being for all at all ages. In </w:t>
      </w:r>
      <w:r w:rsidRPr="00BE237E">
        <w:rPr>
          <w:i/>
          <w:iCs/>
          <w:sz w:val="22"/>
          <w:szCs w:val="22"/>
        </w:rPr>
        <w:t>Identity, territories, and sustainability: challenges and opportunities for achieving the UN sustainable development goals</w:t>
      </w:r>
      <w:r w:rsidRPr="00BE237E">
        <w:rPr>
          <w:sz w:val="22"/>
          <w:szCs w:val="22"/>
        </w:rPr>
        <w:t xml:space="preserve"> (pp. 33-41). Emerald Publishing Limited. </w:t>
      </w:r>
      <w:hyperlink r:id="rId23" w:history="1">
        <w:r w:rsidRPr="00BE237E">
          <w:rPr>
            <w:rStyle w:val="Hyperlink"/>
            <w:sz w:val="22"/>
            <w:szCs w:val="22"/>
          </w:rPr>
          <w:t>https://doi.org/10.1108/978-1-83797-549-520241004</w:t>
        </w:r>
      </w:hyperlink>
      <w:r w:rsidRPr="00BE237E">
        <w:rPr>
          <w:sz w:val="22"/>
          <w:szCs w:val="22"/>
        </w:rPr>
        <w:t xml:space="preserve"> </w:t>
      </w:r>
    </w:p>
    <w:p w14:paraId="21A9D57F" w14:textId="77777777" w:rsidR="00CB3A1E" w:rsidRPr="00BE237E" w:rsidRDefault="00CB3A1E" w:rsidP="008B72FA">
      <w:pPr>
        <w:pStyle w:val="NormalWeb"/>
        <w:spacing w:before="0" w:beforeAutospacing="0" w:after="240" w:afterAutospacing="0" w:line="360" w:lineRule="auto"/>
        <w:rPr>
          <w:rFonts w:asciiTheme="minorBidi" w:hAnsiTheme="minorBidi" w:cstheme="minorBidi"/>
          <w:sz w:val="22"/>
          <w:szCs w:val="22"/>
        </w:rPr>
      </w:pPr>
      <w:r w:rsidRPr="00BE237E">
        <w:rPr>
          <w:rFonts w:asciiTheme="minorBidi" w:hAnsiTheme="minorBidi" w:cstheme="minorBidi"/>
          <w:sz w:val="22"/>
          <w:szCs w:val="22"/>
        </w:rPr>
        <w:t xml:space="preserve">NHS England (2021). </w:t>
      </w:r>
      <w:r w:rsidRPr="00BE237E">
        <w:rPr>
          <w:rFonts w:asciiTheme="minorBidi" w:hAnsiTheme="minorBidi" w:cstheme="minorBidi"/>
          <w:i/>
          <w:iCs/>
          <w:sz w:val="22"/>
          <w:szCs w:val="22"/>
        </w:rPr>
        <w:t>Core20PLUS5 an Approach to Reducing Health Inequalities</w:t>
      </w:r>
      <w:r w:rsidRPr="00BE237E">
        <w:rPr>
          <w:rFonts w:asciiTheme="minorBidi" w:hAnsiTheme="minorBidi" w:cstheme="minorBidi"/>
          <w:sz w:val="22"/>
          <w:szCs w:val="22"/>
        </w:rPr>
        <w:t xml:space="preserve">. [online] Www.england.nhs.uk. Available at: </w:t>
      </w:r>
      <w:hyperlink r:id="rId24" w:history="1">
        <w:r w:rsidRPr="00BE237E">
          <w:rPr>
            <w:rStyle w:val="Hyperlink"/>
            <w:rFonts w:asciiTheme="minorBidi" w:hAnsiTheme="minorBidi" w:cstheme="minorBidi"/>
            <w:sz w:val="22"/>
            <w:szCs w:val="22"/>
          </w:rPr>
          <w:t>https://www.england.nhs.uk/about/equality/equality-hub/national-healthcare-inequalities-improvement-programme/core20plus5/</w:t>
        </w:r>
      </w:hyperlink>
      <w:r w:rsidRPr="00BE237E">
        <w:rPr>
          <w:rFonts w:asciiTheme="minorBidi" w:hAnsiTheme="minorBidi" w:cstheme="minorBidi"/>
          <w:sz w:val="22"/>
          <w:szCs w:val="22"/>
        </w:rPr>
        <w:t xml:space="preserve">  [Accessed 8 July 2026].</w:t>
      </w:r>
    </w:p>
    <w:p w14:paraId="0B7026F5" w14:textId="5A3148A8" w:rsidR="00CB3A1E" w:rsidRPr="00BE237E" w:rsidRDefault="00CB3A1E" w:rsidP="008B72FA">
      <w:pPr>
        <w:pStyle w:val="NormalWeb"/>
        <w:spacing w:before="0" w:beforeAutospacing="0" w:after="240" w:afterAutospacing="0" w:line="360" w:lineRule="auto"/>
        <w:rPr>
          <w:rFonts w:asciiTheme="minorBidi" w:hAnsiTheme="minorBidi" w:cstheme="minorBidi"/>
          <w:sz w:val="22"/>
          <w:szCs w:val="22"/>
        </w:rPr>
      </w:pPr>
      <w:r w:rsidRPr="00797320">
        <w:rPr>
          <w:rFonts w:asciiTheme="minorBidi" w:hAnsiTheme="minorBidi" w:cstheme="minorBidi"/>
          <w:szCs w:val="22"/>
        </w:rPr>
        <w:t xml:space="preserve">ONS (2025). </w:t>
      </w:r>
      <w:r w:rsidRPr="00797320">
        <w:rPr>
          <w:rFonts w:asciiTheme="minorBidi" w:hAnsiTheme="minorBidi" w:cstheme="minorBidi"/>
          <w:i/>
          <w:iCs/>
          <w:szCs w:val="22"/>
        </w:rPr>
        <w:t>National life tables – life expectancy in the UK</w:t>
      </w:r>
      <w:r w:rsidRPr="00797320">
        <w:rPr>
          <w:rFonts w:asciiTheme="minorBidi" w:hAnsiTheme="minorBidi" w:cstheme="minorBidi"/>
          <w:szCs w:val="22"/>
        </w:rPr>
        <w:t xml:space="preserve">. [online] Ons.gov.uk. Available at: </w:t>
      </w:r>
      <w:hyperlink r:id="rId25" w:history="1">
        <w:r w:rsidRPr="00797320">
          <w:rPr>
            <w:rStyle w:val="Hyperlink"/>
            <w:rFonts w:asciiTheme="minorBidi" w:hAnsiTheme="minorBidi" w:cstheme="minorBidi"/>
            <w:szCs w:val="22"/>
          </w:rPr>
          <w:t>https://www.ons.gov.uk/peoplepopulationandcommunity/birthsdeathsandmarriages/lifeexpectancies/bulletins/nationallifetablesunitedkingdom/2022to2024</w:t>
        </w:r>
      </w:hyperlink>
      <w:r w:rsidRPr="00797320">
        <w:rPr>
          <w:rFonts w:asciiTheme="minorBidi" w:hAnsiTheme="minorBidi" w:cstheme="minorBidi"/>
          <w:szCs w:val="22"/>
        </w:rPr>
        <w:t xml:space="preserve">. </w:t>
      </w:r>
      <w:r w:rsidRPr="00BE237E">
        <w:rPr>
          <w:rFonts w:asciiTheme="minorBidi" w:hAnsiTheme="minorBidi" w:cstheme="minorBidi"/>
          <w:sz w:val="22"/>
          <w:szCs w:val="22"/>
        </w:rPr>
        <w:t xml:space="preserve">[Accessed </w:t>
      </w:r>
      <w:r w:rsidR="00CB67A0">
        <w:rPr>
          <w:rFonts w:asciiTheme="minorBidi" w:hAnsiTheme="minorBidi" w:cstheme="minorBidi"/>
          <w:sz w:val="22"/>
          <w:szCs w:val="22"/>
        </w:rPr>
        <w:t>2</w:t>
      </w:r>
      <w:r w:rsidRPr="00BE237E">
        <w:rPr>
          <w:rFonts w:asciiTheme="minorBidi" w:hAnsiTheme="minorBidi" w:cstheme="minorBidi"/>
          <w:sz w:val="22"/>
          <w:szCs w:val="22"/>
        </w:rPr>
        <w:t xml:space="preserve"> July 2026].</w:t>
      </w:r>
    </w:p>
    <w:p w14:paraId="689332DC" w14:textId="0A739364" w:rsidR="00CB3A1E" w:rsidRPr="00BE237E" w:rsidRDefault="00CB3A1E" w:rsidP="008B72FA">
      <w:pPr>
        <w:pStyle w:val="NormalWeb"/>
        <w:spacing w:before="0" w:beforeAutospacing="0" w:after="240" w:afterAutospacing="0" w:line="360" w:lineRule="auto"/>
        <w:rPr>
          <w:rFonts w:asciiTheme="minorBidi" w:hAnsiTheme="minorBidi" w:cstheme="minorBidi"/>
          <w:sz w:val="22"/>
          <w:szCs w:val="22"/>
        </w:rPr>
      </w:pPr>
      <w:r w:rsidRPr="00BE237E">
        <w:rPr>
          <w:rFonts w:asciiTheme="minorBidi" w:hAnsiTheme="minorBidi" w:cstheme="minorBidi"/>
          <w:sz w:val="22"/>
          <w:szCs w:val="22"/>
        </w:rPr>
        <w:t xml:space="preserve">The King’s Fund (2024). </w:t>
      </w:r>
      <w:r w:rsidRPr="00BE237E">
        <w:rPr>
          <w:rFonts w:asciiTheme="minorBidi" w:hAnsiTheme="minorBidi" w:cstheme="minorBidi"/>
          <w:i/>
          <w:iCs/>
          <w:sz w:val="22"/>
          <w:szCs w:val="22"/>
        </w:rPr>
        <w:t>Health Inequalities in a Nutshell</w:t>
      </w:r>
      <w:r w:rsidRPr="00BE237E">
        <w:rPr>
          <w:rFonts w:asciiTheme="minorBidi" w:hAnsiTheme="minorBidi" w:cstheme="minorBidi"/>
          <w:sz w:val="22"/>
          <w:szCs w:val="22"/>
        </w:rPr>
        <w:t xml:space="preserve">. [online] The King’s Fund. Available at: </w:t>
      </w:r>
      <w:hyperlink r:id="rId26" w:history="1">
        <w:r w:rsidRPr="00BE237E">
          <w:rPr>
            <w:rStyle w:val="Hyperlink"/>
            <w:rFonts w:asciiTheme="minorBidi" w:hAnsiTheme="minorBidi" w:cstheme="minorBidi"/>
            <w:sz w:val="22"/>
            <w:szCs w:val="22"/>
          </w:rPr>
          <w:t>https://www.kingsfund.org.uk/insight-and-analysis/data-and-charts/health-inequalities-nutshell</w:t>
        </w:r>
      </w:hyperlink>
      <w:r w:rsidRPr="00BE237E">
        <w:rPr>
          <w:rFonts w:asciiTheme="minorBidi" w:hAnsiTheme="minorBidi" w:cstheme="minorBidi"/>
          <w:sz w:val="22"/>
          <w:szCs w:val="22"/>
        </w:rPr>
        <w:t xml:space="preserve">  [Accessed </w:t>
      </w:r>
      <w:r w:rsidR="00CB67A0">
        <w:rPr>
          <w:rFonts w:asciiTheme="minorBidi" w:hAnsiTheme="minorBidi" w:cstheme="minorBidi"/>
          <w:sz w:val="22"/>
          <w:szCs w:val="22"/>
        </w:rPr>
        <w:t>2</w:t>
      </w:r>
      <w:r w:rsidRPr="00BE237E">
        <w:rPr>
          <w:rFonts w:asciiTheme="minorBidi" w:hAnsiTheme="minorBidi" w:cstheme="minorBidi"/>
          <w:sz w:val="22"/>
          <w:szCs w:val="22"/>
        </w:rPr>
        <w:t xml:space="preserve"> July 2026].</w:t>
      </w:r>
    </w:p>
    <w:p w14:paraId="7213020D" w14:textId="77777777" w:rsidR="00CB3A1E" w:rsidRPr="00BE237E" w:rsidRDefault="00CB3A1E" w:rsidP="008B72FA">
      <w:pPr>
        <w:spacing w:line="360" w:lineRule="auto"/>
        <w:rPr>
          <w:sz w:val="22"/>
          <w:szCs w:val="22"/>
        </w:rPr>
      </w:pPr>
      <w:r w:rsidRPr="00BE237E">
        <w:rPr>
          <w:sz w:val="22"/>
          <w:szCs w:val="22"/>
        </w:rPr>
        <w:t>Thompson, S. R. (2023). Health needs assessment. </w:t>
      </w:r>
      <w:r w:rsidRPr="00BE237E">
        <w:rPr>
          <w:i/>
          <w:iCs/>
          <w:sz w:val="22"/>
          <w:szCs w:val="22"/>
        </w:rPr>
        <w:t>The Essential Guide to Public Health and Health Promotion</w:t>
      </w:r>
      <w:r w:rsidRPr="00BE237E">
        <w:rPr>
          <w:sz w:val="22"/>
          <w:szCs w:val="22"/>
        </w:rPr>
        <w:t>, 56-68.</w:t>
      </w:r>
    </w:p>
    <w:p w14:paraId="5E42AEA6" w14:textId="77777777" w:rsidR="00CB3A1E" w:rsidRPr="00BE237E" w:rsidRDefault="00CB3A1E" w:rsidP="008B72FA">
      <w:pPr>
        <w:pStyle w:val="NormalWeb"/>
        <w:spacing w:before="0" w:beforeAutospacing="0" w:after="240" w:afterAutospacing="0" w:line="360" w:lineRule="auto"/>
        <w:rPr>
          <w:rFonts w:asciiTheme="minorBidi" w:hAnsiTheme="minorBidi" w:cstheme="minorBidi"/>
          <w:sz w:val="22"/>
          <w:szCs w:val="22"/>
        </w:rPr>
      </w:pPr>
      <w:r w:rsidRPr="00BE237E">
        <w:rPr>
          <w:rFonts w:asciiTheme="minorBidi" w:hAnsiTheme="minorBidi" w:cstheme="minorBidi"/>
          <w:sz w:val="22"/>
          <w:szCs w:val="22"/>
        </w:rPr>
        <w:t xml:space="preserve">UNICEF (2021). </w:t>
      </w:r>
      <w:r w:rsidRPr="00BE237E">
        <w:rPr>
          <w:rFonts w:asciiTheme="minorBidi" w:hAnsiTheme="minorBidi" w:cstheme="minorBidi"/>
          <w:i/>
          <w:iCs/>
          <w:sz w:val="22"/>
          <w:szCs w:val="22"/>
        </w:rPr>
        <w:t>Title of Section (TK) Global Vaccine Action Plan</w:t>
      </w:r>
      <w:r w:rsidRPr="00BE237E">
        <w:rPr>
          <w:rFonts w:asciiTheme="minorBidi" w:hAnsiTheme="minorBidi" w:cstheme="minorBidi"/>
          <w:sz w:val="22"/>
          <w:szCs w:val="22"/>
        </w:rPr>
        <w:t xml:space="preserve">. [online] Available at: </w:t>
      </w:r>
      <w:hyperlink r:id="rId27" w:history="1">
        <w:r w:rsidRPr="00BE237E">
          <w:rPr>
            <w:rStyle w:val="Hyperlink"/>
            <w:rFonts w:asciiTheme="minorBidi" w:hAnsiTheme="minorBidi" w:cstheme="minorBidi"/>
            <w:sz w:val="22"/>
            <w:szCs w:val="22"/>
          </w:rPr>
          <w:t>https://www.unicef.org/mena/sites/unicef.org.mena/files/press-releases/mena-media-GVAP_single_pages_PRINT.pdf</w:t>
        </w:r>
      </w:hyperlink>
      <w:r w:rsidRPr="00BE237E">
        <w:rPr>
          <w:rFonts w:asciiTheme="minorBidi" w:hAnsiTheme="minorBidi" w:cstheme="minorBidi"/>
          <w:sz w:val="22"/>
          <w:szCs w:val="22"/>
        </w:rPr>
        <w:t>. [Accessed 8 July 2026].</w:t>
      </w:r>
    </w:p>
    <w:p w14:paraId="3F32EEF2" w14:textId="456E2F06" w:rsidR="00CB3A1E" w:rsidRPr="00BE237E" w:rsidRDefault="00CB3A1E" w:rsidP="008B72FA">
      <w:pPr>
        <w:pStyle w:val="NormalWeb"/>
        <w:spacing w:before="0" w:beforeAutospacing="0" w:after="240" w:afterAutospacing="0" w:line="360" w:lineRule="auto"/>
        <w:rPr>
          <w:rFonts w:asciiTheme="minorBidi" w:hAnsiTheme="minorBidi" w:cstheme="minorBidi"/>
          <w:sz w:val="22"/>
          <w:szCs w:val="22"/>
        </w:rPr>
      </w:pPr>
      <w:r w:rsidRPr="00BE237E">
        <w:rPr>
          <w:rFonts w:asciiTheme="minorBidi" w:hAnsiTheme="minorBidi" w:cstheme="minorBidi"/>
          <w:sz w:val="22"/>
          <w:szCs w:val="22"/>
        </w:rPr>
        <w:t xml:space="preserve">United Nations (2015). </w:t>
      </w:r>
      <w:r w:rsidRPr="00BE237E">
        <w:rPr>
          <w:rFonts w:asciiTheme="minorBidi" w:hAnsiTheme="minorBidi" w:cstheme="minorBidi"/>
          <w:i/>
          <w:iCs/>
          <w:sz w:val="22"/>
          <w:szCs w:val="22"/>
        </w:rPr>
        <w:t>The 17 sustainable development goals</w:t>
      </w:r>
      <w:r w:rsidRPr="00BE237E">
        <w:rPr>
          <w:rFonts w:asciiTheme="minorBidi" w:hAnsiTheme="minorBidi" w:cstheme="minorBidi"/>
          <w:sz w:val="22"/>
          <w:szCs w:val="22"/>
        </w:rPr>
        <w:t xml:space="preserve">. [online] United Nations. Available at: </w:t>
      </w:r>
      <w:hyperlink r:id="rId28" w:history="1">
        <w:r w:rsidRPr="00BE237E">
          <w:rPr>
            <w:rStyle w:val="Hyperlink"/>
            <w:rFonts w:asciiTheme="minorBidi" w:hAnsiTheme="minorBidi" w:cstheme="minorBidi"/>
            <w:sz w:val="22"/>
            <w:szCs w:val="22"/>
          </w:rPr>
          <w:t>https://sdgs.un.org/goals</w:t>
        </w:r>
      </w:hyperlink>
      <w:r w:rsidRPr="00BE237E">
        <w:rPr>
          <w:rFonts w:asciiTheme="minorBidi" w:hAnsiTheme="minorBidi" w:cstheme="minorBidi"/>
          <w:sz w:val="22"/>
          <w:szCs w:val="22"/>
        </w:rPr>
        <w:t xml:space="preserve">. [Accessed </w:t>
      </w:r>
      <w:r w:rsidR="00CB67A0">
        <w:rPr>
          <w:rFonts w:asciiTheme="minorBidi" w:hAnsiTheme="minorBidi" w:cstheme="minorBidi"/>
          <w:sz w:val="22"/>
          <w:szCs w:val="22"/>
        </w:rPr>
        <w:t>4</w:t>
      </w:r>
      <w:r w:rsidRPr="00BE237E">
        <w:rPr>
          <w:rFonts w:asciiTheme="minorBidi" w:hAnsiTheme="minorBidi" w:cstheme="minorBidi"/>
          <w:sz w:val="22"/>
          <w:szCs w:val="22"/>
        </w:rPr>
        <w:t xml:space="preserve"> July 2026].</w:t>
      </w:r>
    </w:p>
    <w:p w14:paraId="20058F2F" w14:textId="77777777" w:rsidR="00CB3A1E" w:rsidRPr="00BE237E" w:rsidRDefault="00CB3A1E" w:rsidP="008B72FA">
      <w:pPr>
        <w:pStyle w:val="NormalWeb"/>
        <w:spacing w:before="0" w:beforeAutospacing="0" w:after="240" w:afterAutospacing="0" w:line="360" w:lineRule="auto"/>
        <w:rPr>
          <w:rFonts w:asciiTheme="minorBidi" w:hAnsiTheme="minorBidi" w:cstheme="minorBidi"/>
          <w:sz w:val="22"/>
          <w:szCs w:val="22"/>
        </w:rPr>
      </w:pPr>
      <w:r w:rsidRPr="00BE237E">
        <w:rPr>
          <w:rFonts w:asciiTheme="minorBidi" w:hAnsiTheme="minorBidi" w:cstheme="minorBidi"/>
          <w:sz w:val="22"/>
          <w:szCs w:val="22"/>
        </w:rPr>
        <w:t xml:space="preserve">United Nations (2022). </w:t>
      </w:r>
      <w:r w:rsidRPr="00BE237E">
        <w:rPr>
          <w:rFonts w:asciiTheme="minorBidi" w:hAnsiTheme="minorBidi" w:cstheme="minorBidi"/>
          <w:i/>
          <w:iCs/>
          <w:sz w:val="22"/>
          <w:szCs w:val="22"/>
        </w:rPr>
        <w:t>Goal 3: Ensure healthy lives and promote well-being for all at all ages</w:t>
      </w:r>
      <w:r w:rsidRPr="00BE237E">
        <w:rPr>
          <w:rFonts w:asciiTheme="minorBidi" w:hAnsiTheme="minorBidi" w:cstheme="minorBidi"/>
          <w:sz w:val="22"/>
          <w:szCs w:val="22"/>
        </w:rPr>
        <w:t xml:space="preserve">. [online] United Nations Sustainable Development Goals. Available at: </w:t>
      </w:r>
      <w:hyperlink r:id="rId29" w:history="1">
        <w:r w:rsidRPr="00BE237E">
          <w:rPr>
            <w:rStyle w:val="Hyperlink"/>
            <w:rFonts w:asciiTheme="minorBidi" w:hAnsiTheme="minorBidi" w:cstheme="minorBidi"/>
            <w:sz w:val="22"/>
            <w:szCs w:val="22"/>
          </w:rPr>
          <w:t>https://www.un.org/sustainabledevelopment/health/</w:t>
        </w:r>
      </w:hyperlink>
      <w:r w:rsidRPr="00BE237E">
        <w:rPr>
          <w:rFonts w:asciiTheme="minorBidi" w:hAnsiTheme="minorBidi" w:cstheme="minorBidi"/>
          <w:sz w:val="22"/>
          <w:szCs w:val="22"/>
        </w:rPr>
        <w:t xml:space="preserve">. </w:t>
      </w:r>
      <w:r>
        <w:rPr>
          <w:rFonts w:asciiTheme="minorBidi" w:hAnsiTheme="minorBidi" w:cstheme="minorBidi"/>
          <w:sz w:val="22"/>
          <w:szCs w:val="22"/>
        </w:rPr>
        <w:t xml:space="preserve"> </w:t>
      </w:r>
      <w:r w:rsidRPr="00BE237E">
        <w:rPr>
          <w:rFonts w:asciiTheme="minorBidi" w:hAnsiTheme="minorBidi" w:cstheme="minorBidi"/>
          <w:sz w:val="22"/>
          <w:szCs w:val="22"/>
        </w:rPr>
        <w:t>[Accessed 8 July 2026].</w:t>
      </w:r>
    </w:p>
    <w:p w14:paraId="1052CCAD" w14:textId="77777777" w:rsidR="00CB3A1E" w:rsidRPr="00BE237E" w:rsidRDefault="00CB3A1E" w:rsidP="008B72FA">
      <w:pPr>
        <w:pStyle w:val="NormalWeb"/>
        <w:spacing w:before="0" w:beforeAutospacing="0" w:after="240" w:afterAutospacing="0" w:line="360" w:lineRule="auto"/>
        <w:rPr>
          <w:rFonts w:asciiTheme="minorBidi" w:hAnsiTheme="minorBidi" w:cstheme="minorBidi"/>
          <w:sz w:val="22"/>
          <w:szCs w:val="22"/>
        </w:rPr>
      </w:pPr>
      <w:r w:rsidRPr="00BE237E">
        <w:rPr>
          <w:rFonts w:asciiTheme="minorBidi" w:hAnsiTheme="minorBidi" w:cstheme="minorBidi"/>
          <w:sz w:val="22"/>
          <w:szCs w:val="22"/>
        </w:rPr>
        <w:lastRenderedPageBreak/>
        <w:t xml:space="preserve">United Nations (2025). </w:t>
      </w:r>
      <w:r w:rsidRPr="00BE237E">
        <w:rPr>
          <w:rFonts w:asciiTheme="minorBidi" w:hAnsiTheme="minorBidi" w:cstheme="minorBidi"/>
          <w:i/>
          <w:iCs/>
          <w:sz w:val="22"/>
          <w:szCs w:val="22"/>
        </w:rPr>
        <w:t>Goal 10: Reduce Inequality within and among Countries</w:t>
      </w:r>
      <w:r w:rsidRPr="00BE237E">
        <w:rPr>
          <w:rFonts w:asciiTheme="minorBidi" w:hAnsiTheme="minorBidi" w:cstheme="minorBidi"/>
          <w:sz w:val="22"/>
          <w:szCs w:val="22"/>
        </w:rPr>
        <w:t xml:space="preserve">. [online] United Nations Sustainable Development. Available at: </w:t>
      </w:r>
      <w:hyperlink r:id="rId30" w:history="1">
        <w:r w:rsidRPr="00BE237E">
          <w:rPr>
            <w:rStyle w:val="Hyperlink"/>
            <w:rFonts w:asciiTheme="minorBidi" w:hAnsiTheme="minorBidi" w:cstheme="minorBidi"/>
            <w:sz w:val="22"/>
            <w:szCs w:val="22"/>
          </w:rPr>
          <w:t>https://www.un.org/sustainabledevelopment/inequality/</w:t>
        </w:r>
      </w:hyperlink>
      <w:r w:rsidRPr="00BE237E">
        <w:rPr>
          <w:rFonts w:asciiTheme="minorBidi" w:hAnsiTheme="minorBidi" w:cstheme="minorBidi"/>
          <w:sz w:val="22"/>
          <w:szCs w:val="22"/>
        </w:rPr>
        <w:t xml:space="preserve">  [Accessed 8 July 2026].</w:t>
      </w:r>
    </w:p>
    <w:p w14:paraId="5382D114" w14:textId="77777777" w:rsidR="00CB3A1E" w:rsidRPr="00BE237E" w:rsidRDefault="00CB3A1E" w:rsidP="008B72FA">
      <w:pPr>
        <w:spacing w:line="360" w:lineRule="auto"/>
        <w:rPr>
          <w:sz w:val="22"/>
          <w:szCs w:val="22"/>
        </w:rPr>
      </w:pPr>
      <w:r w:rsidRPr="00BE237E">
        <w:rPr>
          <w:sz w:val="22"/>
          <w:szCs w:val="22"/>
        </w:rPr>
        <w:t>Whitman, A., De Lew, N., Chappel, A., Aysola, V., Zuckerman, R., &amp; Sommers, B. D. (2022). Addressing social determinants of health: examples of successful evidence-based strategies and current federal efforts. </w:t>
      </w:r>
      <w:r w:rsidRPr="00BE237E">
        <w:rPr>
          <w:i/>
          <w:iCs/>
          <w:sz w:val="22"/>
          <w:szCs w:val="22"/>
        </w:rPr>
        <w:t>Off Heal Policy</w:t>
      </w:r>
      <w:r w:rsidRPr="00BE237E">
        <w:rPr>
          <w:sz w:val="22"/>
          <w:szCs w:val="22"/>
        </w:rPr>
        <w:t>, </w:t>
      </w:r>
      <w:r w:rsidRPr="00BE237E">
        <w:rPr>
          <w:i/>
          <w:iCs/>
          <w:sz w:val="22"/>
          <w:szCs w:val="22"/>
        </w:rPr>
        <w:t>1</w:t>
      </w:r>
      <w:r w:rsidRPr="00BE237E">
        <w:rPr>
          <w:sz w:val="22"/>
          <w:szCs w:val="22"/>
        </w:rPr>
        <w:t>, 1-30.</w:t>
      </w:r>
    </w:p>
    <w:p w14:paraId="5C9BCA00" w14:textId="77777777" w:rsidR="00CB3A1E" w:rsidRPr="00BE237E" w:rsidRDefault="00CB3A1E" w:rsidP="008B72FA">
      <w:pPr>
        <w:pStyle w:val="NormalWeb"/>
        <w:spacing w:before="0" w:beforeAutospacing="0" w:after="240" w:afterAutospacing="0" w:line="360" w:lineRule="auto"/>
        <w:rPr>
          <w:rFonts w:asciiTheme="minorBidi" w:hAnsiTheme="minorBidi" w:cstheme="minorBidi"/>
          <w:sz w:val="22"/>
          <w:szCs w:val="22"/>
        </w:rPr>
      </w:pPr>
      <w:r w:rsidRPr="00BE237E">
        <w:rPr>
          <w:rFonts w:asciiTheme="minorBidi" w:hAnsiTheme="minorBidi" w:cstheme="minorBidi"/>
          <w:sz w:val="22"/>
          <w:szCs w:val="22"/>
        </w:rPr>
        <w:t>WHO (2025</w:t>
      </w:r>
      <w:r>
        <w:rPr>
          <w:rFonts w:asciiTheme="minorBidi" w:hAnsiTheme="minorBidi" w:cstheme="minorBidi"/>
          <w:sz w:val="22"/>
          <w:szCs w:val="22"/>
        </w:rPr>
        <w:t>a</w:t>
      </w:r>
      <w:r w:rsidRPr="00BE237E">
        <w:rPr>
          <w:rFonts w:asciiTheme="minorBidi" w:hAnsiTheme="minorBidi" w:cstheme="minorBidi"/>
          <w:sz w:val="22"/>
          <w:szCs w:val="22"/>
        </w:rPr>
        <w:t xml:space="preserve">). </w:t>
      </w:r>
      <w:r w:rsidRPr="00BE237E">
        <w:rPr>
          <w:rFonts w:asciiTheme="minorBidi" w:hAnsiTheme="minorBidi" w:cstheme="minorBidi"/>
          <w:i/>
          <w:iCs/>
          <w:sz w:val="22"/>
          <w:szCs w:val="22"/>
        </w:rPr>
        <w:t>Universal Health Coverage (UHC)</w:t>
      </w:r>
      <w:r w:rsidRPr="00BE237E">
        <w:rPr>
          <w:rFonts w:asciiTheme="minorBidi" w:hAnsiTheme="minorBidi" w:cstheme="minorBidi"/>
          <w:sz w:val="22"/>
          <w:szCs w:val="22"/>
        </w:rPr>
        <w:t xml:space="preserve">. [online] World Health Organization. Available at: </w:t>
      </w:r>
      <w:hyperlink r:id="rId31" w:history="1">
        <w:r w:rsidRPr="00BE237E">
          <w:rPr>
            <w:rStyle w:val="Hyperlink"/>
            <w:rFonts w:asciiTheme="minorBidi" w:hAnsiTheme="minorBidi" w:cstheme="minorBidi"/>
            <w:sz w:val="22"/>
            <w:szCs w:val="22"/>
          </w:rPr>
          <w:t>https://www.who.int/news-room/fact-sheets/detail/universal-health-coverage-(uhc)</w:t>
        </w:r>
      </w:hyperlink>
      <w:r w:rsidRPr="00BE237E">
        <w:rPr>
          <w:rFonts w:asciiTheme="minorBidi" w:hAnsiTheme="minorBidi" w:cstheme="minorBidi"/>
          <w:sz w:val="22"/>
          <w:szCs w:val="22"/>
        </w:rPr>
        <w:t>. [Accessed 8 July 2026].</w:t>
      </w:r>
    </w:p>
    <w:p w14:paraId="5FA144C1" w14:textId="69295CCF" w:rsidR="00CB3A1E" w:rsidRPr="00BE237E" w:rsidRDefault="00CB3A1E" w:rsidP="008B72FA">
      <w:pPr>
        <w:pStyle w:val="NormalWeb"/>
        <w:spacing w:before="0" w:beforeAutospacing="0" w:after="240" w:afterAutospacing="0" w:line="360" w:lineRule="auto"/>
        <w:rPr>
          <w:rFonts w:asciiTheme="minorBidi" w:hAnsiTheme="minorBidi" w:cstheme="minorBidi"/>
          <w:sz w:val="22"/>
          <w:szCs w:val="22"/>
        </w:rPr>
      </w:pPr>
      <w:r w:rsidRPr="00BE237E">
        <w:rPr>
          <w:rFonts w:asciiTheme="minorBidi" w:hAnsiTheme="minorBidi" w:cstheme="minorBidi"/>
          <w:sz w:val="22"/>
          <w:szCs w:val="22"/>
        </w:rPr>
        <w:t>WHO (2025</w:t>
      </w:r>
      <w:r>
        <w:rPr>
          <w:rFonts w:asciiTheme="minorBidi" w:hAnsiTheme="minorBidi" w:cstheme="minorBidi"/>
          <w:sz w:val="22"/>
          <w:szCs w:val="22"/>
        </w:rPr>
        <w:t>b</w:t>
      </w:r>
      <w:r w:rsidRPr="00BE237E">
        <w:rPr>
          <w:rFonts w:asciiTheme="minorBidi" w:hAnsiTheme="minorBidi" w:cstheme="minorBidi"/>
          <w:sz w:val="22"/>
          <w:szCs w:val="22"/>
        </w:rPr>
        <w:t xml:space="preserve">). </w:t>
      </w:r>
      <w:r w:rsidRPr="00BE237E">
        <w:rPr>
          <w:rFonts w:asciiTheme="minorBidi" w:hAnsiTheme="minorBidi" w:cstheme="minorBidi"/>
          <w:i/>
          <w:iCs/>
          <w:sz w:val="22"/>
          <w:szCs w:val="22"/>
        </w:rPr>
        <w:t>Most countries make progress towards universal health coverage, but major challenges remain, WHO–World Bank report finds</w:t>
      </w:r>
      <w:r w:rsidRPr="00BE237E">
        <w:rPr>
          <w:rFonts w:asciiTheme="minorBidi" w:hAnsiTheme="minorBidi" w:cstheme="minorBidi"/>
          <w:sz w:val="22"/>
          <w:szCs w:val="22"/>
        </w:rPr>
        <w:t xml:space="preserve">. [online] Who . Available at: </w:t>
      </w:r>
      <w:hyperlink r:id="rId32" w:history="1">
        <w:r w:rsidRPr="00BE237E">
          <w:rPr>
            <w:rStyle w:val="Hyperlink"/>
            <w:rFonts w:asciiTheme="minorBidi" w:hAnsiTheme="minorBidi" w:cstheme="minorBidi"/>
            <w:sz w:val="22"/>
            <w:szCs w:val="22"/>
          </w:rPr>
          <w:t>https://www.who.int/news/item/06-12-2025-most-countries-make-progress-towards-universal-health-coverage-but-major-challenges-remain-who-world-bank-report-finds</w:t>
        </w:r>
      </w:hyperlink>
      <w:r w:rsidRPr="00BE237E">
        <w:rPr>
          <w:rFonts w:asciiTheme="minorBidi" w:hAnsiTheme="minorBidi" w:cstheme="minorBidi"/>
          <w:sz w:val="22"/>
          <w:szCs w:val="22"/>
        </w:rPr>
        <w:t xml:space="preserve">  [Accessed </w:t>
      </w:r>
      <w:r w:rsidR="00CB67A0">
        <w:rPr>
          <w:rFonts w:asciiTheme="minorBidi" w:hAnsiTheme="minorBidi" w:cstheme="minorBidi"/>
          <w:sz w:val="22"/>
          <w:szCs w:val="22"/>
        </w:rPr>
        <w:t>4</w:t>
      </w:r>
      <w:r w:rsidRPr="00BE237E">
        <w:rPr>
          <w:rFonts w:asciiTheme="minorBidi" w:hAnsiTheme="minorBidi" w:cstheme="minorBidi"/>
          <w:sz w:val="22"/>
          <w:szCs w:val="22"/>
        </w:rPr>
        <w:t xml:space="preserve"> July 2026].</w:t>
      </w:r>
    </w:p>
    <w:p w14:paraId="48D78963" w14:textId="77777777" w:rsidR="00CB3A1E" w:rsidRPr="00BE237E" w:rsidRDefault="00CB3A1E" w:rsidP="008B72FA">
      <w:pPr>
        <w:pStyle w:val="NormalWeb"/>
        <w:spacing w:before="0" w:beforeAutospacing="0" w:after="240" w:afterAutospacing="0" w:line="360" w:lineRule="auto"/>
        <w:rPr>
          <w:rFonts w:asciiTheme="minorBidi" w:hAnsiTheme="minorBidi" w:cstheme="minorBidi"/>
          <w:sz w:val="22"/>
          <w:szCs w:val="22"/>
        </w:rPr>
      </w:pPr>
      <w:r w:rsidRPr="00BE237E">
        <w:rPr>
          <w:rFonts w:asciiTheme="minorBidi" w:hAnsiTheme="minorBidi" w:cstheme="minorBidi"/>
          <w:sz w:val="22"/>
          <w:szCs w:val="22"/>
        </w:rPr>
        <w:t>WHO (2025</w:t>
      </w:r>
      <w:r>
        <w:rPr>
          <w:rFonts w:asciiTheme="minorBidi" w:hAnsiTheme="minorBidi" w:cstheme="minorBidi"/>
          <w:sz w:val="22"/>
          <w:szCs w:val="22"/>
        </w:rPr>
        <w:t>c</w:t>
      </w:r>
      <w:r w:rsidRPr="00BE237E">
        <w:rPr>
          <w:rFonts w:asciiTheme="minorBidi" w:hAnsiTheme="minorBidi" w:cstheme="minorBidi"/>
          <w:sz w:val="22"/>
          <w:szCs w:val="22"/>
        </w:rPr>
        <w:t xml:space="preserve">). </w:t>
      </w:r>
      <w:r w:rsidRPr="00BE237E">
        <w:rPr>
          <w:rFonts w:asciiTheme="minorBidi" w:hAnsiTheme="minorBidi" w:cstheme="minorBidi"/>
          <w:i/>
          <w:iCs/>
          <w:sz w:val="22"/>
          <w:szCs w:val="22"/>
        </w:rPr>
        <w:t>Noncommunicable diseases</w:t>
      </w:r>
      <w:r w:rsidRPr="00BE237E">
        <w:rPr>
          <w:rFonts w:asciiTheme="minorBidi" w:hAnsiTheme="minorBidi" w:cstheme="minorBidi"/>
          <w:sz w:val="22"/>
          <w:szCs w:val="22"/>
        </w:rPr>
        <w:t xml:space="preserve">. [online] Www.who.int. Available at: </w:t>
      </w:r>
      <w:hyperlink r:id="rId33" w:history="1">
        <w:r w:rsidRPr="00BE237E">
          <w:rPr>
            <w:rStyle w:val="Hyperlink"/>
            <w:rFonts w:asciiTheme="minorBidi" w:hAnsiTheme="minorBidi" w:cstheme="minorBidi"/>
            <w:sz w:val="22"/>
            <w:szCs w:val="22"/>
          </w:rPr>
          <w:t>https://www.who.int/health-topics/noncommunicable-diseases</w:t>
        </w:r>
      </w:hyperlink>
      <w:r w:rsidRPr="00BE237E">
        <w:rPr>
          <w:rFonts w:asciiTheme="minorBidi" w:hAnsiTheme="minorBidi" w:cstheme="minorBidi"/>
          <w:sz w:val="22"/>
          <w:szCs w:val="22"/>
        </w:rPr>
        <w:t xml:space="preserve">  [Accessed 8 July 2026].</w:t>
      </w:r>
    </w:p>
    <w:p w14:paraId="0FBE7CAD" w14:textId="413D4E17" w:rsidR="00CB3A1E" w:rsidRPr="00BE237E" w:rsidRDefault="00CB3A1E" w:rsidP="008B72FA">
      <w:pPr>
        <w:pStyle w:val="NormalWeb"/>
        <w:spacing w:before="0" w:beforeAutospacing="0" w:after="240" w:afterAutospacing="0" w:line="360" w:lineRule="auto"/>
        <w:rPr>
          <w:rFonts w:asciiTheme="minorBidi" w:hAnsiTheme="minorBidi" w:cstheme="minorBidi"/>
          <w:sz w:val="22"/>
          <w:szCs w:val="22"/>
        </w:rPr>
      </w:pPr>
      <w:r w:rsidRPr="00BE237E">
        <w:rPr>
          <w:rFonts w:asciiTheme="minorBidi" w:hAnsiTheme="minorBidi" w:cstheme="minorBidi"/>
          <w:sz w:val="22"/>
          <w:szCs w:val="22"/>
        </w:rPr>
        <w:t xml:space="preserve">WHO (2026). </w:t>
      </w:r>
      <w:r w:rsidRPr="00BE237E">
        <w:rPr>
          <w:rFonts w:asciiTheme="minorBidi" w:hAnsiTheme="minorBidi" w:cstheme="minorBidi"/>
          <w:i/>
          <w:iCs/>
          <w:sz w:val="22"/>
          <w:szCs w:val="22"/>
        </w:rPr>
        <w:t>Maternal mortality</w:t>
      </w:r>
      <w:r w:rsidRPr="00BE237E">
        <w:rPr>
          <w:rFonts w:asciiTheme="minorBidi" w:hAnsiTheme="minorBidi" w:cstheme="minorBidi"/>
          <w:sz w:val="22"/>
          <w:szCs w:val="22"/>
        </w:rPr>
        <w:t xml:space="preserve">. [online] WHO. Available at: </w:t>
      </w:r>
      <w:hyperlink r:id="rId34" w:history="1">
        <w:r w:rsidRPr="00BE237E">
          <w:rPr>
            <w:rStyle w:val="Hyperlink"/>
            <w:rFonts w:asciiTheme="minorBidi" w:hAnsiTheme="minorBidi" w:cstheme="minorBidi"/>
            <w:sz w:val="22"/>
            <w:szCs w:val="22"/>
          </w:rPr>
          <w:t>https://www.who.int/news-room/fact-sheets/detail/maternal-mortality</w:t>
        </w:r>
      </w:hyperlink>
      <w:r w:rsidRPr="00BE237E">
        <w:rPr>
          <w:rFonts w:asciiTheme="minorBidi" w:hAnsiTheme="minorBidi" w:cstheme="minorBidi"/>
          <w:sz w:val="22"/>
          <w:szCs w:val="22"/>
        </w:rPr>
        <w:t xml:space="preserve">  [Accessed </w:t>
      </w:r>
      <w:r w:rsidR="00CB67A0">
        <w:rPr>
          <w:rFonts w:asciiTheme="minorBidi" w:hAnsiTheme="minorBidi" w:cstheme="minorBidi"/>
          <w:sz w:val="22"/>
          <w:szCs w:val="22"/>
        </w:rPr>
        <w:t>3</w:t>
      </w:r>
      <w:r w:rsidRPr="00BE237E">
        <w:rPr>
          <w:rFonts w:asciiTheme="minorBidi" w:hAnsiTheme="minorBidi" w:cstheme="minorBidi"/>
          <w:sz w:val="22"/>
          <w:szCs w:val="22"/>
        </w:rPr>
        <w:t xml:space="preserve"> July 2026].</w:t>
      </w:r>
    </w:p>
    <w:p w14:paraId="19C1A6EE" w14:textId="77777777" w:rsidR="00CB3A1E" w:rsidRPr="00BE237E" w:rsidRDefault="00CB3A1E" w:rsidP="008B72FA">
      <w:pPr>
        <w:pStyle w:val="NormalWeb"/>
        <w:spacing w:before="0" w:beforeAutospacing="0" w:after="240" w:afterAutospacing="0" w:line="360" w:lineRule="auto"/>
        <w:rPr>
          <w:rFonts w:asciiTheme="minorBidi" w:hAnsiTheme="minorBidi" w:cstheme="minorBidi"/>
          <w:sz w:val="22"/>
          <w:szCs w:val="22"/>
        </w:rPr>
      </w:pPr>
      <w:r w:rsidRPr="00BE237E">
        <w:rPr>
          <w:rFonts w:asciiTheme="minorBidi" w:hAnsiTheme="minorBidi" w:cstheme="minorBidi"/>
          <w:sz w:val="22"/>
          <w:szCs w:val="22"/>
        </w:rPr>
        <w:t>WIR (202</w:t>
      </w:r>
      <w:r>
        <w:rPr>
          <w:rFonts w:asciiTheme="minorBidi" w:hAnsiTheme="minorBidi" w:cstheme="minorBidi"/>
          <w:sz w:val="22"/>
          <w:szCs w:val="22"/>
        </w:rPr>
        <w:t>6</w:t>
      </w:r>
      <w:r w:rsidRPr="00BE237E">
        <w:rPr>
          <w:rFonts w:asciiTheme="minorBidi" w:hAnsiTheme="minorBidi" w:cstheme="minorBidi"/>
          <w:sz w:val="22"/>
          <w:szCs w:val="22"/>
        </w:rPr>
        <w:t xml:space="preserve">). </w:t>
      </w:r>
      <w:r w:rsidRPr="00BE237E">
        <w:rPr>
          <w:rFonts w:asciiTheme="minorBidi" w:hAnsiTheme="minorBidi" w:cstheme="minorBidi"/>
          <w:i/>
          <w:iCs/>
          <w:sz w:val="22"/>
          <w:szCs w:val="22"/>
        </w:rPr>
        <w:t>Global Economic Inequality - World Inequality Report 2026</w:t>
      </w:r>
      <w:r w:rsidRPr="00BE237E">
        <w:rPr>
          <w:rFonts w:asciiTheme="minorBidi" w:hAnsiTheme="minorBidi" w:cstheme="minorBidi"/>
          <w:sz w:val="22"/>
          <w:szCs w:val="22"/>
        </w:rPr>
        <w:t xml:space="preserve">. [online] World Inequality Report 2026. Available at: </w:t>
      </w:r>
      <w:hyperlink r:id="rId35" w:history="1">
        <w:r w:rsidRPr="00BE237E">
          <w:rPr>
            <w:rStyle w:val="Hyperlink"/>
            <w:rFonts w:asciiTheme="minorBidi" w:hAnsiTheme="minorBidi" w:cstheme="minorBidi"/>
            <w:sz w:val="22"/>
            <w:szCs w:val="22"/>
          </w:rPr>
          <w:t>https://wir2026.wid.world/insight/global-economic-inequity/</w:t>
        </w:r>
      </w:hyperlink>
      <w:r w:rsidRPr="00BE237E">
        <w:rPr>
          <w:rFonts w:asciiTheme="minorBidi" w:hAnsiTheme="minorBidi" w:cstheme="minorBidi"/>
          <w:sz w:val="22"/>
          <w:szCs w:val="22"/>
        </w:rPr>
        <w:t xml:space="preserve">  [Accessed 8 July 2026].</w:t>
      </w:r>
    </w:p>
    <w:p w14:paraId="352DC723" w14:textId="77777777" w:rsidR="00CB3A1E" w:rsidRPr="00BE237E" w:rsidRDefault="00CB3A1E" w:rsidP="008B72FA">
      <w:pPr>
        <w:pStyle w:val="NormalWeb"/>
        <w:spacing w:before="0" w:beforeAutospacing="0" w:after="240" w:afterAutospacing="0" w:line="360" w:lineRule="auto"/>
        <w:rPr>
          <w:rFonts w:asciiTheme="minorBidi" w:hAnsiTheme="minorBidi" w:cstheme="minorBidi"/>
          <w:sz w:val="22"/>
          <w:szCs w:val="22"/>
        </w:rPr>
      </w:pPr>
      <w:r w:rsidRPr="00BE237E">
        <w:rPr>
          <w:rFonts w:asciiTheme="minorBidi" w:hAnsiTheme="minorBidi" w:cstheme="minorBidi"/>
          <w:sz w:val="22"/>
          <w:szCs w:val="22"/>
        </w:rPr>
        <w:t xml:space="preserve">World Health Organization (2026). </w:t>
      </w:r>
      <w:r w:rsidRPr="00BE237E">
        <w:rPr>
          <w:rFonts w:asciiTheme="minorBidi" w:hAnsiTheme="minorBidi" w:cstheme="minorBidi"/>
          <w:i/>
          <w:iCs/>
          <w:sz w:val="22"/>
          <w:szCs w:val="22"/>
        </w:rPr>
        <w:t>Commission on Social Determinants of Health</w:t>
      </w:r>
      <w:r w:rsidRPr="00BE237E">
        <w:rPr>
          <w:rFonts w:asciiTheme="minorBidi" w:hAnsiTheme="minorBidi" w:cstheme="minorBidi"/>
          <w:sz w:val="22"/>
          <w:szCs w:val="22"/>
        </w:rPr>
        <w:t xml:space="preserve">. [online] Who.int. Available at: </w:t>
      </w:r>
      <w:hyperlink r:id="rId36" w:history="1">
        <w:r w:rsidRPr="00BE237E">
          <w:rPr>
            <w:rStyle w:val="Hyperlink"/>
            <w:rFonts w:asciiTheme="minorBidi" w:hAnsiTheme="minorBidi" w:cstheme="minorBidi"/>
            <w:sz w:val="22"/>
            <w:szCs w:val="22"/>
          </w:rPr>
          <w:t>https://www.who.int/teams/social-determinants-of-health/equity-and-health/world-report-on-social-determinants-of-health-equity/commission-on-social-determinants-of-health</w:t>
        </w:r>
      </w:hyperlink>
      <w:r w:rsidRPr="00BE237E">
        <w:rPr>
          <w:rFonts w:asciiTheme="minorBidi" w:hAnsiTheme="minorBidi" w:cstheme="minorBidi"/>
          <w:sz w:val="22"/>
          <w:szCs w:val="22"/>
        </w:rPr>
        <w:t xml:space="preserve"> [Accessed 8 July 2026].</w:t>
      </w:r>
    </w:p>
    <w:p w14:paraId="26AC8873" w14:textId="593758D0" w:rsidR="00F4379F" w:rsidRPr="00BE237E" w:rsidRDefault="00F4379F" w:rsidP="000C33B7">
      <w:pPr>
        <w:pStyle w:val="NormalWeb"/>
        <w:spacing w:before="0" w:beforeAutospacing="0" w:after="240" w:afterAutospacing="0" w:line="360" w:lineRule="auto"/>
        <w:rPr>
          <w:rFonts w:asciiTheme="minorBidi" w:hAnsiTheme="minorBidi" w:cstheme="minorBidi"/>
          <w:sz w:val="22"/>
          <w:szCs w:val="22"/>
        </w:rPr>
      </w:pPr>
    </w:p>
    <w:sectPr w:rsidR="00F4379F" w:rsidRPr="00BE237E" w:rsidSect="00BD75B0">
      <w:footerReference w:type="default" r:id="rId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47D92C" w14:textId="77777777" w:rsidR="00C3088D" w:rsidRDefault="00C3088D" w:rsidP="00B01D41">
      <w:pPr>
        <w:spacing w:after="0" w:line="240" w:lineRule="auto"/>
      </w:pPr>
      <w:r>
        <w:separator/>
      </w:r>
    </w:p>
  </w:endnote>
  <w:endnote w:type="continuationSeparator" w:id="0">
    <w:p w14:paraId="606F270C" w14:textId="77777777" w:rsidR="00C3088D" w:rsidRDefault="00C3088D" w:rsidP="00B01D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2900835"/>
      <w:docPartObj>
        <w:docPartGallery w:val="Page Numbers (Bottom of Page)"/>
        <w:docPartUnique/>
      </w:docPartObj>
    </w:sdtPr>
    <w:sdtContent>
      <w:p w14:paraId="5E5E790D" w14:textId="0BE70B9A" w:rsidR="00BF7ED7" w:rsidRDefault="00BF7ED7">
        <w:pPr>
          <w:pStyle w:val="Footer"/>
          <w:jc w:val="center"/>
        </w:pPr>
        <w:r>
          <w:fldChar w:fldCharType="begin"/>
        </w:r>
        <w:r>
          <w:instrText>PAGE   \* MERGEFORMAT</w:instrText>
        </w:r>
        <w:r>
          <w:fldChar w:fldCharType="separate"/>
        </w:r>
        <w:r>
          <w:rPr>
            <w:lang w:val="de-DE"/>
          </w:rPr>
          <w:t>2</w:t>
        </w:r>
        <w:r>
          <w:fldChar w:fldCharType="end"/>
        </w:r>
      </w:p>
    </w:sdtContent>
  </w:sdt>
  <w:p w14:paraId="4CA39E31" w14:textId="77777777" w:rsidR="00BF7ED7" w:rsidRDefault="00BF7E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8F42DE" w14:textId="77777777" w:rsidR="00C3088D" w:rsidRDefault="00C3088D" w:rsidP="00B01D41">
      <w:pPr>
        <w:spacing w:after="0" w:line="240" w:lineRule="auto"/>
      </w:pPr>
      <w:r>
        <w:separator/>
      </w:r>
    </w:p>
  </w:footnote>
  <w:footnote w:type="continuationSeparator" w:id="0">
    <w:p w14:paraId="06444831" w14:textId="77777777" w:rsidR="00C3088D" w:rsidRDefault="00C3088D" w:rsidP="00B01D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A1FD0"/>
    <w:multiLevelType w:val="multilevel"/>
    <w:tmpl w:val="19401E1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2B690ACA"/>
    <w:multiLevelType w:val="multilevel"/>
    <w:tmpl w:val="19401E1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965118419">
    <w:abstractNumId w:val="0"/>
  </w:num>
  <w:num w:numId="2" w16cid:durableId="6951536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rc0NLE0NLCwMLc0MzJX0lEKTi0uzszPAykwrgUA87d8MiwAAAA="/>
  </w:docVars>
  <w:rsids>
    <w:rsidRoot w:val="00B62605"/>
    <w:rsid w:val="00000FB1"/>
    <w:rsid w:val="00007899"/>
    <w:rsid w:val="00017F70"/>
    <w:rsid w:val="0006630D"/>
    <w:rsid w:val="000A110B"/>
    <w:rsid w:val="000A702B"/>
    <w:rsid w:val="000C1C49"/>
    <w:rsid w:val="000C33B7"/>
    <w:rsid w:val="000F51A7"/>
    <w:rsid w:val="00112B97"/>
    <w:rsid w:val="0015772A"/>
    <w:rsid w:val="00167F9E"/>
    <w:rsid w:val="00174DC0"/>
    <w:rsid w:val="001760C2"/>
    <w:rsid w:val="0018214D"/>
    <w:rsid w:val="00196EEF"/>
    <w:rsid w:val="001D18DD"/>
    <w:rsid w:val="001F4479"/>
    <w:rsid w:val="001F4B7D"/>
    <w:rsid w:val="00217689"/>
    <w:rsid w:val="00217F4D"/>
    <w:rsid w:val="00231489"/>
    <w:rsid w:val="00254AEF"/>
    <w:rsid w:val="002632B9"/>
    <w:rsid w:val="00270D28"/>
    <w:rsid w:val="002822DD"/>
    <w:rsid w:val="002912DF"/>
    <w:rsid w:val="002A1FDE"/>
    <w:rsid w:val="002D2025"/>
    <w:rsid w:val="002D42EB"/>
    <w:rsid w:val="002E100F"/>
    <w:rsid w:val="002E26F8"/>
    <w:rsid w:val="003059D4"/>
    <w:rsid w:val="00310D2E"/>
    <w:rsid w:val="003351C4"/>
    <w:rsid w:val="00340F3D"/>
    <w:rsid w:val="00341C58"/>
    <w:rsid w:val="003544D6"/>
    <w:rsid w:val="0035538B"/>
    <w:rsid w:val="003635F3"/>
    <w:rsid w:val="00370FD5"/>
    <w:rsid w:val="0037181F"/>
    <w:rsid w:val="003A1F2D"/>
    <w:rsid w:val="003A6A7B"/>
    <w:rsid w:val="003D2D70"/>
    <w:rsid w:val="003E4CC5"/>
    <w:rsid w:val="0040498D"/>
    <w:rsid w:val="0044196F"/>
    <w:rsid w:val="00451B05"/>
    <w:rsid w:val="0045724C"/>
    <w:rsid w:val="00464268"/>
    <w:rsid w:val="00480603"/>
    <w:rsid w:val="00486244"/>
    <w:rsid w:val="004C7D22"/>
    <w:rsid w:val="004E6A34"/>
    <w:rsid w:val="00520007"/>
    <w:rsid w:val="005405C6"/>
    <w:rsid w:val="00542D82"/>
    <w:rsid w:val="00552CFE"/>
    <w:rsid w:val="00571987"/>
    <w:rsid w:val="00573680"/>
    <w:rsid w:val="005872B6"/>
    <w:rsid w:val="005906D9"/>
    <w:rsid w:val="005A02C3"/>
    <w:rsid w:val="005A576F"/>
    <w:rsid w:val="005B3DA1"/>
    <w:rsid w:val="005C0595"/>
    <w:rsid w:val="005C26E9"/>
    <w:rsid w:val="005F2BA2"/>
    <w:rsid w:val="005F4590"/>
    <w:rsid w:val="00600693"/>
    <w:rsid w:val="006053BB"/>
    <w:rsid w:val="006060E5"/>
    <w:rsid w:val="006126AA"/>
    <w:rsid w:val="006178BD"/>
    <w:rsid w:val="00621436"/>
    <w:rsid w:val="0062788F"/>
    <w:rsid w:val="006337C9"/>
    <w:rsid w:val="00635E2B"/>
    <w:rsid w:val="006361CD"/>
    <w:rsid w:val="00644CEE"/>
    <w:rsid w:val="00657FAD"/>
    <w:rsid w:val="006633D5"/>
    <w:rsid w:val="006737B3"/>
    <w:rsid w:val="00686F2A"/>
    <w:rsid w:val="00690772"/>
    <w:rsid w:val="00693998"/>
    <w:rsid w:val="006A56C2"/>
    <w:rsid w:val="006A7C4F"/>
    <w:rsid w:val="006C0A26"/>
    <w:rsid w:val="006D01EE"/>
    <w:rsid w:val="006D10F5"/>
    <w:rsid w:val="006F60B9"/>
    <w:rsid w:val="006F702A"/>
    <w:rsid w:val="006F76BA"/>
    <w:rsid w:val="00710E27"/>
    <w:rsid w:val="00717D71"/>
    <w:rsid w:val="00773B08"/>
    <w:rsid w:val="00776606"/>
    <w:rsid w:val="007852F6"/>
    <w:rsid w:val="00787A90"/>
    <w:rsid w:val="007928AC"/>
    <w:rsid w:val="007B44F5"/>
    <w:rsid w:val="007D0EC2"/>
    <w:rsid w:val="007D371B"/>
    <w:rsid w:val="00800116"/>
    <w:rsid w:val="00805B3D"/>
    <w:rsid w:val="008179FB"/>
    <w:rsid w:val="00830017"/>
    <w:rsid w:val="0083661B"/>
    <w:rsid w:val="0085710A"/>
    <w:rsid w:val="00857674"/>
    <w:rsid w:val="008A4611"/>
    <w:rsid w:val="008B711B"/>
    <w:rsid w:val="008B72FA"/>
    <w:rsid w:val="008D2BD1"/>
    <w:rsid w:val="008D41CA"/>
    <w:rsid w:val="008D5BE1"/>
    <w:rsid w:val="008D6D66"/>
    <w:rsid w:val="008E5620"/>
    <w:rsid w:val="008F176D"/>
    <w:rsid w:val="008F2E99"/>
    <w:rsid w:val="00912067"/>
    <w:rsid w:val="00926D4E"/>
    <w:rsid w:val="00942578"/>
    <w:rsid w:val="00957DFB"/>
    <w:rsid w:val="00963A0A"/>
    <w:rsid w:val="00993648"/>
    <w:rsid w:val="009A1FA1"/>
    <w:rsid w:val="009A467F"/>
    <w:rsid w:val="009B1C48"/>
    <w:rsid w:val="009B4A66"/>
    <w:rsid w:val="009C5840"/>
    <w:rsid w:val="00A26CEC"/>
    <w:rsid w:val="00A355A9"/>
    <w:rsid w:val="00A37228"/>
    <w:rsid w:val="00A626C8"/>
    <w:rsid w:val="00A70BC7"/>
    <w:rsid w:val="00A74554"/>
    <w:rsid w:val="00AB1037"/>
    <w:rsid w:val="00AE08B5"/>
    <w:rsid w:val="00AE2910"/>
    <w:rsid w:val="00AE6015"/>
    <w:rsid w:val="00AF2B92"/>
    <w:rsid w:val="00B01D41"/>
    <w:rsid w:val="00B147C8"/>
    <w:rsid w:val="00B178BD"/>
    <w:rsid w:val="00B62605"/>
    <w:rsid w:val="00B92D8F"/>
    <w:rsid w:val="00BA1375"/>
    <w:rsid w:val="00BA5625"/>
    <w:rsid w:val="00BB70B8"/>
    <w:rsid w:val="00BC0C23"/>
    <w:rsid w:val="00BC2B05"/>
    <w:rsid w:val="00BD6E64"/>
    <w:rsid w:val="00BD75B0"/>
    <w:rsid w:val="00BE13AB"/>
    <w:rsid w:val="00BE237E"/>
    <w:rsid w:val="00BF18B0"/>
    <w:rsid w:val="00BF7ED7"/>
    <w:rsid w:val="00C04EAA"/>
    <w:rsid w:val="00C0572E"/>
    <w:rsid w:val="00C05C93"/>
    <w:rsid w:val="00C1146F"/>
    <w:rsid w:val="00C15517"/>
    <w:rsid w:val="00C3088D"/>
    <w:rsid w:val="00C31BBE"/>
    <w:rsid w:val="00C334CA"/>
    <w:rsid w:val="00C36966"/>
    <w:rsid w:val="00C4273F"/>
    <w:rsid w:val="00C45AE2"/>
    <w:rsid w:val="00C47F6D"/>
    <w:rsid w:val="00C633BF"/>
    <w:rsid w:val="00CA4027"/>
    <w:rsid w:val="00CA4AB0"/>
    <w:rsid w:val="00CB3A1E"/>
    <w:rsid w:val="00CB67A0"/>
    <w:rsid w:val="00CD03D4"/>
    <w:rsid w:val="00CE24C5"/>
    <w:rsid w:val="00CF55D0"/>
    <w:rsid w:val="00D0180D"/>
    <w:rsid w:val="00D03808"/>
    <w:rsid w:val="00D05F1A"/>
    <w:rsid w:val="00D30535"/>
    <w:rsid w:val="00D4387E"/>
    <w:rsid w:val="00D73FF4"/>
    <w:rsid w:val="00D751F4"/>
    <w:rsid w:val="00D8364E"/>
    <w:rsid w:val="00D92CEA"/>
    <w:rsid w:val="00DC054E"/>
    <w:rsid w:val="00DD3AAD"/>
    <w:rsid w:val="00E05C17"/>
    <w:rsid w:val="00E21F49"/>
    <w:rsid w:val="00E40E58"/>
    <w:rsid w:val="00E6013C"/>
    <w:rsid w:val="00E97FDA"/>
    <w:rsid w:val="00EB50D8"/>
    <w:rsid w:val="00EB6555"/>
    <w:rsid w:val="00EC03F3"/>
    <w:rsid w:val="00EC2476"/>
    <w:rsid w:val="00ED2DAB"/>
    <w:rsid w:val="00EE56DC"/>
    <w:rsid w:val="00F16639"/>
    <w:rsid w:val="00F377A7"/>
    <w:rsid w:val="00F4379F"/>
    <w:rsid w:val="00F55B55"/>
    <w:rsid w:val="00F61D75"/>
    <w:rsid w:val="00F673D9"/>
    <w:rsid w:val="00FD4B40"/>
    <w:rsid w:val="00FF1FA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E0BD1"/>
  <w15:chartTrackingRefBased/>
  <w15:docId w15:val="{1440304B-3BA2-4FB2-8DDE-DAD505ACF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1D41"/>
    <w:pPr>
      <w:spacing w:line="480" w:lineRule="auto"/>
    </w:pPr>
    <w:rPr>
      <w:rFonts w:asciiTheme="minorBidi" w:hAnsiTheme="minorBidi"/>
    </w:rPr>
  </w:style>
  <w:style w:type="paragraph" w:styleId="Heading1">
    <w:name w:val="heading 1"/>
    <w:basedOn w:val="Normal"/>
    <w:next w:val="Normal"/>
    <w:link w:val="Heading1Char"/>
    <w:uiPriority w:val="9"/>
    <w:qFormat/>
    <w:rsid w:val="00B01D41"/>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B01D41"/>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B6260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260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6260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6260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6260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6260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6260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1D41"/>
    <w:rPr>
      <w:rFonts w:asciiTheme="minorBidi" w:eastAsiaTheme="majorEastAsia" w:hAnsiTheme="minorBidi" w:cstheme="majorBidi"/>
      <w:b/>
      <w:szCs w:val="40"/>
    </w:rPr>
  </w:style>
  <w:style w:type="character" w:customStyle="1" w:styleId="Heading2Char">
    <w:name w:val="Heading 2 Char"/>
    <w:basedOn w:val="DefaultParagraphFont"/>
    <w:link w:val="Heading2"/>
    <w:uiPriority w:val="9"/>
    <w:rsid w:val="00B01D41"/>
    <w:rPr>
      <w:rFonts w:asciiTheme="minorBidi" w:eastAsiaTheme="majorEastAsia" w:hAnsiTheme="minorBidi" w:cstheme="majorBidi"/>
      <w:b/>
      <w:szCs w:val="32"/>
    </w:rPr>
  </w:style>
  <w:style w:type="character" w:customStyle="1" w:styleId="Heading3Char">
    <w:name w:val="Heading 3 Char"/>
    <w:basedOn w:val="DefaultParagraphFont"/>
    <w:link w:val="Heading3"/>
    <w:uiPriority w:val="9"/>
    <w:semiHidden/>
    <w:rsid w:val="00B626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26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26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26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26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26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2605"/>
    <w:rPr>
      <w:rFonts w:eastAsiaTheme="majorEastAsia" w:cstheme="majorBidi"/>
      <w:color w:val="272727" w:themeColor="text1" w:themeTint="D8"/>
    </w:rPr>
  </w:style>
  <w:style w:type="paragraph" w:styleId="Title">
    <w:name w:val="Title"/>
    <w:basedOn w:val="Normal"/>
    <w:next w:val="Normal"/>
    <w:link w:val="TitleChar"/>
    <w:uiPriority w:val="10"/>
    <w:qFormat/>
    <w:rsid w:val="00B626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26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260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26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2605"/>
    <w:pPr>
      <w:spacing w:before="160"/>
      <w:jc w:val="center"/>
    </w:pPr>
    <w:rPr>
      <w:i/>
      <w:iCs/>
      <w:color w:val="404040" w:themeColor="text1" w:themeTint="BF"/>
    </w:rPr>
  </w:style>
  <w:style w:type="character" w:customStyle="1" w:styleId="QuoteChar">
    <w:name w:val="Quote Char"/>
    <w:basedOn w:val="DefaultParagraphFont"/>
    <w:link w:val="Quote"/>
    <w:uiPriority w:val="29"/>
    <w:rsid w:val="00B62605"/>
    <w:rPr>
      <w:rFonts w:asciiTheme="majorBidi" w:hAnsiTheme="majorBidi"/>
      <w:i/>
      <w:iCs/>
      <w:color w:val="404040" w:themeColor="text1" w:themeTint="BF"/>
    </w:rPr>
  </w:style>
  <w:style w:type="paragraph" w:styleId="ListParagraph">
    <w:name w:val="List Paragraph"/>
    <w:basedOn w:val="Normal"/>
    <w:uiPriority w:val="34"/>
    <w:qFormat/>
    <w:rsid w:val="00B62605"/>
    <w:pPr>
      <w:ind w:left="720"/>
      <w:contextualSpacing/>
    </w:pPr>
  </w:style>
  <w:style w:type="character" w:styleId="IntenseEmphasis">
    <w:name w:val="Intense Emphasis"/>
    <w:basedOn w:val="DefaultParagraphFont"/>
    <w:uiPriority w:val="21"/>
    <w:qFormat/>
    <w:rsid w:val="00B62605"/>
    <w:rPr>
      <w:i/>
      <w:iCs/>
      <w:color w:val="0F4761" w:themeColor="accent1" w:themeShade="BF"/>
    </w:rPr>
  </w:style>
  <w:style w:type="paragraph" w:styleId="IntenseQuote">
    <w:name w:val="Intense Quote"/>
    <w:basedOn w:val="Normal"/>
    <w:next w:val="Normal"/>
    <w:link w:val="IntenseQuoteChar"/>
    <w:uiPriority w:val="30"/>
    <w:qFormat/>
    <w:rsid w:val="00B626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2605"/>
    <w:rPr>
      <w:rFonts w:asciiTheme="majorBidi" w:hAnsiTheme="majorBidi"/>
      <w:i/>
      <w:iCs/>
      <w:color w:val="0F4761" w:themeColor="accent1" w:themeShade="BF"/>
    </w:rPr>
  </w:style>
  <w:style w:type="character" w:styleId="IntenseReference">
    <w:name w:val="Intense Reference"/>
    <w:basedOn w:val="DefaultParagraphFont"/>
    <w:uiPriority w:val="32"/>
    <w:qFormat/>
    <w:rsid w:val="00B62605"/>
    <w:rPr>
      <w:b/>
      <w:bCs/>
      <w:smallCaps/>
      <w:color w:val="0F4761" w:themeColor="accent1" w:themeShade="BF"/>
      <w:spacing w:val="5"/>
    </w:rPr>
  </w:style>
  <w:style w:type="paragraph" w:styleId="Header">
    <w:name w:val="header"/>
    <w:basedOn w:val="Normal"/>
    <w:link w:val="HeaderChar"/>
    <w:uiPriority w:val="99"/>
    <w:unhideWhenUsed/>
    <w:rsid w:val="00B01D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D41"/>
    <w:rPr>
      <w:rFonts w:asciiTheme="minorBidi" w:hAnsiTheme="minorBidi"/>
    </w:rPr>
  </w:style>
  <w:style w:type="paragraph" w:styleId="Footer">
    <w:name w:val="footer"/>
    <w:basedOn w:val="Normal"/>
    <w:link w:val="FooterChar"/>
    <w:uiPriority w:val="99"/>
    <w:unhideWhenUsed/>
    <w:rsid w:val="00B01D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D41"/>
    <w:rPr>
      <w:rFonts w:asciiTheme="minorBidi" w:hAnsiTheme="minorBidi"/>
    </w:rPr>
  </w:style>
  <w:style w:type="paragraph" w:customStyle="1" w:styleId="pdq2pgselectionanchorcontainer">
    <w:name w:val="pdq2pg_selectionanchorcontainer"/>
    <w:basedOn w:val="Normal"/>
    <w:rsid w:val="00B01D41"/>
    <w:pPr>
      <w:spacing w:before="100" w:beforeAutospacing="1" w:after="100" w:afterAutospacing="1" w:line="240" w:lineRule="auto"/>
    </w:pPr>
    <w:rPr>
      <w:rFonts w:ascii="Times New Roman" w:eastAsia="Times New Roman" w:hAnsi="Times New Roman" w:cs="Times New Roman"/>
      <w:lang w:eastAsia="en-GB"/>
      <w14:ligatures w14:val="none"/>
    </w:rPr>
  </w:style>
  <w:style w:type="paragraph" w:styleId="NormalWeb">
    <w:name w:val="Normal (Web)"/>
    <w:basedOn w:val="Normal"/>
    <w:uiPriority w:val="99"/>
    <w:unhideWhenUsed/>
    <w:rsid w:val="00B01D41"/>
    <w:pPr>
      <w:spacing w:before="100" w:beforeAutospacing="1" w:after="100" w:afterAutospacing="1" w:line="240" w:lineRule="auto"/>
    </w:pPr>
    <w:rPr>
      <w:rFonts w:ascii="Times New Roman" w:eastAsia="Times New Roman" w:hAnsi="Times New Roman" w:cs="Times New Roman"/>
      <w:lang w:eastAsia="en-GB"/>
      <w14:ligatures w14:val="none"/>
    </w:rPr>
  </w:style>
  <w:style w:type="character" w:styleId="Strong">
    <w:name w:val="Strong"/>
    <w:basedOn w:val="DefaultParagraphFont"/>
    <w:uiPriority w:val="22"/>
    <w:qFormat/>
    <w:rsid w:val="00B01D41"/>
    <w:rPr>
      <w:b/>
      <w:bCs/>
    </w:rPr>
  </w:style>
  <w:style w:type="character" w:styleId="Emphasis">
    <w:name w:val="Emphasis"/>
    <w:basedOn w:val="DefaultParagraphFont"/>
    <w:uiPriority w:val="20"/>
    <w:qFormat/>
    <w:rsid w:val="00B01D41"/>
    <w:rPr>
      <w:i/>
      <w:iCs/>
    </w:rPr>
  </w:style>
  <w:style w:type="paragraph" w:styleId="Caption">
    <w:name w:val="caption"/>
    <w:basedOn w:val="Normal"/>
    <w:next w:val="Normal"/>
    <w:uiPriority w:val="35"/>
    <w:unhideWhenUsed/>
    <w:qFormat/>
    <w:rsid w:val="00CD03D4"/>
    <w:pPr>
      <w:spacing w:after="200" w:line="240" w:lineRule="auto"/>
    </w:pPr>
    <w:rPr>
      <w:i/>
      <w:iCs/>
      <w:color w:val="0E2841" w:themeColor="text2"/>
      <w:sz w:val="18"/>
      <w:szCs w:val="18"/>
    </w:rPr>
  </w:style>
  <w:style w:type="character" w:styleId="Hyperlink">
    <w:name w:val="Hyperlink"/>
    <w:basedOn w:val="DefaultParagraphFont"/>
    <w:uiPriority w:val="99"/>
    <w:unhideWhenUsed/>
    <w:rsid w:val="00805B3D"/>
    <w:rPr>
      <w:color w:val="467886" w:themeColor="hyperlink"/>
      <w:u w:val="single"/>
    </w:rPr>
  </w:style>
  <w:style w:type="character" w:styleId="UnresolvedMention">
    <w:name w:val="Unresolved Mention"/>
    <w:basedOn w:val="DefaultParagraphFont"/>
    <w:uiPriority w:val="99"/>
    <w:semiHidden/>
    <w:unhideWhenUsed/>
    <w:rsid w:val="009A1FA1"/>
    <w:rPr>
      <w:color w:val="605E5C"/>
      <w:shd w:val="clear" w:color="auto" w:fill="E1DFDD"/>
    </w:rPr>
  </w:style>
  <w:style w:type="paragraph" w:styleId="TOCHeading">
    <w:name w:val="TOC Heading"/>
    <w:basedOn w:val="Heading1"/>
    <w:next w:val="Normal"/>
    <w:uiPriority w:val="39"/>
    <w:unhideWhenUsed/>
    <w:qFormat/>
    <w:rsid w:val="00F4379F"/>
    <w:pPr>
      <w:spacing w:before="240" w:after="0" w:line="259" w:lineRule="auto"/>
      <w:outlineLvl w:val="9"/>
    </w:pPr>
    <w:rPr>
      <w:rFonts w:asciiTheme="majorHAnsi" w:hAnsiTheme="majorHAnsi"/>
      <w:b w:val="0"/>
      <w:color w:val="0F4761" w:themeColor="accent1" w:themeShade="BF"/>
      <w:sz w:val="32"/>
      <w:szCs w:val="32"/>
      <w:lang w:val="en-US"/>
      <w14:ligatures w14:val="none"/>
    </w:rPr>
  </w:style>
  <w:style w:type="paragraph" w:styleId="TOC1">
    <w:name w:val="toc 1"/>
    <w:basedOn w:val="Normal"/>
    <w:next w:val="Normal"/>
    <w:autoRedefine/>
    <w:uiPriority w:val="39"/>
    <w:unhideWhenUsed/>
    <w:rsid w:val="00F4379F"/>
    <w:pPr>
      <w:spacing w:after="100"/>
    </w:pPr>
  </w:style>
  <w:style w:type="paragraph" w:styleId="TOC2">
    <w:name w:val="toc 2"/>
    <w:basedOn w:val="Normal"/>
    <w:next w:val="Normal"/>
    <w:autoRedefine/>
    <w:uiPriority w:val="39"/>
    <w:unhideWhenUsed/>
    <w:rsid w:val="00F4379F"/>
    <w:pPr>
      <w:spacing w:after="100"/>
      <w:ind w:left="240"/>
    </w:pPr>
  </w:style>
  <w:style w:type="character" w:styleId="FollowedHyperlink">
    <w:name w:val="FollowedHyperlink"/>
    <w:basedOn w:val="DefaultParagraphFont"/>
    <w:uiPriority w:val="99"/>
    <w:semiHidden/>
    <w:unhideWhenUsed/>
    <w:rsid w:val="00370FD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016/j.xjep.2019.100291" TargetMode="External"/><Relationship Id="rId26" Type="http://schemas.openxmlformats.org/officeDocument/2006/relationships/hyperlink" Target="https://www.kingsfund.org.uk/insight-and-analysis/data-and-charts/health-inequalities-nutshell" TargetMode="External"/><Relationship Id="rId39" Type="http://schemas.openxmlformats.org/officeDocument/2006/relationships/theme" Target="theme/theme1.xml"/><Relationship Id="rId21" Type="http://schemas.openxmlformats.org/officeDocument/2006/relationships/hyperlink" Target="https://www.manchester.gov.uk/health-and-wellbeing/public-health/making-manchester-fairer" TargetMode="External"/><Relationship Id="rId34" Type="http://schemas.openxmlformats.org/officeDocument/2006/relationships/hyperlink" Target="https://www.who.int/news-room/fact-sheets/detail/maternal-mortalit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186/s12875-022-01919-0" TargetMode="External"/><Relationship Id="rId25" Type="http://schemas.openxmlformats.org/officeDocument/2006/relationships/hyperlink" Target="https://www.ons.gov.uk/peoplepopulationandcommunity/birthsdeathsandmarriages/lifeexpectancies/bulletins/nationallifetablesunitedkingdom/2022to2024" TargetMode="External"/><Relationship Id="rId33" Type="http://schemas.openxmlformats.org/officeDocument/2006/relationships/hyperlink" Target="https://www.who.int/health-topics/noncommunicable-disease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6/j.puhe.2021.08.009" TargetMode="External"/><Relationship Id="rId20" Type="http://schemas.openxmlformats.org/officeDocument/2006/relationships/hyperlink" Target="https://www.ilo.org/resource/news/more-4-billion-people-still-lack-any-social-protection-ilo-report-finds" TargetMode="External"/><Relationship Id="rId29" Type="http://schemas.openxmlformats.org/officeDocument/2006/relationships/hyperlink" Target="https://www.un.org/sustainabledevelopment/heal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ngland.nhs.uk/about/equality/equality-hub/national-healthcare-inequalities-improvement-programme/core20plus5/" TargetMode="External"/><Relationship Id="rId32" Type="http://schemas.openxmlformats.org/officeDocument/2006/relationships/hyperlink" Target="https://www.who.int/news/item/06-12-2025-most-countries-make-progress-towards-universal-health-coverage-but-major-challenges-remain-who-world-bank-report-finds"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3233/jad-180608" TargetMode="External"/><Relationship Id="rId23" Type="http://schemas.openxmlformats.org/officeDocument/2006/relationships/hyperlink" Target="https://doi.org/10.1108/978-1-83797-549-520241004" TargetMode="External"/><Relationship Id="rId28" Type="http://schemas.openxmlformats.org/officeDocument/2006/relationships/hyperlink" Target="https://sdgs.un.org/goals" TargetMode="External"/><Relationship Id="rId36" Type="http://schemas.openxmlformats.org/officeDocument/2006/relationships/hyperlink" Target="https://www.who.int/teams/social-determinants-of-health/equity-and-health/world-report-on-social-determinants-of-health-equity/commission-on-social-determinants-of-health" TargetMode="External"/><Relationship Id="rId10" Type="http://schemas.openxmlformats.org/officeDocument/2006/relationships/image" Target="media/image3.jpeg"/><Relationship Id="rId19" Type="http://schemas.openxmlformats.org/officeDocument/2006/relationships/hyperlink" Target="https://www.hfma.org.uk/articles/levelling-0" TargetMode="External"/><Relationship Id="rId31" Type="http://schemas.openxmlformats.org/officeDocument/2006/relationships/hyperlink" Target="https://www.who.int/news-room/fact-sheets/detail/universal-health-coverage-(uhc)"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aslamsaja.com/sustainable-development-goals-sdgs-sdg10-engineers-contribute-to-reduce-inequality-within-and-among-countries-by-eng-dr-saja-a-a-majeed/" TargetMode="External"/><Relationship Id="rId22" Type="http://schemas.openxmlformats.org/officeDocument/2006/relationships/hyperlink" Target="https://doi.org/10.3389/fpsyt.2022.894370" TargetMode="External"/><Relationship Id="rId27" Type="http://schemas.openxmlformats.org/officeDocument/2006/relationships/hyperlink" Target="https://www.unicef.org/mena/sites/unicef.org.mena/files/press-releases/mena-media-GVAP_single_pages_PRINT.pdf" TargetMode="External"/><Relationship Id="rId30" Type="http://schemas.openxmlformats.org/officeDocument/2006/relationships/hyperlink" Target="https://www.un.org/sustainabledevelopment/inequality/" TargetMode="External"/><Relationship Id="rId35" Type="http://schemas.openxmlformats.org/officeDocument/2006/relationships/hyperlink" Target="https://wir2026.wid.world/insight/global-economic-inequity/"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45C6B2-5FDF-4704-8095-03AAA02B2F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3467</Words>
  <Characters>21846</Characters>
  <Application>Microsoft Office Word</Application>
  <DocSecurity>0</DocSecurity>
  <Lines>182</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Razia Khan</dc:creator>
  <cp:keywords/>
  <dc:description/>
  <cp:revision>200</cp:revision>
  <dcterms:created xsi:type="dcterms:W3CDTF">2026-07-07T16:21:00Z</dcterms:created>
  <dcterms:modified xsi:type="dcterms:W3CDTF">2026-07-08T13:45:00Z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68e0dae1-8c50-47ef-976f-c53abd35134f</vt:lpwstr>
  </property>
</Properties>
</file>