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i/>
        </w:rPr>
      </w:pPr>
      <w:bookmarkStart w:id="4" w:name="_GoBack"/>
      <w:bookmarkEnd w:id="4"/>
    </w:p>
    <w:p>
      <w:pPr>
        <w:rPr>
          <w:b/>
          <w:i/>
        </w:rPr>
      </w:pPr>
    </w:p>
    <w:p>
      <w:pPr>
        <w:rPr>
          <w:b/>
          <w:i/>
        </w:rPr>
      </w:pPr>
    </w:p>
    <w:p>
      <w:pPr>
        <w:rPr>
          <w:b/>
          <w:i/>
        </w:rPr>
      </w:pPr>
    </w:p>
    <w:p>
      <w:pPr>
        <w:rPr>
          <w:b/>
          <w:i/>
        </w:rPr>
      </w:pPr>
    </w:p>
    <w:p>
      <w:pPr>
        <w:jc w:val="center"/>
        <w:rPr>
          <w:bCs/>
          <w:i/>
        </w:rPr>
      </w:pPr>
      <w:r>
        <w:rPr>
          <w:bCs/>
          <w:i/>
        </w:rPr>
        <w:t>Business skill analysis</w:t>
      </w:r>
    </w:p>
    <w:p>
      <w:pPr>
        <w:jc w:val="center"/>
        <w:rPr>
          <w:bCs/>
          <w:i/>
        </w:rPr>
      </w:pPr>
      <w:r>
        <w:rPr>
          <w:bCs/>
          <w:i/>
        </w:rPr>
        <w:t>Name:</w:t>
      </w:r>
      <w:r>
        <w:rPr>
          <w:szCs w:val="24"/>
          <w:lang w:val="en-US"/>
        </w:rPr>
        <w:t xml:space="preserve"> Dimitar Lazov</w:t>
      </w:r>
    </w:p>
    <w:p>
      <w:pPr>
        <w:jc w:val="center"/>
        <w:rPr>
          <w:bCs/>
          <w:i/>
        </w:rPr>
      </w:pPr>
      <w:r>
        <w:rPr>
          <w:bCs/>
          <w:i/>
        </w:rPr>
        <w:t>Student number:</w:t>
      </w:r>
      <w:r>
        <w:rPr>
          <w:szCs w:val="24"/>
        </w:rPr>
        <w:t xml:space="preserve"> </w:t>
      </w:r>
      <w:r>
        <w:rPr>
          <w:i/>
          <w:szCs w:val="24"/>
        </w:rPr>
        <w:t>1818541</w:t>
      </w:r>
    </w:p>
    <w:p>
      <w:pPr>
        <w:jc w:val="center"/>
        <w:rPr>
          <w:bCs/>
          <w:i/>
        </w:rPr>
      </w:pPr>
      <w:r>
        <w:rPr>
          <w:bCs/>
          <w:i/>
        </w:rPr>
        <w:t>Module title:</w:t>
      </w:r>
    </w:p>
    <w:p>
      <w:pPr>
        <w:jc w:val="center"/>
        <w:rPr>
          <w:bCs/>
          <w:i/>
        </w:rPr>
      </w:pPr>
      <w:r>
        <w:rPr>
          <w:bCs/>
          <w:i/>
        </w:rPr>
        <w:t>Assignment title: legal risk analysis on hotel industry</w:t>
      </w:r>
    </w:p>
    <w:p>
      <w:pPr>
        <w:jc w:val="center"/>
        <w:rPr>
          <w:bCs/>
          <w:i/>
        </w:rPr>
      </w:pPr>
      <w:r>
        <w:rPr>
          <w:bCs/>
          <w:i/>
        </w:rPr>
        <w:t>Module lecturer’s name:</w:t>
      </w:r>
      <w:r>
        <w:rPr>
          <w:i/>
          <w:szCs w:val="24"/>
          <w:lang w:val="en-US"/>
        </w:rPr>
        <w:t>Dale Clarke</w:t>
      </w:r>
    </w:p>
    <w:p>
      <w:pPr>
        <w:jc w:val="center"/>
        <w:rPr>
          <w:bCs/>
          <w:i/>
        </w:rPr>
      </w:pPr>
    </w:p>
    <w:p>
      <w:pPr>
        <w:jc w:val="center"/>
        <w:rPr>
          <w:b/>
          <w:i/>
        </w:rPr>
      </w:pPr>
      <w:r>
        <w:rPr>
          <w:b/>
          <w:i/>
        </w:rPr>
        <w:br w:type="page"/>
      </w:r>
    </w:p>
    <w:sdt>
      <w:sdtPr>
        <w:rPr>
          <w:rFonts w:ascii="Times New Roman" w:hAnsi="Times New Roman" w:eastAsiaTheme="minorHAnsi" w:cstheme="minorBidi"/>
          <w:b w:val="0"/>
          <w:bCs w:val="0"/>
          <w:color w:val="auto"/>
          <w:sz w:val="24"/>
          <w:szCs w:val="22"/>
          <w:lang w:val="en-GB"/>
        </w:rPr>
        <w:id w:val="20726387"/>
        <w:docPartObj>
          <w:docPartGallery w:val="Table of Contents"/>
          <w:docPartUnique/>
        </w:docPartObj>
      </w:sdtPr>
      <w:sdtEndPr>
        <w:rPr>
          <w:rFonts w:ascii="Times New Roman" w:hAnsi="Times New Roman" w:eastAsiaTheme="minorHAnsi" w:cstheme="minorBidi"/>
          <w:b w:val="0"/>
          <w:bCs w:val="0"/>
          <w:color w:val="auto"/>
          <w:sz w:val="24"/>
          <w:szCs w:val="22"/>
          <w:lang w:val="en-GB"/>
        </w:rPr>
      </w:sdtEndPr>
      <w:sdtContent>
        <w:p>
          <w:pPr>
            <w:pStyle w:val="11"/>
            <w:jc w:val="center"/>
          </w:pPr>
          <w:r>
            <w:rPr>
              <w:rFonts w:ascii="Times New Roman" w:hAnsi="Times New Roman" w:cs="Times New Roman"/>
              <w:color w:val="auto"/>
              <w:sz w:val="24"/>
              <w:szCs w:val="24"/>
            </w:rPr>
            <w:t>Table of Contents</w:t>
          </w:r>
        </w:p>
        <w:p>
          <w:pPr>
            <w:pStyle w:val="6"/>
            <w:tabs>
              <w:tab w:val="right" w:leader="dot" w:pos="9350"/>
            </w:tabs>
          </w:pPr>
          <w:r>
            <w:fldChar w:fldCharType="begin"/>
          </w:r>
          <w:r>
            <w:instrText xml:space="preserve"> TOC \o "1-3" \h \z \u </w:instrText>
          </w:r>
          <w:r>
            <w:fldChar w:fldCharType="separate"/>
          </w:r>
          <w:r>
            <w:fldChar w:fldCharType="begin"/>
          </w:r>
          <w:r>
            <w:instrText xml:space="preserve"> HYPERLINK \l "_Toc34230883" </w:instrText>
          </w:r>
          <w:r>
            <w:fldChar w:fldCharType="separate"/>
          </w:r>
          <w:r>
            <w:rPr>
              <w:rStyle w:val="8"/>
            </w:rPr>
            <w:t>Introduction</w:t>
          </w:r>
          <w:r>
            <w:tab/>
          </w:r>
          <w:r>
            <w:fldChar w:fldCharType="begin"/>
          </w:r>
          <w:r>
            <w:instrText xml:space="preserve"> PAGEREF _Toc34230883 \h </w:instrText>
          </w:r>
          <w:r>
            <w:fldChar w:fldCharType="separate"/>
          </w:r>
          <w:r>
            <w:t>3</w:t>
          </w:r>
          <w:r>
            <w:fldChar w:fldCharType="end"/>
          </w:r>
          <w:r>
            <w:fldChar w:fldCharType="end"/>
          </w:r>
        </w:p>
        <w:p>
          <w:pPr>
            <w:pStyle w:val="6"/>
            <w:tabs>
              <w:tab w:val="right" w:leader="dot" w:pos="9350"/>
            </w:tabs>
          </w:pPr>
          <w:r>
            <w:fldChar w:fldCharType="begin"/>
          </w:r>
          <w:r>
            <w:instrText xml:space="preserve"> HYPERLINK \l "_Toc34230884" </w:instrText>
          </w:r>
          <w:r>
            <w:fldChar w:fldCharType="separate"/>
          </w:r>
          <w:r>
            <w:rPr>
              <w:rStyle w:val="8"/>
            </w:rPr>
            <w:t>Critical analysis</w:t>
          </w:r>
          <w:r>
            <w:tab/>
          </w:r>
          <w:r>
            <w:fldChar w:fldCharType="begin"/>
          </w:r>
          <w:r>
            <w:instrText xml:space="preserve"> PAGEREF _Toc34230884 \h </w:instrText>
          </w:r>
          <w:r>
            <w:fldChar w:fldCharType="separate"/>
          </w:r>
          <w:r>
            <w:t>3</w:t>
          </w:r>
          <w:r>
            <w:fldChar w:fldCharType="end"/>
          </w:r>
          <w:r>
            <w:fldChar w:fldCharType="end"/>
          </w:r>
        </w:p>
        <w:p>
          <w:pPr>
            <w:pStyle w:val="6"/>
            <w:tabs>
              <w:tab w:val="right" w:leader="dot" w:pos="9350"/>
            </w:tabs>
          </w:pPr>
          <w:r>
            <w:fldChar w:fldCharType="begin"/>
          </w:r>
          <w:r>
            <w:instrText xml:space="preserve"> HYPERLINK \l "_Toc34230885" </w:instrText>
          </w:r>
          <w:r>
            <w:fldChar w:fldCharType="separate"/>
          </w:r>
          <w:r>
            <w:rPr>
              <w:rStyle w:val="8"/>
            </w:rPr>
            <w:t>Conclusion</w:t>
          </w:r>
          <w:r>
            <w:tab/>
          </w:r>
          <w:r>
            <w:fldChar w:fldCharType="begin"/>
          </w:r>
          <w:r>
            <w:instrText xml:space="preserve"> PAGEREF _Toc34230885 \h </w:instrText>
          </w:r>
          <w:r>
            <w:fldChar w:fldCharType="separate"/>
          </w:r>
          <w:r>
            <w:t>6</w:t>
          </w:r>
          <w:r>
            <w:fldChar w:fldCharType="end"/>
          </w:r>
          <w:r>
            <w:fldChar w:fldCharType="end"/>
          </w:r>
        </w:p>
        <w:p>
          <w:pPr>
            <w:pStyle w:val="6"/>
            <w:tabs>
              <w:tab w:val="right" w:leader="dot" w:pos="9350"/>
            </w:tabs>
          </w:pPr>
          <w:r>
            <w:fldChar w:fldCharType="begin"/>
          </w:r>
          <w:r>
            <w:instrText xml:space="preserve"> HYPERLINK \l "_Toc34230886" </w:instrText>
          </w:r>
          <w:r>
            <w:fldChar w:fldCharType="separate"/>
          </w:r>
          <w:r>
            <w:rPr>
              <w:rStyle w:val="8"/>
            </w:rPr>
            <w:t>References</w:t>
          </w:r>
          <w:r>
            <w:tab/>
          </w:r>
          <w:r>
            <w:fldChar w:fldCharType="begin"/>
          </w:r>
          <w:r>
            <w:instrText xml:space="preserve"> PAGEREF _Toc34230886 \h </w:instrText>
          </w:r>
          <w:r>
            <w:fldChar w:fldCharType="separate"/>
          </w:r>
          <w:r>
            <w:t>7</w:t>
          </w:r>
          <w:r>
            <w:fldChar w:fldCharType="end"/>
          </w:r>
          <w:r>
            <w:fldChar w:fldCharType="end"/>
          </w:r>
        </w:p>
        <w:p>
          <w:r>
            <w:fldChar w:fldCharType="end"/>
          </w:r>
        </w:p>
      </w:sdtContent>
    </w:sdt>
    <w:p>
      <w:pPr>
        <w:rPr>
          <w:b/>
          <w:i/>
        </w:rPr>
      </w:pPr>
      <w:r>
        <w:rPr>
          <w:b/>
          <w:i/>
        </w:rPr>
        <w:br w:type="page"/>
      </w:r>
    </w:p>
    <w:p>
      <w:pPr>
        <w:pStyle w:val="2"/>
      </w:pPr>
      <w:bookmarkStart w:id="0" w:name="_Toc34230883"/>
      <w:r>
        <w:t>Introduction</w:t>
      </w:r>
      <w:bookmarkEnd w:id="0"/>
    </w:p>
    <w:p>
      <w:r>
        <w:t>The hotel industry includes entertainment, arts, leisure, food, and lodging. Therefore, it appears that industry laws apply to both guests and employees, which covers the employee's health and safety law, alcohol licensing and licensing provisions, contracts, and hotel confidentiality. The purpose of this study is to outline the legal and legislative risk that managers and employees face with respect to data protection, food hygiene, licensing, health and safety and risk management in the hotel industry under the 1956 Hotel Owners Act.</w:t>
      </w:r>
    </w:p>
    <w:p>
      <w:r>
        <w:t>The legal risk of the hotel industry can be broken down into two large groups. First, it appears that legal risk arises if the company is caught acting illegally. In this scenario, legal risk is a form of operational risk as there is insufficient control over this type of risk. Second, legal risk sometimes arises from a transformation in legislation and the law can be clearly understood or ignored because of these particular changes.</w:t>
      </w:r>
    </w:p>
    <w:p>
      <w:pPr>
        <w:pStyle w:val="2"/>
      </w:pPr>
      <w:bookmarkStart w:id="1" w:name="_Toc34230884"/>
      <w:r>
        <w:t>Critical analysis</w:t>
      </w:r>
      <w:bookmarkEnd w:id="1"/>
    </w:p>
    <w:p>
      <w:r>
        <w:t xml:space="preserve">As discussed by Masseno and Santos (2019) People are considered the lifeline of the hospitality industry. Attracting guests to workers, relationships with people are the most reliable factor in the hospitality industry. However, personal data is considered to be one of the powerful marketing components in maintaining relationships with guests and employees. On the contrary, the hotel carefully manages the personally identifiable information it collects and maintains to comply strictly with the Data Protection Act 1998 and the relevant legislation and code of conduct with the DPA. The hotel industry must be sensitive enough to the expectations of its guest as well as employees while maintaining data security and confidentiality. In the context of UK law, it seems that the 1998 Data Protection Act maintains the guest's personal records such as credit card, home address, CCTV footage and similar sensitive information such as this and are very important for managing the reputation of hotel. The violence of these rules can greatly affect the reputation of the hotel and could bring legal charges against the hotel (Masseno and Santos, 2019). The Information Commissioner, on the other hand, may charge both criminal and civil obligations for failing to comply with DPA. The hotel industry appears to be facing various challenges to improve the health and safety of employees. </w:t>
      </w:r>
    </w:p>
    <w:p>
      <w:r>
        <w:t>Over the years, the hotel industry has continued to focus on luxury, amenities and heavier bedrooms that increase the risk of injury to employees. Household employees tend to be at higher risk of injury as their workload can lead them to swell and strain. Slipping, falling and traveling have also contributed to the injury to hotel staff. As discussed by Kuo et al. (2019), these challenges have been recognized by the hotel industry and have passed the Cal / OSHA Act, which came into force on July 2018. This law focuses on the prevention of musculoskeletal injuries in the household. This can be prevented by developing a disease or injury prevention program that could particularly feed the household on how to prevent musculoskeletal injuries through the training program and therefore maintain the program. The main aspect of this type of prevention program is conducting a workplace assessment and risk assessment.</w:t>
      </w:r>
    </w:p>
    <w:p>
      <w:r>
        <w:t>The Health and Safety at Work Act (HASAWA) appears to take into account both the physical and mental health of employees and relieve them of the risk of injury. It is considered extremely important in the hospitality industry. According to Kuo et al. (2019) The main objective of this act is to outline the safety, well-being and health of the person at work. This act clearly stated that it protected employees at their workplace. Not only employees but also protect others by mitigating health and safety issues related to the individual at work. This act tends to control the use of a highly flammable or explosive that has an illegal acquisition. On the contrary, HASAWA controls the release of harmful gases into the atmosphere or some horrible substance.</w:t>
      </w:r>
    </w:p>
    <w:p>
      <w:r>
        <w:t>Maintaining good food hygiene is also an important criterion for the hospitality industry. This support for food hygiene slows down the growth of dangerous microorganisms that can cause infections and diseases. One of the drawbacks of food is cross-contamination, followed by strict rules for the storage, processing, and preparation of foods, and thus all parties are protected. The US FDA has reviewed epidemiological information on outbreaks of food poisoning. Against this background, Joshi (2019) said that in countries such as the UK, authorities have issued hygiene ratings that should be publicly available and may even be displayed in front of business premises. This can retain or destroy the reputation of the business and thus act as an incentive to produce high quality food. The EU appears to be the main legislation controlling food safety practices under Regulation (EC) No 852/2004 on food hygiene. One of the basic prerequisites for the preparation and storage of safe food is that it considers procedures based on the ideology of HACCP (Hazard Analysis and Critical Control Point). To be more precise, this was first urbanized for the food industry. Later hotels, restaurants, cafes and bars are all based on this HACCP procedure. This is a systematic way of assessing the dangers of food and hotel safety.</w:t>
      </w:r>
    </w:p>
    <w:p>
      <w:r>
        <w:t>As mentioned by Vij (2019), an effective risk management policy is crucial for the hospitality industry. Effective risk management would help workers to analyze, identify, evaluate and preserve them or eliminate the risk that is hanging from different sources. This can lead to financial imbalances, accidents, legal consequences, cybersecurity breaches, natural disasters and other consequences. The risk in the hotel industry is related to the risk of food hygiene and data protection risk Effective risk management will be sufficiently capable to mitigate this risk in the context of the hotel industry.</w:t>
      </w:r>
    </w:p>
    <w:p>
      <w:r>
        <w:t>A whole bunch of licenses and registrations are required to start a hotel business. Many licenses are needed before the hotel starts too. Most of these licenses are required to meet the criteria or rules that the hotel industry must meet in order to start a business. The license requirement is according to the type of hotel, which includes location, amenities and rating as well. According to Yong and Lian (2019), the most important permit is a building permit that falls within the scope of the Town Planning Act, the Development Act, or the Municipal Act. Then there is a need for a safety permit, which focuses on whether or not the building is included with the correct fire and safety measures. Hotels need a police license, as they must maintain a valid guest log to maintain a valid police department permit. The following is the FSSAI license for the food business required by the hospitality industry, which is guaranteed under the Food Safety Act and the standards for exercising their control. Although there are different forms of licensing, it is necessary to apply for business in different countries. However, these licensing requirements remain the same.</w:t>
      </w:r>
    </w:p>
    <w:p>
      <w:r>
        <w:t>According to the Hotel Owners Act of 1956, the hotel owner is responsible for the goods and damages caused to their guest during their stay at his hotel. By this act the hotel is obliged to offer the natural person in a decent condition with sleeping facilities, drinks and food, who is ready to pay a reasonable amount for the services and facilities provided. As stated by Singh and Singh (2020), the owner of the hotel is not responsible for the damage to the property that the passenger has brought to the hotel. When the owner is responsible for the damage to the property of the passenger brought to the hotel, no more than fifty pounds is charged for damage to one item (Singh and Singh, 2020).</w:t>
      </w:r>
      <w:bookmarkStart w:id="2" w:name="_Toc34230885"/>
    </w:p>
    <w:p>
      <w:r>
        <w:t>Conclusion</w:t>
      </w:r>
      <w:bookmarkEnd w:id="2"/>
    </w:p>
    <w:p>
      <w:r>
        <w:t>This study clearly concludes that the hospitality industry is one of the fastest growing industries of the present and is engaged in providing travel, entertainment, food and luxury travel. Therefore, the hotel industry covers various laws relating to data protection, employee health and safety, food hygiene, and licensing laws. These laws apply to the industry under the Hotel Owners Act of 1956, when the hotel owner is the primary person responsible for implementing these rules in the industry.</w:t>
      </w:r>
    </w:p>
    <w:p/>
    <w:p/>
    <w:p/>
    <w:p/>
    <w:p/>
    <w:p/>
    <w:p/>
    <w:p/>
    <w:p/>
    <w:p/>
    <w:p/>
    <w:p/>
    <w:p/>
    <w:p>
      <w:pPr>
        <w:pStyle w:val="2"/>
      </w:pPr>
      <w:bookmarkStart w:id="3" w:name="_Toc34230886"/>
      <w:r>
        <w:t>References</w:t>
      </w:r>
      <w:bookmarkEnd w:id="3"/>
    </w:p>
    <w:p>
      <w:pPr>
        <w:rPr>
          <w:rFonts w:cs="Times New Roman"/>
          <w:shd w:val="clear" w:color="auto" w:fill="FFFFFF"/>
        </w:rPr>
      </w:pPr>
      <w:r>
        <w:rPr>
          <w:rFonts w:cs="Times New Roman"/>
          <w:shd w:val="clear" w:color="auto" w:fill="FFFFFF"/>
        </w:rPr>
        <w:t>Masseno, M.D. and Santos, C., 2019. Personalization and Profiling of Tourists in Smart Tourism Destinations–a Data Protection perspective. </w:t>
      </w:r>
      <w:r>
        <w:rPr>
          <w:rFonts w:cs="Times New Roman"/>
          <w:i/>
          <w:iCs/>
          <w:shd w:val="clear" w:color="auto" w:fill="FFFFFF"/>
        </w:rPr>
        <w:t>Revista Argumentum-Argumentum Journal of Law</w:t>
      </w:r>
      <w:r>
        <w:rPr>
          <w:rFonts w:cs="Times New Roman"/>
          <w:shd w:val="clear" w:color="auto" w:fill="FFFFFF"/>
        </w:rPr>
        <w:t>, </w:t>
      </w:r>
      <w:r>
        <w:rPr>
          <w:rFonts w:cs="Times New Roman"/>
          <w:i/>
          <w:iCs/>
          <w:shd w:val="clear" w:color="auto" w:fill="FFFFFF"/>
        </w:rPr>
        <w:t>20</w:t>
      </w:r>
      <w:r>
        <w:rPr>
          <w:rFonts w:cs="Times New Roman"/>
          <w:shd w:val="clear" w:color="auto" w:fill="FFFFFF"/>
        </w:rPr>
        <w:t>(3), pp.1-215.</w:t>
      </w:r>
    </w:p>
    <w:p>
      <w:pPr>
        <w:rPr>
          <w:rFonts w:cs="Times New Roman"/>
        </w:rPr>
      </w:pPr>
      <w:r>
        <w:rPr>
          <w:rFonts w:cs="Times New Roman"/>
        </w:rPr>
        <w:t>Kuo, N.T., Cheng, Y.S., Chang, K.C. and Ying, W.H., 2020. Establishing a measurement scale for safety culture in the hotel industry. Journal of Hospitality and Tourism Management, 42, pp.12-28.</w:t>
      </w:r>
    </w:p>
    <w:p>
      <w:pPr>
        <w:rPr>
          <w:rFonts w:cs="Times New Roman"/>
        </w:rPr>
      </w:pPr>
      <w:r>
        <w:rPr>
          <w:rFonts w:cs="Times New Roman"/>
        </w:rPr>
        <w:t>Joshi, V.K., 2019. Fundamentals of Food Hygiene, Safety and Quality. International Journal of Food and Fermentation Technology, 9(1), pp.0_4-0_5.</w:t>
      </w:r>
    </w:p>
    <w:p>
      <w:pPr>
        <w:rPr>
          <w:rFonts w:cs="Times New Roman"/>
        </w:rPr>
      </w:pPr>
      <w:r>
        <w:rPr>
          <w:rFonts w:cs="Times New Roman"/>
        </w:rPr>
        <w:t>Vij, M., 2019. The emerging importance of risk management and enterprise risk management strategies in the Indian hospitality industry. Worldwide Hospitality and Tourism Themes.</w:t>
      </w:r>
    </w:p>
    <w:p>
      <w:pPr>
        <w:rPr>
          <w:rFonts w:cs="Times New Roman"/>
        </w:rPr>
      </w:pPr>
      <w:r>
        <w:rPr>
          <w:rFonts w:cs="Times New Roman"/>
        </w:rPr>
        <w:t>Yoong, L.C. and Lian, S.B., 2019. Customer Engagement in Social Media and Purchase Intentions in the Hotel Industry. INTERNATIONAL JOURNAL OF ACADEMIC RESEARCH IN BUSINESS AND SOCIAL SCIENCES, 9(1).</w:t>
      </w:r>
    </w:p>
    <w:p>
      <w:pPr>
        <w:rPr>
          <w:rFonts w:cs="Times New Roman"/>
        </w:rPr>
      </w:pPr>
      <w:r>
        <w:rPr>
          <w:rFonts w:cs="Times New Roman"/>
        </w:rPr>
        <w:t>Singh, A. and Singh, K., 2020. Legal Scenario of Honour of Women in India. Our Heritage, 68(30), pp.4066-4075.</w:t>
      </w:r>
    </w:p>
    <w:p>
      <w:pPr>
        <w:rPr>
          <w:b/>
        </w:rPr>
      </w:pPr>
    </w:p>
    <w:p>
      <w:pPr>
        <w:rPr>
          <w:b/>
          <w:i/>
        </w:rPr>
      </w:pPr>
    </w:p>
    <w:sectPr>
      <w:footerReference r:id="rId3" w:type="default"/>
      <w:pgSz w:w="12240" w:h="15840"/>
      <w:pgMar w:top="1440" w:right="1440" w:bottom="1440" w:left="1440" w:header="720" w:footer="72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swiss"/>
    <w:pitch w:val="default"/>
    <w:sig w:usb0="E00002FF" w:usb1="4000ACFF" w:usb2="00000001" w:usb3="00000000" w:csb0="2000019F" w:csb1="00000000"/>
  </w:font>
  <w:font w:name="Calibri">
    <w:panose1 w:val="020F0502020204030204"/>
    <w:charset w:val="CC"/>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Cambria">
    <w:panose1 w:val="02040503050406030204"/>
    <w:charset w:val="00"/>
    <w:family w:val="auto"/>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726391"/>
      <w:docPartObj>
        <w:docPartGallery w:val="AutoText"/>
      </w:docPartObj>
    </w:sdtPr>
    <w:sdtContent>
      <w:p>
        <w:pPr>
          <w:pStyle w:val="4"/>
          <w:jc w:val="right"/>
        </w:pPr>
        <w:r>
          <w:fldChar w:fldCharType="begin"/>
        </w:r>
        <w:r>
          <w:instrText xml:space="preserve"> PAGE   \* MERGEFORMAT </w:instrText>
        </w:r>
        <w:r>
          <w:fldChar w:fldCharType="separate"/>
        </w:r>
        <w:r>
          <w:t>6</w:t>
        </w:r>
        <w: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hyphenationZone w:val="425"/>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48A"/>
    <w:rsid w:val="0008396F"/>
    <w:rsid w:val="000B6974"/>
    <w:rsid w:val="000C2753"/>
    <w:rsid w:val="000D7191"/>
    <w:rsid w:val="00111C85"/>
    <w:rsid w:val="00175A0D"/>
    <w:rsid w:val="00177567"/>
    <w:rsid w:val="00194BC2"/>
    <w:rsid w:val="0026248A"/>
    <w:rsid w:val="002B1BEF"/>
    <w:rsid w:val="002B6699"/>
    <w:rsid w:val="002D151D"/>
    <w:rsid w:val="00350A45"/>
    <w:rsid w:val="00370DAE"/>
    <w:rsid w:val="00373E9F"/>
    <w:rsid w:val="003F3416"/>
    <w:rsid w:val="00431913"/>
    <w:rsid w:val="00561132"/>
    <w:rsid w:val="0058681D"/>
    <w:rsid w:val="0060749B"/>
    <w:rsid w:val="006119D4"/>
    <w:rsid w:val="006357B7"/>
    <w:rsid w:val="00644CF1"/>
    <w:rsid w:val="006675F7"/>
    <w:rsid w:val="006B656F"/>
    <w:rsid w:val="00716117"/>
    <w:rsid w:val="007D08F2"/>
    <w:rsid w:val="007E596F"/>
    <w:rsid w:val="008B5718"/>
    <w:rsid w:val="008D1C64"/>
    <w:rsid w:val="00911BC1"/>
    <w:rsid w:val="00961C2A"/>
    <w:rsid w:val="009B13EA"/>
    <w:rsid w:val="009B6246"/>
    <w:rsid w:val="009F36C4"/>
    <w:rsid w:val="00A55360"/>
    <w:rsid w:val="00AA4E32"/>
    <w:rsid w:val="00B241DC"/>
    <w:rsid w:val="00B76936"/>
    <w:rsid w:val="00BA2040"/>
    <w:rsid w:val="00BB48C7"/>
    <w:rsid w:val="00BE2086"/>
    <w:rsid w:val="00C208B7"/>
    <w:rsid w:val="00C91E92"/>
    <w:rsid w:val="00CF5361"/>
    <w:rsid w:val="00DD0001"/>
    <w:rsid w:val="00ED31D4"/>
    <w:rsid w:val="00EE20FC"/>
    <w:rsid w:val="00EE7D3E"/>
    <w:rsid w:val="00EF4E09"/>
    <w:rsid w:val="00F71542"/>
    <w:rsid w:val="00FE6185"/>
    <w:rsid w:val="1CDA5D38"/>
  </w:rsids>
  <m:mathPr>
    <m:mathFont m:val="Cambria Math"/>
    <m:brkBin m:val="before"/>
    <m:brkBinSub m:val="--"/>
    <m:smallFrac m:val="0"/>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Times New Roman" w:hAnsi="Times New Roman" w:eastAsiaTheme="minorHAnsi" w:cstheme="minorBidi"/>
      <w:sz w:val="24"/>
      <w:szCs w:val="22"/>
      <w:lang w:val="en-GB" w:eastAsia="en-US" w:bidi="ar-SA"/>
    </w:rPr>
  </w:style>
  <w:style w:type="paragraph" w:styleId="2">
    <w:name w:val="heading 1"/>
    <w:basedOn w:val="1"/>
    <w:next w:val="1"/>
    <w:link w:val="10"/>
    <w:qFormat/>
    <w:uiPriority w:val="9"/>
    <w:pPr>
      <w:keepNext/>
      <w:keepLines/>
      <w:spacing w:before="480" w:after="0"/>
      <w:outlineLvl w:val="0"/>
    </w:pPr>
    <w:rPr>
      <w:rFonts w:eastAsiaTheme="majorEastAsia" w:cstheme="majorBidi"/>
      <w:b/>
      <w:bCs/>
      <w:szCs w:val="28"/>
    </w:rPr>
  </w:style>
  <w:style w:type="character" w:default="1" w:styleId="7">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2"/>
    <w:semiHidden/>
    <w:unhideWhenUsed/>
    <w:uiPriority w:val="99"/>
    <w:pPr>
      <w:spacing w:after="0" w:line="240" w:lineRule="auto"/>
    </w:pPr>
    <w:rPr>
      <w:rFonts w:ascii="Tahoma" w:hAnsi="Tahoma" w:cs="Tahoma"/>
      <w:sz w:val="16"/>
      <w:szCs w:val="16"/>
    </w:rPr>
  </w:style>
  <w:style w:type="paragraph" w:styleId="4">
    <w:name w:val="footer"/>
    <w:basedOn w:val="1"/>
    <w:link w:val="14"/>
    <w:unhideWhenUsed/>
    <w:uiPriority w:val="99"/>
    <w:pPr>
      <w:tabs>
        <w:tab w:val="center" w:pos="4680"/>
        <w:tab w:val="right" w:pos="9360"/>
      </w:tabs>
      <w:spacing w:after="0" w:line="240" w:lineRule="auto"/>
    </w:pPr>
  </w:style>
  <w:style w:type="paragraph" w:styleId="5">
    <w:name w:val="header"/>
    <w:basedOn w:val="1"/>
    <w:link w:val="13"/>
    <w:semiHidden/>
    <w:unhideWhenUsed/>
    <w:uiPriority w:val="99"/>
    <w:pPr>
      <w:tabs>
        <w:tab w:val="center" w:pos="4680"/>
        <w:tab w:val="right" w:pos="9360"/>
      </w:tabs>
      <w:spacing w:after="0" w:line="240" w:lineRule="auto"/>
    </w:pPr>
  </w:style>
  <w:style w:type="paragraph" w:styleId="6">
    <w:name w:val="toc 1"/>
    <w:basedOn w:val="1"/>
    <w:next w:val="1"/>
    <w:unhideWhenUsed/>
    <w:uiPriority w:val="39"/>
    <w:pPr>
      <w:spacing w:after="100"/>
    </w:pPr>
  </w:style>
  <w:style w:type="character" w:styleId="8">
    <w:name w:val="Hyperlink"/>
    <w:basedOn w:val="7"/>
    <w:unhideWhenUsed/>
    <w:uiPriority w:val="99"/>
    <w:rPr>
      <w:color w:val="0000FF" w:themeColor="hyperlink"/>
      <w:u w:val="single"/>
    </w:rPr>
  </w:style>
  <w:style w:type="character" w:customStyle="1" w:styleId="10">
    <w:name w:val="Heading 1 Char"/>
    <w:basedOn w:val="7"/>
    <w:link w:val="2"/>
    <w:uiPriority w:val="9"/>
    <w:rPr>
      <w:rFonts w:ascii="Times New Roman" w:hAnsi="Times New Roman" w:eastAsiaTheme="majorEastAsia" w:cstheme="majorBidi"/>
      <w:b/>
      <w:bCs/>
      <w:sz w:val="24"/>
      <w:szCs w:val="28"/>
      <w:lang w:val="en-GB"/>
    </w:rPr>
  </w:style>
  <w:style w:type="paragraph" w:customStyle="1" w:styleId="11">
    <w:name w:val="TOC Heading"/>
    <w:basedOn w:val="2"/>
    <w:next w:val="1"/>
    <w:semiHidden/>
    <w:unhideWhenUsed/>
    <w:qFormat/>
    <w:uiPriority w:val="39"/>
    <w:pPr>
      <w:spacing w:line="276" w:lineRule="auto"/>
      <w:jc w:val="left"/>
      <w:outlineLvl w:val="9"/>
    </w:pPr>
    <w:rPr>
      <w:rFonts w:asciiTheme="majorHAnsi" w:hAnsiTheme="majorHAnsi"/>
      <w:color w:val="366091" w:themeColor="accent1" w:themeShade="BF"/>
      <w:sz w:val="28"/>
      <w:lang w:val="en-US"/>
    </w:rPr>
  </w:style>
  <w:style w:type="character" w:customStyle="1" w:styleId="12">
    <w:name w:val="Balloon Text Char"/>
    <w:basedOn w:val="7"/>
    <w:link w:val="3"/>
    <w:semiHidden/>
    <w:uiPriority w:val="99"/>
    <w:rPr>
      <w:rFonts w:ascii="Tahoma" w:hAnsi="Tahoma" w:cs="Tahoma"/>
      <w:sz w:val="16"/>
      <w:szCs w:val="16"/>
      <w:lang w:val="en-GB"/>
    </w:rPr>
  </w:style>
  <w:style w:type="character" w:customStyle="1" w:styleId="13">
    <w:name w:val="Header Char"/>
    <w:basedOn w:val="7"/>
    <w:link w:val="5"/>
    <w:semiHidden/>
    <w:uiPriority w:val="99"/>
    <w:rPr>
      <w:rFonts w:ascii="Times New Roman" w:hAnsi="Times New Roman"/>
      <w:sz w:val="24"/>
      <w:lang w:val="en-GB"/>
    </w:rPr>
  </w:style>
  <w:style w:type="character" w:customStyle="1" w:styleId="14">
    <w:name w:val="Footer Char"/>
    <w:basedOn w:val="7"/>
    <w:link w:val="4"/>
    <w:uiPriority w:val="99"/>
    <w:rPr>
      <w:rFonts w:ascii="Times New Roman" w:hAnsi="Times New Roman"/>
      <w:sz w:val="24"/>
      <w:lang w:val="en-G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F11A62-87E9-4656-AAA0-A4E52561C2B0}">
  <ds:schemaRefs/>
</ds:datastoreItem>
</file>

<file path=docProps/app.xml><?xml version="1.0" encoding="utf-8"?>
<Properties xmlns="http://schemas.openxmlformats.org/officeDocument/2006/extended-properties" xmlns:vt="http://schemas.openxmlformats.org/officeDocument/2006/docPropsVTypes">
  <Template>Normal</Template>
  <Pages>7</Pages>
  <Words>1490</Words>
  <Characters>8497</Characters>
  <Lines>70</Lines>
  <Paragraphs>19</Paragraphs>
  <TotalTime>3</TotalTime>
  <ScaleCrop>false</ScaleCrop>
  <LinksUpToDate>false</LinksUpToDate>
  <CharactersWithSpaces>9968</CharactersWithSpaces>
  <Application>WPS Office_11.2.0.9085_F1E327BC-269C-435d-A152-05C5408002CA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2020-03-08T11:14:00Z</dcterms:created>
  <dc:creator>mega</dc:creator>
  <cp:lastModifiedBy>Changes MK</cp:lastModifiedBy>
  <dcterms:modified xsi:type="dcterms:W3CDTF">2020-03-09T12:10:56Z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1033-11.2.0.9085</vt:lpwstr>
  </property>
</Properties>
</file>