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256CF9" w14:textId="77777777" w:rsidR="0080122D" w:rsidRDefault="00CC50FE">
      <w:r>
        <w:rPr>
          <w:noProof/>
        </w:rPr>
        <w:drawing>
          <wp:inline distT="0" distB="0" distL="0" distR="0" wp14:anchorId="5F256CF9" wp14:editId="5F256CFA">
            <wp:extent cx="3529593" cy="1412857"/>
            <wp:effectExtent l="0" t="0" r="0" b="0"/>
            <wp:docPr id="1422668550" name="Picture 1" descr="UWTSD logo | Discover Dylan Thoma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529593" cy="1412857"/>
                    </a:xfrm>
                    <a:prstGeom prst="rect">
                      <a:avLst/>
                    </a:prstGeom>
                    <a:noFill/>
                    <a:ln>
                      <a:noFill/>
                      <a:prstDash/>
                    </a:ln>
                  </pic:spPr>
                </pic:pic>
              </a:graphicData>
            </a:graphic>
          </wp:inline>
        </w:drawing>
      </w:r>
    </w:p>
    <w:p w14:paraId="5F256CFA" w14:textId="77777777" w:rsidR="0080122D" w:rsidRDefault="0080122D"/>
    <w:p w14:paraId="5F256CFB" w14:textId="77777777" w:rsidR="0080122D" w:rsidRDefault="0080122D"/>
    <w:p w14:paraId="5F256CFC" w14:textId="77777777" w:rsidR="0080122D" w:rsidRDefault="0080122D">
      <w:pPr>
        <w:jc w:val="center"/>
      </w:pPr>
    </w:p>
    <w:p w14:paraId="5F256CFD" w14:textId="77777777" w:rsidR="0080122D" w:rsidRDefault="00CC50FE">
      <w:pPr>
        <w:jc w:val="center"/>
      </w:pPr>
      <w:r>
        <w:rPr>
          <w:rStyle w:val="Strong"/>
          <w:rFonts w:ascii="Times New Roman" w:hAnsi="Times New Roman"/>
          <w:color w:val="1D2125"/>
          <w:sz w:val="36"/>
          <w:szCs w:val="36"/>
        </w:rPr>
        <w:t>BMHP6030-Health, Wellbeing and Sustainable Development</w:t>
      </w:r>
    </w:p>
    <w:p w14:paraId="5F256CFE" w14:textId="77777777" w:rsidR="0080122D" w:rsidRDefault="0080122D">
      <w:pPr>
        <w:jc w:val="center"/>
      </w:pPr>
    </w:p>
    <w:p w14:paraId="5F256CFF" w14:textId="77777777" w:rsidR="0080122D" w:rsidRDefault="0080122D">
      <w:pPr>
        <w:jc w:val="center"/>
      </w:pPr>
    </w:p>
    <w:p w14:paraId="5F256D00" w14:textId="77777777" w:rsidR="0080122D" w:rsidRDefault="00CC50FE">
      <w:pPr>
        <w:jc w:val="center"/>
      </w:pPr>
      <w:r>
        <w:rPr>
          <w:rFonts w:ascii="Times New Roman" w:hAnsi="Times New Roman"/>
          <w:b/>
          <w:bCs/>
          <w:color w:val="000000"/>
          <w:sz w:val="32"/>
          <w:szCs w:val="32"/>
        </w:rPr>
        <w:t>Assignment 2: Integration of Health, Wellbeing and Sustainable Development in Health and Social Care Report</w:t>
      </w:r>
    </w:p>
    <w:p w14:paraId="5F256D01" w14:textId="77777777" w:rsidR="0080122D" w:rsidRDefault="00CC50FE">
      <w:pPr>
        <w:jc w:val="center"/>
      </w:pPr>
      <w:r>
        <w:rPr>
          <w:rStyle w:val="Strong"/>
          <w:rFonts w:ascii="Times New Roman" w:hAnsi="Times New Roman"/>
          <w:color w:val="1D2125"/>
          <w:sz w:val="32"/>
          <w:szCs w:val="32"/>
        </w:rPr>
        <w:t>Student Name: Grace Henshaw</w:t>
      </w:r>
    </w:p>
    <w:p w14:paraId="5F256D02" w14:textId="77777777" w:rsidR="0080122D" w:rsidRDefault="00CC50FE">
      <w:pPr>
        <w:jc w:val="center"/>
      </w:pPr>
      <w:r>
        <w:rPr>
          <w:rStyle w:val="Strong"/>
          <w:rFonts w:ascii="Times New Roman" w:hAnsi="Times New Roman"/>
          <w:color w:val="1D2125"/>
          <w:sz w:val="32"/>
          <w:szCs w:val="32"/>
        </w:rPr>
        <w:t>Student Number: 2020571</w:t>
      </w:r>
    </w:p>
    <w:p w14:paraId="5F256D03" w14:textId="77777777" w:rsidR="0080122D" w:rsidRDefault="00CC50FE">
      <w:pPr>
        <w:jc w:val="center"/>
      </w:pPr>
      <w:r>
        <w:rPr>
          <w:rStyle w:val="Strong"/>
          <w:rFonts w:ascii="Times New Roman" w:hAnsi="Times New Roman"/>
          <w:color w:val="1D2125"/>
          <w:sz w:val="32"/>
          <w:szCs w:val="32"/>
        </w:rPr>
        <w:t>Lecturer: Shepherd Ziko</w:t>
      </w:r>
    </w:p>
    <w:p w14:paraId="5F256D04" w14:textId="77777777" w:rsidR="0080122D" w:rsidRDefault="0080122D">
      <w:pPr>
        <w:rPr>
          <w:rFonts w:ascii="Times New Roman" w:hAnsi="Times New Roman"/>
        </w:rPr>
      </w:pPr>
    </w:p>
    <w:p w14:paraId="5F256D05" w14:textId="77777777" w:rsidR="0080122D" w:rsidRDefault="0080122D">
      <w:pPr>
        <w:rPr>
          <w:rFonts w:ascii="Times New Roman" w:hAnsi="Times New Roman"/>
        </w:rPr>
      </w:pPr>
    </w:p>
    <w:p w14:paraId="5F256D06" w14:textId="77777777" w:rsidR="0080122D" w:rsidRDefault="0080122D">
      <w:pPr>
        <w:rPr>
          <w:rFonts w:ascii="Times New Roman" w:hAnsi="Times New Roman"/>
        </w:rPr>
      </w:pPr>
    </w:p>
    <w:p w14:paraId="5F256D07" w14:textId="77777777" w:rsidR="0080122D" w:rsidRDefault="0080122D">
      <w:pPr>
        <w:rPr>
          <w:rFonts w:ascii="Times New Roman" w:hAnsi="Times New Roman"/>
        </w:rPr>
      </w:pPr>
    </w:p>
    <w:p w14:paraId="5F256D08" w14:textId="77777777" w:rsidR="0080122D" w:rsidRDefault="0080122D">
      <w:pPr>
        <w:rPr>
          <w:rFonts w:ascii="Times New Roman" w:hAnsi="Times New Roman"/>
        </w:rPr>
      </w:pPr>
    </w:p>
    <w:p w14:paraId="5F256D09" w14:textId="77777777" w:rsidR="0080122D" w:rsidRDefault="0080122D">
      <w:pPr>
        <w:rPr>
          <w:rFonts w:ascii="Times New Roman" w:hAnsi="Times New Roman"/>
        </w:rPr>
      </w:pPr>
    </w:p>
    <w:p w14:paraId="5F256D0A" w14:textId="77777777" w:rsidR="0080122D" w:rsidRDefault="0080122D">
      <w:pPr>
        <w:rPr>
          <w:rFonts w:ascii="Times New Roman" w:hAnsi="Times New Roman"/>
        </w:rPr>
      </w:pPr>
    </w:p>
    <w:p w14:paraId="5F256D0B" w14:textId="77777777" w:rsidR="0080122D" w:rsidRDefault="0080122D">
      <w:pPr>
        <w:rPr>
          <w:rFonts w:ascii="Times New Roman" w:hAnsi="Times New Roman"/>
        </w:rPr>
      </w:pPr>
    </w:p>
    <w:p w14:paraId="5F256D0C" w14:textId="77777777" w:rsidR="0080122D" w:rsidRDefault="0080122D">
      <w:pPr>
        <w:rPr>
          <w:rFonts w:ascii="Times New Roman" w:hAnsi="Times New Roman"/>
        </w:rPr>
      </w:pPr>
    </w:p>
    <w:p w14:paraId="5F256D0D" w14:textId="77777777" w:rsidR="0080122D" w:rsidRDefault="0080122D">
      <w:pPr>
        <w:rPr>
          <w:rFonts w:ascii="Times New Roman" w:hAnsi="Times New Roman"/>
        </w:rPr>
      </w:pPr>
    </w:p>
    <w:p w14:paraId="5F256D0E" w14:textId="77777777" w:rsidR="0080122D" w:rsidRDefault="0080122D">
      <w:pPr>
        <w:rPr>
          <w:rFonts w:ascii="Times New Roman" w:hAnsi="Times New Roman"/>
        </w:rPr>
      </w:pPr>
    </w:p>
    <w:p w14:paraId="5F256D0F" w14:textId="77777777" w:rsidR="0080122D" w:rsidRDefault="00CC50FE">
      <w:pPr>
        <w:pStyle w:val="TOCHeading"/>
        <w:outlineLvl w:val="9"/>
      </w:pPr>
      <w:r>
        <w:rPr>
          <w:rFonts w:ascii="Times New Roman" w:hAnsi="Times New Roman"/>
        </w:rPr>
        <w:lastRenderedPageBreak/>
        <w:t>Table of Contents</w:t>
      </w:r>
    </w:p>
    <w:p w14:paraId="5F256D10" w14:textId="77777777" w:rsidR="0080122D" w:rsidRDefault="00CC50FE">
      <w:pPr>
        <w:pStyle w:val="TOC1"/>
        <w:tabs>
          <w:tab w:val="right" w:leader="dot" w:pos="9016"/>
        </w:tabs>
      </w:pPr>
      <w:r>
        <w:rPr>
          <w:rFonts w:ascii="Aptos Display" w:eastAsia="Times New Roman" w:hAnsi="Aptos Display"/>
          <w:color w:val="0F4761"/>
          <w:kern w:val="0"/>
          <w:sz w:val="32"/>
          <w:szCs w:val="32"/>
          <w:lang w:val="en-US" w:bidi="ar-SA"/>
        </w:rPr>
        <w:fldChar w:fldCharType="begin"/>
      </w:r>
      <w:r>
        <w:instrText xml:space="preserve"> TOC \o "1-3" \u \h </w:instrText>
      </w:r>
      <w:r>
        <w:rPr>
          <w:rFonts w:ascii="Aptos Display" w:eastAsia="Times New Roman" w:hAnsi="Aptos Display"/>
          <w:color w:val="0F4761"/>
          <w:kern w:val="0"/>
          <w:sz w:val="32"/>
          <w:szCs w:val="32"/>
          <w:lang w:val="en-US" w:bidi="ar-SA"/>
        </w:rPr>
        <w:fldChar w:fldCharType="separate"/>
      </w:r>
      <w:hyperlink r:id="rId8" w:history="1">
        <w:r>
          <w:rPr>
            <w:rStyle w:val="Hyperlink"/>
            <w:b/>
            <w:bCs/>
          </w:rPr>
          <w:t>Introduction</w:t>
        </w:r>
        <w:r>
          <w:tab/>
          <w:t>3</w:t>
        </w:r>
      </w:hyperlink>
    </w:p>
    <w:p w14:paraId="5F256D11" w14:textId="77777777" w:rsidR="0080122D" w:rsidRDefault="00CC50FE">
      <w:pPr>
        <w:pStyle w:val="TOC1"/>
        <w:tabs>
          <w:tab w:val="right" w:leader="dot" w:pos="9016"/>
        </w:tabs>
      </w:pPr>
      <w:hyperlink r:id="rId9" w:history="1">
        <w:r>
          <w:rPr>
            <w:rStyle w:val="Hyperlink"/>
            <w:b/>
            <w:bCs/>
          </w:rPr>
          <w:t>Understanding Health, Well-being and Sustainable Development</w:t>
        </w:r>
        <w:r>
          <w:tab/>
          <w:t>3</w:t>
        </w:r>
      </w:hyperlink>
    </w:p>
    <w:p w14:paraId="5F256D12" w14:textId="77777777" w:rsidR="0080122D" w:rsidRDefault="00CC50FE">
      <w:pPr>
        <w:pStyle w:val="TOC1"/>
        <w:tabs>
          <w:tab w:val="right" w:leader="dot" w:pos="9016"/>
        </w:tabs>
      </w:pPr>
      <w:hyperlink r:id="rId10" w:history="1">
        <w:r>
          <w:rPr>
            <w:rStyle w:val="Hyperlink"/>
            <w:b/>
            <w:bCs/>
          </w:rPr>
          <w:t>SDG 3: Good Health and Well-being</w:t>
        </w:r>
        <w:r>
          <w:tab/>
          <w:t>4</w:t>
        </w:r>
      </w:hyperlink>
    </w:p>
    <w:p w14:paraId="5F256D13" w14:textId="77777777" w:rsidR="0080122D" w:rsidRDefault="00CC50FE">
      <w:pPr>
        <w:pStyle w:val="TOC1"/>
        <w:tabs>
          <w:tab w:val="right" w:leader="dot" w:pos="9016"/>
        </w:tabs>
      </w:pPr>
      <w:hyperlink r:id="rId11" w:history="1">
        <w:r>
          <w:rPr>
            <w:rStyle w:val="Hyperlink"/>
            <w:b/>
            <w:bCs/>
          </w:rPr>
          <w:t>SDG 13: Climate Action and Its Impact on Health</w:t>
        </w:r>
        <w:r>
          <w:tab/>
          <w:t>5</w:t>
        </w:r>
      </w:hyperlink>
    </w:p>
    <w:p w14:paraId="5F256D14" w14:textId="77777777" w:rsidR="0080122D" w:rsidRDefault="00CC50FE">
      <w:pPr>
        <w:pStyle w:val="TOC1"/>
        <w:tabs>
          <w:tab w:val="right" w:leader="dot" w:pos="9016"/>
        </w:tabs>
      </w:pPr>
      <w:hyperlink r:id="rId12" w:history="1">
        <w:r>
          <w:rPr>
            <w:rStyle w:val="Hyperlink"/>
            <w:b/>
            <w:bCs/>
          </w:rPr>
          <w:t>Integration in Policy and Governance</w:t>
        </w:r>
        <w:r>
          <w:tab/>
          <w:t>6</w:t>
        </w:r>
      </w:hyperlink>
    </w:p>
    <w:p w14:paraId="5F256D15" w14:textId="77777777" w:rsidR="0080122D" w:rsidRDefault="00CC50FE">
      <w:pPr>
        <w:pStyle w:val="TOC1"/>
        <w:tabs>
          <w:tab w:val="right" w:leader="dot" w:pos="9016"/>
        </w:tabs>
      </w:pPr>
      <w:hyperlink r:id="rId13" w:history="1">
        <w:r>
          <w:rPr>
            <w:rStyle w:val="Hyperlink"/>
            <w:b/>
            <w:bCs/>
          </w:rPr>
          <w:t>Service Delivery and Practice</w:t>
        </w:r>
        <w:r>
          <w:tab/>
          <w:t>6</w:t>
        </w:r>
      </w:hyperlink>
    </w:p>
    <w:p w14:paraId="5F256D16" w14:textId="77777777" w:rsidR="0080122D" w:rsidRDefault="00CC50FE">
      <w:pPr>
        <w:pStyle w:val="TOC1"/>
        <w:tabs>
          <w:tab w:val="right" w:leader="dot" w:pos="9016"/>
        </w:tabs>
      </w:pPr>
      <w:hyperlink r:id="rId14" w:history="1">
        <w:r>
          <w:rPr>
            <w:rStyle w:val="Hyperlink"/>
            <w:b/>
            <w:bCs/>
          </w:rPr>
          <w:t>Public Health Initiatives</w:t>
        </w:r>
        <w:r>
          <w:tab/>
          <w:t>7</w:t>
        </w:r>
      </w:hyperlink>
    </w:p>
    <w:p w14:paraId="5F256D17" w14:textId="77777777" w:rsidR="0080122D" w:rsidRDefault="00CC50FE">
      <w:pPr>
        <w:pStyle w:val="TOC1"/>
        <w:tabs>
          <w:tab w:val="right" w:leader="dot" w:pos="9016"/>
        </w:tabs>
      </w:pPr>
      <w:hyperlink r:id="rId15" w:history="1">
        <w:r>
          <w:rPr>
            <w:rStyle w:val="Hyperlink"/>
            <w:b/>
            <w:bCs/>
          </w:rPr>
          <w:t>Equity, Access, and Inequalities</w:t>
        </w:r>
        <w:r>
          <w:tab/>
          <w:t>7</w:t>
        </w:r>
      </w:hyperlink>
    </w:p>
    <w:p w14:paraId="5F256D18" w14:textId="77777777" w:rsidR="0080122D" w:rsidRDefault="00CC50FE">
      <w:pPr>
        <w:pStyle w:val="TOC1"/>
        <w:tabs>
          <w:tab w:val="right" w:leader="dot" w:pos="9016"/>
        </w:tabs>
      </w:pPr>
      <w:hyperlink r:id="rId16" w:history="1">
        <w:r>
          <w:rPr>
            <w:rStyle w:val="Hyperlink"/>
            <w:b/>
            <w:bCs/>
          </w:rPr>
          <w:t>Challenges and Barriers</w:t>
        </w:r>
        <w:r>
          <w:tab/>
          <w:t>8</w:t>
        </w:r>
      </w:hyperlink>
    </w:p>
    <w:p w14:paraId="5F256D19" w14:textId="77777777" w:rsidR="0080122D" w:rsidRDefault="00CC50FE">
      <w:pPr>
        <w:pStyle w:val="TOC1"/>
        <w:tabs>
          <w:tab w:val="right" w:leader="dot" w:pos="9016"/>
        </w:tabs>
      </w:pPr>
      <w:hyperlink r:id="rId17" w:history="1">
        <w:r>
          <w:rPr>
            <w:rStyle w:val="Hyperlink"/>
            <w:b/>
            <w:bCs/>
          </w:rPr>
          <w:t>Recommendations</w:t>
        </w:r>
        <w:r>
          <w:tab/>
          <w:t>8</w:t>
        </w:r>
      </w:hyperlink>
    </w:p>
    <w:p w14:paraId="5F256D1A" w14:textId="77777777" w:rsidR="0080122D" w:rsidRDefault="00CC50FE">
      <w:pPr>
        <w:pStyle w:val="TOC1"/>
        <w:tabs>
          <w:tab w:val="right" w:leader="dot" w:pos="9016"/>
        </w:tabs>
      </w:pPr>
      <w:hyperlink r:id="rId18" w:history="1">
        <w:r>
          <w:rPr>
            <w:rStyle w:val="Hyperlink"/>
            <w:b/>
            <w:bCs/>
          </w:rPr>
          <w:t>Conclusion</w:t>
        </w:r>
        <w:r>
          <w:tab/>
          <w:t>9</w:t>
        </w:r>
      </w:hyperlink>
    </w:p>
    <w:p w14:paraId="5F256D1B" w14:textId="77777777" w:rsidR="0080122D" w:rsidRDefault="00CC50FE">
      <w:pPr>
        <w:pStyle w:val="TOC1"/>
        <w:tabs>
          <w:tab w:val="right" w:leader="dot" w:pos="9016"/>
        </w:tabs>
      </w:pPr>
      <w:hyperlink r:id="rId19" w:history="1">
        <w:r>
          <w:rPr>
            <w:rStyle w:val="Hyperlink"/>
            <w:b/>
            <w:bCs/>
          </w:rPr>
          <w:t>References:</w:t>
        </w:r>
        <w:r>
          <w:tab/>
          <w:t>9</w:t>
        </w:r>
      </w:hyperlink>
    </w:p>
    <w:p w14:paraId="5F256D1C" w14:textId="77777777" w:rsidR="0080122D" w:rsidRDefault="00CC50FE">
      <w:r>
        <w:rPr>
          <w:rFonts w:ascii="Times New Roman" w:hAnsi="Times New Roman"/>
          <w:szCs w:val="30"/>
          <w:lang w:val="en-IN" w:bidi="bn-IN"/>
        </w:rPr>
        <w:fldChar w:fldCharType="end"/>
      </w:r>
    </w:p>
    <w:p w14:paraId="5F256D1D" w14:textId="77777777" w:rsidR="0080122D" w:rsidRDefault="0080122D">
      <w:pPr>
        <w:rPr>
          <w:rFonts w:ascii="Times New Roman" w:hAnsi="Times New Roman"/>
        </w:rPr>
      </w:pPr>
    </w:p>
    <w:p w14:paraId="5F256D1E" w14:textId="77777777" w:rsidR="0080122D" w:rsidRDefault="0080122D">
      <w:pPr>
        <w:rPr>
          <w:rFonts w:ascii="Times New Roman" w:hAnsi="Times New Roman"/>
        </w:rPr>
      </w:pPr>
    </w:p>
    <w:p w14:paraId="5F256D1F" w14:textId="77777777" w:rsidR="0080122D" w:rsidRDefault="0080122D">
      <w:pPr>
        <w:rPr>
          <w:rFonts w:ascii="Times New Roman" w:hAnsi="Times New Roman"/>
        </w:rPr>
      </w:pPr>
    </w:p>
    <w:p w14:paraId="5F256D20" w14:textId="77777777" w:rsidR="0080122D" w:rsidRDefault="0080122D">
      <w:pPr>
        <w:rPr>
          <w:rFonts w:ascii="Times New Roman" w:hAnsi="Times New Roman"/>
        </w:rPr>
      </w:pPr>
    </w:p>
    <w:p w14:paraId="5F256D21" w14:textId="77777777" w:rsidR="0080122D" w:rsidRDefault="0080122D">
      <w:pPr>
        <w:rPr>
          <w:rFonts w:ascii="Times New Roman" w:hAnsi="Times New Roman"/>
        </w:rPr>
      </w:pPr>
    </w:p>
    <w:p w14:paraId="5F256D22" w14:textId="77777777" w:rsidR="0080122D" w:rsidRDefault="0080122D">
      <w:pPr>
        <w:rPr>
          <w:rFonts w:ascii="Times New Roman" w:hAnsi="Times New Roman"/>
        </w:rPr>
      </w:pPr>
    </w:p>
    <w:p w14:paraId="5F256D23" w14:textId="77777777" w:rsidR="0080122D" w:rsidRDefault="0080122D">
      <w:pPr>
        <w:rPr>
          <w:rFonts w:ascii="Times New Roman" w:hAnsi="Times New Roman"/>
        </w:rPr>
      </w:pPr>
    </w:p>
    <w:p w14:paraId="5F256D24" w14:textId="77777777" w:rsidR="0080122D" w:rsidRDefault="0080122D">
      <w:pPr>
        <w:rPr>
          <w:rFonts w:ascii="Times New Roman" w:hAnsi="Times New Roman"/>
        </w:rPr>
      </w:pPr>
    </w:p>
    <w:p w14:paraId="5F256D25" w14:textId="77777777" w:rsidR="0080122D" w:rsidRDefault="0080122D">
      <w:pPr>
        <w:rPr>
          <w:rFonts w:ascii="Times New Roman" w:hAnsi="Times New Roman"/>
        </w:rPr>
      </w:pPr>
    </w:p>
    <w:p w14:paraId="5F256D26" w14:textId="77777777" w:rsidR="0080122D" w:rsidRDefault="0080122D">
      <w:pPr>
        <w:rPr>
          <w:rFonts w:ascii="Times New Roman" w:hAnsi="Times New Roman"/>
        </w:rPr>
      </w:pPr>
    </w:p>
    <w:p w14:paraId="5F256D27" w14:textId="77777777" w:rsidR="0080122D" w:rsidRDefault="0080122D">
      <w:pPr>
        <w:rPr>
          <w:rFonts w:ascii="Times New Roman" w:hAnsi="Times New Roman"/>
        </w:rPr>
      </w:pPr>
    </w:p>
    <w:p w14:paraId="5F256D28" w14:textId="77777777" w:rsidR="0080122D" w:rsidRDefault="0080122D">
      <w:pPr>
        <w:rPr>
          <w:rFonts w:ascii="Times New Roman" w:hAnsi="Times New Roman"/>
        </w:rPr>
      </w:pPr>
    </w:p>
    <w:p w14:paraId="5F256D29" w14:textId="77777777" w:rsidR="0080122D" w:rsidRDefault="0080122D">
      <w:pPr>
        <w:rPr>
          <w:rFonts w:ascii="Times New Roman" w:hAnsi="Times New Roman"/>
        </w:rPr>
      </w:pPr>
    </w:p>
    <w:p w14:paraId="5F256D2A" w14:textId="77777777" w:rsidR="0080122D" w:rsidRDefault="00CC50FE">
      <w:pPr>
        <w:pStyle w:val="Heading1"/>
        <w:spacing w:line="360" w:lineRule="auto"/>
        <w:jc w:val="both"/>
        <w:rPr>
          <w:rFonts w:ascii="Times New Roman" w:hAnsi="Times New Roman"/>
          <w:b/>
          <w:bCs/>
          <w:color w:val="auto"/>
          <w:sz w:val="36"/>
          <w:szCs w:val="36"/>
        </w:rPr>
      </w:pPr>
      <w:bookmarkStart w:id="0" w:name="_Toc217969287"/>
      <w:r>
        <w:rPr>
          <w:rFonts w:ascii="Times New Roman" w:hAnsi="Times New Roman"/>
          <w:b/>
          <w:bCs/>
          <w:color w:val="auto"/>
          <w:sz w:val="36"/>
          <w:szCs w:val="36"/>
        </w:rPr>
        <w:lastRenderedPageBreak/>
        <w:t>Introduction</w:t>
      </w:r>
      <w:bookmarkEnd w:id="0"/>
    </w:p>
    <w:p w14:paraId="5F256D2B" w14:textId="77777777" w:rsidR="0080122D" w:rsidRDefault="00CC50FE">
      <w:pPr>
        <w:spacing w:line="360" w:lineRule="auto"/>
        <w:jc w:val="both"/>
        <w:rPr>
          <w:rFonts w:ascii="Times New Roman" w:hAnsi="Times New Roman"/>
          <w:sz w:val="22"/>
          <w:szCs w:val="22"/>
        </w:rPr>
      </w:pPr>
      <w:r>
        <w:rPr>
          <w:rFonts w:ascii="Times New Roman" w:hAnsi="Times New Roman"/>
          <w:sz w:val="22"/>
          <w:szCs w:val="22"/>
        </w:rPr>
        <w:t xml:space="preserve">The three major pillars of contemporary health and social care are arguably wellness, health, and sustainable development. Reforms in the health sector must </w:t>
      </w:r>
      <w:r>
        <w:rPr>
          <w:rFonts w:ascii="Times New Roman" w:hAnsi="Times New Roman"/>
          <w:sz w:val="22"/>
          <w:szCs w:val="22"/>
        </w:rPr>
        <w:t>ensure the fulfilment of other fundamental human rights by enabling a legal framework that prohibits discrimination in the provision of healthcare and is supplemented by changes outside the medical area that focus on the social determinants of health. The Sustainable Development Goals (SDGs) of the United Nations provide an essential foundation for understanding this link. This study examines the mixed results on citizens of SDG 13: climate movement and SDG 3: top health and well-being. One of the primary r</w:t>
      </w:r>
      <w:r>
        <w:rPr>
          <w:rFonts w:ascii="Times New Roman" w:hAnsi="Times New Roman"/>
          <w:sz w:val="22"/>
          <w:szCs w:val="22"/>
        </w:rPr>
        <w:t>easons for health disparities is one’s environment, such as the food they eat, the transportation they use, and the infrastructure they dwell in (Lakioti et al., 2025).  These health disparities can be significantly impacted by how things are organised and made available in groups. They can also encourage and facilitate healthy behaviour. However, the healthy trends of communities have a distinct socioeconomic gradient.</w:t>
      </w:r>
    </w:p>
    <w:p w14:paraId="5F256D2C" w14:textId="77777777" w:rsidR="0080122D" w:rsidRDefault="00CC50FE">
      <w:pPr>
        <w:pStyle w:val="Heading1"/>
        <w:spacing w:line="360" w:lineRule="auto"/>
        <w:jc w:val="both"/>
        <w:rPr>
          <w:rFonts w:ascii="Times New Roman" w:hAnsi="Times New Roman"/>
          <w:b/>
          <w:bCs/>
          <w:color w:val="auto"/>
          <w:sz w:val="36"/>
          <w:szCs w:val="36"/>
        </w:rPr>
      </w:pPr>
      <w:bookmarkStart w:id="1" w:name="_Toc217969288"/>
      <w:r>
        <w:rPr>
          <w:rFonts w:ascii="Times New Roman" w:hAnsi="Times New Roman"/>
          <w:b/>
          <w:bCs/>
          <w:color w:val="auto"/>
          <w:sz w:val="36"/>
          <w:szCs w:val="36"/>
        </w:rPr>
        <w:t>Understanding Health, Well-being and Sustainable Development</w:t>
      </w:r>
      <w:bookmarkEnd w:id="1"/>
    </w:p>
    <w:p w14:paraId="5F256D2D" w14:textId="77777777" w:rsidR="0080122D" w:rsidRDefault="00CC50FE">
      <w:pPr>
        <w:spacing w:line="360" w:lineRule="auto"/>
        <w:jc w:val="both"/>
        <w:rPr>
          <w:rFonts w:ascii="Times New Roman" w:hAnsi="Times New Roman"/>
          <w:sz w:val="22"/>
          <w:szCs w:val="22"/>
        </w:rPr>
      </w:pPr>
      <w:r>
        <w:rPr>
          <w:rFonts w:ascii="Times New Roman" w:hAnsi="Times New Roman"/>
          <w:sz w:val="22"/>
          <w:szCs w:val="22"/>
        </w:rPr>
        <w:t>More people are realising that overall wellbeing comprises of mental, social, and physical health instead of merely the absence of an infection. The biopsychosocial model and different contemporary models emphasise the importance of biological, psychological, and environmental elements in population health. In a comparable vein, wellness is the ability of a person to stay in safety, motivation, and emotional equilibrium. The growing number of elderly people, particularly in city areas, has put a strain on t</w:t>
      </w:r>
      <w:r>
        <w:rPr>
          <w:rFonts w:ascii="Times New Roman" w:hAnsi="Times New Roman"/>
          <w:sz w:val="22"/>
          <w:szCs w:val="22"/>
        </w:rPr>
        <w:t xml:space="preserve">he health and social programmes available. Therefore, there's a greater need than ever for social and health services to be integrated, particularly for middle-income countries that are ageing in less than ten years. </w:t>
      </w:r>
    </w:p>
    <w:p w14:paraId="5F256D2E" w14:textId="77777777" w:rsidR="0080122D" w:rsidRDefault="00CC50FE">
      <w:pPr>
        <w:spacing w:line="360" w:lineRule="auto"/>
        <w:jc w:val="both"/>
        <w:rPr>
          <w:rFonts w:ascii="Times New Roman" w:hAnsi="Times New Roman"/>
          <w:sz w:val="22"/>
          <w:szCs w:val="22"/>
        </w:rPr>
      </w:pPr>
      <w:r>
        <w:rPr>
          <w:rFonts w:ascii="Times New Roman" w:hAnsi="Times New Roman"/>
          <w:sz w:val="22"/>
          <w:szCs w:val="22"/>
        </w:rPr>
        <w:t xml:space="preserve">Numerous high-income nations have adopted telehealth through governmental programmes, whereas lower-income nations have done so via private institutional services (Reed et al., 2021). When taken as a whole, these frameworks help the adoption of long-term, preventative, and equitable care strategies that take social and environmental determinants into view. Social care must therefore be immediately incorporated into the lengthy-time period remedy strategy for the aged. So that it will connect healthcare and </w:t>
      </w:r>
      <w:r>
        <w:rPr>
          <w:rFonts w:ascii="Times New Roman" w:hAnsi="Times New Roman"/>
          <w:sz w:val="22"/>
          <w:szCs w:val="22"/>
        </w:rPr>
        <w:t>social offerings, yet telehealth does need adequate funding for features like device setup, system, and advertising. Even in high-income nations, studies evaluating the country's telehealth plan to enhance the healthcare delivery system found difficulties and obstacles in its execution.</w:t>
      </w:r>
    </w:p>
    <w:p w14:paraId="5F256D2F" w14:textId="77777777" w:rsidR="0080122D" w:rsidRDefault="00CC50FE">
      <w:pPr>
        <w:pStyle w:val="Heading1"/>
        <w:spacing w:line="360" w:lineRule="auto"/>
        <w:jc w:val="both"/>
        <w:rPr>
          <w:rFonts w:ascii="Times New Roman" w:hAnsi="Times New Roman"/>
          <w:b/>
          <w:bCs/>
          <w:color w:val="auto"/>
          <w:sz w:val="36"/>
          <w:szCs w:val="36"/>
        </w:rPr>
      </w:pPr>
      <w:bookmarkStart w:id="2" w:name="_Toc217969289"/>
      <w:r>
        <w:rPr>
          <w:rFonts w:ascii="Times New Roman" w:hAnsi="Times New Roman"/>
          <w:b/>
          <w:bCs/>
          <w:color w:val="auto"/>
          <w:sz w:val="36"/>
          <w:szCs w:val="36"/>
        </w:rPr>
        <w:lastRenderedPageBreak/>
        <w:t>SDG 3: Good Health and Well-being</w:t>
      </w:r>
      <w:bookmarkEnd w:id="2"/>
    </w:p>
    <w:p w14:paraId="5F256D30" w14:textId="77777777" w:rsidR="0080122D" w:rsidRDefault="00CC50FE">
      <w:pPr>
        <w:spacing w:line="360" w:lineRule="auto"/>
        <w:jc w:val="both"/>
        <w:rPr>
          <w:rFonts w:ascii="Times New Roman" w:hAnsi="Times New Roman"/>
          <w:sz w:val="22"/>
          <w:szCs w:val="22"/>
        </w:rPr>
      </w:pPr>
      <w:r>
        <w:rPr>
          <w:rFonts w:ascii="Times New Roman" w:hAnsi="Times New Roman"/>
          <w:sz w:val="22"/>
          <w:szCs w:val="22"/>
        </w:rPr>
        <w:t>SDG 3 seeks to assure everyone's health and well-being, irrespective of age. It offers goals for stopping non-communicable illnesses, improving mental fitness, decreasing mortality, and ensuring universal health coverage. However, actions taken for one SDG may have negative effects and delay another SDG, thus we trust in a more integrative approach moving forward. For example, the One Health/EcoHealth could be implemented through cohesive risk evaluations and organised selection making to improve our compre</w:t>
      </w:r>
      <w:r>
        <w:rPr>
          <w:rFonts w:ascii="Times New Roman" w:hAnsi="Times New Roman"/>
          <w:sz w:val="22"/>
          <w:szCs w:val="22"/>
        </w:rPr>
        <w:t>hension of selection repercussions throughout sectors, i.e., compromises and benefits among the achievement of multiple SDGs (Henderson et al., 2020). So as to improve the SDGs, this project would enable a preventative reduction or minimisation of the prevalence and hazard of damage, as well as disregard for development decisions.</w:t>
      </w:r>
    </w:p>
    <w:p w14:paraId="5F256D31" w14:textId="77777777" w:rsidR="0080122D" w:rsidRDefault="00CC50FE">
      <w:pPr>
        <w:keepNext/>
        <w:jc w:val="center"/>
      </w:pPr>
      <w:r>
        <w:rPr>
          <w:rFonts w:ascii="Times New Roman" w:hAnsi="Times New Roman"/>
          <w:noProof/>
        </w:rPr>
        <w:drawing>
          <wp:inline distT="0" distB="0" distL="0" distR="0" wp14:anchorId="5F256CFB" wp14:editId="5F256CFC">
            <wp:extent cx="2755901" cy="2228850"/>
            <wp:effectExtent l="0" t="0" r="6349" b="0"/>
            <wp:docPr id="1448182341"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2755901" cy="2228850"/>
                    </a:xfrm>
                    <a:prstGeom prst="rect">
                      <a:avLst/>
                    </a:prstGeom>
                    <a:noFill/>
                    <a:ln>
                      <a:noFill/>
                      <a:prstDash/>
                    </a:ln>
                  </pic:spPr>
                </pic:pic>
              </a:graphicData>
            </a:graphic>
          </wp:inline>
        </w:drawing>
      </w:r>
    </w:p>
    <w:p w14:paraId="5F256D32" w14:textId="77777777" w:rsidR="0080122D" w:rsidRDefault="00CC50FE">
      <w:pPr>
        <w:pStyle w:val="Caption"/>
        <w:jc w:val="center"/>
      </w:pPr>
      <w:r>
        <w:rPr>
          <w:color w:val="auto"/>
        </w:rPr>
        <w:t>Figure 1 SDG 3: Good Health and Well-being</w:t>
      </w:r>
    </w:p>
    <w:p w14:paraId="5F256D33" w14:textId="77777777" w:rsidR="0080122D" w:rsidRDefault="00CC50FE">
      <w:pPr>
        <w:spacing w:line="360" w:lineRule="auto"/>
        <w:jc w:val="both"/>
        <w:rPr>
          <w:rFonts w:ascii="Times New Roman" w:hAnsi="Times New Roman"/>
          <w:sz w:val="22"/>
          <w:szCs w:val="22"/>
        </w:rPr>
      </w:pPr>
      <w:r>
        <w:rPr>
          <w:rFonts w:ascii="Times New Roman" w:hAnsi="Times New Roman"/>
          <w:sz w:val="22"/>
          <w:szCs w:val="22"/>
        </w:rPr>
        <w:t>An extensive global development is the recognition of the interconnection of social desires, such as health and well-being, monetary progress, and the environment. Because superior well-being and health aren't only the outcome of a stronger economy but also the maintenance of natural quality, which can be modified or destroyed via unchecked development, the idea of this complex system creates either beneficial or negative feedback among the economic, social, and environmental factors (Vasconcellos Oliveira,</w:t>
      </w:r>
      <w:r>
        <w:rPr>
          <w:rFonts w:ascii="Times New Roman" w:hAnsi="Times New Roman"/>
          <w:sz w:val="22"/>
          <w:szCs w:val="22"/>
        </w:rPr>
        <w:t xml:space="preserve"> 2021). The strain on mental health has also increased, especially after the COVID-19 pandemic, underscoring the need for more effective and complete preventive measures. Though large disparities still exist in spite of those pledges. The Office for National Statistics reports that individuals in the United Kingdom's impoverished areas had far shorter life expectancies and more years of poor health. </w:t>
      </w:r>
    </w:p>
    <w:p w14:paraId="5F256D34" w14:textId="77777777" w:rsidR="0080122D" w:rsidRDefault="0080122D">
      <w:pPr>
        <w:spacing w:line="360" w:lineRule="auto"/>
        <w:jc w:val="both"/>
        <w:rPr>
          <w:rFonts w:ascii="Times New Roman" w:hAnsi="Times New Roman"/>
          <w:sz w:val="22"/>
          <w:szCs w:val="22"/>
        </w:rPr>
      </w:pPr>
    </w:p>
    <w:p w14:paraId="5F256D35" w14:textId="77777777" w:rsidR="0080122D" w:rsidRDefault="00CC50FE">
      <w:pPr>
        <w:pStyle w:val="Heading1"/>
        <w:spacing w:line="360" w:lineRule="auto"/>
        <w:jc w:val="both"/>
        <w:rPr>
          <w:rFonts w:ascii="Times New Roman" w:hAnsi="Times New Roman"/>
          <w:b/>
          <w:bCs/>
          <w:color w:val="auto"/>
          <w:sz w:val="36"/>
          <w:szCs w:val="36"/>
        </w:rPr>
      </w:pPr>
      <w:bookmarkStart w:id="3" w:name="_Toc217969290"/>
      <w:r>
        <w:rPr>
          <w:rFonts w:ascii="Times New Roman" w:hAnsi="Times New Roman"/>
          <w:b/>
          <w:bCs/>
          <w:color w:val="auto"/>
          <w:sz w:val="36"/>
          <w:szCs w:val="36"/>
        </w:rPr>
        <w:lastRenderedPageBreak/>
        <w:t>SDG 13: Climate Action and Its Impact on Health</w:t>
      </w:r>
      <w:bookmarkEnd w:id="3"/>
    </w:p>
    <w:p w14:paraId="5F256D36" w14:textId="77777777" w:rsidR="0080122D" w:rsidRDefault="00CC50FE">
      <w:pPr>
        <w:spacing w:line="360" w:lineRule="auto"/>
        <w:jc w:val="both"/>
        <w:rPr>
          <w:rFonts w:ascii="Times New Roman" w:hAnsi="Times New Roman"/>
          <w:sz w:val="22"/>
          <w:szCs w:val="22"/>
        </w:rPr>
      </w:pPr>
      <w:r>
        <w:rPr>
          <w:rFonts w:ascii="Times New Roman" w:hAnsi="Times New Roman"/>
          <w:sz w:val="22"/>
          <w:szCs w:val="22"/>
        </w:rPr>
        <w:t>Health outcomes are intimately related to climate motion. SDG 13 urges immediate action to mitigate climate-related risks, such as environmental deterioration, air pollution, and extreme weather. Public health is affected by those issues both directly and indirectly. Childhood asthma, cardiovascular issues, and respiratory illnesses are all made worse by air pollutants. The influence of "place" on fitness is widely stated. Even as poorly designed cities create bad environments that discourage physical activ</w:t>
      </w:r>
      <w:r>
        <w:rPr>
          <w:rFonts w:ascii="Times New Roman" w:hAnsi="Times New Roman"/>
          <w:sz w:val="22"/>
          <w:szCs w:val="22"/>
        </w:rPr>
        <w:t xml:space="preserve">ity, expose people to dangers like air pollution and dangerous traffic, and contribute to mental illness and non-communicable diseases, well-designed cities help the achievement of SDG 3. </w:t>
      </w:r>
    </w:p>
    <w:p w14:paraId="5F256D37" w14:textId="77777777" w:rsidR="0080122D" w:rsidRDefault="00CC50FE">
      <w:pPr>
        <w:keepNext/>
        <w:jc w:val="center"/>
      </w:pPr>
      <w:r>
        <w:rPr>
          <w:rFonts w:ascii="Times New Roman" w:hAnsi="Times New Roman"/>
          <w:noProof/>
        </w:rPr>
        <w:drawing>
          <wp:inline distT="0" distB="0" distL="0" distR="0" wp14:anchorId="5F256CFD" wp14:editId="5F256CFE">
            <wp:extent cx="2730498" cy="2216148"/>
            <wp:effectExtent l="0" t="0" r="0" b="0"/>
            <wp:docPr id="750398800"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2730498" cy="2216148"/>
                    </a:xfrm>
                    <a:prstGeom prst="rect">
                      <a:avLst/>
                    </a:prstGeom>
                    <a:noFill/>
                    <a:ln>
                      <a:noFill/>
                      <a:prstDash/>
                    </a:ln>
                  </pic:spPr>
                </pic:pic>
              </a:graphicData>
            </a:graphic>
          </wp:inline>
        </w:drawing>
      </w:r>
    </w:p>
    <w:p w14:paraId="5F256D38" w14:textId="77777777" w:rsidR="0080122D" w:rsidRDefault="00CC50FE">
      <w:pPr>
        <w:pStyle w:val="Caption"/>
        <w:jc w:val="center"/>
      </w:pPr>
      <w:r>
        <w:rPr>
          <w:color w:val="auto"/>
        </w:rPr>
        <w:t>Figure 2 SDG 13: Climate Action</w:t>
      </w:r>
    </w:p>
    <w:p w14:paraId="5F256D39" w14:textId="77777777" w:rsidR="0080122D" w:rsidRDefault="00CC50FE">
      <w:pPr>
        <w:spacing w:line="360" w:lineRule="auto"/>
        <w:jc w:val="both"/>
        <w:rPr>
          <w:rFonts w:ascii="Times New Roman" w:hAnsi="Times New Roman"/>
          <w:sz w:val="22"/>
          <w:szCs w:val="22"/>
        </w:rPr>
      </w:pPr>
      <w:r>
        <w:rPr>
          <w:rFonts w:ascii="Times New Roman" w:hAnsi="Times New Roman"/>
          <w:sz w:val="22"/>
          <w:szCs w:val="22"/>
        </w:rPr>
        <w:t>In the short term, health is supported via housing that is free of risks and pollutants and that offers sufficient space and warmth. By encouraging green healthcare facilities, environmentally friendly purchasing, and lower-carbon healing strategies, the NHS has pledged to cut emissions. In a move to reduce pollution and encourage more healthy living, local authorities have also implemented communal green areas, active travel routes, and easy air zones. The relationship between SDG 3 and SDG 13 is evident w</w:t>
      </w:r>
      <w:r>
        <w:rPr>
          <w:rFonts w:ascii="Times New Roman" w:hAnsi="Times New Roman"/>
          <w:sz w:val="22"/>
          <w:szCs w:val="22"/>
        </w:rPr>
        <w:t>hen one takes into account the direct correlation between higher well-being and healthier ecosystems (Yin et al., 2021). The scope of the troubles and sports required by the SDGs can easily overwhelm an individual, and the science may appear too complicated for short-term implementation. There may be a tendency to disclaim and disavow the necessary activities, both personal and national. As well, many misled people want to disregard or deny scientific data regarding climate change and other health hazards.</w:t>
      </w:r>
    </w:p>
    <w:p w14:paraId="5F256D3A" w14:textId="77777777" w:rsidR="0080122D" w:rsidRDefault="0080122D">
      <w:pPr>
        <w:spacing w:line="360" w:lineRule="auto"/>
        <w:jc w:val="both"/>
        <w:rPr>
          <w:rFonts w:ascii="Times New Roman" w:hAnsi="Times New Roman"/>
          <w:sz w:val="20"/>
          <w:szCs w:val="20"/>
        </w:rPr>
      </w:pPr>
    </w:p>
    <w:p w14:paraId="5F256D3B" w14:textId="77777777" w:rsidR="0080122D" w:rsidRDefault="00CC50FE">
      <w:pPr>
        <w:pStyle w:val="Heading1"/>
        <w:spacing w:line="360" w:lineRule="auto"/>
        <w:jc w:val="both"/>
        <w:rPr>
          <w:rFonts w:ascii="Times New Roman" w:hAnsi="Times New Roman"/>
          <w:b/>
          <w:bCs/>
          <w:color w:val="auto"/>
          <w:sz w:val="36"/>
          <w:szCs w:val="36"/>
        </w:rPr>
      </w:pPr>
      <w:bookmarkStart w:id="4" w:name="_Toc217969291"/>
      <w:r>
        <w:rPr>
          <w:rFonts w:ascii="Times New Roman" w:hAnsi="Times New Roman"/>
          <w:b/>
          <w:bCs/>
          <w:color w:val="auto"/>
          <w:sz w:val="36"/>
          <w:szCs w:val="36"/>
        </w:rPr>
        <w:lastRenderedPageBreak/>
        <w:t>Integration in Policy and Governance</w:t>
      </w:r>
      <w:bookmarkEnd w:id="4"/>
    </w:p>
    <w:p w14:paraId="5F256D3C" w14:textId="77777777" w:rsidR="0080122D" w:rsidRDefault="00CC50FE">
      <w:pPr>
        <w:spacing w:line="360" w:lineRule="auto"/>
        <w:jc w:val="both"/>
        <w:rPr>
          <w:rFonts w:ascii="Times New Roman" w:hAnsi="Times New Roman"/>
          <w:sz w:val="22"/>
          <w:szCs w:val="22"/>
        </w:rPr>
      </w:pPr>
      <w:r>
        <w:rPr>
          <w:rFonts w:ascii="Times New Roman" w:hAnsi="Times New Roman"/>
          <w:sz w:val="22"/>
          <w:szCs w:val="22"/>
        </w:rPr>
        <w:t>Health, well-being, and sustainability projects are significantly shaped by national governance, as they can address inequality holistically. Hence, hospitals, municipal governments, and network organisations are working together via integrated Care systems (ICS). Regional authorities such as Cardiff, Manchester, and Birmingham have carried out the "health in all policies" in every decision made. These ensure that selections about housing, transportation, improvement, and the environment consider health imp</w:t>
      </w:r>
      <w:r>
        <w:rPr>
          <w:rFonts w:ascii="Times New Roman" w:hAnsi="Times New Roman"/>
          <w:sz w:val="22"/>
          <w:szCs w:val="22"/>
        </w:rPr>
        <w:t xml:space="preserve">acts before being accepted. Consequently, governments enact laws that inspire behavioural and technological improvements that maximise projected success (Hariram et al., 2023). However, it should be noted that plan reviews are essential mechanisms of policy processes, but arguably not always sufficient to guarantee that the governance structures produce the results their modelling suggests. </w:t>
      </w:r>
    </w:p>
    <w:p w14:paraId="5F256D3D" w14:textId="77777777" w:rsidR="0080122D" w:rsidRDefault="00CC50FE">
      <w:pPr>
        <w:spacing w:line="360" w:lineRule="auto"/>
        <w:jc w:val="both"/>
        <w:rPr>
          <w:rFonts w:ascii="Times New Roman" w:hAnsi="Times New Roman"/>
          <w:sz w:val="22"/>
          <w:szCs w:val="22"/>
        </w:rPr>
      </w:pPr>
      <w:r>
        <w:rPr>
          <w:rFonts w:ascii="Times New Roman" w:hAnsi="Times New Roman"/>
          <w:sz w:val="22"/>
          <w:szCs w:val="22"/>
        </w:rPr>
        <w:t>Those studies might be substantially enhanced by a more thorough examination of how governments affect the opportunities and incentives for collaboration on integrated solutions among diverse government businesses, scientists, and other significant stakeholders (Zhong et al., 2021). Due to limited carrier availability and environmental vulnerabilities, rural and underprivileged groups experience more injustice. To close those gaps, coverage, local capability, and sustainable development principles must be m</w:t>
      </w:r>
      <w:r>
        <w:rPr>
          <w:rFonts w:ascii="Times New Roman" w:hAnsi="Times New Roman"/>
          <w:sz w:val="22"/>
          <w:szCs w:val="22"/>
        </w:rPr>
        <w:t>ore in line.</w:t>
      </w:r>
    </w:p>
    <w:p w14:paraId="5F256D3E" w14:textId="77777777" w:rsidR="0080122D" w:rsidRDefault="00CC50FE">
      <w:pPr>
        <w:pStyle w:val="Heading1"/>
        <w:spacing w:line="360" w:lineRule="auto"/>
        <w:jc w:val="both"/>
        <w:rPr>
          <w:rFonts w:ascii="Times New Roman" w:hAnsi="Times New Roman"/>
          <w:b/>
          <w:bCs/>
          <w:color w:val="auto"/>
          <w:sz w:val="36"/>
          <w:szCs w:val="36"/>
        </w:rPr>
      </w:pPr>
      <w:bookmarkStart w:id="5" w:name="_Toc217969292"/>
      <w:r>
        <w:rPr>
          <w:rFonts w:ascii="Times New Roman" w:hAnsi="Times New Roman"/>
          <w:b/>
          <w:bCs/>
          <w:color w:val="auto"/>
          <w:sz w:val="36"/>
          <w:szCs w:val="36"/>
        </w:rPr>
        <w:t>Service Delivery and Practice</w:t>
      </w:r>
      <w:bookmarkEnd w:id="5"/>
    </w:p>
    <w:p w14:paraId="5F256D3F" w14:textId="77777777" w:rsidR="0080122D" w:rsidRDefault="00CC50FE">
      <w:pPr>
        <w:spacing w:line="360" w:lineRule="auto"/>
        <w:jc w:val="both"/>
        <w:rPr>
          <w:rFonts w:ascii="Times New Roman" w:hAnsi="Times New Roman"/>
          <w:sz w:val="22"/>
          <w:szCs w:val="22"/>
        </w:rPr>
      </w:pPr>
      <w:r>
        <w:rPr>
          <w:rFonts w:ascii="Times New Roman" w:hAnsi="Times New Roman"/>
          <w:sz w:val="22"/>
          <w:szCs w:val="22"/>
        </w:rPr>
        <w:t>Preventive and community-centred methods are becoming increasingly important in today's healthcare delivery as the NHS extensively utilises remote surveillance and consultations, which result in lower emissions and improve accessibility for rural communities. Creations of local wellbeing hubs, vitamins education, and recommendations for exercise are supplying social, psychological, and physical support to individuals with chronic illnesses.</w:t>
      </w:r>
    </w:p>
    <w:p w14:paraId="5F256D40" w14:textId="77777777" w:rsidR="0080122D" w:rsidRDefault="00CC50FE">
      <w:pPr>
        <w:spacing w:line="360" w:lineRule="auto"/>
        <w:jc w:val="both"/>
        <w:rPr>
          <w:rFonts w:ascii="Times New Roman" w:hAnsi="Times New Roman"/>
          <w:sz w:val="22"/>
          <w:szCs w:val="22"/>
        </w:rPr>
      </w:pPr>
      <w:r>
        <w:rPr>
          <w:rFonts w:ascii="Times New Roman" w:hAnsi="Times New Roman"/>
          <w:sz w:val="22"/>
          <w:szCs w:val="22"/>
        </w:rPr>
        <w:t>Another prominent national example is the NHS Healthy New Cities initiative, which showed how integrated public services, green areas, and housing layout can impact health behaviours at the community level. These methods demonstrate the direct impact of sustainable planning on creating more resilient and healthy settings. This may involve helping in the alignment of air pollution and weather rules at various decision-making stages, ranging from national to local administration. In actuality, this could enta</w:t>
      </w:r>
      <w:r>
        <w:rPr>
          <w:rFonts w:ascii="Times New Roman" w:hAnsi="Times New Roman"/>
          <w:sz w:val="22"/>
          <w:szCs w:val="22"/>
        </w:rPr>
        <w:t>il establishing more comprehensive national enabling laws that encourage municipalities and local governments to undertake creative co-advantage strategies. Countrywide governments can, for instance, establish incentives for municipalities to enhance their protection and inspection programmes for motors with high pollution levels.</w:t>
      </w:r>
    </w:p>
    <w:p w14:paraId="5F256D41" w14:textId="77777777" w:rsidR="0080122D" w:rsidRDefault="00CC50FE">
      <w:pPr>
        <w:pStyle w:val="Heading1"/>
        <w:spacing w:line="360" w:lineRule="auto"/>
        <w:jc w:val="both"/>
        <w:rPr>
          <w:rFonts w:ascii="Times New Roman" w:hAnsi="Times New Roman"/>
          <w:b/>
          <w:bCs/>
          <w:color w:val="auto"/>
          <w:sz w:val="36"/>
          <w:szCs w:val="36"/>
        </w:rPr>
      </w:pPr>
      <w:bookmarkStart w:id="6" w:name="_Toc217969293"/>
      <w:r>
        <w:rPr>
          <w:rFonts w:ascii="Times New Roman" w:hAnsi="Times New Roman"/>
          <w:b/>
          <w:bCs/>
          <w:color w:val="auto"/>
          <w:sz w:val="36"/>
          <w:szCs w:val="36"/>
        </w:rPr>
        <w:lastRenderedPageBreak/>
        <w:t>Public Health Initiatives</w:t>
      </w:r>
      <w:bookmarkEnd w:id="6"/>
    </w:p>
    <w:p w14:paraId="5F256D42" w14:textId="77777777" w:rsidR="0080122D" w:rsidRDefault="00CC50FE">
      <w:pPr>
        <w:spacing w:line="360" w:lineRule="auto"/>
        <w:jc w:val="both"/>
        <w:rPr>
          <w:rFonts w:ascii="Times New Roman" w:hAnsi="Times New Roman"/>
          <w:sz w:val="22"/>
          <w:szCs w:val="22"/>
        </w:rPr>
      </w:pPr>
      <w:r>
        <w:rPr>
          <w:rFonts w:ascii="Times New Roman" w:hAnsi="Times New Roman"/>
          <w:sz w:val="22"/>
          <w:szCs w:val="22"/>
        </w:rPr>
        <w:t>Campaigns for public health are still important for tackling environmental and behavioural elements that affect health. UK-wide projects include:</w:t>
      </w:r>
    </w:p>
    <w:p w14:paraId="5F256D43" w14:textId="77777777" w:rsidR="0080122D" w:rsidRDefault="00CC50FE">
      <w:pPr>
        <w:ind w:left="1440"/>
      </w:pPr>
      <w:r>
        <w:rPr>
          <w:rFonts w:ascii="Times New Roman" w:hAnsi="Times New Roman"/>
          <w:noProof/>
        </w:rPr>
        <mc:AlternateContent>
          <mc:Choice Requires="wpg">
            <w:drawing>
              <wp:inline distT="0" distB="0" distL="0" distR="0" wp14:anchorId="5F256D00" wp14:editId="5F256D01">
                <wp:extent cx="4039727" cy="1443553"/>
                <wp:effectExtent l="0" t="0" r="17923" b="23297"/>
                <wp:docPr id="34931455" name="Diagram 1"/>
                <wp:cNvGraphicFramePr/>
                <a:graphic xmlns:a="http://schemas.openxmlformats.org/drawingml/2006/main">
                  <a:graphicData uri="http://schemas.microsoft.com/office/word/2010/wordprocessingGroup">
                    <wpg:wgp>
                      <wpg:cNvGrpSpPr/>
                      <wpg:grpSpPr>
                        <a:xfrm>
                          <a:off x="0" y="0"/>
                          <a:ext cx="4039727" cy="1443553"/>
                          <a:chOff x="0" y="0"/>
                          <a:chExt cx="4039727" cy="1443553"/>
                        </a:xfrm>
                      </wpg:grpSpPr>
                      <wps:wsp>
                        <wps:cNvPr id="1843653775" name="Freeform: Shape 902151382"/>
                        <wps:cNvSpPr/>
                        <wps:spPr>
                          <a:xfrm>
                            <a:off x="0" y="85386"/>
                            <a:ext cx="1009936" cy="237597"/>
                          </a:xfrm>
                          <a:custGeom>
                            <a:avLst/>
                            <a:gdLst>
                              <a:gd name="f0" fmla="val 10800000"/>
                              <a:gd name="f1" fmla="val 5400000"/>
                              <a:gd name="f2" fmla="val 180"/>
                              <a:gd name="f3" fmla="val w"/>
                              <a:gd name="f4" fmla="val h"/>
                              <a:gd name="f5" fmla="val 0"/>
                              <a:gd name="f6" fmla="val 1009932"/>
                              <a:gd name="f7" fmla="val 237600"/>
                              <a:gd name="f8" fmla="+- 0 0 -90"/>
                              <a:gd name="f9" fmla="*/ f3 1 1009932"/>
                              <a:gd name="f10" fmla="*/ f4 1 237600"/>
                              <a:gd name="f11" fmla="+- f7 0 f5"/>
                              <a:gd name="f12" fmla="+- f6 0 f5"/>
                              <a:gd name="f13" fmla="*/ f8 f0 1"/>
                              <a:gd name="f14" fmla="*/ f12 1 1009932"/>
                              <a:gd name="f15" fmla="*/ f11 1 237600"/>
                              <a:gd name="f16" fmla="*/ 0 f12 1"/>
                              <a:gd name="f17" fmla="*/ 0 f11 1"/>
                              <a:gd name="f18" fmla="*/ 1009932 f12 1"/>
                              <a:gd name="f19" fmla="*/ 237600 f11 1"/>
                              <a:gd name="f20" fmla="*/ f13 1 f2"/>
                              <a:gd name="f21" fmla="*/ f16 1 1009932"/>
                              <a:gd name="f22" fmla="*/ f17 1 237600"/>
                              <a:gd name="f23" fmla="*/ f18 1 1009932"/>
                              <a:gd name="f24" fmla="*/ f19 1 237600"/>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1009932" h="237600">
                                <a:moveTo>
                                  <a:pt x="f5" y="f5"/>
                                </a:moveTo>
                                <a:lnTo>
                                  <a:pt x="f6" y="f5"/>
                                </a:lnTo>
                                <a:lnTo>
                                  <a:pt x="f6" y="f7"/>
                                </a:lnTo>
                                <a:lnTo>
                                  <a:pt x="f5" y="f7"/>
                                </a:lnTo>
                                <a:lnTo>
                                  <a:pt x="f5" y="f5"/>
                                </a:lnTo>
                                <a:close/>
                              </a:path>
                            </a:pathLst>
                          </a:custGeom>
                          <a:noFill/>
                          <a:ln cap="flat">
                            <a:noFill/>
                            <a:prstDash val="solid"/>
                          </a:ln>
                        </wps:spPr>
                        <wps:txbx>
                          <w:txbxContent>
                            <w:p w14:paraId="5F256D02" w14:textId="77777777" w:rsidR="0080122D" w:rsidRDefault="00CC50FE">
                              <w:pPr>
                                <w:spacing w:after="100" w:line="216" w:lineRule="auto"/>
                                <w:jc w:val="center"/>
                              </w:pPr>
                              <w:r>
                                <w:rPr>
                                  <w:rFonts w:ascii="Times New Roman" w:eastAsia="Times New Roman" w:hAnsi="Times New Roman"/>
                                  <w:color w:val="000000"/>
                                  <w:lang w:val="en-IN"/>
                                </w:rPr>
                                <w:t xml:space="preserve">Change4Life: </w:t>
                              </w:r>
                            </w:p>
                          </w:txbxContent>
                        </wps:txbx>
                        <wps:bodyPr vert="horz" wrap="square" lIns="85340" tIns="30476" rIns="85340" bIns="30476" anchor="ctr" anchorCtr="1" compatLnSpc="0">
                          <a:noAutofit/>
                        </wps:bodyPr>
                      </wps:wsp>
                      <wps:wsp>
                        <wps:cNvPr id="412553415" name="Freeform: Shape 2049307267"/>
                        <wps:cNvSpPr/>
                        <wps:spPr>
                          <a:xfrm>
                            <a:off x="1009927" y="0"/>
                            <a:ext cx="201981" cy="408371"/>
                          </a:xfrm>
                          <a:custGeom>
                            <a:avLst/>
                            <a:gdLst>
                              <a:gd name="f0" fmla="val 10800000"/>
                              <a:gd name="f1" fmla="val 5400000"/>
                              <a:gd name="f2" fmla="val 180"/>
                              <a:gd name="f3" fmla="val w"/>
                              <a:gd name="f4" fmla="val h"/>
                              <a:gd name="f5" fmla="val ss"/>
                              <a:gd name="f6" fmla="val 0"/>
                              <a:gd name="f7" fmla="*/ 5419351 1 1725033"/>
                              <a:gd name="f8" fmla="+- 0 0 5400000"/>
                              <a:gd name="f9" fmla="val 35000"/>
                              <a:gd name="f10" fmla="val 50000"/>
                              <a:gd name="f11" fmla="+- 0 0 -180"/>
                              <a:gd name="f12" fmla="+- 0 0 -270"/>
                              <a:gd name="f13" fmla="+- 0 0 -360"/>
                              <a:gd name="f14" fmla="abs f3"/>
                              <a:gd name="f15" fmla="abs f4"/>
                              <a:gd name="f16" fmla="abs f5"/>
                              <a:gd name="f17" fmla="+- 2700000 f1 0"/>
                              <a:gd name="f18" fmla="*/ f11 f0 1"/>
                              <a:gd name="f19" fmla="*/ f12 f0 1"/>
                              <a:gd name="f20" fmla="*/ f13 f0 1"/>
                              <a:gd name="f21" fmla="?: f14 f3 1"/>
                              <a:gd name="f22" fmla="?: f15 f4 1"/>
                              <a:gd name="f23" fmla="?: f16 f5 1"/>
                              <a:gd name="f24" fmla="+- f17 0 f1"/>
                              <a:gd name="f25" fmla="*/ f18 1 f2"/>
                              <a:gd name="f26" fmla="*/ f19 1 f2"/>
                              <a:gd name="f27" fmla="*/ f20 1 f2"/>
                              <a:gd name="f28" fmla="*/ f21 1 21600"/>
                              <a:gd name="f29" fmla="*/ f22 1 21600"/>
                              <a:gd name="f30" fmla="*/ 21600 f21 1"/>
                              <a:gd name="f31" fmla="*/ 21600 f22 1"/>
                              <a:gd name="f32" fmla="+- f24 f1 0"/>
                              <a:gd name="f33" fmla="+- f25 0 f1"/>
                              <a:gd name="f34" fmla="+- f26 0 f1"/>
                              <a:gd name="f35" fmla="+- f27 0 f1"/>
                              <a:gd name="f36" fmla="min f29 f28"/>
                              <a:gd name="f37" fmla="*/ f30 1 f23"/>
                              <a:gd name="f38" fmla="*/ f31 1 f23"/>
                              <a:gd name="f39" fmla="*/ f32 f7 1"/>
                              <a:gd name="f40" fmla="val f37"/>
                              <a:gd name="f41" fmla="val f38"/>
                              <a:gd name="f42" fmla="*/ f39 1 f0"/>
                              <a:gd name="f43" fmla="*/ f6 f36 1"/>
                              <a:gd name="f44" fmla="+- f41 0 f6"/>
                              <a:gd name="f45" fmla="+- f40 0 f6"/>
                              <a:gd name="f46" fmla="+- 0 0 f42"/>
                              <a:gd name="f47" fmla="*/ f40 f36 1"/>
                              <a:gd name="f48" fmla="*/ f41 f36 1"/>
                              <a:gd name="f49" fmla="*/ f45 1 2"/>
                              <a:gd name="f50" fmla="min f45 f44"/>
                              <a:gd name="f51" fmla="*/ f44 f10 1"/>
                              <a:gd name="f52" fmla="+- 0 0 f46"/>
                              <a:gd name="f53" fmla="+- f6 f49 0"/>
                              <a:gd name="f54" fmla="*/ f50 f9 1"/>
                              <a:gd name="f55" fmla="*/ f51 1 100000"/>
                              <a:gd name="f56" fmla="*/ f52 f0 1"/>
                              <a:gd name="f57" fmla="*/ f49 f36 1"/>
                              <a:gd name="f58" fmla="*/ f54 1 100000"/>
                              <a:gd name="f59" fmla="*/ f56 1 f7"/>
                              <a:gd name="f60" fmla="*/ f53 f36 1"/>
                              <a:gd name="f61" fmla="*/ f55 f36 1"/>
                              <a:gd name="f62" fmla="+- f59 0 f1"/>
                              <a:gd name="f63" fmla="+- f55 f58 0"/>
                              <a:gd name="f64" fmla="*/ f58 f36 1"/>
                              <a:gd name="f65" fmla="cos 1 f62"/>
                              <a:gd name="f66" fmla="sin 1 f62"/>
                              <a:gd name="f67" fmla="*/ f63 f36 1"/>
                              <a:gd name="f68" fmla="+- 0 0 f65"/>
                              <a:gd name="f69" fmla="+- 0 0 f66"/>
                              <a:gd name="f70" fmla="+- 0 0 f68"/>
                              <a:gd name="f71" fmla="+- 0 0 f69"/>
                              <a:gd name="f72" fmla="val f70"/>
                              <a:gd name="f73" fmla="val f71"/>
                              <a:gd name="f74" fmla="*/ f72 f49 1"/>
                              <a:gd name="f75" fmla="*/ f73 f58 1"/>
                              <a:gd name="f76" fmla="+- f40 0 f74"/>
                              <a:gd name="f77" fmla="+- f58 0 f75"/>
                              <a:gd name="f78" fmla="+- f41 f75 0"/>
                              <a:gd name="f79" fmla="+- f78 0 f58"/>
                              <a:gd name="f80" fmla="*/ f76 f36 1"/>
                              <a:gd name="f81" fmla="*/ f77 f36 1"/>
                              <a:gd name="f82" fmla="*/ f79 f36 1"/>
                            </a:gdLst>
                            <a:ahLst/>
                            <a:cxnLst>
                              <a:cxn ang="3cd4">
                                <a:pos x="hc" y="t"/>
                              </a:cxn>
                              <a:cxn ang="0">
                                <a:pos x="r" y="vc"/>
                              </a:cxn>
                              <a:cxn ang="cd4">
                                <a:pos x="hc" y="b"/>
                              </a:cxn>
                              <a:cxn ang="cd2">
                                <a:pos x="l" y="vc"/>
                              </a:cxn>
                              <a:cxn ang="f33">
                                <a:pos x="f47" y="f43"/>
                              </a:cxn>
                              <a:cxn ang="f34">
                                <a:pos x="f43" y="f61"/>
                              </a:cxn>
                              <a:cxn ang="f35">
                                <a:pos x="f47" y="f48"/>
                              </a:cxn>
                            </a:cxnLst>
                            <a:rect l="f80" t="f81" r="f47" b="f82"/>
                            <a:pathLst>
                              <a:path stroke="0">
                                <a:moveTo>
                                  <a:pt x="f47" y="f48"/>
                                </a:moveTo>
                                <a:arcTo wR="f57" hR="f64" stAng="f1" swAng="f1"/>
                                <a:lnTo>
                                  <a:pt x="f60" y="f67"/>
                                </a:lnTo>
                                <a:arcTo wR="f57" hR="f64" stAng="f6" swAng="f8"/>
                                <a:arcTo wR="f57" hR="f64" stAng="f1" swAng="f8"/>
                                <a:lnTo>
                                  <a:pt x="f60" y="f64"/>
                                </a:lnTo>
                                <a:arcTo wR="f57" hR="f64" stAng="f0" swAng="f1"/>
                                <a:close/>
                              </a:path>
                              <a:path fill="none">
                                <a:moveTo>
                                  <a:pt x="f47" y="f48"/>
                                </a:moveTo>
                                <a:arcTo wR="f57" hR="f64" stAng="f1" swAng="f1"/>
                                <a:lnTo>
                                  <a:pt x="f60" y="f67"/>
                                </a:lnTo>
                                <a:arcTo wR="f57" hR="f64" stAng="f6" swAng="f8"/>
                                <a:arcTo wR="f57" hR="f64" stAng="f1" swAng="f8"/>
                                <a:lnTo>
                                  <a:pt x="f60" y="f64"/>
                                </a:lnTo>
                                <a:arcTo wR="f57" hR="f64" stAng="f0" swAng="f1"/>
                              </a:path>
                            </a:pathLst>
                          </a:custGeom>
                          <a:noFill/>
                          <a:ln w="19046" cap="flat">
                            <a:solidFill>
                              <a:srgbClr val="0E4B66"/>
                            </a:solidFill>
                            <a:prstDash val="solid"/>
                            <a:miter/>
                          </a:ln>
                        </wps:spPr>
                        <wps:bodyPr lIns="0" tIns="0" rIns="0" bIns="0"/>
                      </wps:wsp>
                      <wps:wsp>
                        <wps:cNvPr id="570344729" name="Freeform: Shape 41577723"/>
                        <wps:cNvSpPr/>
                        <wps:spPr>
                          <a:xfrm>
                            <a:off x="1292714" y="0"/>
                            <a:ext cx="2747013" cy="408371"/>
                          </a:xfrm>
                          <a:custGeom>
                            <a:avLst/>
                            <a:gdLst>
                              <a:gd name="f0" fmla="val 10800000"/>
                              <a:gd name="f1" fmla="val 5400000"/>
                              <a:gd name="f2" fmla="val 180"/>
                              <a:gd name="f3" fmla="val w"/>
                              <a:gd name="f4" fmla="val h"/>
                              <a:gd name="f5" fmla="val 0"/>
                              <a:gd name="f6" fmla="val 2747017"/>
                              <a:gd name="f7" fmla="val 408375"/>
                              <a:gd name="f8" fmla="+- 0 0 -90"/>
                              <a:gd name="f9" fmla="*/ f3 1 2747017"/>
                              <a:gd name="f10" fmla="*/ f4 1 408375"/>
                              <a:gd name="f11" fmla="+- f7 0 f5"/>
                              <a:gd name="f12" fmla="+- f6 0 f5"/>
                              <a:gd name="f13" fmla="*/ f8 f0 1"/>
                              <a:gd name="f14" fmla="*/ f12 1 2747017"/>
                              <a:gd name="f15" fmla="*/ f11 1 408375"/>
                              <a:gd name="f16" fmla="*/ 0 f12 1"/>
                              <a:gd name="f17" fmla="*/ 0 f11 1"/>
                              <a:gd name="f18" fmla="*/ 2747017 f12 1"/>
                              <a:gd name="f19" fmla="*/ 408375 f11 1"/>
                              <a:gd name="f20" fmla="*/ f13 1 f2"/>
                              <a:gd name="f21" fmla="*/ f16 1 2747017"/>
                              <a:gd name="f22" fmla="*/ f17 1 408375"/>
                              <a:gd name="f23" fmla="*/ f18 1 2747017"/>
                              <a:gd name="f24" fmla="*/ f19 1 408375"/>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747017" h="408375">
                                <a:moveTo>
                                  <a:pt x="f5" y="f5"/>
                                </a:moveTo>
                                <a:lnTo>
                                  <a:pt x="f6" y="f5"/>
                                </a:lnTo>
                                <a:lnTo>
                                  <a:pt x="f6" y="f7"/>
                                </a:lnTo>
                                <a:lnTo>
                                  <a:pt x="f5" y="f7"/>
                                </a:lnTo>
                                <a:lnTo>
                                  <a:pt x="f5" y="f5"/>
                                </a:lnTo>
                                <a:close/>
                              </a:path>
                            </a:pathLst>
                          </a:custGeom>
                          <a:solidFill>
                            <a:srgbClr val="156082"/>
                          </a:solidFill>
                          <a:ln w="19046" cap="flat">
                            <a:solidFill>
                              <a:srgbClr val="FFFFFF"/>
                            </a:solidFill>
                            <a:prstDash val="solid"/>
                            <a:miter/>
                          </a:ln>
                        </wps:spPr>
                        <wps:txbx>
                          <w:txbxContent>
                            <w:p w14:paraId="5F256D04" w14:textId="77777777" w:rsidR="0080122D" w:rsidRDefault="00CC50FE">
                              <w:pPr>
                                <w:numPr>
                                  <w:ilvl w:val="1"/>
                                  <w:numId w:val="1"/>
                                </w:numPr>
                                <w:spacing w:after="40" w:line="216" w:lineRule="auto"/>
                              </w:pPr>
                              <w:r>
                                <w:rPr>
                                  <w:rFonts w:ascii="Times New Roman" w:eastAsia="Times New Roman" w:hAnsi="Times New Roman"/>
                                  <w:color w:val="FFFFFF"/>
                                  <w:lang w:val="en-IN"/>
                                </w:rPr>
                                <w:t>Promoting healthy eating and physical activity among families.</w:t>
                              </w:r>
                            </w:p>
                          </w:txbxContent>
                        </wps:txbx>
                        <wps:bodyPr vert="horz" wrap="square" lIns="45720" tIns="45720" rIns="45720" bIns="45720" anchor="ctr" anchorCtr="0" compatLnSpc="0">
                          <a:noAutofit/>
                        </wps:bodyPr>
                      </wps:wsp>
                      <wps:wsp>
                        <wps:cNvPr id="1029997944" name="Freeform: Shape 747415535"/>
                        <wps:cNvSpPr/>
                        <wps:spPr>
                          <a:xfrm>
                            <a:off x="0" y="469324"/>
                            <a:ext cx="1009936" cy="378671"/>
                          </a:xfrm>
                          <a:custGeom>
                            <a:avLst/>
                            <a:gdLst>
                              <a:gd name="f0" fmla="val 10800000"/>
                              <a:gd name="f1" fmla="val 5400000"/>
                              <a:gd name="f2" fmla="val 180"/>
                              <a:gd name="f3" fmla="val w"/>
                              <a:gd name="f4" fmla="val h"/>
                              <a:gd name="f5" fmla="val 0"/>
                              <a:gd name="f6" fmla="val 1009932"/>
                              <a:gd name="f7" fmla="val 378675"/>
                              <a:gd name="f8" fmla="+- 0 0 -90"/>
                              <a:gd name="f9" fmla="*/ f3 1 1009932"/>
                              <a:gd name="f10" fmla="*/ f4 1 378675"/>
                              <a:gd name="f11" fmla="+- f7 0 f5"/>
                              <a:gd name="f12" fmla="+- f6 0 f5"/>
                              <a:gd name="f13" fmla="*/ f8 f0 1"/>
                              <a:gd name="f14" fmla="*/ f12 1 1009932"/>
                              <a:gd name="f15" fmla="*/ f11 1 378675"/>
                              <a:gd name="f16" fmla="*/ 0 f12 1"/>
                              <a:gd name="f17" fmla="*/ 0 f11 1"/>
                              <a:gd name="f18" fmla="*/ 1009932 f12 1"/>
                              <a:gd name="f19" fmla="*/ 378675 f11 1"/>
                              <a:gd name="f20" fmla="*/ f13 1 f2"/>
                              <a:gd name="f21" fmla="*/ f16 1 1009932"/>
                              <a:gd name="f22" fmla="*/ f17 1 378675"/>
                              <a:gd name="f23" fmla="*/ f18 1 1009932"/>
                              <a:gd name="f24" fmla="*/ f19 1 378675"/>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1009932" h="378675">
                                <a:moveTo>
                                  <a:pt x="f5" y="f5"/>
                                </a:moveTo>
                                <a:lnTo>
                                  <a:pt x="f6" y="f5"/>
                                </a:lnTo>
                                <a:lnTo>
                                  <a:pt x="f6" y="f7"/>
                                </a:lnTo>
                                <a:lnTo>
                                  <a:pt x="f5" y="f7"/>
                                </a:lnTo>
                                <a:lnTo>
                                  <a:pt x="f5" y="f5"/>
                                </a:lnTo>
                                <a:close/>
                              </a:path>
                            </a:pathLst>
                          </a:custGeom>
                          <a:noFill/>
                          <a:ln cap="flat">
                            <a:noFill/>
                            <a:prstDash val="solid"/>
                          </a:ln>
                        </wps:spPr>
                        <wps:txbx>
                          <w:txbxContent>
                            <w:p w14:paraId="5F256D06" w14:textId="77777777" w:rsidR="0080122D" w:rsidRDefault="00CC50FE">
                              <w:pPr>
                                <w:spacing w:after="100" w:line="216" w:lineRule="auto"/>
                                <w:jc w:val="center"/>
                              </w:pPr>
                              <w:r>
                                <w:rPr>
                                  <w:rFonts w:ascii="Times New Roman" w:eastAsia="Times New Roman" w:hAnsi="Times New Roman"/>
                                  <w:color w:val="000000"/>
                                  <w:lang w:val="en-IN"/>
                                </w:rPr>
                                <w:t>Every Mind Matters:</w:t>
                              </w:r>
                            </w:p>
                          </w:txbxContent>
                        </wps:txbx>
                        <wps:bodyPr vert="horz" wrap="square" lIns="85340" tIns="30476" rIns="85340" bIns="30476" anchor="ctr" anchorCtr="1" compatLnSpc="0">
                          <a:noAutofit/>
                        </wps:bodyPr>
                      </wps:wsp>
                      <wps:wsp>
                        <wps:cNvPr id="983823278" name="Freeform: Shape 1060026775"/>
                        <wps:cNvSpPr/>
                        <wps:spPr>
                          <a:xfrm>
                            <a:off x="1009927" y="451576"/>
                            <a:ext cx="201981" cy="414177"/>
                          </a:xfrm>
                          <a:custGeom>
                            <a:avLst/>
                            <a:gdLst>
                              <a:gd name="f0" fmla="val 10800000"/>
                              <a:gd name="f1" fmla="val 5400000"/>
                              <a:gd name="f2" fmla="val 180"/>
                              <a:gd name="f3" fmla="val w"/>
                              <a:gd name="f4" fmla="val h"/>
                              <a:gd name="f5" fmla="val ss"/>
                              <a:gd name="f6" fmla="val 0"/>
                              <a:gd name="f7" fmla="*/ 5419351 1 1725033"/>
                              <a:gd name="f8" fmla="+- 0 0 5400000"/>
                              <a:gd name="f9" fmla="val 35000"/>
                              <a:gd name="f10" fmla="val 50000"/>
                              <a:gd name="f11" fmla="+- 0 0 -180"/>
                              <a:gd name="f12" fmla="+- 0 0 -270"/>
                              <a:gd name="f13" fmla="+- 0 0 -360"/>
                              <a:gd name="f14" fmla="abs f3"/>
                              <a:gd name="f15" fmla="abs f4"/>
                              <a:gd name="f16" fmla="abs f5"/>
                              <a:gd name="f17" fmla="+- 2700000 f1 0"/>
                              <a:gd name="f18" fmla="*/ f11 f0 1"/>
                              <a:gd name="f19" fmla="*/ f12 f0 1"/>
                              <a:gd name="f20" fmla="*/ f13 f0 1"/>
                              <a:gd name="f21" fmla="?: f14 f3 1"/>
                              <a:gd name="f22" fmla="?: f15 f4 1"/>
                              <a:gd name="f23" fmla="?: f16 f5 1"/>
                              <a:gd name="f24" fmla="+- f17 0 f1"/>
                              <a:gd name="f25" fmla="*/ f18 1 f2"/>
                              <a:gd name="f26" fmla="*/ f19 1 f2"/>
                              <a:gd name="f27" fmla="*/ f20 1 f2"/>
                              <a:gd name="f28" fmla="*/ f21 1 21600"/>
                              <a:gd name="f29" fmla="*/ f22 1 21600"/>
                              <a:gd name="f30" fmla="*/ 21600 f21 1"/>
                              <a:gd name="f31" fmla="*/ 21600 f22 1"/>
                              <a:gd name="f32" fmla="+- f24 f1 0"/>
                              <a:gd name="f33" fmla="+- f25 0 f1"/>
                              <a:gd name="f34" fmla="+- f26 0 f1"/>
                              <a:gd name="f35" fmla="+- f27 0 f1"/>
                              <a:gd name="f36" fmla="min f29 f28"/>
                              <a:gd name="f37" fmla="*/ f30 1 f23"/>
                              <a:gd name="f38" fmla="*/ f31 1 f23"/>
                              <a:gd name="f39" fmla="*/ f32 f7 1"/>
                              <a:gd name="f40" fmla="val f37"/>
                              <a:gd name="f41" fmla="val f38"/>
                              <a:gd name="f42" fmla="*/ f39 1 f0"/>
                              <a:gd name="f43" fmla="*/ f6 f36 1"/>
                              <a:gd name="f44" fmla="+- f41 0 f6"/>
                              <a:gd name="f45" fmla="+- f40 0 f6"/>
                              <a:gd name="f46" fmla="+- 0 0 f42"/>
                              <a:gd name="f47" fmla="*/ f40 f36 1"/>
                              <a:gd name="f48" fmla="*/ f41 f36 1"/>
                              <a:gd name="f49" fmla="*/ f45 1 2"/>
                              <a:gd name="f50" fmla="min f45 f44"/>
                              <a:gd name="f51" fmla="*/ f44 f10 1"/>
                              <a:gd name="f52" fmla="+- 0 0 f46"/>
                              <a:gd name="f53" fmla="+- f6 f49 0"/>
                              <a:gd name="f54" fmla="*/ f50 f9 1"/>
                              <a:gd name="f55" fmla="*/ f51 1 100000"/>
                              <a:gd name="f56" fmla="*/ f52 f0 1"/>
                              <a:gd name="f57" fmla="*/ f49 f36 1"/>
                              <a:gd name="f58" fmla="*/ f54 1 100000"/>
                              <a:gd name="f59" fmla="*/ f56 1 f7"/>
                              <a:gd name="f60" fmla="*/ f53 f36 1"/>
                              <a:gd name="f61" fmla="*/ f55 f36 1"/>
                              <a:gd name="f62" fmla="+- f59 0 f1"/>
                              <a:gd name="f63" fmla="+- f55 f58 0"/>
                              <a:gd name="f64" fmla="*/ f58 f36 1"/>
                              <a:gd name="f65" fmla="cos 1 f62"/>
                              <a:gd name="f66" fmla="sin 1 f62"/>
                              <a:gd name="f67" fmla="*/ f63 f36 1"/>
                              <a:gd name="f68" fmla="+- 0 0 f65"/>
                              <a:gd name="f69" fmla="+- 0 0 f66"/>
                              <a:gd name="f70" fmla="+- 0 0 f68"/>
                              <a:gd name="f71" fmla="+- 0 0 f69"/>
                              <a:gd name="f72" fmla="val f70"/>
                              <a:gd name="f73" fmla="val f71"/>
                              <a:gd name="f74" fmla="*/ f72 f49 1"/>
                              <a:gd name="f75" fmla="*/ f73 f58 1"/>
                              <a:gd name="f76" fmla="+- f40 0 f74"/>
                              <a:gd name="f77" fmla="+- f58 0 f75"/>
                              <a:gd name="f78" fmla="+- f41 f75 0"/>
                              <a:gd name="f79" fmla="+- f78 0 f58"/>
                              <a:gd name="f80" fmla="*/ f76 f36 1"/>
                              <a:gd name="f81" fmla="*/ f77 f36 1"/>
                              <a:gd name="f82" fmla="*/ f79 f36 1"/>
                            </a:gdLst>
                            <a:ahLst/>
                            <a:cxnLst>
                              <a:cxn ang="3cd4">
                                <a:pos x="hc" y="t"/>
                              </a:cxn>
                              <a:cxn ang="0">
                                <a:pos x="r" y="vc"/>
                              </a:cxn>
                              <a:cxn ang="cd4">
                                <a:pos x="hc" y="b"/>
                              </a:cxn>
                              <a:cxn ang="cd2">
                                <a:pos x="l" y="vc"/>
                              </a:cxn>
                              <a:cxn ang="f33">
                                <a:pos x="f47" y="f43"/>
                              </a:cxn>
                              <a:cxn ang="f34">
                                <a:pos x="f43" y="f61"/>
                              </a:cxn>
                              <a:cxn ang="f35">
                                <a:pos x="f47" y="f48"/>
                              </a:cxn>
                            </a:cxnLst>
                            <a:rect l="f80" t="f81" r="f47" b="f82"/>
                            <a:pathLst>
                              <a:path stroke="0">
                                <a:moveTo>
                                  <a:pt x="f47" y="f48"/>
                                </a:moveTo>
                                <a:arcTo wR="f57" hR="f64" stAng="f1" swAng="f1"/>
                                <a:lnTo>
                                  <a:pt x="f60" y="f67"/>
                                </a:lnTo>
                                <a:arcTo wR="f57" hR="f64" stAng="f6" swAng="f8"/>
                                <a:arcTo wR="f57" hR="f64" stAng="f1" swAng="f8"/>
                                <a:lnTo>
                                  <a:pt x="f60" y="f64"/>
                                </a:lnTo>
                                <a:arcTo wR="f57" hR="f64" stAng="f0" swAng="f1"/>
                                <a:close/>
                              </a:path>
                              <a:path fill="none">
                                <a:moveTo>
                                  <a:pt x="f47" y="f48"/>
                                </a:moveTo>
                                <a:arcTo wR="f57" hR="f64" stAng="f1" swAng="f1"/>
                                <a:lnTo>
                                  <a:pt x="f60" y="f67"/>
                                </a:lnTo>
                                <a:arcTo wR="f57" hR="f64" stAng="f6" swAng="f8"/>
                                <a:arcTo wR="f57" hR="f64" stAng="f1" swAng="f8"/>
                                <a:lnTo>
                                  <a:pt x="f60" y="f64"/>
                                </a:lnTo>
                                <a:arcTo wR="f57" hR="f64" stAng="f0" swAng="f1"/>
                              </a:path>
                            </a:pathLst>
                          </a:custGeom>
                          <a:noFill/>
                          <a:ln w="19046" cap="flat">
                            <a:solidFill>
                              <a:srgbClr val="0E4B66"/>
                            </a:solidFill>
                            <a:prstDash val="solid"/>
                            <a:miter/>
                          </a:ln>
                        </wps:spPr>
                        <wps:bodyPr lIns="0" tIns="0" rIns="0" bIns="0"/>
                      </wps:wsp>
                      <wps:wsp>
                        <wps:cNvPr id="1029649354" name="Freeform: Shape 847774507"/>
                        <wps:cNvSpPr/>
                        <wps:spPr>
                          <a:xfrm>
                            <a:off x="1292714" y="451576"/>
                            <a:ext cx="2747013" cy="414177"/>
                          </a:xfrm>
                          <a:custGeom>
                            <a:avLst/>
                            <a:gdLst>
                              <a:gd name="f0" fmla="val 10800000"/>
                              <a:gd name="f1" fmla="val 5400000"/>
                              <a:gd name="f2" fmla="val 180"/>
                              <a:gd name="f3" fmla="val w"/>
                              <a:gd name="f4" fmla="val h"/>
                              <a:gd name="f5" fmla="val 0"/>
                              <a:gd name="f6" fmla="val 2747017"/>
                              <a:gd name="f7" fmla="val 414175"/>
                              <a:gd name="f8" fmla="+- 0 0 -90"/>
                              <a:gd name="f9" fmla="*/ f3 1 2747017"/>
                              <a:gd name="f10" fmla="*/ f4 1 414175"/>
                              <a:gd name="f11" fmla="+- f7 0 f5"/>
                              <a:gd name="f12" fmla="+- f6 0 f5"/>
                              <a:gd name="f13" fmla="*/ f8 f0 1"/>
                              <a:gd name="f14" fmla="*/ f12 1 2747017"/>
                              <a:gd name="f15" fmla="*/ f11 1 414175"/>
                              <a:gd name="f16" fmla="*/ 0 f12 1"/>
                              <a:gd name="f17" fmla="*/ 0 f11 1"/>
                              <a:gd name="f18" fmla="*/ 2747017 f12 1"/>
                              <a:gd name="f19" fmla="*/ 414175 f11 1"/>
                              <a:gd name="f20" fmla="*/ f13 1 f2"/>
                              <a:gd name="f21" fmla="*/ f16 1 2747017"/>
                              <a:gd name="f22" fmla="*/ f17 1 414175"/>
                              <a:gd name="f23" fmla="*/ f18 1 2747017"/>
                              <a:gd name="f24" fmla="*/ f19 1 414175"/>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747017" h="414175">
                                <a:moveTo>
                                  <a:pt x="f5" y="f5"/>
                                </a:moveTo>
                                <a:lnTo>
                                  <a:pt x="f6" y="f5"/>
                                </a:lnTo>
                                <a:lnTo>
                                  <a:pt x="f6" y="f7"/>
                                </a:lnTo>
                                <a:lnTo>
                                  <a:pt x="f5" y="f7"/>
                                </a:lnTo>
                                <a:lnTo>
                                  <a:pt x="f5" y="f5"/>
                                </a:lnTo>
                                <a:close/>
                              </a:path>
                            </a:pathLst>
                          </a:custGeom>
                          <a:solidFill>
                            <a:srgbClr val="156082"/>
                          </a:solidFill>
                          <a:ln w="19046" cap="flat">
                            <a:solidFill>
                              <a:srgbClr val="FFFFFF"/>
                            </a:solidFill>
                            <a:prstDash val="solid"/>
                            <a:miter/>
                          </a:ln>
                        </wps:spPr>
                        <wps:txbx>
                          <w:txbxContent>
                            <w:p w14:paraId="5F256D08" w14:textId="77777777" w:rsidR="0080122D" w:rsidRDefault="00CC50FE">
                              <w:pPr>
                                <w:numPr>
                                  <w:ilvl w:val="1"/>
                                  <w:numId w:val="2"/>
                                </w:numPr>
                                <w:spacing w:after="40" w:line="216" w:lineRule="auto"/>
                              </w:pPr>
                              <w:r>
                                <w:rPr>
                                  <w:rFonts w:ascii="Times New Roman" w:eastAsia="Times New Roman" w:hAnsi="Times New Roman"/>
                                  <w:color w:val="FFFFFF"/>
                                  <w:lang w:val="en-IN"/>
                                </w:rPr>
                                <w:t>Increasing awareness of mental health concerns and offering self-help guidance.</w:t>
                              </w:r>
                            </w:p>
                          </w:txbxContent>
                        </wps:txbx>
                        <wps:bodyPr vert="horz" wrap="square" lIns="45720" tIns="45720" rIns="45720" bIns="45720" anchor="ctr" anchorCtr="0" compatLnSpc="0">
                          <a:noAutofit/>
                        </wps:bodyPr>
                      </wps:wsp>
                      <wps:wsp>
                        <wps:cNvPr id="1703169619" name="Freeform: Shape 1244621325"/>
                        <wps:cNvSpPr/>
                        <wps:spPr>
                          <a:xfrm>
                            <a:off x="0" y="908950"/>
                            <a:ext cx="1009936" cy="534603"/>
                          </a:xfrm>
                          <a:custGeom>
                            <a:avLst/>
                            <a:gdLst>
                              <a:gd name="f0" fmla="val 10800000"/>
                              <a:gd name="f1" fmla="val 5400000"/>
                              <a:gd name="f2" fmla="val 180"/>
                              <a:gd name="f3" fmla="val w"/>
                              <a:gd name="f4" fmla="val h"/>
                              <a:gd name="f5" fmla="val 0"/>
                              <a:gd name="f6" fmla="val 1009932"/>
                              <a:gd name="f7" fmla="val 534600"/>
                              <a:gd name="f8" fmla="+- 0 0 -90"/>
                              <a:gd name="f9" fmla="*/ f3 1 1009932"/>
                              <a:gd name="f10" fmla="*/ f4 1 534600"/>
                              <a:gd name="f11" fmla="+- f7 0 f5"/>
                              <a:gd name="f12" fmla="+- f6 0 f5"/>
                              <a:gd name="f13" fmla="*/ f8 f0 1"/>
                              <a:gd name="f14" fmla="*/ f12 1 1009932"/>
                              <a:gd name="f15" fmla="*/ f11 1 534600"/>
                              <a:gd name="f16" fmla="*/ 0 f12 1"/>
                              <a:gd name="f17" fmla="*/ 0 f11 1"/>
                              <a:gd name="f18" fmla="*/ 1009932 f12 1"/>
                              <a:gd name="f19" fmla="*/ 534600 f11 1"/>
                              <a:gd name="f20" fmla="*/ f13 1 f2"/>
                              <a:gd name="f21" fmla="*/ f16 1 1009932"/>
                              <a:gd name="f22" fmla="*/ f17 1 534600"/>
                              <a:gd name="f23" fmla="*/ f18 1 1009932"/>
                              <a:gd name="f24" fmla="*/ f19 1 534600"/>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1009932" h="534600">
                                <a:moveTo>
                                  <a:pt x="f5" y="f5"/>
                                </a:moveTo>
                                <a:lnTo>
                                  <a:pt x="f6" y="f5"/>
                                </a:lnTo>
                                <a:lnTo>
                                  <a:pt x="f6" y="f7"/>
                                </a:lnTo>
                                <a:lnTo>
                                  <a:pt x="f5" y="f7"/>
                                </a:lnTo>
                                <a:lnTo>
                                  <a:pt x="f5" y="f5"/>
                                </a:lnTo>
                                <a:close/>
                              </a:path>
                            </a:pathLst>
                          </a:custGeom>
                          <a:noFill/>
                          <a:ln cap="flat">
                            <a:noFill/>
                            <a:prstDash val="solid"/>
                          </a:ln>
                        </wps:spPr>
                        <wps:txbx>
                          <w:txbxContent>
                            <w:p w14:paraId="5F256D0A" w14:textId="77777777" w:rsidR="0080122D" w:rsidRDefault="00CC50FE">
                              <w:pPr>
                                <w:spacing w:after="100" w:line="216" w:lineRule="auto"/>
                                <w:jc w:val="center"/>
                              </w:pPr>
                              <w:r>
                                <w:rPr>
                                  <w:rFonts w:ascii="Times New Roman" w:eastAsia="Times New Roman" w:hAnsi="Times New Roman"/>
                                  <w:color w:val="000000"/>
                                  <w:lang w:val="en-IN"/>
                                </w:rPr>
                                <w:t>Clean Air Strategy (2019):</w:t>
                              </w:r>
                            </w:p>
                          </w:txbxContent>
                        </wps:txbx>
                        <wps:bodyPr vert="horz" wrap="square" lIns="85340" tIns="30476" rIns="85340" bIns="30476" anchor="ctr" anchorCtr="1" compatLnSpc="0">
                          <a:noAutofit/>
                        </wps:bodyPr>
                      </wps:wsp>
                      <wps:wsp>
                        <wps:cNvPr id="1103615999" name="Freeform: Shape 1801751228"/>
                        <wps:cNvSpPr/>
                        <wps:spPr>
                          <a:xfrm>
                            <a:off x="1009927" y="908950"/>
                            <a:ext cx="201981" cy="534603"/>
                          </a:xfrm>
                          <a:custGeom>
                            <a:avLst/>
                            <a:gdLst>
                              <a:gd name="f0" fmla="val 10800000"/>
                              <a:gd name="f1" fmla="val 5400000"/>
                              <a:gd name="f2" fmla="val 180"/>
                              <a:gd name="f3" fmla="val w"/>
                              <a:gd name="f4" fmla="val h"/>
                              <a:gd name="f5" fmla="val ss"/>
                              <a:gd name="f6" fmla="val 0"/>
                              <a:gd name="f7" fmla="*/ 5419351 1 1725033"/>
                              <a:gd name="f8" fmla="+- 0 0 5400000"/>
                              <a:gd name="f9" fmla="val 35000"/>
                              <a:gd name="f10" fmla="val 50000"/>
                              <a:gd name="f11" fmla="+- 0 0 -180"/>
                              <a:gd name="f12" fmla="+- 0 0 -270"/>
                              <a:gd name="f13" fmla="+- 0 0 -360"/>
                              <a:gd name="f14" fmla="abs f3"/>
                              <a:gd name="f15" fmla="abs f4"/>
                              <a:gd name="f16" fmla="abs f5"/>
                              <a:gd name="f17" fmla="+- 2700000 f1 0"/>
                              <a:gd name="f18" fmla="*/ f11 f0 1"/>
                              <a:gd name="f19" fmla="*/ f12 f0 1"/>
                              <a:gd name="f20" fmla="*/ f13 f0 1"/>
                              <a:gd name="f21" fmla="?: f14 f3 1"/>
                              <a:gd name="f22" fmla="?: f15 f4 1"/>
                              <a:gd name="f23" fmla="?: f16 f5 1"/>
                              <a:gd name="f24" fmla="+- f17 0 f1"/>
                              <a:gd name="f25" fmla="*/ f18 1 f2"/>
                              <a:gd name="f26" fmla="*/ f19 1 f2"/>
                              <a:gd name="f27" fmla="*/ f20 1 f2"/>
                              <a:gd name="f28" fmla="*/ f21 1 21600"/>
                              <a:gd name="f29" fmla="*/ f22 1 21600"/>
                              <a:gd name="f30" fmla="*/ 21600 f21 1"/>
                              <a:gd name="f31" fmla="*/ 21600 f22 1"/>
                              <a:gd name="f32" fmla="+- f24 f1 0"/>
                              <a:gd name="f33" fmla="+- f25 0 f1"/>
                              <a:gd name="f34" fmla="+- f26 0 f1"/>
                              <a:gd name="f35" fmla="+- f27 0 f1"/>
                              <a:gd name="f36" fmla="min f29 f28"/>
                              <a:gd name="f37" fmla="*/ f30 1 f23"/>
                              <a:gd name="f38" fmla="*/ f31 1 f23"/>
                              <a:gd name="f39" fmla="*/ f32 f7 1"/>
                              <a:gd name="f40" fmla="val f37"/>
                              <a:gd name="f41" fmla="val f38"/>
                              <a:gd name="f42" fmla="*/ f39 1 f0"/>
                              <a:gd name="f43" fmla="*/ f6 f36 1"/>
                              <a:gd name="f44" fmla="+- f41 0 f6"/>
                              <a:gd name="f45" fmla="+- f40 0 f6"/>
                              <a:gd name="f46" fmla="+- 0 0 f42"/>
                              <a:gd name="f47" fmla="*/ f40 f36 1"/>
                              <a:gd name="f48" fmla="*/ f41 f36 1"/>
                              <a:gd name="f49" fmla="*/ f45 1 2"/>
                              <a:gd name="f50" fmla="min f45 f44"/>
                              <a:gd name="f51" fmla="*/ f44 f10 1"/>
                              <a:gd name="f52" fmla="+- 0 0 f46"/>
                              <a:gd name="f53" fmla="+- f6 f49 0"/>
                              <a:gd name="f54" fmla="*/ f50 f9 1"/>
                              <a:gd name="f55" fmla="*/ f51 1 100000"/>
                              <a:gd name="f56" fmla="*/ f52 f0 1"/>
                              <a:gd name="f57" fmla="*/ f49 f36 1"/>
                              <a:gd name="f58" fmla="*/ f54 1 100000"/>
                              <a:gd name="f59" fmla="*/ f56 1 f7"/>
                              <a:gd name="f60" fmla="*/ f53 f36 1"/>
                              <a:gd name="f61" fmla="*/ f55 f36 1"/>
                              <a:gd name="f62" fmla="+- f59 0 f1"/>
                              <a:gd name="f63" fmla="+- f55 f58 0"/>
                              <a:gd name="f64" fmla="*/ f58 f36 1"/>
                              <a:gd name="f65" fmla="cos 1 f62"/>
                              <a:gd name="f66" fmla="sin 1 f62"/>
                              <a:gd name="f67" fmla="*/ f63 f36 1"/>
                              <a:gd name="f68" fmla="+- 0 0 f65"/>
                              <a:gd name="f69" fmla="+- 0 0 f66"/>
                              <a:gd name="f70" fmla="+- 0 0 f68"/>
                              <a:gd name="f71" fmla="+- 0 0 f69"/>
                              <a:gd name="f72" fmla="val f70"/>
                              <a:gd name="f73" fmla="val f71"/>
                              <a:gd name="f74" fmla="*/ f72 f49 1"/>
                              <a:gd name="f75" fmla="*/ f73 f58 1"/>
                              <a:gd name="f76" fmla="+- f40 0 f74"/>
                              <a:gd name="f77" fmla="+- f58 0 f75"/>
                              <a:gd name="f78" fmla="+- f41 f75 0"/>
                              <a:gd name="f79" fmla="+- f78 0 f58"/>
                              <a:gd name="f80" fmla="*/ f76 f36 1"/>
                              <a:gd name="f81" fmla="*/ f77 f36 1"/>
                              <a:gd name="f82" fmla="*/ f79 f36 1"/>
                            </a:gdLst>
                            <a:ahLst/>
                            <a:cxnLst>
                              <a:cxn ang="3cd4">
                                <a:pos x="hc" y="t"/>
                              </a:cxn>
                              <a:cxn ang="0">
                                <a:pos x="r" y="vc"/>
                              </a:cxn>
                              <a:cxn ang="cd4">
                                <a:pos x="hc" y="b"/>
                              </a:cxn>
                              <a:cxn ang="cd2">
                                <a:pos x="l" y="vc"/>
                              </a:cxn>
                              <a:cxn ang="f33">
                                <a:pos x="f47" y="f43"/>
                              </a:cxn>
                              <a:cxn ang="f34">
                                <a:pos x="f43" y="f61"/>
                              </a:cxn>
                              <a:cxn ang="f35">
                                <a:pos x="f47" y="f48"/>
                              </a:cxn>
                            </a:cxnLst>
                            <a:rect l="f80" t="f81" r="f47" b="f82"/>
                            <a:pathLst>
                              <a:path stroke="0">
                                <a:moveTo>
                                  <a:pt x="f47" y="f48"/>
                                </a:moveTo>
                                <a:arcTo wR="f57" hR="f64" stAng="f1" swAng="f1"/>
                                <a:lnTo>
                                  <a:pt x="f60" y="f67"/>
                                </a:lnTo>
                                <a:arcTo wR="f57" hR="f64" stAng="f6" swAng="f8"/>
                                <a:arcTo wR="f57" hR="f64" stAng="f1" swAng="f8"/>
                                <a:lnTo>
                                  <a:pt x="f60" y="f64"/>
                                </a:lnTo>
                                <a:arcTo wR="f57" hR="f64" stAng="f0" swAng="f1"/>
                                <a:close/>
                              </a:path>
                              <a:path fill="none">
                                <a:moveTo>
                                  <a:pt x="f47" y="f48"/>
                                </a:moveTo>
                                <a:arcTo wR="f57" hR="f64" stAng="f1" swAng="f1"/>
                                <a:lnTo>
                                  <a:pt x="f60" y="f67"/>
                                </a:lnTo>
                                <a:arcTo wR="f57" hR="f64" stAng="f6" swAng="f8"/>
                                <a:arcTo wR="f57" hR="f64" stAng="f1" swAng="f8"/>
                                <a:lnTo>
                                  <a:pt x="f60" y="f64"/>
                                </a:lnTo>
                                <a:arcTo wR="f57" hR="f64" stAng="f0" swAng="f1"/>
                              </a:path>
                            </a:pathLst>
                          </a:custGeom>
                          <a:noFill/>
                          <a:ln w="19046" cap="flat">
                            <a:solidFill>
                              <a:srgbClr val="0E4B66"/>
                            </a:solidFill>
                            <a:prstDash val="solid"/>
                            <a:miter/>
                          </a:ln>
                        </wps:spPr>
                        <wps:bodyPr lIns="0" tIns="0" rIns="0" bIns="0"/>
                      </wps:wsp>
                      <wps:wsp>
                        <wps:cNvPr id="613413944" name="Freeform: Shape 1094765223"/>
                        <wps:cNvSpPr/>
                        <wps:spPr>
                          <a:xfrm>
                            <a:off x="1292714" y="908950"/>
                            <a:ext cx="2747013" cy="534603"/>
                          </a:xfrm>
                          <a:custGeom>
                            <a:avLst/>
                            <a:gdLst>
                              <a:gd name="f0" fmla="val 10800000"/>
                              <a:gd name="f1" fmla="val 5400000"/>
                              <a:gd name="f2" fmla="val 180"/>
                              <a:gd name="f3" fmla="val w"/>
                              <a:gd name="f4" fmla="val h"/>
                              <a:gd name="f5" fmla="val 0"/>
                              <a:gd name="f6" fmla="val 2747017"/>
                              <a:gd name="f7" fmla="val 534600"/>
                              <a:gd name="f8" fmla="+- 0 0 -90"/>
                              <a:gd name="f9" fmla="*/ f3 1 2747017"/>
                              <a:gd name="f10" fmla="*/ f4 1 534600"/>
                              <a:gd name="f11" fmla="+- f7 0 f5"/>
                              <a:gd name="f12" fmla="+- f6 0 f5"/>
                              <a:gd name="f13" fmla="*/ f8 f0 1"/>
                              <a:gd name="f14" fmla="*/ f12 1 2747017"/>
                              <a:gd name="f15" fmla="*/ f11 1 534600"/>
                              <a:gd name="f16" fmla="*/ 0 f12 1"/>
                              <a:gd name="f17" fmla="*/ 0 f11 1"/>
                              <a:gd name="f18" fmla="*/ 2747017 f12 1"/>
                              <a:gd name="f19" fmla="*/ 534600 f11 1"/>
                              <a:gd name="f20" fmla="*/ f13 1 f2"/>
                              <a:gd name="f21" fmla="*/ f16 1 2747017"/>
                              <a:gd name="f22" fmla="*/ f17 1 534600"/>
                              <a:gd name="f23" fmla="*/ f18 1 2747017"/>
                              <a:gd name="f24" fmla="*/ f19 1 534600"/>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747017" h="534600">
                                <a:moveTo>
                                  <a:pt x="f5" y="f5"/>
                                </a:moveTo>
                                <a:lnTo>
                                  <a:pt x="f6" y="f5"/>
                                </a:lnTo>
                                <a:lnTo>
                                  <a:pt x="f6" y="f7"/>
                                </a:lnTo>
                                <a:lnTo>
                                  <a:pt x="f5" y="f7"/>
                                </a:lnTo>
                                <a:lnTo>
                                  <a:pt x="f5" y="f5"/>
                                </a:lnTo>
                                <a:close/>
                              </a:path>
                            </a:pathLst>
                          </a:custGeom>
                          <a:solidFill>
                            <a:srgbClr val="156082"/>
                          </a:solidFill>
                          <a:ln w="19046" cap="flat">
                            <a:solidFill>
                              <a:srgbClr val="FFFFFF"/>
                            </a:solidFill>
                            <a:prstDash val="solid"/>
                            <a:miter/>
                          </a:ln>
                        </wps:spPr>
                        <wps:txbx>
                          <w:txbxContent>
                            <w:p w14:paraId="5F256D0C" w14:textId="77777777" w:rsidR="0080122D" w:rsidRDefault="00CC50FE">
                              <w:pPr>
                                <w:numPr>
                                  <w:ilvl w:val="1"/>
                                  <w:numId w:val="3"/>
                                </w:numPr>
                                <w:spacing w:after="40" w:line="216" w:lineRule="auto"/>
                              </w:pPr>
                              <w:r>
                                <w:rPr>
                                  <w:rFonts w:ascii="Times New Roman" w:eastAsia="Times New Roman" w:hAnsi="Times New Roman"/>
                                  <w:color w:val="FFFFFF"/>
                                  <w:lang w:val="en-IN"/>
                                </w:rPr>
                                <w:t>Targeting pollution reduction to prevent respiratory and cardiovascular diseases</w:t>
                              </w:r>
                              <w:r>
                                <w:rPr>
                                  <w:rFonts w:cs="Aptos"/>
                                  <w:color w:val="FFFFFF"/>
                                  <w:lang w:val="en-IN"/>
                                </w:rPr>
                                <w:t>.</w:t>
                              </w:r>
                            </w:p>
                          </w:txbxContent>
                        </wps:txbx>
                        <wps:bodyPr vert="horz" wrap="square" lIns="45720" tIns="45720" rIns="45720" bIns="45720" anchor="ctr" anchorCtr="0" compatLnSpc="0">
                          <a:noAutofit/>
                        </wps:bodyPr>
                      </wps:wsp>
                    </wpg:wgp>
                  </a:graphicData>
                </a:graphic>
              </wp:inline>
            </w:drawing>
          </mc:Choice>
          <mc:Fallback>
            <w:pict>
              <v:group w14:anchorId="5F256D00" id="Diagram 1" o:spid="_x0000_s1026" style="width:318.1pt;height:113.65pt;mso-position-horizontal-relative:char;mso-position-vertical-relative:line" coordsize="40397,14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">
                <v:shape id="Freeform: Shape 902151382" o:spid="_x0000_s1027" style="position:absolute;top:853;width:10099;height:2376;visibility:visible;mso-wrap-style:square;v-text-anchor:middle-center" coordsize="1009932,2376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" adj="-11796480,,5400" path="m,l1009932,r,237600l,237600,,xe" filled="f" stroked="f">
                  <v:stroke joinstyle="miter"/>
                  <v:formulas/>
                  <v:path arrowok="t" o:connecttype="custom" o:connectlocs="504968,0;1009936,118799;504968,237597;0,118799;0,0;1009936,0;1009936,237597;0,237597;0,0" o:connectangles="270,0,90,180,0,0,0,0,0" textboxrect="0,0,1009932,237600"/>
                  <v:textbox inset="2.37056mm,.84656mm,2.37056mm,.84656mm">
                    <w:txbxContent>
                      <w:p w14:paraId="5F256D02" w14:textId="77777777" w:rsidR="0080122D" w:rsidRDefault="00CC50FE">
                        <w:pPr>
                          <w:spacing w:after="100" w:line="216" w:lineRule="auto"/>
                          <w:jc w:val="center"/>
                        </w:pPr>
                        <w:r>
                          <w:rPr>
                            <w:rFonts w:ascii="Times New Roman" w:eastAsia="Times New Roman" w:hAnsi="Times New Roman"/>
                            <w:color w:val="000000"/>
                            <w:lang w:val="en-IN"/>
                          </w:rPr>
                          <w:t xml:space="preserve">Change4Life: </w:t>
                        </w:r>
                      </w:p>
                    </w:txbxContent>
                  </v:textbox>
                </v:shape>
                <v:shape id="Freeform: Shape 2049307267" o:spid="_x0000_s1028" style="position:absolute;left:10099;width:2020;height:4083;visibility:visible;mso-wrap-style:square;v-text-anchor:top" coordsize="201981,408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" path="m201981,408371nswa100990,266985,302972,408371,201981,408371,100990,337678l100991,274879at-100991,204186,100991,345572,100991,274879,,204186,-100991,62800,100991,204186,,204186,100991,133493l100991,70693wa100991,,302973,141386,100991,70693,201982,l201981,408371xem201981,408371nfwa100990,266985,302972,408371,201981,408371,100990,337678l100991,274879at-100991,204186,100991,345572,100991,274879,,204186,-100991,62800,100991,204186,,204186,100991,133493l100991,70693wa100991,,302973,141386,100991,70693,201982,e" filled="f" strokecolor="#0e4b66" strokeweight=".52906mm">
                  <v:stroke joinstyle="miter"/>
                  <v:path arrowok="t" o:connecttype="custom" o:connectlocs="100991,0;201981,204186;100991,408371;0,204186;201981,0;0,204186;201981,408371" o:connectangles="270,0,90,180,90,180,270" textboxrect="130570,20706,201981,387665"/>
                </v:shape>
                <v:shape id="Freeform: Shape 41577723" o:spid="_x0000_s1029" style="position:absolute;left:12927;width:27470;height:4083;visibility:visible;mso-wrap-style:square;v-text-anchor:middle" coordsize="2747017,4083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" adj="-11796480,,5400" path="m,l2747017,r,408375l,408375,,xe" fillcolor="#156082" strokecolor="white" strokeweight=".52906mm">
                  <v:stroke joinstyle="miter"/>
                  <v:formulas/>
                  <v:path arrowok="t" o:connecttype="custom" o:connectlocs="1373507,0;2747013,204186;1373507,408371;0,204186;0,0;2747013,0;2747013,408371;0,408371;0,0" o:connectangles="270,0,90,180,0,0,0,0,0" textboxrect="0,0,2747017,408375"/>
                  <v:textbox inset="3.6pt,,3.6pt">
                    <w:txbxContent>
                      <w:p w14:paraId="5F256D04" w14:textId="77777777" w:rsidR="0080122D" w:rsidRDefault="00CC50FE">
                        <w:pPr>
                          <w:numPr>
                            <w:ilvl w:val="1"/>
                            <w:numId w:val="1"/>
                          </w:numPr>
                          <w:spacing w:after="40" w:line="216" w:lineRule="auto"/>
                        </w:pPr>
                        <w:r>
                          <w:rPr>
                            <w:rFonts w:ascii="Times New Roman" w:eastAsia="Times New Roman" w:hAnsi="Times New Roman"/>
                            <w:color w:val="FFFFFF"/>
                            <w:lang w:val="en-IN"/>
                          </w:rPr>
                          <w:t>Promoting healthy eating and physical activity among families.</w:t>
                        </w:r>
                      </w:p>
                    </w:txbxContent>
                  </v:textbox>
                </v:shape>
                <v:shape id="Freeform: Shape 747415535" o:spid="_x0000_s1030" style="position:absolute;top:4693;width:10099;height:3786;visibility:visible;mso-wrap-style:square;v-text-anchor:middle-center" coordsize="1009932,3786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" adj="-11796480,,5400" path="m,l1009932,r,378675l,378675,,xe" filled="f" stroked="f">
                  <v:stroke joinstyle="miter"/>
                  <v:formulas/>
                  <v:path arrowok="t" o:connecttype="custom" o:connectlocs="504968,0;1009936,189336;504968,378671;0,189336;0,0;1009936,0;1009936,378671;0,378671;0,0" o:connectangles="270,0,90,180,0,0,0,0,0" textboxrect="0,0,1009932,378675"/>
                  <v:textbox inset="2.37056mm,.84656mm,2.37056mm,.84656mm">
                    <w:txbxContent>
                      <w:p w14:paraId="5F256D06" w14:textId="77777777" w:rsidR="0080122D" w:rsidRDefault="00CC50FE">
                        <w:pPr>
                          <w:spacing w:after="100" w:line="216" w:lineRule="auto"/>
                          <w:jc w:val="center"/>
                        </w:pPr>
                        <w:r>
                          <w:rPr>
                            <w:rFonts w:ascii="Times New Roman" w:eastAsia="Times New Roman" w:hAnsi="Times New Roman"/>
                            <w:color w:val="000000"/>
                            <w:lang w:val="en-IN"/>
                          </w:rPr>
                          <w:t>Every Mind Matters:</w:t>
                        </w:r>
                      </w:p>
                    </w:txbxContent>
                  </v:textbox>
                </v:shape>
                <v:shape id="Freeform: Shape 1060026775" o:spid="_x0000_s1031" style="position:absolute;left:10099;top:4515;width:2020;height:4142;visibility:visible;mso-wrap-style:square;v-text-anchor:top" coordsize="201981,4141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" path="m201981,414177nswa100990,272791,302972,414177,201981,414177,100990,343484l100991,277782at-100991,207089,100991,348475,100991,277782,,207089,-100991,65703,100991,207089,,207089,100991,136396l100991,70693wa100991,,302973,141386,100991,70693,201982,l201981,414177xem201981,414177nfwa100990,272791,302972,414177,201981,414177,100990,343484l100991,277782at-100991,207089,100991,348475,100991,277782,,207089,-100991,65703,100991,207089,,207089,100991,136396l100991,70693wa100991,,302973,141386,100991,70693,201982,e" filled="f" strokecolor="#0e4b66" strokeweight=".52906mm">
                  <v:stroke joinstyle="miter"/>
                  <v:path arrowok="t" o:connecttype="custom" o:connectlocs="100991,0;201981,207089;100991,414177;0,207089;201981,0;0,207089;201981,414177" o:connectangles="270,0,90,180,90,180,270" textboxrect="130570,20706,201981,393471"/>
                </v:shape>
                <v:shape id="Freeform: Shape 847774507" o:spid="_x0000_s1032" style="position:absolute;left:12927;top:4515;width:27470;height:4142;visibility:visible;mso-wrap-style:square;v-text-anchor:middle" coordsize="2747017,4141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" adj="-11796480,,5400" path="m,l2747017,r,414175l,414175,,xe" fillcolor="#156082" strokecolor="white" strokeweight=".52906mm">
                  <v:stroke joinstyle="miter"/>
                  <v:formulas/>
                  <v:path arrowok="t" o:connecttype="custom" o:connectlocs="1373507,0;2747013,207089;1373507,414177;0,207089;0,0;2747013,0;2747013,414177;0,414177;0,0" o:connectangles="270,0,90,180,0,0,0,0,0" textboxrect="0,0,2747017,414175"/>
                  <v:textbox inset="3.6pt,,3.6pt">
                    <w:txbxContent>
                      <w:p w14:paraId="5F256D08" w14:textId="77777777" w:rsidR="0080122D" w:rsidRDefault="00CC50FE">
                        <w:pPr>
                          <w:numPr>
                            <w:ilvl w:val="1"/>
                            <w:numId w:val="2"/>
                          </w:numPr>
                          <w:spacing w:after="40" w:line="216" w:lineRule="auto"/>
                        </w:pPr>
                        <w:r>
                          <w:rPr>
                            <w:rFonts w:ascii="Times New Roman" w:eastAsia="Times New Roman" w:hAnsi="Times New Roman"/>
                            <w:color w:val="FFFFFF"/>
                            <w:lang w:val="en-IN"/>
                          </w:rPr>
                          <w:t>Increasing awareness of mental health concerns and offering self-help guidance.</w:t>
                        </w:r>
                      </w:p>
                    </w:txbxContent>
                  </v:textbox>
                </v:shape>
                <v:shape id="Freeform: Shape 1244621325" o:spid="_x0000_s1033" style="position:absolute;top:9089;width:10099;height:5346;visibility:visible;mso-wrap-style:square;v-text-anchor:middle-center" coordsize="1009932,5346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" adj="-11796480,,5400" path="m,l1009932,r,534600l,534600,,xe" filled="f" stroked="f">
                  <v:stroke joinstyle="miter"/>
                  <v:formulas/>
                  <v:path arrowok="t" o:connecttype="custom" o:connectlocs="504968,0;1009936,267302;504968,534603;0,267302;0,0;1009936,0;1009936,534603;0,534603;0,0" o:connectangles="270,0,90,180,0,0,0,0,0" textboxrect="0,0,1009932,534600"/>
                  <v:textbox inset="2.37056mm,.84656mm,2.37056mm,.84656mm">
                    <w:txbxContent>
                      <w:p w14:paraId="5F256D0A" w14:textId="77777777" w:rsidR="0080122D" w:rsidRDefault="00CC50FE">
                        <w:pPr>
                          <w:spacing w:after="100" w:line="216" w:lineRule="auto"/>
                          <w:jc w:val="center"/>
                        </w:pPr>
                        <w:r>
                          <w:rPr>
                            <w:rFonts w:ascii="Times New Roman" w:eastAsia="Times New Roman" w:hAnsi="Times New Roman"/>
                            <w:color w:val="000000"/>
                            <w:lang w:val="en-IN"/>
                          </w:rPr>
                          <w:t>Clean Air Strategy (2019):</w:t>
                        </w:r>
                      </w:p>
                    </w:txbxContent>
                  </v:textbox>
                </v:shape>
                <v:shape id="Freeform: Shape 1801751228" o:spid="_x0000_s1034" style="position:absolute;left:10099;top:9089;width:2020;height:5346;visibility:visible;mso-wrap-style:square;v-text-anchor:top" coordsize="201981,534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" path="m201981,534603nswa100990,393217,302972,534603,201981,534603,100990,463910l100991,337995at-100991,267302,100991,408688,100991,337995,,267302,-100991,125916,100991,267302,,267302,100991,196609l100991,70693wa100991,,302973,141386,100991,70693,201982,l201981,534603xem201981,534603nfwa100990,393217,302972,534603,201981,534603,100990,463910l100991,337995at-100991,267302,100991,408688,100991,337995,,267302,-100991,125916,100991,267302,,267302,100991,196609l100991,70693wa100991,,302973,141386,100991,70693,201982,e" filled="f" strokecolor="#0e4b66" strokeweight=".52906mm">
                  <v:stroke joinstyle="miter"/>
                  <v:path arrowok="t" o:connecttype="custom" o:connectlocs="100991,0;201981,267302;100991,534603;0,267302;201981,0;0,267302;201981,534603" o:connectangles="270,0,90,180,90,180,270" textboxrect="130570,20706,201981,513897"/>
                </v:shape>
                <v:shape id="Freeform: Shape 1094765223" o:spid="_x0000_s1035" style="position:absolute;left:12927;top:9089;width:27470;height:5346;visibility:visible;mso-wrap-style:square;v-text-anchor:middle" coordsize="2747017,5346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" adj="-11796480,,5400" path="m,l2747017,r,534600l,534600,,xe" fillcolor="#156082" strokecolor="white" strokeweight=".52906mm">
                  <v:stroke joinstyle="miter"/>
                  <v:formulas/>
                  <v:path arrowok="t" o:connecttype="custom" o:connectlocs="1373507,0;2747013,267302;1373507,534603;0,267302;0,0;2747013,0;2747013,534603;0,534603;0,0" o:connectangles="270,0,90,180,0,0,0,0,0" textboxrect="0,0,2747017,534600"/>
                  <v:textbox inset="3.6pt,,3.6pt">
                    <w:txbxContent>
                      <w:p w14:paraId="5F256D0C" w14:textId="77777777" w:rsidR="0080122D" w:rsidRDefault="00CC50FE">
                        <w:pPr>
                          <w:numPr>
                            <w:ilvl w:val="1"/>
                            <w:numId w:val="3"/>
                          </w:numPr>
                          <w:spacing w:after="40" w:line="216" w:lineRule="auto"/>
                        </w:pPr>
                        <w:r>
                          <w:rPr>
                            <w:rFonts w:ascii="Times New Roman" w:eastAsia="Times New Roman" w:hAnsi="Times New Roman"/>
                            <w:color w:val="FFFFFF"/>
                            <w:lang w:val="en-IN"/>
                          </w:rPr>
                          <w:t>Targeting pollution reduction to prevent respiratory and cardiovascular diseases</w:t>
                        </w:r>
                        <w:r>
                          <w:rPr>
                            <w:rFonts w:cs="Aptos"/>
                            <w:color w:val="FFFFFF"/>
                            <w:lang w:val="en-IN"/>
                          </w:rPr>
                          <w:t>.</w:t>
                        </w:r>
                      </w:p>
                    </w:txbxContent>
                  </v:textbox>
                </v:shape>
                <w10:anchorlock/>
              </v:group>
            </w:pict>
          </mc:Fallback>
        </mc:AlternateContent>
      </w:r>
    </w:p>
    <w:p w14:paraId="5F256D44" w14:textId="77777777" w:rsidR="0080122D" w:rsidRDefault="00CC50FE">
      <w:pPr>
        <w:pStyle w:val="Heading1"/>
        <w:spacing w:line="360" w:lineRule="auto"/>
        <w:jc w:val="both"/>
        <w:rPr>
          <w:rFonts w:ascii="Times New Roman" w:hAnsi="Times New Roman"/>
          <w:b/>
          <w:bCs/>
          <w:color w:val="auto"/>
          <w:sz w:val="36"/>
          <w:szCs w:val="36"/>
        </w:rPr>
      </w:pPr>
      <w:bookmarkStart w:id="7" w:name="_Toc217969294"/>
      <w:r>
        <w:rPr>
          <w:rFonts w:ascii="Times New Roman" w:hAnsi="Times New Roman"/>
          <w:b/>
          <w:bCs/>
          <w:color w:val="auto"/>
          <w:sz w:val="36"/>
          <w:szCs w:val="36"/>
        </w:rPr>
        <w:t xml:space="preserve">Equity, Access, and </w:t>
      </w:r>
      <w:r>
        <w:rPr>
          <w:rFonts w:ascii="Times New Roman" w:hAnsi="Times New Roman"/>
          <w:b/>
          <w:bCs/>
          <w:color w:val="auto"/>
          <w:sz w:val="36"/>
          <w:szCs w:val="36"/>
        </w:rPr>
        <w:t>Inequalities</w:t>
      </w:r>
      <w:bookmarkEnd w:id="7"/>
    </w:p>
    <w:p w14:paraId="5F256D45" w14:textId="77777777" w:rsidR="0080122D" w:rsidRDefault="00CC50FE">
      <w:pPr>
        <w:spacing w:line="360" w:lineRule="auto"/>
        <w:jc w:val="both"/>
        <w:rPr>
          <w:rFonts w:ascii="Times New Roman" w:hAnsi="Times New Roman"/>
          <w:sz w:val="22"/>
          <w:szCs w:val="22"/>
        </w:rPr>
      </w:pPr>
      <w:r>
        <w:rPr>
          <w:rFonts w:ascii="Times New Roman" w:hAnsi="Times New Roman"/>
          <w:sz w:val="22"/>
          <w:szCs w:val="22"/>
        </w:rPr>
        <w:t>Persistent inequality is a significant difficulty in national, municipal, and international systems, as access to care is motivated by a number of factors, including age, incapacity, location, income, and ethnicity. For Instance, low-income families and migrant groups often have worse health outcomes due to social and structural constraints (Lindgren et al., 2025). Inequality is further exacerbated by the unequal impact of climate-related health risks on poor populations. Therefore, it is beneficial for gov</w:t>
      </w:r>
      <w:r>
        <w:rPr>
          <w:rFonts w:ascii="Times New Roman" w:hAnsi="Times New Roman"/>
          <w:sz w:val="22"/>
          <w:szCs w:val="22"/>
        </w:rPr>
        <w:t>ernments to reduce the detrimental outcomes of inequality by focusing on weather policy, which requires planned attempts, careful planning, and multi-stakeholder involvement. While viable effects of inequality are taken into account at each stage of the policy-making technique, including planning, development, and implementation, the best outcomes can be attained.</w:t>
      </w:r>
    </w:p>
    <w:p w14:paraId="5F256D46" w14:textId="77777777" w:rsidR="0080122D" w:rsidRDefault="00CC50FE">
      <w:pPr>
        <w:spacing w:line="360" w:lineRule="auto"/>
        <w:jc w:val="both"/>
        <w:rPr>
          <w:rFonts w:ascii="Times New Roman" w:hAnsi="Times New Roman"/>
          <w:sz w:val="22"/>
          <w:szCs w:val="22"/>
        </w:rPr>
      </w:pPr>
      <w:r>
        <w:rPr>
          <w:rFonts w:ascii="Times New Roman" w:hAnsi="Times New Roman"/>
          <w:sz w:val="22"/>
          <w:szCs w:val="22"/>
        </w:rPr>
        <w:t>As a result, initiatives to establish more equitable structures include the Wales Destiny Generations Act, the NHS Equality and Diversity Strategy, and local council inclusion frameworks. So as to obtain lumber, fish, and different forms of food that help them stabilise consumption and weather shocks, the underprivileged groups normally rely more largely on access to the shared ecosystems. Aligning SDGs 3 and 13 with equity-driven solutions is therefore crucial.</w:t>
      </w:r>
    </w:p>
    <w:p w14:paraId="5F256D47" w14:textId="77777777" w:rsidR="0080122D" w:rsidRDefault="0080122D">
      <w:pPr>
        <w:spacing w:line="360" w:lineRule="auto"/>
        <w:jc w:val="both"/>
        <w:rPr>
          <w:rFonts w:ascii="Times New Roman" w:hAnsi="Times New Roman"/>
          <w:sz w:val="22"/>
          <w:szCs w:val="22"/>
        </w:rPr>
      </w:pPr>
    </w:p>
    <w:p w14:paraId="5F256D48" w14:textId="77777777" w:rsidR="0080122D" w:rsidRDefault="00CC50FE">
      <w:pPr>
        <w:pStyle w:val="Heading1"/>
        <w:spacing w:line="360" w:lineRule="auto"/>
        <w:jc w:val="both"/>
        <w:rPr>
          <w:rFonts w:ascii="Times New Roman" w:hAnsi="Times New Roman"/>
          <w:b/>
          <w:bCs/>
          <w:color w:val="auto"/>
          <w:sz w:val="36"/>
          <w:szCs w:val="36"/>
        </w:rPr>
      </w:pPr>
      <w:bookmarkStart w:id="8" w:name="_Toc217969295"/>
      <w:r>
        <w:rPr>
          <w:rFonts w:ascii="Times New Roman" w:hAnsi="Times New Roman"/>
          <w:b/>
          <w:bCs/>
          <w:color w:val="auto"/>
          <w:sz w:val="36"/>
          <w:szCs w:val="36"/>
        </w:rPr>
        <w:t>Challenges and Barriers</w:t>
      </w:r>
      <w:bookmarkEnd w:id="8"/>
    </w:p>
    <w:p w14:paraId="5F256D49" w14:textId="77777777" w:rsidR="0080122D" w:rsidRDefault="00CC50FE">
      <w:pPr>
        <w:spacing w:line="360" w:lineRule="auto"/>
        <w:jc w:val="both"/>
        <w:rPr>
          <w:rFonts w:ascii="Times New Roman" w:hAnsi="Times New Roman"/>
          <w:sz w:val="22"/>
          <w:szCs w:val="22"/>
        </w:rPr>
      </w:pPr>
      <w:r>
        <w:rPr>
          <w:rFonts w:ascii="Times New Roman" w:hAnsi="Times New Roman"/>
          <w:sz w:val="22"/>
          <w:szCs w:val="22"/>
        </w:rPr>
        <w:t>The complete integration of health, well-being, and sustainable development is hampered by some issues. For example, historic and societal barriers that kept men and women from competing on an equal footing are frequently discussed to maintain equity. Moreover, the disjointed cooperation between local execution and national policy can cause funding constraints that affect preventative and public health initiatives (Naveen Prakash Kandwal et al., 2024). For instance, conflicts, particularly in hospital waste</w:t>
      </w:r>
      <w:r>
        <w:rPr>
          <w:rFonts w:ascii="Times New Roman" w:hAnsi="Times New Roman"/>
          <w:sz w:val="22"/>
          <w:szCs w:val="22"/>
        </w:rPr>
        <w:t xml:space="preserve"> </w:t>
      </w:r>
      <w:r>
        <w:rPr>
          <w:rFonts w:ascii="Times New Roman" w:hAnsi="Times New Roman"/>
          <w:sz w:val="22"/>
          <w:szCs w:val="22"/>
        </w:rPr>
        <w:lastRenderedPageBreak/>
        <w:t>control and procurement, exist between environmental goals and cost-saving measures.  As well as, sustainability initiatives and carrier transport are impacted by a lack of workers, which compromises community health measures and the outcomes of climate change. Thus, to adapt, low-income groups' infrastructure and service deficiencies ought to be addressed by institutions and governance. This could involve giving women more power in the decision-making process to impact climate change and focusing on recru</w:t>
      </w:r>
      <w:r>
        <w:rPr>
          <w:rFonts w:ascii="Times New Roman" w:hAnsi="Times New Roman"/>
          <w:sz w:val="22"/>
          <w:szCs w:val="22"/>
        </w:rPr>
        <w:t>itment programmes. Stronger go-sector cooperation and long-term investment plans are needed to address these barriers.</w:t>
      </w:r>
    </w:p>
    <w:p w14:paraId="5F256D4A" w14:textId="77777777" w:rsidR="0080122D" w:rsidRDefault="00CC50FE">
      <w:pPr>
        <w:pStyle w:val="Heading1"/>
        <w:spacing w:line="360" w:lineRule="auto"/>
        <w:jc w:val="both"/>
        <w:rPr>
          <w:rFonts w:ascii="Times New Roman" w:hAnsi="Times New Roman"/>
          <w:b/>
          <w:bCs/>
          <w:color w:val="auto"/>
          <w:sz w:val="36"/>
          <w:szCs w:val="36"/>
        </w:rPr>
      </w:pPr>
      <w:bookmarkStart w:id="9" w:name="_Toc217969296"/>
      <w:r>
        <w:rPr>
          <w:rFonts w:ascii="Times New Roman" w:hAnsi="Times New Roman"/>
          <w:b/>
          <w:bCs/>
          <w:color w:val="auto"/>
          <w:sz w:val="36"/>
          <w:szCs w:val="36"/>
        </w:rPr>
        <w:t>Recommendations</w:t>
      </w:r>
      <w:bookmarkEnd w:id="9"/>
    </w:p>
    <w:p w14:paraId="5F256D4B" w14:textId="77777777" w:rsidR="0080122D" w:rsidRDefault="00CC50FE">
      <w:pPr>
        <w:spacing w:line="360" w:lineRule="auto"/>
        <w:jc w:val="both"/>
        <w:rPr>
          <w:rFonts w:ascii="Times New Roman" w:hAnsi="Times New Roman"/>
          <w:sz w:val="22"/>
          <w:szCs w:val="22"/>
        </w:rPr>
      </w:pPr>
      <w:r>
        <w:rPr>
          <w:rFonts w:ascii="Times New Roman" w:hAnsi="Times New Roman"/>
          <w:sz w:val="22"/>
          <w:szCs w:val="22"/>
        </w:rPr>
        <w:t xml:space="preserve">The Government are to ensure SDGs 3 and 13 are integrated into long-term planning, procurement, and evaluation frameworks whilst incorporating all SDGs into nation-wide fitness projects. Secondly, more investments into network well-being centres, environmental health initiatives, mental health services, and other preventive care. There should be an increase in cross-sector cooperation across housing, education, transportation, and environmental companies by implementing a "health in all policies" strategy. </w:t>
      </w:r>
      <w:r>
        <w:rPr>
          <w:rFonts w:ascii="Times New Roman" w:hAnsi="Times New Roman"/>
          <w:sz w:val="22"/>
          <w:szCs w:val="22"/>
        </w:rPr>
        <w:t>Furthermore, another framework that promotes greater cooperation between the health and non-health sectors can realise the benefits of advancing health and well-being, while reducing poverty, increasing equality, and ultimately achieving universal sustainable improvement. This framework would emphasise the interdependencies between goals and sell connections amongst various sectors.</w:t>
      </w:r>
    </w:p>
    <w:p w14:paraId="5F256D4C" w14:textId="77777777" w:rsidR="0080122D" w:rsidRDefault="00CC50FE">
      <w:pPr>
        <w:pStyle w:val="Heading1"/>
        <w:spacing w:line="360" w:lineRule="auto"/>
        <w:jc w:val="both"/>
        <w:rPr>
          <w:rFonts w:ascii="Times New Roman" w:hAnsi="Times New Roman"/>
          <w:b/>
          <w:bCs/>
          <w:color w:val="auto"/>
          <w:sz w:val="36"/>
          <w:szCs w:val="36"/>
        </w:rPr>
      </w:pPr>
      <w:bookmarkStart w:id="10" w:name="_Toc217969297"/>
      <w:r>
        <w:rPr>
          <w:rFonts w:ascii="Times New Roman" w:hAnsi="Times New Roman"/>
          <w:b/>
          <w:bCs/>
          <w:color w:val="auto"/>
          <w:sz w:val="36"/>
          <w:szCs w:val="36"/>
        </w:rPr>
        <w:t>Conclusion</w:t>
      </w:r>
      <w:bookmarkEnd w:id="10"/>
    </w:p>
    <w:p w14:paraId="5F256D4D" w14:textId="77777777" w:rsidR="0080122D" w:rsidRDefault="00CC50FE">
      <w:pPr>
        <w:spacing w:line="360" w:lineRule="auto"/>
        <w:jc w:val="both"/>
        <w:rPr>
          <w:rFonts w:ascii="Times New Roman" w:hAnsi="Times New Roman"/>
          <w:sz w:val="22"/>
          <w:szCs w:val="22"/>
        </w:rPr>
      </w:pPr>
      <w:r>
        <w:rPr>
          <w:rFonts w:ascii="Times New Roman" w:hAnsi="Times New Roman"/>
          <w:sz w:val="22"/>
          <w:szCs w:val="22"/>
        </w:rPr>
        <w:t>Sustainable development, well-being, and health are closely related factors influencing the future of national and global health systems. SDGs 3 and 13 display that social and environmental elements are inextricably linked to health outcomes. Even though the UK has put in place robust legislation and creative local initiatives, systemic impediments, weather constraints, and enduring inequality continue to impede development. Acknowledging the interconnectedness, interdependence, and linkage of all SDGs is e</w:t>
      </w:r>
      <w:r>
        <w:rPr>
          <w:rFonts w:ascii="Times New Roman" w:hAnsi="Times New Roman"/>
          <w:sz w:val="22"/>
          <w:szCs w:val="22"/>
        </w:rPr>
        <w:t>ssential to their achievement and now needs to be translated into practice and policy. This will address the social, economic, environmental, and health determinants and effects of sustainable development, the challenges highlighted, and the recommendations provided could help bridge the gaps in the health and non-health sectors.</w:t>
      </w:r>
    </w:p>
    <w:p w14:paraId="5F256D4E" w14:textId="77777777" w:rsidR="0080122D" w:rsidRDefault="0080122D">
      <w:pPr>
        <w:rPr>
          <w:rFonts w:ascii="Times New Roman" w:hAnsi="Times New Roman"/>
        </w:rPr>
      </w:pPr>
    </w:p>
    <w:p w14:paraId="5F256D4F" w14:textId="77777777" w:rsidR="0080122D" w:rsidRDefault="00CC50FE">
      <w:pPr>
        <w:pStyle w:val="Heading1"/>
        <w:rPr>
          <w:rFonts w:ascii="Times New Roman" w:hAnsi="Times New Roman"/>
          <w:b/>
          <w:bCs/>
          <w:color w:val="auto"/>
          <w:sz w:val="36"/>
          <w:szCs w:val="36"/>
        </w:rPr>
      </w:pPr>
      <w:bookmarkStart w:id="11" w:name="_Toc217969298"/>
      <w:r>
        <w:rPr>
          <w:rFonts w:ascii="Times New Roman" w:hAnsi="Times New Roman"/>
          <w:b/>
          <w:bCs/>
          <w:color w:val="auto"/>
          <w:sz w:val="36"/>
          <w:szCs w:val="36"/>
        </w:rPr>
        <w:lastRenderedPageBreak/>
        <w:t>References:</w:t>
      </w:r>
      <w:bookmarkEnd w:id="11"/>
    </w:p>
    <w:p w14:paraId="5F256D50" w14:textId="77777777" w:rsidR="0080122D" w:rsidRDefault="00CC50FE">
      <w:pPr>
        <w:pStyle w:val="ListParagraph"/>
        <w:numPr>
          <w:ilvl w:val="0"/>
          <w:numId w:val="4"/>
        </w:numPr>
        <w:spacing w:line="360" w:lineRule="auto"/>
        <w:jc w:val="both"/>
        <w:rPr>
          <w:rFonts w:ascii="Times New Roman" w:hAnsi="Times New Roman"/>
          <w:sz w:val="22"/>
          <w:szCs w:val="22"/>
        </w:rPr>
      </w:pPr>
      <w:r>
        <w:rPr>
          <w:rFonts w:ascii="Times New Roman" w:hAnsi="Times New Roman"/>
          <w:sz w:val="22"/>
          <w:szCs w:val="22"/>
        </w:rPr>
        <w:t>Hariram, N. P., Mekha, K. B., Suganthan, V., &amp; Sudhakar, K. (2023). Sustainalism: An Integrated Socio-Economic-Environmental Model to Address Sustainable Development and Sustainability. Sustainability, 15(13), 10682. https://www.mdpi.com/2071-1050/15/13/10682</w:t>
      </w:r>
    </w:p>
    <w:p w14:paraId="5F256D51" w14:textId="77777777" w:rsidR="0080122D" w:rsidRDefault="00CC50FE">
      <w:pPr>
        <w:pStyle w:val="ListParagraph"/>
        <w:numPr>
          <w:ilvl w:val="0"/>
          <w:numId w:val="4"/>
        </w:numPr>
        <w:spacing w:line="360" w:lineRule="auto"/>
        <w:jc w:val="both"/>
        <w:rPr>
          <w:rFonts w:ascii="Times New Roman" w:hAnsi="Times New Roman"/>
          <w:sz w:val="22"/>
          <w:szCs w:val="22"/>
        </w:rPr>
      </w:pPr>
      <w:r>
        <w:rPr>
          <w:rFonts w:ascii="Times New Roman" w:hAnsi="Times New Roman"/>
          <w:sz w:val="22"/>
          <w:szCs w:val="22"/>
        </w:rPr>
        <w:t>Henderson, L., Bain, H., Allan, E., &amp; Kennedy, C. (2020). Integrated health and social care in the community: A critical integrative review of the experiences and well‐being needs of service users and their families. Health &amp; Social Care in the Community, 29(4).</w:t>
      </w:r>
    </w:p>
    <w:p w14:paraId="5F256D52" w14:textId="77777777" w:rsidR="0080122D" w:rsidRDefault="00CC50FE">
      <w:pPr>
        <w:pStyle w:val="ListParagraph"/>
        <w:numPr>
          <w:ilvl w:val="0"/>
          <w:numId w:val="4"/>
        </w:numPr>
        <w:spacing w:line="360" w:lineRule="auto"/>
        <w:jc w:val="both"/>
      </w:pPr>
      <w:r>
        <w:rPr>
          <w:rFonts w:ascii="Times New Roman" w:hAnsi="Times New Roman"/>
          <w:sz w:val="22"/>
          <w:szCs w:val="22"/>
        </w:rPr>
        <w:t xml:space="preserve">Lakioti, E., Pagonis, N., Flegkas, D., Itziou, A., Moustakas, K., &amp; Karayannis, V. (2025). Social Factors and Policies Promoting Good Health and Well-Being as a Sustainable Development Goal: Current Achievements and Future Pathways. Sustainability, 17(11), 5063. </w:t>
      </w:r>
      <w:hyperlink r:id="rId22" w:history="1">
        <w:r>
          <w:rPr>
            <w:rStyle w:val="Hyperlink"/>
            <w:rFonts w:ascii="Times New Roman" w:hAnsi="Times New Roman"/>
            <w:sz w:val="22"/>
            <w:szCs w:val="22"/>
          </w:rPr>
          <w:t>https://doi.org/10.3390/su17115063</w:t>
        </w:r>
      </w:hyperlink>
      <w:r>
        <w:rPr>
          <w:rFonts w:ascii="Times New Roman" w:hAnsi="Times New Roman"/>
          <w:sz w:val="22"/>
          <w:szCs w:val="22"/>
        </w:rPr>
        <w:t xml:space="preserve"> </w:t>
      </w:r>
    </w:p>
    <w:p w14:paraId="5F256D53" w14:textId="77777777" w:rsidR="0080122D" w:rsidRDefault="00CC50FE">
      <w:pPr>
        <w:pStyle w:val="ListParagraph"/>
        <w:numPr>
          <w:ilvl w:val="0"/>
          <w:numId w:val="4"/>
        </w:numPr>
        <w:spacing w:line="360" w:lineRule="auto"/>
        <w:jc w:val="both"/>
      </w:pPr>
      <w:r>
        <w:rPr>
          <w:rFonts w:ascii="Times New Roman" w:hAnsi="Times New Roman"/>
          <w:sz w:val="22"/>
          <w:szCs w:val="22"/>
        </w:rPr>
        <w:t xml:space="preserve">Lindgren, E.-C., Liveng, A., &amp; Torp, S. (2025). Sustainability and the impact on health and well-being. Scandinavian Journal of Public Health. </w:t>
      </w:r>
      <w:hyperlink r:id="rId23" w:history="1">
        <w:r>
          <w:rPr>
            <w:rStyle w:val="Hyperlink"/>
            <w:rFonts w:ascii="Times New Roman" w:hAnsi="Times New Roman"/>
            <w:sz w:val="22"/>
            <w:szCs w:val="22"/>
          </w:rPr>
          <w:t>https://doi.org/10.1177/14034948251319382</w:t>
        </w:r>
      </w:hyperlink>
      <w:r>
        <w:rPr>
          <w:rFonts w:ascii="Times New Roman" w:hAnsi="Times New Roman"/>
          <w:sz w:val="22"/>
          <w:szCs w:val="22"/>
        </w:rPr>
        <w:t xml:space="preserve"> </w:t>
      </w:r>
    </w:p>
    <w:p w14:paraId="5F256D54" w14:textId="77777777" w:rsidR="0080122D" w:rsidRDefault="00CC50FE">
      <w:pPr>
        <w:pStyle w:val="ListParagraph"/>
        <w:numPr>
          <w:ilvl w:val="0"/>
          <w:numId w:val="4"/>
        </w:numPr>
        <w:spacing w:line="360" w:lineRule="auto"/>
        <w:jc w:val="both"/>
        <w:rPr>
          <w:rFonts w:ascii="Times New Roman" w:hAnsi="Times New Roman"/>
          <w:sz w:val="22"/>
          <w:szCs w:val="22"/>
        </w:rPr>
      </w:pPr>
      <w:r>
        <w:rPr>
          <w:rFonts w:ascii="Times New Roman" w:hAnsi="Times New Roman"/>
          <w:sz w:val="22"/>
          <w:szCs w:val="22"/>
        </w:rPr>
        <w:t>Naveen Prakash Kandwal, Amit Nautiyal, &amp; Som Aditya Juyal. (2024). Promoting Health and Well-being through Integrative Wellness Practices: Pathways to Sustainable Development Goal 3. Atlantis-Press.com, 362–375. https://doi.org/10.2991/978-94-6463-612-3_24</w:t>
      </w:r>
    </w:p>
    <w:p w14:paraId="5F256D55" w14:textId="77777777" w:rsidR="0080122D" w:rsidRDefault="00CC50FE">
      <w:pPr>
        <w:pStyle w:val="ListParagraph"/>
        <w:numPr>
          <w:ilvl w:val="0"/>
          <w:numId w:val="4"/>
        </w:numPr>
        <w:spacing w:line="360" w:lineRule="auto"/>
        <w:jc w:val="both"/>
      </w:pPr>
      <w:r>
        <w:rPr>
          <w:rFonts w:ascii="Times New Roman" w:hAnsi="Times New Roman"/>
          <w:sz w:val="22"/>
          <w:szCs w:val="22"/>
        </w:rPr>
        <w:t xml:space="preserve">Reed, S., Oung, C., Davies, J., Dayan, M., &amp; Scobie, S. (2021). Integrating health and social care A comparison of policy and progress across the four countries of the UK. </w:t>
      </w:r>
      <w:hyperlink r:id="rId24" w:history="1">
        <w:r>
          <w:rPr>
            <w:rStyle w:val="Hyperlink"/>
            <w:rFonts w:ascii="Times New Roman" w:hAnsi="Times New Roman"/>
            <w:sz w:val="22"/>
            <w:szCs w:val="22"/>
          </w:rPr>
          <w:t>https://www.nuffieldtrust.org.uk/sites/default/files/2021-12/integrated-care-web.pdf</w:t>
        </w:r>
      </w:hyperlink>
      <w:r>
        <w:rPr>
          <w:rFonts w:ascii="Times New Roman" w:hAnsi="Times New Roman"/>
          <w:sz w:val="22"/>
          <w:szCs w:val="22"/>
        </w:rPr>
        <w:t xml:space="preserve"> </w:t>
      </w:r>
    </w:p>
    <w:p w14:paraId="5F256D56" w14:textId="77777777" w:rsidR="0080122D" w:rsidRDefault="00CC50FE">
      <w:pPr>
        <w:pStyle w:val="ListParagraph"/>
        <w:numPr>
          <w:ilvl w:val="0"/>
          <w:numId w:val="4"/>
        </w:numPr>
        <w:spacing w:line="360" w:lineRule="auto"/>
        <w:jc w:val="both"/>
      </w:pPr>
      <w:r>
        <w:rPr>
          <w:rFonts w:ascii="Times New Roman" w:hAnsi="Times New Roman"/>
          <w:sz w:val="22"/>
          <w:szCs w:val="22"/>
        </w:rPr>
        <w:t xml:space="preserve">Vasconcellos Oliveira, R. (2021). Social Innovation for a Just Sustainable Development: Integrating the Wellbeing of Future People. Sustainability, 13(16), 9013. </w:t>
      </w:r>
      <w:hyperlink r:id="rId25" w:history="1">
        <w:r>
          <w:rPr>
            <w:rStyle w:val="Hyperlink"/>
            <w:rFonts w:ascii="Times New Roman" w:hAnsi="Times New Roman"/>
            <w:sz w:val="22"/>
            <w:szCs w:val="22"/>
          </w:rPr>
          <w:t>https://doi.org/10.3390/su13169013</w:t>
        </w:r>
      </w:hyperlink>
      <w:r>
        <w:rPr>
          <w:rFonts w:ascii="Times New Roman" w:hAnsi="Times New Roman"/>
          <w:sz w:val="22"/>
          <w:szCs w:val="22"/>
        </w:rPr>
        <w:t xml:space="preserve"> </w:t>
      </w:r>
    </w:p>
    <w:p w14:paraId="5F256D57" w14:textId="77777777" w:rsidR="0080122D" w:rsidRDefault="00CC50FE">
      <w:pPr>
        <w:pStyle w:val="ListParagraph"/>
        <w:numPr>
          <w:ilvl w:val="0"/>
          <w:numId w:val="4"/>
        </w:numPr>
        <w:spacing w:line="360" w:lineRule="auto"/>
        <w:jc w:val="both"/>
      </w:pPr>
      <w:r>
        <w:rPr>
          <w:rFonts w:ascii="Times New Roman" w:hAnsi="Times New Roman"/>
          <w:sz w:val="22"/>
          <w:szCs w:val="22"/>
        </w:rPr>
        <w:t xml:space="preserve">Yin, C., Zhao, W., Cherubini, F., &amp; Pereira, P. (2021). Integrate ecosystem services into socio-economic development to enhance the achievement of sustainable development goals in the post-pandemic era. Geography and Sustainability, 2(1), 68–73. </w:t>
      </w:r>
      <w:hyperlink r:id="rId26" w:history="1">
        <w:r>
          <w:rPr>
            <w:rStyle w:val="Hyperlink"/>
            <w:rFonts w:ascii="Times New Roman" w:hAnsi="Times New Roman"/>
            <w:sz w:val="22"/>
            <w:szCs w:val="22"/>
          </w:rPr>
          <w:t>https://doi.org/10.1016/j.geosus.2021.03.002</w:t>
        </w:r>
      </w:hyperlink>
      <w:r>
        <w:rPr>
          <w:rFonts w:ascii="Times New Roman" w:hAnsi="Times New Roman"/>
          <w:sz w:val="22"/>
          <w:szCs w:val="22"/>
        </w:rPr>
        <w:t xml:space="preserve"> </w:t>
      </w:r>
    </w:p>
    <w:p w14:paraId="5F256D58" w14:textId="77777777" w:rsidR="0080122D" w:rsidRDefault="00CC50FE">
      <w:pPr>
        <w:pStyle w:val="ListParagraph"/>
        <w:numPr>
          <w:ilvl w:val="0"/>
          <w:numId w:val="4"/>
        </w:numPr>
        <w:spacing w:line="360" w:lineRule="auto"/>
        <w:jc w:val="both"/>
      </w:pPr>
      <w:r>
        <w:rPr>
          <w:rFonts w:ascii="Times New Roman" w:hAnsi="Times New Roman"/>
          <w:sz w:val="22"/>
          <w:szCs w:val="22"/>
        </w:rPr>
        <w:t xml:space="preserve">Zhong, L., Deng, B., Morrison, A. M., Coca-Stefaniak, J. A., &amp; Yang, L. (2021). Medical, Health and Wellness Tourism Research Review of the Literature (1970-2020) and Research Agenda. International Journal of Environmental Research and Public Health, 18(20), 10875. </w:t>
      </w:r>
      <w:hyperlink r:id="rId27" w:history="1">
        <w:r>
          <w:rPr>
            <w:rStyle w:val="Hyperlink"/>
            <w:rFonts w:ascii="Times New Roman" w:hAnsi="Times New Roman"/>
            <w:sz w:val="22"/>
            <w:szCs w:val="22"/>
          </w:rPr>
          <w:t>https://doi.org/10.3390/ijerph182010875</w:t>
        </w:r>
      </w:hyperlink>
      <w:r>
        <w:rPr>
          <w:rFonts w:ascii="Times New Roman" w:hAnsi="Times New Roman"/>
          <w:sz w:val="22"/>
          <w:szCs w:val="22"/>
        </w:rPr>
        <w:t xml:space="preserve"> </w:t>
      </w:r>
    </w:p>
    <w:p w14:paraId="5F256D59" w14:textId="77777777" w:rsidR="0080122D" w:rsidRDefault="0080122D">
      <w:pPr>
        <w:spacing w:line="360" w:lineRule="auto"/>
        <w:jc w:val="both"/>
        <w:rPr>
          <w:sz w:val="22"/>
          <w:szCs w:val="22"/>
        </w:rPr>
      </w:pPr>
    </w:p>
    <w:sectPr w:rsidR="0080122D">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256D06" w14:textId="77777777" w:rsidR="00CC50FE" w:rsidRDefault="00CC50FE">
      <w:pPr>
        <w:spacing w:after="0" w:line="240" w:lineRule="auto"/>
      </w:pPr>
      <w:r>
        <w:separator/>
      </w:r>
    </w:p>
  </w:endnote>
  <w:endnote w:type="continuationSeparator" w:id="0">
    <w:p w14:paraId="5F256D08" w14:textId="77777777" w:rsidR="00CC50FE" w:rsidRDefault="00CC50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256D02" w14:textId="77777777" w:rsidR="00CC50FE" w:rsidRDefault="00CC50FE">
      <w:pPr>
        <w:spacing w:after="0" w:line="240" w:lineRule="auto"/>
      </w:pPr>
      <w:r>
        <w:rPr>
          <w:color w:val="000000"/>
        </w:rPr>
        <w:separator/>
      </w:r>
    </w:p>
  </w:footnote>
  <w:footnote w:type="continuationSeparator" w:id="0">
    <w:p w14:paraId="5F256D04" w14:textId="77777777" w:rsidR="00CC50FE" w:rsidRDefault="00CC50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B54B7"/>
    <w:multiLevelType w:val="multilevel"/>
    <w:tmpl w:val="57FE0D36"/>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1" w15:restartNumberingAfterBreak="0">
    <w:nsid w:val="2EAB22CE"/>
    <w:multiLevelType w:val="multilevel"/>
    <w:tmpl w:val="BE4E37F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54365F1E"/>
    <w:multiLevelType w:val="multilevel"/>
    <w:tmpl w:val="BA0E2806"/>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abstractNum w:abstractNumId="3" w15:restartNumberingAfterBreak="0">
    <w:nsid w:val="78B51C90"/>
    <w:multiLevelType w:val="multilevel"/>
    <w:tmpl w:val="E3A608D8"/>
    <w:lvl w:ilvl="0">
      <w:numFmt w:val="bullet"/>
      <w:lvlText w:val="•"/>
      <w:lvlJc w:val="left"/>
      <w:pPr>
        <w:ind w:left="180" w:hanging="180"/>
      </w:pPr>
    </w:lvl>
    <w:lvl w:ilvl="1">
      <w:numFmt w:val="bullet"/>
      <w:lvlText w:val="•"/>
      <w:lvlJc w:val="left"/>
      <w:pPr>
        <w:ind w:left="180" w:hanging="180"/>
      </w:pPr>
    </w:lvl>
    <w:lvl w:ilvl="2">
      <w:numFmt w:val="bullet"/>
      <w:lvlText w:val="•"/>
      <w:lvlJc w:val="left"/>
      <w:pPr>
        <w:ind w:left="180" w:hanging="180"/>
      </w:pPr>
    </w:lvl>
    <w:lvl w:ilvl="3">
      <w:numFmt w:val="bullet"/>
      <w:lvlText w:val="•"/>
      <w:lvlJc w:val="left"/>
      <w:pPr>
        <w:ind w:left="180" w:hanging="180"/>
      </w:pPr>
    </w:lvl>
    <w:lvl w:ilvl="4">
      <w:numFmt w:val="bullet"/>
      <w:lvlText w:val="•"/>
      <w:lvlJc w:val="left"/>
      <w:pPr>
        <w:ind w:left="180" w:hanging="180"/>
      </w:pPr>
    </w:lvl>
    <w:lvl w:ilvl="5">
      <w:numFmt w:val="bullet"/>
      <w:lvlText w:val="•"/>
      <w:lvlJc w:val="left"/>
      <w:pPr>
        <w:ind w:left="180" w:hanging="180"/>
      </w:pPr>
    </w:lvl>
    <w:lvl w:ilvl="6">
      <w:numFmt w:val="bullet"/>
      <w:lvlText w:val="•"/>
      <w:lvlJc w:val="left"/>
      <w:pPr>
        <w:ind w:left="180" w:hanging="180"/>
      </w:pPr>
    </w:lvl>
    <w:lvl w:ilvl="7">
      <w:numFmt w:val="bullet"/>
      <w:lvlText w:val="•"/>
      <w:lvlJc w:val="left"/>
      <w:pPr>
        <w:ind w:left="180" w:hanging="180"/>
      </w:pPr>
    </w:lvl>
    <w:lvl w:ilvl="8">
      <w:numFmt w:val="bullet"/>
      <w:lvlText w:val="•"/>
      <w:lvlJc w:val="left"/>
      <w:pPr>
        <w:ind w:left="180" w:hanging="180"/>
      </w:pPr>
    </w:lvl>
  </w:abstractNum>
  <w:num w:numId="1" w16cid:durableId="1117678431">
    <w:abstractNumId w:val="3"/>
  </w:num>
  <w:num w:numId="2" w16cid:durableId="381102410">
    <w:abstractNumId w:val="0"/>
  </w:num>
  <w:num w:numId="3" w16cid:durableId="1887834239">
    <w:abstractNumId w:val="2"/>
  </w:num>
  <w:num w:numId="4" w16cid:durableId="5354617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80122D"/>
    <w:rsid w:val="001728E0"/>
    <w:rsid w:val="0080122D"/>
    <w:rsid w:val="00CC50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F256CF9"/>
  <w15:docId w15:val="{D02EA726-9916-4A92-A88A-49DF997C5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Strong">
    <w:name w:val="Strong"/>
    <w:basedOn w:val="DefaultParagraphFont"/>
    <w:rPr>
      <w:b/>
      <w:bCs/>
    </w:rPr>
  </w:style>
  <w:style w:type="character" w:styleId="Hyperlink">
    <w:name w:val="Hyperlink"/>
    <w:basedOn w:val="DefaultParagraphFont"/>
    <w:rPr>
      <w:color w:val="467886"/>
      <w:u w:val="single"/>
    </w:rPr>
  </w:style>
  <w:style w:type="paragraph" w:styleId="TOC1">
    <w:name w:val="toc 1"/>
    <w:basedOn w:val="Normal"/>
    <w:next w:val="Normal"/>
    <w:autoRedefine/>
    <w:pPr>
      <w:spacing w:after="100" w:line="360" w:lineRule="auto"/>
      <w:jc w:val="both"/>
    </w:pPr>
    <w:rPr>
      <w:rFonts w:ascii="Times New Roman" w:hAnsi="Times New Roman"/>
      <w:szCs w:val="30"/>
      <w:lang w:val="en-IN" w:bidi="bn-IN"/>
    </w:rPr>
  </w:style>
  <w:style w:type="paragraph" w:styleId="TOCHeading">
    <w:name w:val="TOC Heading"/>
    <w:basedOn w:val="Heading1"/>
    <w:next w:val="Normal"/>
    <w:pPr>
      <w:spacing w:before="240" w:after="0" w:line="251" w:lineRule="auto"/>
    </w:pPr>
    <w:rPr>
      <w:kern w:val="0"/>
      <w:sz w:val="32"/>
      <w:szCs w:val="32"/>
      <w:lang w:val="en-US"/>
    </w:rPr>
  </w:style>
  <w:style w:type="paragraph" w:styleId="Caption">
    <w:name w:val="caption"/>
    <w:basedOn w:val="Normal"/>
    <w:next w:val="Normal"/>
    <w:pPr>
      <w:spacing w:after="200" w:line="240" w:lineRule="auto"/>
      <w:jc w:val="both"/>
    </w:pPr>
    <w:rPr>
      <w:rFonts w:ascii="Times New Roman" w:hAnsi="Times New Roman"/>
      <w:i/>
      <w:iCs/>
      <w:color w:val="0E2841"/>
      <w:sz w:val="18"/>
      <w:szCs w:val="22"/>
      <w:lang w:val="en-IN" w:bidi="bn-IN"/>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_Toc217969287" TargetMode="External"/><Relationship Id="rId13" Type="http://schemas.openxmlformats.org/officeDocument/2006/relationships/hyperlink" Target="#_Toc217969292" TargetMode="External"/><Relationship Id="rId18" Type="http://schemas.openxmlformats.org/officeDocument/2006/relationships/hyperlink" Target="#_Toc217969297" TargetMode="External"/><Relationship Id="rId26" Type="http://schemas.openxmlformats.org/officeDocument/2006/relationships/hyperlink" Target="https://doi.org/10.1016/j.geosus.2021.03.002" TargetMode="External"/><Relationship Id="rId3" Type="http://schemas.openxmlformats.org/officeDocument/2006/relationships/settings" Target="settings.xml"/><Relationship Id="rId21" Type="http://schemas.openxmlformats.org/officeDocument/2006/relationships/image" Target="media/image3.png"/><Relationship Id="rId7" Type="http://schemas.openxmlformats.org/officeDocument/2006/relationships/image" Target="media/image1.jpeg"/><Relationship Id="rId12" Type="http://schemas.openxmlformats.org/officeDocument/2006/relationships/hyperlink" Target="#_Toc217969291" TargetMode="External"/><Relationship Id="rId17" Type="http://schemas.openxmlformats.org/officeDocument/2006/relationships/hyperlink" Target="#_Toc217969296" TargetMode="External"/><Relationship Id="rId25" Type="http://schemas.openxmlformats.org/officeDocument/2006/relationships/hyperlink" Target="https://doi.org/10.3390/su13169013" TargetMode="External"/><Relationship Id="rId2" Type="http://schemas.openxmlformats.org/officeDocument/2006/relationships/styles" Target="styles.xml"/><Relationship Id="rId16" Type="http://schemas.openxmlformats.org/officeDocument/2006/relationships/hyperlink" Target="#_Toc217969295" TargetMode="External"/><Relationship Id="rId20" Type="http://schemas.openxmlformats.org/officeDocument/2006/relationships/image" Target="media/image2.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_Toc217969290" TargetMode="External"/><Relationship Id="rId24" Type="http://schemas.openxmlformats.org/officeDocument/2006/relationships/hyperlink" Target="https://www.nuffieldtrust.org.uk/sites/default/files/2021-12/integrated-care-web.pdf" TargetMode="External"/><Relationship Id="rId5" Type="http://schemas.openxmlformats.org/officeDocument/2006/relationships/footnotes" Target="footnotes.xml"/><Relationship Id="rId15" Type="http://schemas.openxmlformats.org/officeDocument/2006/relationships/hyperlink" Target="#_Toc217969294" TargetMode="External"/><Relationship Id="rId23" Type="http://schemas.openxmlformats.org/officeDocument/2006/relationships/hyperlink" Target="https://doi.org/10.1177/14034948251319382" TargetMode="External"/><Relationship Id="rId28" Type="http://schemas.openxmlformats.org/officeDocument/2006/relationships/fontTable" Target="fontTable.xml"/><Relationship Id="rId10" Type="http://schemas.openxmlformats.org/officeDocument/2006/relationships/hyperlink" Target="#_Toc217969289" TargetMode="External"/><Relationship Id="rId19" Type="http://schemas.openxmlformats.org/officeDocument/2006/relationships/hyperlink" Target="#_Toc217969298" TargetMode="External"/><Relationship Id="rId4" Type="http://schemas.openxmlformats.org/officeDocument/2006/relationships/webSettings" Target="webSettings.xml"/><Relationship Id="rId9" Type="http://schemas.openxmlformats.org/officeDocument/2006/relationships/hyperlink" Target="#_Toc217969288" TargetMode="External"/><Relationship Id="rId14" Type="http://schemas.openxmlformats.org/officeDocument/2006/relationships/hyperlink" Target="#_Toc217969293" TargetMode="External"/><Relationship Id="rId22" Type="http://schemas.openxmlformats.org/officeDocument/2006/relationships/hyperlink" Target="https://doi.org/10.3390/su17115063" TargetMode="External"/><Relationship Id="rId27" Type="http://schemas.openxmlformats.org/officeDocument/2006/relationships/hyperlink" Target="https://doi.org/10.3390/ijerph182010875"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2600</Words>
  <Characters>14826</Characters>
  <Application>Microsoft Office Word</Application>
  <DocSecurity>0</DocSecurity>
  <Lines>123</Lines>
  <Paragraphs>34</Paragraphs>
  <ScaleCrop>false</ScaleCrop>
  <Company/>
  <LinksUpToDate>false</LinksUpToDate>
  <CharactersWithSpaces>17392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Henshaw</dc:creator>
  <dc:description/>
  <cp:lastModifiedBy>Grace Henshaw</cp:lastModifiedBy>
  <cp:revision>2</cp:revision>
  <dcterms:created xsi:type="dcterms:W3CDTF">2025-12-30T10:31:00Z</dcterms:created>
  <dcterms:modified xsi:type="dcterms:W3CDTF">2025-12-30T10:31:00Z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6064bbcd-1d79-4fb3-8fb8-5f9ac82b1c23</vt:lpwstr>
  </property>
</Properties>
</file>