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F5A0A" w14:textId="7BD3D35C" w:rsidR="00A9716A" w:rsidRPr="00A9716A" w:rsidRDefault="00A9716A" w:rsidP="00A9716A">
      <w:pPr>
        <w:rPr>
          <w:rFonts w:ascii="Arial" w:hAnsi="Arial" w:cs="Arial"/>
          <w:b/>
          <w:bCs/>
        </w:rPr>
      </w:pPr>
      <w:r w:rsidRPr="00A9716A">
        <w:rPr>
          <w:rFonts w:ascii="Arial" w:hAnsi="Arial" w:cs="Arial"/>
          <w:b/>
          <w:bCs/>
        </w:rPr>
        <w:t>Evaluat</w:t>
      </w:r>
      <w:r>
        <w:rPr>
          <w:rFonts w:ascii="Arial" w:hAnsi="Arial" w:cs="Arial"/>
          <w:b/>
          <w:bCs/>
        </w:rPr>
        <w:t xml:space="preserve">ion </w:t>
      </w:r>
      <w:r w:rsidR="00013A0E">
        <w:rPr>
          <w:rFonts w:ascii="Arial" w:hAnsi="Arial" w:cs="Arial"/>
          <w:b/>
          <w:bCs/>
        </w:rPr>
        <w:t xml:space="preserve">of </w:t>
      </w:r>
      <w:r w:rsidR="00013A0E" w:rsidRPr="00A9716A">
        <w:rPr>
          <w:rFonts w:ascii="Arial" w:hAnsi="Arial" w:cs="Arial"/>
          <w:b/>
          <w:bCs/>
        </w:rPr>
        <w:t>the</w:t>
      </w:r>
      <w:r w:rsidRPr="00A9716A">
        <w:rPr>
          <w:rFonts w:ascii="Arial" w:hAnsi="Arial" w:cs="Arial"/>
          <w:b/>
          <w:bCs/>
        </w:rPr>
        <w:t xml:space="preserve"> factors that led to the creation and development of the trust</w:t>
      </w:r>
    </w:p>
    <w:p w14:paraId="2FB5C13E" w14:textId="77777777" w:rsidR="00A9716A" w:rsidRDefault="00A9716A" w:rsidP="003C5FD9">
      <w:pPr>
        <w:spacing w:line="480" w:lineRule="auto"/>
        <w:rPr>
          <w:rFonts w:ascii="Arial" w:hAnsi="Arial" w:cs="Arial"/>
        </w:rPr>
      </w:pPr>
    </w:p>
    <w:p w14:paraId="581C8799" w14:textId="30D67AB9" w:rsidR="00D57EF6" w:rsidRDefault="003C5FD9" w:rsidP="003917CE">
      <w:pPr>
        <w:spacing w:line="480" w:lineRule="auto"/>
        <w:rPr>
          <w:rFonts w:ascii="Arial" w:hAnsi="Arial" w:cs="Arial"/>
        </w:rPr>
      </w:pPr>
      <w:r w:rsidRPr="003715AA">
        <w:rPr>
          <w:rFonts w:ascii="Arial" w:hAnsi="Arial" w:cs="Arial"/>
        </w:rPr>
        <w:t xml:space="preserve">This essay discusses the factors that led to the creation and development of the trust. </w:t>
      </w:r>
      <w:r w:rsidR="006B3DF3">
        <w:rPr>
          <w:rFonts w:ascii="Arial" w:hAnsi="Arial" w:cs="Arial"/>
        </w:rPr>
        <w:t xml:space="preserve">A </w:t>
      </w:r>
      <w:r w:rsidR="00762A02">
        <w:rPr>
          <w:rFonts w:ascii="Arial" w:hAnsi="Arial" w:cs="Arial"/>
        </w:rPr>
        <w:t>t</w:t>
      </w:r>
      <w:r w:rsidR="006B3DF3">
        <w:rPr>
          <w:rFonts w:ascii="Arial" w:hAnsi="Arial" w:cs="Arial"/>
        </w:rPr>
        <w:t>rust is a legal arrangement for managing assets (Law Society 2023). The</w:t>
      </w:r>
      <w:r w:rsidR="009C5CB4" w:rsidRPr="003715AA">
        <w:rPr>
          <w:rFonts w:ascii="Arial" w:hAnsi="Arial" w:cs="Arial"/>
        </w:rPr>
        <w:t xml:space="preserve"> key elements </w:t>
      </w:r>
      <w:r w:rsidRPr="003715AA">
        <w:rPr>
          <w:rFonts w:ascii="Arial" w:hAnsi="Arial" w:cs="Arial"/>
        </w:rPr>
        <w:t xml:space="preserve">are </w:t>
      </w:r>
      <w:r w:rsidR="006B3DF3">
        <w:rPr>
          <w:rFonts w:ascii="Arial" w:hAnsi="Arial" w:cs="Arial"/>
        </w:rPr>
        <w:t xml:space="preserve">that there </w:t>
      </w:r>
      <w:r w:rsidR="00013A0E">
        <w:rPr>
          <w:rFonts w:ascii="Arial" w:hAnsi="Arial" w:cs="Arial"/>
        </w:rPr>
        <w:t xml:space="preserve">is </w:t>
      </w:r>
      <w:r w:rsidR="00013A0E" w:rsidRPr="003715AA">
        <w:rPr>
          <w:rFonts w:ascii="Arial" w:hAnsi="Arial" w:cs="Arial"/>
        </w:rPr>
        <w:t>a</w:t>
      </w:r>
      <w:r w:rsidR="009C5CB4" w:rsidRPr="003715AA">
        <w:rPr>
          <w:rFonts w:ascii="Arial" w:hAnsi="Arial" w:cs="Arial"/>
        </w:rPr>
        <w:t xml:space="preserve"> settlor who provides the trust </w:t>
      </w:r>
      <w:r w:rsidR="00013A0E" w:rsidRPr="003715AA">
        <w:rPr>
          <w:rFonts w:ascii="Arial" w:hAnsi="Arial" w:cs="Arial"/>
        </w:rPr>
        <w:t xml:space="preserve">property; </w:t>
      </w:r>
      <w:r w:rsidR="00013A0E">
        <w:rPr>
          <w:rFonts w:ascii="Arial" w:hAnsi="Arial" w:cs="Arial"/>
        </w:rPr>
        <w:t>but</w:t>
      </w:r>
      <w:r w:rsidR="006B3DF3">
        <w:rPr>
          <w:rFonts w:ascii="Arial" w:hAnsi="Arial" w:cs="Arial"/>
        </w:rPr>
        <w:t xml:space="preserve"> there is separation between ownership and management – so </w:t>
      </w:r>
      <w:r w:rsidR="009C5CB4" w:rsidRPr="003715AA">
        <w:rPr>
          <w:rFonts w:ascii="Arial" w:hAnsi="Arial" w:cs="Arial"/>
        </w:rPr>
        <w:t xml:space="preserve">trustees who hold the trust property subject to a range of duties and powers; and beneficiaries for whose </w:t>
      </w:r>
      <w:r w:rsidR="00013A0E" w:rsidRPr="003715AA">
        <w:rPr>
          <w:rFonts w:ascii="Arial" w:hAnsi="Arial" w:cs="Arial"/>
        </w:rPr>
        <w:t>benefit the</w:t>
      </w:r>
      <w:r w:rsidR="009C5CB4" w:rsidRPr="003715AA">
        <w:rPr>
          <w:rFonts w:ascii="Arial" w:hAnsi="Arial" w:cs="Arial"/>
        </w:rPr>
        <w:t xml:space="preserve"> trust exists and for whom the trustees hold and administer the trust property</w:t>
      </w:r>
      <w:r w:rsidR="00013A0E" w:rsidRPr="003715AA">
        <w:rPr>
          <w:rFonts w:ascii="Arial" w:hAnsi="Arial" w:cs="Arial"/>
        </w:rPr>
        <w:t xml:space="preserve">. </w:t>
      </w:r>
      <w:r w:rsidR="00A558D6">
        <w:rPr>
          <w:rFonts w:ascii="Arial" w:hAnsi="Arial" w:cs="Arial"/>
        </w:rPr>
        <w:t xml:space="preserve">In this </w:t>
      </w:r>
      <w:r w:rsidR="00B13BAC">
        <w:rPr>
          <w:rFonts w:ascii="Arial" w:hAnsi="Arial" w:cs="Arial"/>
        </w:rPr>
        <w:t xml:space="preserve">way </w:t>
      </w:r>
      <w:r w:rsidR="00B13BAC" w:rsidRPr="003715AA">
        <w:rPr>
          <w:rFonts w:ascii="Arial" w:hAnsi="Arial" w:cs="Arial"/>
        </w:rPr>
        <w:t>a</w:t>
      </w:r>
      <w:r w:rsidRPr="003715AA">
        <w:rPr>
          <w:rFonts w:ascii="Arial" w:hAnsi="Arial" w:cs="Arial"/>
        </w:rPr>
        <w:t xml:space="preserve"> </w:t>
      </w:r>
      <w:r w:rsidR="001551E2" w:rsidRPr="003715AA">
        <w:rPr>
          <w:rFonts w:ascii="Arial" w:hAnsi="Arial" w:cs="Arial"/>
        </w:rPr>
        <w:t>trust</w:t>
      </w:r>
      <w:r w:rsidR="00840D96" w:rsidRPr="003715AA">
        <w:rPr>
          <w:rFonts w:ascii="Arial" w:hAnsi="Arial" w:cs="Arial"/>
        </w:rPr>
        <w:t xml:space="preserve"> </w:t>
      </w:r>
      <w:r w:rsidR="001B628B" w:rsidRPr="003715AA">
        <w:rPr>
          <w:rFonts w:ascii="Arial" w:hAnsi="Arial" w:cs="Arial"/>
        </w:rPr>
        <w:t xml:space="preserve">is a </w:t>
      </w:r>
      <w:r w:rsidR="00A558D6">
        <w:rPr>
          <w:rFonts w:ascii="Arial" w:hAnsi="Arial" w:cs="Arial"/>
        </w:rPr>
        <w:t>method</w:t>
      </w:r>
      <w:r w:rsidR="001B628B" w:rsidRPr="003715AA">
        <w:rPr>
          <w:rFonts w:ascii="Arial" w:hAnsi="Arial" w:cs="Arial"/>
        </w:rPr>
        <w:t xml:space="preserve"> </w:t>
      </w:r>
      <w:r w:rsidR="00B13BAC" w:rsidRPr="003715AA">
        <w:rPr>
          <w:rFonts w:ascii="Arial" w:hAnsi="Arial" w:cs="Arial"/>
        </w:rPr>
        <w:t>of establishing</w:t>
      </w:r>
      <w:r w:rsidR="00EC6C09" w:rsidRPr="003715AA">
        <w:rPr>
          <w:rFonts w:ascii="Arial" w:hAnsi="Arial" w:cs="Arial"/>
        </w:rPr>
        <w:t xml:space="preserve"> a duty </w:t>
      </w:r>
      <w:r w:rsidR="001B628B" w:rsidRPr="003715AA">
        <w:rPr>
          <w:rFonts w:ascii="Arial" w:hAnsi="Arial" w:cs="Arial"/>
        </w:rPr>
        <w:t xml:space="preserve">either </w:t>
      </w:r>
      <w:r w:rsidR="00EC6C09" w:rsidRPr="003715AA">
        <w:rPr>
          <w:rFonts w:ascii="Arial" w:hAnsi="Arial" w:cs="Arial"/>
        </w:rPr>
        <w:t>upon oneself</w:t>
      </w:r>
      <w:r w:rsidR="001B628B" w:rsidRPr="003715AA">
        <w:rPr>
          <w:rFonts w:ascii="Arial" w:hAnsi="Arial" w:cs="Arial"/>
        </w:rPr>
        <w:t xml:space="preserve"> or </w:t>
      </w:r>
      <w:r w:rsidR="00EC6C09" w:rsidRPr="003715AA">
        <w:rPr>
          <w:rFonts w:ascii="Arial" w:hAnsi="Arial" w:cs="Arial"/>
        </w:rPr>
        <w:t xml:space="preserve">another person, to hold some form of property, whether tangible or intangible, real or personal, for the benefit of another person. </w:t>
      </w:r>
      <w:r w:rsidR="00013A0E">
        <w:rPr>
          <w:rFonts w:ascii="Arial" w:hAnsi="Arial" w:cs="Arial"/>
        </w:rPr>
        <w:t xml:space="preserve">The </w:t>
      </w:r>
      <w:r w:rsidR="00013A0E" w:rsidRPr="003715AA">
        <w:rPr>
          <w:rFonts w:ascii="Arial" w:hAnsi="Arial" w:cs="Arial"/>
        </w:rPr>
        <w:t>individual</w:t>
      </w:r>
      <w:r w:rsidR="00B13BAC" w:rsidRPr="003715AA">
        <w:rPr>
          <w:rFonts w:ascii="Arial" w:hAnsi="Arial" w:cs="Arial"/>
        </w:rPr>
        <w:t xml:space="preserve"> with</w:t>
      </w:r>
      <w:r w:rsidR="00EC6C09" w:rsidRPr="003715AA">
        <w:rPr>
          <w:rFonts w:ascii="Arial" w:hAnsi="Arial" w:cs="Arial"/>
        </w:rPr>
        <w:t xml:space="preserve"> the duty, i.e., the trustee(s), holds the property and acts in accordance with the best interests of those who are to benefit from it, i.e., the beneficiaries</w:t>
      </w:r>
      <w:r w:rsidR="006B3DF3">
        <w:rPr>
          <w:rFonts w:ascii="Arial" w:hAnsi="Arial" w:cs="Arial"/>
        </w:rPr>
        <w:t xml:space="preserve"> (Barr &amp; Picton 2022)</w:t>
      </w:r>
      <w:r w:rsidR="00B13BAC" w:rsidRPr="003715AA">
        <w:rPr>
          <w:rFonts w:ascii="Arial" w:hAnsi="Arial" w:cs="Arial"/>
        </w:rPr>
        <w:t xml:space="preserve">. </w:t>
      </w:r>
      <w:r w:rsidR="0050794F" w:rsidRPr="003715AA">
        <w:rPr>
          <w:rFonts w:ascii="Arial" w:hAnsi="Arial" w:cs="Arial"/>
        </w:rPr>
        <w:t xml:space="preserve">The </w:t>
      </w:r>
      <w:r w:rsidR="0050794F">
        <w:rPr>
          <w:rFonts w:ascii="Arial" w:hAnsi="Arial" w:cs="Arial"/>
        </w:rPr>
        <w:t>idea</w:t>
      </w:r>
      <w:r w:rsidR="00A558D6">
        <w:rPr>
          <w:rFonts w:ascii="Arial" w:hAnsi="Arial" w:cs="Arial"/>
        </w:rPr>
        <w:t xml:space="preserve"> of </w:t>
      </w:r>
      <w:r w:rsidR="001B628B" w:rsidRPr="003715AA">
        <w:rPr>
          <w:rFonts w:ascii="Arial" w:hAnsi="Arial" w:cs="Arial"/>
        </w:rPr>
        <w:t xml:space="preserve">trust evolved </w:t>
      </w:r>
      <w:r w:rsidR="007722EB" w:rsidRPr="003715AA">
        <w:rPr>
          <w:rFonts w:ascii="Arial" w:hAnsi="Arial" w:cs="Arial"/>
        </w:rPr>
        <w:t xml:space="preserve">as a product of </w:t>
      </w:r>
      <w:r w:rsidR="0050794F" w:rsidRPr="003715AA">
        <w:rPr>
          <w:rFonts w:ascii="Arial" w:hAnsi="Arial" w:cs="Arial"/>
        </w:rPr>
        <w:t>equity;</w:t>
      </w:r>
      <w:r w:rsidR="007722EB" w:rsidRPr="003715AA">
        <w:rPr>
          <w:rFonts w:ascii="Arial" w:hAnsi="Arial" w:cs="Arial"/>
        </w:rPr>
        <w:t xml:space="preserve"> </w:t>
      </w:r>
      <w:r w:rsidR="001B628B" w:rsidRPr="003715AA">
        <w:rPr>
          <w:rFonts w:ascii="Arial" w:hAnsi="Arial" w:cs="Arial"/>
        </w:rPr>
        <w:t xml:space="preserve">a </w:t>
      </w:r>
      <w:r w:rsidR="00AC4AAF" w:rsidRPr="003715AA">
        <w:rPr>
          <w:rFonts w:ascii="Arial" w:hAnsi="Arial" w:cs="Arial"/>
        </w:rPr>
        <w:t xml:space="preserve">term </w:t>
      </w:r>
      <w:r w:rsidR="001B628B" w:rsidRPr="003715AA">
        <w:rPr>
          <w:rFonts w:ascii="Arial" w:hAnsi="Arial" w:cs="Arial"/>
        </w:rPr>
        <w:t xml:space="preserve">used to define </w:t>
      </w:r>
      <w:r w:rsidR="00A558D6">
        <w:rPr>
          <w:rFonts w:ascii="Arial" w:hAnsi="Arial" w:cs="Arial"/>
        </w:rPr>
        <w:t xml:space="preserve">the </w:t>
      </w:r>
      <w:r w:rsidR="001B628B" w:rsidRPr="001B628B">
        <w:rPr>
          <w:rFonts w:ascii="Arial" w:hAnsi="Arial" w:cs="Arial"/>
        </w:rPr>
        <w:t xml:space="preserve">concept </w:t>
      </w:r>
      <w:r w:rsidR="0050794F" w:rsidRPr="001B628B">
        <w:rPr>
          <w:rFonts w:ascii="Arial" w:hAnsi="Arial" w:cs="Arial"/>
        </w:rPr>
        <w:t>of fairness</w:t>
      </w:r>
      <w:r w:rsidR="001B628B" w:rsidRPr="001B628B">
        <w:rPr>
          <w:rFonts w:ascii="Arial" w:hAnsi="Arial" w:cs="Arial"/>
        </w:rPr>
        <w:t>. E</w:t>
      </w:r>
      <w:r w:rsidR="00AE0EF9" w:rsidRPr="001B628B">
        <w:rPr>
          <w:rFonts w:ascii="Arial" w:hAnsi="Arial" w:cs="Arial"/>
        </w:rPr>
        <w:t xml:space="preserve">quity has always fundamentally been concerned with producing the most just outcome in </w:t>
      </w:r>
      <w:r w:rsidR="00B13BAC" w:rsidRPr="001B628B">
        <w:rPr>
          <w:rFonts w:ascii="Arial" w:hAnsi="Arial" w:cs="Arial"/>
        </w:rPr>
        <w:t>any individual</w:t>
      </w:r>
      <w:r w:rsidR="00AE0EF9" w:rsidRPr="001B628B">
        <w:rPr>
          <w:rFonts w:ascii="Arial" w:hAnsi="Arial" w:cs="Arial"/>
        </w:rPr>
        <w:t xml:space="preserve"> case</w:t>
      </w:r>
      <w:r w:rsidR="00D57EF6">
        <w:rPr>
          <w:rFonts w:ascii="Arial" w:hAnsi="Arial" w:cs="Arial"/>
        </w:rPr>
        <w:t>, so,</w:t>
      </w:r>
      <w:r w:rsidR="001B628B" w:rsidRPr="001B628B">
        <w:rPr>
          <w:rFonts w:ascii="Arial" w:hAnsi="Arial" w:cs="Arial"/>
        </w:rPr>
        <w:t xml:space="preserve"> the </w:t>
      </w:r>
      <w:r w:rsidR="00A558D6">
        <w:rPr>
          <w:rFonts w:ascii="Arial" w:hAnsi="Arial" w:cs="Arial"/>
        </w:rPr>
        <w:t>notion</w:t>
      </w:r>
      <w:r w:rsidR="001B628B" w:rsidRPr="001B628B">
        <w:rPr>
          <w:rFonts w:ascii="Arial" w:hAnsi="Arial" w:cs="Arial"/>
        </w:rPr>
        <w:t xml:space="preserve"> of trust </w:t>
      </w:r>
      <w:r w:rsidR="003F3BDF" w:rsidRPr="001B628B">
        <w:rPr>
          <w:rFonts w:ascii="Arial" w:hAnsi="Arial" w:cs="Arial"/>
        </w:rPr>
        <w:t xml:space="preserve">cannot be </w:t>
      </w:r>
      <w:r w:rsidR="000C0F45" w:rsidRPr="001B628B">
        <w:rPr>
          <w:rFonts w:ascii="Arial" w:hAnsi="Arial" w:cs="Arial"/>
        </w:rPr>
        <w:t>fully explain</w:t>
      </w:r>
      <w:r w:rsidR="00C806CC" w:rsidRPr="001B628B">
        <w:rPr>
          <w:rFonts w:ascii="Arial" w:hAnsi="Arial" w:cs="Arial"/>
        </w:rPr>
        <w:t xml:space="preserve">ed without </w:t>
      </w:r>
      <w:r w:rsidR="001B628B" w:rsidRPr="001B628B">
        <w:rPr>
          <w:rFonts w:ascii="Arial" w:hAnsi="Arial" w:cs="Arial"/>
        </w:rPr>
        <w:t xml:space="preserve">also </w:t>
      </w:r>
      <w:r w:rsidR="00C806CC" w:rsidRPr="001B628B">
        <w:rPr>
          <w:rFonts w:ascii="Arial" w:hAnsi="Arial" w:cs="Arial"/>
        </w:rPr>
        <w:t>discussing equity, due to the extent to which they are interlinked</w:t>
      </w:r>
      <w:r>
        <w:rPr>
          <w:rFonts w:ascii="Arial" w:hAnsi="Arial" w:cs="Arial"/>
        </w:rPr>
        <w:t xml:space="preserve"> (Edwards &amp; Stockwell, 2015)</w:t>
      </w:r>
      <w:r w:rsidR="00A558D6">
        <w:rPr>
          <w:rFonts w:ascii="Arial" w:hAnsi="Arial" w:cs="Arial"/>
        </w:rPr>
        <w:t xml:space="preserve">. </w:t>
      </w:r>
    </w:p>
    <w:p w14:paraId="324FCEFA" w14:textId="77777777" w:rsidR="00D57EF6" w:rsidRDefault="001B628B" w:rsidP="003917CE">
      <w:pPr>
        <w:spacing w:line="480" w:lineRule="auto"/>
        <w:rPr>
          <w:rFonts w:ascii="Arial" w:hAnsi="Arial" w:cs="Arial"/>
        </w:rPr>
      </w:pPr>
      <w:r w:rsidRPr="001B628B">
        <w:rPr>
          <w:rFonts w:ascii="Arial" w:hAnsi="Arial" w:cs="Arial"/>
        </w:rPr>
        <w:t>T</w:t>
      </w:r>
      <w:r w:rsidR="00762A02">
        <w:rPr>
          <w:rFonts w:ascii="Arial" w:hAnsi="Arial" w:cs="Arial"/>
        </w:rPr>
        <w:t>o</w:t>
      </w:r>
      <w:r w:rsidR="00F32234" w:rsidRPr="001B628B">
        <w:rPr>
          <w:rFonts w:ascii="Arial" w:hAnsi="Arial" w:cs="Arial"/>
        </w:rPr>
        <w:t xml:space="preserve"> answer this essay question</w:t>
      </w:r>
      <w:r w:rsidRPr="001B628B">
        <w:rPr>
          <w:rFonts w:ascii="Arial" w:hAnsi="Arial" w:cs="Arial"/>
        </w:rPr>
        <w:t xml:space="preserve"> it will be </w:t>
      </w:r>
      <w:r w:rsidR="00B13BAC" w:rsidRPr="001B628B">
        <w:rPr>
          <w:rFonts w:ascii="Arial" w:hAnsi="Arial" w:cs="Arial"/>
        </w:rPr>
        <w:t>essential to</w:t>
      </w:r>
      <w:r w:rsidR="00243E84" w:rsidRPr="001B628B">
        <w:rPr>
          <w:rFonts w:ascii="Arial" w:hAnsi="Arial" w:cs="Arial"/>
        </w:rPr>
        <w:t xml:space="preserve"> explain the historical context behind the development of equity</w:t>
      </w:r>
      <w:r w:rsidR="00A558D6">
        <w:rPr>
          <w:rFonts w:ascii="Arial" w:hAnsi="Arial" w:cs="Arial"/>
        </w:rPr>
        <w:t xml:space="preserve"> as well as</w:t>
      </w:r>
      <w:r w:rsidR="00243E84" w:rsidRPr="001B628B">
        <w:rPr>
          <w:rFonts w:ascii="Arial" w:hAnsi="Arial" w:cs="Arial"/>
        </w:rPr>
        <w:t xml:space="preserve"> </w:t>
      </w:r>
      <w:r w:rsidR="004B2E04" w:rsidRPr="001B628B">
        <w:rPr>
          <w:rFonts w:ascii="Arial" w:hAnsi="Arial" w:cs="Arial"/>
        </w:rPr>
        <w:t>the factors that led to the creation and development of the trust</w:t>
      </w:r>
      <w:r w:rsidR="00762A02">
        <w:rPr>
          <w:rFonts w:ascii="Arial" w:hAnsi="Arial" w:cs="Arial"/>
        </w:rPr>
        <w:t xml:space="preserve">. </w:t>
      </w:r>
      <w:r w:rsidR="00D57EF6">
        <w:rPr>
          <w:rFonts w:ascii="Arial" w:hAnsi="Arial" w:cs="Arial"/>
        </w:rPr>
        <w:t xml:space="preserve"> </w:t>
      </w:r>
      <w:r w:rsidR="00762A02">
        <w:rPr>
          <w:rFonts w:ascii="Arial" w:hAnsi="Arial" w:cs="Arial"/>
        </w:rPr>
        <w:t xml:space="preserve">First it is </w:t>
      </w:r>
      <w:r w:rsidR="004B2E04" w:rsidRPr="001B628B">
        <w:rPr>
          <w:rFonts w:ascii="Arial" w:hAnsi="Arial" w:cs="Arial"/>
        </w:rPr>
        <w:t xml:space="preserve"> necessary to outline the historical development of equity, given that the </w:t>
      </w:r>
      <w:r w:rsidR="004B2E04" w:rsidRPr="00DC6FA7">
        <w:rPr>
          <w:rFonts w:ascii="Arial" w:hAnsi="Arial" w:cs="Arial"/>
        </w:rPr>
        <w:t>trust is viewed as a product of equity.</w:t>
      </w:r>
      <w:r w:rsidR="00DC6FA7" w:rsidRPr="00DC6FA7">
        <w:rPr>
          <w:rFonts w:ascii="Arial" w:hAnsi="Arial" w:cs="Arial"/>
        </w:rPr>
        <w:t xml:space="preserve"> The concept of equity developed through the </w:t>
      </w:r>
      <w:r w:rsidR="004B2E04" w:rsidRPr="00DC6FA7">
        <w:rPr>
          <w:rFonts w:ascii="Arial" w:hAnsi="Arial" w:cs="Arial"/>
        </w:rPr>
        <w:t xml:space="preserve">Court of Chancery, i.e., the </w:t>
      </w:r>
      <w:r w:rsidR="00730201">
        <w:rPr>
          <w:rFonts w:ascii="Arial" w:hAnsi="Arial" w:cs="Arial"/>
        </w:rPr>
        <w:t>C</w:t>
      </w:r>
      <w:r w:rsidR="004B2E04" w:rsidRPr="00DC6FA7">
        <w:rPr>
          <w:rFonts w:ascii="Arial" w:hAnsi="Arial" w:cs="Arial"/>
        </w:rPr>
        <w:t>ourt of the Chancellor</w:t>
      </w:r>
      <w:r w:rsidR="00DC6FA7" w:rsidRPr="00DC6FA7">
        <w:rPr>
          <w:rFonts w:ascii="Arial" w:hAnsi="Arial" w:cs="Arial"/>
        </w:rPr>
        <w:t xml:space="preserve"> (McDonald &amp; Street, 2022)</w:t>
      </w:r>
      <w:r w:rsidR="004B2E04" w:rsidRPr="00DC6FA7">
        <w:rPr>
          <w:rFonts w:ascii="Arial" w:hAnsi="Arial" w:cs="Arial"/>
        </w:rPr>
        <w:t xml:space="preserve">. The Chancellor </w:t>
      </w:r>
      <w:r w:rsidR="00013A0E" w:rsidRPr="00DC6FA7">
        <w:rPr>
          <w:rFonts w:ascii="Arial" w:hAnsi="Arial" w:cs="Arial"/>
        </w:rPr>
        <w:t>was the</w:t>
      </w:r>
      <w:r w:rsidR="004B2E04" w:rsidRPr="00DC6FA7">
        <w:rPr>
          <w:rFonts w:ascii="Arial" w:hAnsi="Arial" w:cs="Arial"/>
        </w:rPr>
        <w:t xml:space="preserve"> most senior </w:t>
      </w:r>
      <w:r w:rsidR="00A9716A">
        <w:rPr>
          <w:rFonts w:ascii="Arial" w:hAnsi="Arial" w:cs="Arial"/>
        </w:rPr>
        <w:t xml:space="preserve">Royal Court </w:t>
      </w:r>
      <w:r w:rsidR="00B13BAC" w:rsidRPr="00DC6FA7">
        <w:rPr>
          <w:rFonts w:ascii="Arial" w:hAnsi="Arial" w:cs="Arial"/>
        </w:rPr>
        <w:t>official tasked</w:t>
      </w:r>
      <w:r w:rsidR="004B2E04" w:rsidRPr="00DC6FA7">
        <w:rPr>
          <w:rFonts w:ascii="Arial" w:hAnsi="Arial" w:cs="Arial"/>
        </w:rPr>
        <w:t xml:space="preserve"> with issuing wr</w:t>
      </w:r>
      <w:r w:rsidR="00DC6FA7" w:rsidRPr="00DC6FA7">
        <w:rPr>
          <w:rFonts w:ascii="Arial" w:hAnsi="Arial" w:cs="Arial"/>
        </w:rPr>
        <w:t xml:space="preserve">its </w:t>
      </w:r>
      <w:r w:rsidR="00013A0E" w:rsidRPr="00DC6FA7">
        <w:rPr>
          <w:rFonts w:ascii="Arial" w:hAnsi="Arial" w:cs="Arial"/>
        </w:rPr>
        <w:t>(</w:t>
      </w:r>
      <w:r w:rsidR="00013A0E" w:rsidRPr="00DC6FA7">
        <w:rPr>
          <w:rFonts w:ascii="Roboto" w:hAnsi="Roboto"/>
          <w:color w:val="111111"/>
          <w:shd w:val="clear" w:color="auto" w:fill="FFFFFF"/>
        </w:rPr>
        <w:t>a</w:t>
      </w:r>
      <w:r w:rsidR="00DC6FA7" w:rsidRPr="00DC6FA7">
        <w:rPr>
          <w:rFonts w:ascii="Roboto" w:hAnsi="Roboto"/>
          <w:color w:val="111111"/>
          <w:shd w:val="clear" w:color="auto" w:fill="FFFFFF"/>
        </w:rPr>
        <w:t xml:space="preserve"> form of written command in the name of a court or other legal authority to act, or abstain from acting, in a particular way)</w:t>
      </w:r>
      <w:r w:rsidR="00DC6FA7">
        <w:t xml:space="preserve"> </w:t>
      </w:r>
      <w:r w:rsidR="004B2E04" w:rsidRPr="001B628B">
        <w:rPr>
          <w:rFonts w:ascii="Arial" w:hAnsi="Arial" w:cs="Arial"/>
        </w:rPr>
        <w:t xml:space="preserve">which determined </w:t>
      </w:r>
      <w:r w:rsidR="004B2E04" w:rsidRPr="001B628B">
        <w:rPr>
          <w:rFonts w:ascii="Arial" w:hAnsi="Arial" w:cs="Arial"/>
        </w:rPr>
        <w:lastRenderedPageBreak/>
        <w:t>how and if a claimant could bring an action before the court. Thus, a claimant could only bring a case if it fell within an established writ</w:t>
      </w:r>
      <w:r w:rsidR="004B2E04">
        <w:rPr>
          <w:rFonts w:ascii="Arial" w:hAnsi="Arial" w:cs="Arial"/>
        </w:rPr>
        <w:t xml:space="preserve"> (Penner, 2022)</w:t>
      </w:r>
      <w:r w:rsidR="00B13BAC">
        <w:rPr>
          <w:rFonts w:ascii="Arial" w:hAnsi="Arial" w:cs="Arial"/>
        </w:rPr>
        <w:t xml:space="preserve">. </w:t>
      </w:r>
    </w:p>
    <w:p w14:paraId="3EE58558" w14:textId="06667609" w:rsidR="003917CE" w:rsidRPr="00D57EF6" w:rsidRDefault="004B2E04" w:rsidP="003917CE">
      <w:pPr>
        <w:spacing w:line="480" w:lineRule="auto"/>
        <w:rPr>
          <w:rFonts w:ascii="Arial" w:hAnsi="Arial" w:cs="Arial"/>
        </w:rPr>
      </w:pPr>
      <w:r w:rsidRPr="001B628B">
        <w:rPr>
          <w:rFonts w:ascii="Arial" w:hAnsi="Arial" w:cs="Arial"/>
        </w:rPr>
        <w:t>Ramjohn (2019) states that ‘writs covered a narrow umbrella of claims’, going on to explain that even if a claim fell within the scope of an existing writ, it did not necessarily mean that the claimant would gain ‘justice before a common law court’. Arguably</w:t>
      </w:r>
      <w:r w:rsidR="00A9716A">
        <w:rPr>
          <w:rFonts w:ascii="Arial" w:hAnsi="Arial" w:cs="Arial"/>
        </w:rPr>
        <w:t xml:space="preserve">, according to Ramjohn (2019), it was even more unfair </w:t>
      </w:r>
      <w:r w:rsidRPr="001B628B">
        <w:rPr>
          <w:rFonts w:ascii="Arial" w:hAnsi="Arial" w:cs="Arial"/>
        </w:rPr>
        <w:t>that</w:t>
      </w:r>
      <w:r>
        <w:rPr>
          <w:rFonts w:ascii="Arial" w:hAnsi="Arial" w:cs="Arial"/>
        </w:rPr>
        <w:t xml:space="preserve">, under common law, </w:t>
      </w:r>
      <w:r w:rsidRPr="001B628B">
        <w:rPr>
          <w:rFonts w:ascii="Arial" w:hAnsi="Arial" w:cs="Arial"/>
        </w:rPr>
        <w:t>if no writ existed to cover the nature of the intended claim,  no action could be brought by the litigant, regardless of how strong their case was,</w:t>
      </w:r>
      <w:r>
        <w:rPr>
          <w:rFonts w:ascii="Arial" w:hAnsi="Arial" w:cs="Arial"/>
        </w:rPr>
        <w:t xml:space="preserve"> meaning that there was an</w:t>
      </w:r>
      <w:r w:rsidRPr="001B628B">
        <w:rPr>
          <w:rFonts w:ascii="Arial" w:hAnsi="Arial" w:cs="Arial"/>
        </w:rPr>
        <w:t xml:space="preserve"> inherent limit</w:t>
      </w:r>
      <w:r>
        <w:rPr>
          <w:rFonts w:ascii="Arial" w:hAnsi="Arial" w:cs="Arial"/>
        </w:rPr>
        <w:t>ation on</w:t>
      </w:r>
      <w:r w:rsidRPr="001B628B">
        <w:rPr>
          <w:rFonts w:ascii="Arial" w:hAnsi="Arial" w:cs="Arial"/>
        </w:rPr>
        <w:t xml:space="preserve"> achieving justice </w:t>
      </w:r>
      <w:r>
        <w:rPr>
          <w:rFonts w:ascii="Arial" w:hAnsi="Arial" w:cs="Arial"/>
        </w:rPr>
        <w:t>under</w:t>
      </w:r>
      <w:r w:rsidRPr="001B628B">
        <w:rPr>
          <w:rFonts w:ascii="Arial" w:hAnsi="Arial" w:cs="Arial"/>
        </w:rPr>
        <w:t xml:space="preserve"> </w:t>
      </w:r>
      <w:r>
        <w:rPr>
          <w:rFonts w:ascii="Arial" w:hAnsi="Arial" w:cs="Arial"/>
        </w:rPr>
        <w:t>common</w:t>
      </w:r>
      <w:r w:rsidRPr="001B628B">
        <w:rPr>
          <w:rFonts w:ascii="Arial" w:hAnsi="Arial" w:cs="Arial"/>
        </w:rPr>
        <w:t xml:space="preserve"> law. </w:t>
      </w:r>
    </w:p>
    <w:p w14:paraId="13E4E8A8" w14:textId="7B3F6452" w:rsidR="001F51C8" w:rsidRPr="003917CE" w:rsidRDefault="006E6877" w:rsidP="003917CE">
      <w:pPr>
        <w:spacing w:line="480" w:lineRule="auto"/>
      </w:pPr>
      <w:r w:rsidRPr="005E557F">
        <w:rPr>
          <w:rFonts w:ascii="Arial" w:eastAsia="Times New Roman" w:hAnsi="Arial" w:cs="Arial"/>
          <w:lang w:eastAsia="en-GB"/>
        </w:rPr>
        <w:t xml:space="preserve">At the end of the 13th century, the complex </w:t>
      </w:r>
      <w:r w:rsidR="00B13BAC" w:rsidRPr="005E557F">
        <w:rPr>
          <w:rFonts w:ascii="Arial" w:eastAsia="Times New Roman" w:hAnsi="Arial" w:cs="Arial"/>
          <w:lang w:eastAsia="en-GB"/>
        </w:rPr>
        <w:t>structure of</w:t>
      </w:r>
      <w:r w:rsidRPr="005E557F">
        <w:rPr>
          <w:rFonts w:ascii="Arial" w:eastAsia="Times New Roman" w:hAnsi="Arial" w:cs="Arial"/>
          <w:lang w:eastAsia="en-GB"/>
        </w:rPr>
        <w:t xml:space="preserve"> the</w:t>
      </w:r>
      <w:r w:rsidR="003917CE">
        <w:rPr>
          <w:rFonts w:ascii="Arial" w:eastAsia="Times New Roman" w:hAnsi="Arial" w:cs="Arial"/>
          <w:lang w:eastAsia="en-GB"/>
        </w:rPr>
        <w:t xml:space="preserve"> way that claims could be brought </w:t>
      </w:r>
      <w:r w:rsidR="00013A0E" w:rsidRPr="005E557F">
        <w:rPr>
          <w:rFonts w:ascii="Arial" w:eastAsia="Times New Roman" w:hAnsi="Arial" w:cs="Arial"/>
          <w:lang w:eastAsia="en-GB"/>
        </w:rPr>
        <w:t xml:space="preserve">caused </w:t>
      </w:r>
      <w:r w:rsidR="00013A0E">
        <w:rPr>
          <w:rFonts w:ascii="Arial" w:eastAsia="Times New Roman" w:hAnsi="Arial" w:cs="Arial"/>
          <w:lang w:eastAsia="en-GB"/>
        </w:rPr>
        <w:t>much</w:t>
      </w:r>
      <w:r w:rsidR="003917CE">
        <w:rPr>
          <w:rFonts w:ascii="Arial" w:eastAsia="Times New Roman" w:hAnsi="Arial" w:cs="Arial"/>
          <w:lang w:eastAsia="en-GB"/>
        </w:rPr>
        <w:t xml:space="preserve"> </w:t>
      </w:r>
      <w:r w:rsidR="001F51C8" w:rsidRPr="005E557F">
        <w:rPr>
          <w:rFonts w:ascii="Arial" w:eastAsia="Times New Roman" w:hAnsi="Arial" w:cs="Arial"/>
          <w:lang w:eastAsia="en-GB"/>
        </w:rPr>
        <w:t>confusion and</w:t>
      </w:r>
      <w:r w:rsidRPr="005E557F">
        <w:rPr>
          <w:rFonts w:ascii="Arial" w:eastAsia="Times New Roman" w:hAnsi="Arial" w:cs="Arial"/>
          <w:lang w:eastAsia="en-GB"/>
        </w:rPr>
        <w:t xml:space="preserve"> often resulted in denying justice to deserving </w:t>
      </w:r>
      <w:r w:rsidR="00013A0E" w:rsidRPr="005E557F">
        <w:rPr>
          <w:rFonts w:ascii="Arial" w:eastAsia="Times New Roman" w:hAnsi="Arial" w:cs="Arial"/>
          <w:lang w:eastAsia="en-GB"/>
        </w:rPr>
        <w:t>plaintiffs</w:t>
      </w:r>
      <w:r w:rsidR="00013A0E">
        <w:rPr>
          <w:rFonts w:ascii="Arial" w:eastAsia="Times New Roman" w:hAnsi="Arial" w:cs="Arial"/>
          <w:lang w:eastAsia="en-GB"/>
        </w:rPr>
        <w:t xml:space="preserve"> (</w:t>
      </w:r>
      <w:r w:rsidR="003917CE">
        <w:rPr>
          <w:rFonts w:ascii="Arial" w:eastAsia="Times New Roman" w:hAnsi="Arial" w:cs="Arial"/>
          <w:lang w:eastAsia="en-GB"/>
        </w:rPr>
        <w:t>Haskett, 1996)</w:t>
      </w:r>
      <w:r w:rsidR="00A9716A">
        <w:rPr>
          <w:rFonts w:ascii="Arial" w:eastAsia="Times New Roman" w:hAnsi="Arial" w:cs="Arial"/>
          <w:lang w:eastAsia="en-GB"/>
        </w:rPr>
        <w:t>.</w:t>
      </w:r>
      <w:r w:rsidR="00DC6FA7" w:rsidRPr="005E557F">
        <w:rPr>
          <w:rFonts w:ascii="Arial" w:eastAsia="Times New Roman" w:hAnsi="Arial" w:cs="Arial"/>
          <w:lang w:eastAsia="en-GB"/>
        </w:rPr>
        <w:t xml:space="preserve"> </w:t>
      </w:r>
      <w:r w:rsidR="008C307D" w:rsidRPr="003917CE">
        <w:rPr>
          <w:rFonts w:ascii="Arial" w:hAnsi="Arial" w:cs="Arial"/>
        </w:rPr>
        <w:t>Because of th</w:t>
      </w:r>
      <w:r w:rsidR="001F51C8" w:rsidRPr="003917CE">
        <w:rPr>
          <w:rFonts w:ascii="Arial" w:hAnsi="Arial" w:cs="Arial"/>
        </w:rPr>
        <w:t>e</w:t>
      </w:r>
      <w:r w:rsidR="008C307D" w:rsidRPr="003917CE">
        <w:rPr>
          <w:rFonts w:ascii="Arial" w:hAnsi="Arial" w:cs="Arial"/>
        </w:rPr>
        <w:t xml:space="preserve"> </w:t>
      </w:r>
      <w:r w:rsidR="003E3ED2" w:rsidRPr="003917CE">
        <w:rPr>
          <w:rFonts w:ascii="Arial" w:hAnsi="Arial" w:cs="Arial"/>
        </w:rPr>
        <w:t>rigidity of the common law system</w:t>
      </w:r>
      <w:r w:rsidR="0019613A" w:rsidRPr="003917CE">
        <w:rPr>
          <w:rFonts w:ascii="Arial" w:hAnsi="Arial" w:cs="Arial"/>
        </w:rPr>
        <w:t xml:space="preserve"> </w:t>
      </w:r>
      <w:r w:rsidR="004371BA" w:rsidRPr="003917CE">
        <w:rPr>
          <w:rFonts w:ascii="Arial" w:hAnsi="Arial" w:cs="Arial"/>
        </w:rPr>
        <w:t>and</w:t>
      </w:r>
      <w:r w:rsidR="0019613A" w:rsidRPr="003917CE">
        <w:rPr>
          <w:rFonts w:ascii="Arial" w:hAnsi="Arial" w:cs="Arial"/>
        </w:rPr>
        <w:t xml:space="preserve"> because of</w:t>
      </w:r>
      <w:r w:rsidR="004371BA" w:rsidRPr="003917CE">
        <w:rPr>
          <w:rFonts w:ascii="Arial" w:hAnsi="Arial" w:cs="Arial"/>
        </w:rPr>
        <w:t xml:space="preserve"> the inherently limited scope for justice</w:t>
      </w:r>
      <w:r w:rsidR="00CC0C87" w:rsidRPr="003917CE">
        <w:rPr>
          <w:rFonts w:ascii="Arial" w:hAnsi="Arial" w:cs="Arial"/>
        </w:rPr>
        <w:t xml:space="preserve"> associated with it, </w:t>
      </w:r>
      <w:r w:rsidR="00456C81" w:rsidRPr="003917CE">
        <w:rPr>
          <w:rFonts w:ascii="Arial" w:hAnsi="Arial" w:cs="Arial"/>
        </w:rPr>
        <w:t>those without a potential route for a claim, i.e., those who could not bring their case under one of the established writs</w:t>
      </w:r>
      <w:r w:rsidR="002405B9" w:rsidRPr="003917CE">
        <w:rPr>
          <w:rFonts w:ascii="Arial" w:hAnsi="Arial" w:cs="Arial"/>
        </w:rPr>
        <w:t xml:space="preserve"> in the common law</w:t>
      </w:r>
      <w:r w:rsidR="00456C81" w:rsidRPr="003917CE">
        <w:rPr>
          <w:rFonts w:ascii="Arial" w:hAnsi="Arial" w:cs="Arial"/>
        </w:rPr>
        <w:t xml:space="preserve">, would seek to bring their case before the King, with the hope that he would exercise his </w:t>
      </w:r>
      <w:r w:rsidR="00492E06" w:rsidRPr="003917CE">
        <w:rPr>
          <w:rFonts w:ascii="Arial" w:hAnsi="Arial" w:cs="Arial"/>
        </w:rPr>
        <w:t xml:space="preserve">overarching </w:t>
      </w:r>
      <w:r w:rsidR="00456C81" w:rsidRPr="003917CE">
        <w:rPr>
          <w:rFonts w:ascii="Arial" w:hAnsi="Arial" w:cs="Arial"/>
        </w:rPr>
        <w:t xml:space="preserve">discretion as a means of </w:t>
      </w:r>
      <w:r w:rsidR="00492E06" w:rsidRPr="003917CE">
        <w:rPr>
          <w:rFonts w:ascii="Arial" w:hAnsi="Arial" w:cs="Arial"/>
        </w:rPr>
        <w:t xml:space="preserve">providing </w:t>
      </w:r>
      <w:r w:rsidR="00456C81" w:rsidRPr="003917CE">
        <w:rPr>
          <w:rFonts w:ascii="Arial" w:hAnsi="Arial" w:cs="Arial"/>
        </w:rPr>
        <w:t>them with an appropriate remedy</w:t>
      </w:r>
      <w:r w:rsidR="003917CE">
        <w:rPr>
          <w:rFonts w:ascii="Arial" w:hAnsi="Arial" w:cs="Arial"/>
        </w:rPr>
        <w:t xml:space="preserve"> (Tucker, 2000)</w:t>
      </w:r>
      <w:r w:rsidR="00456C81" w:rsidRPr="003917CE">
        <w:rPr>
          <w:rFonts w:ascii="Arial" w:hAnsi="Arial" w:cs="Arial"/>
        </w:rPr>
        <w:t>.</w:t>
      </w:r>
      <w:r w:rsidR="00FE447F" w:rsidRPr="003917CE">
        <w:rPr>
          <w:rFonts w:ascii="Arial" w:hAnsi="Arial" w:cs="Arial"/>
        </w:rPr>
        <w:t xml:space="preserve"> </w:t>
      </w:r>
      <w:r w:rsidR="005F3D06" w:rsidRPr="003917CE">
        <w:rPr>
          <w:rFonts w:ascii="Arial" w:hAnsi="Arial" w:cs="Arial"/>
        </w:rPr>
        <w:t>This was of c</w:t>
      </w:r>
      <w:r w:rsidR="00492E06" w:rsidRPr="003917CE">
        <w:rPr>
          <w:rFonts w:ascii="Arial" w:hAnsi="Arial" w:cs="Arial"/>
        </w:rPr>
        <w:t xml:space="preserve">learly a cumbersome </w:t>
      </w:r>
      <w:r w:rsidR="00013A0E" w:rsidRPr="003917CE">
        <w:rPr>
          <w:rFonts w:ascii="Arial" w:hAnsi="Arial" w:cs="Arial"/>
        </w:rPr>
        <w:t>and inefficient</w:t>
      </w:r>
      <w:r w:rsidR="00B13BAC" w:rsidRPr="003917CE">
        <w:rPr>
          <w:rFonts w:ascii="Arial" w:hAnsi="Arial" w:cs="Arial"/>
        </w:rPr>
        <w:t xml:space="preserve"> way</w:t>
      </w:r>
      <w:r w:rsidR="005F3D06" w:rsidRPr="003917CE">
        <w:rPr>
          <w:rFonts w:ascii="Arial" w:hAnsi="Arial" w:cs="Arial"/>
        </w:rPr>
        <w:t xml:space="preserve"> of </w:t>
      </w:r>
      <w:r w:rsidR="00181824" w:rsidRPr="003917CE">
        <w:rPr>
          <w:rFonts w:ascii="Arial" w:hAnsi="Arial" w:cs="Arial"/>
        </w:rPr>
        <w:t xml:space="preserve">dealing with claims for individual justice, </w:t>
      </w:r>
      <w:r w:rsidR="00492E06" w:rsidRPr="003917CE">
        <w:rPr>
          <w:rFonts w:ascii="Arial" w:hAnsi="Arial" w:cs="Arial"/>
        </w:rPr>
        <w:t>taking lengthy periods of time</w:t>
      </w:r>
      <w:r w:rsidR="00D57EF6">
        <w:rPr>
          <w:rFonts w:ascii="Arial" w:hAnsi="Arial" w:cs="Arial"/>
        </w:rPr>
        <w:t xml:space="preserve"> and causing</w:t>
      </w:r>
      <w:r w:rsidR="00492E06" w:rsidRPr="003917CE">
        <w:rPr>
          <w:rFonts w:ascii="Arial" w:hAnsi="Arial" w:cs="Arial"/>
        </w:rPr>
        <w:t xml:space="preserve"> a big</w:t>
      </w:r>
      <w:r w:rsidR="005E69AD" w:rsidRPr="003917CE">
        <w:rPr>
          <w:rFonts w:ascii="Arial" w:hAnsi="Arial" w:cs="Arial"/>
        </w:rPr>
        <w:t xml:space="preserve"> backlog of claims </w:t>
      </w:r>
      <w:r w:rsidR="00492E06" w:rsidRPr="003917CE">
        <w:rPr>
          <w:rFonts w:ascii="Arial" w:hAnsi="Arial" w:cs="Arial"/>
        </w:rPr>
        <w:t xml:space="preserve">because of the number </w:t>
      </w:r>
      <w:r w:rsidR="005E69AD" w:rsidRPr="003917CE">
        <w:rPr>
          <w:rFonts w:ascii="Arial" w:hAnsi="Arial" w:cs="Arial"/>
        </w:rPr>
        <w:t>of people seeking redress</w:t>
      </w:r>
      <w:r w:rsidR="000A2D12">
        <w:rPr>
          <w:rFonts w:ascii="Arial" w:hAnsi="Arial" w:cs="Arial"/>
        </w:rPr>
        <w:t xml:space="preserve">, so the Chancellor started to deal with such matters. </w:t>
      </w:r>
      <w:r w:rsidR="00D57EF6">
        <w:rPr>
          <w:rFonts w:ascii="Arial" w:hAnsi="Arial" w:cs="Arial"/>
        </w:rPr>
        <w:t>At the time the</w:t>
      </w:r>
      <w:r w:rsidR="00013A0E">
        <w:rPr>
          <w:rFonts w:ascii="Arial" w:hAnsi="Arial" w:cs="Arial"/>
        </w:rPr>
        <w:t xml:space="preserve"> </w:t>
      </w:r>
      <w:r w:rsidR="00013A0E" w:rsidRPr="003917CE">
        <w:rPr>
          <w:rFonts w:ascii="Arial" w:eastAsia="Times New Roman" w:hAnsi="Arial" w:cs="Arial"/>
          <w:lang w:eastAsia="en-GB"/>
        </w:rPr>
        <w:t>Chancellor</w:t>
      </w:r>
      <w:r w:rsidR="00013A0E">
        <w:rPr>
          <w:rFonts w:ascii="Arial" w:eastAsia="Times New Roman" w:hAnsi="Arial" w:cs="Arial"/>
          <w:lang w:eastAsia="en-GB"/>
        </w:rPr>
        <w:t xml:space="preserve"> was</w:t>
      </w:r>
      <w:r w:rsidR="00A9716A">
        <w:rPr>
          <w:rFonts w:ascii="Arial" w:eastAsia="Times New Roman" w:hAnsi="Arial" w:cs="Arial"/>
          <w:lang w:eastAsia="en-GB"/>
        </w:rPr>
        <w:t xml:space="preserve"> the </w:t>
      </w:r>
      <w:r w:rsidR="00013A0E">
        <w:rPr>
          <w:rFonts w:ascii="Arial" w:eastAsia="Times New Roman" w:hAnsi="Arial" w:cs="Arial"/>
          <w:lang w:eastAsia="en-GB"/>
        </w:rPr>
        <w:t xml:space="preserve">pre-eminent </w:t>
      </w:r>
      <w:r w:rsidR="00013A0E" w:rsidRPr="003917CE">
        <w:rPr>
          <w:rFonts w:ascii="Arial" w:eastAsia="Times New Roman" w:hAnsi="Arial" w:cs="Arial"/>
          <w:lang w:eastAsia="en-GB"/>
        </w:rPr>
        <w:t>member</w:t>
      </w:r>
      <w:r w:rsidRPr="003917CE">
        <w:rPr>
          <w:rFonts w:ascii="Arial" w:eastAsia="Times New Roman" w:hAnsi="Arial" w:cs="Arial"/>
          <w:lang w:eastAsia="en-GB"/>
        </w:rPr>
        <w:t xml:space="preserve"> of the King’s </w:t>
      </w:r>
      <w:r w:rsidR="00013A0E" w:rsidRPr="003917CE">
        <w:rPr>
          <w:rFonts w:ascii="Arial" w:eastAsia="Times New Roman" w:hAnsi="Arial" w:cs="Arial"/>
          <w:lang w:eastAsia="en-GB"/>
        </w:rPr>
        <w:t>council</w:t>
      </w:r>
      <w:r w:rsidR="00D57EF6">
        <w:rPr>
          <w:rFonts w:ascii="Arial" w:eastAsia="Times New Roman" w:hAnsi="Arial" w:cs="Arial"/>
          <w:lang w:eastAsia="en-GB"/>
        </w:rPr>
        <w:t xml:space="preserve"> (</w:t>
      </w:r>
      <w:r w:rsidR="00013A0E" w:rsidRPr="003917CE">
        <w:rPr>
          <w:rFonts w:ascii="Arial" w:eastAsia="Times New Roman" w:hAnsi="Arial" w:cs="Arial"/>
          <w:lang w:eastAsia="en-GB"/>
        </w:rPr>
        <w:t>usually</w:t>
      </w:r>
      <w:r w:rsidRPr="003917CE">
        <w:rPr>
          <w:rFonts w:ascii="Arial" w:eastAsia="Times New Roman" w:hAnsi="Arial" w:cs="Arial"/>
          <w:lang w:eastAsia="en-GB"/>
        </w:rPr>
        <w:t xml:space="preserve"> a </w:t>
      </w:r>
      <w:r w:rsidR="00013A0E" w:rsidRPr="003917CE">
        <w:rPr>
          <w:rFonts w:ascii="Arial" w:eastAsia="Times New Roman" w:hAnsi="Arial" w:cs="Arial"/>
          <w:lang w:eastAsia="en-GB"/>
        </w:rPr>
        <w:t>clergyman and</w:t>
      </w:r>
      <w:r w:rsidRPr="003917CE">
        <w:rPr>
          <w:rFonts w:ascii="Arial" w:eastAsia="Times New Roman" w:hAnsi="Arial" w:cs="Arial"/>
          <w:lang w:eastAsia="en-GB"/>
        </w:rPr>
        <w:t xml:space="preserve"> the King’s confessor</w:t>
      </w:r>
      <w:r w:rsidR="00A9716A">
        <w:rPr>
          <w:rFonts w:ascii="Arial" w:eastAsia="Times New Roman" w:hAnsi="Arial" w:cs="Arial"/>
          <w:lang w:eastAsia="en-GB"/>
        </w:rPr>
        <w:t xml:space="preserve"> </w:t>
      </w:r>
      <w:r w:rsidR="00013A0E">
        <w:rPr>
          <w:rFonts w:ascii="Arial" w:eastAsia="Times New Roman" w:hAnsi="Arial" w:cs="Arial"/>
          <w:lang w:eastAsia="en-GB"/>
        </w:rPr>
        <w:t>i.e.,</w:t>
      </w:r>
      <w:r w:rsidRPr="003917CE">
        <w:rPr>
          <w:rFonts w:ascii="Arial" w:eastAsia="Times New Roman" w:hAnsi="Arial" w:cs="Arial"/>
          <w:lang w:eastAsia="en-GB"/>
        </w:rPr>
        <w:t xml:space="preserve"> </w:t>
      </w:r>
      <w:r w:rsidR="00013A0E" w:rsidRPr="003917CE">
        <w:rPr>
          <w:rFonts w:ascii="Arial" w:eastAsia="Times New Roman" w:hAnsi="Arial" w:cs="Arial"/>
          <w:lang w:eastAsia="en-GB"/>
        </w:rPr>
        <w:t>the</w:t>
      </w:r>
      <w:r w:rsidRPr="003917CE">
        <w:rPr>
          <w:rFonts w:ascii="Arial" w:eastAsia="Times New Roman" w:hAnsi="Arial" w:cs="Arial"/>
          <w:lang w:eastAsia="en-GB"/>
        </w:rPr>
        <w:t xml:space="preserve"> keeper of the King’s conscience</w:t>
      </w:r>
      <w:r w:rsidR="00A9716A">
        <w:rPr>
          <w:rFonts w:ascii="Arial" w:eastAsia="Times New Roman" w:hAnsi="Arial" w:cs="Arial"/>
          <w:lang w:eastAsia="en-GB"/>
        </w:rPr>
        <w:t>)</w:t>
      </w:r>
      <w:r w:rsidR="000A2D12">
        <w:rPr>
          <w:rFonts w:ascii="Arial" w:eastAsia="Times New Roman" w:hAnsi="Arial" w:cs="Arial"/>
          <w:lang w:eastAsia="en-GB"/>
        </w:rPr>
        <w:t xml:space="preserve"> and </w:t>
      </w:r>
      <w:r w:rsidR="00D57EF6">
        <w:rPr>
          <w:rFonts w:ascii="Arial" w:eastAsia="Times New Roman" w:hAnsi="Arial" w:cs="Arial"/>
          <w:lang w:eastAsia="en-GB"/>
        </w:rPr>
        <w:t xml:space="preserve"> he </w:t>
      </w:r>
      <w:r w:rsidR="00A97103" w:rsidRPr="003917CE">
        <w:rPr>
          <w:rFonts w:ascii="Arial" w:hAnsi="Arial" w:cs="Arial"/>
        </w:rPr>
        <w:t>had the jurisdiction to deal with the individual claims brought before the King</w:t>
      </w:r>
      <w:r w:rsidR="000A2D12">
        <w:rPr>
          <w:rFonts w:ascii="Arial" w:hAnsi="Arial" w:cs="Arial"/>
        </w:rPr>
        <w:t xml:space="preserve"> (Hackett,1996). </w:t>
      </w:r>
      <w:r w:rsidR="00D57EF6">
        <w:rPr>
          <w:rFonts w:ascii="Arial" w:hAnsi="Arial" w:cs="Arial"/>
        </w:rPr>
        <w:t>Thus,</w:t>
      </w:r>
      <w:r w:rsidR="00A97103" w:rsidRPr="003917CE">
        <w:rPr>
          <w:rFonts w:ascii="Arial" w:hAnsi="Arial" w:cs="Arial"/>
        </w:rPr>
        <w:t xml:space="preserve"> over time</w:t>
      </w:r>
      <w:r w:rsidRPr="003917CE">
        <w:rPr>
          <w:rFonts w:ascii="Arial" w:eastAsia="Times New Roman" w:hAnsi="Arial" w:cs="Arial"/>
          <w:lang w:eastAsia="en-GB"/>
        </w:rPr>
        <w:t xml:space="preserve"> the Chancery, the Crown’s secretarial department</w:t>
      </w:r>
      <w:r w:rsidR="00D57EF6">
        <w:rPr>
          <w:rFonts w:ascii="Arial" w:eastAsia="Times New Roman" w:hAnsi="Arial" w:cs="Arial"/>
          <w:lang w:eastAsia="en-GB"/>
        </w:rPr>
        <w:t xml:space="preserve"> </w:t>
      </w:r>
      <w:r w:rsidR="003917CE" w:rsidRPr="003917CE">
        <w:rPr>
          <w:rFonts w:ascii="Arial" w:eastAsia="Times New Roman" w:hAnsi="Arial" w:cs="Arial"/>
          <w:lang w:eastAsia="en-GB"/>
        </w:rPr>
        <w:t xml:space="preserve"> </w:t>
      </w:r>
      <w:r w:rsidRPr="003917CE">
        <w:rPr>
          <w:rFonts w:ascii="Arial" w:eastAsia="Times New Roman" w:hAnsi="Arial" w:cs="Arial"/>
          <w:lang w:eastAsia="en-GB"/>
        </w:rPr>
        <w:t xml:space="preserve">developed into a </w:t>
      </w:r>
      <w:r w:rsidR="00013A0E" w:rsidRPr="003917CE">
        <w:rPr>
          <w:rFonts w:ascii="Arial" w:eastAsia="Times New Roman" w:hAnsi="Arial" w:cs="Arial"/>
          <w:lang w:eastAsia="en-GB"/>
        </w:rPr>
        <w:t>quasi-judicial</w:t>
      </w:r>
      <w:r w:rsidRPr="003917CE">
        <w:rPr>
          <w:rFonts w:ascii="Arial" w:eastAsia="Times New Roman" w:hAnsi="Arial" w:cs="Arial"/>
          <w:lang w:eastAsia="en-GB"/>
        </w:rPr>
        <w:t xml:space="preserve"> body</w:t>
      </w:r>
      <w:r w:rsidR="001F51C8" w:rsidRPr="003917CE">
        <w:rPr>
          <w:rFonts w:ascii="Arial" w:eastAsia="Times New Roman" w:hAnsi="Arial" w:cs="Arial"/>
          <w:lang w:eastAsia="en-GB"/>
        </w:rPr>
        <w:t xml:space="preserve"> </w:t>
      </w:r>
      <w:r w:rsidR="00013A0E" w:rsidRPr="003917CE">
        <w:rPr>
          <w:rFonts w:ascii="Arial" w:eastAsia="Times New Roman" w:hAnsi="Arial" w:cs="Arial"/>
          <w:lang w:eastAsia="en-GB"/>
        </w:rPr>
        <w:t>and the</w:t>
      </w:r>
      <w:r w:rsidRPr="003917CE">
        <w:rPr>
          <w:rFonts w:ascii="Arial" w:eastAsia="Times New Roman" w:hAnsi="Arial" w:cs="Arial"/>
          <w:lang w:eastAsia="en-GB"/>
        </w:rPr>
        <w:t xml:space="preserve"> “Court of Chancery”</w:t>
      </w:r>
      <w:r w:rsidR="00A97103" w:rsidRPr="003917CE">
        <w:rPr>
          <w:rFonts w:ascii="Arial" w:eastAsia="Times New Roman" w:hAnsi="Arial" w:cs="Arial"/>
          <w:lang w:eastAsia="en-GB"/>
        </w:rPr>
        <w:t xml:space="preserve"> came into being</w:t>
      </w:r>
      <w:r w:rsidR="001F51C8" w:rsidRPr="003917CE">
        <w:rPr>
          <w:rFonts w:ascii="Arial" w:eastAsia="Times New Roman" w:hAnsi="Arial" w:cs="Arial"/>
          <w:lang w:eastAsia="en-GB"/>
        </w:rPr>
        <w:t xml:space="preserve">, </w:t>
      </w:r>
      <w:r w:rsidR="001F51C8" w:rsidRPr="003917CE">
        <w:rPr>
          <w:rFonts w:ascii="Arial" w:eastAsia="Times New Roman" w:hAnsi="Arial" w:cs="Arial"/>
          <w:lang w:eastAsia="en-GB"/>
        </w:rPr>
        <w:lastRenderedPageBreak/>
        <w:t xml:space="preserve">with </w:t>
      </w:r>
      <w:r w:rsidR="00013A0E" w:rsidRPr="003917CE">
        <w:rPr>
          <w:rFonts w:ascii="Arial" w:eastAsia="Times New Roman" w:hAnsi="Arial" w:cs="Arial"/>
          <w:lang w:eastAsia="en-GB"/>
        </w:rPr>
        <w:t>the doctrine</w:t>
      </w:r>
      <w:r w:rsidR="00B44889" w:rsidRPr="003917CE">
        <w:rPr>
          <w:rFonts w:ascii="Arial" w:eastAsia="Times New Roman" w:hAnsi="Arial" w:cs="Arial"/>
          <w:lang w:eastAsia="en-GB"/>
        </w:rPr>
        <w:t xml:space="preserve"> of the </w:t>
      </w:r>
      <w:r w:rsidR="00B44889" w:rsidRPr="00D57EF6">
        <w:rPr>
          <w:rFonts w:ascii="Arial" w:eastAsia="Times New Roman" w:hAnsi="Arial" w:cs="Arial"/>
          <w:i/>
          <w:iCs/>
          <w:lang w:eastAsia="en-GB"/>
        </w:rPr>
        <w:t>use</w:t>
      </w:r>
      <w:r w:rsidR="00B44889" w:rsidRPr="003917CE">
        <w:rPr>
          <w:rFonts w:ascii="Arial" w:eastAsia="Times New Roman" w:hAnsi="Arial" w:cs="Arial"/>
          <w:lang w:eastAsia="en-GB"/>
        </w:rPr>
        <w:t xml:space="preserve"> or trust </w:t>
      </w:r>
      <w:r w:rsidR="001F51C8" w:rsidRPr="003917CE">
        <w:rPr>
          <w:rFonts w:ascii="Arial" w:eastAsia="Times New Roman" w:hAnsi="Arial" w:cs="Arial"/>
          <w:lang w:eastAsia="en-GB"/>
        </w:rPr>
        <w:t xml:space="preserve">also </w:t>
      </w:r>
      <w:r w:rsidR="00B44889" w:rsidRPr="003917CE">
        <w:rPr>
          <w:rFonts w:ascii="Arial" w:eastAsia="Times New Roman" w:hAnsi="Arial" w:cs="Arial"/>
          <w:lang w:eastAsia="en-GB"/>
        </w:rPr>
        <w:t xml:space="preserve">emerging </w:t>
      </w:r>
      <w:r w:rsidR="001F51C8" w:rsidRPr="003917CE">
        <w:rPr>
          <w:rFonts w:ascii="Arial" w:eastAsia="Times New Roman" w:hAnsi="Arial" w:cs="Arial"/>
          <w:lang w:eastAsia="en-GB"/>
        </w:rPr>
        <w:t xml:space="preserve">around </w:t>
      </w:r>
      <w:r w:rsidR="00013A0E" w:rsidRPr="003917CE">
        <w:rPr>
          <w:rFonts w:ascii="Arial" w:eastAsia="Times New Roman" w:hAnsi="Arial" w:cs="Arial"/>
          <w:lang w:eastAsia="en-GB"/>
        </w:rPr>
        <w:t>1400 as</w:t>
      </w:r>
      <w:r w:rsidR="00B44889" w:rsidRPr="003917CE">
        <w:rPr>
          <w:rFonts w:ascii="Arial" w:eastAsia="Times New Roman" w:hAnsi="Arial" w:cs="Arial"/>
          <w:lang w:eastAsia="en-GB"/>
        </w:rPr>
        <w:t xml:space="preserve"> t</w:t>
      </w:r>
      <w:r w:rsidRPr="003917CE">
        <w:rPr>
          <w:rFonts w:ascii="Arial" w:eastAsia="Times New Roman" w:hAnsi="Arial" w:cs="Arial"/>
          <w:lang w:eastAsia="en-GB"/>
        </w:rPr>
        <w:t xml:space="preserve">he judicial power of the Chancery </w:t>
      </w:r>
      <w:r w:rsidR="00B44889" w:rsidRPr="003917CE">
        <w:rPr>
          <w:rFonts w:ascii="Arial" w:eastAsia="Times New Roman" w:hAnsi="Arial" w:cs="Arial"/>
          <w:lang w:eastAsia="en-GB"/>
        </w:rPr>
        <w:t xml:space="preserve">became </w:t>
      </w:r>
      <w:r w:rsidRPr="003917CE">
        <w:rPr>
          <w:rFonts w:ascii="Arial" w:eastAsia="Times New Roman" w:hAnsi="Arial" w:cs="Arial"/>
          <w:lang w:eastAsia="en-GB"/>
        </w:rPr>
        <w:t>recognized</w:t>
      </w:r>
      <w:r w:rsidR="001F51C8" w:rsidRPr="003917CE">
        <w:rPr>
          <w:rFonts w:ascii="Arial" w:eastAsia="Times New Roman" w:hAnsi="Arial" w:cs="Arial"/>
          <w:lang w:eastAsia="en-GB"/>
        </w:rPr>
        <w:t xml:space="preserve"> </w:t>
      </w:r>
      <w:r w:rsidR="003917CE" w:rsidRPr="005E557F">
        <w:rPr>
          <w:rFonts w:ascii="Arial" w:eastAsia="Times New Roman" w:hAnsi="Arial" w:cs="Arial"/>
          <w:lang w:eastAsia="en-GB"/>
        </w:rPr>
        <w:t>(</w:t>
      </w:r>
      <w:r w:rsidR="003917CE">
        <w:rPr>
          <w:rFonts w:ascii="Arial" w:eastAsia="Times New Roman" w:hAnsi="Arial" w:cs="Arial"/>
          <w:lang w:eastAsia="en-GB"/>
        </w:rPr>
        <w:t xml:space="preserve">Watt, </w:t>
      </w:r>
      <w:r w:rsidR="00DB7413">
        <w:rPr>
          <w:rFonts w:ascii="Arial" w:eastAsia="Times New Roman" w:hAnsi="Arial" w:cs="Arial"/>
          <w:lang w:eastAsia="en-GB"/>
        </w:rPr>
        <w:t>2021</w:t>
      </w:r>
      <w:r w:rsidR="003917CE" w:rsidRPr="005E557F">
        <w:rPr>
          <w:rFonts w:ascii="Arial" w:eastAsia="Times New Roman" w:hAnsi="Arial" w:cs="Arial"/>
          <w:lang w:eastAsia="en-GB"/>
        </w:rPr>
        <w:t>).</w:t>
      </w:r>
      <w:r w:rsidRPr="00A97103">
        <w:rPr>
          <w:rFonts w:ascii="Arial" w:eastAsia="Times New Roman" w:hAnsi="Arial" w:cs="Arial"/>
          <w:lang w:eastAsia="en-GB"/>
        </w:rPr>
        <w:t xml:space="preserve"> </w:t>
      </w:r>
    </w:p>
    <w:p w14:paraId="02A24056" w14:textId="1378D5D8" w:rsidR="002B2DD1" w:rsidRPr="001F51C8" w:rsidRDefault="006E6877" w:rsidP="001F51C8">
      <w:pPr>
        <w:shd w:val="clear" w:color="auto" w:fill="FFFFFF"/>
        <w:spacing w:after="100" w:afterAutospacing="1" w:line="480" w:lineRule="auto"/>
        <w:rPr>
          <w:rFonts w:ascii="Arial" w:eastAsia="Times New Roman" w:hAnsi="Arial" w:cs="Arial"/>
          <w:lang w:eastAsia="en-GB"/>
        </w:rPr>
      </w:pPr>
      <w:r w:rsidRPr="00A97103">
        <w:rPr>
          <w:rFonts w:ascii="Arial" w:eastAsia="Times New Roman" w:hAnsi="Arial" w:cs="Arial"/>
          <w:lang w:eastAsia="en-GB"/>
        </w:rPr>
        <w:t xml:space="preserve">One area in which the Court of Chancery held a vital role was the enforcement of </w:t>
      </w:r>
      <w:r w:rsidRPr="00013A0E">
        <w:rPr>
          <w:rFonts w:ascii="Arial" w:eastAsia="Times New Roman" w:hAnsi="Arial" w:cs="Arial"/>
          <w:i/>
          <w:iCs/>
          <w:lang w:eastAsia="en-GB"/>
        </w:rPr>
        <w:t>uses</w:t>
      </w:r>
      <w:r w:rsidRPr="00A97103">
        <w:rPr>
          <w:rFonts w:ascii="Arial" w:eastAsia="Times New Roman" w:hAnsi="Arial" w:cs="Arial"/>
          <w:lang w:eastAsia="en-GB"/>
        </w:rPr>
        <w:t xml:space="preserve">, </w:t>
      </w:r>
      <w:r w:rsidR="00B13BAC">
        <w:rPr>
          <w:rFonts w:ascii="Arial" w:eastAsia="Times New Roman" w:hAnsi="Arial" w:cs="Arial"/>
          <w:lang w:eastAsia="en-GB"/>
        </w:rPr>
        <w:t xml:space="preserve">which </w:t>
      </w:r>
      <w:r w:rsidR="0050794F">
        <w:rPr>
          <w:rFonts w:ascii="Arial" w:eastAsia="Times New Roman" w:hAnsi="Arial" w:cs="Arial"/>
          <w:lang w:eastAsia="en-GB"/>
        </w:rPr>
        <w:t xml:space="preserve">were </w:t>
      </w:r>
      <w:r w:rsidR="0050794F" w:rsidRPr="00A97103">
        <w:rPr>
          <w:rFonts w:ascii="Arial" w:eastAsia="Times New Roman" w:hAnsi="Arial" w:cs="Arial"/>
          <w:lang w:eastAsia="en-GB"/>
        </w:rPr>
        <w:t>the</w:t>
      </w:r>
      <w:r w:rsidRPr="00A97103">
        <w:rPr>
          <w:rFonts w:ascii="Arial" w:eastAsia="Times New Roman" w:hAnsi="Arial" w:cs="Arial"/>
          <w:lang w:eastAsia="en-GB"/>
        </w:rPr>
        <w:t xml:space="preserve"> precursor of the trust</w:t>
      </w:r>
      <w:r w:rsidR="000A2D12">
        <w:rPr>
          <w:rFonts w:ascii="Arial" w:eastAsia="Times New Roman" w:hAnsi="Arial" w:cs="Arial"/>
          <w:lang w:eastAsia="en-GB"/>
        </w:rPr>
        <w:t xml:space="preserve">, </w:t>
      </w:r>
      <w:r w:rsidR="00B13BAC">
        <w:rPr>
          <w:rFonts w:ascii="Arial" w:eastAsia="Times New Roman" w:hAnsi="Arial" w:cs="Arial"/>
          <w:lang w:eastAsia="en-GB"/>
        </w:rPr>
        <w:t xml:space="preserve">a function that the existing land </w:t>
      </w:r>
      <w:r w:rsidR="0050794F">
        <w:rPr>
          <w:rFonts w:ascii="Arial" w:eastAsia="Times New Roman" w:hAnsi="Arial" w:cs="Arial"/>
          <w:lang w:eastAsia="en-GB"/>
        </w:rPr>
        <w:t xml:space="preserve">law </w:t>
      </w:r>
      <w:r w:rsidR="0050794F" w:rsidRPr="00A97103">
        <w:rPr>
          <w:rFonts w:ascii="Arial" w:eastAsia="Times New Roman" w:hAnsi="Arial" w:cs="Arial"/>
          <w:lang w:eastAsia="en-GB"/>
        </w:rPr>
        <w:t>could</w:t>
      </w:r>
      <w:r w:rsidRPr="00A97103">
        <w:rPr>
          <w:rFonts w:ascii="Arial" w:eastAsia="Times New Roman" w:hAnsi="Arial" w:cs="Arial"/>
          <w:lang w:eastAsia="en-GB"/>
        </w:rPr>
        <w:t xml:space="preserve"> not accommodate</w:t>
      </w:r>
      <w:r w:rsidR="00B13BAC">
        <w:rPr>
          <w:rFonts w:ascii="Arial" w:eastAsia="Times New Roman" w:hAnsi="Arial" w:cs="Arial"/>
          <w:lang w:eastAsia="en-GB"/>
        </w:rPr>
        <w:t xml:space="preserve">, thus, effectively creating the essential difference </w:t>
      </w:r>
      <w:r w:rsidR="0050794F">
        <w:rPr>
          <w:rFonts w:ascii="Arial" w:eastAsia="Times New Roman" w:hAnsi="Arial" w:cs="Arial"/>
          <w:lang w:eastAsia="en-GB"/>
        </w:rPr>
        <w:t xml:space="preserve">between </w:t>
      </w:r>
      <w:r w:rsidR="0050794F" w:rsidRPr="00A97103">
        <w:rPr>
          <w:rFonts w:ascii="Arial" w:eastAsia="Times New Roman" w:hAnsi="Arial" w:cs="Arial"/>
          <w:lang w:eastAsia="en-GB"/>
        </w:rPr>
        <w:t>legal</w:t>
      </w:r>
      <w:r w:rsidRPr="00A97103">
        <w:rPr>
          <w:rFonts w:ascii="Arial" w:eastAsia="Times New Roman" w:hAnsi="Arial" w:cs="Arial"/>
          <w:lang w:eastAsia="en-GB"/>
        </w:rPr>
        <w:t xml:space="preserve"> and equitable interests</w:t>
      </w:r>
      <w:r w:rsidR="000A2D12">
        <w:rPr>
          <w:rFonts w:ascii="Arial" w:eastAsia="Times New Roman" w:hAnsi="Arial" w:cs="Arial"/>
          <w:lang w:eastAsia="en-GB"/>
        </w:rPr>
        <w:t xml:space="preserve">. </w:t>
      </w:r>
      <w:r w:rsidR="002B2DD1" w:rsidRPr="001B628B">
        <w:rPr>
          <w:rFonts w:ascii="Arial" w:hAnsi="Arial" w:cs="Arial"/>
        </w:rPr>
        <w:t xml:space="preserve">The Court of Chancery was fundamentally concerned with </w:t>
      </w:r>
      <w:r w:rsidR="001F51C8">
        <w:rPr>
          <w:rFonts w:ascii="Arial" w:hAnsi="Arial" w:cs="Arial"/>
        </w:rPr>
        <w:t>achieving</w:t>
      </w:r>
      <w:r w:rsidR="006D2755" w:rsidRPr="001B628B">
        <w:rPr>
          <w:rFonts w:ascii="Arial" w:hAnsi="Arial" w:cs="Arial"/>
        </w:rPr>
        <w:t xml:space="preserve"> a result </w:t>
      </w:r>
      <w:r w:rsidR="001F51C8">
        <w:rPr>
          <w:rFonts w:ascii="Arial" w:hAnsi="Arial" w:cs="Arial"/>
        </w:rPr>
        <w:t xml:space="preserve">relying primarily </w:t>
      </w:r>
      <w:r w:rsidR="003F2054" w:rsidRPr="001B628B">
        <w:rPr>
          <w:rFonts w:ascii="Arial" w:hAnsi="Arial" w:cs="Arial"/>
        </w:rPr>
        <w:t>on</w:t>
      </w:r>
      <w:r w:rsidR="006D2755" w:rsidRPr="001B628B">
        <w:rPr>
          <w:rFonts w:ascii="Arial" w:hAnsi="Arial" w:cs="Arial"/>
        </w:rPr>
        <w:t xml:space="preserve"> </w:t>
      </w:r>
      <w:r w:rsidR="00492E06" w:rsidRPr="001B628B">
        <w:rPr>
          <w:rFonts w:ascii="Arial" w:hAnsi="Arial" w:cs="Arial"/>
        </w:rPr>
        <w:t xml:space="preserve">the consideration </w:t>
      </w:r>
      <w:r w:rsidR="00492E06">
        <w:rPr>
          <w:rFonts w:ascii="Arial" w:hAnsi="Arial" w:cs="Arial"/>
        </w:rPr>
        <w:t xml:space="preserve">of achieving </w:t>
      </w:r>
      <w:r w:rsidR="00492E06" w:rsidRPr="001B628B">
        <w:rPr>
          <w:rFonts w:ascii="Arial" w:hAnsi="Arial" w:cs="Arial"/>
        </w:rPr>
        <w:t xml:space="preserve">justice </w:t>
      </w:r>
      <w:r w:rsidR="00492E06">
        <w:rPr>
          <w:rFonts w:ascii="Arial" w:hAnsi="Arial" w:cs="Arial"/>
        </w:rPr>
        <w:t xml:space="preserve">based on </w:t>
      </w:r>
      <w:r w:rsidR="006D2755" w:rsidRPr="001B628B">
        <w:rPr>
          <w:rFonts w:ascii="Arial" w:hAnsi="Arial" w:cs="Arial"/>
        </w:rPr>
        <w:t xml:space="preserve">conscience rather than one </w:t>
      </w:r>
      <w:r w:rsidR="00492E06">
        <w:rPr>
          <w:rFonts w:ascii="Arial" w:hAnsi="Arial" w:cs="Arial"/>
        </w:rPr>
        <w:t xml:space="preserve">decided </w:t>
      </w:r>
      <w:r w:rsidR="001F51C8">
        <w:rPr>
          <w:rFonts w:ascii="Arial" w:hAnsi="Arial" w:cs="Arial"/>
        </w:rPr>
        <w:t xml:space="preserve">purely in </w:t>
      </w:r>
      <w:r w:rsidR="006D2755" w:rsidRPr="001B628B">
        <w:rPr>
          <w:rFonts w:ascii="Arial" w:hAnsi="Arial" w:cs="Arial"/>
        </w:rPr>
        <w:t xml:space="preserve">accordance with </w:t>
      </w:r>
      <w:r w:rsidR="00B13BAC" w:rsidRPr="001B628B">
        <w:rPr>
          <w:rFonts w:ascii="Arial" w:hAnsi="Arial" w:cs="Arial"/>
        </w:rPr>
        <w:t xml:space="preserve">the </w:t>
      </w:r>
      <w:r w:rsidR="00B13BAC">
        <w:rPr>
          <w:rFonts w:ascii="Arial" w:hAnsi="Arial" w:cs="Arial"/>
        </w:rPr>
        <w:t>rules</w:t>
      </w:r>
      <w:r w:rsidR="00492E06">
        <w:rPr>
          <w:rFonts w:ascii="Arial" w:hAnsi="Arial" w:cs="Arial"/>
        </w:rPr>
        <w:t xml:space="preserve"> of </w:t>
      </w:r>
      <w:r w:rsidR="006D2755" w:rsidRPr="001B628B">
        <w:rPr>
          <w:rFonts w:ascii="Arial" w:hAnsi="Arial" w:cs="Arial"/>
        </w:rPr>
        <w:t>common law</w:t>
      </w:r>
      <w:r w:rsidR="00DB7413">
        <w:rPr>
          <w:rFonts w:ascii="Arial" w:hAnsi="Arial" w:cs="Arial"/>
        </w:rPr>
        <w:t xml:space="preserve"> ( Watt,2021) </w:t>
      </w:r>
      <w:r w:rsidR="00B13BAC">
        <w:rPr>
          <w:rFonts w:ascii="Arial" w:hAnsi="Arial" w:cs="Arial"/>
        </w:rPr>
        <w:t xml:space="preserve"> </w:t>
      </w:r>
      <w:r w:rsidR="0050794F">
        <w:rPr>
          <w:rFonts w:ascii="Arial" w:hAnsi="Arial" w:cs="Arial"/>
        </w:rPr>
        <w:t>Thus,</w:t>
      </w:r>
      <w:r w:rsidR="00492E06">
        <w:rPr>
          <w:rFonts w:ascii="Arial" w:hAnsi="Arial" w:cs="Arial"/>
        </w:rPr>
        <w:t xml:space="preserve"> the </w:t>
      </w:r>
      <w:r w:rsidR="00790EDE" w:rsidRPr="001B628B">
        <w:rPr>
          <w:rFonts w:ascii="Arial" w:hAnsi="Arial" w:cs="Arial"/>
        </w:rPr>
        <w:t xml:space="preserve">function of the Court of Chancery in the most </w:t>
      </w:r>
      <w:r w:rsidR="00D54EF0" w:rsidRPr="001B628B">
        <w:rPr>
          <w:rFonts w:ascii="Arial" w:hAnsi="Arial" w:cs="Arial"/>
        </w:rPr>
        <w:t xml:space="preserve">simplified and understandable </w:t>
      </w:r>
      <w:r w:rsidR="00A32994" w:rsidRPr="001B628B">
        <w:rPr>
          <w:rFonts w:ascii="Arial" w:hAnsi="Arial" w:cs="Arial"/>
        </w:rPr>
        <w:t>manner</w:t>
      </w:r>
      <w:r w:rsidR="00492E06">
        <w:rPr>
          <w:rFonts w:ascii="Arial" w:hAnsi="Arial" w:cs="Arial"/>
        </w:rPr>
        <w:t xml:space="preserve"> was </w:t>
      </w:r>
      <w:r w:rsidR="00B13BAC">
        <w:rPr>
          <w:rFonts w:ascii="Arial" w:hAnsi="Arial" w:cs="Arial"/>
        </w:rPr>
        <w:t xml:space="preserve">to </w:t>
      </w:r>
      <w:r w:rsidR="00B13BAC" w:rsidRPr="001B628B">
        <w:rPr>
          <w:rFonts w:ascii="Arial" w:hAnsi="Arial" w:cs="Arial"/>
        </w:rPr>
        <w:t>‘</w:t>
      </w:r>
      <w:r w:rsidR="00A32994" w:rsidRPr="001B628B">
        <w:rPr>
          <w:rFonts w:ascii="Arial" w:hAnsi="Arial" w:cs="Arial"/>
        </w:rPr>
        <w:t>meliorate any harsh or otherwise undesirable effect… from the strict application of any particular issue of law’</w:t>
      </w:r>
      <w:r w:rsidR="00492E06">
        <w:rPr>
          <w:rFonts w:ascii="Arial" w:hAnsi="Arial" w:cs="Arial"/>
        </w:rPr>
        <w:t xml:space="preserve"> </w:t>
      </w:r>
      <w:r w:rsidR="00E33C2E">
        <w:rPr>
          <w:rFonts w:ascii="Arial" w:hAnsi="Arial" w:cs="Arial"/>
        </w:rPr>
        <w:t>(</w:t>
      </w:r>
      <w:r w:rsidR="00E33C2E" w:rsidRPr="001B628B">
        <w:rPr>
          <w:rFonts w:ascii="Arial" w:hAnsi="Arial" w:cs="Arial"/>
        </w:rPr>
        <w:t>Oleck</w:t>
      </w:r>
      <w:r w:rsidR="00E33C2E">
        <w:rPr>
          <w:rFonts w:ascii="Arial" w:hAnsi="Arial" w:cs="Arial"/>
        </w:rPr>
        <w:t>,</w:t>
      </w:r>
      <w:r w:rsidR="00E33C2E" w:rsidRPr="001B628B">
        <w:rPr>
          <w:rFonts w:ascii="Arial" w:hAnsi="Arial" w:cs="Arial"/>
        </w:rPr>
        <w:t>1951)</w:t>
      </w:r>
      <w:r w:rsidR="00E33C2E">
        <w:rPr>
          <w:rFonts w:ascii="Arial" w:hAnsi="Arial" w:cs="Arial"/>
        </w:rPr>
        <w:t xml:space="preserve">. </w:t>
      </w:r>
      <w:r w:rsidR="00E33C2E" w:rsidRPr="001B628B">
        <w:rPr>
          <w:rFonts w:ascii="Arial" w:hAnsi="Arial" w:cs="Arial"/>
        </w:rPr>
        <w:t xml:space="preserve"> </w:t>
      </w:r>
      <w:r w:rsidR="00492E06">
        <w:rPr>
          <w:rFonts w:ascii="Arial" w:hAnsi="Arial" w:cs="Arial"/>
        </w:rPr>
        <w:t xml:space="preserve">This approach was asserted </w:t>
      </w:r>
      <w:r w:rsidR="00984222" w:rsidRPr="001B628B">
        <w:rPr>
          <w:rFonts w:ascii="Arial" w:hAnsi="Arial" w:cs="Arial"/>
        </w:rPr>
        <w:t xml:space="preserve">by Lord Cowper in the case of </w:t>
      </w:r>
      <w:r w:rsidR="00984222" w:rsidRPr="001B628B">
        <w:rPr>
          <w:rFonts w:ascii="Arial" w:hAnsi="Arial" w:cs="Arial"/>
          <w:i/>
          <w:iCs/>
        </w:rPr>
        <w:t>Dudley v Dudley</w:t>
      </w:r>
      <w:r w:rsidR="00984222" w:rsidRPr="001B628B">
        <w:rPr>
          <w:rFonts w:ascii="Arial" w:hAnsi="Arial" w:cs="Arial"/>
        </w:rPr>
        <w:t xml:space="preserve"> (1705</w:t>
      </w:r>
      <w:r w:rsidR="00B13BAC" w:rsidRPr="001B628B">
        <w:rPr>
          <w:rFonts w:ascii="Arial" w:hAnsi="Arial" w:cs="Arial"/>
        </w:rPr>
        <w:t>),</w:t>
      </w:r>
      <w:r w:rsidR="00492E06">
        <w:rPr>
          <w:rFonts w:ascii="Arial" w:hAnsi="Arial" w:cs="Arial"/>
        </w:rPr>
        <w:t xml:space="preserve"> that “</w:t>
      </w:r>
      <w:r w:rsidR="00984222" w:rsidRPr="001B628B">
        <w:rPr>
          <w:rFonts w:ascii="Arial" w:hAnsi="Arial" w:cs="Arial"/>
        </w:rPr>
        <w:t xml:space="preserve">equity is not part of the </w:t>
      </w:r>
      <w:r w:rsidR="00B13BAC" w:rsidRPr="001B628B">
        <w:rPr>
          <w:rFonts w:ascii="Arial" w:hAnsi="Arial" w:cs="Arial"/>
        </w:rPr>
        <w:t>law,</w:t>
      </w:r>
      <w:r w:rsidR="00984222" w:rsidRPr="001B628B">
        <w:rPr>
          <w:rFonts w:ascii="Arial" w:hAnsi="Arial" w:cs="Arial"/>
        </w:rPr>
        <w:t xml:space="preserve"> but it has a moral virtue which… reforms the rigour hardness and edge of the law</w:t>
      </w:r>
      <w:r w:rsidR="00492E06">
        <w:rPr>
          <w:rFonts w:ascii="Arial" w:hAnsi="Arial" w:cs="Arial"/>
        </w:rPr>
        <w:t>”</w:t>
      </w:r>
      <w:r w:rsidR="00984222" w:rsidRPr="001B628B">
        <w:rPr>
          <w:rFonts w:ascii="Arial" w:hAnsi="Arial" w:cs="Arial"/>
        </w:rPr>
        <w:t>.</w:t>
      </w:r>
      <w:r w:rsidR="003F2054" w:rsidRPr="001B628B">
        <w:rPr>
          <w:rFonts w:ascii="Arial" w:hAnsi="Arial" w:cs="Arial"/>
        </w:rPr>
        <w:t xml:space="preserve"> </w:t>
      </w:r>
      <w:r w:rsidR="00DF7956" w:rsidRPr="001B628B">
        <w:rPr>
          <w:rFonts w:ascii="Arial" w:hAnsi="Arial" w:cs="Arial"/>
        </w:rPr>
        <w:t>Thus, equity has always been associated with the</w:t>
      </w:r>
      <w:r w:rsidR="0086356D" w:rsidRPr="001B628B">
        <w:rPr>
          <w:rFonts w:ascii="Arial" w:hAnsi="Arial" w:cs="Arial"/>
        </w:rPr>
        <w:t xml:space="preserve"> need to achieve fairness, and the two terms can arguably</w:t>
      </w:r>
      <w:r w:rsidR="00492E06">
        <w:rPr>
          <w:rFonts w:ascii="Arial" w:hAnsi="Arial" w:cs="Arial"/>
        </w:rPr>
        <w:t xml:space="preserve"> to a great </w:t>
      </w:r>
      <w:r w:rsidR="00B13BAC" w:rsidRPr="001B628B">
        <w:rPr>
          <w:rFonts w:ascii="Arial" w:hAnsi="Arial" w:cs="Arial"/>
        </w:rPr>
        <w:t>extent</w:t>
      </w:r>
      <w:r w:rsidR="00B13BAC">
        <w:rPr>
          <w:rFonts w:ascii="Arial" w:hAnsi="Arial" w:cs="Arial"/>
        </w:rPr>
        <w:t xml:space="preserve"> </w:t>
      </w:r>
      <w:r w:rsidR="00B13BAC" w:rsidRPr="001B628B">
        <w:rPr>
          <w:rFonts w:ascii="Arial" w:hAnsi="Arial" w:cs="Arial"/>
        </w:rPr>
        <w:t>be</w:t>
      </w:r>
      <w:r w:rsidR="0086356D" w:rsidRPr="001B628B">
        <w:rPr>
          <w:rFonts w:ascii="Arial" w:hAnsi="Arial" w:cs="Arial"/>
        </w:rPr>
        <w:t xml:space="preserve"> regarded as synonymous with each </w:t>
      </w:r>
      <w:r w:rsidR="00B13BAC" w:rsidRPr="001B628B">
        <w:rPr>
          <w:rFonts w:ascii="Arial" w:hAnsi="Arial" w:cs="Arial"/>
        </w:rPr>
        <w:t>other</w:t>
      </w:r>
      <w:r w:rsidR="00B13BAC">
        <w:rPr>
          <w:rFonts w:ascii="Arial" w:hAnsi="Arial" w:cs="Arial"/>
        </w:rPr>
        <w:t xml:space="preserve"> (</w:t>
      </w:r>
      <w:r w:rsidR="00A97103">
        <w:rPr>
          <w:rFonts w:ascii="Arial" w:hAnsi="Arial" w:cs="Arial"/>
        </w:rPr>
        <w:t>Hudson, 202</w:t>
      </w:r>
      <w:r w:rsidR="00D43AC7">
        <w:rPr>
          <w:rFonts w:ascii="Arial" w:hAnsi="Arial" w:cs="Arial"/>
        </w:rPr>
        <w:t>2</w:t>
      </w:r>
      <w:r w:rsidR="00E33C2E" w:rsidRPr="001B628B">
        <w:rPr>
          <w:rFonts w:ascii="Arial" w:hAnsi="Arial" w:cs="Arial"/>
        </w:rPr>
        <w:t>)</w:t>
      </w:r>
      <w:r w:rsidR="0086356D" w:rsidRPr="001B628B">
        <w:rPr>
          <w:rFonts w:ascii="Arial" w:hAnsi="Arial" w:cs="Arial"/>
        </w:rPr>
        <w:t xml:space="preserve">. </w:t>
      </w:r>
    </w:p>
    <w:p w14:paraId="5899B7A6" w14:textId="7FB9060C" w:rsidR="008160AE" w:rsidRDefault="004B2E04" w:rsidP="004B2E04">
      <w:pPr>
        <w:spacing w:line="480" w:lineRule="auto"/>
        <w:rPr>
          <w:rFonts w:ascii="Roboto" w:hAnsi="Roboto"/>
          <w:sz w:val="21"/>
          <w:szCs w:val="21"/>
          <w:shd w:val="clear" w:color="auto" w:fill="FFFFFF"/>
        </w:rPr>
      </w:pPr>
      <w:r w:rsidRPr="004B2E04">
        <w:rPr>
          <w:rFonts w:ascii="Arial" w:hAnsi="Arial" w:cs="Arial"/>
        </w:rPr>
        <w:t xml:space="preserve">Thus, the origins of equity lie in the body of rules created by the Court of Chancery, initially presided over by the Lord Chancellor, and these rules for trusts </w:t>
      </w:r>
      <w:r w:rsidR="00B13BAC" w:rsidRPr="004B2E04">
        <w:rPr>
          <w:rFonts w:ascii="Arial" w:hAnsi="Arial" w:cs="Arial"/>
        </w:rPr>
        <w:t>and equity were</w:t>
      </w:r>
      <w:r w:rsidRPr="004B2E04">
        <w:rPr>
          <w:rFonts w:ascii="Arial" w:hAnsi="Arial" w:cs="Arial"/>
        </w:rPr>
        <w:t xml:space="preserve"> intended to overcome the </w:t>
      </w:r>
      <w:r w:rsidR="00B13BAC" w:rsidRPr="004B2E04">
        <w:rPr>
          <w:rFonts w:ascii="Arial" w:hAnsi="Arial" w:cs="Arial"/>
        </w:rPr>
        <w:t>failings of</w:t>
      </w:r>
      <w:r w:rsidRPr="004B2E04">
        <w:rPr>
          <w:rFonts w:ascii="Arial" w:hAnsi="Arial" w:cs="Arial"/>
        </w:rPr>
        <w:t xml:space="preserve"> the common law</w:t>
      </w:r>
      <w:r w:rsidR="00B13BAC" w:rsidRPr="004B2E04">
        <w:rPr>
          <w:rFonts w:ascii="Arial" w:hAnsi="Arial" w:cs="Arial"/>
        </w:rPr>
        <w:t xml:space="preserve">. </w:t>
      </w:r>
      <w:r w:rsidR="0069036B" w:rsidRPr="00DB7413">
        <w:rPr>
          <w:rFonts w:ascii="Arial" w:hAnsi="Arial" w:cs="Arial"/>
        </w:rPr>
        <w:t xml:space="preserve">Initially equity </w:t>
      </w:r>
      <w:r w:rsidR="00B13BAC" w:rsidRPr="00DB7413">
        <w:rPr>
          <w:rFonts w:ascii="Arial" w:hAnsi="Arial" w:cs="Arial"/>
        </w:rPr>
        <w:t>was interpreted</w:t>
      </w:r>
      <w:r w:rsidR="0069036B" w:rsidRPr="00DB7413">
        <w:rPr>
          <w:rFonts w:ascii="Arial" w:hAnsi="Arial" w:cs="Arial"/>
        </w:rPr>
        <w:t xml:space="preserve"> flexibly and</w:t>
      </w:r>
      <w:r w:rsidR="001F51C8" w:rsidRPr="00DB7413">
        <w:rPr>
          <w:rFonts w:ascii="Arial" w:hAnsi="Arial" w:cs="Arial"/>
        </w:rPr>
        <w:t>,</w:t>
      </w:r>
      <w:r w:rsidR="0069036B" w:rsidRPr="00DB7413">
        <w:rPr>
          <w:rFonts w:ascii="Arial" w:hAnsi="Arial" w:cs="Arial"/>
        </w:rPr>
        <w:t xml:space="preserve"> therefore</w:t>
      </w:r>
      <w:r w:rsidR="001F51C8" w:rsidRPr="00DB7413">
        <w:rPr>
          <w:rFonts w:ascii="Arial" w:hAnsi="Arial" w:cs="Arial"/>
        </w:rPr>
        <w:t>,</w:t>
      </w:r>
      <w:r w:rsidR="0069036B" w:rsidRPr="00DB7413">
        <w:rPr>
          <w:rFonts w:ascii="Arial" w:hAnsi="Arial" w:cs="Arial"/>
        </w:rPr>
        <w:t xml:space="preserve"> </w:t>
      </w:r>
      <w:r w:rsidR="00B13BAC" w:rsidRPr="00DB7413">
        <w:rPr>
          <w:rFonts w:ascii="Arial" w:hAnsi="Arial" w:cs="Arial"/>
        </w:rPr>
        <w:t>often unpredictably</w:t>
      </w:r>
      <w:r w:rsidR="0069036B" w:rsidRPr="00DB7413">
        <w:rPr>
          <w:rFonts w:ascii="Arial" w:hAnsi="Arial" w:cs="Arial"/>
        </w:rPr>
        <w:t>, but as</w:t>
      </w:r>
      <w:r w:rsidR="009866B7" w:rsidRPr="00DB7413">
        <w:rPr>
          <w:rFonts w:ascii="Arial" w:hAnsi="Arial" w:cs="Arial"/>
        </w:rPr>
        <w:t xml:space="preserve"> </w:t>
      </w:r>
      <w:r w:rsidR="001455CC" w:rsidRPr="00DB7413">
        <w:rPr>
          <w:rFonts w:ascii="Arial" w:hAnsi="Arial" w:cs="Arial"/>
        </w:rPr>
        <w:t>the C</w:t>
      </w:r>
      <w:r w:rsidR="0054131D" w:rsidRPr="00DB7413">
        <w:rPr>
          <w:rFonts w:ascii="Arial" w:hAnsi="Arial" w:cs="Arial"/>
        </w:rPr>
        <w:t xml:space="preserve">ourt of Chancery became </w:t>
      </w:r>
      <w:r w:rsidR="0086065B" w:rsidRPr="00DB7413">
        <w:rPr>
          <w:rFonts w:ascii="Arial" w:hAnsi="Arial" w:cs="Arial"/>
        </w:rPr>
        <w:t xml:space="preserve">busier </w:t>
      </w:r>
      <w:r w:rsidR="001F51C8" w:rsidRPr="00DB7413">
        <w:rPr>
          <w:rFonts w:ascii="Arial" w:hAnsi="Arial" w:cs="Arial"/>
        </w:rPr>
        <w:t xml:space="preserve">and more </w:t>
      </w:r>
      <w:r w:rsidR="005D19FB" w:rsidRPr="00DB7413">
        <w:rPr>
          <w:rFonts w:ascii="Arial" w:hAnsi="Arial" w:cs="Arial"/>
        </w:rPr>
        <w:t>lawyers</w:t>
      </w:r>
      <w:r w:rsidR="001F51C8" w:rsidRPr="00DB7413">
        <w:rPr>
          <w:rFonts w:ascii="Arial" w:hAnsi="Arial" w:cs="Arial"/>
        </w:rPr>
        <w:t xml:space="preserve"> became involved, </w:t>
      </w:r>
      <w:r w:rsidR="00B13BAC" w:rsidRPr="00DB7413">
        <w:rPr>
          <w:rFonts w:ascii="Arial" w:hAnsi="Arial" w:cs="Arial"/>
        </w:rPr>
        <w:t>dealings became</w:t>
      </w:r>
      <w:r w:rsidR="001F51C8" w:rsidRPr="00DB7413">
        <w:rPr>
          <w:rFonts w:ascii="Arial" w:hAnsi="Arial" w:cs="Arial"/>
        </w:rPr>
        <w:t xml:space="preserve"> </w:t>
      </w:r>
      <w:r w:rsidR="00B13BAC" w:rsidRPr="00DB7413">
        <w:rPr>
          <w:rFonts w:ascii="Arial" w:hAnsi="Arial" w:cs="Arial"/>
        </w:rPr>
        <w:t>more organised</w:t>
      </w:r>
      <w:r w:rsidR="008160AE" w:rsidRPr="00DB7413">
        <w:rPr>
          <w:rFonts w:ascii="Arial" w:hAnsi="Arial" w:cs="Arial"/>
        </w:rPr>
        <w:t>, and more</w:t>
      </w:r>
      <w:r w:rsidR="00C43476" w:rsidRPr="00DB7413">
        <w:rPr>
          <w:rFonts w:ascii="Arial" w:hAnsi="Arial" w:cs="Arial"/>
        </w:rPr>
        <w:t xml:space="preserve"> logical </w:t>
      </w:r>
      <w:r w:rsidR="00B13BAC" w:rsidRPr="00DB7413">
        <w:rPr>
          <w:rFonts w:ascii="Arial" w:hAnsi="Arial" w:cs="Arial"/>
        </w:rPr>
        <w:t>and effective</w:t>
      </w:r>
      <w:r w:rsidR="003C3934" w:rsidRPr="00DB7413">
        <w:rPr>
          <w:rFonts w:ascii="Arial" w:hAnsi="Arial" w:cs="Arial"/>
        </w:rPr>
        <w:t xml:space="preserve">, in the sense that </w:t>
      </w:r>
      <w:r w:rsidR="00524D0D" w:rsidRPr="00DB7413">
        <w:rPr>
          <w:rFonts w:ascii="Arial" w:hAnsi="Arial" w:cs="Arial"/>
        </w:rPr>
        <w:t xml:space="preserve">formal rules </w:t>
      </w:r>
      <w:r w:rsidR="00E95A45" w:rsidRPr="00DB7413">
        <w:rPr>
          <w:rFonts w:ascii="Arial" w:hAnsi="Arial" w:cs="Arial"/>
        </w:rPr>
        <w:t xml:space="preserve">started to </w:t>
      </w:r>
      <w:r w:rsidR="00524D0D" w:rsidRPr="00DB7413">
        <w:rPr>
          <w:rFonts w:ascii="Arial" w:hAnsi="Arial" w:cs="Arial"/>
        </w:rPr>
        <w:t xml:space="preserve">develop, </w:t>
      </w:r>
      <w:r w:rsidR="002202FC" w:rsidRPr="00DB7413">
        <w:rPr>
          <w:rFonts w:ascii="Arial" w:hAnsi="Arial" w:cs="Arial"/>
        </w:rPr>
        <w:t>which helped a system of precedent to be created</w:t>
      </w:r>
      <w:r w:rsidR="007E601F" w:rsidRPr="00DB7413">
        <w:rPr>
          <w:rFonts w:ascii="Arial" w:hAnsi="Arial" w:cs="Arial"/>
        </w:rPr>
        <w:t xml:space="preserve"> </w:t>
      </w:r>
      <w:r w:rsidR="00DB7413" w:rsidRPr="00DB7413">
        <w:rPr>
          <w:rFonts w:ascii="Arial" w:hAnsi="Arial" w:cs="Arial"/>
        </w:rPr>
        <w:t>(Watt</w:t>
      </w:r>
      <w:r w:rsidR="00DB7413">
        <w:rPr>
          <w:rFonts w:ascii="Arial" w:hAnsi="Arial" w:cs="Arial"/>
        </w:rPr>
        <w:t>, 2021)</w:t>
      </w:r>
      <w:r w:rsidR="000A2D12">
        <w:rPr>
          <w:rFonts w:ascii="Arial" w:hAnsi="Arial" w:cs="Arial"/>
        </w:rPr>
        <w:t>.</w:t>
      </w:r>
      <w:r w:rsidR="00DB7413">
        <w:rPr>
          <w:rFonts w:ascii="Arial" w:hAnsi="Arial" w:cs="Arial"/>
        </w:rPr>
        <w:t xml:space="preserve"> </w:t>
      </w:r>
      <w:r w:rsidR="00FB2E1D" w:rsidRPr="001B628B">
        <w:rPr>
          <w:rFonts w:ascii="Arial" w:hAnsi="Arial" w:cs="Arial"/>
        </w:rPr>
        <w:t>This allowed for greater certainty, and accordingly improved consistency</w:t>
      </w:r>
      <w:r w:rsidR="007B3E75" w:rsidRPr="001B628B">
        <w:rPr>
          <w:rFonts w:ascii="Arial" w:hAnsi="Arial" w:cs="Arial"/>
        </w:rPr>
        <w:t xml:space="preserve">, </w:t>
      </w:r>
      <w:r w:rsidR="00FD6656" w:rsidRPr="001B628B">
        <w:rPr>
          <w:rFonts w:ascii="Arial" w:hAnsi="Arial" w:cs="Arial"/>
        </w:rPr>
        <w:t xml:space="preserve">but </w:t>
      </w:r>
      <w:r w:rsidR="0069036B">
        <w:rPr>
          <w:rFonts w:ascii="Arial" w:hAnsi="Arial" w:cs="Arial"/>
        </w:rPr>
        <w:t xml:space="preserve">also inevitably </w:t>
      </w:r>
      <w:r w:rsidR="00621D4D" w:rsidRPr="001B628B">
        <w:rPr>
          <w:rFonts w:ascii="Arial" w:hAnsi="Arial" w:cs="Arial"/>
        </w:rPr>
        <w:t xml:space="preserve">meant that </w:t>
      </w:r>
      <w:r w:rsidR="008617CB" w:rsidRPr="001B628B">
        <w:rPr>
          <w:rFonts w:ascii="Arial" w:hAnsi="Arial" w:cs="Arial"/>
        </w:rPr>
        <w:t xml:space="preserve">cases were no longer </w:t>
      </w:r>
      <w:r w:rsidR="00713653" w:rsidRPr="001B628B">
        <w:rPr>
          <w:rFonts w:ascii="Arial" w:hAnsi="Arial" w:cs="Arial"/>
        </w:rPr>
        <w:t>decided based</w:t>
      </w:r>
      <w:r w:rsidR="00993BCD" w:rsidRPr="001B628B">
        <w:rPr>
          <w:rFonts w:ascii="Arial" w:hAnsi="Arial" w:cs="Arial"/>
        </w:rPr>
        <w:t xml:space="preserve"> entirely</w:t>
      </w:r>
      <w:r w:rsidR="00713653" w:rsidRPr="001B628B">
        <w:rPr>
          <w:rFonts w:ascii="Arial" w:hAnsi="Arial" w:cs="Arial"/>
        </w:rPr>
        <w:t xml:space="preserve"> on individual </w:t>
      </w:r>
      <w:r w:rsidR="00713653" w:rsidRPr="001B628B">
        <w:rPr>
          <w:rFonts w:ascii="Arial" w:hAnsi="Arial" w:cs="Arial"/>
        </w:rPr>
        <w:lastRenderedPageBreak/>
        <w:t>interpretations of what could be the fairest outcome</w:t>
      </w:r>
      <w:r w:rsidR="0069036B">
        <w:rPr>
          <w:rFonts w:ascii="Arial" w:hAnsi="Arial" w:cs="Arial"/>
        </w:rPr>
        <w:t xml:space="preserve">, in </w:t>
      </w:r>
      <w:r w:rsidR="0049515F" w:rsidRPr="001B628B">
        <w:rPr>
          <w:rFonts w:ascii="Arial" w:hAnsi="Arial" w:cs="Arial"/>
        </w:rPr>
        <w:t xml:space="preserve">other words, </w:t>
      </w:r>
      <w:r w:rsidR="00952E8F" w:rsidRPr="001B628B">
        <w:rPr>
          <w:rFonts w:ascii="Arial" w:hAnsi="Arial" w:cs="Arial"/>
        </w:rPr>
        <w:t>equity began to</w:t>
      </w:r>
      <w:r w:rsidR="00E26CB3" w:rsidRPr="001B628B">
        <w:rPr>
          <w:rFonts w:ascii="Arial" w:hAnsi="Arial" w:cs="Arial"/>
        </w:rPr>
        <w:t xml:space="preserve"> move away from </w:t>
      </w:r>
      <w:r w:rsidR="0069036B">
        <w:rPr>
          <w:rFonts w:ascii="Arial" w:hAnsi="Arial" w:cs="Arial"/>
        </w:rPr>
        <w:t>a</w:t>
      </w:r>
      <w:r w:rsidR="00E26CB3" w:rsidRPr="001B628B">
        <w:rPr>
          <w:rFonts w:ascii="Arial" w:hAnsi="Arial" w:cs="Arial"/>
        </w:rPr>
        <w:t xml:space="preserve"> purely </w:t>
      </w:r>
      <w:r w:rsidR="00D3712A" w:rsidRPr="001B628B">
        <w:rPr>
          <w:rFonts w:ascii="Arial" w:hAnsi="Arial" w:cs="Arial"/>
        </w:rPr>
        <w:t>conscience-based approach</w:t>
      </w:r>
      <w:r w:rsidR="00C867DC" w:rsidRPr="001B628B">
        <w:rPr>
          <w:rFonts w:ascii="Arial" w:hAnsi="Arial" w:cs="Arial"/>
        </w:rPr>
        <w:t xml:space="preserve">, </w:t>
      </w:r>
      <w:r w:rsidR="00762A02">
        <w:rPr>
          <w:rFonts w:ascii="Arial" w:hAnsi="Arial" w:cs="Arial"/>
        </w:rPr>
        <w:t xml:space="preserve">such </w:t>
      </w:r>
      <w:r w:rsidR="00C867DC" w:rsidRPr="001B628B">
        <w:rPr>
          <w:rFonts w:ascii="Arial" w:hAnsi="Arial" w:cs="Arial"/>
        </w:rPr>
        <w:t>that flexibility</w:t>
      </w:r>
      <w:r w:rsidR="00DB7053" w:rsidRPr="001B628B">
        <w:rPr>
          <w:rFonts w:ascii="Arial" w:hAnsi="Arial" w:cs="Arial"/>
        </w:rPr>
        <w:t xml:space="preserve"> </w:t>
      </w:r>
      <w:r w:rsidR="008160AE">
        <w:rPr>
          <w:rFonts w:ascii="Arial" w:hAnsi="Arial" w:cs="Arial"/>
        </w:rPr>
        <w:t xml:space="preserve">reduced </w:t>
      </w:r>
      <w:r w:rsidR="00D75A6C" w:rsidRPr="001B628B">
        <w:rPr>
          <w:rFonts w:ascii="Arial" w:hAnsi="Arial" w:cs="Arial"/>
        </w:rPr>
        <w:t>bec</w:t>
      </w:r>
      <w:r w:rsidR="00762A02">
        <w:rPr>
          <w:rFonts w:ascii="Arial" w:hAnsi="Arial" w:cs="Arial"/>
        </w:rPr>
        <w:t>oming more</w:t>
      </w:r>
      <w:r w:rsidR="00D75A6C" w:rsidRPr="001B628B">
        <w:rPr>
          <w:rFonts w:ascii="Arial" w:hAnsi="Arial" w:cs="Arial"/>
        </w:rPr>
        <w:t xml:space="preserve"> restricted</w:t>
      </w:r>
      <w:r w:rsidR="008160AE">
        <w:rPr>
          <w:rFonts w:ascii="Arial" w:hAnsi="Arial" w:cs="Arial"/>
        </w:rPr>
        <w:t xml:space="preserve">, </w:t>
      </w:r>
      <w:r w:rsidR="00762A02">
        <w:rPr>
          <w:rFonts w:ascii="Arial" w:hAnsi="Arial" w:cs="Arial"/>
        </w:rPr>
        <w:t xml:space="preserve"> such that</w:t>
      </w:r>
      <w:r w:rsidR="008160AE">
        <w:rPr>
          <w:rFonts w:ascii="Arial" w:hAnsi="Arial" w:cs="Arial"/>
        </w:rPr>
        <w:t xml:space="preserve"> </w:t>
      </w:r>
      <w:r w:rsidR="009A0004" w:rsidRPr="001B628B">
        <w:rPr>
          <w:rFonts w:ascii="Arial" w:hAnsi="Arial" w:cs="Arial"/>
        </w:rPr>
        <w:t>equity and the common law bec</w:t>
      </w:r>
      <w:r w:rsidR="0069036B">
        <w:rPr>
          <w:rFonts w:ascii="Arial" w:hAnsi="Arial" w:cs="Arial"/>
        </w:rPr>
        <w:t xml:space="preserve">ame </w:t>
      </w:r>
      <w:r w:rsidR="009A0004" w:rsidRPr="001B628B">
        <w:rPr>
          <w:rFonts w:ascii="Arial" w:hAnsi="Arial" w:cs="Arial"/>
        </w:rPr>
        <w:t xml:space="preserve"> </w:t>
      </w:r>
      <w:r w:rsidR="0052451F" w:rsidRPr="001B628B">
        <w:rPr>
          <w:rFonts w:ascii="Arial" w:hAnsi="Arial" w:cs="Arial"/>
        </w:rPr>
        <w:t>more al</w:t>
      </w:r>
      <w:r w:rsidR="008160AE">
        <w:rPr>
          <w:rFonts w:ascii="Arial" w:hAnsi="Arial" w:cs="Arial"/>
        </w:rPr>
        <w:t>igned</w:t>
      </w:r>
      <w:r w:rsidR="00DB7413">
        <w:rPr>
          <w:rFonts w:ascii="Arial" w:hAnsi="Arial" w:cs="Arial"/>
        </w:rPr>
        <w:t xml:space="preserve"> (Watt, 20210, McDonald &amp; Street, 2022)</w:t>
      </w:r>
      <w:r w:rsidR="00762A02">
        <w:rPr>
          <w:rFonts w:ascii="Arial" w:hAnsi="Arial" w:cs="Arial"/>
        </w:rPr>
        <w:t xml:space="preserve">. </w:t>
      </w:r>
      <w:r w:rsidR="00BA7052" w:rsidRPr="001B628B">
        <w:rPr>
          <w:rFonts w:ascii="Arial" w:hAnsi="Arial" w:cs="Arial"/>
        </w:rPr>
        <w:t xml:space="preserve"> This is </w:t>
      </w:r>
      <w:r w:rsidR="0069036B">
        <w:rPr>
          <w:rFonts w:ascii="Arial" w:hAnsi="Arial" w:cs="Arial"/>
        </w:rPr>
        <w:t>illustrated</w:t>
      </w:r>
      <w:r w:rsidR="00BA7052" w:rsidRPr="001B628B">
        <w:rPr>
          <w:rFonts w:ascii="Arial" w:hAnsi="Arial" w:cs="Arial"/>
        </w:rPr>
        <w:t xml:space="preserve"> by Lord Nottingham’s </w:t>
      </w:r>
      <w:r w:rsidR="00B2388D" w:rsidRPr="001B628B">
        <w:rPr>
          <w:rFonts w:ascii="Arial" w:hAnsi="Arial" w:cs="Arial"/>
        </w:rPr>
        <w:t xml:space="preserve">pronouncement </w:t>
      </w:r>
      <w:r w:rsidR="004B5906" w:rsidRPr="001B628B">
        <w:rPr>
          <w:rFonts w:ascii="Arial" w:hAnsi="Arial" w:cs="Arial"/>
        </w:rPr>
        <w:t xml:space="preserve">in the case of </w:t>
      </w:r>
      <w:r w:rsidR="004B5906" w:rsidRPr="001B628B">
        <w:rPr>
          <w:rFonts w:ascii="Arial" w:hAnsi="Arial" w:cs="Arial"/>
          <w:i/>
          <w:iCs/>
        </w:rPr>
        <w:t>Cook v Fountain</w:t>
      </w:r>
      <w:r w:rsidR="004B5906" w:rsidRPr="001B628B">
        <w:rPr>
          <w:rFonts w:ascii="Arial" w:hAnsi="Arial" w:cs="Arial"/>
        </w:rPr>
        <w:t xml:space="preserve"> (1676) </w:t>
      </w:r>
      <w:r w:rsidR="00B2388D" w:rsidRPr="001B628B">
        <w:rPr>
          <w:rFonts w:ascii="Arial" w:hAnsi="Arial" w:cs="Arial"/>
        </w:rPr>
        <w:t xml:space="preserve">that </w:t>
      </w:r>
      <w:r w:rsidR="00777211" w:rsidRPr="001B628B">
        <w:rPr>
          <w:rFonts w:ascii="Arial" w:hAnsi="Arial" w:cs="Arial"/>
        </w:rPr>
        <w:t>the decisions reached by the Court of Chancery were not arbitrary.</w:t>
      </w:r>
      <w:r w:rsidR="00C132C7" w:rsidRPr="001B628B">
        <w:rPr>
          <w:rFonts w:ascii="Arial" w:hAnsi="Arial" w:cs="Arial"/>
        </w:rPr>
        <w:t xml:space="preserve"> </w:t>
      </w:r>
      <w:r w:rsidR="00C43476">
        <w:rPr>
          <w:rFonts w:ascii="Arial" w:hAnsi="Arial" w:cs="Arial"/>
        </w:rPr>
        <w:t>“</w:t>
      </w:r>
      <w:r w:rsidR="00C43476" w:rsidRPr="00C43476">
        <w:rPr>
          <w:rFonts w:ascii="Arial" w:hAnsi="Arial" w:cs="Arial"/>
          <w:shd w:val="clear" w:color="auto" w:fill="FFFFFF"/>
        </w:rPr>
        <w:t xml:space="preserve">Coke v Fountaine (1676)” is a "landmark" case in the sense that it has been commonly cited in </w:t>
      </w:r>
      <w:r w:rsidR="00B13BAC" w:rsidRPr="00C43476">
        <w:rPr>
          <w:rFonts w:ascii="Arial" w:hAnsi="Arial" w:cs="Arial"/>
          <w:shd w:val="clear" w:color="auto" w:fill="FFFFFF"/>
        </w:rPr>
        <w:t>textbooks for</w:t>
      </w:r>
      <w:r w:rsidR="00C43476" w:rsidRPr="00C43476">
        <w:rPr>
          <w:rFonts w:ascii="Arial" w:hAnsi="Arial" w:cs="Arial"/>
          <w:shd w:val="clear" w:color="auto" w:fill="FFFFFF"/>
        </w:rPr>
        <w:t xml:space="preserve"> general claims about equity and trusts made by Lord </w:t>
      </w:r>
      <w:r w:rsidR="00C43476" w:rsidRPr="008160AE">
        <w:rPr>
          <w:rFonts w:ascii="Arial" w:hAnsi="Arial" w:cs="Arial"/>
          <w:shd w:val="clear" w:color="auto" w:fill="FFFFFF"/>
        </w:rPr>
        <w:t xml:space="preserve">Nottingham LC. </w:t>
      </w:r>
      <w:r w:rsidR="008160AE" w:rsidRPr="008160AE">
        <w:rPr>
          <w:rFonts w:ascii="Arial" w:hAnsi="Arial" w:cs="Arial"/>
          <w:shd w:val="clear" w:color="auto" w:fill="FFFFFF"/>
        </w:rPr>
        <w:t xml:space="preserve">This </w:t>
      </w:r>
      <w:r w:rsidR="00C43476" w:rsidRPr="008160AE">
        <w:rPr>
          <w:rFonts w:ascii="Arial" w:hAnsi="Arial" w:cs="Arial"/>
          <w:shd w:val="clear" w:color="auto" w:fill="FFFFFF"/>
        </w:rPr>
        <w:t>decision was in its own time unreported (</w:t>
      </w:r>
      <w:r w:rsidR="008160AE" w:rsidRPr="008160AE">
        <w:rPr>
          <w:rFonts w:ascii="Arial" w:hAnsi="Arial" w:cs="Arial"/>
          <w:shd w:val="clear" w:color="auto" w:fill="FFFFFF"/>
        </w:rPr>
        <w:t xml:space="preserve">although </w:t>
      </w:r>
      <w:r w:rsidR="00C43476" w:rsidRPr="008160AE">
        <w:rPr>
          <w:rFonts w:ascii="Arial" w:hAnsi="Arial" w:cs="Arial"/>
          <w:shd w:val="clear" w:color="auto" w:fill="FFFFFF"/>
        </w:rPr>
        <w:t>other decisions in th</w:t>
      </w:r>
      <w:r w:rsidR="008160AE" w:rsidRPr="008160AE">
        <w:rPr>
          <w:rFonts w:ascii="Arial" w:hAnsi="Arial" w:cs="Arial"/>
          <w:shd w:val="clear" w:color="auto" w:fill="FFFFFF"/>
        </w:rPr>
        <w:t xml:space="preserve">is </w:t>
      </w:r>
      <w:r w:rsidR="00C43476" w:rsidRPr="008160AE">
        <w:rPr>
          <w:rFonts w:ascii="Arial" w:hAnsi="Arial" w:cs="Arial"/>
          <w:shd w:val="clear" w:color="auto" w:fill="FFFFFF"/>
        </w:rPr>
        <w:t xml:space="preserve">long-running litigation </w:t>
      </w:r>
      <w:r w:rsidR="00B13BAC" w:rsidRPr="008160AE">
        <w:rPr>
          <w:rFonts w:ascii="Arial" w:hAnsi="Arial" w:cs="Arial"/>
          <w:shd w:val="clear" w:color="auto" w:fill="FFFFFF"/>
        </w:rPr>
        <w:t>were)</w:t>
      </w:r>
      <w:r w:rsidR="00C43476" w:rsidRPr="008160AE">
        <w:rPr>
          <w:rFonts w:ascii="Arial" w:hAnsi="Arial" w:cs="Arial"/>
          <w:shd w:val="clear" w:color="auto" w:fill="FFFFFF"/>
        </w:rPr>
        <w:t xml:space="preserve"> but only unearthed from Lord Nottingham's MS in the 19th century (</w:t>
      </w:r>
      <w:r w:rsidR="00B13BAC" w:rsidRPr="008160AE">
        <w:rPr>
          <w:rFonts w:ascii="Arial" w:hAnsi="Arial" w:cs="Arial"/>
          <w:shd w:val="clear" w:color="auto" w:fill="FFFFFF"/>
        </w:rPr>
        <w:t>Macnair</w:t>
      </w:r>
      <w:r w:rsidR="00B13BAC">
        <w:rPr>
          <w:rFonts w:ascii="Arial" w:hAnsi="Arial" w:cs="Arial"/>
          <w:shd w:val="clear" w:color="auto" w:fill="FFFFFF"/>
        </w:rPr>
        <w:t xml:space="preserve">, </w:t>
      </w:r>
      <w:r w:rsidR="00B13BAC" w:rsidRPr="008160AE">
        <w:rPr>
          <w:rFonts w:ascii="Arial" w:hAnsi="Arial" w:cs="Arial"/>
          <w:shd w:val="clear" w:color="auto" w:fill="FFFFFF"/>
        </w:rPr>
        <w:t>2012</w:t>
      </w:r>
      <w:r w:rsidR="00C43476" w:rsidRPr="008160AE">
        <w:rPr>
          <w:rFonts w:ascii="Arial" w:hAnsi="Arial" w:cs="Arial"/>
          <w:shd w:val="clear" w:color="auto" w:fill="FFFFFF"/>
        </w:rPr>
        <w:t>)</w:t>
      </w:r>
      <w:r w:rsidR="00C43476" w:rsidRPr="008160AE">
        <w:rPr>
          <w:rFonts w:ascii="Roboto" w:hAnsi="Roboto"/>
          <w:sz w:val="21"/>
          <w:szCs w:val="21"/>
          <w:shd w:val="clear" w:color="auto" w:fill="FFFFFF"/>
        </w:rPr>
        <w:t xml:space="preserve">. </w:t>
      </w:r>
    </w:p>
    <w:p w14:paraId="5F133F6A" w14:textId="12204648" w:rsidR="004B2E04" w:rsidRPr="0069036B" w:rsidRDefault="00322C09" w:rsidP="004B2E04">
      <w:pPr>
        <w:spacing w:line="480" w:lineRule="auto"/>
        <w:rPr>
          <w:rFonts w:ascii="Arial" w:hAnsi="Arial" w:cs="Arial"/>
        </w:rPr>
      </w:pPr>
      <w:r w:rsidRPr="008160AE">
        <w:rPr>
          <w:rFonts w:ascii="Arial" w:hAnsi="Arial" w:cs="Arial"/>
        </w:rPr>
        <w:t xml:space="preserve">Eventually, </w:t>
      </w:r>
      <w:r w:rsidR="008160AE">
        <w:rPr>
          <w:rFonts w:ascii="Arial" w:hAnsi="Arial" w:cs="Arial"/>
        </w:rPr>
        <w:t xml:space="preserve">over </w:t>
      </w:r>
      <w:r w:rsidR="00B13BAC">
        <w:rPr>
          <w:rFonts w:ascii="Arial" w:hAnsi="Arial" w:cs="Arial"/>
        </w:rPr>
        <w:t>time, the</w:t>
      </w:r>
      <w:r w:rsidR="00745022" w:rsidRPr="008160AE">
        <w:rPr>
          <w:rFonts w:ascii="Arial" w:hAnsi="Arial" w:cs="Arial"/>
        </w:rPr>
        <w:t xml:space="preserve"> </w:t>
      </w:r>
      <w:r w:rsidR="00322300" w:rsidRPr="008160AE">
        <w:rPr>
          <w:rFonts w:ascii="Arial" w:hAnsi="Arial" w:cs="Arial"/>
        </w:rPr>
        <w:t xml:space="preserve">separateness of equity and the </w:t>
      </w:r>
      <w:r w:rsidR="00322300" w:rsidRPr="001B628B">
        <w:rPr>
          <w:rFonts w:ascii="Arial" w:hAnsi="Arial" w:cs="Arial"/>
        </w:rPr>
        <w:t>common law led</w:t>
      </w:r>
      <w:r w:rsidR="000A2D12">
        <w:rPr>
          <w:rFonts w:ascii="Arial" w:hAnsi="Arial" w:cs="Arial"/>
        </w:rPr>
        <w:t>,</w:t>
      </w:r>
      <w:r w:rsidR="00322300" w:rsidRPr="001B628B">
        <w:rPr>
          <w:rFonts w:ascii="Arial" w:hAnsi="Arial" w:cs="Arial"/>
        </w:rPr>
        <w:t xml:space="preserve"> </w:t>
      </w:r>
      <w:r w:rsidR="00154D98" w:rsidRPr="001B628B">
        <w:rPr>
          <w:rFonts w:ascii="Arial" w:hAnsi="Arial" w:cs="Arial"/>
        </w:rPr>
        <w:t>inevitabl</w:t>
      </w:r>
      <w:r w:rsidR="000A2D12">
        <w:rPr>
          <w:rFonts w:ascii="Arial" w:hAnsi="Arial" w:cs="Arial"/>
        </w:rPr>
        <w:t xml:space="preserve">y, to </w:t>
      </w:r>
      <w:r w:rsidR="00322300" w:rsidRPr="001B628B">
        <w:rPr>
          <w:rFonts w:ascii="Arial" w:hAnsi="Arial" w:cs="Arial"/>
        </w:rPr>
        <w:t>problems</w:t>
      </w:r>
      <w:r w:rsidR="00154D98" w:rsidRPr="001B628B">
        <w:rPr>
          <w:rFonts w:ascii="Arial" w:hAnsi="Arial" w:cs="Arial"/>
        </w:rPr>
        <w:t xml:space="preserve">, largely attributable to the fact that </w:t>
      </w:r>
      <w:r w:rsidR="00C44F20" w:rsidRPr="001B628B">
        <w:rPr>
          <w:rFonts w:ascii="Arial" w:hAnsi="Arial" w:cs="Arial"/>
        </w:rPr>
        <w:t xml:space="preserve">the Court of Chancery </w:t>
      </w:r>
      <w:r w:rsidR="007513EC" w:rsidRPr="001B628B">
        <w:rPr>
          <w:rFonts w:ascii="Arial" w:hAnsi="Arial" w:cs="Arial"/>
        </w:rPr>
        <w:t xml:space="preserve">had no jurisdiction to </w:t>
      </w:r>
      <w:r w:rsidR="003F371A" w:rsidRPr="001B628B">
        <w:rPr>
          <w:rFonts w:ascii="Arial" w:hAnsi="Arial" w:cs="Arial"/>
        </w:rPr>
        <w:t xml:space="preserve">grant damages, and the common law courts </w:t>
      </w:r>
      <w:r w:rsidR="002671D7" w:rsidRPr="001B628B">
        <w:rPr>
          <w:rFonts w:ascii="Arial" w:hAnsi="Arial" w:cs="Arial"/>
        </w:rPr>
        <w:t xml:space="preserve">did not have the capacity to </w:t>
      </w:r>
      <w:r w:rsidR="009B4BB6" w:rsidRPr="001B628B">
        <w:rPr>
          <w:rFonts w:ascii="Arial" w:hAnsi="Arial" w:cs="Arial"/>
        </w:rPr>
        <w:t xml:space="preserve">award equitable remedies. </w:t>
      </w:r>
      <w:r w:rsidR="00C132C7" w:rsidRPr="001B628B">
        <w:rPr>
          <w:rFonts w:ascii="Arial" w:hAnsi="Arial" w:cs="Arial"/>
        </w:rPr>
        <w:t xml:space="preserve">This was </w:t>
      </w:r>
      <w:r w:rsidR="000A2D12">
        <w:rPr>
          <w:rFonts w:ascii="Arial" w:hAnsi="Arial" w:cs="Arial"/>
        </w:rPr>
        <w:t>obviously</w:t>
      </w:r>
      <w:r w:rsidR="009F71BB" w:rsidRPr="001B628B">
        <w:rPr>
          <w:rFonts w:ascii="Arial" w:hAnsi="Arial" w:cs="Arial"/>
        </w:rPr>
        <w:t xml:space="preserve"> </w:t>
      </w:r>
      <w:r w:rsidR="0050601D" w:rsidRPr="001B628B">
        <w:rPr>
          <w:rFonts w:ascii="Arial" w:hAnsi="Arial" w:cs="Arial"/>
        </w:rPr>
        <w:t>inefficient</w:t>
      </w:r>
      <w:r w:rsidR="009F71BB" w:rsidRPr="001B628B">
        <w:rPr>
          <w:rFonts w:ascii="Arial" w:hAnsi="Arial" w:cs="Arial"/>
        </w:rPr>
        <w:t xml:space="preserve">, given that a claimant in </w:t>
      </w:r>
      <w:r w:rsidR="0050601D" w:rsidRPr="001B628B">
        <w:rPr>
          <w:rFonts w:ascii="Arial" w:hAnsi="Arial" w:cs="Arial"/>
        </w:rPr>
        <w:t>pursuit</w:t>
      </w:r>
      <w:r w:rsidR="009F71BB" w:rsidRPr="001B628B">
        <w:rPr>
          <w:rFonts w:ascii="Arial" w:hAnsi="Arial" w:cs="Arial"/>
        </w:rPr>
        <w:t xml:space="preserve"> of two remedies, </w:t>
      </w:r>
      <w:r w:rsidR="0069036B">
        <w:rPr>
          <w:rFonts w:ascii="Arial" w:hAnsi="Arial" w:cs="Arial"/>
        </w:rPr>
        <w:t xml:space="preserve">such as </w:t>
      </w:r>
      <w:r w:rsidR="009F71BB" w:rsidRPr="001B628B">
        <w:rPr>
          <w:rFonts w:ascii="Arial" w:hAnsi="Arial" w:cs="Arial"/>
        </w:rPr>
        <w:t xml:space="preserve">damages and an </w:t>
      </w:r>
      <w:r w:rsidR="004225D8" w:rsidRPr="001B628B">
        <w:rPr>
          <w:rFonts w:ascii="Arial" w:hAnsi="Arial" w:cs="Arial"/>
        </w:rPr>
        <w:t>injunction</w:t>
      </w:r>
      <w:r w:rsidR="009F71BB" w:rsidRPr="001B628B">
        <w:rPr>
          <w:rFonts w:ascii="Arial" w:hAnsi="Arial" w:cs="Arial"/>
        </w:rPr>
        <w:t>, would</w:t>
      </w:r>
      <w:r w:rsidR="00CA58B2" w:rsidRPr="001B628B">
        <w:rPr>
          <w:rFonts w:ascii="Arial" w:hAnsi="Arial" w:cs="Arial"/>
        </w:rPr>
        <w:t xml:space="preserve"> have to bring two separate claims, in two separate courts. </w:t>
      </w:r>
      <w:r w:rsidR="00AF6932" w:rsidRPr="001B628B">
        <w:rPr>
          <w:rFonts w:ascii="Arial" w:hAnsi="Arial" w:cs="Arial"/>
        </w:rPr>
        <w:t xml:space="preserve">In addition to the illogical nature of this, it also </w:t>
      </w:r>
      <w:r w:rsidR="00E044E1" w:rsidRPr="001B628B">
        <w:rPr>
          <w:rFonts w:ascii="Arial" w:hAnsi="Arial" w:cs="Arial"/>
        </w:rPr>
        <w:t xml:space="preserve">led to instances of conflict between the two separate bodies of rules, despite the fact that </w:t>
      </w:r>
      <w:r w:rsidR="001A40CE" w:rsidRPr="001B628B">
        <w:rPr>
          <w:rFonts w:ascii="Arial" w:hAnsi="Arial" w:cs="Arial"/>
        </w:rPr>
        <w:t xml:space="preserve">Lord Ellesmere confirmed in the </w:t>
      </w:r>
      <w:r w:rsidR="001A40CE" w:rsidRPr="001B628B">
        <w:rPr>
          <w:rFonts w:ascii="Arial" w:hAnsi="Arial" w:cs="Arial"/>
          <w:i/>
          <w:iCs/>
        </w:rPr>
        <w:t>Earl of Oxford’s Case</w:t>
      </w:r>
      <w:r w:rsidR="001A40CE" w:rsidRPr="001B628B">
        <w:rPr>
          <w:rFonts w:ascii="Arial" w:hAnsi="Arial" w:cs="Arial"/>
        </w:rPr>
        <w:t xml:space="preserve"> (1615) that should the</w:t>
      </w:r>
      <w:r w:rsidR="0069036B">
        <w:rPr>
          <w:rFonts w:ascii="Arial" w:hAnsi="Arial" w:cs="Arial"/>
        </w:rPr>
        <w:t xml:space="preserve">re be a discrepancy between the two, </w:t>
      </w:r>
      <w:r w:rsidR="001A40CE" w:rsidRPr="001B628B">
        <w:rPr>
          <w:rFonts w:ascii="Arial" w:hAnsi="Arial" w:cs="Arial"/>
        </w:rPr>
        <w:t xml:space="preserve">equity </w:t>
      </w:r>
      <w:r w:rsidR="0069036B">
        <w:rPr>
          <w:rFonts w:ascii="Arial" w:hAnsi="Arial" w:cs="Arial"/>
        </w:rPr>
        <w:t>sh</w:t>
      </w:r>
      <w:r w:rsidR="001A40CE" w:rsidRPr="001B628B">
        <w:rPr>
          <w:rFonts w:ascii="Arial" w:hAnsi="Arial" w:cs="Arial"/>
        </w:rPr>
        <w:t xml:space="preserve">ould take </w:t>
      </w:r>
      <w:r w:rsidR="0069036B">
        <w:rPr>
          <w:rFonts w:ascii="Arial" w:hAnsi="Arial" w:cs="Arial"/>
        </w:rPr>
        <w:t>precedence</w:t>
      </w:r>
      <w:r w:rsidR="001A40CE" w:rsidRPr="001B628B">
        <w:rPr>
          <w:rFonts w:ascii="Arial" w:hAnsi="Arial" w:cs="Arial"/>
        </w:rPr>
        <w:t xml:space="preserve">, i.e., equity precedes over the common law </w:t>
      </w:r>
      <w:r w:rsidR="00F07098" w:rsidRPr="001B628B">
        <w:rPr>
          <w:rFonts w:ascii="Arial" w:hAnsi="Arial" w:cs="Arial"/>
        </w:rPr>
        <w:t>rules</w:t>
      </w:r>
      <w:r w:rsidR="005E557F">
        <w:rPr>
          <w:rFonts w:ascii="Arial" w:hAnsi="Arial" w:cs="Arial"/>
        </w:rPr>
        <w:t xml:space="preserve"> (McDonald &amp; Street, 2022</w:t>
      </w:r>
      <w:r w:rsidR="0022658C">
        <w:rPr>
          <w:rFonts w:ascii="Arial" w:hAnsi="Arial" w:cs="Arial"/>
        </w:rPr>
        <w:t>)</w:t>
      </w:r>
      <w:r w:rsidR="00F07098" w:rsidRPr="001B628B">
        <w:rPr>
          <w:rFonts w:ascii="Arial" w:hAnsi="Arial" w:cs="Arial"/>
        </w:rPr>
        <w:t xml:space="preserve">. </w:t>
      </w:r>
      <w:r w:rsidR="000A2D12">
        <w:rPr>
          <w:rFonts w:ascii="Arial" w:hAnsi="Arial" w:cs="Arial"/>
        </w:rPr>
        <w:t xml:space="preserve"> </w:t>
      </w:r>
      <w:r w:rsidR="0069036B">
        <w:rPr>
          <w:rFonts w:ascii="Arial" w:hAnsi="Arial" w:cs="Arial"/>
        </w:rPr>
        <w:t xml:space="preserve"> </w:t>
      </w:r>
      <w:r w:rsidR="004B2E04" w:rsidRPr="0069036B">
        <w:rPr>
          <w:rFonts w:ascii="Arial" w:hAnsi="Arial" w:cs="Arial"/>
        </w:rPr>
        <w:t xml:space="preserve">This uncertainty led, in the late seventeenth and eighteenth centuries, to a body of </w:t>
      </w:r>
      <w:r w:rsidR="00B13BAC" w:rsidRPr="0069036B">
        <w:rPr>
          <w:rFonts w:ascii="Arial" w:hAnsi="Arial" w:cs="Arial"/>
        </w:rPr>
        <w:t>precedent being</w:t>
      </w:r>
      <w:r w:rsidR="004B2E04" w:rsidRPr="0069036B">
        <w:rPr>
          <w:rFonts w:ascii="Arial" w:hAnsi="Arial" w:cs="Arial"/>
        </w:rPr>
        <w:t xml:space="preserve"> harnessed to decide cases, </w:t>
      </w:r>
      <w:r w:rsidR="00B13BAC" w:rsidRPr="0069036B">
        <w:rPr>
          <w:rFonts w:ascii="Arial" w:hAnsi="Arial" w:cs="Arial"/>
        </w:rPr>
        <w:t>with the</w:t>
      </w:r>
      <w:r w:rsidR="004B2E04" w:rsidRPr="0069036B">
        <w:rPr>
          <w:rFonts w:ascii="Arial" w:hAnsi="Arial" w:cs="Arial"/>
        </w:rPr>
        <w:t xml:space="preserve"> discretionary nature of equity being preserved</w:t>
      </w:r>
      <w:r w:rsidR="0069036B">
        <w:rPr>
          <w:rFonts w:ascii="Arial" w:hAnsi="Arial" w:cs="Arial"/>
        </w:rPr>
        <w:t xml:space="preserve">, but this was not a perfect situation and cases of conflicts persisted </w:t>
      </w:r>
      <w:r w:rsidR="0069036B" w:rsidRPr="0069036B">
        <w:rPr>
          <w:rFonts w:ascii="Arial" w:hAnsi="Arial" w:cs="Arial"/>
        </w:rPr>
        <w:t>(Penner, 2022)</w:t>
      </w:r>
      <w:r w:rsidR="004B2E04" w:rsidRPr="0069036B">
        <w:rPr>
          <w:rFonts w:ascii="Arial" w:hAnsi="Arial" w:cs="Arial"/>
        </w:rPr>
        <w:t xml:space="preserve">. </w:t>
      </w:r>
    </w:p>
    <w:p w14:paraId="2B387F38" w14:textId="1C5A2E1E" w:rsidR="00FA57AE" w:rsidRPr="001B628B" w:rsidRDefault="00B13BAC" w:rsidP="001B628B">
      <w:pPr>
        <w:spacing w:line="480" w:lineRule="auto"/>
        <w:rPr>
          <w:rFonts w:ascii="Arial" w:hAnsi="Arial" w:cs="Arial"/>
        </w:rPr>
      </w:pPr>
      <w:r w:rsidRPr="001B628B">
        <w:rPr>
          <w:rFonts w:ascii="Arial" w:hAnsi="Arial" w:cs="Arial"/>
        </w:rPr>
        <w:lastRenderedPageBreak/>
        <w:t xml:space="preserve">Eventually, </w:t>
      </w:r>
      <w:r>
        <w:rPr>
          <w:rFonts w:ascii="Arial" w:hAnsi="Arial" w:cs="Arial"/>
        </w:rPr>
        <w:t>common</w:t>
      </w:r>
      <w:r w:rsidR="003A05F7" w:rsidRPr="001B628B">
        <w:rPr>
          <w:rFonts w:ascii="Arial" w:hAnsi="Arial" w:cs="Arial"/>
        </w:rPr>
        <w:t xml:space="preserve"> law and equity </w:t>
      </w:r>
      <w:r w:rsidR="000A2D12" w:rsidRPr="001B628B">
        <w:rPr>
          <w:rFonts w:ascii="Arial" w:hAnsi="Arial" w:cs="Arial"/>
        </w:rPr>
        <w:t xml:space="preserve">gradually </w:t>
      </w:r>
      <w:r w:rsidR="003A05F7" w:rsidRPr="001B628B">
        <w:rPr>
          <w:rFonts w:ascii="Arial" w:hAnsi="Arial" w:cs="Arial"/>
        </w:rPr>
        <w:t xml:space="preserve">started to </w:t>
      </w:r>
      <w:r w:rsidR="0069036B">
        <w:rPr>
          <w:rFonts w:ascii="Arial" w:hAnsi="Arial" w:cs="Arial"/>
        </w:rPr>
        <w:t>merge</w:t>
      </w:r>
      <w:r w:rsidR="00C06624" w:rsidRPr="001B628B">
        <w:rPr>
          <w:rFonts w:ascii="Arial" w:hAnsi="Arial" w:cs="Arial"/>
        </w:rPr>
        <w:t xml:space="preserve"> together, </w:t>
      </w:r>
      <w:r w:rsidR="00086441" w:rsidRPr="001B628B">
        <w:rPr>
          <w:rFonts w:ascii="Arial" w:hAnsi="Arial" w:cs="Arial"/>
        </w:rPr>
        <w:t xml:space="preserve">as </w:t>
      </w:r>
      <w:r w:rsidR="00C41C50" w:rsidRPr="001B628B">
        <w:rPr>
          <w:rFonts w:ascii="Arial" w:hAnsi="Arial" w:cs="Arial"/>
        </w:rPr>
        <w:t>part of the intention of Parliament</w:t>
      </w:r>
      <w:r w:rsidR="00FD6B29" w:rsidRPr="001B628B">
        <w:rPr>
          <w:rFonts w:ascii="Arial" w:hAnsi="Arial" w:cs="Arial"/>
        </w:rPr>
        <w:t xml:space="preserve">, </w:t>
      </w:r>
      <w:r w:rsidR="00AA560B" w:rsidRPr="001B628B">
        <w:rPr>
          <w:rFonts w:ascii="Arial" w:hAnsi="Arial" w:cs="Arial"/>
        </w:rPr>
        <w:t>with th</w:t>
      </w:r>
      <w:r w:rsidR="0069036B">
        <w:rPr>
          <w:rFonts w:ascii="Arial" w:hAnsi="Arial" w:cs="Arial"/>
        </w:rPr>
        <w:t xml:space="preserve">e realisation that is </w:t>
      </w:r>
      <w:r>
        <w:rPr>
          <w:rFonts w:ascii="Arial" w:hAnsi="Arial" w:cs="Arial"/>
        </w:rPr>
        <w:t xml:space="preserve">was </w:t>
      </w:r>
      <w:r w:rsidRPr="001B628B">
        <w:rPr>
          <w:rFonts w:ascii="Arial" w:hAnsi="Arial" w:cs="Arial"/>
        </w:rPr>
        <w:t>illogical</w:t>
      </w:r>
      <w:r w:rsidR="00AA560B" w:rsidRPr="001B628B">
        <w:rPr>
          <w:rFonts w:ascii="Arial" w:hAnsi="Arial" w:cs="Arial"/>
        </w:rPr>
        <w:t xml:space="preserve"> and inefficient for there </w:t>
      </w:r>
      <w:r w:rsidR="006D75AB" w:rsidRPr="001B628B">
        <w:rPr>
          <w:rFonts w:ascii="Arial" w:hAnsi="Arial" w:cs="Arial"/>
        </w:rPr>
        <w:t>to</w:t>
      </w:r>
      <w:r w:rsidR="00AA560B" w:rsidRPr="001B628B">
        <w:rPr>
          <w:rFonts w:ascii="Arial" w:hAnsi="Arial" w:cs="Arial"/>
        </w:rPr>
        <w:t xml:space="preserve"> be two separate bodies of rules, applied </w:t>
      </w:r>
      <w:r w:rsidR="0069036B">
        <w:rPr>
          <w:rFonts w:ascii="Arial" w:hAnsi="Arial" w:cs="Arial"/>
        </w:rPr>
        <w:t>by</w:t>
      </w:r>
      <w:r w:rsidR="00AA560B" w:rsidRPr="001B628B">
        <w:rPr>
          <w:rFonts w:ascii="Arial" w:hAnsi="Arial" w:cs="Arial"/>
        </w:rPr>
        <w:t xml:space="preserve"> different courts</w:t>
      </w:r>
      <w:r w:rsidR="000A2D12">
        <w:rPr>
          <w:rFonts w:ascii="Arial" w:hAnsi="Arial" w:cs="Arial"/>
        </w:rPr>
        <w:t xml:space="preserve"> and </w:t>
      </w:r>
      <w:r w:rsidR="00A717C2" w:rsidRPr="001B628B">
        <w:rPr>
          <w:rFonts w:ascii="Arial" w:hAnsi="Arial" w:cs="Arial"/>
        </w:rPr>
        <w:t xml:space="preserve"> Parliament </w:t>
      </w:r>
      <w:r w:rsidR="00086441" w:rsidRPr="001B628B">
        <w:rPr>
          <w:rFonts w:ascii="Arial" w:hAnsi="Arial" w:cs="Arial"/>
        </w:rPr>
        <w:t xml:space="preserve">facilitated </w:t>
      </w:r>
      <w:r w:rsidR="00A717C2" w:rsidRPr="001B628B">
        <w:rPr>
          <w:rFonts w:ascii="Arial" w:hAnsi="Arial" w:cs="Arial"/>
        </w:rPr>
        <w:t xml:space="preserve">the fusion of the two through </w:t>
      </w:r>
      <w:r w:rsidR="00086441" w:rsidRPr="001B628B">
        <w:rPr>
          <w:rFonts w:ascii="Arial" w:hAnsi="Arial" w:cs="Arial"/>
        </w:rPr>
        <w:t xml:space="preserve">the Common Law Procedure Act 1854, which empowered common law courts to grant </w:t>
      </w:r>
      <w:r w:rsidR="00312D34" w:rsidRPr="001B628B">
        <w:rPr>
          <w:rFonts w:ascii="Arial" w:hAnsi="Arial" w:cs="Arial"/>
        </w:rPr>
        <w:t>certain equitable remedies</w:t>
      </w:r>
      <w:r w:rsidR="00815F3C" w:rsidRPr="001B628B">
        <w:rPr>
          <w:rFonts w:ascii="Arial" w:hAnsi="Arial" w:cs="Arial"/>
        </w:rPr>
        <w:t xml:space="preserve">, and by the Chancery Amendment Act 1858, which empowered the Court of Chancery to </w:t>
      </w:r>
      <w:r w:rsidR="00A70C14" w:rsidRPr="001B628B">
        <w:rPr>
          <w:rFonts w:ascii="Arial" w:hAnsi="Arial" w:cs="Arial"/>
        </w:rPr>
        <w:t>grant damages in some circumstances</w:t>
      </w:r>
      <w:r w:rsidRPr="001B628B">
        <w:rPr>
          <w:rFonts w:ascii="Arial" w:hAnsi="Arial" w:cs="Arial"/>
        </w:rPr>
        <w:t xml:space="preserve">. </w:t>
      </w:r>
      <w:r w:rsidR="0069036B">
        <w:rPr>
          <w:rFonts w:ascii="Arial" w:hAnsi="Arial" w:cs="Arial"/>
        </w:rPr>
        <w:t xml:space="preserve">The next and </w:t>
      </w:r>
      <w:r>
        <w:rPr>
          <w:rFonts w:ascii="Arial" w:hAnsi="Arial" w:cs="Arial"/>
        </w:rPr>
        <w:t xml:space="preserve">decisive </w:t>
      </w:r>
      <w:r w:rsidRPr="001B628B">
        <w:rPr>
          <w:rFonts w:ascii="Arial" w:hAnsi="Arial" w:cs="Arial"/>
        </w:rPr>
        <w:t>step</w:t>
      </w:r>
      <w:r w:rsidR="007B4D65" w:rsidRPr="001B628B">
        <w:rPr>
          <w:rFonts w:ascii="Arial" w:hAnsi="Arial" w:cs="Arial"/>
        </w:rPr>
        <w:t xml:space="preserve"> in pursuit of greater fusion was then </w:t>
      </w:r>
      <w:r w:rsidR="008E5A79" w:rsidRPr="001B628B">
        <w:rPr>
          <w:rFonts w:ascii="Arial" w:hAnsi="Arial" w:cs="Arial"/>
        </w:rPr>
        <w:t xml:space="preserve">taken with the </w:t>
      </w:r>
      <w:r w:rsidR="00DD73A4" w:rsidRPr="001B628B">
        <w:rPr>
          <w:rFonts w:ascii="Arial" w:hAnsi="Arial" w:cs="Arial"/>
        </w:rPr>
        <w:t xml:space="preserve">enactment of the Judicature Acts of 1873 and 1875, </w:t>
      </w:r>
      <w:r w:rsidR="00471B81" w:rsidRPr="001B628B">
        <w:rPr>
          <w:rFonts w:ascii="Arial" w:hAnsi="Arial" w:cs="Arial"/>
        </w:rPr>
        <w:t xml:space="preserve">which abolished the separate courts, replacing them with the unifying Supreme Court of Judicature. Although this </w:t>
      </w:r>
      <w:r w:rsidR="00121568" w:rsidRPr="001B628B">
        <w:rPr>
          <w:rFonts w:ascii="Arial" w:hAnsi="Arial" w:cs="Arial"/>
        </w:rPr>
        <w:t xml:space="preserve">entailed separate divisions, </w:t>
      </w:r>
      <w:r w:rsidR="00967B9A" w:rsidRPr="001B628B">
        <w:rPr>
          <w:rFonts w:ascii="Arial" w:hAnsi="Arial" w:cs="Arial"/>
        </w:rPr>
        <w:t xml:space="preserve">all of them had the </w:t>
      </w:r>
      <w:r w:rsidRPr="001B628B">
        <w:rPr>
          <w:rFonts w:ascii="Arial" w:hAnsi="Arial" w:cs="Arial"/>
        </w:rPr>
        <w:t>authority</w:t>
      </w:r>
      <w:r w:rsidR="00557B87" w:rsidRPr="001B628B">
        <w:rPr>
          <w:rFonts w:ascii="Arial" w:hAnsi="Arial" w:cs="Arial"/>
        </w:rPr>
        <w:t xml:space="preserve"> to </w:t>
      </w:r>
      <w:r w:rsidR="007725B2" w:rsidRPr="001B628B">
        <w:rPr>
          <w:rFonts w:ascii="Arial" w:hAnsi="Arial" w:cs="Arial"/>
        </w:rPr>
        <w:t xml:space="preserve">apply the rules and remedies of equity and the common law. </w:t>
      </w:r>
      <w:r w:rsidR="005415DA" w:rsidRPr="001B628B">
        <w:rPr>
          <w:rFonts w:ascii="Arial" w:hAnsi="Arial" w:cs="Arial"/>
        </w:rPr>
        <w:t xml:space="preserve">Notably, however, equity </w:t>
      </w:r>
      <w:r w:rsidR="00D9077A" w:rsidRPr="001B628B">
        <w:rPr>
          <w:rFonts w:ascii="Arial" w:hAnsi="Arial" w:cs="Arial"/>
        </w:rPr>
        <w:t xml:space="preserve">was still </w:t>
      </w:r>
      <w:r w:rsidR="00171F72" w:rsidRPr="001B628B">
        <w:rPr>
          <w:rFonts w:ascii="Arial" w:hAnsi="Arial" w:cs="Arial"/>
        </w:rPr>
        <w:t xml:space="preserve">said to take precedence in a case of conflict with the common law, as prescribed by section 25 of the Judicature Act of 1873, </w:t>
      </w:r>
      <w:r w:rsidR="00CF77D3" w:rsidRPr="001B628B">
        <w:rPr>
          <w:rFonts w:ascii="Arial" w:hAnsi="Arial" w:cs="Arial"/>
        </w:rPr>
        <w:t xml:space="preserve">and affirmed in </w:t>
      </w:r>
      <w:r w:rsidR="00CF77D3" w:rsidRPr="001B628B">
        <w:rPr>
          <w:rFonts w:ascii="Arial" w:hAnsi="Arial" w:cs="Arial"/>
          <w:i/>
          <w:iCs/>
        </w:rPr>
        <w:t>Walsh v Lonsdale</w:t>
      </w:r>
      <w:r w:rsidR="00CF77D3" w:rsidRPr="001B628B">
        <w:rPr>
          <w:rFonts w:ascii="Arial" w:hAnsi="Arial" w:cs="Arial"/>
        </w:rPr>
        <w:t xml:space="preserve"> (1882)</w:t>
      </w:r>
      <w:r w:rsidR="00153197">
        <w:rPr>
          <w:rFonts w:ascii="Arial" w:hAnsi="Arial" w:cs="Arial"/>
        </w:rPr>
        <w:t xml:space="preserve"> (Penner, 2020)</w:t>
      </w:r>
      <w:r w:rsidR="00CF77D3" w:rsidRPr="001B628B">
        <w:rPr>
          <w:rFonts w:ascii="Arial" w:hAnsi="Arial" w:cs="Arial"/>
        </w:rPr>
        <w:t>.</w:t>
      </w:r>
    </w:p>
    <w:p w14:paraId="5597EAA0" w14:textId="6BD7BE09" w:rsidR="001246C9" w:rsidRPr="00153197" w:rsidRDefault="00183443" w:rsidP="001B628B">
      <w:pPr>
        <w:spacing w:line="480" w:lineRule="auto"/>
        <w:rPr>
          <w:rFonts w:ascii="Arial" w:hAnsi="Arial" w:cs="Arial"/>
        </w:rPr>
      </w:pPr>
      <w:r w:rsidRPr="001B628B">
        <w:rPr>
          <w:rFonts w:ascii="Arial" w:hAnsi="Arial" w:cs="Arial"/>
        </w:rPr>
        <w:t xml:space="preserve">As </w:t>
      </w:r>
      <w:r w:rsidR="00153197">
        <w:rPr>
          <w:rFonts w:ascii="Arial" w:hAnsi="Arial" w:cs="Arial"/>
        </w:rPr>
        <w:t>already discussed above</w:t>
      </w:r>
      <w:r w:rsidRPr="001B628B">
        <w:rPr>
          <w:rFonts w:ascii="Arial" w:hAnsi="Arial" w:cs="Arial"/>
        </w:rPr>
        <w:t xml:space="preserve"> equity emerged as a </w:t>
      </w:r>
      <w:r w:rsidR="0009656A" w:rsidRPr="001B628B">
        <w:rPr>
          <w:rFonts w:ascii="Arial" w:hAnsi="Arial" w:cs="Arial"/>
        </w:rPr>
        <w:t xml:space="preserve">way to mitigate the shortcomings of the common law, </w:t>
      </w:r>
      <w:r w:rsidR="005908AF" w:rsidRPr="001B628B">
        <w:rPr>
          <w:rFonts w:ascii="Arial" w:hAnsi="Arial" w:cs="Arial"/>
        </w:rPr>
        <w:t>with the</w:t>
      </w:r>
      <w:r w:rsidR="0083696D">
        <w:rPr>
          <w:rFonts w:ascii="Arial" w:hAnsi="Arial" w:cs="Arial"/>
        </w:rPr>
        <w:t xml:space="preserve"> “</w:t>
      </w:r>
      <w:r w:rsidR="0083696D" w:rsidRPr="0083696D">
        <w:rPr>
          <w:rFonts w:ascii="Arial" w:hAnsi="Arial" w:cs="Arial"/>
          <w:i/>
          <w:iCs/>
        </w:rPr>
        <w:t>use</w:t>
      </w:r>
      <w:r w:rsidR="0083696D">
        <w:rPr>
          <w:rFonts w:ascii="Arial" w:hAnsi="Arial" w:cs="Arial"/>
          <w:i/>
          <w:iCs/>
        </w:rPr>
        <w:t>s</w:t>
      </w:r>
      <w:r w:rsidR="0083696D" w:rsidRPr="0083696D">
        <w:rPr>
          <w:rFonts w:ascii="Arial" w:hAnsi="Arial" w:cs="Arial"/>
          <w:i/>
          <w:iCs/>
        </w:rPr>
        <w:t>”</w:t>
      </w:r>
      <w:r w:rsidR="0083696D">
        <w:rPr>
          <w:rFonts w:ascii="Arial" w:hAnsi="Arial" w:cs="Arial"/>
        </w:rPr>
        <w:t xml:space="preserve"> (predecessor term for trust)</w:t>
      </w:r>
      <w:r w:rsidR="005908AF" w:rsidRPr="001B628B">
        <w:rPr>
          <w:rFonts w:ascii="Arial" w:hAnsi="Arial" w:cs="Arial"/>
        </w:rPr>
        <w:t xml:space="preserve"> trust being one of the core concepts of it</w:t>
      </w:r>
      <w:r w:rsidR="0083696D">
        <w:rPr>
          <w:rFonts w:ascii="Arial" w:hAnsi="Arial" w:cs="Arial"/>
        </w:rPr>
        <w:t>, which was in effect</w:t>
      </w:r>
      <w:r w:rsidR="00DE1ABA" w:rsidRPr="001B628B">
        <w:rPr>
          <w:rFonts w:ascii="Arial" w:hAnsi="Arial" w:cs="Arial"/>
        </w:rPr>
        <w:t xml:space="preserve"> an equitable obligation</w:t>
      </w:r>
      <w:r w:rsidR="00626140" w:rsidRPr="001B628B">
        <w:rPr>
          <w:rFonts w:ascii="Arial" w:hAnsi="Arial" w:cs="Arial"/>
        </w:rPr>
        <w:t xml:space="preserve"> which slowly began to emerge and </w:t>
      </w:r>
      <w:r w:rsidR="00A35C1A" w:rsidRPr="001B628B">
        <w:rPr>
          <w:rFonts w:ascii="Arial" w:hAnsi="Arial" w:cs="Arial"/>
        </w:rPr>
        <w:t xml:space="preserve">subsequently develop in the Chancery court. </w:t>
      </w:r>
      <w:r w:rsidR="00013A0E">
        <w:rPr>
          <w:rFonts w:ascii="Arial" w:hAnsi="Arial" w:cs="Arial"/>
        </w:rPr>
        <w:t xml:space="preserve">The </w:t>
      </w:r>
      <w:r w:rsidR="00013A0E" w:rsidRPr="001B628B">
        <w:rPr>
          <w:rFonts w:ascii="Arial" w:hAnsi="Arial" w:cs="Arial"/>
        </w:rPr>
        <w:t>general</w:t>
      </w:r>
      <w:r w:rsidR="003F32C9" w:rsidRPr="001B628B">
        <w:rPr>
          <w:rFonts w:ascii="Arial" w:hAnsi="Arial" w:cs="Arial"/>
        </w:rPr>
        <w:t xml:space="preserve"> </w:t>
      </w:r>
      <w:r w:rsidR="00013A0E" w:rsidRPr="001B628B">
        <w:rPr>
          <w:rFonts w:ascii="Arial" w:hAnsi="Arial" w:cs="Arial"/>
        </w:rPr>
        <w:t xml:space="preserve">purpose </w:t>
      </w:r>
      <w:r w:rsidR="00013A0E">
        <w:rPr>
          <w:rFonts w:ascii="Arial" w:hAnsi="Arial" w:cs="Arial"/>
        </w:rPr>
        <w:t>of</w:t>
      </w:r>
      <w:r w:rsidR="0083696D">
        <w:rPr>
          <w:rFonts w:ascii="Arial" w:hAnsi="Arial" w:cs="Arial"/>
        </w:rPr>
        <w:t xml:space="preserve"> </w:t>
      </w:r>
      <w:r w:rsidR="0083696D" w:rsidRPr="0083696D">
        <w:rPr>
          <w:rFonts w:ascii="Arial" w:hAnsi="Arial" w:cs="Arial"/>
          <w:i/>
          <w:iCs/>
        </w:rPr>
        <w:t>use</w:t>
      </w:r>
      <w:r w:rsidR="0083696D">
        <w:rPr>
          <w:rFonts w:ascii="Arial" w:hAnsi="Arial" w:cs="Arial"/>
        </w:rPr>
        <w:t xml:space="preserve"> </w:t>
      </w:r>
      <w:r w:rsidR="003F32C9" w:rsidRPr="001B628B">
        <w:rPr>
          <w:rFonts w:ascii="Arial" w:hAnsi="Arial" w:cs="Arial"/>
        </w:rPr>
        <w:t>was to provide a way for property to be transferred</w:t>
      </w:r>
      <w:r w:rsidR="00433D43" w:rsidRPr="001B628B">
        <w:rPr>
          <w:rFonts w:ascii="Arial" w:hAnsi="Arial" w:cs="Arial"/>
        </w:rPr>
        <w:t>, i.e., by one person to another</w:t>
      </w:r>
      <w:r w:rsidR="00B562E7" w:rsidRPr="001B628B">
        <w:rPr>
          <w:rFonts w:ascii="Arial" w:hAnsi="Arial" w:cs="Arial"/>
        </w:rPr>
        <w:t>, for the use of another</w:t>
      </w:r>
      <w:r w:rsidR="00DB7413">
        <w:rPr>
          <w:rFonts w:ascii="Arial" w:hAnsi="Arial" w:cs="Arial"/>
        </w:rPr>
        <w:t xml:space="preserve"> (</w:t>
      </w:r>
      <w:r w:rsidR="0083696D">
        <w:rPr>
          <w:rFonts w:ascii="Arial" w:hAnsi="Arial" w:cs="Arial"/>
        </w:rPr>
        <w:t>Barr &amp; Picton, 2022)</w:t>
      </w:r>
      <w:r w:rsidR="00B562E7" w:rsidRPr="001B628B">
        <w:rPr>
          <w:rFonts w:ascii="Arial" w:hAnsi="Arial" w:cs="Arial"/>
        </w:rPr>
        <w:t>.</w:t>
      </w:r>
      <w:r w:rsidR="00FA0AA0" w:rsidRPr="001B628B">
        <w:rPr>
          <w:rFonts w:ascii="Arial" w:hAnsi="Arial" w:cs="Arial"/>
        </w:rPr>
        <w:t xml:space="preserve"> </w:t>
      </w:r>
      <w:r w:rsidR="004C6D5E" w:rsidRPr="001B628B">
        <w:rPr>
          <w:rFonts w:ascii="Arial" w:hAnsi="Arial" w:cs="Arial"/>
        </w:rPr>
        <w:t xml:space="preserve">The idea behind it was that </w:t>
      </w:r>
      <w:r w:rsidR="00BD229E" w:rsidRPr="001B628B">
        <w:rPr>
          <w:rFonts w:ascii="Arial" w:hAnsi="Arial" w:cs="Arial"/>
        </w:rPr>
        <w:t xml:space="preserve">the legal owner of land, i.e., the person who the common law viewed as the absolute legal owner, </w:t>
      </w:r>
      <w:r w:rsidR="003E77A9" w:rsidRPr="001B628B">
        <w:rPr>
          <w:rFonts w:ascii="Arial" w:hAnsi="Arial" w:cs="Arial"/>
        </w:rPr>
        <w:t xml:space="preserve">could </w:t>
      </w:r>
      <w:r w:rsidR="008871B2" w:rsidRPr="001B628B">
        <w:rPr>
          <w:rFonts w:ascii="Arial" w:hAnsi="Arial" w:cs="Arial"/>
        </w:rPr>
        <w:t>temporarily or permanently</w:t>
      </w:r>
      <w:r w:rsidR="00D66A9A" w:rsidRPr="001B628B">
        <w:rPr>
          <w:rFonts w:ascii="Arial" w:hAnsi="Arial" w:cs="Arial"/>
        </w:rPr>
        <w:t xml:space="preserve"> give the land to someone they trusted, </w:t>
      </w:r>
      <w:r w:rsidR="004E6905" w:rsidRPr="001B628B">
        <w:rPr>
          <w:rFonts w:ascii="Arial" w:hAnsi="Arial" w:cs="Arial"/>
        </w:rPr>
        <w:t xml:space="preserve">to use it </w:t>
      </w:r>
      <w:r w:rsidR="00DB47EF" w:rsidRPr="001B628B">
        <w:rPr>
          <w:rFonts w:ascii="Arial" w:hAnsi="Arial" w:cs="Arial"/>
        </w:rPr>
        <w:t xml:space="preserve">for the benefit of their family or friends, whilst they were away. </w:t>
      </w:r>
      <w:r w:rsidR="003C0050" w:rsidRPr="001B628B">
        <w:rPr>
          <w:rFonts w:ascii="Arial" w:hAnsi="Arial" w:cs="Arial"/>
        </w:rPr>
        <w:t>This was to ensure that the land could be put to good use</w:t>
      </w:r>
      <w:r w:rsidR="0050737B" w:rsidRPr="001B628B">
        <w:rPr>
          <w:rFonts w:ascii="Arial" w:hAnsi="Arial" w:cs="Arial"/>
        </w:rPr>
        <w:t xml:space="preserve">, as intended by the legal owner, but without its legal owner </w:t>
      </w:r>
      <w:r w:rsidR="00CC05BF" w:rsidRPr="001B628B">
        <w:rPr>
          <w:rFonts w:ascii="Arial" w:hAnsi="Arial" w:cs="Arial"/>
        </w:rPr>
        <w:t xml:space="preserve">literally </w:t>
      </w:r>
      <w:r w:rsidR="0050737B" w:rsidRPr="001B628B">
        <w:rPr>
          <w:rFonts w:ascii="Arial" w:hAnsi="Arial" w:cs="Arial"/>
        </w:rPr>
        <w:t xml:space="preserve">overseeing </w:t>
      </w:r>
      <w:r w:rsidR="00CC05BF" w:rsidRPr="001B628B">
        <w:rPr>
          <w:rFonts w:ascii="Arial" w:hAnsi="Arial" w:cs="Arial"/>
        </w:rPr>
        <w:t xml:space="preserve">it day to day. </w:t>
      </w:r>
      <w:r w:rsidR="00145210" w:rsidRPr="00177F94">
        <w:rPr>
          <w:rFonts w:ascii="Arial" w:hAnsi="Arial" w:cs="Arial"/>
        </w:rPr>
        <w:t>H</w:t>
      </w:r>
      <w:r w:rsidR="008815CE" w:rsidRPr="00177F94">
        <w:rPr>
          <w:rFonts w:ascii="Arial" w:hAnsi="Arial" w:cs="Arial"/>
        </w:rPr>
        <w:t xml:space="preserve">owever, </w:t>
      </w:r>
      <w:r w:rsidR="00145210" w:rsidRPr="00177F94">
        <w:rPr>
          <w:rFonts w:ascii="Arial" w:hAnsi="Arial" w:cs="Arial"/>
        </w:rPr>
        <w:t xml:space="preserve">the person </w:t>
      </w:r>
      <w:r w:rsidR="00145210" w:rsidRPr="00177F94">
        <w:rPr>
          <w:rFonts w:ascii="Arial" w:hAnsi="Arial" w:cs="Arial"/>
        </w:rPr>
        <w:lastRenderedPageBreak/>
        <w:t>receiving the land in this way</w:t>
      </w:r>
      <w:r w:rsidR="006F6839" w:rsidRPr="00177F94">
        <w:rPr>
          <w:rFonts w:ascii="Arial" w:hAnsi="Arial" w:cs="Arial"/>
        </w:rPr>
        <w:t xml:space="preserve"> sometimes acted in bad faith, </w:t>
      </w:r>
      <w:r w:rsidR="00754506" w:rsidRPr="00177F94">
        <w:rPr>
          <w:rFonts w:ascii="Arial" w:hAnsi="Arial" w:cs="Arial"/>
        </w:rPr>
        <w:t xml:space="preserve">and due to the rigidity of the common law, </w:t>
      </w:r>
      <w:r w:rsidR="00404981" w:rsidRPr="00177F94">
        <w:rPr>
          <w:rFonts w:ascii="Arial" w:hAnsi="Arial" w:cs="Arial"/>
        </w:rPr>
        <w:t>it was viewed that the transferee had ownership</w:t>
      </w:r>
      <w:r w:rsidR="004F2AFA" w:rsidRPr="00177F94">
        <w:rPr>
          <w:rFonts w:ascii="Arial" w:hAnsi="Arial" w:cs="Arial"/>
        </w:rPr>
        <w:t xml:space="preserve">, meaning that </w:t>
      </w:r>
      <w:r w:rsidR="00F450AA" w:rsidRPr="00177F94">
        <w:rPr>
          <w:rFonts w:ascii="Arial" w:hAnsi="Arial" w:cs="Arial"/>
        </w:rPr>
        <w:t xml:space="preserve">the original legal owner’s purpose in giving them the land was </w:t>
      </w:r>
      <w:r w:rsidR="00ED18DD">
        <w:rPr>
          <w:rFonts w:ascii="Arial" w:hAnsi="Arial" w:cs="Arial"/>
        </w:rPr>
        <w:t>usurped</w:t>
      </w:r>
      <w:r w:rsidR="00F450AA" w:rsidRPr="00177F94">
        <w:rPr>
          <w:rFonts w:ascii="Arial" w:hAnsi="Arial" w:cs="Arial"/>
        </w:rPr>
        <w:t>,</w:t>
      </w:r>
      <w:r w:rsidR="00F450AA" w:rsidRPr="001B628B">
        <w:rPr>
          <w:rFonts w:ascii="Arial" w:hAnsi="Arial" w:cs="Arial"/>
        </w:rPr>
        <w:t xml:space="preserve"> leaving the</w:t>
      </w:r>
      <w:r w:rsidR="00ED18DD">
        <w:rPr>
          <w:rFonts w:ascii="Arial" w:hAnsi="Arial" w:cs="Arial"/>
        </w:rPr>
        <w:t xml:space="preserve"> </w:t>
      </w:r>
      <w:r w:rsidR="00F450AA" w:rsidRPr="001B628B">
        <w:rPr>
          <w:rFonts w:ascii="Arial" w:hAnsi="Arial" w:cs="Arial"/>
        </w:rPr>
        <w:t xml:space="preserve">intended beneficiaries without any </w:t>
      </w:r>
      <w:r w:rsidR="00C25631" w:rsidRPr="001B628B">
        <w:rPr>
          <w:rFonts w:ascii="Arial" w:hAnsi="Arial" w:cs="Arial"/>
        </w:rPr>
        <w:t>recognisable interest in the land</w:t>
      </w:r>
      <w:r w:rsidR="006873FF">
        <w:rPr>
          <w:rFonts w:ascii="Arial" w:hAnsi="Arial" w:cs="Arial"/>
        </w:rPr>
        <w:t xml:space="preserve"> (e.g</w:t>
      </w:r>
      <w:r w:rsidR="006873FF" w:rsidRPr="006873FF">
        <w:rPr>
          <w:rFonts w:ascii="Arial" w:hAnsi="Arial" w:cs="Arial"/>
          <w:i/>
          <w:iCs/>
        </w:rPr>
        <w:t>. Earl of Oxford</w:t>
      </w:r>
      <w:r w:rsidR="006873FF">
        <w:rPr>
          <w:rFonts w:ascii="Arial" w:hAnsi="Arial" w:cs="Arial"/>
        </w:rPr>
        <w:t xml:space="preserve"> </w:t>
      </w:r>
      <w:r w:rsidR="006873FF" w:rsidRPr="006873FF">
        <w:rPr>
          <w:rFonts w:ascii="Arial" w:hAnsi="Arial" w:cs="Arial"/>
          <w:i/>
          <w:iCs/>
        </w:rPr>
        <w:t>Case</w:t>
      </w:r>
      <w:r w:rsidR="006873FF">
        <w:rPr>
          <w:rFonts w:ascii="Arial" w:hAnsi="Arial" w:cs="Arial"/>
          <w:i/>
          <w:iCs/>
        </w:rPr>
        <w:t xml:space="preserve">- </w:t>
      </w:r>
      <w:r w:rsidR="006873FF" w:rsidRPr="006873FF">
        <w:rPr>
          <w:rFonts w:ascii="Arial" w:hAnsi="Arial" w:cs="Arial"/>
        </w:rPr>
        <w:t>Macdonald &amp; Street, 2022</w:t>
      </w:r>
      <w:r w:rsidR="006873FF">
        <w:rPr>
          <w:rFonts w:ascii="Arial" w:hAnsi="Arial" w:cs="Arial"/>
        </w:rPr>
        <w:t>)</w:t>
      </w:r>
      <w:r w:rsidR="00C25631" w:rsidRPr="001B628B">
        <w:rPr>
          <w:rFonts w:ascii="Arial" w:hAnsi="Arial" w:cs="Arial"/>
        </w:rPr>
        <w:t xml:space="preserve">. </w:t>
      </w:r>
      <w:r w:rsidR="00FF7EBD" w:rsidRPr="001B628B">
        <w:rPr>
          <w:rFonts w:ascii="Arial" w:hAnsi="Arial" w:cs="Arial"/>
        </w:rPr>
        <w:t xml:space="preserve">Over time, </w:t>
      </w:r>
      <w:r w:rsidR="000148F1" w:rsidRPr="001B628B">
        <w:rPr>
          <w:rFonts w:ascii="Arial" w:hAnsi="Arial" w:cs="Arial"/>
        </w:rPr>
        <w:t xml:space="preserve">the Chancellor began to acknowledge the </w:t>
      </w:r>
      <w:r w:rsidR="00924300" w:rsidRPr="001B628B">
        <w:rPr>
          <w:rFonts w:ascii="Arial" w:hAnsi="Arial" w:cs="Arial"/>
        </w:rPr>
        <w:t xml:space="preserve">unfairness this </w:t>
      </w:r>
      <w:r w:rsidR="00ED18DD">
        <w:rPr>
          <w:rFonts w:ascii="Arial" w:hAnsi="Arial" w:cs="Arial"/>
        </w:rPr>
        <w:t>caused</w:t>
      </w:r>
      <w:r w:rsidR="00924300" w:rsidRPr="001B628B">
        <w:rPr>
          <w:rFonts w:ascii="Arial" w:hAnsi="Arial" w:cs="Arial"/>
        </w:rPr>
        <w:t xml:space="preserve">, </w:t>
      </w:r>
      <w:r w:rsidR="00786168" w:rsidRPr="001B628B">
        <w:rPr>
          <w:rFonts w:ascii="Arial" w:hAnsi="Arial" w:cs="Arial"/>
        </w:rPr>
        <w:t>reaching the conclusion that two separate interests in the land should be considered</w:t>
      </w:r>
      <w:r w:rsidR="00153197">
        <w:rPr>
          <w:rFonts w:ascii="Arial" w:hAnsi="Arial" w:cs="Arial"/>
        </w:rPr>
        <w:t xml:space="preserve">, </w:t>
      </w:r>
      <w:r w:rsidR="00B13BAC">
        <w:rPr>
          <w:rFonts w:ascii="Arial" w:hAnsi="Arial" w:cs="Arial"/>
        </w:rPr>
        <w:t>i.e.,</w:t>
      </w:r>
      <w:r w:rsidR="00786168" w:rsidRPr="001B628B">
        <w:rPr>
          <w:rFonts w:ascii="Arial" w:hAnsi="Arial" w:cs="Arial"/>
        </w:rPr>
        <w:t xml:space="preserve"> at law, and in equity</w:t>
      </w:r>
      <w:r w:rsidR="00F3687B">
        <w:rPr>
          <w:rFonts w:ascii="Arial" w:hAnsi="Arial" w:cs="Arial"/>
        </w:rPr>
        <w:t xml:space="preserve"> (Edwards &amp; Stockwell,2015)</w:t>
      </w:r>
      <w:r w:rsidR="00786168" w:rsidRPr="001B628B">
        <w:rPr>
          <w:rFonts w:ascii="Arial" w:hAnsi="Arial" w:cs="Arial"/>
        </w:rPr>
        <w:t xml:space="preserve">. </w:t>
      </w:r>
      <w:r w:rsidR="00177F94">
        <w:rPr>
          <w:rFonts w:ascii="Arial" w:hAnsi="Arial" w:cs="Arial"/>
        </w:rPr>
        <w:t xml:space="preserve">This </w:t>
      </w:r>
      <w:r w:rsidR="00ED18DD">
        <w:rPr>
          <w:rFonts w:ascii="Arial" w:hAnsi="Arial" w:cs="Arial"/>
        </w:rPr>
        <w:t>further</w:t>
      </w:r>
      <w:r w:rsidR="00D1265E" w:rsidRPr="001B628B">
        <w:rPr>
          <w:rFonts w:ascii="Arial" w:hAnsi="Arial" w:cs="Arial"/>
        </w:rPr>
        <w:t xml:space="preserve"> highlights how </w:t>
      </w:r>
      <w:r w:rsidR="0001744A" w:rsidRPr="001B628B">
        <w:rPr>
          <w:rFonts w:ascii="Arial" w:hAnsi="Arial" w:cs="Arial"/>
        </w:rPr>
        <w:t xml:space="preserve">the development of equity has been fundamental in </w:t>
      </w:r>
      <w:r w:rsidR="00E84718" w:rsidRPr="001B628B">
        <w:rPr>
          <w:rFonts w:ascii="Arial" w:hAnsi="Arial" w:cs="Arial"/>
        </w:rPr>
        <w:t xml:space="preserve">achieving fairness, </w:t>
      </w:r>
      <w:r w:rsidR="001D5BDE" w:rsidRPr="001B628B">
        <w:rPr>
          <w:rFonts w:ascii="Arial" w:hAnsi="Arial" w:cs="Arial"/>
        </w:rPr>
        <w:t xml:space="preserve">emphasising the rigidity of the common law and its inherently limited capacity </w:t>
      </w:r>
      <w:r w:rsidR="006C55CB" w:rsidRPr="001B628B">
        <w:rPr>
          <w:rFonts w:ascii="Arial" w:hAnsi="Arial" w:cs="Arial"/>
        </w:rPr>
        <w:t xml:space="preserve">to offer </w:t>
      </w:r>
      <w:r w:rsidR="0037391E" w:rsidRPr="001B628B">
        <w:rPr>
          <w:rFonts w:ascii="Arial" w:hAnsi="Arial" w:cs="Arial"/>
        </w:rPr>
        <w:t xml:space="preserve">adequate remedies. </w:t>
      </w:r>
      <w:r w:rsidR="000A3F40" w:rsidRPr="001B628B">
        <w:rPr>
          <w:rFonts w:ascii="Arial" w:hAnsi="Arial" w:cs="Arial"/>
        </w:rPr>
        <w:t>Thus, w</w:t>
      </w:r>
      <w:r w:rsidR="00976C2E" w:rsidRPr="001B628B">
        <w:rPr>
          <w:rFonts w:ascii="Arial" w:hAnsi="Arial" w:cs="Arial"/>
        </w:rPr>
        <w:t xml:space="preserve">hilst the common law </w:t>
      </w:r>
      <w:r w:rsidR="00056AEB" w:rsidRPr="001B628B">
        <w:rPr>
          <w:rFonts w:ascii="Arial" w:hAnsi="Arial" w:cs="Arial"/>
        </w:rPr>
        <w:t>maintained a strict approach as to who was the legal owner of the land, equity</w:t>
      </w:r>
      <w:r w:rsidR="00FF3285" w:rsidRPr="001B628B">
        <w:rPr>
          <w:rFonts w:ascii="Arial" w:hAnsi="Arial" w:cs="Arial"/>
        </w:rPr>
        <w:t>’s importance developed as means of ensuring t</w:t>
      </w:r>
      <w:r w:rsidR="00E76548" w:rsidRPr="001B628B">
        <w:rPr>
          <w:rFonts w:ascii="Arial" w:hAnsi="Arial" w:cs="Arial"/>
        </w:rPr>
        <w:t xml:space="preserve">he trustee was acting </w:t>
      </w:r>
      <w:r w:rsidR="00B13BAC">
        <w:rPr>
          <w:rFonts w:ascii="Arial" w:hAnsi="Arial" w:cs="Arial"/>
        </w:rPr>
        <w:t xml:space="preserve">in </w:t>
      </w:r>
      <w:r w:rsidR="00B13BAC" w:rsidRPr="001B628B">
        <w:rPr>
          <w:rFonts w:ascii="Arial" w:hAnsi="Arial" w:cs="Arial"/>
        </w:rPr>
        <w:t>good</w:t>
      </w:r>
      <w:r w:rsidR="00153197">
        <w:rPr>
          <w:rFonts w:ascii="Arial" w:hAnsi="Arial" w:cs="Arial"/>
        </w:rPr>
        <w:t xml:space="preserve"> faith</w:t>
      </w:r>
      <w:r w:rsidR="00E76548" w:rsidRPr="001B628B">
        <w:rPr>
          <w:rFonts w:ascii="Arial" w:hAnsi="Arial" w:cs="Arial"/>
        </w:rPr>
        <w:t xml:space="preserve">, in using the land in the way </w:t>
      </w:r>
      <w:r w:rsidR="00153197">
        <w:rPr>
          <w:rFonts w:ascii="Arial" w:hAnsi="Arial" w:cs="Arial"/>
        </w:rPr>
        <w:t xml:space="preserve">proscribed </w:t>
      </w:r>
      <w:r w:rsidR="00E76548" w:rsidRPr="001B628B">
        <w:rPr>
          <w:rFonts w:ascii="Arial" w:hAnsi="Arial" w:cs="Arial"/>
        </w:rPr>
        <w:t>by the legal owner</w:t>
      </w:r>
      <w:r w:rsidR="00BB3E0D" w:rsidRPr="001B628B">
        <w:rPr>
          <w:rFonts w:ascii="Arial" w:hAnsi="Arial" w:cs="Arial"/>
        </w:rPr>
        <w:t xml:space="preserve">. </w:t>
      </w:r>
      <w:r w:rsidR="00556CD9" w:rsidRPr="001B628B">
        <w:rPr>
          <w:rFonts w:ascii="Arial" w:hAnsi="Arial" w:cs="Arial"/>
        </w:rPr>
        <w:t>Over time</w:t>
      </w:r>
      <w:r w:rsidR="00730D23" w:rsidRPr="001B628B">
        <w:rPr>
          <w:rFonts w:ascii="Arial" w:hAnsi="Arial" w:cs="Arial"/>
        </w:rPr>
        <w:t xml:space="preserve">, </w:t>
      </w:r>
      <w:r w:rsidR="00744549" w:rsidRPr="001B628B">
        <w:rPr>
          <w:rFonts w:ascii="Arial" w:hAnsi="Arial" w:cs="Arial"/>
        </w:rPr>
        <w:t xml:space="preserve">reforms took place so that </w:t>
      </w:r>
      <w:r w:rsidR="0054093D" w:rsidRPr="001B628B">
        <w:rPr>
          <w:rFonts w:ascii="Arial" w:hAnsi="Arial" w:cs="Arial"/>
        </w:rPr>
        <w:t xml:space="preserve">‘the use’ </w:t>
      </w:r>
      <w:r w:rsidR="00556CD9" w:rsidRPr="001B628B">
        <w:rPr>
          <w:rFonts w:ascii="Arial" w:hAnsi="Arial" w:cs="Arial"/>
        </w:rPr>
        <w:t xml:space="preserve">became the double use, which </w:t>
      </w:r>
      <w:r w:rsidR="00F82AAA" w:rsidRPr="001B628B">
        <w:rPr>
          <w:rFonts w:ascii="Arial" w:hAnsi="Arial" w:cs="Arial"/>
        </w:rPr>
        <w:t xml:space="preserve">then </w:t>
      </w:r>
      <w:r w:rsidR="00ED3138" w:rsidRPr="001B628B">
        <w:rPr>
          <w:rFonts w:ascii="Arial" w:hAnsi="Arial" w:cs="Arial"/>
        </w:rPr>
        <w:t>became the trust, upholding the idea of the two separate interests in the same land</w:t>
      </w:r>
      <w:r w:rsidR="00573B26" w:rsidRPr="001B628B">
        <w:rPr>
          <w:rFonts w:ascii="Arial" w:hAnsi="Arial" w:cs="Arial"/>
        </w:rPr>
        <w:t xml:space="preserve">, </w:t>
      </w:r>
      <w:r w:rsidR="008E717E" w:rsidRPr="001B628B">
        <w:rPr>
          <w:rFonts w:ascii="Arial" w:hAnsi="Arial" w:cs="Arial"/>
        </w:rPr>
        <w:t xml:space="preserve">largely on the premise that the </w:t>
      </w:r>
      <w:r w:rsidR="00BC19D9" w:rsidRPr="001B628B">
        <w:rPr>
          <w:rFonts w:ascii="Arial" w:hAnsi="Arial" w:cs="Arial"/>
        </w:rPr>
        <w:t xml:space="preserve">legal owner could use </w:t>
      </w:r>
      <w:r w:rsidR="00297A9F" w:rsidRPr="001B628B">
        <w:rPr>
          <w:rFonts w:ascii="Arial" w:hAnsi="Arial" w:cs="Arial"/>
        </w:rPr>
        <w:t>the land to favour somebody else, without overseeing it da</w:t>
      </w:r>
      <w:r w:rsidR="00FA470D" w:rsidRPr="001B628B">
        <w:rPr>
          <w:rFonts w:ascii="Arial" w:hAnsi="Arial" w:cs="Arial"/>
        </w:rPr>
        <w:t xml:space="preserve">y-to-day, </w:t>
      </w:r>
      <w:r w:rsidR="00170003" w:rsidRPr="001B628B">
        <w:rPr>
          <w:rFonts w:ascii="Arial" w:hAnsi="Arial" w:cs="Arial"/>
        </w:rPr>
        <w:t xml:space="preserve">and without </w:t>
      </w:r>
      <w:r w:rsidR="00153197">
        <w:rPr>
          <w:rFonts w:ascii="Arial" w:hAnsi="Arial" w:cs="Arial"/>
        </w:rPr>
        <w:t>ceding</w:t>
      </w:r>
      <w:r w:rsidR="00DB0626" w:rsidRPr="001B628B">
        <w:rPr>
          <w:rFonts w:ascii="Arial" w:hAnsi="Arial" w:cs="Arial"/>
        </w:rPr>
        <w:t xml:space="preserve"> of the legal interest to the trustee preventing the equitable interest from being upheld</w:t>
      </w:r>
      <w:r w:rsidR="00153197">
        <w:rPr>
          <w:rFonts w:ascii="Arial" w:hAnsi="Arial" w:cs="Arial"/>
        </w:rPr>
        <w:t xml:space="preserve"> (Edwards &amp; Stockwell, 2015)</w:t>
      </w:r>
      <w:r w:rsidR="00DB0626" w:rsidRPr="001B628B">
        <w:rPr>
          <w:rFonts w:ascii="Arial" w:hAnsi="Arial" w:cs="Arial"/>
        </w:rPr>
        <w:t xml:space="preserve">. </w:t>
      </w:r>
    </w:p>
    <w:p w14:paraId="5E057742" w14:textId="01C34032" w:rsidR="00F3687B" w:rsidRPr="0046100C" w:rsidRDefault="009C5CB4" w:rsidP="001B628B">
      <w:pPr>
        <w:spacing w:line="480" w:lineRule="auto"/>
        <w:rPr>
          <w:rFonts w:ascii="Arial" w:hAnsi="Arial" w:cs="Arial"/>
        </w:rPr>
      </w:pPr>
      <w:r w:rsidRPr="00153197">
        <w:rPr>
          <w:rFonts w:ascii="Arial" w:hAnsi="Arial" w:cs="Arial"/>
        </w:rPr>
        <w:t>As trust law developed it was recognised that beneficiaries have a proprietary interest, giving them the power to enforce the trust and rights against trust property</w:t>
      </w:r>
      <w:r w:rsidR="00F3687B">
        <w:rPr>
          <w:rFonts w:ascii="Arial" w:hAnsi="Arial" w:cs="Arial"/>
        </w:rPr>
        <w:t xml:space="preserve"> and </w:t>
      </w:r>
      <w:r w:rsidR="00B13BAC">
        <w:rPr>
          <w:rFonts w:ascii="Arial" w:hAnsi="Arial" w:cs="Arial"/>
        </w:rPr>
        <w:t xml:space="preserve">that </w:t>
      </w:r>
      <w:r w:rsidR="00B13BAC" w:rsidRPr="00153197">
        <w:rPr>
          <w:rFonts w:ascii="Arial" w:hAnsi="Arial" w:cs="Arial"/>
        </w:rPr>
        <w:t>courts</w:t>
      </w:r>
      <w:r w:rsidRPr="00153197">
        <w:rPr>
          <w:rFonts w:ascii="Arial" w:hAnsi="Arial" w:cs="Arial"/>
        </w:rPr>
        <w:t xml:space="preserve"> have the jurisdiction to supervise the administration of trusts</w:t>
      </w:r>
      <w:r w:rsidR="00F3687B">
        <w:rPr>
          <w:rFonts w:ascii="Arial" w:hAnsi="Arial" w:cs="Arial"/>
        </w:rPr>
        <w:t xml:space="preserve"> </w:t>
      </w:r>
      <w:r w:rsidR="00B13BAC">
        <w:rPr>
          <w:rFonts w:ascii="Arial" w:hAnsi="Arial" w:cs="Arial"/>
        </w:rPr>
        <w:t>(Penner</w:t>
      </w:r>
      <w:r w:rsidR="00F3687B">
        <w:rPr>
          <w:rFonts w:ascii="Arial" w:hAnsi="Arial" w:cs="Arial"/>
        </w:rPr>
        <w:t>, 2022)</w:t>
      </w:r>
      <w:r w:rsidRPr="00153197">
        <w:rPr>
          <w:rFonts w:ascii="Arial" w:hAnsi="Arial" w:cs="Arial"/>
        </w:rPr>
        <w:t xml:space="preserve">. There are several types of trusts: express, statutory, </w:t>
      </w:r>
      <w:r w:rsidR="00B13BAC" w:rsidRPr="00153197">
        <w:rPr>
          <w:rFonts w:ascii="Arial" w:hAnsi="Arial" w:cs="Arial"/>
        </w:rPr>
        <w:t>resulting,</w:t>
      </w:r>
      <w:r w:rsidRPr="00153197">
        <w:rPr>
          <w:rFonts w:ascii="Arial" w:hAnsi="Arial" w:cs="Arial"/>
        </w:rPr>
        <w:t xml:space="preserve"> and constructive trusts</w:t>
      </w:r>
      <w:r w:rsidR="00177F94">
        <w:rPr>
          <w:rFonts w:ascii="Arial" w:hAnsi="Arial" w:cs="Arial"/>
        </w:rPr>
        <w:t xml:space="preserve">, all of which </w:t>
      </w:r>
      <w:r w:rsidR="00013A0E">
        <w:rPr>
          <w:rFonts w:ascii="Arial" w:hAnsi="Arial" w:cs="Arial"/>
        </w:rPr>
        <w:t xml:space="preserve">except </w:t>
      </w:r>
      <w:r w:rsidR="00013A0E" w:rsidRPr="001B628B">
        <w:rPr>
          <w:rFonts w:ascii="Arial" w:hAnsi="Arial" w:cs="Arial"/>
        </w:rPr>
        <w:t>express</w:t>
      </w:r>
      <w:r w:rsidR="0046100C" w:rsidRPr="001B628B">
        <w:rPr>
          <w:rFonts w:ascii="Arial" w:hAnsi="Arial" w:cs="Arial"/>
        </w:rPr>
        <w:t xml:space="preserve"> trusts, </w:t>
      </w:r>
      <w:r w:rsidR="00177F94">
        <w:rPr>
          <w:rFonts w:ascii="Arial" w:hAnsi="Arial" w:cs="Arial"/>
        </w:rPr>
        <w:t>can</w:t>
      </w:r>
      <w:r w:rsidR="0046100C" w:rsidRPr="001B628B">
        <w:rPr>
          <w:rFonts w:ascii="Arial" w:hAnsi="Arial" w:cs="Arial"/>
        </w:rPr>
        <w:t xml:space="preserve"> arise through the operation of the </w:t>
      </w:r>
      <w:r w:rsidR="00013A0E" w:rsidRPr="001B628B">
        <w:rPr>
          <w:rFonts w:ascii="Arial" w:hAnsi="Arial" w:cs="Arial"/>
        </w:rPr>
        <w:t>court</w:t>
      </w:r>
      <w:r w:rsidR="00013A0E">
        <w:rPr>
          <w:rFonts w:ascii="Arial" w:hAnsi="Arial" w:cs="Arial"/>
        </w:rPr>
        <w:t xml:space="preserve"> (</w:t>
      </w:r>
      <w:r w:rsidR="0046100C">
        <w:rPr>
          <w:rFonts w:ascii="Arial" w:hAnsi="Arial" w:cs="Arial"/>
        </w:rPr>
        <w:t>Edwards &amp; Stockwell, 2022)</w:t>
      </w:r>
      <w:r w:rsidR="00B13BAC" w:rsidRPr="001B628B">
        <w:rPr>
          <w:rFonts w:ascii="Arial" w:hAnsi="Arial" w:cs="Arial"/>
        </w:rPr>
        <w:t xml:space="preserve">. </w:t>
      </w:r>
      <w:r w:rsidRPr="00153197">
        <w:rPr>
          <w:rFonts w:ascii="Arial" w:hAnsi="Arial" w:cs="Arial"/>
        </w:rPr>
        <w:t xml:space="preserve">Although many trusts are fixed in the sense that the trust property is held by the trustee for the beneficiates in fixed </w:t>
      </w:r>
      <w:r w:rsidRPr="00153197">
        <w:rPr>
          <w:rFonts w:ascii="Arial" w:hAnsi="Arial" w:cs="Arial"/>
        </w:rPr>
        <w:lastRenderedPageBreak/>
        <w:t>shares. (</w:t>
      </w:r>
      <w:r w:rsidR="00B13BAC" w:rsidRPr="00153197">
        <w:rPr>
          <w:rFonts w:ascii="Arial" w:hAnsi="Arial" w:cs="Arial"/>
        </w:rPr>
        <w:t>i.e.,</w:t>
      </w:r>
      <w:r w:rsidRPr="00153197">
        <w:rPr>
          <w:rFonts w:ascii="Arial" w:hAnsi="Arial" w:cs="Arial"/>
        </w:rPr>
        <w:t xml:space="preserve"> the extent of the beneficiaries’ interests </w:t>
      </w:r>
      <w:r w:rsidR="00B13BAC" w:rsidRPr="00153197">
        <w:rPr>
          <w:rFonts w:ascii="Arial" w:hAnsi="Arial" w:cs="Arial"/>
        </w:rPr>
        <w:t>is</w:t>
      </w:r>
      <w:r w:rsidRPr="00153197">
        <w:rPr>
          <w:rFonts w:ascii="Arial" w:hAnsi="Arial" w:cs="Arial"/>
        </w:rPr>
        <w:t xml:space="preserve"> explicitly set out), </w:t>
      </w:r>
      <w:r w:rsidR="00177F94">
        <w:rPr>
          <w:rFonts w:ascii="Arial" w:hAnsi="Arial" w:cs="Arial"/>
        </w:rPr>
        <w:t xml:space="preserve">they may </w:t>
      </w:r>
      <w:r w:rsidR="00013A0E">
        <w:rPr>
          <w:rFonts w:ascii="Arial" w:hAnsi="Arial" w:cs="Arial"/>
        </w:rPr>
        <w:t xml:space="preserve">also </w:t>
      </w:r>
      <w:r w:rsidR="00013A0E" w:rsidRPr="00153197">
        <w:rPr>
          <w:rFonts w:ascii="Arial" w:hAnsi="Arial" w:cs="Arial"/>
        </w:rPr>
        <w:t>be</w:t>
      </w:r>
      <w:r w:rsidRPr="00153197">
        <w:rPr>
          <w:rFonts w:ascii="Arial" w:hAnsi="Arial" w:cs="Arial"/>
        </w:rPr>
        <w:t xml:space="preserve"> discretionary, </w:t>
      </w:r>
      <w:r w:rsidR="00ED18DD">
        <w:rPr>
          <w:rFonts w:ascii="Arial" w:hAnsi="Arial" w:cs="Arial"/>
        </w:rPr>
        <w:t>where</w:t>
      </w:r>
      <w:r w:rsidRPr="00153197">
        <w:rPr>
          <w:rFonts w:ascii="Arial" w:hAnsi="Arial" w:cs="Arial"/>
        </w:rPr>
        <w:t xml:space="preserve"> the trustee has the capacity to decide in what proportion the shares in the property ought to be distributed amongst the</w:t>
      </w:r>
      <w:r w:rsidRPr="001B628B">
        <w:rPr>
          <w:rFonts w:ascii="Arial" w:hAnsi="Arial" w:cs="Arial"/>
        </w:rPr>
        <w:t xml:space="preserve"> </w:t>
      </w:r>
      <w:r w:rsidRPr="00A558D6">
        <w:rPr>
          <w:rFonts w:ascii="Arial" w:hAnsi="Arial" w:cs="Arial"/>
        </w:rPr>
        <w:t>beneficiaries</w:t>
      </w:r>
      <w:r w:rsidR="00371BF7" w:rsidRPr="00A558D6">
        <w:rPr>
          <w:rFonts w:ascii="Arial" w:hAnsi="Arial" w:cs="Arial"/>
        </w:rPr>
        <w:t xml:space="preserve"> (</w:t>
      </w:r>
      <w:r w:rsidR="00A558D6" w:rsidRPr="00177F94">
        <w:rPr>
          <w:rFonts w:ascii="Arial" w:hAnsi="Arial" w:cs="Arial"/>
        </w:rPr>
        <w:t>Smith &amp; Popovici, 2020</w:t>
      </w:r>
      <w:r w:rsidR="00371BF7" w:rsidRPr="00177F94">
        <w:rPr>
          <w:rFonts w:ascii="Arial" w:hAnsi="Arial" w:cs="Arial"/>
        </w:rPr>
        <w:t>)</w:t>
      </w:r>
      <w:r w:rsidR="00B13BAC" w:rsidRPr="00177F94">
        <w:rPr>
          <w:rFonts w:ascii="Arial" w:hAnsi="Arial" w:cs="Arial"/>
        </w:rPr>
        <w:t>.</w:t>
      </w:r>
      <w:r w:rsidR="00B13BAC" w:rsidRPr="00A558D6">
        <w:rPr>
          <w:rFonts w:ascii="Arial" w:hAnsi="Arial" w:cs="Arial"/>
        </w:rPr>
        <w:t xml:space="preserve"> </w:t>
      </w:r>
      <w:r w:rsidRPr="00A558D6">
        <w:rPr>
          <w:rFonts w:ascii="Arial" w:hAnsi="Arial" w:cs="Arial"/>
        </w:rPr>
        <w:t xml:space="preserve">Although many </w:t>
      </w:r>
      <w:r w:rsidR="00013A0E" w:rsidRPr="00A558D6">
        <w:rPr>
          <w:rFonts w:ascii="Arial" w:hAnsi="Arial" w:cs="Arial"/>
        </w:rPr>
        <w:t>trusts exist</w:t>
      </w:r>
      <w:r w:rsidRPr="00A558D6">
        <w:rPr>
          <w:rFonts w:ascii="Arial" w:hAnsi="Arial" w:cs="Arial"/>
        </w:rPr>
        <w:t xml:space="preserve"> on</w:t>
      </w:r>
      <w:r w:rsidRPr="00E33C2E">
        <w:rPr>
          <w:rFonts w:ascii="Arial" w:hAnsi="Arial" w:cs="Arial"/>
        </w:rPr>
        <w:t xml:space="preserve">ly to benefit an individual or a group of individuals, charitable trusts </w:t>
      </w:r>
      <w:r w:rsidR="00177F94">
        <w:rPr>
          <w:rFonts w:ascii="Arial" w:hAnsi="Arial" w:cs="Arial"/>
        </w:rPr>
        <w:t>may be</w:t>
      </w:r>
      <w:r w:rsidRPr="00E33C2E">
        <w:rPr>
          <w:rFonts w:ascii="Arial" w:hAnsi="Arial" w:cs="Arial"/>
        </w:rPr>
        <w:t xml:space="preserve"> created to benefit the public (or a section of it)</w:t>
      </w:r>
      <w:r w:rsidR="009E742B" w:rsidRPr="00E33C2E">
        <w:rPr>
          <w:rFonts w:ascii="Arial" w:hAnsi="Arial" w:cs="Arial"/>
        </w:rPr>
        <w:t xml:space="preserve"> or</w:t>
      </w:r>
      <w:r w:rsidR="00DF1B53" w:rsidRPr="00E33C2E">
        <w:rPr>
          <w:rFonts w:ascii="Arial" w:hAnsi="Arial" w:cs="Arial"/>
        </w:rPr>
        <w:t xml:space="preserve"> be based on a purpose (in certain</w:t>
      </w:r>
      <w:r w:rsidR="00DF1B53" w:rsidRPr="001B628B">
        <w:rPr>
          <w:rFonts w:ascii="Arial" w:hAnsi="Arial" w:cs="Arial"/>
        </w:rPr>
        <w:t xml:space="preserve"> circumstance)</w:t>
      </w:r>
      <w:r w:rsidR="00177F94">
        <w:rPr>
          <w:rFonts w:ascii="Arial" w:hAnsi="Arial" w:cs="Arial"/>
        </w:rPr>
        <w:t>. Whatever the type of trust is created, however,</w:t>
      </w:r>
      <w:r w:rsidR="00DF1B53" w:rsidRPr="001B628B">
        <w:rPr>
          <w:rFonts w:ascii="Arial" w:hAnsi="Arial" w:cs="Arial"/>
        </w:rPr>
        <w:t xml:space="preserve"> three certainties </w:t>
      </w:r>
      <w:r w:rsidR="009E0C60" w:rsidRPr="001B628B">
        <w:rPr>
          <w:rFonts w:ascii="Arial" w:hAnsi="Arial" w:cs="Arial"/>
        </w:rPr>
        <w:t>must be complied with</w:t>
      </w:r>
      <w:r w:rsidR="00F3687B">
        <w:rPr>
          <w:rFonts w:ascii="Arial" w:hAnsi="Arial" w:cs="Arial"/>
        </w:rPr>
        <w:t xml:space="preserve"> are cited </w:t>
      </w:r>
      <w:r w:rsidR="00013A0E">
        <w:rPr>
          <w:rFonts w:ascii="Arial" w:hAnsi="Arial" w:cs="Arial"/>
        </w:rPr>
        <w:t>in Knight</w:t>
      </w:r>
      <w:r w:rsidR="00D43AC7" w:rsidRPr="00D43AC7">
        <w:rPr>
          <w:rFonts w:ascii="Arial" w:hAnsi="Arial" w:cs="Arial"/>
          <w:i/>
          <w:iCs/>
        </w:rPr>
        <w:t xml:space="preserve"> v Knight (1840)</w:t>
      </w:r>
      <w:r w:rsidR="00D43AC7">
        <w:rPr>
          <w:rFonts w:ascii="Arial" w:hAnsi="Arial" w:cs="Arial"/>
        </w:rPr>
        <w:t xml:space="preserve"> and </w:t>
      </w:r>
      <w:r w:rsidR="00462458">
        <w:rPr>
          <w:rFonts w:ascii="Arial" w:hAnsi="Arial" w:cs="Arial"/>
          <w:i/>
          <w:iCs/>
        </w:rPr>
        <w:t>Hunter v Moss (1994)</w:t>
      </w:r>
      <w:r w:rsidR="00F3687B">
        <w:rPr>
          <w:rFonts w:ascii="Arial" w:hAnsi="Arial" w:cs="Arial"/>
        </w:rPr>
        <w:t xml:space="preserve"> (</w:t>
      </w:r>
      <w:r w:rsidR="00462458">
        <w:rPr>
          <w:rFonts w:ascii="Arial" w:hAnsi="Arial" w:cs="Arial"/>
        </w:rPr>
        <w:t>except</w:t>
      </w:r>
      <w:r w:rsidR="009E0C60" w:rsidRPr="001B628B">
        <w:rPr>
          <w:rFonts w:ascii="Arial" w:hAnsi="Arial" w:cs="Arial"/>
        </w:rPr>
        <w:t xml:space="preserve"> for </w:t>
      </w:r>
      <w:r w:rsidR="00EB64FF" w:rsidRPr="001B628B">
        <w:rPr>
          <w:rFonts w:ascii="Arial" w:hAnsi="Arial" w:cs="Arial"/>
        </w:rPr>
        <w:t xml:space="preserve">the class of objects in the </w:t>
      </w:r>
      <w:r w:rsidR="00656FE2" w:rsidRPr="001B628B">
        <w:rPr>
          <w:rFonts w:ascii="Arial" w:hAnsi="Arial" w:cs="Arial"/>
        </w:rPr>
        <w:t xml:space="preserve">case </w:t>
      </w:r>
      <w:r w:rsidR="009E742B" w:rsidRPr="001B628B">
        <w:rPr>
          <w:rFonts w:ascii="Arial" w:hAnsi="Arial" w:cs="Arial"/>
        </w:rPr>
        <w:t>of</w:t>
      </w:r>
      <w:r w:rsidR="00656FE2" w:rsidRPr="001B628B">
        <w:rPr>
          <w:rFonts w:ascii="Arial" w:hAnsi="Arial" w:cs="Arial"/>
        </w:rPr>
        <w:t xml:space="preserve"> </w:t>
      </w:r>
      <w:r w:rsidR="009E742B" w:rsidRPr="001B628B">
        <w:rPr>
          <w:rFonts w:ascii="Arial" w:hAnsi="Arial" w:cs="Arial"/>
        </w:rPr>
        <w:t>charitable</w:t>
      </w:r>
      <w:r w:rsidR="00656FE2" w:rsidRPr="001B628B">
        <w:rPr>
          <w:rFonts w:ascii="Arial" w:hAnsi="Arial" w:cs="Arial"/>
        </w:rPr>
        <w:t xml:space="preserve"> trusts</w:t>
      </w:r>
      <w:r w:rsidR="00F3687B">
        <w:rPr>
          <w:rFonts w:ascii="Arial" w:hAnsi="Arial" w:cs="Arial"/>
        </w:rPr>
        <w:t>)</w:t>
      </w:r>
      <w:r w:rsidR="00656FE2" w:rsidRPr="001B628B">
        <w:rPr>
          <w:rFonts w:ascii="Arial" w:hAnsi="Arial" w:cs="Arial"/>
        </w:rPr>
        <w:t xml:space="preserve">. </w:t>
      </w:r>
      <w:r w:rsidR="00F3687B" w:rsidRPr="00F3687B">
        <w:rPr>
          <w:rFonts w:ascii="Arial" w:hAnsi="Arial" w:cs="Arial"/>
          <w:shd w:val="clear" w:color="auto" w:fill="FFFFFF"/>
        </w:rPr>
        <w:t xml:space="preserve">The </w:t>
      </w:r>
      <w:r w:rsidR="00903B16">
        <w:rPr>
          <w:rFonts w:ascii="Arial" w:hAnsi="Arial" w:cs="Arial"/>
          <w:shd w:val="clear" w:color="auto" w:fill="FFFFFF"/>
        </w:rPr>
        <w:t>first</w:t>
      </w:r>
      <w:r w:rsidR="00F3687B" w:rsidRPr="00F3687B">
        <w:rPr>
          <w:rFonts w:ascii="Arial" w:hAnsi="Arial" w:cs="Arial"/>
          <w:shd w:val="clear" w:color="auto" w:fill="FFFFFF"/>
        </w:rPr>
        <w:t xml:space="preserve"> two </w:t>
      </w:r>
      <w:r w:rsidR="00903B16">
        <w:rPr>
          <w:rFonts w:ascii="Arial" w:hAnsi="Arial" w:cs="Arial"/>
          <w:shd w:val="clear" w:color="auto" w:fill="FFFFFF"/>
        </w:rPr>
        <w:t xml:space="preserve">requirements are </w:t>
      </w:r>
      <w:r w:rsidR="00D04D30">
        <w:rPr>
          <w:rFonts w:ascii="Arial" w:hAnsi="Arial" w:cs="Arial"/>
          <w:shd w:val="clear" w:color="auto" w:fill="FFFFFF"/>
        </w:rPr>
        <w:t>self-evident</w:t>
      </w:r>
      <w:r w:rsidR="00F3687B" w:rsidRPr="00F3687B">
        <w:rPr>
          <w:rFonts w:ascii="Arial" w:hAnsi="Arial" w:cs="Arial"/>
          <w:shd w:val="clear" w:color="auto" w:fill="FFFFFF"/>
        </w:rPr>
        <w:t>: there must be certainty of intention,</w:t>
      </w:r>
      <w:r w:rsidR="00903B16">
        <w:rPr>
          <w:rFonts w:ascii="Arial" w:hAnsi="Arial" w:cs="Arial"/>
          <w:shd w:val="clear" w:color="auto" w:fill="FFFFFF"/>
        </w:rPr>
        <w:t xml:space="preserve"> basically</w:t>
      </w:r>
      <w:r w:rsidR="00F3687B" w:rsidRPr="00F3687B">
        <w:rPr>
          <w:rFonts w:ascii="Arial" w:hAnsi="Arial" w:cs="Arial"/>
          <w:shd w:val="clear" w:color="auto" w:fill="FFFFFF"/>
        </w:rPr>
        <w:t xml:space="preserve"> the settlor must have made it clear that </w:t>
      </w:r>
      <w:r w:rsidR="00903B16">
        <w:rPr>
          <w:rFonts w:ascii="Arial" w:hAnsi="Arial" w:cs="Arial"/>
          <w:shd w:val="clear" w:color="auto" w:fill="FFFFFF"/>
        </w:rPr>
        <w:t>they</w:t>
      </w:r>
      <w:r w:rsidR="00F3687B" w:rsidRPr="00F3687B">
        <w:rPr>
          <w:rFonts w:ascii="Arial" w:hAnsi="Arial" w:cs="Arial"/>
          <w:shd w:val="clear" w:color="auto" w:fill="FFFFFF"/>
        </w:rPr>
        <w:t xml:space="preserve"> intended (rather than hoped or expected) that the trust property would be used in a certain way;  secondly there must also be certainty of subject matter, so that the court can identify the exact property which is the subject of the trust.  The third test</w:t>
      </w:r>
      <w:r w:rsidR="00903B16">
        <w:rPr>
          <w:rFonts w:ascii="Arial" w:hAnsi="Arial" w:cs="Arial"/>
          <w:shd w:val="clear" w:color="auto" w:fill="FFFFFF"/>
        </w:rPr>
        <w:t xml:space="preserve"> – “</w:t>
      </w:r>
      <w:r w:rsidR="00F3687B" w:rsidRPr="00F3687B">
        <w:rPr>
          <w:rFonts w:ascii="Arial" w:hAnsi="Arial" w:cs="Arial"/>
          <w:shd w:val="clear" w:color="auto" w:fill="FFFFFF"/>
        </w:rPr>
        <w:t>certainty of objects</w:t>
      </w:r>
      <w:r w:rsidR="00013A0E">
        <w:rPr>
          <w:rFonts w:ascii="Arial" w:hAnsi="Arial" w:cs="Arial"/>
          <w:shd w:val="clear" w:color="auto" w:fill="FFFFFF"/>
        </w:rPr>
        <w:t>,”</w:t>
      </w:r>
      <w:r w:rsidR="00F3687B" w:rsidRPr="00F3687B">
        <w:rPr>
          <w:rFonts w:ascii="Arial" w:hAnsi="Arial" w:cs="Arial"/>
          <w:shd w:val="clear" w:color="auto" w:fill="FFFFFF"/>
        </w:rPr>
        <w:t xml:space="preserve"> is more compl</w:t>
      </w:r>
      <w:r w:rsidR="00903B16">
        <w:rPr>
          <w:rFonts w:ascii="Arial" w:hAnsi="Arial" w:cs="Arial"/>
          <w:shd w:val="clear" w:color="auto" w:fill="FFFFFF"/>
        </w:rPr>
        <w:t>icated</w:t>
      </w:r>
      <w:r w:rsidR="00F3687B" w:rsidRPr="00F3687B">
        <w:rPr>
          <w:rFonts w:ascii="Arial" w:hAnsi="Arial" w:cs="Arial"/>
          <w:shd w:val="clear" w:color="auto" w:fill="FFFFFF"/>
        </w:rPr>
        <w:t xml:space="preserve"> and has undoubtedly </w:t>
      </w:r>
      <w:r w:rsidR="00903B16">
        <w:rPr>
          <w:rFonts w:ascii="Arial" w:hAnsi="Arial" w:cs="Arial"/>
          <w:shd w:val="clear" w:color="auto" w:fill="FFFFFF"/>
        </w:rPr>
        <w:t xml:space="preserve">resulted in </w:t>
      </w:r>
      <w:r w:rsidR="00D04D30">
        <w:rPr>
          <w:rFonts w:ascii="Arial" w:hAnsi="Arial" w:cs="Arial"/>
          <w:shd w:val="clear" w:color="auto" w:fill="FFFFFF"/>
        </w:rPr>
        <w:t>many</w:t>
      </w:r>
      <w:r w:rsidR="00D04D30" w:rsidRPr="00F3687B">
        <w:rPr>
          <w:rFonts w:ascii="Arial" w:hAnsi="Arial" w:cs="Arial"/>
          <w:shd w:val="clear" w:color="auto" w:fill="FFFFFF"/>
        </w:rPr>
        <w:t xml:space="preserve"> legal</w:t>
      </w:r>
      <w:r w:rsidR="00F3687B" w:rsidRPr="00F3687B">
        <w:rPr>
          <w:rFonts w:ascii="Arial" w:hAnsi="Arial" w:cs="Arial"/>
          <w:shd w:val="clear" w:color="auto" w:fill="FFFFFF"/>
        </w:rPr>
        <w:t xml:space="preserve"> disputes. </w:t>
      </w:r>
      <w:r w:rsidR="00013A0E">
        <w:rPr>
          <w:rFonts w:ascii="Arial" w:hAnsi="Arial" w:cs="Arial"/>
          <w:shd w:val="clear" w:color="auto" w:fill="FFFFFF"/>
        </w:rPr>
        <w:t>Basically,</w:t>
      </w:r>
      <w:r w:rsidR="00F3687B" w:rsidRPr="00F3687B">
        <w:rPr>
          <w:rFonts w:ascii="Arial" w:hAnsi="Arial" w:cs="Arial"/>
          <w:shd w:val="clear" w:color="auto" w:fill="FFFFFF"/>
        </w:rPr>
        <w:t xml:space="preserve"> </w:t>
      </w:r>
      <w:r w:rsidR="00B13BAC" w:rsidRPr="00F3687B">
        <w:rPr>
          <w:rFonts w:ascii="Arial" w:hAnsi="Arial" w:cs="Arial"/>
          <w:shd w:val="clear" w:color="auto" w:fill="FFFFFF"/>
        </w:rPr>
        <w:t>the</w:t>
      </w:r>
      <w:r w:rsidR="00903B16">
        <w:rPr>
          <w:rFonts w:ascii="Arial" w:hAnsi="Arial" w:cs="Arial"/>
          <w:shd w:val="clear" w:color="auto" w:fill="FFFFFF"/>
        </w:rPr>
        <w:t xml:space="preserve"> </w:t>
      </w:r>
      <w:r w:rsidR="005922C2">
        <w:rPr>
          <w:rFonts w:ascii="Arial" w:hAnsi="Arial" w:cs="Arial"/>
          <w:shd w:val="clear" w:color="auto" w:fill="FFFFFF"/>
        </w:rPr>
        <w:t>aim is</w:t>
      </w:r>
      <w:r w:rsidR="00F3687B" w:rsidRPr="00F3687B">
        <w:rPr>
          <w:rFonts w:ascii="Arial" w:hAnsi="Arial" w:cs="Arial"/>
          <w:shd w:val="clear" w:color="auto" w:fill="FFFFFF"/>
        </w:rPr>
        <w:t xml:space="preserve"> </w:t>
      </w:r>
      <w:r w:rsidR="00D04D30">
        <w:rPr>
          <w:rFonts w:ascii="Arial" w:hAnsi="Arial" w:cs="Arial"/>
          <w:shd w:val="clear" w:color="auto" w:fill="FFFFFF"/>
        </w:rPr>
        <w:t xml:space="preserve">for </w:t>
      </w:r>
      <w:r w:rsidR="005922C2">
        <w:rPr>
          <w:rFonts w:ascii="Arial" w:hAnsi="Arial" w:cs="Arial"/>
          <w:shd w:val="clear" w:color="auto" w:fill="FFFFFF"/>
        </w:rPr>
        <w:t>the</w:t>
      </w:r>
      <w:r w:rsidR="005922C2" w:rsidRPr="00F3687B">
        <w:rPr>
          <w:rFonts w:ascii="Arial" w:hAnsi="Arial" w:cs="Arial"/>
          <w:shd w:val="clear" w:color="auto" w:fill="FFFFFF"/>
        </w:rPr>
        <w:t xml:space="preserve"> court</w:t>
      </w:r>
      <w:r w:rsidR="00F3687B" w:rsidRPr="00F3687B">
        <w:rPr>
          <w:rFonts w:ascii="Arial" w:hAnsi="Arial" w:cs="Arial"/>
          <w:shd w:val="clear" w:color="auto" w:fill="FFFFFF"/>
        </w:rPr>
        <w:t xml:space="preserve"> </w:t>
      </w:r>
      <w:r w:rsidR="00D04D30">
        <w:rPr>
          <w:rFonts w:ascii="Arial" w:hAnsi="Arial" w:cs="Arial"/>
          <w:shd w:val="clear" w:color="auto" w:fill="FFFFFF"/>
        </w:rPr>
        <w:t>to</w:t>
      </w:r>
      <w:r w:rsidR="00F3687B" w:rsidRPr="00F3687B">
        <w:rPr>
          <w:rFonts w:ascii="Arial" w:hAnsi="Arial" w:cs="Arial"/>
          <w:shd w:val="clear" w:color="auto" w:fill="FFFFFF"/>
        </w:rPr>
        <w:t xml:space="preserve"> be able to identify </w:t>
      </w:r>
      <w:r w:rsidR="005922C2" w:rsidRPr="00F3687B">
        <w:rPr>
          <w:rFonts w:ascii="Arial" w:hAnsi="Arial" w:cs="Arial"/>
          <w:shd w:val="clear" w:color="auto" w:fill="FFFFFF"/>
        </w:rPr>
        <w:t>the person</w:t>
      </w:r>
      <w:r w:rsidR="00F3687B" w:rsidRPr="00F3687B">
        <w:rPr>
          <w:rFonts w:ascii="Arial" w:hAnsi="Arial" w:cs="Arial"/>
          <w:shd w:val="clear" w:color="auto" w:fill="FFFFFF"/>
        </w:rPr>
        <w:t xml:space="preserve"> or persons who </w:t>
      </w:r>
      <w:r w:rsidR="00D04D30">
        <w:rPr>
          <w:rFonts w:ascii="Arial" w:hAnsi="Arial" w:cs="Arial"/>
          <w:shd w:val="clear" w:color="auto" w:fill="FFFFFF"/>
        </w:rPr>
        <w:t>are to be the beneficiaries</w:t>
      </w:r>
      <w:r w:rsidR="00F3687B" w:rsidRPr="00F3687B">
        <w:rPr>
          <w:rFonts w:ascii="Arial" w:hAnsi="Arial" w:cs="Arial"/>
          <w:shd w:val="clear" w:color="auto" w:fill="FFFFFF"/>
        </w:rPr>
        <w:t xml:space="preserve"> of the trust. This is obviously </w:t>
      </w:r>
      <w:r w:rsidR="00903B16">
        <w:rPr>
          <w:rFonts w:ascii="Arial" w:hAnsi="Arial" w:cs="Arial"/>
          <w:shd w:val="clear" w:color="auto" w:fill="FFFFFF"/>
        </w:rPr>
        <w:t xml:space="preserve">critical </w:t>
      </w:r>
      <w:r w:rsidR="00D04D30">
        <w:rPr>
          <w:rFonts w:ascii="Arial" w:hAnsi="Arial" w:cs="Arial"/>
          <w:shd w:val="clear" w:color="auto" w:fill="FFFFFF"/>
        </w:rPr>
        <w:t xml:space="preserve">given </w:t>
      </w:r>
      <w:r w:rsidR="00D04D30" w:rsidRPr="00F3687B">
        <w:rPr>
          <w:rFonts w:ascii="Arial" w:hAnsi="Arial" w:cs="Arial"/>
          <w:shd w:val="clear" w:color="auto" w:fill="FFFFFF"/>
        </w:rPr>
        <w:t>the</w:t>
      </w:r>
      <w:r w:rsidR="00F3687B" w:rsidRPr="00F3687B">
        <w:rPr>
          <w:rFonts w:ascii="Arial" w:hAnsi="Arial" w:cs="Arial"/>
          <w:shd w:val="clear" w:color="auto" w:fill="FFFFFF"/>
        </w:rPr>
        <w:t xml:space="preserve"> </w:t>
      </w:r>
      <w:r w:rsidR="00903B16">
        <w:rPr>
          <w:rFonts w:ascii="Arial" w:hAnsi="Arial" w:cs="Arial"/>
          <w:shd w:val="clear" w:color="auto" w:fill="FFFFFF"/>
        </w:rPr>
        <w:t>point</w:t>
      </w:r>
      <w:r w:rsidR="00F3687B" w:rsidRPr="00F3687B">
        <w:rPr>
          <w:rFonts w:ascii="Arial" w:hAnsi="Arial" w:cs="Arial"/>
          <w:shd w:val="clear" w:color="auto" w:fill="FFFFFF"/>
        </w:rPr>
        <w:t xml:space="preserve"> of a trust arrangement is to confer </w:t>
      </w:r>
      <w:r w:rsidR="00903B16">
        <w:rPr>
          <w:rFonts w:ascii="Arial" w:hAnsi="Arial" w:cs="Arial"/>
          <w:shd w:val="clear" w:color="auto" w:fill="FFFFFF"/>
        </w:rPr>
        <w:t>the</w:t>
      </w:r>
      <w:r w:rsidR="00F3687B" w:rsidRPr="00F3687B">
        <w:rPr>
          <w:rFonts w:ascii="Arial" w:hAnsi="Arial" w:cs="Arial"/>
          <w:shd w:val="clear" w:color="auto" w:fill="FFFFFF"/>
        </w:rPr>
        <w:t xml:space="preserve"> benefit on defined individuals</w:t>
      </w:r>
      <w:r w:rsidR="00903B16">
        <w:rPr>
          <w:rFonts w:ascii="Arial" w:hAnsi="Arial" w:cs="Arial"/>
          <w:shd w:val="clear" w:color="auto" w:fill="FFFFFF"/>
        </w:rPr>
        <w:t xml:space="preserve"> in a fair way</w:t>
      </w:r>
      <w:r w:rsidR="0046100C" w:rsidRPr="0046100C">
        <w:rPr>
          <w:rFonts w:ascii="Arial" w:hAnsi="Arial" w:cs="Arial"/>
          <w:shd w:val="clear" w:color="auto" w:fill="FFFFFF"/>
        </w:rPr>
        <w:t xml:space="preserve"> </w:t>
      </w:r>
      <w:r w:rsidR="00462458">
        <w:rPr>
          <w:rFonts w:ascii="Arial" w:hAnsi="Arial" w:cs="Arial"/>
          <w:shd w:val="clear" w:color="auto" w:fill="FFFFFF"/>
        </w:rPr>
        <w:t>(</w:t>
      </w:r>
      <w:r w:rsidR="00D43AC7">
        <w:rPr>
          <w:rFonts w:ascii="Arial" w:hAnsi="Arial" w:cs="Arial"/>
          <w:shd w:val="clear" w:color="auto" w:fill="FFFFFF"/>
        </w:rPr>
        <w:t xml:space="preserve">Hudson, 2022, </w:t>
      </w:r>
      <w:r w:rsidR="00462458">
        <w:rPr>
          <w:rFonts w:ascii="Arial" w:hAnsi="Arial" w:cs="Arial"/>
          <w:shd w:val="clear" w:color="auto" w:fill="FFFFFF"/>
        </w:rPr>
        <w:t>Whayman, 2022).</w:t>
      </w:r>
    </w:p>
    <w:p w14:paraId="2026B3D2" w14:textId="4E9F058C" w:rsidR="00462458" w:rsidRPr="00E33C2E" w:rsidRDefault="007D743B" w:rsidP="001B628B">
      <w:pPr>
        <w:spacing w:line="480" w:lineRule="auto"/>
        <w:rPr>
          <w:rFonts w:ascii="Arial" w:hAnsi="Arial" w:cs="Arial"/>
        </w:rPr>
      </w:pPr>
      <w:r w:rsidRPr="001B628B">
        <w:rPr>
          <w:rFonts w:ascii="Arial" w:hAnsi="Arial" w:cs="Arial"/>
        </w:rPr>
        <w:t>T</w:t>
      </w:r>
      <w:r w:rsidR="005653A9">
        <w:rPr>
          <w:rFonts w:ascii="Arial" w:hAnsi="Arial" w:cs="Arial"/>
        </w:rPr>
        <w:t>h</w:t>
      </w:r>
      <w:r w:rsidR="00462458">
        <w:rPr>
          <w:rFonts w:ascii="Arial" w:hAnsi="Arial" w:cs="Arial"/>
        </w:rPr>
        <w:t xml:space="preserve">ese certainties underline </w:t>
      </w:r>
      <w:r w:rsidR="005653A9">
        <w:rPr>
          <w:rFonts w:ascii="Arial" w:hAnsi="Arial" w:cs="Arial"/>
        </w:rPr>
        <w:t>t</w:t>
      </w:r>
      <w:r w:rsidR="00462458">
        <w:rPr>
          <w:rFonts w:ascii="Arial" w:hAnsi="Arial" w:cs="Arial"/>
        </w:rPr>
        <w:t xml:space="preserve">he </w:t>
      </w:r>
      <w:r w:rsidR="00013A0E">
        <w:rPr>
          <w:rFonts w:ascii="Arial" w:hAnsi="Arial" w:cs="Arial"/>
        </w:rPr>
        <w:t>so-called</w:t>
      </w:r>
      <w:r w:rsidR="005653A9">
        <w:rPr>
          <w:rFonts w:ascii="Arial" w:hAnsi="Arial" w:cs="Arial"/>
        </w:rPr>
        <w:t xml:space="preserve"> </w:t>
      </w:r>
      <w:r w:rsidR="00B13BAC" w:rsidRPr="001B628B">
        <w:rPr>
          <w:rFonts w:ascii="Arial" w:hAnsi="Arial" w:cs="Arial"/>
        </w:rPr>
        <w:t>maxims</w:t>
      </w:r>
      <w:r w:rsidR="005653A9">
        <w:rPr>
          <w:rFonts w:ascii="Arial" w:hAnsi="Arial" w:cs="Arial"/>
        </w:rPr>
        <w:t xml:space="preserve"> of </w:t>
      </w:r>
      <w:r w:rsidR="00013A0E">
        <w:rPr>
          <w:rFonts w:ascii="Arial" w:hAnsi="Arial" w:cs="Arial"/>
        </w:rPr>
        <w:t>equity,</w:t>
      </w:r>
      <w:r w:rsidR="005653A9">
        <w:rPr>
          <w:rFonts w:ascii="Arial" w:hAnsi="Arial" w:cs="Arial"/>
        </w:rPr>
        <w:t xml:space="preserve"> </w:t>
      </w:r>
      <w:r w:rsidR="00013A0E">
        <w:rPr>
          <w:rFonts w:ascii="Arial" w:hAnsi="Arial" w:cs="Arial"/>
        </w:rPr>
        <w:t xml:space="preserve">which </w:t>
      </w:r>
      <w:r w:rsidR="00013A0E" w:rsidRPr="001B628B">
        <w:rPr>
          <w:rFonts w:ascii="Arial" w:hAnsi="Arial" w:cs="Arial"/>
        </w:rPr>
        <w:t>uphold</w:t>
      </w:r>
      <w:r w:rsidR="001545AA" w:rsidRPr="001B628B">
        <w:rPr>
          <w:rFonts w:ascii="Arial" w:hAnsi="Arial" w:cs="Arial"/>
        </w:rPr>
        <w:t xml:space="preserve"> the fundamental</w:t>
      </w:r>
      <w:r w:rsidR="00462458">
        <w:rPr>
          <w:rFonts w:ascii="Arial" w:hAnsi="Arial" w:cs="Arial"/>
        </w:rPr>
        <w:t xml:space="preserve"> approach </w:t>
      </w:r>
      <w:r w:rsidR="00013A0E">
        <w:rPr>
          <w:rFonts w:ascii="Arial" w:hAnsi="Arial" w:cs="Arial"/>
        </w:rPr>
        <w:t>to ensuring</w:t>
      </w:r>
      <w:r w:rsidR="00462458">
        <w:rPr>
          <w:rFonts w:ascii="Arial" w:hAnsi="Arial" w:cs="Arial"/>
        </w:rPr>
        <w:t xml:space="preserve"> </w:t>
      </w:r>
      <w:r w:rsidR="001354B6" w:rsidRPr="001B628B">
        <w:rPr>
          <w:rFonts w:ascii="Arial" w:hAnsi="Arial" w:cs="Arial"/>
        </w:rPr>
        <w:t xml:space="preserve">certainty and consistency, </w:t>
      </w:r>
      <w:r w:rsidR="009B2297" w:rsidRPr="001B628B">
        <w:rPr>
          <w:rFonts w:ascii="Arial" w:hAnsi="Arial" w:cs="Arial"/>
        </w:rPr>
        <w:t>occasionally in</w:t>
      </w:r>
      <w:r w:rsidR="001354B6" w:rsidRPr="001B628B">
        <w:rPr>
          <w:rFonts w:ascii="Arial" w:hAnsi="Arial" w:cs="Arial"/>
        </w:rPr>
        <w:t xml:space="preserve"> the absence </w:t>
      </w:r>
      <w:r w:rsidR="00D65E66" w:rsidRPr="001B628B">
        <w:rPr>
          <w:rFonts w:ascii="Arial" w:hAnsi="Arial" w:cs="Arial"/>
        </w:rPr>
        <w:t>of</w:t>
      </w:r>
      <w:r w:rsidR="009B2297" w:rsidRPr="001B628B">
        <w:rPr>
          <w:rFonts w:ascii="Arial" w:hAnsi="Arial" w:cs="Arial"/>
        </w:rPr>
        <w:t xml:space="preserve">, or in addition to, legal rules. </w:t>
      </w:r>
      <w:r w:rsidR="00103F3A" w:rsidRPr="001B628B">
        <w:rPr>
          <w:rFonts w:ascii="Arial" w:hAnsi="Arial" w:cs="Arial"/>
        </w:rPr>
        <w:t xml:space="preserve">They also somewhat govern the relationship between equity and law, </w:t>
      </w:r>
      <w:r w:rsidR="00CA0F30" w:rsidRPr="001B628B">
        <w:rPr>
          <w:rFonts w:ascii="Arial" w:hAnsi="Arial" w:cs="Arial"/>
        </w:rPr>
        <w:t xml:space="preserve">given that the two can still give rise to conflicts, for instance, when one seeks to </w:t>
      </w:r>
      <w:r w:rsidR="0043402A" w:rsidRPr="001B628B">
        <w:rPr>
          <w:rFonts w:ascii="Arial" w:hAnsi="Arial" w:cs="Arial"/>
        </w:rPr>
        <w:t xml:space="preserve">rely on the absence </w:t>
      </w:r>
      <w:r w:rsidR="006E0A7F" w:rsidRPr="001B628B">
        <w:rPr>
          <w:rFonts w:ascii="Arial" w:hAnsi="Arial" w:cs="Arial"/>
        </w:rPr>
        <w:t>of statute to defeat a claimant’s warranted claim</w:t>
      </w:r>
      <w:r w:rsidR="00462458">
        <w:rPr>
          <w:rFonts w:ascii="Arial" w:hAnsi="Arial" w:cs="Arial"/>
        </w:rPr>
        <w:t xml:space="preserve"> </w:t>
      </w:r>
      <w:r w:rsidR="005653A9">
        <w:rPr>
          <w:rFonts w:ascii="Arial" w:hAnsi="Arial" w:cs="Arial"/>
        </w:rPr>
        <w:t>(McDonald &amp; Street, 2022)</w:t>
      </w:r>
      <w:r w:rsidR="00013A0E">
        <w:rPr>
          <w:rFonts w:ascii="Arial" w:hAnsi="Arial" w:cs="Arial"/>
        </w:rPr>
        <w:t>.</w:t>
      </w:r>
      <w:r w:rsidR="00013A0E" w:rsidRPr="001B628B">
        <w:rPr>
          <w:rFonts w:ascii="Arial" w:hAnsi="Arial" w:cs="Arial"/>
        </w:rPr>
        <w:t xml:space="preserve"> </w:t>
      </w:r>
    </w:p>
    <w:p w14:paraId="21F4409D" w14:textId="7E80B28F" w:rsidR="006873FF" w:rsidRPr="00E33C2E" w:rsidRDefault="00E33C2E" w:rsidP="006873FF">
      <w:pPr>
        <w:spacing w:line="480" w:lineRule="auto"/>
        <w:rPr>
          <w:rFonts w:ascii="Arial" w:hAnsi="Arial" w:cs="Arial"/>
        </w:rPr>
      </w:pPr>
      <w:r>
        <w:rPr>
          <w:rFonts w:ascii="Arial" w:hAnsi="Arial" w:cs="Arial"/>
        </w:rPr>
        <w:lastRenderedPageBreak/>
        <w:t>In conclusion this</w:t>
      </w:r>
      <w:r w:rsidR="00454F59" w:rsidRPr="001B628B">
        <w:rPr>
          <w:rFonts w:ascii="Arial" w:hAnsi="Arial" w:cs="Arial"/>
        </w:rPr>
        <w:t xml:space="preserve"> essay has aimed to explain and discuss the </w:t>
      </w:r>
      <w:r w:rsidR="00B97A95" w:rsidRPr="001B628B">
        <w:rPr>
          <w:rFonts w:ascii="Arial" w:hAnsi="Arial" w:cs="Arial"/>
        </w:rPr>
        <w:t xml:space="preserve">historical context </w:t>
      </w:r>
      <w:r w:rsidR="00B13BAC" w:rsidRPr="001B628B">
        <w:rPr>
          <w:rFonts w:ascii="Arial" w:hAnsi="Arial" w:cs="Arial"/>
        </w:rPr>
        <w:t>behind the</w:t>
      </w:r>
      <w:r w:rsidR="00D24D43" w:rsidRPr="001B628B">
        <w:rPr>
          <w:rFonts w:ascii="Arial" w:hAnsi="Arial" w:cs="Arial"/>
        </w:rPr>
        <w:t xml:space="preserve"> development of the trust,</w:t>
      </w:r>
      <w:r>
        <w:rPr>
          <w:rFonts w:ascii="Arial" w:hAnsi="Arial" w:cs="Arial"/>
        </w:rPr>
        <w:t xml:space="preserve"> and its relationship to the concept of equity</w:t>
      </w:r>
      <w:r w:rsidR="006873FF">
        <w:rPr>
          <w:rFonts w:ascii="Arial" w:hAnsi="Arial" w:cs="Arial"/>
        </w:rPr>
        <w:t>, since</w:t>
      </w:r>
      <w:r w:rsidR="00D24D43" w:rsidRPr="001B628B">
        <w:rPr>
          <w:rFonts w:ascii="Arial" w:hAnsi="Arial" w:cs="Arial"/>
        </w:rPr>
        <w:t xml:space="preserve"> the </w:t>
      </w:r>
      <w:r>
        <w:rPr>
          <w:rFonts w:ascii="Arial" w:hAnsi="Arial" w:cs="Arial"/>
        </w:rPr>
        <w:t>former</w:t>
      </w:r>
      <w:r w:rsidR="00D24D43" w:rsidRPr="001B628B">
        <w:rPr>
          <w:rFonts w:ascii="Arial" w:hAnsi="Arial" w:cs="Arial"/>
        </w:rPr>
        <w:t xml:space="preserve"> </w:t>
      </w:r>
      <w:r w:rsidR="00B13BAC" w:rsidRPr="001B628B">
        <w:rPr>
          <w:rFonts w:ascii="Arial" w:hAnsi="Arial" w:cs="Arial"/>
        </w:rPr>
        <w:t xml:space="preserve">is </w:t>
      </w:r>
      <w:r w:rsidR="00B13BAC">
        <w:rPr>
          <w:rFonts w:ascii="Arial" w:hAnsi="Arial" w:cs="Arial"/>
        </w:rPr>
        <w:t>clearly</w:t>
      </w:r>
      <w:r>
        <w:rPr>
          <w:rFonts w:ascii="Arial" w:hAnsi="Arial" w:cs="Arial"/>
        </w:rPr>
        <w:t xml:space="preserve"> </w:t>
      </w:r>
      <w:r w:rsidR="00D24D43" w:rsidRPr="001B628B">
        <w:rPr>
          <w:rFonts w:ascii="Arial" w:hAnsi="Arial" w:cs="Arial"/>
        </w:rPr>
        <w:t xml:space="preserve">regarded as a product of the </w:t>
      </w:r>
      <w:r>
        <w:rPr>
          <w:rFonts w:ascii="Arial" w:hAnsi="Arial" w:cs="Arial"/>
        </w:rPr>
        <w:t>latter</w:t>
      </w:r>
      <w:r w:rsidR="00D24D43" w:rsidRPr="001B628B">
        <w:rPr>
          <w:rFonts w:ascii="Arial" w:hAnsi="Arial" w:cs="Arial"/>
        </w:rPr>
        <w:t xml:space="preserve">. </w:t>
      </w:r>
      <w:r w:rsidR="0003346D" w:rsidRPr="001B628B">
        <w:rPr>
          <w:rFonts w:ascii="Arial" w:hAnsi="Arial" w:cs="Arial"/>
        </w:rPr>
        <w:t xml:space="preserve">The </w:t>
      </w:r>
      <w:r>
        <w:rPr>
          <w:rFonts w:ascii="Arial" w:hAnsi="Arial" w:cs="Arial"/>
        </w:rPr>
        <w:t xml:space="preserve">fundamental </w:t>
      </w:r>
      <w:r w:rsidR="00963F15" w:rsidRPr="001B628B">
        <w:rPr>
          <w:rFonts w:ascii="Arial" w:hAnsi="Arial" w:cs="Arial"/>
        </w:rPr>
        <w:t xml:space="preserve">purpose of equity is to achieve fairness, </w:t>
      </w:r>
      <w:r w:rsidR="00164EE6" w:rsidRPr="001B628B">
        <w:rPr>
          <w:rFonts w:ascii="Arial" w:hAnsi="Arial" w:cs="Arial"/>
        </w:rPr>
        <w:t xml:space="preserve">relying on the principle of conscience, </w:t>
      </w:r>
      <w:r>
        <w:rPr>
          <w:rFonts w:ascii="Arial" w:hAnsi="Arial" w:cs="Arial"/>
        </w:rPr>
        <w:t xml:space="preserve">upon </w:t>
      </w:r>
      <w:r w:rsidR="00164EE6" w:rsidRPr="001B628B">
        <w:rPr>
          <w:rFonts w:ascii="Arial" w:hAnsi="Arial" w:cs="Arial"/>
        </w:rPr>
        <w:t>which the trust is almost entirely built.</w:t>
      </w:r>
      <w:r w:rsidR="00740C8A" w:rsidRPr="001B628B">
        <w:rPr>
          <w:rFonts w:ascii="Arial" w:hAnsi="Arial" w:cs="Arial"/>
        </w:rPr>
        <w:t xml:space="preserve"> </w:t>
      </w:r>
      <w:r w:rsidR="0061222B" w:rsidRPr="001B628B">
        <w:rPr>
          <w:rFonts w:ascii="Arial" w:hAnsi="Arial" w:cs="Arial"/>
        </w:rPr>
        <w:t>Ultimately, it is the idea of conscience</w:t>
      </w:r>
      <w:r w:rsidR="00847F26" w:rsidRPr="001B628B">
        <w:rPr>
          <w:rFonts w:ascii="Arial" w:hAnsi="Arial" w:cs="Arial"/>
        </w:rPr>
        <w:t xml:space="preserve"> which binds </w:t>
      </w:r>
      <w:r w:rsidR="006873FF">
        <w:rPr>
          <w:rFonts w:ascii="Arial" w:hAnsi="Arial" w:cs="Arial"/>
        </w:rPr>
        <w:t>the</w:t>
      </w:r>
      <w:r w:rsidR="00847F26" w:rsidRPr="001B628B">
        <w:rPr>
          <w:rFonts w:ascii="Arial" w:hAnsi="Arial" w:cs="Arial"/>
        </w:rPr>
        <w:t xml:space="preserve"> trustees in equity, thus reaffirming the inherently close interlinked nature </w:t>
      </w:r>
      <w:r w:rsidR="000A3475" w:rsidRPr="001B628B">
        <w:rPr>
          <w:rFonts w:ascii="Arial" w:hAnsi="Arial" w:cs="Arial"/>
        </w:rPr>
        <w:t xml:space="preserve">between </w:t>
      </w:r>
      <w:r w:rsidR="003C1386" w:rsidRPr="001B628B">
        <w:rPr>
          <w:rFonts w:ascii="Arial" w:hAnsi="Arial" w:cs="Arial"/>
        </w:rPr>
        <w:t>e</w:t>
      </w:r>
      <w:r w:rsidR="00847F26" w:rsidRPr="001B628B">
        <w:rPr>
          <w:rFonts w:ascii="Arial" w:hAnsi="Arial" w:cs="Arial"/>
        </w:rPr>
        <w:t xml:space="preserve">quity and trusts. </w:t>
      </w:r>
      <w:r w:rsidR="00F7727E" w:rsidRPr="001B628B">
        <w:rPr>
          <w:rFonts w:ascii="Arial" w:hAnsi="Arial" w:cs="Arial"/>
        </w:rPr>
        <w:t xml:space="preserve">The idea of having two separate interests in the same </w:t>
      </w:r>
      <w:r w:rsidR="00013A0E">
        <w:rPr>
          <w:rFonts w:ascii="Arial" w:hAnsi="Arial" w:cs="Arial"/>
        </w:rPr>
        <w:t xml:space="preserve">asset </w:t>
      </w:r>
      <w:r w:rsidR="00013A0E" w:rsidRPr="001B628B">
        <w:rPr>
          <w:rFonts w:ascii="Arial" w:hAnsi="Arial" w:cs="Arial"/>
        </w:rPr>
        <w:t>is</w:t>
      </w:r>
      <w:r w:rsidR="00F7727E" w:rsidRPr="001B628B">
        <w:rPr>
          <w:rFonts w:ascii="Arial" w:hAnsi="Arial" w:cs="Arial"/>
        </w:rPr>
        <w:t xml:space="preserve"> crucially important, and without it, the </w:t>
      </w:r>
      <w:r w:rsidR="002E666C" w:rsidRPr="001B628B">
        <w:rPr>
          <w:rFonts w:ascii="Arial" w:hAnsi="Arial" w:cs="Arial"/>
        </w:rPr>
        <w:t xml:space="preserve">concept of the trust could not exist. </w:t>
      </w:r>
      <w:r w:rsidR="004F2073" w:rsidRPr="001B628B">
        <w:rPr>
          <w:rFonts w:ascii="Arial" w:hAnsi="Arial" w:cs="Arial"/>
        </w:rPr>
        <w:t xml:space="preserve">By </w:t>
      </w:r>
      <w:r>
        <w:rPr>
          <w:rFonts w:ascii="Arial" w:hAnsi="Arial" w:cs="Arial"/>
        </w:rPr>
        <w:t>examining</w:t>
      </w:r>
      <w:r w:rsidR="004F2073" w:rsidRPr="001B628B">
        <w:rPr>
          <w:rFonts w:ascii="Arial" w:hAnsi="Arial" w:cs="Arial"/>
        </w:rPr>
        <w:t xml:space="preserve"> how equity has developed, </w:t>
      </w:r>
      <w:r w:rsidR="00056A74" w:rsidRPr="001B628B">
        <w:rPr>
          <w:rFonts w:ascii="Arial" w:hAnsi="Arial" w:cs="Arial"/>
        </w:rPr>
        <w:t xml:space="preserve">it allows for a clear interpretation </w:t>
      </w:r>
      <w:r w:rsidR="00BF2506" w:rsidRPr="001B628B">
        <w:rPr>
          <w:rFonts w:ascii="Arial" w:hAnsi="Arial" w:cs="Arial"/>
        </w:rPr>
        <w:t>and i</w:t>
      </w:r>
      <w:r w:rsidR="00D41C22" w:rsidRPr="001B628B">
        <w:rPr>
          <w:rFonts w:ascii="Arial" w:hAnsi="Arial" w:cs="Arial"/>
        </w:rPr>
        <w:t>nsight to</w:t>
      </w:r>
      <w:r w:rsidR="00056A74" w:rsidRPr="001B628B">
        <w:rPr>
          <w:rFonts w:ascii="Arial" w:hAnsi="Arial" w:cs="Arial"/>
        </w:rPr>
        <w:t xml:space="preserve"> how the trust was created and advanced, </w:t>
      </w:r>
      <w:r w:rsidR="009A6A4D" w:rsidRPr="001B628B">
        <w:rPr>
          <w:rFonts w:ascii="Arial" w:hAnsi="Arial" w:cs="Arial"/>
        </w:rPr>
        <w:t xml:space="preserve">to what </w:t>
      </w:r>
      <w:r w:rsidR="00B13BAC">
        <w:rPr>
          <w:rFonts w:ascii="Arial" w:hAnsi="Arial" w:cs="Arial"/>
        </w:rPr>
        <w:t xml:space="preserve">is </w:t>
      </w:r>
      <w:r w:rsidR="00B13BAC" w:rsidRPr="001B628B">
        <w:rPr>
          <w:rFonts w:ascii="Arial" w:hAnsi="Arial" w:cs="Arial"/>
        </w:rPr>
        <w:t>understood</w:t>
      </w:r>
      <w:r>
        <w:rPr>
          <w:rFonts w:ascii="Arial" w:hAnsi="Arial" w:cs="Arial"/>
        </w:rPr>
        <w:t xml:space="preserve"> </w:t>
      </w:r>
      <w:r w:rsidR="009A6A4D" w:rsidRPr="001B628B">
        <w:rPr>
          <w:rFonts w:ascii="Arial" w:hAnsi="Arial" w:cs="Arial"/>
        </w:rPr>
        <w:t xml:space="preserve">today. </w:t>
      </w:r>
      <w:r w:rsidR="00817706" w:rsidRPr="001B628B">
        <w:rPr>
          <w:rFonts w:ascii="Arial" w:hAnsi="Arial" w:cs="Arial"/>
        </w:rPr>
        <w:t>E</w:t>
      </w:r>
      <w:r w:rsidR="00C04653" w:rsidRPr="001B628B">
        <w:rPr>
          <w:rFonts w:ascii="Arial" w:hAnsi="Arial" w:cs="Arial"/>
        </w:rPr>
        <w:t>quity</w:t>
      </w:r>
      <w:r w:rsidR="000776A3">
        <w:rPr>
          <w:rFonts w:ascii="Arial" w:hAnsi="Arial" w:cs="Arial"/>
        </w:rPr>
        <w:t>, with its focus on the idea of conscience,</w:t>
      </w:r>
      <w:r w:rsidR="00C04653" w:rsidRPr="001B628B">
        <w:rPr>
          <w:rFonts w:ascii="Arial" w:hAnsi="Arial" w:cs="Arial"/>
        </w:rPr>
        <w:t xml:space="preserve"> </w:t>
      </w:r>
      <w:r>
        <w:rPr>
          <w:rFonts w:ascii="Arial" w:hAnsi="Arial" w:cs="Arial"/>
        </w:rPr>
        <w:t xml:space="preserve">still </w:t>
      </w:r>
      <w:r w:rsidR="003B7983" w:rsidRPr="001B628B">
        <w:rPr>
          <w:rFonts w:ascii="Arial" w:hAnsi="Arial" w:cs="Arial"/>
        </w:rPr>
        <w:t xml:space="preserve">has </w:t>
      </w:r>
      <w:r w:rsidR="006724AB" w:rsidRPr="001B628B">
        <w:rPr>
          <w:rFonts w:ascii="Arial" w:hAnsi="Arial" w:cs="Arial"/>
        </w:rPr>
        <w:t xml:space="preserve">the </w:t>
      </w:r>
      <w:r>
        <w:rPr>
          <w:rFonts w:ascii="Arial" w:hAnsi="Arial" w:cs="Arial"/>
        </w:rPr>
        <w:t xml:space="preserve">greatest </w:t>
      </w:r>
      <w:r w:rsidR="006724AB" w:rsidRPr="001B628B">
        <w:rPr>
          <w:rFonts w:ascii="Arial" w:hAnsi="Arial" w:cs="Arial"/>
        </w:rPr>
        <w:t>importan</w:t>
      </w:r>
      <w:r>
        <w:rPr>
          <w:rFonts w:ascii="Arial" w:hAnsi="Arial" w:cs="Arial"/>
        </w:rPr>
        <w:t>ce</w:t>
      </w:r>
      <w:r w:rsidR="006724AB" w:rsidRPr="001B628B">
        <w:rPr>
          <w:rFonts w:ascii="Arial" w:hAnsi="Arial" w:cs="Arial"/>
        </w:rPr>
        <w:t xml:space="preserve"> in </w:t>
      </w:r>
      <w:r w:rsidR="00215F6E" w:rsidRPr="001B628B">
        <w:rPr>
          <w:rFonts w:ascii="Arial" w:hAnsi="Arial" w:cs="Arial"/>
        </w:rPr>
        <w:t xml:space="preserve">ensuring that the operation of the trust continues to </w:t>
      </w:r>
      <w:r w:rsidR="000776A3">
        <w:rPr>
          <w:rFonts w:ascii="Arial" w:hAnsi="Arial" w:cs="Arial"/>
        </w:rPr>
        <w:t xml:space="preserve">function </w:t>
      </w:r>
      <w:r w:rsidR="00215F6E" w:rsidRPr="001B628B">
        <w:rPr>
          <w:rFonts w:ascii="Arial" w:hAnsi="Arial" w:cs="Arial"/>
        </w:rPr>
        <w:t>as intended</w:t>
      </w:r>
      <w:r w:rsidR="005653A9">
        <w:rPr>
          <w:rFonts w:ascii="Arial" w:hAnsi="Arial" w:cs="Arial"/>
        </w:rPr>
        <w:t xml:space="preserve">, </w:t>
      </w:r>
      <w:r w:rsidR="006873FF">
        <w:rPr>
          <w:rFonts w:ascii="Arial" w:hAnsi="Arial" w:cs="Arial"/>
        </w:rPr>
        <w:t>although</w:t>
      </w:r>
      <w:r w:rsidR="00693268">
        <w:rPr>
          <w:rFonts w:ascii="Arial" w:hAnsi="Arial" w:cs="Arial"/>
        </w:rPr>
        <w:t xml:space="preserve"> t</w:t>
      </w:r>
      <w:r w:rsidR="006873FF">
        <w:rPr>
          <w:rFonts w:ascii="Arial" w:hAnsi="Arial" w:cs="Arial"/>
        </w:rPr>
        <w:t>he Law commission  in 2016 recognised the need to review and improve consistency in the law concerning Trust, commenting that there had been no review since 1925, and included in its 13</w:t>
      </w:r>
      <w:r w:rsidR="006873FF" w:rsidRPr="00462458">
        <w:rPr>
          <w:rFonts w:ascii="Arial" w:hAnsi="Arial" w:cs="Arial"/>
          <w:vertAlign w:val="superscript"/>
        </w:rPr>
        <w:t>th</w:t>
      </w:r>
      <w:r w:rsidR="006873FF">
        <w:rPr>
          <w:rFonts w:ascii="Arial" w:hAnsi="Arial" w:cs="Arial"/>
        </w:rPr>
        <w:t xml:space="preserve"> programme of work at that time (Law Commission, 2016), Regrettably they did not get around to even starting the pre programme consultation and have rolled this aspiration over to their 14</w:t>
      </w:r>
      <w:r w:rsidR="006873FF" w:rsidRPr="00462458">
        <w:rPr>
          <w:rFonts w:ascii="Arial" w:hAnsi="Arial" w:cs="Arial"/>
          <w:vertAlign w:val="superscript"/>
        </w:rPr>
        <w:t>th</w:t>
      </w:r>
      <w:r w:rsidR="006873FF">
        <w:rPr>
          <w:rFonts w:ascii="Arial" w:hAnsi="Arial" w:cs="Arial"/>
        </w:rPr>
        <w:t xml:space="preserve"> programme ( Law Commission 202</w:t>
      </w:r>
      <w:r w:rsidR="001D4932">
        <w:rPr>
          <w:rFonts w:ascii="Arial" w:hAnsi="Arial" w:cs="Arial"/>
        </w:rPr>
        <w:t>1</w:t>
      </w:r>
      <w:r w:rsidR="006873FF">
        <w:rPr>
          <w:rFonts w:ascii="Arial" w:hAnsi="Arial" w:cs="Arial"/>
        </w:rPr>
        <w:t>).</w:t>
      </w:r>
    </w:p>
    <w:p w14:paraId="7F6758E9" w14:textId="3ACAD55C" w:rsidR="00BB17C6" w:rsidRDefault="00BB17C6" w:rsidP="001B628B">
      <w:pPr>
        <w:spacing w:line="480" w:lineRule="auto"/>
        <w:rPr>
          <w:rFonts w:ascii="Arial" w:hAnsi="Arial" w:cs="Arial"/>
        </w:rPr>
      </w:pPr>
    </w:p>
    <w:p w14:paraId="126807DC" w14:textId="375546EB" w:rsidR="00BB17C6" w:rsidRPr="000776A3" w:rsidRDefault="00BB17C6" w:rsidP="001B628B">
      <w:pPr>
        <w:spacing w:line="480" w:lineRule="auto"/>
        <w:rPr>
          <w:rFonts w:ascii="Arial" w:hAnsi="Arial" w:cs="Arial"/>
        </w:rPr>
      </w:pPr>
      <w:r>
        <w:rPr>
          <w:rFonts w:ascii="Arial" w:hAnsi="Arial" w:cs="Arial"/>
        </w:rPr>
        <w:t xml:space="preserve">Word </w:t>
      </w:r>
      <w:r w:rsidR="00013A0E">
        <w:rPr>
          <w:rFonts w:ascii="Arial" w:hAnsi="Arial" w:cs="Arial"/>
        </w:rPr>
        <w:t>count: 25</w:t>
      </w:r>
      <w:r w:rsidR="00D57EF6">
        <w:rPr>
          <w:rFonts w:ascii="Arial" w:hAnsi="Arial" w:cs="Arial"/>
        </w:rPr>
        <w:t>49</w:t>
      </w:r>
    </w:p>
    <w:p w14:paraId="0FE93E64" w14:textId="77777777" w:rsidR="003715AA" w:rsidRDefault="003715AA">
      <w:pPr>
        <w:rPr>
          <w:rFonts w:ascii="Arial" w:hAnsi="Arial" w:cs="Arial"/>
          <w:b/>
          <w:bCs/>
        </w:rPr>
      </w:pPr>
      <w:r>
        <w:rPr>
          <w:rFonts w:ascii="Arial" w:hAnsi="Arial" w:cs="Arial"/>
          <w:b/>
          <w:bCs/>
        </w:rPr>
        <w:br w:type="page"/>
      </w:r>
    </w:p>
    <w:p w14:paraId="600E9B52" w14:textId="545D072D" w:rsidR="00144A1A" w:rsidRPr="004D27FE" w:rsidRDefault="0006137D" w:rsidP="001B628B">
      <w:pPr>
        <w:spacing w:line="480" w:lineRule="auto"/>
        <w:rPr>
          <w:rFonts w:ascii="Arial" w:hAnsi="Arial" w:cs="Arial"/>
          <w:b/>
          <w:bCs/>
        </w:rPr>
      </w:pPr>
      <w:r w:rsidRPr="004D27FE">
        <w:rPr>
          <w:rFonts w:ascii="Arial" w:hAnsi="Arial" w:cs="Arial"/>
          <w:b/>
          <w:bCs/>
        </w:rPr>
        <w:lastRenderedPageBreak/>
        <w:t>Reference</w:t>
      </w:r>
      <w:r w:rsidR="003715AA">
        <w:rPr>
          <w:rFonts w:ascii="Arial" w:hAnsi="Arial" w:cs="Arial"/>
          <w:b/>
          <w:bCs/>
        </w:rPr>
        <w:t>s</w:t>
      </w:r>
    </w:p>
    <w:p w14:paraId="0714AFE9" w14:textId="4B41DDF1" w:rsidR="00EE39D1" w:rsidRPr="00693268" w:rsidRDefault="00EE39D1" w:rsidP="00693268">
      <w:pPr>
        <w:spacing w:line="360" w:lineRule="auto"/>
        <w:rPr>
          <w:rFonts w:ascii="Arial" w:hAnsi="Arial" w:cs="Arial"/>
        </w:rPr>
      </w:pPr>
      <w:r w:rsidRPr="00693268">
        <w:rPr>
          <w:rFonts w:ascii="Arial" w:hAnsi="Arial" w:cs="Arial"/>
        </w:rPr>
        <w:t>Barr</w:t>
      </w:r>
      <w:r w:rsidR="001D4932" w:rsidRPr="00693268">
        <w:rPr>
          <w:rFonts w:ascii="Arial" w:hAnsi="Arial" w:cs="Arial"/>
        </w:rPr>
        <w:t>, W.</w:t>
      </w:r>
      <w:r w:rsidRPr="00693268">
        <w:rPr>
          <w:rFonts w:ascii="Arial" w:hAnsi="Arial" w:cs="Arial"/>
        </w:rPr>
        <w:t xml:space="preserve"> &amp; Picton</w:t>
      </w:r>
      <w:r w:rsidR="001D4932" w:rsidRPr="00693268">
        <w:rPr>
          <w:rFonts w:ascii="Arial" w:hAnsi="Arial" w:cs="Arial"/>
        </w:rPr>
        <w:t xml:space="preserve">, </w:t>
      </w:r>
      <w:r w:rsidR="00013A0E" w:rsidRPr="00693268">
        <w:rPr>
          <w:rFonts w:ascii="Arial" w:hAnsi="Arial" w:cs="Arial"/>
        </w:rPr>
        <w:t>J. (</w:t>
      </w:r>
      <w:r w:rsidRPr="00693268">
        <w:rPr>
          <w:rFonts w:ascii="Arial" w:hAnsi="Arial" w:cs="Arial"/>
        </w:rPr>
        <w:t>2022)</w:t>
      </w:r>
      <w:r w:rsidR="001D4932" w:rsidRPr="00693268">
        <w:rPr>
          <w:rFonts w:ascii="Arial" w:hAnsi="Arial" w:cs="Arial"/>
        </w:rPr>
        <w:t xml:space="preserve">. Chapter1 What is </w:t>
      </w:r>
      <w:r w:rsidR="00013A0E" w:rsidRPr="00693268">
        <w:rPr>
          <w:rFonts w:ascii="Arial" w:hAnsi="Arial" w:cs="Arial"/>
        </w:rPr>
        <w:t>Equity?</w:t>
      </w:r>
      <w:r w:rsidR="001D4932" w:rsidRPr="00693268">
        <w:rPr>
          <w:rFonts w:ascii="Arial" w:hAnsi="Arial" w:cs="Arial"/>
        </w:rPr>
        <w:t xml:space="preserve"> in Pe</w:t>
      </w:r>
      <w:r w:rsidR="00693268" w:rsidRPr="00693268">
        <w:rPr>
          <w:rFonts w:ascii="Arial" w:hAnsi="Arial" w:cs="Arial"/>
        </w:rPr>
        <w:t>arce</w:t>
      </w:r>
      <w:r w:rsidR="001D4932" w:rsidRPr="00693268">
        <w:rPr>
          <w:rFonts w:ascii="Arial" w:hAnsi="Arial" w:cs="Arial"/>
        </w:rPr>
        <w:t xml:space="preserve"> &amp; Stevens’ Trust</w:t>
      </w:r>
      <w:r w:rsidR="00693268" w:rsidRPr="00693268">
        <w:rPr>
          <w:rFonts w:ascii="Arial" w:hAnsi="Arial" w:cs="Arial"/>
        </w:rPr>
        <w:t>s</w:t>
      </w:r>
      <w:r w:rsidR="001D4932" w:rsidRPr="00693268">
        <w:rPr>
          <w:rFonts w:ascii="Arial" w:hAnsi="Arial" w:cs="Arial"/>
        </w:rPr>
        <w:t xml:space="preserve"> &amp; Equitable Obligations. (8th ed.)</w:t>
      </w:r>
      <w:r w:rsidR="00693268" w:rsidRPr="00693268">
        <w:rPr>
          <w:rFonts w:ascii="Arial" w:hAnsi="Arial" w:cs="Arial"/>
        </w:rPr>
        <w:t>. Oxford University Press.</w:t>
      </w:r>
      <w:r w:rsidR="00693268">
        <w:rPr>
          <w:rFonts w:ascii="Arial" w:hAnsi="Arial" w:cs="Arial"/>
        </w:rPr>
        <w:t xml:space="preserve"> 984pp. </w:t>
      </w:r>
      <w:r w:rsidR="00693268" w:rsidRPr="00693268">
        <w:rPr>
          <w:rFonts w:ascii="Arial" w:hAnsi="Arial" w:cs="Arial"/>
        </w:rPr>
        <w:t>https://www.oxfordlawtrove.com/view/10.1093/he/9780198867494.001.0001/he-9780198867494.</w:t>
      </w:r>
    </w:p>
    <w:p w14:paraId="54AE4B86" w14:textId="6A457E8C" w:rsidR="004A0EBE" w:rsidRDefault="004A0EBE" w:rsidP="00B44889">
      <w:pPr>
        <w:spacing w:before="240" w:after="120" w:line="360" w:lineRule="auto"/>
        <w:rPr>
          <w:rFonts w:ascii="Arial" w:hAnsi="Arial" w:cs="Arial"/>
        </w:rPr>
      </w:pPr>
      <w:r>
        <w:rPr>
          <w:rFonts w:ascii="Arial" w:hAnsi="Arial" w:cs="Arial"/>
        </w:rPr>
        <w:t xml:space="preserve">Edwards, R., and Stockwell, N. (2015) 1. Growth of equity and evolution of the Trust. In </w:t>
      </w:r>
      <w:r w:rsidRPr="00B44889">
        <w:rPr>
          <w:rFonts w:ascii="Arial" w:hAnsi="Arial" w:cs="Arial"/>
          <w:i/>
          <w:iCs/>
        </w:rPr>
        <w:t>Trusts and Equity</w:t>
      </w:r>
      <w:r>
        <w:rPr>
          <w:rFonts w:ascii="Arial" w:hAnsi="Arial" w:cs="Arial"/>
        </w:rPr>
        <w:t>. (12</w:t>
      </w:r>
      <w:r w:rsidRPr="004D27FE">
        <w:rPr>
          <w:rFonts w:ascii="Arial" w:hAnsi="Arial" w:cs="Arial"/>
          <w:vertAlign w:val="superscript"/>
        </w:rPr>
        <w:t>th</w:t>
      </w:r>
      <w:r>
        <w:rPr>
          <w:rFonts w:ascii="Arial" w:hAnsi="Arial" w:cs="Arial"/>
        </w:rPr>
        <w:t xml:space="preserve"> ed) Pearson Education UK ltd.</w:t>
      </w:r>
    </w:p>
    <w:p w14:paraId="32AE5ADC" w14:textId="6113C50A" w:rsidR="00730201" w:rsidRPr="00A558D6" w:rsidRDefault="00730201" w:rsidP="00730201">
      <w:pPr>
        <w:spacing w:line="360" w:lineRule="auto"/>
        <w:rPr>
          <w:rFonts w:ascii="Arial" w:hAnsi="Arial" w:cs="Arial"/>
        </w:rPr>
      </w:pPr>
      <w:r w:rsidRPr="00730201">
        <w:rPr>
          <w:rFonts w:ascii="Arial" w:hAnsi="Arial" w:cs="Arial"/>
        </w:rPr>
        <w:t>Haskett, T.</w:t>
      </w:r>
      <w:r w:rsidR="00693268">
        <w:rPr>
          <w:rFonts w:ascii="Arial" w:hAnsi="Arial" w:cs="Arial"/>
        </w:rPr>
        <w:t xml:space="preserve"> S.</w:t>
      </w:r>
      <w:r w:rsidRPr="00730201">
        <w:rPr>
          <w:rFonts w:ascii="Arial" w:hAnsi="Arial" w:cs="Arial"/>
        </w:rPr>
        <w:t xml:space="preserve"> (1996). The Medieval English Court of Chancery.</w:t>
      </w:r>
      <w:r>
        <w:rPr>
          <w:rFonts w:ascii="Arial" w:hAnsi="Arial" w:cs="Arial"/>
        </w:rPr>
        <w:t xml:space="preserve"> </w:t>
      </w:r>
      <w:r w:rsidRPr="00730201">
        <w:rPr>
          <w:rFonts w:ascii="Arial" w:hAnsi="Arial" w:cs="Arial"/>
          <w:i/>
          <w:iCs/>
        </w:rPr>
        <w:t>Law and History Review,</w:t>
      </w:r>
      <w:r>
        <w:rPr>
          <w:rFonts w:ascii="Arial" w:hAnsi="Arial" w:cs="Arial"/>
          <w:i/>
          <w:iCs/>
        </w:rPr>
        <w:t xml:space="preserve"> </w:t>
      </w:r>
      <w:r w:rsidRPr="00730201">
        <w:rPr>
          <w:rFonts w:ascii="Arial" w:hAnsi="Arial" w:cs="Arial"/>
          <w:i/>
          <w:iCs/>
        </w:rPr>
        <w:t>14</w:t>
      </w:r>
      <w:r w:rsidRPr="00730201">
        <w:rPr>
          <w:rFonts w:ascii="Arial" w:hAnsi="Arial" w:cs="Arial"/>
        </w:rPr>
        <w:t>(2), 245-313. doi:10.2307/743785</w:t>
      </w:r>
    </w:p>
    <w:p w14:paraId="3D943802" w14:textId="3226753A" w:rsidR="004A0EBE" w:rsidRDefault="004A0EBE" w:rsidP="00E00080">
      <w:pPr>
        <w:spacing w:before="120" w:after="240" w:line="360" w:lineRule="auto"/>
        <w:rPr>
          <w:rFonts w:ascii="Arial" w:hAnsi="Arial" w:cs="Arial"/>
        </w:rPr>
      </w:pPr>
      <w:r>
        <w:rPr>
          <w:rFonts w:ascii="Arial" w:hAnsi="Arial" w:cs="Arial"/>
        </w:rPr>
        <w:t>Hudson, A. (202</w:t>
      </w:r>
      <w:r w:rsidR="00D43AC7">
        <w:rPr>
          <w:rFonts w:ascii="Arial" w:hAnsi="Arial" w:cs="Arial"/>
        </w:rPr>
        <w:t>2</w:t>
      </w:r>
      <w:r>
        <w:rPr>
          <w:rFonts w:ascii="Arial" w:hAnsi="Arial" w:cs="Arial"/>
        </w:rPr>
        <w:t xml:space="preserve">) </w:t>
      </w:r>
      <w:r w:rsidR="00D43AC7">
        <w:rPr>
          <w:rFonts w:ascii="Arial" w:hAnsi="Arial" w:cs="Arial"/>
        </w:rPr>
        <w:t xml:space="preserve">Part I Fundamentals of Equity and Trust. In </w:t>
      </w:r>
      <w:r w:rsidRPr="00B44889">
        <w:rPr>
          <w:rFonts w:ascii="Arial" w:hAnsi="Arial" w:cs="Arial"/>
          <w:i/>
          <w:iCs/>
        </w:rPr>
        <w:t>Equity and Trusts.</w:t>
      </w:r>
      <w:r>
        <w:rPr>
          <w:rFonts w:ascii="Arial" w:hAnsi="Arial" w:cs="Arial"/>
        </w:rPr>
        <w:t xml:space="preserve"> (10</w:t>
      </w:r>
      <w:r w:rsidRPr="00A97103">
        <w:rPr>
          <w:rFonts w:ascii="Arial" w:hAnsi="Arial" w:cs="Arial"/>
          <w:vertAlign w:val="superscript"/>
        </w:rPr>
        <w:t>th</w:t>
      </w:r>
      <w:r>
        <w:rPr>
          <w:rFonts w:ascii="Arial" w:hAnsi="Arial" w:cs="Arial"/>
        </w:rPr>
        <w:t xml:space="preserve"> ed) Routledge.</w:t>
      </w:r>
      <w:r w:rsidR="00D43AC7">
        <w:rPr>
          <w:rFonts w:ascii="Arial" w:hAnsi="Arial" w:cs="Arial"/>
        </w:rPr>
        <w:t xml:space="preserve"> 1254 pp.</w:t>
      </w:r>
    </w:p>
    <w:p w14:paraId="07C1A40A" w14:textId="571125BC" w:rsidR="006873FF" w:rsidRPr="00EE39D1" w:rsidRDefault="006873FF" w:rsidP="00E00080">
      <w:pPr>
        <w:spacing w:before="120" w:after="240" w:line="360" w:lineRule="auto"/>
        <w:rPr>
          <w:rFonts w:ascii="Arial" w:hAnsi="Arial" w:cs="Arial"/>
          <w:i/>
          <w:iCs/>
          <w:shd w:val="clear" w:color="auto" w:fill="FFFFFF"/>
        </w:rPr>
      </w:pPr>
      <w:r>
        <w:rPr>
          <w:rFonts w:ascii="Arial" w:hAnsi="Arial" w:cs="Arial"/>
          <w:shd w:val="clear" w:color="auto" w:fill="FFFFFF"/>
        </w:rPr>
        <w:t>Law Commission (2016)</w:t>
      </w:r>
      <w:r w:rsidR="00EE39D1">
        <w:rPr>
          <w:rFonts w:ascii="Arial" w:hAnsi="Arial" w:cs="Arial"/>
          <w:shd w:val="clear" w:color="auto" w:fill="FFFFFF"/>
        </w:rPr>
        <w:t>.</w:t>
      </w:r>
      <w:r>
        <w:rPr>
          <w:rFonts w:ascii="Arial" w:hAnsi="Arial" w:cs="Arial"/>
          <w:shd w:val="clear" w:color="auto" w:fill="FFFFFF"/>
        </w:rPr>
        <w:t xml:space="preserve"> Modernising Trust Law for a Global Britain</w:t>
      </w:r>
      <w:r w:rsidR="00EE39D1">
        <w:rPr>
          <w:rFonts w:ascii="Arial" w:hAnsi="Arial" w:cs="Arial"/>
          <w:shd w:val="clear" w:color="auto" w:fill="FFFFFF"/>
        </w:rPr>
        <w:t xml:space="preserve"> </w:t>
      </w:r>
      <w:r w:rsidR="001D4932">
        <w:rPr>
          <w:rFonts w:ascii="Arial" w:hAnsi="Arial" w:cs="Arial"/>
          <w:i/>
          <w:iCs/>
          <w:shd w:val="clear" w:color="auto" w:fill="FFFFFF"/>
        </w:rPr>
        <w:t>in Thirteenth</w:t>
      </w:r>
      <w:r w:rsidR="00EE39D1" w:rsidRPr="00EE39D1">
        <w:rPr>
          <w:rFonts w:ascii="Arial" w:hAnsi="Arial" w:cs="Arial"/>
          <w:i/>
          <w:iCs/>
          <w:shd w:val="clear" w:color="auto" w:fill="FFFFFF"/>
        </w:rPr>
        <w:t xml:space="preserve"> Programme of Law Reform</w:t>
      </w:r>
      <w:r w:rsidR="00013A0E">
        <w:rPr>
          <w:rFonts w:ascii="Arial" w:hAnsi="Arial" w:cs="Arial"/>
          <w:i/>
          <w:iCs/>
          <w:shd w:val="clear" w:color="auto" w:fill="FFFFFF"/>
        </w:rPr>
        <w:t xml:space="preserve">. </w:t>
      </w:r>
      <w:r w:rsidR="001D4932" w:rsidRPr="001D4932">
        <w:rPr>
          <w:rFonts w:ascii="Arial" w:hAnsi="Arial" w:cs="Arial"/>
          <w:shd w:val="clear" w:color="auto" w:fill="FFFFFF"/>
        </w:rPr>
        <w:t>p16-17.</w:t>
      </w:r>
    </w:p>
    <w:p w14:paraId="486B1C53" w14:textId="303B6427" w:rsidR="006873FF" w:rsidRDefault="006873FF" w:rsidP="00E00080">
      <w:pPr>
        <w:spacing w:before="120" w:after="240" w:line="360" w:lineRule="auto"/>
        <w:rPr>
          <w:rFonts w:ascii="Arial" w:hAnsi="Arial" w:cs="Arial"/>
          <w:shd w:val="clear" w:color="auto" w:fill="FFFFFF"/>
        </w:rPr>
      </w:pPr>
      <w:r>
        <w:rPr>
          <w:rFonts w:ascii="Arial" w:hAnsi="Arial" w:cs="Arial"/>
          <w:shd w:val="clear" w:color="auto" w:fill="FFFFFF"/>
        </w:rPr>
        <w:t xml:space="preserve">Law Commission </w:t>
      </w:r>
      <w:r w:rsidR="001D4932">
        <w:rPr>
          <w:rFonts w:ascii="Arial" w:hAnsi="Arial" w:cs="Arial"/>
          <w:shd w:val="clear" w:color="auto" w:fill="FFFFFF"/>
        </w:rPr>
        <w:t>(</w:t>
      </w:r>
      <w:r>
        <w:rPr>
          <w:rFonts w:ascii="Arial" w:hAnsi="Arial" w:cs="Arial"/>
          <w:shd w:val="clear" w:color="auto" w:fill="FFFFFF"/>
        </w:rPr>
        <w:t>202</w:t>
      </w:r>
      <w:r w:rsidR="001D4932">
        <w:rPr>
          <w:rFonts w:ascii="Arial" w:hAnsi="Arial" w:cs="Arial"/>
          <w:shd w:val="clear" w:color="auto" w:fill="FFFFFF"/>
        </w:rPr>
        <w:t>1</w:t>
      </w:r>
      <w:r>
        <w:rPr>
          <w:rFonts w:ascii="Arial" w:hAnsi="Arial" w:cs="Arial"/>
          <w:shd w:val="clear" w:color="auto" w:fill="FFFFFF"/>
        </w:rPr>
        <w:t>)</w:t>
      </w:r>
      <w:r w:rsidR="00EE39D1">
        <w:rPr>
          <w:rFonts w:ascii="Arial" w:hAnsi="Arial" w:cs="Arial"/>
          <w:shd w:val="clear" w:color="auto" w:fill="FFFFFF"/>
        </w:rPr>
        <w:t xml:space="preserve"> 14</w:t>
      </w:r>
      <w:r w:rsidR="00EE39D1" w:rsidRPr="00EE39D1">
        <w:rPr>
          <w:rFonts w:ascii="Arial" w:hAnsi="Arial" w:cs="Arial"/>
          <w:shd w:val="clear" w:color="auto" w:fill="FFFFFF"/>
          <w:vertAlign w:val="superscript"/>
        </w:rPr>
        <w:t>th</w:t>
      </w:r>
      <w:r w:rsidR="00EE39D1">
        <w:rPr>
          <w:rFonts w:ascii="Arial" w:hAnsi="Arial" w:cs="Arial"/>
          <w:shd w:val="clear" w:color="auto" w:fill="FFFFFF"/>
        </w:rPr>
        <w:t xml:space="preserve"> Programme of Law Reform.</w:t>
      </w:r>
      <w:r w:rsidR="001D4932" w:rsidRPr="001D4932">
        <w:t xml:space="preserve"> </w:t>
      </w:r>
      <w:hyperlink r:id="rId7" w:history="1">
        <w:r w:rsidR="001D4932">
          <w:rPr>
            <w:rStyle w:val="Hyperlink"/>
          </w:rPr>
          <w:t>Generating ideas for the Law Commission's 14th Programme of law reform - Law Commission</w:t>
        </w:r>
      </w:hyperlink>
    </w:p>
    <w:p w14:paraId="3E3AAA68" w14:textId="0F07ACFB" w:rsidR="00730201" w:rsidRPr="00EE39D1" w:rsidRDefault="005E557F" w:rsidP="00E00080">
      <w:pPr>
        <w:spacing w:before="120" w:after="240" w:line="360" w:lineRule="auto"/>
        <w:rPr>
          <w:rFonts w:ascii="Arial" w:hAnsi="Arial" w:cs="Arial"/>
          <w:shd w:val="clear" w:color="auto" w:fill="FFFFFF"/>
        </w:rPr>
      </w:pPr>
      <w:r>
        <w:rPr>
          <w:rFonts w:ascii="Arial" w:hAnsi="Arial" w:cs="Arial"/>
          <w:shd w:val="clear" w:color="auto" w:fill="FFFFFF"/>
        </w:rPr>
        <w:t>Law Society (202</w:t>
      </w:r>
      <w:r w:rsidR="001D4932">
        <w:rPr>
          <w:rFonts w:ascii="Arial" w:hAnsi="Arial" w:cs="Arial"/>
          <w:shd w:val="clear" w:color="auto" w:fill="FFFFFF"/>
        </w:rPr>
        <w:t>3</w:t>
      </w:r>
      <w:r>
        <w:rPr>
          <w:rFonts w:ascii="Arial" w:hAnsi="Arial" w:cs="Arial"/>
          <w:shd w:val="clear" w:color="auto" w:fill="FFFFFF"/>
        </w:rPr>
        <w:t>)</w:t>
      </w:r>
      <w:r w:rsidR="00730201">
        <w:rPr>
          <w:rFonts w:ascii="Arial" w:hAnsi="Arial" w:cs="Arial"/>
          <w:shd w:val="clear" w:color="auto" w:fill="FFFFFF"/>
        </w:rPr>
        <w:t xml:space="preserve"> </w:t>
      </w:r>
      <w:r w:rsidR="00730201">
        <w:rPr>
          <w:rFonts w:eastAsia="Times New Roman"/>
        </w:rPr>
        <w:t xml:space="preserve"> </w:t>
      </w:r>
      <w:hyperlink r:id="rId8" w:history="1">
        <w:r w:rsidR="00730201" w:rsidRPr="00E76262">
          <w:rPr>
            <w:rStyle w:val="Hyperlink"/>
            <w:rFonts w:eastAsia="Times New Roman"/>
          </w:rPr>
          <w:t>https://www.lawsociety.org.uk/public/for-public-visitors/common-legal-issues/trusts</w:t>
        </w:r>
      </w:hyperlink>
    </w:p>
    <w:p w14:paraId="60F39AAB" w14:textId="77777777" w:rsidR="00E00080" w:rsidRDefault="004A0EBE" w:rsidP="00E00080">
      <w:pPr>
        <w:pStyle w:val="nova-legacy-e-listitem"/>
        <w:shd w:val="clear" w:color="auto" w:fill="FFFFFF"/>
        <w:spacing w:before="120" w:beforeAutospacing="0" w:after="240" w:afterAutospacing="0" w:line="360" w:lineRule="auto"/>
        <w:rPr>
          <w:rFonts w:ascii="Arial" w:hAnsi="Arial" w:cs="Arial"/>
        </w:rPr>
      </w:pPr>
      <w:r w:rsidRPr="00C43476">
        <w:rPr>
          <w:rFonts w:ascii="Arial" w:hAnsi="Arial" w:cs="Arial"/>
        </w:rPr>
        <w:t>Macnair</w:t>
      </w:r>
      <w:r>
        <w:rPr>
          <w:rFonts w:ascii="Arial" w:hAnsi="Arial" w:cs="Arial"/>
        </w:rPr>
        <w:t>,</w:t>
      </w:r>
      <w:r w:rsidRPr="00C43476">
        <w:rPr>
          <w:rFonts w:ascii="Arial" w:hAnsi="Arial" w:cs="Arial"/>
        </w:rPr>
        <w:t xml:space="preserve"> M</w:t>
      </w:r>
      <w:r>
        <w:rPr>
          <w:rFonts w:ascii="Arial" w:hAnsi="Arial" w:cs="Arial"/>
        </w:rPr>
        <w:t>.</w:t>
      </w:r>
      <w:r w:rsidRPr="00C43476">
        <w:rPr>
          <w:rFonts w:ascii="Arial" w:hAnsi="Arial" w:cs="Arial"/>
        </w:rPr>
        <w:t xml:space="preserve"> (2012)</w:t>
      </w:r>
      <w:r>
        <w:rPr>
          <w:rFonts w:ascii="Arial" w:hAnsi="Arial" w:cs="Arial"/>
        </w:rPr>
        <w:t>. Chapter</w:t>
      </w:r>
      <w:r w:rsidRPr="00C43476">
        <w:rPr>
          <w:rFonts w:ascii="Arial" w:hAnsi="Arial" w:cs="Arial"/>
        </w:rPr>
        <w:t xml:space="preserve"> 2, </w:t>
      </w:r>
      <w:r>
        <w:rPr>
          <w:rFonts w:ascii="Arial" w:hAnsi="Arial" w:cs="Arial"/>
        </w:rPr>
        <w:t>“</w:t>
      </w:r>
      <w:r w:rsidRPr="00C43476">
        <w:rPr>
          <w:rFonts w:ascii="Arial" w:hAnsi="Arial" w:cs="Arial"/>
        </w:rPr>
        <w:t>Coke v Fountaine</w:t>
      </w:r>
      <w:r>
        <w:rPr>
          <w:rFonts w:ascii="Arial" w:hAnsi="Arial" w:cs="Arial"/>
        </w:rPr>
        <w:t>”</w:t>
      </w:r>
      <w:r w:rsidRPr="00C43476">
        <w:rPr>
          <w:rFonts w:ascii="Arial" w:hAnsi="Arial" w:cs="Arial"/>
        </w:rPr>
        <w:t xml:space="preserve"> (1676)</w:t>
      </w:r>
      <w:r w:rsidR="00730201">
        <w:rPr>
          <w:rFonts w:ascii="Arial" w:hAnsi="Arial" w:cs="Arial"/>
        </w:rPr>
        <w:t>.</w:t>
      </w:r>
      <w:r w:rsidRPr="00C43476">
        <w:rPr>
          <w:rFonts w:ascii="Arial" w:hAnsi="Arial" w:cs="Arial"/>
        </w:rPr>
        <w:t xml:space="preserve"> in </w:t>
      </w:r>
      <w:r w:rsidRPr="00C43476">
        <w:rPr>
          <w:rFonts w:ascii="Arial" w:hAnsi="Arial" w:cs="Arial"/>
          <w:i/>
          <w:iCs/>
        </w:rPr>
        <w:t>Landmark Cases in</w:t>
      </w:r>
      <w:r w:rsidRPr="00C43476">
        <w:rPr>
          <w:rFonts w:ascii="Arial" w:hAnsi="Arial" w:cs="Arial"/>
          <w:b/>
          <w:bCs/>
          <w:i/>
          <w:iCs/>
        </w:rPr>
        <w:t xml:space="preserve"> </w:t>
      </w:r>
      <w:r w:rsidRPr="00C43476">
        <w:rPr>
          <w:rFonts w:ascii="Arial" w:hAnsi="Arial" w:cs="Arial"/>
          <w:i/>
          <w:iCs/>
        </w:rPr>
        <w:t>Equity.</w:t>
      </w:r>
      <w:r>
        <w:rPr>
          <w:rFonts w:ascii="Arial" w:hAnsi="Arial" w:cs="Arial"/>
          <w:b/>
          <w:bCs/>
          <w:i/>
          <w:iCs/>
        </w:rPr>
        <w:t xml:space="preserve"> </w:t>
      </w:r>
      <w:r w:rsidR="00BB17C6">
        <w:rPr>
          <w:rFonts w:ascii="Arial" w:hAnsi="Arial" w:cs="Arial"/>
        </w:rPr>
        <w:t xml:space="preserve">C. </w:t>
      </w:r>
      <w:r w:rsidRPr="00C43476">
        <w:rPr>
          <w:rFonts w:ascii="Arial" w:hAnsi="Arial" w:cs="Arial"/>
        </w:rPr>
        <w:t xml:space="preserve">Mitchell </w:t>
      </w:r>
      <w:r>
        <w:rPr>
          <w:rFonts w:ascii="Arial" w:hAnsi="Arial" w:cs="Arial"/>
        </w:rPr>
        <w:t>&amp;</w:t>
      </w:r>
      <w:r w:rsidRPr="00C43476">
        <w:rPr>
          <w:rFonts w:ascii="Arial" w:hAnsi="Arial" w:cs="Arial"/>
        </w:rPr>
        <w:t xml:space="preserve"> </w:t>
      </w:r>
      <w:r w:rsidR="00BB17C6">
        <w:rPr>
          <w:rFonts w:ascii="Arial" w:hAnsi="Arial" w:cs="Arial"/>
        </w:rPr>
        <w:t>P.</w:t>
      </w:r>
      <w:r w:rsidRPr="00C43476">
        <w:rPr>
          <w:rFonts w:ascii="Arial" w:hAnsi="Arial" w:cs="Arial"/>
        </w:rPr>
        <w:t xml:space="preserve"> Mitchel</w:t>
      </w:r>
      <w:r>
        <w:rPr>
          <w:rFonts w:ascii="Arial" w:hAnsi="Arial" w:cs="Arial"/>
        </w:rPr>
        <w:t>l</w:t>
      </w:r>
      <w:r w:rsidR="00BB17C6">
        <w:rPr>
          <w:rFonts w:ascii="Arial" w:hAnsi="Arial" w:cs="Arial"/>
        </w:rPr>
        <w:t xml:space="preserve"> (Eds)</w:t>
      </w:r>
      <w:r>
        <w:rPr>
          <w:rFonts w:ascii="Arial" w:hAnsi="Arial" w:cs="Arial"/>
        </w:rPr>
        <w:t xml:space="preserve">. </w:t>
      </w:r>
      <w:r w:rsidRPr="00C43476">
        <w:rPr>
          <w:rFonts w:ascii="Arial" w:hAnsi="Arial" w:cs="Arial"/>
        </w:rPr>
        <w:t>Hart Publishing</w:t>
      </w:r>
      <w:r>
        <w:rPr>
          <w:rFonts w:ascii="Arial" w:hAnsi="Arial" w:cs="Arial"/>
        </w:rPr>
        <w:t xml:space="preserve">. </w:t>
      </w:r>
      <w:r w:rsidRPr="00C43476">
        <w:rPr>
          <w:rFonts w:ascii="Arial" w:hAnsi="Arial" w:cs="Arial"/>
        </w:rPr>
        <w:t>pp.33-61</w:t>
      </w:r>
      <w:r>
        <w:rPr>
          <w:rFonts w:ascii="Arial" w:hAnsi="Arial" w:cs="Arial"/>
        </w:rPr>
        <w:t>.</w:t>
      </w:r>
    </w:p>
    <w:p w14:paraId="61EDAF69" w14:textId="761303E8" w:rsidR="005E557F" w:rsidRDefault="005E557F" w:rsidP="00E00080">
      <w:pPr>
        <w:pStyle w:val="nova-legacy-e-listitem"/>
        <w:shd w:val="clear" w:color="auto" w:fill="FFFFFF"/>
        <w:spacing w:before="120" w:beforeAutospacing="0" w:after="240" w:afterAutospacing="0" w:line="360" w:lineRule="auto"/>
        <w:rPr>
          <w:rFonts w:ascii="Arial" w:hAnsi="Arial" w:cs="Arial"/>
        </w:rPr>
      </w:pPr>
      <w:r>
        <w:rPr>
          <w:rFonts w:ascii="Arial" w:hAnsi="Arial" w:cs="Arial"/>
        </w:rPr>
        <w:t xml:space="preserve">McDonald, I. &amp; Street, A. (2022) Chapter </w:t>
      </w:r>
      <w:r w:rsidR="00013A0E">
        <w:rPr>
          <w:rFonts w:ascii="Arial" w:hAnsi="Arial" w:cs="Arial"/>
        </w:rPr>
        <w:t>1. The</w:t>
      </w:r>
      <w:r>
        <w:rPr>
          <w:rFonts w:ascii="Arial" w:hAnsi="Arial" w:cs="Arial"/>
        </w:rPr>
        <w:t xml:space="preserve"> history and development of </w:t>
      </w:r>
      <w:r w:rsidR="00730201">
        <w:rPr>
          <w:rFonts w:ascii="Arial" w:hAnsi="Arial" w:cs="Arial"/>
        </w:rPr>
        <w:t>e</w:t>
      </w:r>
      <w:r>
        <w:rPr>
          <w:rFonts w:ascii="Arial" w:hAnsi="Arial" w:cs="Arial"/>
        </w:rPr>
        <w:t xml:space="preserve">quity. </w:t>
      </w:r>
      <w:r w:rsidR="00730201">
        <w:rPr>
          <w:rFonts w:ascii="Arial" w:hAnsi="Arial" w:cs="Arial"/>
        </w:rPr>
        <w:t>i</w:t>
      </w:r>
      <w:r>
        <w:rPr>
          <w:rFonts w:ascii="Arial" w:hAnsi="Arial" w:cs="Arial"/>
        </w:rPr>
        <w:t xml:space="preserve">n </w:t>
      </w:r>
      <w:r w:rsidRPr="00730201">
        <w:rPr>
          <w:rFonts w:ascii="Arial" w:hAnsi="Arial" w:cs="Arial"/>
          <w:i/>
          <w:iCs/>
        </w:rPr>
        <w:t xml:space="preserve">Equity </w:t>
      </w:r>
      <w:r w:rsidR="00730201" w:rsidRPr="00730201">
        <w:rPr>
          <w:rFonts w:ascii="Arial" w:hAnsi="Arial" w:cs="Arial"/>
          <w:i/>
          <w:iCs/>
        </w:rPr>
        <w:t>&amp;</w:t>
      </w:r>
      <w:r w:rsidRPr="00730201">
        <w:rPr>
          <w:rFonts w:ascii="Arial" w:hAnsi="Arial" w:cs="Arial"/>
          <w:i/>
          <w:iCs/>
        </w:rPr>
        <w:t xml:space="preserve"> Trust</w:t>
      </w:r>
      <w:r w:rsidR="00730201" w:rsidRPr="00730201">
        <w:rPr>
          <w:rFonts w:ascii="Arial" w:hAnsi="Arial" w:cs="Arial"/>
          <w:i/>
          <w:iCs/>
        </w:rPr>
        <w:t>s</w:t>
      </w:r>
      <w:r w:rsidR="00730201">
        <w:rPr>
          <w:rFonts w:ascii="Arial" w:hAnsi="Arial" w:cs="Arial"/>
        </w:rPr>
        <w:t>. (8</w:t>
      </w:r>
      <w:r w:rsidR="00730201" w:rsidRPr="00730201">
        <w:rPr>
          <w:rFonts w:ascii="Arial" w:hAnsi="Arial" w:cs="Arial"/>
          <w:vertAlign w:val="superscript"/>
        </w:rPr>
        <w:t>th</w:t>
      </w:r>
      <w:r w:rsidR="00730201">
        <w:rPr>
          <w:rFonts w:ascii="Arial" w:hAnsi="Arial" w:cs="Arial"/>
        </w:rPr>
        <w:t xml:space="preserve"> ed.)</w:t>
      </w:r>
      <w:r w:rsidR="006B69F6">
        <w:rPr>
          <w:rFonts w:ascii="Arial" w:hAnsi="Arial" w:cs="Arial"/>
        </w:rPr>
        <w:t xml:space="preserve"> 264 pp.</w:t>
      </w:r>
    </w:p>
    <w:p w14:paraId="774C59F3" w14:textId="4F8E8A44" w:rsidR="004A0EBE" w:rsidRPr="004D27FE" w:rsidRDefault="004A0EBE" w:rsidP="00B44889">
      <w:pPr>
        <w:spacing w:before="240" w:after="120" w:line="360" w:lineRule="auto"/>
        <w:rPr>
          <w:rFonts w:ascii="Arial" w:hAnsi="Arial" w:cs="Arial"/>
        </w:rPr>
      </w:pPr>
      <w:r w:rsidRPr="004D27FE">
        <w:rPr>
          <w:rFonts w:ascii="Arial" w:hAnsi="Arial" w:cs="Arial"/>
        </w:rPr>
        <w:t xml:space="preserve">Oleck, LH. (1951). Historical nature of equity jurisprudence. </w:t>
      </w:r>
      <w:r w:rsidRPr="004D27FE">
        <w:rPr>
          <w:rFonts w:ascii="Arial" w:hAnsi="Arial" w:cs="Arial"/>
          <w:i/>
          <w:iCs/>
        </w:rPr>
        <w:t>Fordham Law Review</w:t>
      </w:r>
      <w:r w:rsidRPr="004D27FE">
        <w:rPr>
          <w:rFonts w:ascii="Arial" w:hAnsi="Arial" w:cs="Arial"/>
        </w:rPr>
        <w:t xml:space="preserve">, </w:t>
      </w:r>
      <w:r w:rsidRPr="004D27FE">
        <w:rPr>
          <w:rFonts w:ascii="Arial" w:hAnsi="Arial" w:cs="Arial"/>
          <w:i/>
          <w:iCs/>
        </w:rPr>
        <w:t>20</w:t>
      </w:r>
      <w:r w:rsidRPr="004D27FE">
        <w:rPr>
          <w:rFonts w:ascii="Arial" w:hAnsi="Arial" w:cs="Arial"/>
        </w:rPr>
        <w:t xml:space="preserve">(1), 23-44. </w:t>
      </w:r>
      <w:r w:rsidR="00730201" w:rsidRPr="003715AA">
        <w:rPr>
          <w:rFonts w:ascii="Arial" w:hAnsi="Arial" w:cs="Arial"/>
          <w:color w:val="000000"/>
        </w:rPr>
        <w:t>Oxford University Press.</w:t>
      </w:r>
      <w:r w:rsidR="00730201">
        <w:rPr>
          <w:rFonts w:ascii="Arial" w:hAnsi="Arial" w:cs="Arial"/>
          <w:color w:val="000000"/>
        </w:rPr>
        <w:t>264 pp.</w:t>
      </w:r>
    </w:p>
    <w:p w14:paraId="07766008" w14:textId="77777777" w:rsidR="00730201" w:rsidRDefault="004A0EBE" w:rsidP="00E00080">
      <w:pPr>
        <w:spacing w:before="240" w:line="360" w:lineRule="auto"/>
        <w:rPr>
          <w:rFonts w:ascii="Arial" w:hAnsi="Arial" w:cs="Arial"/>
          <w:color w:val="000000"/>
        </w:rPr>
      </w:pPr>
      <w:r w:rsidRPr="003715AA">
        <w:rPr>
          <w:rFonts w:ascii="Arial" w:hAnsi="Arial" w:cs="Arial"/>
          <w:color w:val="000000"/>
        </w:rPr>
        <w:t xml:space="preserve">Penner, J.E. (2022). 1. The historical origins of the trust. In </w:t>
      </w:r>
      <w:r w:rsidRPr="003715AA">
        <w:rPr>
          <w:rFonts w:ascii="Arial" w:hAnsi="Arial" w:cs="Arial"/>
          <w:i/>
          <w:iCs/>
          <w:color w:val="000000"/>
        </w:rPr>
        <w:t>The Law of Trusts</w:t>
      </w:r>
      <w:r w:rsidRPr="003715AA">
        <w:rPr>
          <w:rFonts w:ascii="Arial" w:hAnsi="Arial" w:cs="Arial"/>
          <w:color w:val="000000"/>
        </w:rPr>
        <w:t xml:space="preserve">. </w:t>
      </w:r>
      <w:r>
        <w:rPr>
          <w:rFonts w:ascii="Arial" w:hAnsi="Arial" w:cs="Arial"/>
          <w:color w:val="000000"/>
        </w:rPr>
        <w:t>(</w:t>
      </w:r>
      <w:r w:rsidRPr="003715AA">
        <w:rPr>
          <w:rFonts w:ascii="Arial" w:hAnsi="Arial" w:cs="Arial"/>
          <w:color w:val="000000"/>
        </w:rPr>
        <w:t>12</w:t>
      </w:r>
      <w:r w:rsidRPr="003715AA">
        <w:rPr>
          <w:rFonts w:ascii="Arial" w:hAnsi="Arial" w:cs="Arial"/>
          <w:color w:val="000000"/>
          <w:vertAlign w:val="superscript"/>
        </w:rPr>
        <w:t>th</w:t>
      </w:r>
      <w:r w:rsidRPr="003715AA">
        <w:rPr>
          <w:rFonts w:ascii="Arial" w:hAnsi="Arial" w:cs="Arial"/>
          <w:color w:val="000000"/>
        </w:rPr>
        <w:t xml:space="preserve"> ed</w:t>
      </w:r>
      <w:r>
        <w:rPr>
          <w:rFonts w:ascii="Arial" w:hAnsi="Arial" w:cs="Arial"/>
          <w:color w:val="000000"/>
        </w:rPr>
        <w:t>.)</w:t>
      </w:r>
      <w:r w:rsidRPr="003715AA">
        <w:rPr>
          <w:rFonts w:ascii="Arial" w:hAnsi="Arial" w:cs="Arial"/>
          <w:color w:val="000000"/>
        </w:rPr>
        <w:t xml:space="preserve"> Oxford: Oxford University Press.</w:t>
      </w:r>
      <w:r>
        <w:rPr>
          <w:rFonts w:ascii="Arial" w:hAnsi="Arial" w:cs="Arial"/>
          <w:color w:val="000000"/>
        </w:rPr>
        <w:t xml:space="preserve"> </w:t>
      </w:r>
      <w:r w:rsidR="00730201">
        <w:rPr>
          <w:rFonts w:ascii="Arial" w:hAnsi="Arial" w:cs="Arial"/>
          <w:color w:val="000000"/>
        </w:rPr>
        <w:t>544pp</w:t>
      </w:r>
    </w:p>
    <w:p w14:paraId="6F47977C" w14:textId="18FE449C" w:rsidR="00E00080" w:rsidRDefault="00000000" w:rsidP="00E00080">
      <w:pPr>
        <w:spacing w:after="120" w:line="360" w:lineRule="auto"/>
        <w:rPr>
          <w:rFonts w:ascii="Arial" w:hAnsi="Arial" w:cs="Arial"/>
        </w:rPr>
      </w:pPr>
      <w:hyperlink r:id="rId9" w:history="1">
        <w:r w:rsidR="00E00080" w:rsidRPr="008B0810">
          <w:rPr>
            <w:rStyle w:val="Hyperlink"/>
            <w:rFonts w:ascii="Arial" w:hAnsi="Arial" w:cs="Arial"/>
          </w:rPr>
          <w:t>https://www.oxfordlawtrove.com/view/10.1093/he/9780192855008.001.0001/he-9780192855008-chapter-1</w:t>
        </w:r>
      </w:hyperlink>
      <w:r w:rsidR="004A0EBE" w:rsidRPr="003715AA">
        <w:rPr>
          <w:rFonts w:ascii="Arial" w:hAnsi="Arial" w:cs="Arial"/>
          <w:color w:val="000000"/>
        </w:rPr>
        <w:t>.</w:t>
      </w:r>
    </w:p>
    <w:p w14:paraId="562C3E8B" w14:textId="77777777" w:rsidR="00E00080" w:rsidRDefault="004A0EBE" w:rsidP="00E00080">
      <w:pPr>
        <w:spacing w:before="240" w:after="120" w:line="360" w:lineRule="auto"/>
        <w:rPr>
          <w:rFonts w:ascii="Arial" w:hAnsi="Arial" w:cs="Arial"/>
        </w:rPr>
      </w:pPr>
      <w:r w:rsidRPr="004D27FE">
        <w:rPr>
          <w:rFonts w:ascii="Arial" w:hAnsi="Arial" w:cs="Arial"/>
        </w:rPr>
        <w:lastRenderedPageBreak/>
        <w:t xml:space="preserve">Ramjohn, M. (2019). </w:t>
      </w:r>
      <w:r w:rsidRPr="004D27FE">
        <w:rPr>
          <w:rFonts w:ascii="Arial" w:hAnsi="Arial" w:cs="Arial"/>
          <w:i/>
          <w:iCs/>
        </w:rPr>
        <w:t>Unlocking equity and trusts (</w:t>
      </w:r>
      <w:r w:rsidRPr="004D27FE">
        <w:rPr>
          <w:rFonts w:ascii="Arial" w:hAnsi="Arial" w:cs="Arial"/>
        </w:rPr>
        <w:t>7</w:t>
      </w:r>
      <w:r w:rsidRPr="004D27FE">
        <w:rPr>
          <w:rFonts w:ascii="Arial" w:hAnsi="Arial" w:cs="Arial"/>
          <w:vertAlign w:val="superscript"/>
        </w:rPr>
        <w:t>th</w:t>
      </w:r>
      <w:r w:rsidRPr="004D27FE">
        <w:rPr>
          <w:rFonts w:ascii="Arial" w:hAnsi="Arial" w:cs="Arial"/>
        </w:rPr>
        <w:t xml:space="preserve"> ed). Routledge. </w:t>
      </w:r>
      <w:r w:rsidR="006B69F6">
        <w:rPr>
          <w:rFonts w:ascii="Arial" w:hAnsi="Arial" w:cs="Arial"/>
        </w:rPr>
        <w:t>698 pp.</w:t>
      </w:r>
    </w:p>
    <w:p w14:paraId="08F9D63B" w14:textId="6567B233" w:rsidR="00177F94" w:rsidRPr="00B44889" w:rsidRDefault="00177F94" w:rsidP="00E00080">
      <w:pPr>
        <w:spacing w:before="240" w:after="120" w:line="360" w:lineRule="auto"/>
        <w:rPr>
          <w:rFonts w:ascii="Arial" w:hAnsi="Arial" w:cs="Arial"/>
        </w:rPr>
      </w:pPr>
      <w:r w:rsidRPr="00B44889">
        <w:rPr>
          <w:rFonts w:ascii="Arial" w:hAnsi="Arial" w:cs="Arial"/>
        </w:rPr>
        <w:t>Smith</w:t>
      </w:r>
      <w:r>
        <w:rPr>
          <w:rFonts w:ascii="Arial" w:hAnsi="Arial" w:cs="Arial"/>
        </w:rPr>
        <w:t xml:space="preserve">, L. </w:t>
      </w:r>
      <w:r w:rsidRPr="00B44889">
        <w:rPr>
          <w:rFonts w:ascii="Arial" w:hAnsi="Arial" w:cs="Arial"/>
        </w:rPr>
        <w:t>&amp; Popovici</w:t>
      </w:r>
      <w:r>
        <w:rPr>
          <w:rFonts w:ascii="Arial" w:hAnsi="Arial" w:cs="Arial"/>
        </w:rPr>
        <w:t>,</w:t>
      </w:r>
      <w:r w:rsidRPr="00B44889">
        <w:rPr>
          <w:rFonts w:ascii="Arial" w:hAnsi="Arial" w:cs="Arial"/>
        </w:rPr>
        <w:t xml:space="preserve"> </w:t>
      </w:r>
      <w:r>
        <w:rPr>
          <w:rFonts w:ascii="Arial" w:hAnsi="Arial" w:cs="Arial"/>
        </w:rPr>
        <w:t xml:space="preserve">A. </w:t>
      </w:r>
      <w:r w:rsidRPr="00B44889">
        <w:rPr>
          <w:rFonts w:ascii="Arial" w:hAnsi="Arial" w:cs="Arial"/>
        </w:rPr>
        <w:t>(2020).</w:t>
      </w:r>
      <w:r>
        <w:rPr>
          <w:rFonts w:ascii="Arial" w:hAnsi="Arial" w:cs="Arial"/>
        </w:rPr>
        <w:t xml:space="preserve"> </w:t>
      </w:r>
      <w:r w:rsidRPr="006B69F6">
        <w:rPr>
          <w:rFonts w:ascii="Arial" w:hAnsi="Arial" w:cs="Arial"/>
        </w:rPr>
        <w:t>Equity and trusts.</w:t>
      </w:r>
      <w:r w:rsidRPr="00B44889">
        <w:rPr>
          <w:rFonts w:ascii="Arial" w:hAnsi="Arial" w:cs="Arial"/>
        </w:rPr>
        <w:t xml:space="preserve"> (L. Smith &amp; A. Popovici, </w:t>
      </w:r>
      <w:r w:rsidR="006B69F6">
        <w:rPr>
          <w:rFonts w:ascii="Arial" w:hAnsi="Arial" w:cs="Arial"/>
        </w:rPr>
        <w:t>e</w:t>
      </w:r>
      <w:r w:rsidRPr="00B44889">
        <w:rPr>
          <w:rFonts w:ascii="Arial" w:hAnsi="Arial" w:cs="Arial"/>
        </w:rPr>
        <w:t>ds.) (Ser. The international library of private law). Edward Elgar Publishing.</w:t>
      </w:r>
      <w:r>
        <w:rPr>
          <w:rFonts w:ascii="Arial" w:hAnsi="Arial" w:cs="Arial"/>
        </w:rPr>
        <w:t xml:space="preserve"> </w:t>
      </w:r>
      <w:r w:rsidRPr="00B44889">
        <w:rPr>
          <w:rFonts w:ascii="Arial" w:hAnsi="Arial" w:cs="Arial"/>
        </w:rPr>
        <w:t xml:space="preserve">https://www.elgaronline.com/view/Research_Reviews/9781788111089/9781788111089.xml. </w:t>
      </w:r>
    </w:p>
    <w:p w14:paraId="5A4F95F9" w14:textId="0E319050" w:rsidR="004A0EBE" w:rsidRPr="00E00080" w:rsidRDefault="00730201" w:rsidP="00E00080">
      <w:pPr>
        <w:spacing w:after="240" w:line="360" w:lineRule="auto"/>
        <w:rPr>
          <w:rFonts w:ascii="Arial" w:hAnsi="Arial" w:cs="Arial"/>
        </w:rPr>
      </w:pPr>
      <w:r>
        <w:rPr>
          <w:rFonts w:ascii="Arial" w:hAnsi="Arial" w:cs="Arial"/>
        </w:rPr>
        <w:t xml:space="preserve">Tucker, P. (2000). The Early History of The Court of Chancery: </w:t>
      </w:r>
      <w:r w:rsidR="00013A0E">
        <w:rPr>
          <w:rFonts w:ascii="Arial" w:hAnsi="Arial" w:cs="Arial"/>
        </w:rPr>
        <w:t>A</w:t>
      </w:r>
      <w:r>
        <w:rPr>
          <w:rFonts w:ascii="Arial" w:hAnsi="Arial" w:cs="Arial"/>
        </w:rPr>
        <w:t xml:space="preserve"> Comparative Review. </w:t>
      </w:r>
      <w:r w:rsidRPr="00730201">
        <w:rPr>
          <w:rFonts w:ascii="Arial" w:hAnsi="Arial" w:cs="Arial"/>
          <w:i/>
          <w:iCs/>
        </w:rPr>
        <w:t>The English Historical Review. 115 (</w:t>
      </w:r>
      <w:r>
        <w:rPr>
          <w:rFonts w:ascii="Arial" w:hAnsi="Arial" w:cs="Arial"/>
        </w:rPr>
        <w:t>463),791-811.</w:t>
      </w:r>
    </w:p>
    <w:p w14:paraId="01476B2E" w14:textId="6B4C3034" w:rsidR="003917CE" w:rsidRDefault="003917CE" w:rsidP="00E00080">
      <w:pPr>
        <w:spacing w:after="240" w:line="360" w:lineRule="auto"/>
        <w:rPr>
          <w:rFonts w:ascii="Arial" w:hAnsi="Arial" w:cs="Arial"/>
        </w:rPr>
      </w:pPr>
      <w:r w:rsidRPr="00DB7413">
        <w:rPr>
          <w:rFonts w:ascii="Arial" w:hAnsi="Arial" w:cs="Arial"/>
        </w:rPr>
        <w:t xml:space="preserve">Watt, G. </w:t>
      </w:r>
      <w:r w:rsidR="00013A0E" w:rsidRPr="00DB7413">
        <w:rPr>
          <w:rFonts w:ascii="Arial" w:hAnsi="Arial" w:cs="Arial"/>
        </w:rPr>
        <w:t>(2021</w:t>
      </w:r>
      <w:r w:rsidRPr="00DB7413">
        <w:rPr>
          <w:rFonts w:ascii="Arial" w:hAnsi="Arial" w:cs="Arial"/>
        </w:rPr>
        <w:t>) Introduction to equity and trusts</w:t>
      </w:r>
      <w:r w:rsidR="00DB7413">
        <w:rPr>
          <w:rFonts w:ascii="Arial" w:hAnsi="Arial" w:cs="Arial"/>
        </w:rPr>
        <w:t>.</w:t>
      </w:r>
      <w:r w:rsidRPr="00DB7413">
        <w:rPr>
          <w:rFonts w:ascii="Arial" w:hAnsi="Arial" w:cs="Arial"/>
        </w:rPr>
        <w:t xml:space="preserve"> in </w:t>
      </w:r>
      <w:r w:rsidR="00DB7413" w:rsidRPr="00DB7413">
        <w:rPr>
          <w:rFonts w:ascii="Arial" w:hAnsi="Arial" w:cs="Arial"/>
          <w:i/>
          <w:iCs/>
        </w:rPr>
        <w:t>E</w:t>
      </w:r>
      <w:r w:rsidRPr="00DB7413">
        <w:rPr>
          <w:rFonts w:ascii="Arial" w:hAnsi="Arial" w:cs="Arial"/>
          <w:i/>
          <w:iCs/>
        </w:rPr>
        <w:t>quity and Trust</w:t>
      </w:r>
      <w:r w:rsidR="00DB7413" w:rsidRPr="00DB7413">
        <w:rPr>
          <w:rFonts w:ascii="Arial" w:hAnsi="Arial" w:cs="Arial"/>
          <w:i/>
          <w:iCs/>
        </w:rPr>
        <w:t>s Law Directions</w:t>
      </w:r>
      <w:r w:rsidR="00DB7413" w:rsidRPr="00DB7413">
        <w:rPr>
          <w:rFonts w:ascii="Arial" w:hAnsi="Arial" w:cs="Arial"/>
        </w:rPr>
        <w:t xml:space="preserve"> </w:t>
      </w:r>
      <w:r w:rsidR="00DB7413">
        <w:rPr>
          <w:rFonts w:ascii="Arial" w:hAnsi="Arial" w:cs="Arial"/>
        </w:rPr>
        <w:t>(</w:t>
      </w:r>
      <w:r w:rsidR="00DB7413" w:rsidRPr="00DB7413">
        <w:rPr>
          <w:rFonts w:ascii="Arial" w:hAnsi="Arial" w:cs="Arial"/>
        </w:rPr>
        <w:t>7thed) Oxford University Press 560 pp</w:t>
      </w:r>
    </w:p>
    <w:p w14:paraId="5FE4BBC6" w14:textId="6C1D6847" w:rsidR="00EE39D1" w:rsidRPr="00EE39D1" w:rsidRDefault="00EE39D1" w:rsidP="00EE39D1">
      <w:pPr>
        <w:spacing w:after="269" w:line="360" w:lineRule="auto"/>
        <w:rPr>
          <w:rFonts w:ascii="Arial" w:hAnsi="Arial" w:cs="Arial"/>
        </w:rPr>
      </w:pPr>
      <w:r w:rsidRPr="00EE39D1">
        <w:rPr>
          <w:rFonts w:ascii="Arial" w:hAnsi="Arial" w:cs="Arial"/>
        </w:rPr>
        <w:t xml:space="preserve">Whayman, D. (2022). Part I Constitution of Express Trust </w:t>
      </w:r>
      <w:r w:rsidR="00013A0E" w:rsidRPr="00EE39D1">
        <w:rPr>
          <w:rFonts w:ascii="Arial" w:hAnsi="Arial" w:cs="Arial"/>
        </w:rPr>
        <w:t>in Essential</w:t>
      </w:r>
      <w:r w:rsidRPr="00EE39D1">
        <w:rPr>
          <w:rFonts w:ascii="Arial" w:hAnsi="Arial" w:cs="Arial"/>
          <w:i/>
          <w:iCs/>
          <w:color w:val="000000"/>
        </w:rPr>
        <w:t xml:space="preserve"> Cases: Equity &amp; Trusts</w:t>
      </w:r>
      <w:r w:rsidRPr="00EE39D1">
        <w:rPr>
          <w:rFonts w:ascii="Arial" w:hAnsi="Arial" w:cs="Arial"/>
          <w:color w:val="000000"/>
        </w:rPr>
        <w:t xml:space="preserve">. </w:t>
      </w:r>
      <w:r w:rsidR="00013A0E" w:rsidRPr="00EE39D1">
        <w:rPr>
          <w:rFonts w:ascii="Arial" w:hAnsi="Arial" w:cs="Arial"/>
          <w:color w:val="000000"/>
        </w:rPr>
        <w:t>(5</w:t>
      </w:r>
      <w:r w:rsidRPr="00EE39D1">
        <w:rPr>
          <w:rFonts w:ascii="Arial" w:hAnsi="Arial" w:cs="Arial"/>
          <w:color w:val="000000"/>
          <w:vertAlign w:val="superscript"/>
        </w:rPr>
        <w:t>th</w:t>
      </w:r>
      <w:r w:rsidRPr="00EE39D1">
        <w:rPr>
          <w:rFonts w:ascii="Arial" w:hAnsi="Arial" w:cs="Arial"/>
          <w:color w:val="000000"/>
        </w:rPr>
        <w:t xml:space="preserve"> ed.) Oxford University Press. https://www.oxfordlawtrove.com/view/10.1093/he/9780191948862.001.0001/he-9780191948862.</w:t>
      </w:r>
    </w:p>
    <w:p w14:paraId="687E2D80" w14:textId="77777777" w:rsidR="003917CE" w:rsidRDefault="003917CE" w:rsidP="004D27FE">
      <w:pPr>
        <w:rPr>
          <w:rFonts w:ascii="Arial" w:hAnsi="Arial" w:cs="Arial"/>
          <w:b/>
          <w:bCs/>
        </w:rPr>
      </w:pPr>
    </w:p>
    <w:p w14:paraId="446B3EC9" w14:textId="2B398FD5" w:rsidR="004D27FE" w:rsidRPr="003715AA" w:rsidRDefault="004D27FE" w:rsidP="004D27FE">
      <w:pPr>
        <w:rPr>
          <w:rFonts w:ascii="Arial" w:hAnsi="Arial" w:cs="Arial"/>
          <w:b/>
          <w:bCs/>
        </w:rPr>
      </w:pPr>
      <w:r w:rsidRPr="003715AA">
        <w:rPr>
          <w:rFonts w:ascii="Arial" w:hAnsi="Arial" w:cs="Arial"/>
          <w:b/>
          <w:bCs/>
        </w:rPr>
        <w:t xml:space="preserve">Table of cases </w:t>
      </w:r>
    </w:p>
    <w:p w14:paraId="6EF0CE8B" w14:textId="77777777" w:rsidR="004D27FE" w:rsidRPr="004D27FE" w:rsidRDefault="004D27FE" w:rsidP="004D27FE">
      <w:pPr>
        <w:rPr>
          <w:rFonts w:ascii="Arial" w:hAnsi="Arial" w:cs="Arial"/>
          <w:b/>
          <w:bCs/>
          <w:u w:val="single"/>
        </w:rPr>
      </w:pPr>
    </w:p>
    <w:p w14:paraId="61546B86" w14:textId="77777777" w:rsidR="004D27FE" w:rsidRPr="006B69F6" w:rsidRDefault="004D27FE" w:rsidP="004D27FE">
      <w:pPr>
        <w:spacing w:line="360" w:lineRule="auto"/>
        <w:rPr>
          <w:rFonts w:ascii="Arial" w:hAnsi="Arial" w:cs="Arial"/>
        </w:rPr>
      </w:pPr>
      <w:r w:rsidRPr="006B69F6">
        <w:rPr>
          <w:rFonts w:ascii="Arial" w:hAnsi="Arial" w:cs="Arial"/>
          <w:i/>
          <w:iCs/>
        </w:rPr>
        <w:t>Cook v. Fountain</w:t>
      </w:r>
      <w:r w:rsidRPr="006B69F6">
        <w:rPr>
          <w:rFonts w:ascii="Arial" w:hAnsi="Arial" w:cs="Arial"/>
        </w:rPr>
        <w:t xml:space="preserve"> (1676) 36 ER 984.</w:t>
      </w:r>
    </w:p>
    <w:p w14:paraId="0EAC7E70" w14:textId="77777777" w:rsidR="00B44889" w:rsidRPr="006B69F6" w:rsidRDefault="00B44889" w:rsidP="00B44889">
      <w:pPr>
        <w:spacing w:line="360" w:lineRule="auto"/>
        <w:rPr>
          <w:rFonts w:ascii="Arial" w:hAnsi="Arial" w:cs="Arial"/>
        </w:rPr>
      </w:pPr>
      <w:r w:rsidRPr="006B69F6">
        <w:rPr>
          <w:rFonts w:ascii="Arial" w:hAnsi="Arial" w:cs="Arial"/>
        </w:rPr>
        <w:t>Dudley v Dudley (1705) Prec Ch 241</w:t>
      </w:r>
    </w:p>
    <w:p w14:paraId="0053797D" w14:textId="4BB044A9" w:rsidR="0022658C" w:rsidRPr="006B69F6" w:rsidRDefault="004D27FE" w:rsidP="004D27FE">
      <w:pPr>
        <w:spacing w:line="360" w:lineRule="auto"/>
        <w:rPr>
          <w:rFonts w:ascii="Arial" w:hAnsi="Arial" w:cs="Arial"/>
        </w:rPr>
      </w:pPr>
      <w:r w:rsidRPr="006B69F6">
        <w:rPr>
          <w:rFonts w:ascii="Arial" w:hAnsi="Arial" w:cs="Arial"/>
          <w:i/>
          <w:iCs/>
        </w:rPr>
        <w:t>Earl of Oxford’s Case</w:t>
      </w:r>
      <w:r w:rsidRPr="006B69F6">
        <w:rPr>
          <w:rFonts w:ascii="Arial" w:hAnsi="Arial" w:cs="Arial"/>
        </w:rPr>
        <w:t xml:space="preserve"> (1615) </w:t>
      </w:r>
      <w:r w:rsidR="0022658C" w:rsidRPr="006B69F6">
        <w:rPr>
          <w:rFonts w:ascii="Arial" w:hAnsi="Arial" w:cs="Arial"/>
          <w:shd w:val="clear" w:color="auto" w:fill="FFFFFF"/>
        </w:rPr>
        <w:t xml:space="preserve">Lord Ellesmere </w:t>
      </w:r>
      <w:r w:rsidR="00B13BAC" w:rsidRPr="006B69F6">
        <w:rPr>
          <w:rFonts w:ascii="Arial" w:hAnsi="Arial" w:cs="Arial"/>
          <w:shd w:val="clear" w:color="auto" w:fill="FFFFFF"/>
        </w:rPr>
        <w:t>LC</w:t>
      </w:r>
      <w:r w:rsidR="00B13BAC" w:rsidRPr="006B69F6">
        <w:rPr>
          <w:rFonts w:ascii="Arial" w:hAnsi="Arial" w:cs="Arial"/>
        </w:rPr>
        <w:t xml:space="preserve">, </w:t>
      </w:r>
      <w:r w:rsidR="00B13BAC" w:rsidRPr="006B69F6">
        <w:rPr>
          <w:rFonts w:ascii="Arial" w:hAnsi="Arial" w:cs="Arial"/>
          <w:shd w:val="clear" w:color="auto" w:fill="FFFFFF"/>
        </w:rPr>
        <w:t>EngR</w:t>
      </w:r>
      <w:r w:rsidR="0022658C" w:rsidRPr="006B69F6">
        <w:rPr>
          <w:rFonts w:ascii="Arial" w:hAnsi="Arial" w:cs="Arial"/>
          <w:shd w:val="clear" w:color="auto" w:fill="FFFFFF"/>
        </w:rPr>
        <w:t xml:space="preserve"> 2, (1615) 1 Rep Ch 1, (1615) 21 ER 485</w:t>
      </w:r>
    </w:p>
    <w:p w14:paraId="31DFD674" w14:textId="6B3EA124" w:rsidR="006873FF" w:rsidRPr="006B69F6" w:rsidRDefault="006873FF" w:rsidP="004D27FE">
      <w:pPr>
        <w:spacing w:line="360" w:lineRule="auto"/>
        <w:rPr>
          <w:rFonts w:ascii="Arial" w:hAnsi="Arial" w:cs="Arial"/>
          <w:i/>
          <w:iCs/>
        </w:rPr>
      </w:pPr>
      <w:r w:rsidRPr="006B69F6">
        <w:rPr>
          <w:rFonts w:ascii="Arial" w:hAnsi="Arial" w:cs="Arial"/>
          <w:i/>
          <w:iCs/>
        </w:rPr>
        <w:t>Hunter v Moss (</w:t>
      </w:r>
      <w:r w:rsidRPr="006B69F6">
        <w:rPr>
          <w:rFonts w:ascii="Arial" w:hAnsi="Arial" w:cs="Arial"/>
        </w:rPr>
        <w:t>1994) 1WLR452 CoA</w:t>
      </w:r>
    </w:p>
    <w:p w14:paraId="03483FE4" w14:textId="77777777" w:rsidR="00E00080" w:rsidRPr="004D27FE" w:rsidRDefault="00E00080" w:rsidP="00E00080">
      <w:pPr>
        <w:spacing w:line="360" w:lineRule="auto"/>
        <w:rPr>
          <w:rFonts w:ascii="Arial" w:hAnsi="Arial" w:cs="Arial"/>
        </w:rPr>
      </w:pPr>
      <w:r w:rsidRPr="004D27FE">
        <w:rPr>
          <w:rFonts w:ascii="Arial" w:hAnsi="Arial" w:cs="Arial"/>
          <w:i/>
          <w:iCs/>
        </w:rPr>
        <w:t>Knight v. Knight</w:t>
      </w:r>
      <w:r w:rsidRPr="004D27FE">
        <w:rPr>
          <w:rFonts w:ascii="Arial" w:hAnsi="Arial" w:cs="Arial"/>
        </w:rPr>
        <w:t xml:space="preserve"> (1840) 3 Beav 148</w:t>
      </w:r>
    </w:p>
    <w:p w14:paraId="50C4370D" w14:textId="79FB1EF7" w:rsidR="004D27FE" w:rsidRPr="006B69F6" w:rsidRDefault="004D27FE" w:rsidP="004D27FE">
      <w:pPr>
        <w:spacing w:line="360" w:lineRule="auto"/>
        <w:rPr>
          <w:rFonts w:ascii="Arial" w:hAnsi="Arial" w:cs="Arial"/>
        </w:rPr>
      </w:pPr>
      <w:r w:rsidRPr="006B69F6">
        <w:rPr>
          <w:rFonts w:ascii="Arial" w:hAnsi="Arial" w:cs="Arial"/>
          <w:i/>
          <w:iCs/>
        </w:rPr>
        <w:t>Walsh v. Lonsdale</w:t>
      </w:r>
      <w:r w:rsidRPr="006B69F6">
        <w:rPr>
          <w:rFonts w:ascii="Arial" w:hAnsi="Arial" w:cs="Arial"/>
        </w:rPr>
        <w:t xml:space="preserve"> (1882) 21 ChD 9</w:t>
      </w:r>
    </w:p>
    <w:p w14:paraId="79E57AEC" w14:textId="77777777" w:rsidR="00E969E9" w:rsidRDefault="00E969E9" w:rsidP="004D27FE">
      <w:pPr>
        <w:rPr>
          <w:rFonts w:ascii="Arial" w:hAnsi="Arial" w:cs="Arial"/>
          <w:b/>
          <w:bCs/>
        </w:rPr>
      </w:pPr>
    </w:p>
    <w:p w14:paraId="731B3DF8" w14:textId="34AC6893" w:rsidR="004D27FE" w:rsidRPr="003715AA" w:rsidRDefault="004D27FE" w:rsidP="004D27FE">
      <w:pPr>
        <w:rPr>
          <w:rFonts w:ascii="Arial" w:hAnsi="Arial" w:cs="Arial"/>
          <w:b/>
          <w:bCs/>
        </w:rPr>
      </w:pPr>
      <w:r w:rsidRPr="003715AA">
        <w:rPr>
          <w:rFonts w:ascii="Arial" w:hAnsi="Arial" w:cs="Arial"/>
          <w:b/>
          <w:bCs/>
        </w:rPr>
        <w:t>Table of legislation</w:t>
      </w:r>
    </w:p>
    <w:p w14:paraId="2707CE59" w14:textId="77777777" w:rsidR="004D27FE" w:rsidRPr="003715AA" w:rsidRDefault="004D27FE" w:rsidP="004D27FE">
      <w:pPr>
        <w:rPr>
          <w:rFonts w:ascii="Arial" w:hAnsi="Arial" w:cs="Arial"/>
          <w:b/>
          <w:bCs/>
        </w:rPr>
      </w:pPr>
    </w:p>
    <w:p w14:paraId="77255ADC" w14:textId="77777777" w:rsidR="004D27FE" w:rsidRPr="004D27FE" w:rsidRDefault="004D27FE" w:rsidP="004D27FE">
      <w:pPr>
        <w:spacing w:line="360" w:lineRule="auto"/>
        <w:rPr>
          <w:rFonts w:ascii="Arial" w:hAnsi="Arial" w:cs="Arial"/>
        </w:rPr>
      </w:pPr>
      <w:r w:rsidRPr="004D27FE">
        <w:rPr>
          <w:rFonts w:ascii="Arial" w:hAnsi="Arial" w:cs="Arial"/>
        </w:rPr>
        <w:t>Chancery Amendment Act, 1858</w:t>
      </w:r>
    </w:p>
    <w:p w14:paraId="6F1BAF37" w14:textId="77777777" w:rsidR="004D27FE" w:rsidRPr="004D27FE" w:rsidRDefault="004D27FE" w:rsidP="004D27FE">
      <w:pPr>
        <w:spacing w:line="360" w:lineRule="auto"/>
        <w:rPr>
          <w:rFonts w:ascii="Arial" w:hAnsi="Arial" w:cs="Arial"/>
        </w:rPr>
      </w:pPr>
      <w:r w:rsidRPr="004D27FE">
        <w:rPr>
          <w:rFonts w:ascii="Arial" w:hAnsi="Arial" w:cs="Arial"/>
        </w:rPr>
        <w:t>Common Law Procedure Act, 1854</w:t>
      </w:r>
    </w:p>
    <w:p w14:paraId="13F5C3F1" w14:textId="2821E5C5" w:rsidR="00334FC5" w:rsidRPr="004D27FE" w:rsidRDefault="004D27FE" w:rsidP="004D27FE">
      <w:pPr>
        <w:spacing w:line="360" w:lineRule="auto"/>
        <w:rPr>
          <w:rFonts w:ascii="Arial" w:hAnsi="Arial" w:cs="Arial"/>
        </w:rPr>
      </w:pPr>
      <w:r w:rsidRPr="004D27FE">
        <w:rPr>
          <w:rFonts w:ascii="Arial" w:hAnsi="Arial" w:cs="Arial"/>
        </w:rPr>
        <w:t>Judicature Acts of 1873 and 1875</w:t>
      </w:r>
    </w:p>
    <w:sectPr w:rsidR="00334FC5" w:rsidRPr="004D27F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8FC21" w14:textId="77777777" w:rsidR="008B2B62" w:rsidRDefault="008B2B62" w:rsidP="00DA13D0">
      <w:r>
        <w:separator/>
      </w:r>
    </w:p>
  </w:endnote>
  <w:endnote w:type="continuationSeparator" w:id="0">
    <w:p w14:paraId="3A8E68B1" w14:textId="77777777" w:rsidR="008B2B62" w:rsidRDefault="008B2B62" w:rsidP="00DA1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D40A8" w14:textId="77777777" w:rsidR="008B2B62" w:rsidRDefault="008B2B62" w:rsidP="00DA13D0">
      <w:r>
        <w:separator/>
      </w:r>
    </w:p>
  </w:footnote>
  <w:footnote w:type="continuationSeparator" w:id="0">
    <w:p w14:paraId="1F9F53B9" w14:textId="77777777" w:rsidR="008B2B62" w:rsidRDefault="008B2B62" w:rsidP="00DA13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83DA2" w14:textId="1B3DC07C" w:rsidR="00DA13D0" w:rsidRDefault="00DA13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5D4E"/>
    <w:multiLevelType w:val="hybridMultilevel"/>
    <w:tmpl w:val="6214FC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9169F8"/>
    <w:multiLevelType w:val="hybridMultilevel"/>
    <w:tmpl w:val="D90A0FC0"/>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73DDA"/>
    <w:multiLevelType w:val="hybridMultilevel"/>
    <w:tmpl w:val="1AB4B9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5796B90"/>
    <w:multiLevelType w:val="hybridMultilevel"/>
    <w:tmpl w:val="71B4A1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2EE660D"/>
    <w:multiLevelType w:val="hybridMultilevel"/>
    <w:tmpl w:val="D90A0FC0"/>
    <w:lvl w:ilvl="0" w:tplc="FFFFFFFF">
      <w:start w:val="1"/>
      <w:numFmt w:val="decimal"/>
      <w:lvlText w:val="%1."/>
      <w:lvlJc w:val="left"/>
      <w:pPr>
        <w:ind w:left="720" w:hanging="360"/>
      </w:pPr>
      <w:rPr>
        <w:rFonts w:hint="default"/>
        <w:i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32B12A0"/>
    <w:multiLevelType w:val="hybridMultilevel"/>
    <w:tmpl w:val="77FA4B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46803A2"/>
    <w:multiLevelType w:val="multilevel"/>
    <w:tmpl w:val="3BD0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656751"/>
    <w:multiLevelType w:val="hybridMultilevel"/>
    <w:tmpl w:val="AB30FF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DDF3A67"/>
    <w:multiLevelType w:val="hybridMultilevel"/>
    <w:tmpl w:val="8284897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28932280">
    <w:abstractNumId w:val="8"/>
  </w:num>
  <w:num w:numId="2" w16cid:durableId="1745295911">
    <w:abstractNumId w:val="5"/>
  </w:num>
  <w:num w:numId="3" w16cid:durableId="2074618890">
    <w:abstractNumId w:val="3"/>
  </w:num>
  <w:num w:numId="4" w16cid:durableId="534924456">
    <w:abstractNumId w:val="0"/>
  </w:num>
  <w:num w:numId="5" w16cid:durableId="1848132475">
    <w:abstractNumId w:val="2"/>
  </w:num>
  <w:num w:numId="6" w16cid:durableId="2130395091">
    <w:abstractNumId w:val="1"/>
  </w:num>
  <w:num w:numId="7" w16cid:durableId="1196578916">
    <w:abstractNumId w:val="4"/>
  </w:num>
  <w:num w:numId="8" w16cid:durableId="575823301">
    <w:abstractNumId w:val="7"/>
  </w:num>
  <w:num w:numId="9" w16cid:durableId="6429309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0CA"/>
    <w:rsid w:val="00001FC2"/>
    <w:rsid w:val="00003160"/>
    <w:rsid w:val="00013A0E"/>
    <w:rsid w:val="000148F1"/>
    <w:rsid w:val="0001744A"/>
    <w:rsid w:val="0002529E"/>
    <w:rsid w:val="00032232"/>
    <w:rsid w:val="0003223A"/>
    <w:rsid w:val="0003346D"/>
    <w:rsid w:val="000440A7"/>
    <w:rsid w:val="00055DA8"/>
    <w:rsid w:val="00056A74"/>
    <w:rsid w:val="00056AEB"/>
    <w:rsid w:val="0006137D"/>
    <w:rsid w:val="000776A3"/>
    <w:rsid w:val="00086441"/>
    <w:rsid w:val="0009656A"/>
    <w:rsid w:val="000A2D12"/>
    <w:rsid w:val="000A3475"/>
    <w:rsid w:val="000A3F40"/>
    <w:rsid w:val="000C0F45"/>
    <w:rsid w:val="000D26E0"/>
    <w:rsid w:val="000E0F2B"/>
    <w:rsid w:val="000E3A9F"/>
    <w:rsid w:val="00103F3A"/>
    <w:rsid w:val="00107589"/>
    <w:rsid w:val="00121568"/>
    <w:rsid w:val="001232CE"/>
    <w:rsid w:val="001246C9"/>
    <w:rsid w:val="001354B6"/>
    <w:rsid w:val="00142975"/>
    <w:rsid w:val="00144A1A"/>
    <w:rsid w:val="00145210"/>
    <w:rsid w:val="001455CC"/>
    <w:rsid w:val="001525AE"/>
    <w:rsid w:val="00153197"/>
    <w:rsid w:val="001545AA"/>
    <w:rsid w:val="00154D98"/>
    <w:rsid w:val="001551E2"/>
    <w:rsid w:val="001609F0"/>
    <w:rsid w:val="00162B88"/>
    <w:rsid w:val="00164EE6"/>
    <w:rsid w:val="00165292"/>
    <w:rsid w:val="00170003"/>
    <w:rsid w:val="00171F72"/>
    <w:rsid w:val="00177F94"/>
    <w:rsid w:val="00181824"/>
    <w:rsid w:val="00183443"/>
    <w:rsid w:val="001845EE"/>
    <w:rsid w:val="001846A1"/>
    <w:rsid w:val="0019613A"/>
    <w:rsid w:val="001A40CE"/>
    <w:rsid w:val="001B628B"/>
    <w:rsid w:val="001D4932"/>
    <w:rsid w:val="001D5BDE"/>
    <w:rsid w:val="001F0D83"/>
    <w:rsid w:val="001F2C7A"/>
    <w:rsid w:val="001F4656"/>
    <w:rsid w:val="001F51C8"/>
    <w:rsid w:val="00212A9C"/>
    <w:rsid w:val="00214311"/>
    <w:rsid w:val="00214526"/>
    <w:rsid w:val="00215F6E"/>
    <w:rsid w:val="0021690A"/>
    <w:rsid w:val="002202FC"/>
    <w:rsid w:val="0022658C"/>
    <w:rsid w:val="002405B9"/>
    <w:rsid w:val="00243E84"/>
    <w:rsid w:val="002520AC"/>
    <w:rsid w:val="0025225E"/>
    <w:rsid w:val="002605E5"/>
    <w:rsid w:val="002671D7"/>
    <w:rsid w:val="00275AE4"/>
    <w:rsid w:val="00276FCE"/>
    <w:rsid w:val="0028652A"/>
    <w:rsid w:val="00297A9F"/>
    <w:rsid w:val="002B2DD1"/>
    <w:rsid w:val="002B56B6"/>
    <w:rsid w:val="002D6D7E"/>
    <w:rsid w:val="002E666C"/>
    <w:rsid w:val="002F7AEB"/>
    <w:rsid w:val="003001E3"/>
    <w:rsid w:val="00312446"/>
    <w:rsid w:val="00312D34"/>
    <w:rsid w:val="00316A49"/>
    <w:rsid w:val="00321EB5"/>
    <w:rsid w:val="00322300"/>
    <w:rsid w:val="00322C09"/>
    <w:rsid w:val="00327D01"/>
    <w:rsid w:val="00334FC5"/>
    <w:rsid w:val="003715AA"/>
    <w:rsid w:val="00371BF7"/>
    <w:rsid w:val="0037391E"/>
    <w:rsid w:val="00387BAF"/>
    <w:rsid w:val="00391073"/>
    <w:rsid w:val="003917CE"/>
    <w:rsid w:val="0039476F"/>
    <w:rsid w:val="003A05F7"/>
    <w:rsid w:val="003B7983"/>
    <w:rsid w:val="003C0050"/>
    <w:rsid w:val="003C1386"/>
    <w:rsid w:val="003C20EB"/>
    <w:rsid w:val="003C36C7"/>
    <w:rsid w:val="003C3934"/>
    <w:rsid w:val="003C5FD9"/>
    <w:rsid w:val="003D1165"/>
    <w:rsid w:val="003E3551"/>
    <w:rsid w:val="003E3ED2"/>
    <w:rsid w:val="003E77A9"/>
    <w:rsid w:val="003F2054"/>
    <w:rsid w:val="003F2BC6"/>
    <w:rsid w:val="003F32C9"/>
    <w:rsid w:val="003F33A8"/>
    <w:rsid w:val="003F371A"/>
    <w:rsid w:val="003F3BDF"/>
    <w:rsid w:val="00404981"/>
    <w:rsid w:val="004225D8"/>
    <w:rsid w:val="00433D43"/>
    <w:rsid w:val="0043402A"/>
    <w:rsid w:val="004371BA"/>
    <w:rsid w:val="004429C0"/>
    <w:rsid w:val="00454F59"/>
    <w:rsid w:val="00456C81"/>
    <w:rsid w:val="0046100C"/>
    <w:rsid w:val="00462458"/>
    <w:rsid w:val="00471B81"/>
    <w:rsid w:val="00482363"/>
    <w:rsid w:val="00492E06"/>
    <w:rsid w:val="0049515F"/>
    <w:rsid w:val="004A0EBE"/>
    <w:rsid w:val="004B1488"/>
    <w:rsid w:val="004B2E04"/>
    <w:rsid w:val="004B4938"/>
    <w:rsid w:val="004B5906"/>
    <w:rsid w:val="004B78DB"/>
    <w:rsid w:val="004C6D5E"/>
    <w:rsid w:val="004C6FE9"/>
    <w:rsid w:val="004D27FE"/>
    <w:rsid w:val="004E6905"/>
    <w:rsid w:val="004F2073"/>
    <w:rsid w:val="004F2AFA"/>
    <w:rsid w:val="0050601D"/>
    <w:rsid w:val="0050737B"/>
    <w:rsid w:val="0050794F"/>
    <w:rsid w:val="0052451F"/>
    <w:rsid w:val="00524D0D"/>
    <w:rsid w:val="0054093D"/>
    <w:rsid w:val="0054131D"/>
    <w:rsid w:val="005415DA"/>
    <w:rsid w:val="00551277"/>
    <w:rsid w:val="00556CD9"/>
    <w:rsid w:val="00557B87"/>
    <w:rsid w:val="005653A9"/>
    <w:rsid w:val="00573B26"/>
    <w:rsid w:val="00573D4E"/>
    <w:rsid w:val="00574673"/>
    <w:rsid w:val="005908AF"/>
    <w:rsid w:val="005922C2"/>
    <w:rsid w:val="00593DB6"/>
    <w:rsid w:val="005B4A56"/>
    <w:rsid w:val="005C3011"/>
    <w:rsid w:val="005D015B"/>
    <w:rsid w:val="005D19FB"/>
    <w:rsid w:val="005E03EC"/>
    <w:rsid w:val="005E557F"/>
    <w:rsid w:val="005E69AD"/>
    <w:rsid w:val="005F02C9"/>
    <w:rsid w:val="005F076D"/>
    <w:rsid w:val="005F164C"/>
    <w:rsid w:val="005F3D06"/>
    <w:rsid w:val="00601DB9"/>
    <w:rsid w:val="00605846"/>
    <w:rsid w:val="0061222B"/>
    <w:rsid w:val="00614F9B"/>
    <w:rsid w:val="00621D4D"/>
    <w:rsid w:val="006246DC"/>
    <w:rsid w:val="00626140"/>
    <w:rsid w:val="00630453"/>
    <w:rsid w:val="00644931"/>
    <w:rsid w:val="00646DEE"/>
    <w:rsid w:val="00653CF5"/>
    <w:rsid w:val="00656FE2"/>
    <w:rsid w:val="006615DD"/>
    <w:rsid w:val="006724AB"/>
    <w:rsid w:val="00675EA9"/>
    <w:rsid w:val="006873FF"/>
    <w:rsid w:val="0069036B"/>
    <w:rsid w:val="00693268"/>
    <w:rsid w:val="006B3DF3"/>
    <w:rsid w:val="006B57D6"/>
    <w:rsid w:val="006B69F6"/>
    <w:rsid w:val="006C55CB"/>
    <w:rsid w:val="006D2755"/>
    <w:rsid w:val="006D75AB"/>
    <w:rsid w:val="006E0A7F"/>
    <w:rsid w:val="006E6877"/>
    <w:rsid w:val="006F4908"/>
    <w:rsid w:val="006F6839"/>
    <w:rsid w:val="00713653"/>
    <w:rsid w:val="00730201"/>
    <w:rsid w:val="00730D23"/>
    <w:rsid w:val="007369D7"/>
    <w:rsid w:val="00740C8A"/>
    <w:rsid w:val="00744549"/>
    <w:rsid w:val="00745022"/>
    <w:rsid w:val="007474E5"/>
    <w:rsid w:val="007513EC"/>
    <w:rsid w:val="00754506"/>
    <w:rsid w:val="00762A02"/>
    <w:rsid w:val="007722EB"/>
    <w:rsid w:val="007725B2"/>
    <w:rsid w:val="00777211"/>
    <w:rsid w:val="00786168"/>
    <w:rsid w:val="00787ADC"/>
    <w:rsid w:val="00790EDE"/>
    <w:rsid w:val="007B3E75"/>
    <w:rsid w:val="007B4D65"/>
    <w:rsid w:val="007D689C"/>
    <w:rsid w:val="007D743B"/>
    <w:rsid w:val="007D7AA9"/>
    <w:rsid w:val="007E601F"/>
    <w:rsid w:val="007F1A63"/>
    <w:rsid w:val="00800C04"/>
    <w:rsid w:val="00804226"/>
    <w:rsid w:val="0081144A"/>
    <w:rsid w:val="00815F3C"/>
    <w:rsid w:val="008160AE"/>
    <w:rsid w:val="00817706"/>
    <w:rsid w:val="0082175D"/>
    <w:rsid w:val="0083696D"/>
    <w:rsid w:val="00840D96"/>
    <w:rsid w:val="00847F26"/>
    <w:rsid w:val="008567F5"/>
    <w:rsid w:val="008571E2"/>
    <w:rsid w:val="0086065B"/>
    <w:rsid w:val="008617CB"/>
    <w:rsid w:val="0086356D"/>
    <w:rsid w:val="00870B26"/>
    <w:rsid w:val="00880E78"/>
    <w:rsid w:val="008815CE"/>
    <w:rsid w:val="00881C6D"/>
    <w:rsid w:val="008871B2"/>
    <w:rsid w:val="008A40CA"/>
    <w:rsid w:val="008B2B62"/>
    <w:rsid w:val="008C307D"/>
    <w:rsid w:val="008E5A79"/>
    <w:rsid w:val="008E5F15"/>
    <w:rsid w:val="008E717E"/>
    <w:rsid w:val="008E7935"/>
    <w:rsid w:val="008F59AC"/>
    <w:rsid w:val="00903B16"/>
    <w:rsid w:val="00907269"/>
    <w:rsid w:val="009116D6"/>
    <w:rsid w:val="00924300"/>
    <w:rsid w:val="00927499"/>
    <w:rsid w:val="009323DE"/>
    <w:rsid w:val="009355C7"/>
    <w:rsid w:val="009427C8"/>
    <w:rsid w:val="00952E8F"/>
    <w:rsid w:val="00963F15"/>
    <w:rsid w:val="00967B9A"/>
    <w:rsid w:val="00976C2E"/>
    <w:rsid w:val="009818A7"/>
    <w:rsid w:val="00984222"/>
    <w:rsid w:val="009866B7"/>
    <w:rsid w:val="00993B07"/>
    <w:rsid w:val="00993BCD"/>
    <w:rsid w:val="009941B9"/>
    <w:rsid w:val="009A0004"/>
    <w:rsid w:val="009A0774"/>
    <w:rsid w:val="009A6A4D"/>
    <w:rsid w:val="009B2297"/>
    <w:rsid w:val="009B4BB6"/>
    <w:rsid w:val="009C2423"/>
    <w:rsid w:val="009C555E"/>
    <w:rsid w:val="009C5CB4"/>
    <w:rsid w:val="009E0C60"/>
    <w:rsid w:val="009E3AFD"/>
    <w:rsid w:val="009E742B"/>
    <w:rsid w:val="009F6F3B"/>
    <w:rsid w:val="009F71BB"/>
    <w:rsid w:val="00A146AA"/>
    <w:rsid w:val="00A1588B"/>
    <w:rsid w:val="00A2673A"/>
    <w:rsid w:val="00A32994"/>
    <w:rsid w:val="00A35C1A"/>
    <w:rsid w:val="00A50E86"/>
    <w:rsid w:val="00A558D6"/>
    <w:rsid w:val="00A62978"/>
    <w:rsid w:val="00A70C14"/>
    <w:rsid w:val="00A717C2"/>
    <w:rsid w:val="00A76693"/>
    <w:rsid w:val="00A768F0"/>
    <w:rsid w:val="00A97103"/>
    <w:rsid w:val="00A9716A"/>
    <w:rsid w:val="00AA560B"/>
    <w:rsid w:val="00AA7597"/>
    <w:rsid w:val="00AA78A3"/>
    <w:rsid w:val="00AC2001"/>
    <w:rsid w:val="00AC4AAF"/>
    <w:rsid w:val="00AD043D"/>
    <w:rsid w:val="00AD4A71"/>
    <w:rsid w:val="00AE0EF9"/>
    <w:rsid w:val="00AE7BC4"/>
    <w:rsid w:val="00AF6932"/>
    <w:rsid w:val="00B01477"/>
    <w:rsid w:val="00B13BAC"/>
    <w:rsid w:val="00B156AA"/>
    <w:rsid w:val="00B2388D"/>
    <w:rsid w:val="00B44889"/>
    <w:rsid w:val="00B513C4"/>
    <w:rsid w:val="00B53E51"/>
    <w:rsid w:val="00B562E7"/>
    <w:rsid w:val="00B70806"/>
    <w:rsid w:val="00B72896"/>
    <w:rsid w:val="00B802A8"/>
    <w:rsid w:val="00B863B3"/>
    <w:rsid w:val="00B937F9"/>
    <w:rsid w:val="00B97A95"/>
    <w:rsid w:val="00BA7052"/>
    <w:rsid w:val="00BB084F"/>
    <w:rsid w:val="00BB17C6"/>
    <w:rsid w:val="00BB1AEC"/>
    <w:rsid w:val="00BB3E0D"/>
    <w:rsid w:val="00BC19D9"/>
    <w:rsid w:val="00BD229E"/>
    <w:rsid w:val="00BF2506"/>
    <w:rsid w:val="00C032C5"/>
    <w:rsid w:val="00C04653"/>
    <w:rsid w:val="00C04AEB"/>
    <w:rsid w:val="00C05816"/>
    <w:rsid w:val="00C06624"/>
    <w:rsid w:val="00C132C7"/>
    <w:rsid w:val="00C25631"/>
    <w:rsid w:val="00C25E7B"/>
    <w:rsid w:val="00C26D27"/>
    <w:rsid w:val="00C41C50"/>
    <w:rsid w:val="00C43476"/>
    <w:rsid w:val="00C44F20"/>
    <w:rsid w:val="00C4742D"/>
    <w:rsid w:val="00C47593"/>
    <w:rsid w:val="00C52616"/>
    <w:rsid w:val="00C61C63"/>
    <w:rsid w:val="00C660CC"/>
    <w:rsid w:val="00C664CE"/>
    <w:rsid w:val="00C70701"/>
    <w:rsid w:val="00C72AB4"/>
    <w:rsid w:val="00C759B8"/>
    <w:rsid w:val="00C806CC"/>
    <w:rsid w:val="00C83858"/>
    <w:rsid w:val="00C847CD"/>
    <w:rsid w:val="00C867DC"/>
    <w:rsid w:val="00C965C6"/>
    <w:rsid w:val="00CA0F30"/>
    <w:rsid w:val="00CA58B2"/>
    <w:rsid w:val="00CC05BF"/>
    <w:rsid w:val="00CC0C87"/>
    <w:rsid w:val="00CD558D"/>
    <w:rsid w:val="00CE3395"/>
    <w:rsid w:val="00CF77D3"/>
    <w:rsid w:val="00D02B10"/>
    <w:rsid w:val="00D04D30"/>
    <w:rsid w:val="00D1265E"/>
    <w:rsid w:val="00D13EF4"/>
    <w:rsid w:val="00D235E0"/>
    <w:rsid w:val="00D24D43"/>
    <w:rsid w:val="00D25DC4"/>
    <w:rsid w:val="00D3712A"/>
    <w:rsid w:val="00D41C22"/>
    <w:rsid w:val="00D43AC7"/>
    <w:rsid w:val="00D53EE7"/>
    <w:rsid w:val="00D54EF0"/>
    <w:rsid w:val="00D57EF6"/>
    <w:rsid w:val="00D65E66"/>
    <w:rsid w:val="00D66A9A"/>
    <w:rsid w:val="00D75A6C"/>
    <w:rsid w:val="00D863F8"/>
    <w:rsid w:val="00D9077A"/>
    <w:rsid w:val="00DA13D0"/>
    <w:rsid w:val="00DB0626"/>
    <w:rsid w:val="00DB47EF"/>
    <w:rsid w:val="00DB7053"/>
    <w:rsid w:val="00DB7413"/>
    <w:rsid w:val="00DC1CE8"/>
    <w:rsid w:val="00DC22A8"/>
    <w:rsid w:val="00DC6FA7"/>
    <w:rsid w:val="00DD73A4"/>
    <w:rsid w:val="00DE1ABA"/>
    <w:rsid w:val="00DF1B53"/>
    <w:rsid w:val="00DF434F"/>
    <w:rsid w:val="00DF7956"/>
    <w:rsid w:val="00E00080"/>
    <w:rsid w:val="00E002C0"/>
    <w:rsid w:val="00E044E1"/>
    <w:rsid w:val="00E14DF8"/>
    <w:rsid w:val="00E1667D"/>
    <w:rsid w:val="00E26CB3"/>
    <w:rsid w:val="00E33C2E"/>
    <w:rsid w:val="00E57887"/>
    <w:rsid w:val="00E57A45"/>
    <w:rsid w:val="00E6009A"/>
    <w:rsid w:val="00E76548"/>
    <w:rsid w:val="00E84718"/>
    <w:rsid w:val="00E94D9A"/>
    <w:rsid w:val="00E95A45"/>
    <w:rsid w:val="00E969E9"/>
    <w:rsid w:val="00EA1FE5"/>
    <w:rsid w:val="00EA3853"/>
    <w:rsid w:val="00EA5307"/>
    <w:rsid w:val="00EA5B3C"/>
    <w:rsid w:val="00EB0E2C"/>
    <w:rsid w:val="00EB64FF"/>
    <w:rsid w:val="00EC6C09"/>
    <w:rsid w:val="00ED18DD"/>
    <w:rsid w:val="00ED29A0"/>
    <w:rsid w:val="00ED3138"/>
    <w:rsid w:val="00EE39D1"/>
    <w:rsid w:val="00EE6DE4"/>
    <w:rsid w:val="00EF5FA3"/>
    <w:rsid w:val="00F00580"/>
    <w:rsid w:val="00F07098"/>
    <w:rsid w:val="00F17522"/>
    <w:rsid w:val="00F216CB"/>
    <w:rsid w:val="00F32234"/>
    <w:rsid w:val="00F3687B"/>
    <w:rsid w:val="00F42EC7"/>
    <w:rsid w:val="00F450AA"/>
    <w:rsid w:val="00F45451"/>
    <w:rsid w:val="00F536B2"/>
    <w:rsid w:val="00F537F4"/>
    <w:rsid w:val="00F55BF3"/>
    <w:rsid w:val="00F70BB2"/>
    <w:rsid w:val="00F7727E"/>
    <w:rsid w:val="00F81DA3"/>
    <w:rsid w:val="00F82AAA"/>
    <w:rsid w:val="00F932F3"/>
    <w:rsid w:val="00FA0AA0"/>
    <w:rsid w:val="00FA470D"/>
    <w:rsid w:val="00FA57AE"/>
    <w:rsid w:val="00FA75D3"/>
    <w:rsid w:val="00FB2E1D"/>
    <w:rsid w:val="00FB4CD9"/>
    <w:rsid w:val="00FD4B7B"/>
    <w:rsid w:val="00FD5EA6"/>
    <w:rsid w:val="00FD6656"/>
    <w:rsid w:val="00FD6B29"/>
    <w:rsid w:val="00FE239B"/>
    <w:rsid w:val="00FE447F"/>
    <w:rsid w:val="00FE47A9"/>
    <w:rsid w:val="00FF3285"/>
    <w:rsid w:val="00FF67ED"/>
    <w:rsid w:val="00FF7E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7DF6D3"/>
  <w15:chartTrackingRefBased/>
  <w15:docId w15:val="{5F7BB0BB-4250-1B41-9568-AD6D40DA7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34FC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63F8"/>
    <w:pPr>
      <w:ind w:left="720"/>
      <w:contextualSpacing/>
    </w:pPr>
  </w:style>
  <w:style w:type="character" w:styleId="Hyperlink">
    <w:name w:val="Hyperlink"/>
    <w:basedOn w:val="DefaultParagraphFont"/>
    <w:uiPriority w:val="99"/>
    <w:unhideWhenUsed/>
    <w:rsid w:val="00AC2001"/>
    <w:rPr>
      <w:color w:val="0563C1" w:themeColor="hyperlink"/>
      <w:u w:val="single"/>
    </w:rPr>
  </w:style>
  <w:style w:type="character" w:styleId="FollowedHyperlink">
    <w:name w:val="FollowedHyperlink"/>
    <w:basedOn w:val="DefaultParagraphFont"/>
    <w:uiPriority w:val="99"/>
    <w:semiHidden/>
    <w:unhideWhenUsed/>
    <w:rsid w:val="00AC2001"/>
    <w:rPr>
      <w:color w:val="954F72" w:themeColor="followedHyperlink"/>
      <w:u w:val="single"/>
    </w:rPr>
  </w:style>
  <w:style w:type="paragraph" w:styleId="Header">
    <w:name w:val="header"/>
    <w:basedOn w:val="Normal"/>
    <w:link w:val="HeaderChar"/>
    <w:uiPriority w:val="99"/>
    <w:unhideWhenUsed/>
    <w:rsid w:val="00DA13D0"/>
    <w:pPr>
      <w:tabs>
        <w:tab w:val="center" w:pos="4513"/>
        <w:tab w:val="right" w:pos="9026"/>
      </w:tabs>
    </w:pPr>
  </w:style>
  <w:style w:type="character" w:customStyle="1" w:styleId="HeaderChar">
    <w:name w:val="Header Char"/>
    <w:basedOn w:val="DefaultParagraphFont"/>
    <w:link w:val="Header"/>
    <w:uiPriority w:val="99"/>
    <w:rsid w:val="00DA13D0"/>
  </w:style>
  <w:style w:type="paragraph" w:styleId="Footer">
    <w:name w:val="footer"/>
    <w:basedOn w:val="Normal"/>
    <w:link w:val="FooterChar"/>
    <w:uiPriority w:val="99"/>
    <w:unhideWhenUsed/>
    <w:rsid w:val="00DA13D0"/>
    <w:pPr>
      <w:tabs>
        <w:tab w:val="center" w:pos="4513"/>
        <w:tab w:val="right" w:pos="9026"/>
      </w:tabs>
    </w:pPr>
  </w:style>
  <w:style w:type="character" w:customStyle="1" w:styleId="FooterChar">
    <w:name w:val="Footer Char"/>
    <w:basedOn w:val="DefaultParagraphFont"/>
    <w:link w:val="Footer"/>
    <w:uiPriority w:val="99"/>
    <w:rsid w:val="00DA13D0"/>
  </w:style>
  <w:style w:type="paragraph" w:customStyle="1" w:styleId="cpe2">
    <w:name w:val="cpe2"/>
    <w:basedOn w:val="Normal"/>
    <w:rsid w:val="00F45451"/>
    <w:rPr>
      <w:rFonts w:ascii="Times New Roman" w:eastAsia="Times New Roman" w:hAnsi="Times New Roman" w:cs="Times New Roman"/>
      <w:b/>
      <w:sz w:val="28"/>
      <w:szCs w:val="20"/>
      <w:lang w:eastAsia="en-GB"/>
    </w:rPr>
  </w:style>
  <w:style w:type="paragraph" w:styleId="NormalWeb">
    <w:name w:val="Normal (Web)"/>
    <w:basedOn w:val="Normal"/>
    <w:uiPriority w:val="99"/>
    <w:unhideWhenUsed/>
    <w:rsid w:val="00334FC5"/>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334FC5"/>
    <w:rPr>
      <w:i/>
      <w:iCs/>
    </w:rPr>
  </w:style>
  <w:style w:type="character" w:customStyle="1" w:styleId="label">
    <w:name w:val="label"/>
    <w:basedOn w:val="DefaultParagraphFont"/>
    <w:rsid w:val="00334FC5"/>
  </w:style>
  <w:style w:type="character" w:customStyle="1" w:styleId="Heading1Char">
    <w:name w:val="Heading 1 Char"/>
    <w:basedOn w:val="DefaultParagraphFont"/>
    <w:link w:val="Heading1"/>
    <w:uiPriority w:val="9"/>
    <w:rsid w:val="00334FC5"/>
    <w:rPr>
      <w:rFonts w:ascii="Times New Roman" w:eastAsia="Times New Roman" w:hAnsi="Times New Roman" w:cs="Times New Roman"/>
      <w:b/>
      <w:bCs/>
      <w:kern w:val="36"/>
      <w:sz w:val="48"/>
      <w:szCs w:val="48"/>
      <w:lang w:eastAsia="en-GB"/>
    </w:rPr>
  </w:style>
  <w:style w:type="character" w:customStyle="1" w:styleId="contributor-unlinked">
    <w:name w:val="contributor-unlinked"/>
    <w:basedOn w:val="DefaultParagraphFont"/>
    <w:rsid w:val="00334FC5"/>
  </w:style>
  <w:style w:type="character" w:customStyle="1" w:styleId="contributor-separator">
    <w:name w:val="contributor-separator"/>
    <w:basedOn w:val="DefaultParagraphFont"/>
    <w:rsid w:val="00334FC5"/>
  </w:style>
  <w:style w:type="paragraph" w:customStyle="1" w:styleId="nova-legacy-e-listitem">
    <w:name w:val="nova-legacy-e-list__item"/>
    <w:basedOn w:val="Normal"/>
    <w:rsid w:val="00C43476"/>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2658C"/>
    <w:rPr>
      <w:color w:val="605E5C"/>
      <w:shd w:val="clear" w:color="auto" w:fill="E1DFDD"/>
    </w:rPr>
  </w:style>
  <w:style w:type="character" w:styleId="CommentReference">
    <w:name w:val="annotation reference"/>
    <w:basedOn w:val="DefaultParagraphFont"/>
    <w:uiPriority w:val="99"/>
    <w:semiHidden/>
    <w:unhideWhenUsed/>
    <w:rsid w:val="00D13EF4"/>
    <w:rPr>
      <w:sz w:val="16"/>
      <w:szCs w:val="16"/>
    </w:rPr>
  </w:style>
  <w:style w:type="paragraph" w:styleId="CommentText">
    <w:name w:val="annotation text"/>
    <w:basedOn w:val="Normal"/>
    <w:link w:val="CommentTextChar"/>
    <w:uiPriority w:val="99"/>
    <w:unhideWhenUsed/>
    <w:rsid w:val="00D13EF4"/>
    <w:rPr>
      <w:sz w:val="20"/>
      <w:szCs w:val="20"/>
    </w:rPr>
  </w:style>
  <w:style w:type="character" w:customStyle="1" w:styleId="CommentTextChar">
    <w:name w:val="Comment Text Char"/>
    <w:basedOn w:val="DefaultParagraphFont"/>
    <w:link w:val="CommentText"/>
    <w:uiPriority w:val="99"/>
    <w:rsid w:val="00D13EF4"/>
    <w:rPr>
      <w:sz w:val="20"/>
      <w:szCs w:val="20"/>
    </w:rPr>
  </w:style>
  <w:style w:type="paragraph" w:styleId="CommentSubject">
    <w:name w:val="annotation subject"/>
    <w:basedOn w:val="CommentText"/>
    <w:next w:val="CommentText"/>
    <w:link w:val="CommentSubjectChar"/>
    <w:uiPriority w:val="99"/>
    <w:semiHidden/>
    <w:unhideWhenUsed/>
    <w:rsid w:val="00D13EF4"/>
    <w:rPr>
      <w:b/>
      <w:bCs/>
    </w:rPr>
  </w:style>
  <w:style w:type="character" w:customStyle="1" w:styleId="CommentSubjectChar">
    <w:name w:val="Comment Subject Char"/>
    <w:basedOn w:val="CommentTextChar"/>
    <w:link w:val="CommentSubject"/>
    <w:uiPriority w:val="99"/>
    <w:semiHidden/>
    <w:rsid w:val="00D13EF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55069">
      <w:bodyDiv w:val="1"/>
      <w:marLeft w:val="0"/>
      <w:marRight w:val="0"/>
      <w:marTop w:val="0"/>
      <w:marBottom w:val="0"/>
      <w:divBdr>
        <w:top w:val="none" w:sz="0" w:space="0" w:color="auto"/>
        <w:left w:val="none" w:sz="0" w:space="0" w:color="auto"/>
        <w:bottom w:val="none" w:sz="0" w:space="0" w:color="auto"/>
        <w:right w:val="none" w:sz="0" w:space="0" w:color="auto"/>
      </w:divBdr>
    </w:div>
    <w:div w:id="234360281">
      <w:bodyDiv w:val="1"/>
      <w:marLeft w:val="0"/>
      <w:marRight w:val="0"/>
      <w:marTop w:val="0"/>
      <w:marBottom w:val="0"/>
      <w:divBdr>
        <w:top w:val="none" w:sz="0" w:space="0" w:color="auto"/>
        <w:left w:val="none" w:sz="0" w:space="0" w:color="auto"/>
        <w:bottom w:val="none" w:sz="0" w:space="0" w:color="auto"/>
        <w:right w:val="none" w:sz="0" w:space="0" w:color="auto"/>
      </w:divBdr>
      <w:divsChild>
        <w:div w:id="490289978">
          <w:marLeft w:val="0"/>
          <w:marRight w:val="0"/>
          <w:marTop w:val="0"/>
          <w:marBottom w:val="0"/>
          <w:divBdr>
            <w:top w:val="none" w:sz="0" w:space="0" w:color="auto"/>
            <w:left w:val="none" w:sz="0" w:space="0" w:color="auto"/>
            <w:bottom w:val="none" w:sz="0" w:space="0" w:color="auto"/>
            <w:right w:val="none" w:sz="0" w:space="0" w:color="auto"/>
          </w:divBdr>
        </w:div>
        <w:div w:id="1100219721">
          <w:marLeft w:val="0"/>
          <w:marRight w:val="0"/>
          <w:marTop w:val="0"/>
          <w:marBottom w:val="0"/>
          <w:divBdr>
            <w:top w:val="none" w:sz="0" w:space="0" w:color="auto"/>
            <w:left w:val="none" w:sz="0" w:space="0" w:color="auto"/>
            <w:bottom w:val="none" w:sz="0" w:space="0" w:color="auto"/>
            <w:right w:val="none" w:sz="0" w:space="0" w:color="auto"/>
          </w:divBdr>
        </w:div>
        <w:div w:id="959455508">
          <w:marLeft w:val="0"/>
          <w:marRight w:val="0"/>
          <w:marTop w:val="0"/>
          <w:marBottom w:val="0"/>
          <w:divBdr>
            <w:top w:val="none" w:sz="0" w:space="0" w:color="auto"/>
            <w:left w:val="none" w:sz="0" w:space="0" w:color="auto"/>
            <w:bottom w:val="none" w:sz="0" w:space="0" w:color="auto"/>
            <w:right w:val="none" w:sz="0" w:space="0" w:color="auto"/>
          </w:divBdr>
          <w:divsChild>
            <w:div w:id="905644825">
              <w:marLeft w:val="0"/>
              <w:marRight w:val="0"/>
              <w:marTop w:val="0"/>
              <w:marBottom w:val="300"/>
              <w:divBdr>
                <w:top w:val="none" w:sz="0" w:space="0" w:color="auto"/>
                <w:left w:val="none" w:sz="0" w:space="0" w:color="auto"/>
                <w:bottom w:val="none" w:sz="0" w:space="0" w:color="auto"/>
                <w:right w:val="none" w:sz="0" w:space="0" w:color="auto"/>
              </w:divBdr>
              <w:divsChild>
                <w:div w:id="880287057">
                  <w:marLeft w:val="0"/>
                  <w:marRight w:val="0"/>
                  <w:marTop w:val="0"/>
                  <w:marBottom w:val="0"/>
                  <w:divBdr>
                    <w:top w:val="none" w:sz="0" w:space="0" w:color="auto"/>
                    <w:left w:val="none" w:sz="0" w:space="0" w:color="auto"/>
                    <w:bottom w:val="none" w:sz="0" w:space="0" w:color="auto"/>
                    <w:right w:val="none" w:sz="0" w:space="0" w:color="auto"/>
                  </w:divBdr>
                  <w:divsChild>
                    <w:div w:id="805663773">
                      <w:marLeft w:val="0"/>
                      <w:marRight w:val="0"/>
                      <w:marTop w:val="0"/>
                      <w:marBottom w:val="0"/>
                      <w:divBdr>
                        <w:top w:val="none" w:sz="0" w:space="0" w:color="auto"/>
                        <w:left w:val="none" w:sz="0" w:space="0" w:color="auto"/>
                        <w:bottom w:val="none" w:sz="0" w:space="0" w:color="auto"/>
                        <w:right w:val="none" w:sz="0" w:space="0" w:color="auto"/>
                      </w:divBdr>
                      <w:divsChild>
                        <w:div w:id="1787893272">
                          <w:marLeft w:val="0"/>
                          <w:marRight w:val="0"/>
                          <w:marTop w:val="0"/>
                          <w:marBottom w:val="0"/>
                          <w:divBdr>
                            <w:top w:val="none" w:sz="0" w:space="0" w:color="auto"/>
                            <w:left w:val="none" w:sz="0" w:space="0" w:color="auto"/>
                            <w:bottom w:val="none" w:sz="0" w:space="0" w:color="auto"/>
                            <w:right w:val="none" w:sz="0" w:space="0" w:color="auto"/>
                          </w:divBdr>
                          <w:divsChild>
                            <w:div w:id="486477888">
                              <w:marLeft w:val="0"/>
                              <w:marRight w:val="0"/>
                              <w:marTop w:val="0"/>
                              <w:marBottom w:val="0"/>
                              <w:divBdr>
                                <w:top w:val="none" w:sz="0" w:space="0" w:color="auto"/>
                                <w:left w:val="none" w:sz="0" w:space="0" w:color="auto"/>
                                <w:bottom w:val="none" w:sz="0" w:space="0" w:color="auto"/>
                                <w:right w:val="none" w:sz="0" w:space="0" w:color="auto"/>
                              </w:divBdr>
                              <w:divsChild>
                                <w:div w:id="991104555">
                                  <w:marLeft w:val="0"/>
                                  <w:marRight w:val="0"/>
                                  <w:marTop w:val="0"/>
                                  <w:marBottom w:val="0"/>
                                  <w:divBdr>
                                    <w:top w:val="none" w:sz="0" w:space="0" w:color="auto"/>
                                    <w:left w:val="none" w:sz="0" w:space="0" w:color="auto"/>
                                    <w:bottom w:val="none" w:sz="0" w:space="0" w:color="auto"/>
                                    <w:right w:val="none" w:sz="0" w:space="0" w:color="auto"/>
                                  </w:divBdr>
                                </w:div>
                                <w:div w:id="47128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5046741">
      <w:bodyDiv w:val="1"/>
      <w:marLeft w:val="0"/>
      <w:marRight w:val="0"/>
      <w:marTop w:val="0"/>
      <w:marBottom w:val="0"/>
      <w:divBdr>
        <w:top w:val="none" w:sz="0" w:space="0" w:color="auto"/>
        <w:left w:val="none" w:sz="0" w:space="0" w:color="auto"/>
        <w:bottom w:val="none" w:sz="0" w:space="0" w:color="auto"/>
        <w:right w:val="none" w:sz="0" w:space="0" w:color="auto"/>
      </w:divBdr>
    </w:div>
    <w:div w:id="292714919">
      <w:bodyDiv w:val="1"/>
      <w:marLeft w:val="0"/>
      <w:marRight w:val="0"/>
      <w:marTop w:val="0"/>
      <w:marBottom w:val="0"/>
      <w:divBdr>
        <w:top w:val="none" w:sz="0" w:space="0" w:color="auto"/>
        <w:left w:val="none" w:sz="0" w:space="0" w:color="auto"/>
        <w:bottom w:val="none" w:sz="0" w:space="0" w:color="auto"/>
        <w:right w:val="none" w:sz="0" w:space="0" w:color="auto"/>
      </w:divBdr>
      <w:divsChild>
        <w:div w:id="608009733">
          <w:marLeft w:val="0"/>
          <w:marRight w:val="0"/>
          <w:marTop w:val="0"/>
          <w:marBottom w:val="0"/>
          <w:divBdr>
            <w:top w:val="none" w:sz="0" w:space="0" w:color="auto"/>
            <w:left w:val="none" w:sz="0" w:space="0" w:color="auto"/>
            <w:bottom w:val="none" w:sz="0" w:space="0" w:color="auto"/>
            <w:right w:val="none" w:sz="0" w:space="0" w:color="auto"/>
          </w:divBdr>
        </w:div>
        <w:div w:id="672991533">
          <w:marLeft w:val="0"/>
          <w:marRight w:val="0"/>
          <w:marTop w:val="0"/>
          <w:marBottom w:val="0"/>
          <w:divBdr>
            <w:top w:val="none" w:sz="0" w:space="0" w:color="auto"/>
            <w:left w:val="none" w:sz="0" w:space="0" w:color="auto"/>
            <w:bottom w:val="none" w:sz="0" w:space="0" w:color="auto"/>
            <w:right w:val="none" w:sz="0" w:space="0" w:color="auto"/>
          </w:divBdr>
        </w:div>
        <w:div w:id="2113741083">
          <w:marLeft w:val="0"/>
          <w:marRight w:val="0"/>
          <w:marTop w:val="0"/>
          <w:marBottom w:val="0"/>
          <w:divBdr>
            <w:top w:val="none" w:sz="0" w:space="0" w:color="auto"/>
            <w:left w:val="none" w:sz="0" w:space="0" w:color="auto"/>
            <w:bottom w:val="none" w:sz="0" w:space="0" w:color="auto"/>
            <w:right w:val="none" w:sz="0" w:space="0" w:color="auto"/>
          </w:divBdr>
        </w:div>
      </w:divsChild>
    </w:div>
    <w:div w:id="659775842">
      <w:bodyDiv w:val="1"/>
      <w:marLeft w:val="0"/>
      <w:marRight w:val="0"/>
      <w:marTop w:val="0"/>
      <w:marBottom w:val="0"/>
      <w:divBdr>
        <w:top w:val="none" w:sz="0" w:space="0" w:color="auto"/>
        <w:left w:val="none" w:sz="0" w:space="0" w:color="auto"/>
        <w:bottom w:val="none" w:sz="0" w:space="0" w:color="auto"/>
        <w:right w:val="none" w:sz="0" w:space="0" w:color="auto"/>
      </w:divBdr>
    </w:div>
    <w:div w:id="1494761567">
      <w:bodyDiv w:val="1"/>
      <w:marLeft w:val="0"/>
      <w:marRight w:val="0"/>
      <w:marTop w:val="0"/>
      <w:marBottom w:val="0"/>
      <w:divBdr>
        <w:top w:val="none" w:sz="0" w:space="0" w:color="auto"/>
        <w:left w:val="none" w:sz="0" w:space="0" w:color="auto"/>
        <w:bottom w:val="none" w:sz="0" w:space="0" w:color="auto"/>
        <w:right w:val="none" w:sz="0" w:space="0" w:color="auto"/>
      </w:divBdr>
    </w:div>
    <w:div w:id="1719550690">
      <w:bodyDiv w:val="1"/>
      <w:marLeft w:val="0"/>
      <w:marRight w:val="0"/>
      <w:marTop w:val="0"/>
      <w:marBottom w:val="0"/>
      <w:divBdr>
        <w:top w:val="none" w:sz="0" w:space="0" w:color="auto"/>
        <w:left w:val="none" w:sz="0" w:space="0" w:color="auto"/>
        <w:bottom w:val="none" w:sz="0" w:space="0" w:color="auto"/>
        <w:right w:val="none" w:sz="0" w:space="0" w:color="auto"/>
      </w:divBdr>
    </w:div>
    <w:div w:id="1982273443">
      <w:bodyDiv w:val="1"/>
      <w:marLeft w:val="0"/>
      <w:marRight w:val="0"/>
      <w:marTop w:val="0"/>
      <w:marBottom w:val="0"/>
      <w:divBdr>
        <w:top w:val="none" w:sz="0" w:space="0" w:color="auto"/>
        <w:left w:val="none" w:sz="0" w:space="0" w:color="auto"/>
        <w:bottom w:val="none" w:sz="0" w:space="0" w:color="auto"/>
        <w:right w:val="none" w:sz="0" w:space="0" w:color="auto"/>
      </w:divBdr>
      <w:divsChild>
        <w:div w:id="1479612291">
          <w:marLeft w:val="0"/>
          <w:marRight w:val="0"/>
          <w:marTop w:val="0"/>
          <w:marBottom w:val="0"/>
          <w:divBdr>
            <w:top w:val="none" w:sz="0" w:space="0" w:color="auto"/>
            <w:left w:val="none" w:sz="0" w:space="0" w:color="auto"/>
            <w:bottom w:val="none" w:sz="0" w:space="0" w:color="auto"/>
            <w:right w:val="none" w:sz="0" w:space="0" w:color="auto"/>
          </w:divBdr>
        </w:div>
        <w:div w:id="463305435">
          <w:marLeft w:val="0"/>
          <w:marRight w:val="0"/>
          <w:marTop w:val="0"/>
          <w:marBottom w:val="0"/>
          <w:divBdr>
            <w:top w:val="none" w:sz="0" w:space="0" w:color="auto"/>
            <w:left w:val="none" w:sz="0" w:space="0" w:color="auto"/>
            <w:bottom w:val="none" w:sz="0" w:space="0" w:color="auto"/>
            <w:right w:val="none" w:sz="0" w:space="0" w:color="auto"/>
          </w:divBdr>
        </w:div>
        <w:div w:id="1105803948">
          <w:marLeft w:val="0"/>
          <w:marRight w:val="0"/>
          <w:marTop w:val="0"/>
          <w:marBottom w:val="0"/>
          <w:divBdr>
            <w:top w:val="none" w:sz="0" w:space="0" w:color="auto"/>
            <w:left w:val="none" w:sz="0" w:space="0" w:color="auto"/>
            <w:bottom w:val="none" w:sz="0" w:space="0" w:color="auto"/>
            <w:right w:val="none" w:sz="0" w:space="0" w:color="auto"/>
          </w:divBdr>
        </w:div>
      </w:divsChild>
    </w:div>
    <w:div w:id="211617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public/for-public-visitors/common-legal-issues/trusts" TargetMode="External"/><Relationship Id="rId3" Type="http://schemas.openxmlformats.org/officeDocument/2006/relationships/settings" Target="settings.xml"/><Relationship Id="rId7" Type="http://schemas.openxmlformats.org/officeDocument/2006/relationships/hyperlink" Target="https://www.lawcom.gov.uk/14th-programm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xfordlawtrove.com/view/10.1093/he/9780192855008.001.0001/he-9780192855008-chap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dc:creator>
  <cp:keywords/>
  <dc:description/>
  <cp:lastModifiedBy>Callum Martin</cp:lastModifiedBy>
  <cp:revision>2</cp:revision>
  <dcterms:created xsi:type="dcterms:W3CDTF">2023-03-10T11:06:00Z</dcterms:created>
  <dcterms:modified xsi:type="dcterms:W3CDTF">2023-03-10T11:06:00Z</dcterms:modified>
</cp:coreProperties>
</file>